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22E5F">
      <w:pPr>
        <w:spacing w:line="360" w:lineRule="auto"/>
        <w:jc w:val="distribute"/>
        <w:rPr>
          <w:rFonts w:ascii="宋体" w:hAnsi="宋体" w:cs="宋体"/>
          <w:b/>
          <w:sz w:val="160"/>
          <w:szCs w:val="160"/>
        </w:rPr>
      </w:pPr>
      <w:bookmarkStart w:id="220" w:name="_GoBack"/>
      <w:bookmarkEnd w:id="220"/>
      <w:r>
        <w:rPr>
          <w:rFonts w:ascii="宋体" w:hAnsi="宋体" w:cs="宋体"/>
        </w:rPr>
        <w:drawing>
          <wp:inline distT="0" distB="0" distL="114300" distR="114300">
            <wp:extent cx="6475095" cy="1223010"/>
            <wp:effectExtent l="0" t="0" r="0" b="0"/>
            <wp:docPr id="1" name="图片 1" descr="03f08d9a1379cb2e5a2b7f37cf905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f08d9a1379cb2e5a2b7f37cf9052ce"/>
                    <pic:cNvPicPr>
                      <a:picLocks noChangeAspect="1"/>
                    </pic:cNvPicPr>
                  </pic:nvPicPr>
                  <pic:blipFill>
                    <a:blip r:embed="rId16"/>
                    <a:stretch>
                      <a:fillRect/>
                    </a:stretch>
                  </pic:blipFill>
                  <pic:spPr>
                    <a:xfrm>
                      <a:off x="0" y="0"/>
                      <a:ext cx="6475095" cy="1223010"/>
                    </a:xfrm>
                    <a:prstGeom prst="rect">
                      <a:avLst/>
                    </a:prstGeom>
                    <a:noFill/>
                    <a:ln>
                      <a:noFill/>
                    </a:ln>
                  </pic:spPr>
                </pic:pic>
              </a:graphicData>
            </a:graphic>
          </wp:inline>
        </w:drawing>
      </w:r>
    </w:p>
    <w:p w14:paraId="593B5283">
      <w:pPr>
        <w:spacing w:line="360" w:lineRule="auto"/>
        <w:jc w:val="center"/>
        <w:rPr>
          <w:rFonts w:ascii="宋体" w:hAnsi="宋体" w:cs="宋体"/>
          <w:b/>
          <w:sz w:val="48"/>
          <w:szCs w:val="48"/>
        </w:rPr>
      </w:pPr>
    </w:p>
    <w:p w14:paraId="605BC327">
      <w:pPr>
        <w:spacing w:line="360" w:lineRule="auto"/>
        <w:jc w:val="center"/>
        <w:rPr>
          <w:rFonts w:ascii="宋体" w:hAnsi="宋体" w:cs="宋体"/>
          <w:b/>
          <w:sz w:val="48"/>
          <w:szCs w:val="48"/>
        </w:rPr>
      </w:pPr>
    </w:p>
    <w:p w14:paraId="45C4A070">
      <w:pPr>
        <w:pStyle w:val="6"/>
      </w:pPr>
    </w:p>
    <w:p w14:paraId="504FEC2A">
      <w:pPr>
        <w:snapToGrid w:val="0"/>
        <w:spacing w:line="360" w:lineRule="auto"/>
        <w:jc w:val="center"/>
        <w:rPr>
          <w:rFonts w:ascii="宋体" w:hAnsi="宋体" w:cs="宋体"/>
          <w:b/>
          <w:bCs/>
          <w:sz w:val="72"/>
          <w:szCs w:val="72"/>
        </w:rPr>
      </w:pPr>
      <w:r>
        <w:rPr>
          <w:rFonts w:hint="eastAsia" w:ascii="宋体" w:hAnsi="宋体" w:cs="宋体"/>
          <w:b/>
          <w:bCs/>
          <w:sz w:val="72"/>
          <w:szCs w:val="72"/>
        </w:rPr>
        <w:t>公开招标文件</w:t>
      </w:r>
    </w:p>
    <w:p w14:paraId="7757794F">
      <w:pPr>
        <w:widowControl/>
        <w:ind w:firstLine="840" w:firstLineChars="300"/>
        <w:jc w:val="left"/>
        <w:rPr>
          <w:rFonts w:hAnsi="宋体" w:cs="宋体"/>
          <w:sz w:val="28"/>
          <w:szCs w:val="28"/>
        </w:rPr>
      </w:pPr>
      <w:r>
        <w:rPr>
          <w:rFonts w:hint="eastAsia" w:hAnsi="宋体" w:cs="宋体"/>
          <w:sz w:val="28"/>
          <w:szCs w:val="28"/>
        </w:rPr>
        <w:t>项目</w:t>
      </w:r>
      <w:r>
        <w:rPr>
          <w:rFonts w:hint="eastAsia" w:hAnsi="宋体" w:cs="宋体"/>
          <w:w w:val="95"/>
          <w:sz w:val="28"/>
          <w:szCs w:val="28"/>
        </w:rPr>
        <w:t>名</w:t>
      </w:r>
      <w:r>
        <w:rPr>
          <w:rFonts w:hint="eastAsia" w:hAnsi="宋体" w:cs="宋体"/>
          <w:sz w:val="28"/>
          <w:szCs w:val="28"/>
        </w:rPr>
        <w:t>称：2025年度自然资源领域重点业务专业技术服务</w:t>
      </w:r>
    </w:p>
    <w:p w14:paraId="5AD29192">
      <w:pPr>
        <w:pStyle w:val="24"/>
        <w:snapToGrid w:val="0"/>
        <w:spacing w:line="360" w:lineRule="auto"/>
        <w:jc w:val="center"/>
        <w:rPr>
          <w:rFonts w:hAnsi="宋体" w:cs="宋体"/>
          <w:sz w:val="28"/>
          <w:szCs w:val="28"/>
        </w:rPr>
      </w:pPr>
    </w:p>
    <w:p w14:paraId="29A8411C">
      <w:pPr>
        <w:snapToGrid w:val="0"/>
        <w:spacing w:line="360" w:lineRule="auto"/>
        <w:ind w:firstLine="798" w:firstLineChars="300"/>
        <w:rPr>
          <w:rFonts w:ascii="宋体" w:hAnsi="宋体" w:cs="宋体"/>
          <w:kern w:val="0"/>
          <w:sz w:val="28"/>
          <w:szCs w:val="28"/>
        </w:rPr>
      </w:pPr>
      <w:r>
        <w:rPr>
          <w:rFonts w:hint="eastAsia" w:ascii="宋体" w:hAnsi="宋体" w:cs="宋体"/>
          <w:w w:val="95"/>
          <w:sz w:val="28"/>
          <w:szCs w:val="28"/>
        </w:rPr>
        <w:t>项目</w:t>
      </w:r>
      <w:r>
        <w:rPr>
          <w:rFonts w:hint="eastAsia" w:ascii="宋体" w:hAnsi="宋体" w:cs="宋体"/>
          <w:sz w:val="28"/>
          <w:szCs w:val="28"/>
        </w:rPr>
        <w:t>编号:CZZC2026-G3-990039-JWJS</w:t>
      </w:r>
    </w:p>
    <w:p w14:paraId="697A2816">
      <w:pPr>
        <w:spacing w:line="360" w:lineRule="auto"/>
        <w:jc w:val="center"/>
        <w:rPr>
          <w:rFonts w:ascii="宋体" w:hAnsi="宋体" w:cs="宋体"/>
          <w:b/>
          <w:sz w:val="48"/>
          <w:szCs w:val="48"/>
        </w:rPr>
      </w:pPr>
    </w:p>
    <w:p w14:paraId="1EE0F9C9">
      <w:pPr>
        <w:spacing w:line="360" w:lineRule="auto"/>
        <w:jc w:val="center"/>
        <w:rPr>
          <w:rFonts w:ascii="宋体" w:hAnsi="宋体" w:cs="宋体"/>
          <w:b/>
          <w:sz w:val="48"/>
          <w:szCs w:val="48"/>
        </w:rPr>
      </w:pPr>
    </w:p>
    <w:p w14:paraId="254BF1AC">
      <w:pPr>
        <w:spacing w:line="360" w:lineRule="auto"/>
        <w:jc w:val="center"/>
        <w:rPr>
          <w:rFonts w:ascii="宋体" w:hAnsi="宋体" w:cs="宋体"/>
          <w:b/>
          <w:sz w:val="48"/>
          <w:szCs w:val="48"/>
        </w:rPr>
      </w:pPr>
    </w:p>
    <w:p w14:paraId="65931F90">
      <w:pPr>
        <w:pStyle w:val="24"/>
        <w:snapToGrid w:val="0"/>
        <w:spacing w:line="360" w:lineRule="auto"/>
        <w:ind w:firstLine="2891" w:firstLineChars="600"/>
        <w:rPr>
          <w:rFonts w:hAnsi="宋体" w:cs="宋体"/>
          <w:b/>
          <w:kern w:val="2"/>
          <w:sz w:val="48"/>
          <w:szCs w:val="48"/>
        </w:rPr>
      </w:pPr>
    </w:p>
    <w:p w14:paraId="7DB1C5C5">
      <w:pPr>
        <w:pStyle w:val="24"/>
        <w:snapToGrid w:val="0"/>
        <w:spacing w:line="360" w:lineRule="auto"/>
        <w:ind w:firstLine="1832" w:firstLineChars="600"/>
        <w:jc w:val="left"/>
        <w:rPr>
          <w:rFonts w:hAnsi="宋体" w:cs="宋体"/>
          <w:b/>
          <w:bCs/>
          <w:w w:val="95"/>
          <w:sz w:val="32"/>
          <w:szCs w:val="32"/>
        </w:rPr>
      </w:pPr>
      <w:r>
        <w:rPr>
          <w:rFonts w:hint="eastAsia" w:hAnsi="宋体" w:cs="宋体"/>
          <w:b/>
          <w:bCs/>
          <w:w w:val="95"/>
          <w:sz w:val="32"/>
          <w:szCs w:val="32"/>
        </w:rPr>
        <w:t>采购单位：崇左市自然资源局</w:t>
      </w:r>
    </w:p>
    <w:p w14:paraId="17E2B289">
      <w:pPr>
        <w:pStyle w:val="24"/>
        <w:snapToGrid w:val="0"/>
        <w:spacing w:line="360" w:lineRule="auto"/>
        <w:jc w:val="center"/>
        <w:rPr>
          <w:rFonts w:hAnsi="宋体" w:cs="宋体"/>
          <w:b/>
          <w:bCs/>
          <w:w w:val="95"/>
          <w:sz w:val="32"/>
          <w:szCs w:val="32"/>
        </w:rPr>
      </w:pPr>
      <w:r>
        <w:rPr>
          <w:rFonts w:hint="eastAsia" w:hAnsi="宋体" w:cs="宋体"/>
          <w:b/>
          <w:bCs/>
          <w:w w:val="95"/>
          <w:sz w:val="32"/>
          <w:szCs w:val="32"/>
        </w:rPr>
        <w:t>采购代理机构：广西金旺技术管理有限公司</w:t>
      </w:r>
    </w:p>
    <w:p w14:paraId="73AB350C">
      <w:pPr>
        <w:pStyle w:val="24"/>
        <w:snapToGrid w:val="0"/>
        <w:spacing w:line="360" w:lineRule="auto"/>
        <w:jc w:val="center"/>
        <w:rPr>
          <w:rFonts w:hAnsi="宋体" w:cs="宋体"/>
          <w:b/>
          <w:bCs/>
          <w:w w:val="95"/>
          <w:sz w:val="32"/>
          <w:szCs w:val="32"/>
        </w:rPr>
      </w:pPr>
      <w:r>
        <w:rPr>
          <w:rFonts w:hint="eastAsia" w:hAnsi="宋体" w:cs="宋体"/>
          <w:b/>
          <w:bCs/>
          <w:w w:val="95"/>
          <w:sz w:val="32"/>
          <w:szCs w:val="32"/>
        </w:rPr>
        <w:t>2026年</w:t>
      </w:r>
      <w:r>
        <w:rPr>
          <w:rFonts w:hint="eastAsia" w:hAnsi="宋体" w:cs="宋体"/>
          <w:b/>
          <w:bCs/>
          <w:w w:val="95"/>
          <w:sz w:val="32"/>
          <w:szCs w:val="32"/>
          <w:lang w:val="en-US" w:eastAsia="zh-CN"/>
        </w:rPr>
        <w:t>4</w:t>
      </w:r>
      <w:r>
        <w:rPr>
          <w:rFonts w:hint="eastAsia" w:hAnsi="宋体" w:cs="宋体"/>
          <w:b/>
          <w:bCs/>
          <w:w w:val="95"/>
          <w:sz w:val="32"/>
          <w:szCs w:val="32"/>
        </w:rPr>
        <w:t>月</w:t>
      </w:r>
    </w:p>
    <w:p w14:paraId="4DF339CE"/>
    <w:p w14:paraId="4B85542C"/>
    <w:p w14:paraId="7CBF7A50">
      <w:pPr>
        <w:pStyle w:val="24"/>
        <w:snapToGrid w:val="0"/>
        <w:spacing w:line="360" w:lineRule="auto"/>
        <w:jc w:val="center"/>
        <w:rPr>
          <w:rFonts w:hAnsi="宋体" w:cs="宋体"/>
          <w:sz w:val="36"/>
          <w:szCs w:val="36"/>
        </w:rPr>
      </w:pPr>
      <w:r>
        <w:rPr>
          <w:rFonts w:hint="eastAsia" w:hAnsi="宋体" w:cs="宋体"/>
          <w:sz w:val="36"/>
          <w:szCs w:val="36"/>
        </w:rPr>
        <w:t>目录</w:t>
      </w:r>
    </w:p>
    <w:p w14:paraId="53DC75E5">
      <w:pPr>
        <w:pStyle w:val="32"/>
        <w:tabs>
          <w:tab w:val="right" w:leader="dot" w:pos="9412"/>
          <w:tab w:val="clear" w:pos="8398"/>
        </w:tabs>
        <w:spacing w:line="600" w:lineRule="auto"/>
      </w:pPr>
      <w:r>
        <w:rPr>
          <w:rFonts w:hint="eastAsia" w:cs="宋体"/>
          <w:b w:val="0"/>
        </w:rPr>
        <w:fldChar w:fldCharType="begin"/>
      </w:r>
      <w:r>
        <w:rPr>
          <w:rFonts w:hint="eastAsia" w:cs="宋体"/>
          <w:b w:val="0"/>
        </w:rPr>
        <w:instrText xml:space="preserve"> TOC \o "1-2" \h \z \u </w:instrText>
      </w:r>
      <w:r>
        <w:rPr>
          <w:rFonts w:hint="eastAsia" w:cs="宋体"/>
          <w:b w:val="0"/>
        </w:rPr>
        <w:fldChar w:fldCharType="separate"/>
      </w:r>
      <w:r>
        <w:fldChar w:fldCharType="begin"/>
      </w:r>
      <w:r>
        <w:instrText xml:space="preserve"> HYPERLINK \l "_Toc31738" </w:instrText>
      </w:r>
      <w:r>
        <w:fldChar w:fldCharType="separate"/>
      </w:r>
      <w:r>
        <w:rPr>
          <w:rFonts w:hint="eastAsia" w:cs="宋体"/>
        </w:rPr>
        <w:t>第一章招标公告</w:t>
      </w:r>
      <w:r>
        <w:tab/>
      </w:r>
      <w:r>
        <w:fldChar w:fldCharType="begin"/>
      </w:r>
      <w:r>
        <w:instrText xml:space="preserve"> PAGEREF _Toc31738 \h </w:instrText>
      </w:r>
      <w:r>
        <w:fldChar w:fldCharType="separate"/>
      </w:r>
      <w:r>
        <w:t>1</w:t>
      </w:r>
      <w:r>
        <w:fldChar w:fldCharType="end"/>
      </w:r>
      <w:r>
        <w:fldChar w:fldCharType="end"/>
      </w:r>
    </w:p>
    <w:p w14:paraId="293CF08F">
      <w:pPr>
        <w:pStyle w:val="32"/>
        <w:tabs>
          <w:tab w:val="right" w:leader="dot" w:pos="9412"/>
          <w:tab w:val="clear" w:pos="8398"/>
        </w:tabs>
        <w:spacing w:line="600" w:lineRule="auto"/>
        <w:ind w:firstLine="241"/>
      </w:pPr>
      <w:r>
        <w:fldChar w:fldCharType="begin"/>
      </w:r>
      <w:r>
        <w:instrText xml:space="preserve"> HYPERLINK \l "_Toc10847" </w:instrText>
      </w:r>
      <w:r>
        <w:fldChar w:fldCharType="separate"/>
      </w:r>
      <w:r>
        <w:rPr>
          <w:rFonts w:hint="eastAsia" w:cs="宋体"/>
        </w:rPr>
        <w:t>第二章采购需求</w:t>
      </w:r>
      <w:r>
        <w:tab/>
      </w:r>
      <w:r>
        <w:fldChar w:fldCharType="begin"/>
      </w:r>
      <w:r>
        <w:instrText xml:space="preserve"> PAGEREF _Toc10847 \h </w:instrText>
      </w:r>
      <w:r>
        <w:fldChar w:fldCharType="separate"/>
      </w:r>
      <w:r>
        <w:t>4</w:t>
      </w:r>
      <w:r>
        <w:fldChar w:fldCharType="end"/>
      </w:r>
      <w:r>
        <w:fldChar w:fldCharType="end"/>
      </w:r>
    </w:p>
    <w:p w14:paraId="5A0294D6">
      <w:pPr>
        <w:pStyle w:val="32"/>
        <w:tabs>
          <w:tab w:val="right" w:leader="dot" w:pos="9412"/>
          <w:tab w:val="clear" w:pos="8398"/>
        </w:tabs>
        <w:spacing w:line="600" w:lineRule="auto"/>
        <w:ind w:firstLine="241"/>
      </w:pPr>
      <w:r>
        <w:fldChar w:fldCharType="begin"/>
      </w:r>
      <w:r>
        <w:instrText xml:space="preserve"> HYPERLINK \l "_Toc21677" </w:instrText>
      </w:r>
      <w:r>
        <w:fldChar w:fldCharType="separate"/>
      </w:r>
      <w:r>
        <w:rPr>
          <w:rFonts w:hint="eastAsia" w:cs="宋体"/>
        </w:rPr>
        <w:t>第三章投标人须知</w:t>
      </w:r>
      <w:r>
        <w:tab/>
      </w:r>
      <w:r>
        <w:fldChar w:fldCharType="begin"/>
      </w:r>
      <w:r>
        <w:instrText xml:space="preserve"> PAGEREF _Toc21677 \h </w:instrText>
      </w:r>
      <w:r>
        <w:fldChar w:fldCharType="separate"/>
      </w:r>
      <w:r>
        <w:t>30</w:t>
      </w:r>
      <w:r>
        <w:fldChar w:fldCharType="end"/>
      </w:r>
      <w:r>
        <w:fldChar w:fldCharType="end"/>
      </w:r>
    </w:p>
    <w:p w14:paraId="49F595E0">
      <w:pPr>
        <w:pStyle w:val="32"/>
        <w:tabs>
          <w:tab w:val="right" w:leader="dot" w:pos="9412"/>
          <w:tab w:val="clear" w:pos="8398"/>
        </w:tabs>
        <w:spacing w:line="600" w:lineRule="auto"/>
        <w:ind w:firstLine="241"/>
      </w:pPr>
      <w:r>
        <w:fldChar w:fldCharType="begin"/>
      </w:r>
      <w:r>
        <w:instrText xml:space="preserve"> HYPERLINK \l "_Toc29088" </w:instrText>
      </w:r>
      <w:r>
        <w:fldChar w:fldCharType="separate"/>
      </w:r>
      <w:r>
        <w:rPr>
          <w:rFonts w:hint="eastAsia" w:cs="宋体"/>
        </w:rPr>
        <w:t>第四章评标方法及评标标准</w:t>
      </w:r>
      <w:r>
        <w:tab/>
      </w:r>
      <w:r>
        <w:fldChar w:fldCharType="begin"/>
      </w:r>
      <w:r>
        <w:instrText xml:space="preserve"> PAGEREF _Toc29088 \h </w:instrText>
      </w:r>
      <w:r>
        <w:fldChar w:fldCharType="separate"/>
      </w:r>
      <w:r>
        <w:t>54</w:t>
      </w:r>
      <w:r>
        <w:fldChar w:fldCharType="end"/>
      </w:r>
      <w:r>
        <w:fldChar w:fldCharType="end"/>
      </w:r>
    </w:p>
    <w:p w14:paraId="161B8E1C">
      <w:pPr>
        <w:pStyle w:val="38"/>
        <w:tabs>
          <w:tab w:val="right" w:leader="dot" w:pos="9412"/>
        </w:tabs>
        <w:spacing w:line="600" w:lineRule="auto"/>
        <w:ind w:left="0" w:leftChars="0" w:firstLine="210" w:firstLineChars="100"/>
        <w:rPr>
          <w:sz w:val="24"/>
        </w:rPr>
      </w:pPr>
      <w:r>
        <w:fldChar w:fldCharType="begin"/>
      </w:r>
      <w:r>
        <w:instrText xml:space="preserve"> HYPERLINK \l "_Toc12195" </w:instrText>
      </w:r>
      <w:r>
        <w:fldChar w:fldCharType="separate"/>
      </w:r>
      <w:r>
        <w:rPr>
          <w:rFonts w:hint="eastAsia" w:ascii="宋体" w:hAnsi="宋体" w:cs="宋体"/>
          <w:b/>
          <w:bCs/>
          <w:caps/>
          <w:sz w:val="24"/>
        </w:rPr>
        <w:t>第五章合同文本</w:t>
      </w:r>
      <w:r>
        <w:rPr>
          <w:rFonts w:hint="eastAsia" w:ascii="宋体" w:hAnsi="宋体" w:cs="宋体"/>
          <w:b/>
          <w:bCs/>
          <w:caps/>
          <w:sz w:val="24"/>
        </w:rPr>
        <w:tab/>
      </w:r>
      <w:r>
        <w:rPr>
          <w:rFonts w:hint="eastAsia" w:ascii="宋体" w:hAnsi="宋体" w:cs="宋体"/>
          <w:b/>
          <w:bCs/>
          <w:caps/>
          <w:sz w:val="24"/>
        </w:rPr>
        <w:fldChar w:fldCharType="begin"/>
      </w:r>
      <w:r>
        <w:rPr>
          <w:rFonts w:hint="eastAsia" w:ascii="宋体" w:hAnsi="宋体" w:cs="宋体"/>
          <w:b/>
          <w:bCs/>
          <w:caps/>
          <w:sz w:val="24"/>
        </w:rPr>
        <w:instrText xml:space="preserve"> PAGEREF _Toc12195 \h </w:instrText>
      </w:r>
      <w:r>
        <w:rPr>
          <w:rFonts w:hint="eastAsia" w:ascii="宋体" w:hAnsi="宋体" w:cs="宋体"/>
          <w:b/>
          <w:bCs/>
          <w:caps/>
          <w:sz w:val="24"/>
        </w:rPr>
        <w:fldChar w:fldCharType="separate"/>
      </w:r>
      <w:r>
        <w:rPr>
          <w:rFonts w:hint="eastAsia" w:ascii="宋体" w:hAnsi="宋体" w:cs="宋体"/>
          <w:b/>
          <w:bCs/>
          <w:caps/>
          <w:sz w:val="24"/>
        </w:rPr>
        <w:t>67</w:t>
      </w:r>
      <w:r>
        <w:rPr>
          <w:rFonts w:hint="eastAsia" w:ascii="宋体" w:hAnsi="宋体" w:cs="宋体"/>
          <w:b/>
          <w:bCs/>
          <w:caps/>
          <w:sz w:val="24"/>
        </w:rPr>
        <w:fldChar w:fldCharType="end"/>
      </w:r>
      <w:r>
        <w:rPr>
          <w:rFonts w:hint="eastAsia" w:ascii="宋体" w:hAnsi="宋体" w:cs="宋体"/>
          <w:b/>
          <w:bCs/>
          <w:caps/>
          <w:sz w:val="24"/>
        </w:rPr>
        <w:fldChar w:fldCharType="end"/>
      </w:r>
    </w:p>
    <w:p w14:paraId="5B05444B">
      <w:pPr>
        <w:pStyle w:val="32"/>
        <w:tabs>
          <w:tab w:val="right" w:leader="dot" w:pos="9412"/>
          <w:tab w:val="clear" w:pos="8398"/>
        </w:tabs>
        <w:spacing w:line="600" w:lineRule="auto"/>
        <w:ind w:firstLine="241"/>
      </w:pPr>
      <w:r>
        <w:fldChar w:fldCharType="begin"/>
      </w:r>
      <w:r>
        <w:instrText xml:space="preserve"> HYPERLINK \l "_Toc26837" </w:instrText>
      </w:r>
      <w:r>
        <w:fldChar w:fldCharType="separate"/>
      </w:r>
      <w:r>
        <w:rPr>
          <w:rFonts w:hint="eastAsia" w:cs="宋体"/>
        </w:rPr>
        <w:t>第六章投标文件格式</w:t>
      </w:r>
      <w:r>
        <w:tab/>
      </w:r>
      <w:r>
        <w:fldChar w:fldCharType="begin"/>
      </w:r>
      <w:r>
        <w:instrText xml:space="preserve"> PAGEREF _Toc26837 \h </w:instrText>
      </w:r>
      <w:r>
        <w:fldChar w:fldCharType="separate"/>
      </w:r>
      <w:r>
        <w:t>79</w:t>
      </w:r>
      <w:r>
        <w:fldChar w:fldCharType="end"/>
      </w:r>
      <w:r>
        <w:fldChar w:fldCharType="end"/>
      </w:r>
    </w:p>
    <w:p w14:paraId="73FCABF0">
      <w:pPr>
        <w:pStyle w:val="38"/>
        <w:tabs>
          <w:tab w:val="right" w:leader="dot" w:pos="9412"/>
        </w:tabs>
      </w:pPr>
    </w:p>
    <w:p w14:paraId="5093665C">
      <w:pPr>
        <w:spacing w:line="360" w:lineRule="auto"/>
        <w:rPr>
          <w:rFonts w:ascii="宋体" w:hAnsi="宋体" w:cs="宋体"/>
          <w:sz w:val="24"/>
        </w:rPr>
      </w:pPr>
      <w:r>
        <w:rPr>
          <w:rFonts w:hint="eastAsia" w:ascii="宋体" w:hAnsi="宋体" w:cs="宋体"/>
        </w:rPr>
        <w:fldChar w:fldCharType="end"/>
      </w:r>
    </w:p>
    <w:p w14:paraId="3A43E8EA">
      <w:pPr>
        <w:spacing w:line="360" w:lineRule="auto"/>
        <w:rPr>
          <w:rFonts w:ascii="宋体" w:hAnsi="宋体" w:cs="宋体"/>
          <w:sz w:val="30"/>
        </w:rPr>
      </w:pPr>
    </w:p>
    <w:p w14:paraId="6DDBF650">
      <w:pPr>
        <w:spacing w:line="360" w:lineRule="auto"/>
        <w:rPr>
          <w:rFonts w:ascii="宋体" w:hAnsi="宋体" w:cs="宋体"/>
        </w:rPr>
      </w:pPr>
    </w:p>
    <w:p w14:paraId="34A424B9">
      <w:pPr>
        <w:spacing w:beforeLines="50" w:line="360" w:lineRule="auto"/>
        <w:rPr>
          <w:rFonts w:ascii="宋体" w:hAnsi="宋体" w:cs="宋体"/>
          <w:sz w:val="30"/>
        </w:rPr>
      </w:pPr>
    </w:p>
    <w:p w14:paraId="11C538EA">
      <w:pPr>
        <w:spacing w:beforeLines="50" w:line="360" w:lineRule="auto"/>
        <w:rPr>
          <w:rFonts w:ascii="宋体" w:hAnsi="宋体" w:cs="宋体"/>
          <w:sz w:val="30"/>
        </w:rPr>
      </w:pPr>
    </w:p>
    <w:p w14:paraId="4B888968">
      <w:pPr>
        <w:pStyle w:val="16"/>
        <w:spacing w:line="360" w:lineRule="auto"/>
        <w:rPr>
          <w:rFonts w:ascii="宋体" w:hAnsi="宋体" w:cs="宋体"/>
          <w:b/>
          <w:bCs/>
        </w:rPr>
      </w:pPr>
      <w:bookmarkStart w:id="0" w:name="_Toc254970489"/>
      <w:bookmarkStart w:id="1" w:name="_Toc254970630"/>
    </w:p>
    <w:p w14:paraId="16548577">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headerReference r:id="rId4" w:type="first"/>
          <w:footerReference r:id="rId6" w:type="first"/>
          <w:headerReference r:id="rId3" w:type="default"/>
          <w:footerReference r:id="rId5" w:type="default"/>
          <w:pgSz w:w="11906" w:h="16838"/>
          <w:pgMar w:top="1134" w:right="1247" w:bottom="1560" w:left="1247" w:header="851" w:footer="992" w:gutter="0"/>
          <w:pgNumType w:start="0"/>
          <w:cols w:space="720" w:num="1"/>
          <w:titlePg/>
          <w:docGrid w:linePitch="312" w:charSpace="0"/>
        </w:sectPr>
      </w:pPr>
      <w:bookmarkStart w:id="2" w:name="_Toc19686829"/>
    </w:p>
    <w:p w14:paraId="797A3F39">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3" w:name="_Toc21788"/>
      <w:bookmarkStart w:id="4" w:name="_Toc31738"/>
      <w:bookmarkStart w:id="5" w:name="_Toc6923"/>
      <w:r>
        <w:rPr>
          <w:rFonts w:hint="eastAsia" w:ascii="宋体" w:hAnsi="宋体" w:cs="宋体"/>
        </w:rPr>
        <w:t>第一章</w:t>
      </w:r>
      <w:bookmarkEnd w:id="0"/>
      <w:bookmarkEnd w:id="1"/>
      <w:bookmarkEnd w:id="2"/>
      <w:bookmarkStart w:id="6" w:name="_Toc28359001"/>
      <w:bookmarkStart w:id="7" w:name="_Toc35393789"/>
      <w:r>
        <w:rPr>
          <w:rFonts w:hint="eastAsia" w:ascii="宋体" w:hAnsi="宋体" w:cs="宋体"/>
        </w:rPr>
        <w:t>招标公告</w:t>
      </w:r>
      <w:bookmarkEnd w:id="3"/>
      <w:bookmarkEnd w:id="4"/>
      <w:bookmarkEnd w:id="5"/>
      <w:bookmarkEnd w:id="6"/>
      <w:bookmarkEnd w:id="7"/>
    </w:p>
    <w:p w14:paraId="52223118">
      <w:pPr>
        <w:spacing w:beforeLines="50" w:afterLines="50" w:line="336" w:lineRule="auto"/>
        <w:jc w:val="center"/>
        <w:rPr>
          <w:rFonts w:ascii="宋体" w:hAnsi="宋体"/>
          <w:b/>
          <w:sz w:val="28"/>
          <w:szCs w:val="28"/>
        </w:rPr>
      </w:pPr>
      <w:r>
        <w:rPr>
          <w:rFonts w:hint="eastAsia" w:ascii="宋体" w:hAnsi="宋体"/>
          <w:b/>
          <w:sz w:val="28"/>
          <w:szCs w:val="28"/>
        </w:rPr>
        <w:t>广西金旺技术管理有限公司</w:t>
      </w:r>
    </w:p>
    <w:p w14:paraId="0F186F9B">
      <w:pPr>
        <w:spacing w:beforeLines="50" w:afterLines="50" w:line="336" w:lineRule="auto"/>
        <w:jc w:val="center"/>
        <w:rPr>
          <w:rFonts w:hint="eastAsia" w:ascii="宋体" w:hAnsi="宋体"/>
          <w:b/>
          <w:sz w:val="24"/>
        </w:rPr>
      </w:pPr>
      <w:r>
        <w:rPr>
          <w:rFonts w:hint="eastAsia" w:ascii="宋体" w:hAnsi="宋体"/>
          <w:b/>
          <w:sz w:val="24"/>
        </w:rPr>
        <w:t>关于2025年度自然资源领域重点业务专业技术服务</w:t>
      </w:r>
    </w:p>
    <w:p w14:paraId="39DEEE44">
      <w:pPr>
        <w:spacing w:beforeLines="50" w:afterLines="50" w:line="336" w:lineRule="auto"/>
        <w:jc w:val="center"/>
        <w:rPr>
          <w:rFonts w:ascii="宋体" w:hAnsi="宋体"/>
          <w:b/>
          <w:sz w:val="24"/>
        </w:rPr>
      </w:pPr>
      <w:r>
        <w:rPr>
          <w:rFonts w:hint="eastAsia" w:ascii="宋体" w:hAnsi="宋体"/>
          <w:b/>
          <w:sz w:val="24"/>
        </w:rPr>
        <w:t>（项目编号：CZZC2026-G3-990039-JWJS）招标公告</w:t>
      </w:r>
    </w:p>
    <w:p w14:paraId="72B165F9">
      <w:pPr>
        <w:pBdr>
          <w:top w:val="single" w:color="auto" w:sz="4" w:space="1"/>
          <w:left w:val="single" w:color="auto" w:sz="4" w:space="4"/>
          <w:bottom w:val="single" w:color="auto" w:sz="4" w:space="1"/>
          <w:right w:val="single" w:color="auto" w:sz="4" w:space="4"/>
        </w:pBdr>
        <w:spacing w:line="348" w:lineRule="auto"/>
        <w:ind w:firstLine="420" w:firstLineChars="200"/>
        <w:rPr>
          <w:rFonts w:ascii="宋体" w:hAnsi="宋体" w:cs="宋体"/>
          <w:szCs w:val="21"/>
        </w:rPr>
      </w:pPr>
      <w:r>
        <w:rPr>
          <w:rFonts w:hint="eastAsia" w:ascii="宋体" w:hAnsi="宋体" w:cs="宋体"/>
          <w:szCs w:val="21"/>
        </w:rPr>
        <w:t>项目概况：</w:t>
      </w:r>
    </w:p>
    <w:p w14:paraId="5F98C35E">
      <w:pPr>
        <w:pBdr>
          <w:top w:val="single" w:color="auto" w:sz="4" w:space="1"/>
          <w:left w:val="single" w:color="auto" w:sz="4" w:space="4"/>
          <w:bottom w:val="single" w:color="auto" w:sz="4" w:space="1"/>
          <w:right w:val="single" w:color="auto" w:sz="4" w:space="4"/>
        </w:pBdr>
        <w:spacing w:line="348" w:lineRule="auto"/>
        <w:ind w:firstLine="420" w:firstLineChars="200"/>
        <w:rPr>
          <w:rFonts w:ascii="宋体" w:hAnsi="宋体" w:cs="宋体"/>
          <w:bCs/>
          <w:szCs w:val="21"/>
        </w:rPr>
      </w:pPr>
      <w:r>
        <w:rPr>
          <w:rFonts w:hint="eastAsia" w:ascii="宋体" w:hAnsi="宋体" w:cs="宋体"/>
          <w:bCs/>
          <w:szCs w:val="21"/>
          <w:u w:val="single"/>
        </w:rPr>
        <w:t>2025年度自然资源领域重点业务专业技术服务</w:t>
      </w:r>
      <w:r>
        <w:rPr>
          <w:rFonts w:hint="eastAsia" w:ascii="宋体" w:hAnsi="宋体" w:cs="宋体"/>
          <w:bCs/>
          <w:szCs w:val="21"/>
        </w:rPr>
        <w:t>的潜在投标人</w:t>
      </w:r>
      <w:r>
        <w:rPr>
          <w:rFonts w:hint="eastAsia" w:ascii="宋体" w:hAnsi="宋体" w:cs="宋体"/>
          <w:szCs w:val="21"/>
        </w:rPr>
        <w:t>应登录</w:t>
      </w:r>
      <w:r>
        <w:rPr>
          <w:rFonts w:hint="eastAsia" w:ascii="宋体" w:hAnsi="宋体" w:cs="宋体"/>
          <w:szCs w:val="21"/>
          <w:u w:val="single"/>
        </w:rPr>
        <w:t>广西政府采购云平台线上</w:t>
      </w:r>
      <w:r>
        <w:rPr>
          <w:rFonts w:hint="eastAsia" w:ascii="宋体" w:hAnsi="宋体" w:cs="宋体"/>
          <w:szCs w:val="21"/>
        </w:rPr>
        <w:t>获取招标文件，</w:t>
      </w:r>
      <w:r>
        <w:rPr>
          <w:rFonts w:hint="eastAsia" w:ascii="宋体" w:hAnsi="宋体" w:cs="宋体"/>
          <w:bCs/>
          <w:szCs w:val="21"/>
          <w:highlight w:val="none"/>
        </w:rPr>
        <w:t>并于2026年</w:t>
      </w:r>
      <w:r>
        <w:rPr>
          <w:rFonts w:hint="eastAsia" w:ascii="宋体" w:hAnsi="宋体" w:cs="宋体"/>
          <w:bCs/>
          <w:szCs w:val="21"/>
          <w:highlight w:val="none"/>
          <w:lang w:val="en-US" w:eastAsia="zh-CN"/>
        </w:rPr>
        <w:t>4</w:t>
      </w:r>
      <w:r>
        <w:rPr>
          <w:rFonts w:hint="eastAsia" w:ascii="宋体" w:hAnsi="宋体" w:cs="宋体"/>
          <w:bCs/>
          <w:szCs w:val="21"/>
          <w:highlight w:val="none"/>
        </w:rPr>
        <w:t>月</w:t>
      </w:r>
      <w:r>
        <w:rPr>
          <w:rFonts w:hint="eastAsia" w:ascii="宋体" w:hAnsi="宋体" w:cs="宋体"/>
          <w:bCs/>
          <w:szCs w:val="21"/>
          <w:highlight w:val="none"/>
          <w:lang w:val="en-US" w:eastAsia="zh-CN"/>
        </w:rPr>
        <w:t>29</w:t>
      </w:r>
      <w:r>
        <w:rPr>
          <w:rFonts w:hint="eastAsia" w:ascii="宋体" w:hAnsi="宋体" w:cs="宋体"/>
          <w:bCs/>
          <w:szCs w:val="21"/>
          <w:highlight w:val="none"/>
        </w:rPr>
        <w:t>日</w:t>
      </w:r>
      <w:r>
        <w:rPr>
          <w:rFonts w:hint="eastAsia" w:ascii="宋体" w:hAnsi="宋体" w:cs="宋体"/>
          <w:bCs/>
          <w:szCs w:val="21"/>
          <w:highlight w:val="none"/>
          <w:lang w:val="en-US" w:eastAsia="zh-CN"/>
        </w:rPr>
        <w:t>9</w:t>
      </w:r>
      <w:r>
        <w:rPr>
          <w:rFonts w:hint="eastAsia" w:ascii="宋体" w:hAnsi="宋体" w:cs="宋体"/>
          <w:bCs/>
          <w:szCs w:val="21"/>
          <w:highlight w:val="none"/>
        </w:rPr>
        <w:t>时</w:t>
      </w:r>
      <w:r>
        <w:rPr>
          <w:rFonts w:hint="eastAsia" w:ascii="宋体" w:hAnsi="宋体" w:cs="宋体"/>
          <w:bCs/>
          <w:szCs w:val="21"/>
          <w:highlight w:val="none"/>
          <w:lang w:val="en-US" w:eastAsia="zh-CN"/>
        </w:rPr>
        <w:t>30</w:t>
      </w:r>
      <w:r>
        <w:rPr>
          <w:rFonts w:hint="eastAsia" w:ascii="宋体" w:hAnsi="宋体" w:cs="宋体"/>
          <w:bCs/>
          <w:szCs w:val="21"/>
          <w:highlight w:val="none"/>
        </w:rPr>
        <w:t>分</w:t>
      </w:r>
      <w:r>
        <w:rPr>
          <w:rFonts w:hint="eastAsia" w:ascii="宋体" w:hAnsi="宋体" w:cs="宋体"/>
          <w:bCs/>
          <w:szCs w:val="21"/>
        </w:rPr>
        <w:t>（北京时间）前递交投标文件。</w:t>
      </w:r>
    </w:p>
    <w:p w14:paraId="075570F3">
      <w:pPr>
        <w:spacing w:line="360" w:lineRule="auto"/>
        <w:rPr>
          <w:b/>
          <w:bCs/>
          <w:szCs w:val="21"/>
        </w:rPr>
      </w:pPr>
      <w:bookmarkStart w:id="8" w:name="_Toc28359089"/>
      <w:bookmarkStart w:id="9" w:name="_Toc35393629"/>
      <w:bookmarkStart w:id="10" w:name="_Toc35393798"/>
      <w:bookmarkStart w:id="11" w:name="_Toc28359012"/>
      <w:bookmarkStart w:id="12" w:name="_Toc35393791"/>
      <w:bookmarkStart w:id="13" w:name="_Toc28359080"/>
      <w:bookmarkStart w:id="14" w:name="_Toc28359003"/>
      <w:bookmarkStart w:id="15" w:name="_Toc7781"/>
      <w:bookmarkStart w:id="16" w:name="_Toc35393622"/>
      <w:bookmarkStart w:id="17" w:name="_Toc27203"/>
      <w:r>
        <w:rPr>
          <w:rFonts w:hint="eastAsia" w:ascii="宋体" w:hAnsi="宋体" w:cs="宋体"/>
          <w:b/>
          <w:bCs/>
          <w:szCs w:val="21"/>
        </w:rPr>
        <w:t>一</w:t>
      </w:r>
      <w:r>
        <w:rPr>
          <w:rFonts w:hint="eastAsia"/>
          <w:b/>
          <w:bCs/>
          <w:szCs w:val="21"/>
        </w:rPr>
        <w:t>、项目基本情况</w:t>
      </w:r>
      <w:bookmarkEnd w:id="8"/>
      <w:bookmarkEnd w:id="9"/>
      <w:bookmarkEnd w:id="10"/>
      <w:bookmarkEnd w:id="11"/>
      <w:r>
        <w:rPr>
          <w:rFonts w:hint="eastAsia"/>
          <w:b/>
          <w:bCs/>
          <w:szCs w:val="21"/>
        </w:rPr>
        <w:t>：</w:t>
      </w:r>
    </w:p>
    <w:p w14:paraId="6F6C8D30">
      <w:pPr>
        <w:spacing w:line="360" w:lineRule="auto"/>
        <w:ind w:firstLine="420" w:firstLineChars="200"/>
        <w:rPr>
          <w:rFonts w:hint="eastAsia" w:ascii="宋体" w:hAnsi="宋体" w:cs="宋体"/>
          <w:bCs/>
          <w:szCs w:val="21"/>
        </w:rPr>
      </w:pPr>
      <w:r>
        <w:rPr>
          <w:rFonts w:hint="eastAsia"/>
          <w:szCs w:val="21"/>
        </w:rPr>
        <w:t>1.项目编号：</w:t>
      </w:r>
      <w:r>
        <w:rPr>
          <w:rFonts w:hint="eastAsia" w:ascii="宋体" w:hAnsi="宋体" w:cs="宋体"/>
          <w:bCs/>
          <w:szCs w:val="21"/>
        </w:rPr>
        <w:t>CZZC2026-G3-990039-JWJS</w:t>
      </w:r>
    </w:p>
    <w:p w14:paraId="3ED57606">
      <w:pPr>
        <w:spacing w:line="360" w:lineRule="auto"/>
        <w:ind w:firstLine="420" w:firstLineChars="200"/>
        <w:rPr>
          <w:szCs w:val="21"/>
        </w:rPr>
      </w:pPr>
      <w:r>
        <w:rPr>
          <w:rFonts w:hint="eastAsia"/>
          <w:szCs w:val="21"/>
        </w:rPr>
        <w:t>2.项目名称：</w:t>
      </w:r>
      <w:r>
        <w:rPr>
          <w:rFonts w:hint="eastAsia" w:ascii="宋体" w:hAnsi="宋体" w:cs="宋体"/>
          <w:bCs/>
          <w:szCs w:val="21"/>
        </w:rPr>
        <w:t>2025年度自然资源领域重点业务专业技术服务。</w:t>
      </w:r>
    </w:p>
    <w:p w14:paraId="0C506555">
      <w:pPr>
        <w:spacing w:line="360" w:lineRule="auto"/>
        <w:ind w:firstLine="420" w:firstLineChars="200"/>
        <w:rPr>
          <w:szCs w:val="21"/>
        </w:rPr>
      </w:pPr>
      <w:r>
        <w:rPr>
          <w:rFonts w:hint="eastAsia"/>
          <w:szCs w:val="21"/>
        </w:rPr>
        <w:t>3.采购方式：公开招标。</w:t>
      </w:r>
    </w:p>
    <w:p w14:paraId="201AE522">
      <w:pPr>
        <w:spacing w:line="360" w:lineRule="auto"/>
        <w:ind w:firstLine="420" w:firstLineChars="200"/>
        <w:rPr>
          <w:szCs w:val="21"/>
        </w:rPr>
      </w:pPr>
      <w:r>
        <w:rPr>
          <w:rFonts w:hint="eastAsia"/>
          <w:szCs w:val="21"/>
        </w:rPr>
        <w:t>4.采购预算金额：人民币陆佰柒拾叁万元整（¥6730000.00）。</w:t>
      </w:r>
    </w:p>
    <w:p w14:paraId="77E232CE">
      <w:pPr>
        <w:spacing w:line="360" w:lineRule="auto"/>
        <w:ind w:firstLine="420" w:firstLineChars="200"/>
        <w:rPr>
          <w:szCs w:val="21"/>
        </w:rPr>
      </w:pPr>
      <w:r>
        <w:rPr>
          <w:rFonts w:hint="eastAsia"/>
          <w:szCs w:val="21"/>
        </w:rPr>
        <w:t>5.最高限价：人民币陆佰柒拾叁万元整（¥6730000.00）。</w:t>
      </w:r>
    </w:p>
    <w:p w14:paraId="45AE3C59">
      <w:pPr>
        <w:spacing w:line="360" w:lineRule="auto"/>
        <w:ind w:firstLine="420" w:firstLineChars="200"/>
        <w:rPr>
          <w:szCs w:val="21"/>
          <w:lang w:bidi="hi-IN"/>
        </w:rPr>
      </w:pPr>
      <w:r>
        <w:rPr>
          <w:rFonts w:hint="eastAsia"/>
          <w:szCs w:val="21"/>
          <w:lang w:bidi="hi-IN"/>
        </w:rPr>
        <w:t>6.采购需求：本项目包含</w:t>
      </w:r>
      <w:r>
        <w:rPr>
          <w:rFonts w:hint="eastAsia"/>
          <w:szCs w:val="21"/>
        </w:rPr>
        <w:t>耕地保护卫片监测执法技术服务，违法用地线索核查技术服务，耕地破坏鉴定技术服务，补充耕地指标核查技术服务，耕地资源分区分类评价（耕地资源质量分类年度更新与监测）技术服务，新增耕地图斑地类认定技术服务，日常变更及年度变更图斑审核技术服务，城市国土空间监测技术服务，土地资源资产价值有偿使用工作技术服务，产业园区土地集约节约利用监测统计更新技术服务，土地征收社会稳定风险评估，节地专章踏勘论证、永久基本农田踏勘论证技术服务，纠纷调处测绘技术服务，权属面积审核技术服务，城市规划区内建设项目用地规划前期技术服务，国土空间综合整治项目方案审查技术服务，临时用地土地复垦、矿山生态修复方案及工程审查验收技术服务，采矿权出让前期工作及矿产资源管理涉及的各类技术报告审查技术服务等工作，如需进一步了解详细内容，详见招标文件。</w:t>
      </w:r>
    </w:p>
    <w:p w14:paraId="74F60AE2">
      <w:pPr>
        <w:spacing w:line="360" w:lineRule="auto"/>
        <w:ind w:firstLine="420" w:firstLineChars="200"/>
        <w:rPr>
          <w:rFonts w:hint="eastAsia"/>
          <w:szCs w:val="21"/>
        </w:rPr>
      </w:pPr>
      <w:r>
        <w:rPr>
          <w:rFonts w:hint="eastAsia"/>
          <w:szCs w:val="21"/>
        </w:rPr>
        <w:t>7.合同履行期限：</w:t>
      </w:r>
      <w:r>
        <w:rPr>
          <w:rFonts w:hint="eastAsia"/>
          <w:color w:val="auto"/>
          <w:szCs w:val="21"/>
        </w:rPr>
        <w:t>自合同签订之日起12个</w:t>
      </w:r>
      <w:r>
        <w:rPr>
          <w:rFonts w:hint="eastAsia"/>
          <w:color w:val="auto"/>
          <w:szCs w:val="21"/>
          <w:lang w:eastAsia="zh-CN"/>
        </w:rPr>
        <w:t>月内</w:t>
      </w:r>
      <w:r>
        <w:rPr>
          <w:rFonts w:hint="eastAsia"/>
          <w:color w:val="auto"/>
          <w:szCs w:val="21"/>
        </w:rPr>
        <w:t>完成所有服务工作内容，在履行期间</w:t>
      </w:r>
      <w:r>
        <w:rPr>
          <w:rFonts w:hint="eastAsia"/>
          <w:color w:val="auto"/>
          <w:szCs w:val="21"/>
          <w:lang w:eastAsia="zh-CN"/>
        </w:rPr>
        <w:t>如</w:t>
      </w:r>
      <w:r>
        <w:rPr>
          <w:rFonts w:hint="eastAsia"/>
          <w:color w:val="auto"/>
          <w:szCs w:val="21"/>
        </w:rPr>
        <w:t>遇国家或广西壮族自治区自然资源领域政策调整（如耕地保护、卫片执法、国土空间监测新规），按最新政策执行，期限可根据政策要求相应顺延（顺延时间不超过30个工作日，需双方书面确认）。</w:t>
      </w:r>
    </w:p>
    <w:p w14:paraId="61302A48">
      <w:pPr>
        <w:spacing w:line="360" w:lineRule="auto"/>
        <w:ind w:firstLine="420" w:firstLineChars="200"/>
        <w:rPr>
          <w:szCs w:val="21"/>
        </w:rPr>
      </w:pPr>
      <w:r>
        <w:rPr>
          <w:rFonts w:hint="eastAsia"/>
          <w:szCs w:val="21"/>
        </w:rPr>
        <w:t>8.本项目不接受联合体投标。</w:t>
      </w:r>
    </w:p>
    <w:p w14:paraId="263C35ED">
      <w:pPr>
        <w:pStyle w:val="4"/>
        <w:spacing w:before="0" w:after="0" w:line="348" w:lineRule="auto"/>
        <w:rPr>
          <w:rFonts w:ascii="宋体" w:hAnsi="宋体" w:eastAsia="宋体"/>
          <w:sz w:val="21"/>
          <w:szCs w:val="21"/>
        </w:rPr>
      </w:pPr>
      <w:bookmarkStart w:id="18" w:name="_Toc26055"/>
      <w:r>
        <w:rPr>
          <w:rFonts w:hint="eastAsia" w:ascii="宋体" w:hAnsi="宋体" w:eastAsia="宋体"/>
          <w:sz w:val="21"/>
          <w:szCs w:val="21"/>
        </w:rPr>
        <w:t>二、申请人的资格要求</w:t>
      </w:r>
      <w:bookmarkEnd w:id="12"/>
      <w:bookmarkEnd w:id="13"/>
      <w:bookmarkEnd w:id="14"/>
      <w:bookmarkEnd w:id="15"/>
      <w:bookmarkEnd w:id="16"/>
      <w:bookmarkEnd w:id="17"/>
      <w:bookmarkEnd w:id="18"/>
    </w:p>
    <w:p w14:paraId="222D9926">
      <w:pPr>
        <w:spacing w:line="348" w:lineRule="auto"/>
        <w:ind w:firstLine="420" w:firstLineChars="200"/>
        <w:rPr>
          <w:rFonts w:ascii="宋体" w:hAnsi="宋体" w:cs="宋体"/>
        </w:rPr>
      </w:pPr>
      <w:bookmarkStart w:id="19" w:name="_Toc35393623"/>
      <w:bookmarkStart w:id="20" w:name="_Toc28359081"/>
      <w:bookmarkStart w:id="21" w:name="_Toc28359004"/>
      <w:bookmarkStart w:id="22" w:name="_Toc35393792"/>
      <w:bookmarkStart w:id="23" w:name="_Toc31381"/>
      <w:r>
        <w:rPr>
          <w:rFonts w:hint="eastAsia" w:ascii="宋体" w:hAnsi="宋体" w:cs="宋体"/>
        </w:rPr>
        <w:t>1.满足《中华人民共和国政府采购法》第二十二条规定。</w:t>
      </w:r>
    </w:p>
    <w:p w14:paraId="14DC57B8">
      <w:pPr>
        <w:spacing w:line="348" w:lineRule="auto"/>
        <w:ind w:firstLine="420" w:firstLineChars="200"/>
        <w:rPr>
          <w:rFonts w:ascii="宋体" w:hAnsi="宋体" w:cs="宋体"/>
          <w:highlight w:val="none"/>
        </w:rPr>
      </w:pPr>
      <w:r>
        <w:rPr>
          <w:rFonts w:hint="eastAsia" w:ascii="宋体" w:hAnsi="宋体" w:cs="宋体"/>
        </w:rPr>
        <w:t>2.落实政府采购政策需满足的资格要</w:t>
      </w:r>
      <w:r>
        <w:rPr>
          <w:rFonts w:hint="eastAsia" w:ascii="宋体" w:hAnsi="宋体" w:cs="宋体"/>
          <w:highlight w:val="none"/>
        </w:rPr>
        <w:t>求：本项目专门面向中小企业采购，采购预留份额100%。</w:t>
      </w:r>
    </w:p>
    <w:p w14:paraId="107AAAB4">
      <w:pPr>
        <w:spacing w:line="348" w:lineRule="auto"/>
        <w:ind w:firstLine="420" w:firstLineChars="200"/>
        <w:rPr>
          <w:rFonts w:ascii="宋体" w:hAnsi="宋体" w:cs="宋体"/>
          <w:highlight w:val="none"/>
        </w:rPr>
      </w:pPr>
      <w:r>
        <w:rPr>
          <w:rFonts w:hint="eastAsia" w:ascii="宋体" w:hAnsi="宋体" w:cs="宋体"/>
          <w:highlight w:val="none"/>
        </w:rPr>
        <w:t>3.本项目的特定资格要求：具备乙级以上（含乙级）测绘资质（专业范围需包含</w:t>
      </w:r>
      <w:r>
        <w:rPr>
          <w:rFonts w:hint="eastAsia" w:ascii="宋体" w:hAnsi="宋体" w:cs="宋体"/>
          <w:highlight w:val="none"/>
          <w:lang w:val="en-US" w:eastAsia="zh-CN"/>
        </w:rPr>
        <w:t>大地测量、</w:t>
      </w:r>
      <w:r>
        <w:rPr>
          <w:rFonts w:hint="eastAsia" w:ascii="宋体" w:hAnsi="宋体" w:cs="宋体"/>
          <w:highlight w:val="none"/>
        </w:rPr>
        <w:t>界线与不动产测绘、</w:t>
      </w:r>
      <w:r>
        <w:rPr>
          <w:rFonts w:hint="eastAsia" w:ascii="宋体" w:hAnsi="宋体" w:cs="宋体"/>
          <w:highlight w:val="none"/>
          <w:lang w:val="en-US" w:eastAsia="zh-CN"/>
        </w:rPr>
        <w:t>测绘航空摄影、摄影测量与遥感、</w:t>
      </w:r>
      <w:r>
        <w:rPr>
          <w:rFonts w:hint="eastAsia" w:ascii="宋体" w:hAnsi="宋体" w:cs="宋体"/>
          <w:highlight w:val="none"/>
        </w:rPr>
        <w:t>地理信息系统工程等，且证书需在有效期内且无行政处罚记录），且在人员、设备、资金等方面具有相应的能力。</w:t>
      </w:r>
    </w:p>
    <w:p w14:paraId="0718F328">
      <w:pPr>
        <w:pStyle w:val="4"/>
        <w:spacing w:before="0" w:after="0" w:line="348" w:lineRule="auto"/>
        <w:rPr>
          <w:rFonts w:ascii="宋体" w:hAnsi="宋体" w:eastAsia="宋体"/>
          <w:sz w:val="21"/>
          <w:szCs w:val="21"/>
          <w:highlight w:val="none"/>
        </w:rPr>
      </w:pPr>
      <w:bookmarkStart w:id="24" w:name="_Toc27996"/>
      <w:bookmarkStart w:id="25" w:name="_Toc323"/>
      <w:r>
        <w:rPr>
          <w:rFonts w:hint="eastAsia" w:ascii="宋体" w:hAnsi="宋体" w:eastAsia="宋体"/>
          <w:sz w:val="21"/>
          <w:szCs w:val="21"/>
          <w:highlight w:val="none"/>
        </w:rPr>
        <w:t>三、获取招标文件</w:t>
      </w:r>
      <w:bookmarkEnd w:id="19"/>
      <w:bookmarkEnd w:id="20"/>
      <w:bookmarkEnd w:id="21"/>
      <w:bookmarkEnd w:id="22"/>
      <w:bookmarkEnd w:id="23"/>
      <w:bookmarkEnd w:id="24"/>
      <w:bookmarkEnd w:id="25"/>
    </w:p>
    <w:p w14:paraId="0F0E1D99">
      <w:pPr>
        <w:spacing w:line="348" w:lineRule="auto"/>
        <w:ind w:firstLine="420" w:firstLineChars="200"/>
        <w:rPr>
          <w:szCs w:val="21"/>
          <w:highlight w:val="none"/>
        </w:rPr>
      </w:pPr>
      <w:r>
        <w:rPr>
          <w:rFonts w:hint="eastAsia"/>
          <w:szCs w:val="21"/>
          <w:highlight w:val="none"/>
        </w:rPr>
        <w:t>1.时间：2026年</w:t>
      </w:r>
      <w:r>
        <w:rPr>
          <w:rFonts w:hint="eastAsia"/>
          <w:szCs w:val="21"/>
          <w:highlight w:val="none"/>
          <w:lang w:val="en-US" w:eastAsia="zh-CN"/>
        </w:rPr>
        <w:t>4</w:t>
      </w:r>
      <w:r>
        <w:rPr>
          <w:rFonts w:hint="eastAsia"/>
          <w:szCs w:val="21"/>
          <w:highlight w:val="none"/>
        </w:rPr>
        <w:t>月</w:t>
      </w:r>
      <w:r>
        <w:rPr>
          <w:rFonts w:hint="eastAsia"/>
          <w:szCs w:val="21"/>
          <w:highlight w:val="none"/>
          <w:lang w:val="en-US" w:eastAsia="zh-CN"/>
        </w:rPr>
        <w:t>3</w:t>
      </w:r>
      <w:r>
        <w:rPr>
          <w:rFonts w:hint="eastAsia"/>
          <w:szCs w:val="21"/>
          <w:highlight w:val="none"/>
        </w:rPr>
        <w:t>日起至2026年</w:t>
      </w:r>
      <w:r>
        <w:rPr>
          <w:rFonts w:hint="eastAsia"/>
          <w:szCs w:val="21"/>
          <w:highlight w:val="none"/>
          <w:lang w:val="en-US" w:eastAsia="zh-CN"/>
        </w:rPr>
        <w:t>4</w:t>
      </w:r>
      <w:r>
        <w:rPr>
          <w:rFonts w:hint="eastAsia"/>
          <w:szCs w:val="21"/>
          <w:highlight w:val="none"/>
        </w:rPr>
        <w:t>月</w:t>
      </w:r>
      <w:r>
        <w:rPr>
          <w:rFonts w:hint="eastAsia"/>
          <w:szCs w:val="21"/>
          <w:highlight w:val="none"/>
          <w:lang w:val="en-US" w:eastAsia="zh-CN"/>
        </w:rPr>
        <w:t>13</w:t>
      </w:r>
      <w:r>
        <w:rPr>
          <w:rFonts w:hint="eastAsia"/>
          <w:szCs w:val="21"/>
          <w:highlight w:val="none"/>
        </w:rPr>
        <w:t>日。</w:t>
      </w:r>
    </w:p>
    <w:p w14:paraId="7CAEB299">
      <w:pPr>
        <w:spacing w:line="348" w:lineRule="auto"/>
        <w:ind w:firstLine="420" w:firstLineChars="200"/>
        <w:rPr>
          <w:szCs w:val="21"/>
          <w:highlight w:val="none"/>
        </w:rPr>
      </w:pPr>
      <w:r>
        <w:rPr>
          <w:rFonts w:hint="eastAsia"/>
          <w:szCs w:val="21"/>
          <w:highlight w:val="none"/>
        </w:rPr>
        <w:t>2.地点：广西政府采购云平台线上。</w:t>
      </w:r>
    </w:p>
    <w:p w14:paraId="530A8715">
      <w:pPr>
        <w:spacing w:line="348" w:lineRule="auto"/>
        <w:ind w:firstLine="420" w:firstLineChars="200"/>
        <w:rPr>
          <w:szCs w:val="21"/>
          <w:highlight w:val="none"/>
        </w:rPr>
      </w:pPr>
      <w:r>
        <w:rPr>
          <w:rFonts w:hint="eastAsia"/>
          <w:szCs w:val="21"/>
          <w:highlight w:val="none"/>
        </w:rPr>
        <w:t>3.方式：供应商登录广西政府采购云平台（https://www.gcy.zfcg.gxzf.gov.cn/）在线申请获取招标文件（进入“项目采购”应用，在获取招标文件菜单中选择项目，申请获取招标文件）。</w:t>
      </w:r>
    </w:p>
    <w:p w14:paraId="4320529D">
      <w:pPr>
        <w:pStyle w:val="4"/>
        <w:spacing w:before="0" w:after="0" w:line="348" w:lineRule="auto"/>
        <w:rPr>
          <w:rFonts w:ascii="宋体" w:hAnsi="宋体" w:eastAsia="宋体"/>
          <w:sz w:val="21"/>
          <w:szCs w:val="21"/>
          <w:highlight w:val="none"/>
        </w:rPr>
      </w:pPr>
      <w:bookmarkStart w:id="26" w:name="_Toc28359005"/>
      <w:bookmarkStart w:id="27" w:name="_Toc28359082"/>
      <w:bookmarkStart w:id="28" w:name="_Toc19351"/>
      <w:bookmarkStart w:id="29" w:name="_Toc4144"/>
      <w:bookmarkStart w:id="30" w:name="_Toc35393793"/>
      <w:bookmarkStart w:id="31" w:name="_Toc35393624"/>
      <w:bookmarkStart w:id="32" w:name="_Toc28095"/>
      <w:r>
        <w:rPr>
          <w:rFonts w:hint="eastAsia" w:ascii="宋体" w:hAnsi="宋体" w:eastAsia="宋体"/>
          <w:sz w:val="21"/>
          <w:szCs w:val="21"/>
          <w:highlight w:val="none"/>
        </w:rPr>
        <w:t>四、提交投标文件</w:t>
      </w:r>
      <w:bookmarkEnd w:id="26"/>
      <w:bookmarkEnd w:id="27"/>
      <w:r>
        <w:rPr>
          <w:rFonts w:hint="eastAsia" w:ascii="宋体" w:hAnsi="宋体" w:eastAsia="宋体"/>
          <w:sz w:val="21"/>
          <w:szCs w:val="21"/>
          <w:highlight w:val="none"/>
        </w:rPr>
        <w:t>截止时间、开标时间和地点</w:t>
      </w:r>
      <w:bookmarkEnd w:id="28"/>
      <w:bookmarkEnd w:id="29"/>
      <w:bookmarkEnd w:id="30"/>
      <w:bookmarkEnd w:id="31"/>
      <w:bookmarkEnd w:id="32"/>
    </w:p>
    <w:p w14:paraId="54F00AAA">
      <w:pPr>
        <w:widowControl/>
        <w:spacing w:line="348" w:lineRule="auto"/>
        <w:ind w:firstLine="420" w:firstLineChars="200"/>
        <w:rPr>
          <w:szCs w:val="21"/>
          <w:highlight w:val="none"/>
        </w:rPr>
      </w:pPr>
      <w:r>
        <w:rPr>
          <w:rFonts w:hint="eastAsia"/>
          <w:szCs w:val="21"/>
          <w:highlight w:val="none"/>
        </w:rPr>
        <w:t>提交投标文件截止时间：</w:t>
      </w:r>
      <w:r>
        <w:rPr>
          <w:rFonts w:hint="eastAsia" w:ascii="宋体" w:hAnsi="宋体" w:cs="宋体"/>
          <w:bCs/>
          <w:szCs w:val="21"/>
          <w:highlight w:val="none"/>
        </w:rPr>
        <w:t>2026年</w:t>
      </w:r>
      <w:r>
        <w:rPr>
          <w:rFonts w:hint="eastAsia" w:ascii="宋体" w:hAnsi="宋体" w:cs="宋体"/>
          <w:bCs/>
          <w:szCs w:val="21"/>
          <w:highlight w:val="none"/>
          <w:lang w:val="en-US" w:eastAsia="zh-CN"/>
        </w:rPr>
        <w:t>4</w:t>
      </w:r>
      <w:r>
        <w:rPr>
          <w:rFonts w:hint="eastAsia" w:ascii="宋体" w:hAnsi="宋体" w:cs="宋体"/>
          <w:bCs/>
          <w:szCs w:val="21"/>
          <w:highlight w:val="none"/>
        </w:rPr>
        <w:t>月</w:t>
      </w:r>
      <w:r>
        <w:rPr>
          <w:rFonts w:hint="eastAsia" w:ascii="宋体" w:hAnsi="宋体" w:cs="宋体"/>
          <w:bCs/>
          <w:szCs w:val="21"/>
          <w:highlight w:val="none"/>
          <w:lang w:val="en-US" w:eastAsia="zh-CN"/>
        </w:rPr>
        <w:t>29</w:t>
      </w:r>
      <w:r>
        <w:rPr>
          <w:rFonts w:hint="eastAsia" w:ascii="宋体" w:hAnsi="宋体" w:cs="宋体"/>
          <w:bCs/>
          <w:szCs w:val="21"/>
          <w:highlight w:val="none"/>
        </w:rPr>
        <w:t>日</w:t>
      </w:r>
      <w:r>
        <w:rPr>
          <w:rFonts w:hint="eastAsia" w:ascii="宋体" w:hAnsi="宋体" w:cs="宋体"/>
          <w:bCs/>
          <w:szCs w:val="21"/>
          <w:highlight w:val="none"/>
          <w:lang w:val="en-US" w:eastAsia="zh-CN"/>
        </w:rPr>
        <w:t>9</w:t>
      </w:r>
      <w:r>
        <w:rPr>
          <w:rFonts w:hint="eastAsia" w:ascii="宋体" w:hAnsi="宋体" w:cs="宋体"/>
          <w:bCs/>
          <w:szCs w:val="21"/>
          <w:highlight w:val="none"/>
        </w:rPr>
        <w:t>时</w:t>
      </w:r>
      <w:r>
        <w:rPr>
          <w:rFonts w:hint="eastAsia" w:ascii="宋体" w:hAnsi="宋体" w:cs="宋体"/>
          <w:bCs/>
          <w:szCs w:val="21"/>
          <w:highlight w:val="none"/>
          <w:lang w:val="en-US" w:eastAsia="zh-CN"/>
        </w:rPr>
        <w:t>30</w:t>
      </w:r>
      <w:r>
        <w:rPr>
          <w:rFonts w:hint="eastAsia" w:ascii="宋体" w:hAnsi="宋体" w:cs="宋体"/>
          <w:bCs/>
          <w:szCs w:val="21"/>
          <w:highlight w:val="none"/>
        </w:rPr>
        <w:t>分</w:t>
      </w:r>
      <w:r>
        <w:rPr>
          <w:rFonts w:hint="eastAsia"/>
          <w:szCs w:val="21"/>
          <w:highlight w:val="none"/>
        </w:rPr>
        <w:t>（北京时间）</w:t>
      </w:r>
    </w:p>
    <w:p w14:paraId="79F47431">
      <w:pPr>
        <w:widowControl/>
        <w:spacing w:line="348" w:lineRule="auto"/>
        <w:ind w:firstLine="420" w:firstLineChars="200"/>
        <w:rPr>
          <w:szCs w:val="21"/>
          <w:highlight w:val="none"/>
        </w:rPr>
      </w:pPr>
      <w:r>
        <w:rPr>
          <w:rFonts w:hint="eastAsia"/>
          <w:szCs w:val="21"/>
          <w:highlight w:val="none"/>
        </w:rPr>
        <w:t>投标地点（网址）：</w:t>
      </w:r>
      <w:r>
        <w:rPr>
          <w:rFonts w:hint="eastAsia" w:ascii="宋体" w:hAnsi="宋体" w:cs="宋体"/>
          <w:highlight w:val="none"/>
        </w:rPr>
        <w:t>通过广西政府采购云平台实行在线投标。</w:t>
      </w:r>
      <w:r>
        <w:rPr>
          <w:rFonts w:hint="eastAsia"/>
          <w:szCs w:val="21"/>
          <w:highlight w:val="none"/>
        </w:rPr>
        <w:t> </w:t>
      </w:r>
    </w:p>
    <w:p w14:paraId="2B2A6D28">
      <w:pPr>
        <w:widowControl/>
        <w:spacing w:line="348" w:lineRule="auto"/>
        <w:ind w:firstLine="420" w:firstLineChars="200"/>
        <w:rPr>
          <w:szCs w:val="21"/>
          <w:highlight w:val="none"/>
        </w:rPr>
      </w:pPr>
      <w:r>
        <w:rPr>
          <w:rFonts w:hint="eastAsia"/>
          <w:szCs w:val="21"/>
          <w:highlight w:val="none"/>
        </w:rPr>
        <w:t>开标时间：</w:t>
      </w:r>
      <w:r>
        <w:rPr>
          <w:rFonts w:hint="eastAsia" w:ascii="宋体" w:hAnsi="宋体" w:cs="宋体"/>
          <w:bCs/>
          <w:szCs w:val="21"/>
          <w:highlight w:val="none"/>
        </w:rPr>
        <w:t>2026年</w:t>
      </w:r>
      <w:r>
        <w:rPr>
          <w:rFonts w:hint="eastAsia" w:ascii="宋体" w:hAnsi="宋体" w:cs="宋体"/>
          <w:bCs/>
          <w:szCs w:val="21"/>
          <w:highlight w:val="none"/>
          <w:lang w:val="en-US" w:eastAsia="zh-CN"/>
        </w:rPr>
        <w:t>4</w:t>
      </w:r>
      <w:r>
        <w:rPr>
          <w:rFonts w:hint="eastAsia" w:ascii="宋体" w:hAnsi="宋体" w:cs="宋体"/>
          <w:bCs/>
          <w:szCs w:val="21"/>
          <w:highlight w:val="none"/>
        </w:rPr>
        <w:t>月</w:t>
      </w:r>
      <w:r>
        <w:rPr>
          <w:rFonts w:hint="eastAsia" w:ascii="宋体" w:hAnsi="宋体" w:cs="宋体"/>
          <w:bCs/>
          <w:szCs w:val="21"/>
          <w:highlight w:val="none"/>
          <w:lang w:val="en-US" w:eastAsia="zh-CN"/>
        </w:rPr>
        <w:t>29</w:t>
      </w:r>
      <w:r>
        <w:rPr>
          <w:rFonts w:hint="eastAsia" w:ascii="宋体" w:hAnsi="宋体" w:cs="宋体"/>
          <w:bCs/>
          <w:szCs w:val="21"/>
          <w:highlight w:val="none"/>
        </w:rPr>
        <w:t>日</w:t>
      </w:r>
      <w:r>
        <w:rPr>
          <w:rFonts w:hint="eastAsia" w:ascii="宋体" w:hAnsi="宋体" w:cs="宋体"/>
          <w:bCs/>
          <w:szCs w:val="21"/>
          <w:highlight w:val="none"/>
          <w:lang w:val="en-US" w:eastAsia="zh-CN"/>
        </w:rPr>
        <w:t>9</w:t>
      </w:r>
      <w:r>
        <w:rPr>
          <w:rFonts w:hint="eastAsia" w:ascii="宋体" w:hAnsi="宋体" w:cs="宋体"/>
          <w:bCs/>
          <w:szCs w:val="21"/>
          <w:highlight w:val="none"/>
        </w:rPr>
        <w:t>时</w:t>
      </w:r>
      <w:r>
        <w:rPr>
          <w:rFonts w:hint="eastAsia" w:ascii="宋体" w:hAnsi="宋体" w:cs="宋体"/>
          <w:bCs/>
          <w:szCs w:val="21"/>
          <w:highlight w:val="none"/>
          <w:lang w:val="en-US" w:eastAsia="zh-CN"/>
        </w:rPr>
        <w:t>30</w:t>
      </w:r>
      <w:r>
        <w:rPr>
          <w:rFonts w:hint="eastAsia" w:ascii="宋体" w:hAnsi="宋体" w:cs="宋体"/>
          <w:bCs/>
          <w:szCs w:val="21"/>
          <w:highlight w:val="none"/>
        </w:rPr>
        <w:t>分</w:t>
      </w:r>
      <w:r>
        <w:rPr>
          <w:rFonts w:hint="eastAsia"/>
          <w:szCs w:val="21"/>
          <w:highlight w:val="none"/>
        </w:rPr>
        <w:t>（北京时间）</w:t>
      </w:r>
    </w:p>
    <w:p w14:paraId="35EF7EFA">
      <w:pPr>
        <w:widowControl/>
        <w:spacing w:line="348" w:lineRule="auto"/>
        <w:ind w:firstLine="420" w:firstLineChars="200"/>
        <w:rPr>
          <w:szCs w:val="21"/>
        </w:rPr>
      </w:pPr>
      <w:r>
        <w:rPr>
          <w:rFonts w:hint="eastAsia"/>
          <w:szCs w:val="21"/>
        </w:rPr>
        <w:t>开标地点：本项目采用远程异地评审，主会场在崇左市公共资源交易中心【崇左市城南新区石景林路东段政务服务中心综合楼5楼】通过广西政府采购云平台实行在线解密开</w:t>
      </w:r>
      <w:r>
        <w:rPr>
          <w:rFonts w:hint="eastAsia"/>
          <w:szCs w:val="21"/>
          <w:highlight w:val="none"/>
        </w:rPr>
        <w:t>启，副会场在百色市公共资源交易中心开标厅（百色市园博园主展馆新政务中心三楼)。</w:t>
      </w:r>
    </w:p>
    <w:p w14:paraId="07C23915">
      <w:pPr>
        <w:pStyle w:val="4"/>
        <w:spacing w:before="0" w:after="0" w:line="348" w:lineRule="auto"/>
        <w:rPr>
          <w:rFonts w:ascii="宋体" w:hAnsi="宋体" w:eastAsia="宋体"/>
          <w:sz w:val="21"/>
          <w:szCs w:val="21"/>
        </w:rPr>
      </w:pPr>
      <w:bookmarkStart w:id="33" w:name="_Toc24565"/>
      <w:bookmarkStart w:id="34" w:name="_Toc35393794"/>
      <w:bookmarkStart w:id="35" w:name="_Toc5949"/>
      <w:bookmarkStart w:id="36" w:name="_Toc28359084"/>
      <w:bookmarkStart w:id="37" w:name="_Toc28359007"/>
      <w:bookmarkStart w:id="38" w:name="_Toc10194"/>
      <w:bookmarkStart w:id="39" w:name="_Toc35393625"/>
      <w:r>
        <w:rPr>
          <w:rFonts w:hint="eastAsia" w:ascii="宋体" w:hAnsi="宋体" w:eastAsia="宋体"/>
          <w:sz w:val="21"/>
          <w:szCs w:val="21"/>
        </w:rPr>
        <w:t>五、公告期限</w:t>
      </w:r>
      <w:bookmarkEnd w:id="33"/>
      <w:bookmarkEnd w:id="34"/>
      <w:bookmarkEnd w:id="35"/>
      <w:bookmarkEnd w:id="36"/>
      <w:bookmarkEnd w:id="37"/>
      <w:bookmarkEnd w:id="38"/>
      <w:bookmarkEnd w:id="39"/>
    </w:p>
    <w:p w14:paraId="729AA5E0">
      <w:pPr>
        <w:spacing w:line="348" w:lineRule="auto"/>
        <w:ind w:firstLine="420" w:firstLineChars="200"/>
        <w:rPr>
          <w:szCs w:val="21"/>
        </w:rPr>
      </w:pPr>
      <w:r>
        <w:rPr>
          <w:rFonts w:hint="eastAsia"/>
          <w:szCs w:val="21"/>
        </w:rPr>
        <w:t>自本公告发布之日起5个工作日。</w:t>
      </w:r>
    </w:p>
    <w:p w14:paraId="0F49B9DD">
      <w:pPr>
        <w:pStyle w:val="4"/>
        <w:spacing w:before="0" w:after="0" w:line="348" w:lineRule="auto"/>
        <w:rPr>
          <w:rFonts w:ascii="宋体" w:hAnsi="宋体" w:eastAsia="宋体"/>
          <w:sz w:val="21"/>
          <w:szCs w:val="21"/>
        </w:rPr>
      </w:pPr>
      <w:bookmarkStart w:id="40" w:name="_Toc32529"/>
      <w:bookmarkStart w:id="41" w:name="_Toc11192"/>
      <w:bookmarkStart w:id="42" w:name="_Toc35393626"/>
      <w:bookmarkStart w:id="43" w:name="_Toc5995"/>
      <w:bookmarkStart w:id="44" w:name="_Toc35393795"/>
      <w:r>
        <w:rPr>
          <w:rFonts w:hint="eastAsia" w:ascii="宋体" w:hAnsi="宋体" w:eastAsia="宋体"/>
          <w:sz w:val="21"/>
          <w:szCs w:val="21"/>
        </w:rPr>
        <w:t>六、其他补充事宜</w:t>
      </w:r>
      <w:bookmarkEnd w:id="40"/>
      <w:bookmarkEnd w:id="41"/>
      <w:bookmarkEnd w:id="42"/>
      <w:bookmarkEnd w:id="43"/>
      <w:bookmarkEnd w:id="44"/>
    </w:p>
    <w:p w14:paraId="511ADC44">
      <w:pPr>
        <w:spacing w:line="348" w:lineRule="auto"/>
        <w:ind w:firstLine="420" w:firstLineChars="200"/>
        <w:rPr>
          <w:szCs w:val="21"/>
        </w:rPr>
      </w:pPr>
      <w:r>
        <w:rPr>
          <w:rFonts w:hint="eastAsia"/>
          <w:szCs w:val="21"/>
        </w:rPr>
        <w:t>1.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4C56B096">
      <w:pPr>
        <w:spacing w:line="348" w:lineRule="auto"/>
        <w:ind w:firstLine="420" w:firstLineChars="200"/>
        <w:rPr>
          <w:szCs w:val="21"/>
        </w:rPr>
      </w:pPr>
      <w:r>
        <w:rPr>
          <w:rFonts w:hint="eastAsia"/>
          <w:szCs w:val="21"/>
        </w:rPr>
        <w:t>2.</w:t>
      </w:r>
      <w:r>
        <w:rPr>
          <w:rFonts w:hint="eastAsia" w:ascii="宋体" w:hAnsi="宋体" w:cs="宋体"/>
          <w:szCs w:val="21"/>
        </w:rPr>
        <w:t>对在“信用中国”网站（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）等渠道列入失信被执行人、重大税收违法失信主体、政府采购严重违法失信行为记录名单及其他不符合《中华人民共和国政府采购法》第二十二条规定条件的供应商，不得参与采购活动</w:t>
      </w:r>
      <w:r>
        <w:rPr>
          <w:rFonts w:hint="eastAsia"/>
          <w:szCs w:val="21"/>
        </w:rPr>
        <w:t>。</w:t>
      </w:r>
    </w:p>
    <w:p w14:paraId="2746C742">
      <w:pPr>
        <w:snapToGrid w:val="0"/>
        <w:spacing w:line="348" w:lineRule="auto"/>
        <w:ind w:firstLine="420" w:firstLineChars="200"/>
        <w:rPr>
          <w:rFonts w:ascii="宋体" w:hAnsi="宋体" w:cs="宋体"/>
          <w:color w:val="auto"/>
          <w:szCs w:val="21"/>
        </w:rPr>
      </w:pPr>
      <w:r>
        <w:rPr>
          <w:rFonts w:hint="eastAsia" w:ascii="宋体" w:hAnsi="宋体" w:cs="宋体"/>
          <w:szCs w:val="21"/>
        </w:rPr>
        <w:t>3.</w:t>
      </w:r>
      <w:r>
        <w:rPr>
          <w:rFonts w:hint="eastAsia"/>
          <w:szCs w:val="21"/>
        </w:rPr>
        <w:t>落实政府采购政策：</w:t>
      </w:r>
      <w:r>
        <w:rPr>
          <w:rFonts w:hint="eastAsia" w:ascii="宋体" w:hAnsi="宋体" w:cs="宋体"/>
          <w:szCs w:val="21"/>
        </w:rPr>
        <w:t>政府采购促进中小企业发展；政府采购支持采用本国产品的政策；强制采购、优先采购环境标志产品、节能产</w:t>
      </w:r>
      <w:r>
        <w:rPr>
          <w:rFonts w:hint="eastAsia" w:ascii="宋体" w:hAnsi="宋体" w:cs="宋体"/>
          <w:color w:val="auto"/>
          <w:szCs w:val="21"/>
        </w:rPr>
        <w:t>品；政府采购促进残疾人就业政策；政府采购支持监狱企业发展；扶持不发达地区和少数民族地区政策。</w:t>
      </w:r>
    </w:p>
    <w:p w14:paraId="68D220AD">
      <w:pPr>
        <w:spacing w:line="348" w:lineRule="auto"/>
        <w:ind w:firstLine="420" w:firstLineChars="200"/>
        <w:rPr>
          <w:rFonts w:cs="宋体"/>
          <w:color w:val="auto"/>
          <w:szCs w:val="21"/>
        </w:rPr>
      </w:pPr>
      <w:r>
        <w:rPr>
          <w:rFonts w:hint="eastAsia" w:ascii="宋体" w:hAnsi="宋体" w:cs="宋体"/>
          <w:color w:val="auto"/>
          <w:szCs w:val="21"/>
        </w:rPr>
        <w:t>4.</w:t>
      </w:r>
      <w:r>
        <w:rPr>
          <w:rFonts w:hint="eastAsia"/>
          <w:color w:val="auto"/>
          <w:szCs w:val="21"/>
        </w:rPr>
        <w:t>本次公告同时在广西壮族自治区政府采购网、中国政</w:t>
      </w:r>
      <w:r>
        <w:rPr>
          <w:rFonts w:hint="eastAsia" w:cs="宋体"/>
          <w:color w:val="auto"/>
          <w:szCs w:val="21"/>
        </w:rPr>
        <w:t>府采购网、全国公共资源交易平台（广西.崇左）上发布（公告发布媒体包含但不限于上述媒体）</w:t>
      </w:r>
      <w:bookmarkStart w:id="45" w:name="_Toc28359008"/>
      <w:bookmarkStart w:id="46" w:name="_Toc28359085"/>
      <w:bookmarkStart w:id="47" w:name="_Toc35393796"/>
      <w:bookmarkStart w:id="48" w:name="_Toc35393627"/>
      <w:r>
        <w:rPr>
          <w:rFonts w:hint="eastAsia" w:cs="宋体"/>
          <w:color w:val="auto"/>
          <w:szCs w:val="21"/>
        </w:rPr>
        <w:t>。</w:t>
      </w:r>
    </w:p>
    <w:p w14:paraId="4D9512F2">
      <w:pPr>
        <w:spacing w:line="348" w:lineRule="auto"/>
        <w:ind w:firstLine="420" w:firstLineChars="200"/>
        <w:rPr>
          <w:rFonts w:ascii="宋体" w:hAnsi="宋体" w:cs="宋体"/>
          <w:color w:val="auto"/>
          <w:kern w:val="0"/>
          <w:szCs w:val="21"/>
        </w:rPr>
      </w:pPr>
      <w:r>
        <w:rPr>
          <w:rFonts w:hint="eastAsia"/>
          <w:color w:val="auto"/>
          <w:szCs w:val="21"/>
        </w:rPr>
        <w:t>5.</w:t>
      </w:r>
      <w:r>
        <w:rPr>
          <w:rFonts w:hint="eastAsia" w:ascii="宋体" w:hAnsi="宋体"/>
          <w:color w:val="auto"/>
          <w:szCs w:val="21"/>
        </w:rPr>
        <w:t>本项目实行</w:t>
      </w:r>
      <w:r>
        <w:rPr>
          <w:rFonts w:hint="eastAsia" w:ascii="宋体" w:hAnsi="宋体" w:cs="宋体"/>
          <w:color w:val="auto"/>
          <w:kern w:val="0"/>
          <w:szCs w:val="21"/>
        </w:rPr>
        <w:t>在线投标响应（电子投标）：本项目通过广西政府采购云平台实行在线投标响应（电子投标），CA数字证书办理需在投标截止日前10个工作日完成，具体流程详见广西政府采购网《CA数字证书办理指南》；电子投标文件编制需按《政府采购项目电子交易管理操作指南－供应商》执行，逾期未完成加密上传的视为撤回投标，通过广西政府采购云平台参与在线投标时如遇平台技术问题详询95763。</w:t>
      </w:r>
    </w:p>
    <w:p w14:paraId="2436B42C">
      <w:pPr>
        <w:snapToGrid w:val="0"/>
        <w:spacing w:line="348" w:lineRule="auto"/>
        <w:ind w:firstLine="420" w:firstLineChars="200"/>
      </w:pPr>
      <w:r>
        <w:rPr>
          <w:rFonts w:hint="eastAsia" w:ascii="宋体" w:hAnsi="宋体" w:cs="宋体"/>
          <w:color w:val="auto"/>
        </w:rPr>
        <w:t>6.</w:t>
      </w:r>
      <w:r>
        <w:rPr>
          <w:rFonts w:hint="eastAsia"/>
          <w:color w:val="auto"/>
        </w:rPr>
        <w:t>为加大政府采购支持中小企业力度，帮助政府采购中标供应商解决融资难、融资贵的问题，进一步做好线上“政采贷”融资业务工作，如</w:t>
      </w:r>
      <w:r>
        <w:rPr>
          <w:rFonts w:hint="eastAsia"/>
        </w:rPr>
        <w:t>供应商有需要的，详见招标文件中附件：《崇左市线上“政采贷”政策告知函》、《崇左市线上“政采贷”业务流程图》、《崇左市金融机构线上“政采贷”业务办理联络表》。</w:t>
      </w:r>
    </w:p>
    <w:p w14:paraId="11598800">
      <w:pPr>
        <w:wordWrap w:val="0"/>
        <w:spacing w:line="360" w:lineRule="auto"/>
        <w:ind w:firstLine="420" w:firstLineChars="200"/>
        <w:rPr>
          <w:rFonts w:ascii="宋体" w:hAnsi="宋体" w:cs="宋体"/>
          <w:kern w:val="0"/>
          <w:szCs w:val="21"/>
        </w:rPr>
      </w:pPr>
      <w:r>
        <w:rPr>
          <w:rFonts w:hint="eastAsia" w:ascii="宋体" w:hAnsi="宋体" w:cs="宋体"/>
          <w:kern w:val="0"/>
          <w:szCs w:val="21"/>
        </w:rPr>
        <w:t>7.本项目不收取投标保证金。</w:t>
      </w:r>
    </w:p>
    <w:p w14:paraId="12A0CD73">
      <w:pPr>
        <w:wordWrap w:val="0"/>
        <w:spacing w:line="360" w:lineRule="auto"/>
        <w:ind w:firstLine="420" w:firstLineChars="200"/>
        <w:rPr>
          <w:rFonts w:ascii="宋体" w:hAnsi="宋体" w:cs="宋体"/>
          <w:kern w:val="0"/>
          <w:szCs w:val="21"/>
        </w:rPr>
      </w:pPr>
      <w:r>
        <w:rPr>
          <w:rFonts w:hint="eastAsia" w:ascii="宋体" w:hAnsi="宋体" w:cs="宋体"/>
          <w:kern w:val="0"/>
          <w:szCs w:val="21"/>
        </w:rPr>
        <w:t>8.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1002340D">
      <w:pPr>
        <w:wordWrap w:val="0"/>
        <w:spacing w:line="360" w:lineRule="auto"/>
        <w:ind w:firstLine="420" w:firstLineChars="200"/>
        <w:rPr>
          <w:rFonts w:ascii="宋体" w:hAnsi="宋体" w:cs="宋体"/>
          <w:kern w:val="0"/>
          <w:szCs w:val="21"/>
          <w:highlight w:val="none"/>
        </w:rPr>
      </w:pPr>
      <w:r>
        <w:rPr>
          <w:rFonts w:hint="eastAsia" w:ascii="宋体" w:hAnsi="宋体" w:cs="宋体"/>
          <w:kern w:val="0"/>
          <w:szCs w:val="21"/>
        </w:rPr>
        <w:t>9.</w:t>
      </w:r>
      <w:r>
        <w:rPr>
          <w:rFonts w:hint="eastAsia"/>
          <w:szCs w:val="21"/>
        </w:rPr>
        <w:t>本项目采用远程异地评审，主会场在崇左市公共资源交易中心【崇左市城南新区石景林路东段政务服务中心综合楼5楼】通过广西政府采购云平台</w:t>
      </w:r>
      <w:r>
        <w:rPr>
          <w:rFonts w:hint="eastAsia"/>
          <w:szCs w:val="21"/>
          <w:highlight w:val="none"/>
        </w:rPr>
        <w:t>实行在线解密开启，副会场在百色市公共资源交易中心开标厅（百色市园博园主展馆新政务中心三楼)。</w:t>
      </w:r>
    </w:p>
    <w:p w14:paraId="042F4DEA">
      <w:pPr>
        <w:pStyle w:val="4"/>
        <w:spacing w:before="0" w:after="0" w:line="348" w:lineRule="auto"/>
        <w:rPr>
          <w:rFonts w:ascii="宋体" w:hAnsi="宋体" w:eastAsia="宋体"/>
          <w:sz w:val="21"/>
          <w:szCs w:val="21"/>
          <w:highlight w:val="none"/>
        </w:rPr>
      </w:pPr>
      <w:bookmarkStart w:id="49" w:name="_Toc27405"/>
      <w:bookmarkStart w:id="50" w:name="_Toc17674"/>
      <w:bookmarkStart w:id="51" w:name="_Toc26714"/>
      <w:r>
        <w:rPr>
          <w:rFonts w:hint="eastAsia" w:ascii="宋体" w:hAnsi="宋体" w:eastAsia="宋体"/>
          <w:sz w:val="21"/>
          <w:szCs w:val="21"/>
          <w:highlight w:val="none"/>
        </w:rPr>
        <w:t>七、对本次招标提出询问，请按以下方式联系</w:t>
      </w:r>
      <w:bookmarkEnd w:id="45"/>
      <w:bookmarkEnd w:id="46"/>
      <w:bookmarkEnd w:id="47"/>
      <w:bookmarkEnd w:id="48"/>
      <w:bookmarkEnd w:id="49"/>
      <w:bookmarkEnd w:id="50"/>
      <w:bookmarkEnd w:id="51"/>
    </w:p>
    <w:p w14:paraId="7F7A1049">
      <w:pPr>
        <w:spacing w:line="348" w:lineRule="auto"/>
        <w:outlineLvl w:val="0"/>
        <w:rPr>
          <w:rFonts w:ascii="宋体" w:hAnsi="宋体" w:cs="宋体"/>
          <w:szCs w:val="21"/>
          <w:highlight w:val="none"/>
        </w:rPr>
      </w:pPr>
      <w:bookmarkStart w:id="52" w:name="_Toc32177"/>
      <w:bookmarkStart w:id="53" w:name="_Toc543"/>
      <w:r>
        <w:rPr>
          <w:rFonts w:hint="eastAsia" w:ascii="宋体" w:hAnsi="宋体" w:cs="宋体"/>
          <w:szCs w:val="21"/>
          <w:highlight w:val="none"/>
        </w:rPr>
        <w:t>1.采购人信息</w:t>
      </w:r>
      <w:bookmarkEnd w:id="52"/>
      <w:bookmarkEnd w:id="53"/>
    </w:p>
    <w:p w14:paraId="01C2CD89">
      <w:pPr>
        <w:spacing w:line="348" w:lineRule="auto"/>
        <w:rPr>
          <w:rFonts w:ascii="宋体" w:hAnsi="宋体" w:cs="宋体"/>
          <w:szCs w:val="21"/>
          <w:highlight w:val="none"/>
        </w:rPr>
      </w:pPr>
      <w:r>
        <w:rPr>
          <w:rFonts w:hint="eastAsia" w:ascii="宋体" w:hAnsi="宋体" w:cs="宋体"/>
          <w:szCs w:val="21"/>
          <w:highlight w:val="none"/>
        </w:rPr>
        <w:t>名称：崇左市自然资源局　　　　　　　　　　　　</w:t>
      </w:r>
    </w:p>
    <w:p w14:paraId="33D8A5C5">
      <w:pPr>
        <w:spacing w:line="348" w:lineRule="auto"/>
        <w:rPr>
          <w:rFonts w:ascii="宋体" w:hAnsi="宋体" w:cs="宋体"/>
          <w:szCs w:val="21"/>
          <w:highlight w:val="none"/>
        </w:rPr>
      </w:pPr>
      <w:r>
        <w:rPr>
          <w:rFonts w:hint="eastAsia" w:ascii="宋体" w:hAnsi="宋体" w:cs="宋体"/>
          <w:szCs w:val="21"/>
          <w:highlight w:val="none"/>
        </w:rPr>
        <w:t>地址：崇左市江州区友谊大道</w:t>
      </w:r>
    </w:p>
    <w:p w14:paraId="64ED7425">
      <w:pPr>
        <w:spacing w:line="348" w:lineRule="auto"/>
        <w:rPr>
          <w:rFonts w:hint="eastAsia" w:ascii="宋体" w:hAnsi="宋体" w:eastAsia="宋体" w:cs="宋体"/>
          <w:szCs w:val="21"/>
          <w:highlight w:val="none"/>
          <w:lang w:val="en-US" w:eastAsia="zh-CN"/>
        </w:rPr>
      </w:pPr>
      <w:r>
        <w:rPr>
          <w:rFonts w:hint="eastAsia" w:ascii="宋体" w:hAnsi="宋体" w:cs="宋体"/>
          <w:szCs w:val="21"/>
          <w:highlight w:val="none"/>
        </w:rPr>
        <w:t>项目联系人:</w:t>
      </w:r>
      <w:bookmarkStart w:id="54" w:name="_Toc32216"/>
      <w:bookmarkStart w:id="55" w:name="_Toc28359086"/>
      <w:bookmarkStart w:id="56" w:name="_Toc28359009"/>
      <w:r>
        <w:rPr>
          <w:rFonts w:hint="eastAsia" w:ascii="宋体" w:hAnsi="宋体" w:cs="宋体"/>
          <w:szCs w:val="21"/>
          <w:highlight w:val="none"/>
        </w:rPr>
        <w:t>周业芳</w:t>
      </w:r>
    </w:p>
    <w:p w14:paraId="1BC28B33">
      <w:pPr>
        <w:spacing w:line="348" w:lineRule="auto"/>
        <w:rPr>
          <w:rFonts w:ascii="宋体" w:hAnsi="宋体" w:cs="宋体"/>
          <w:szCs w:val="21"/>
          <w:highlight w:val="none"/>
        </w:rPr>
      </w:pPr>
      <w:r>
        <w:rPr>
          <w:rFonts w:hint="eastAsia" w:ascii="宋体" w:hAnsi="宋体" w:cs="宋体"/>
          <w:szCs w:val="21"/>
          <w:highlight w:val="none"/>
        </w:rPr>
        <w:t>项目联系方式：0771-7836127</w:t>
      </w:r>
    </w:p>
    <w:p w14:paraId="60FF71E0">
      <w:pPr>
        <w:spacing w:line="348" w:lineRule="auto"/>
        <w:rPr>
          <w:rFonts w:ascii="宋体" w:hAnsi="宋体" w:cs="宋体"/>
          <w:szCs w:val="21"/>
          <w:highlight w:val="none"/>
        </w:rPr>
      </w:pPr>
      <w:r>
        <w:rPr>
          <w:rFonts w:hint="eastAsia" w:ascii="宋体" w:hAnsi="宋体" w:cs="宋体"/>
          <w:szCs w:val="21"/>
          <w:highlight w:val="none"/>
        </w:rPr>
        <w:t>2.采购代理机构信息</w:t>
      </w:r>
      <w:bookmarkEnd w:id="54"/>
      <w:bookmarkEnd w:id="55"/>
      <w:bookmarkEnd w:id="56"/>
    </w:p>
    <w:p w14:paraId="6835FB8B">
      <w:pPr>
        <w:spacing w:line="348" w:lineRule="auto"/>
        <w:rPr>
          <w:rFonts w:ascii="宋体" w:hAnsi="宋体" w:cs="宋体"/>
          <w:szCs w:val="21"/>
        </w:rPr>
      </w:pPr>
      <w:r>
        <w:rPr>
          <w:rFonts w:hint="eastAsia" w:ascii="宋体" w:hAnsi="宋体" w:cs="宋体"/>
          <w:szCs w:val="21"/>
        </w:rPr>
        <w:t>名称：</w:t>
      </w:r>
      <w:bookmarkStart w:id="57" w:name="_Toc28359087"/>
      <w:bookmarkStart w:id="58" w:name="_Toc28359010"/>
      <w:r>
        <w:rPr>
          <w:rFonts w:hint="eastAsia" w:ascii="宋体" w:hAnsi="宋体" w:cs="宋体"/>
          <w:szCs w:val="21"/>
        </w:rPr>
        <w:t>广西金旺技术管理有限公司</w:t>
      </w:r>
    </w:p>
    <w:p w14:paraId="3C63C3BE">
      <w:pPr>
        <w:spacing w:line="348" w:lineRule="auto"/>
        <w:rPr>
          <w:rFonts w:ascii="宋体" w:hAnsi="宋体" w:cs="宋体"/>
          <w:szCs w:val="21"/>
        </w:rPr>
      </w:pPr>
      <w:r>
        <w:rPr>
          <w:rFonts w:hint="eastAsia" w:ascii="宋体" w:hAnsi="宋体" w:cs="宋体"/>
          <w:szCs w:val="21"/>
        </w:rPr>
        <w:t>地址：崇左市友谊大道东源名城D区9栋3单元201号</w:t>
      </w:r>
    </w:p>
    <w:p w14:paraId="5EA3A87D">
      <w:pPr>
        <w:spacing w:line="348" w:lineRule="auto"/>
        <w:rPr>
          <w:rFonts w:ascii="宋体" w:hAnsi="宋体" w:cs="宋体"/>
          <w:szCs w:val="21"/>
        </w:rPr>
      </w:pPr>
      <w:r>
        <w:rPr>
          <w:rFonts w:hint="eastAsia" w:ascii="宋体" w:hAnsi="宋体" w:cs="宋体"/>
          <w:szCs w:val="21"/>
        </w:rPr>
        <w:t>项目联系人:何艳</w:t>
      </w:r>
    </w:p>
    <w:p w14:paraId="7020A01A">
      <w:pPr>
        <w:spacing w:line="348" w:lineRule="auto"/>
        <w:rPr>
          <w:rFonts w:ascii="宋体" w:hAnsi="宋体" w:cs="宋体"/>
          <w:szCs w:val="21"/>
        </w:rPr>
      </w:pPr>
      <w:r>
        <w:rPr>
          <w:rFonts w:hint="eastAsia" w:ascii="宋体" w:hAnsi="宋体" w:cs="宋体"/>
          <w:szCs w:val="21"/>
        </w:rPr>
        <w:t>项目联系方式：0771-7924808　　　　　　　　　　</w:t>
      </w:r>
    </w:p>
    <w:p w14:paraId="633D288F">
      <w:pPr>
        <w:numPr>
          <w:ilvl w:val="0"/>
          <w:numId w:val="3"/>
        </w:numPr>
        <w:spacing w:line="348" w:lineRule="auto"/>
        <w:outlineLvl w:val="0"/>
        <w:rPr>
          <w:rFonts w:ascii="宋体" w:hAnsi="宋体" w:cs="宋体"/>
          <w:szCs w:val="21"/>
        </w:rPr>
      </w:pPr>
      <w:bookmarkStart w:id="59" w:name="_Toc5782"/>
      <w:bookmarkStart w:id="60" w:name="_Toc17394"/>
      <w:r>
        <w:rPr>
          <w:rFonts w:hint="eastAsia" w:ascii="宋体" w:hAnsi="宋体" w:cs="宋体"/>
          <w:szCs w:val="21"/>
        </w:rPr>
        <w:t>项目联系方式</w:t>
      </w:r>
      <w:bookmarkEnd w:id="57"/>
      <w:bookmarkEnd w:id="58"/>
      <w:r>
        <w:rPr>
          <w:rFonts w:hint="eastAsia" w:ascii="宋体" w:hAnsi="宋体" w:cs="宋体"/>
          <w:szCs w:val="21"/>
        </w:rPr>
        <w:t>：</w:t>
      </w:r>
      <w:bookmarkEnd w:id="59"/>
      <w:bookmarkEnd w:id="60"/>
    </w:p>
    <w:p w14:paraId="5B489341">
      <w:pPr>
        <w:spacing w:line="348" w:lineRule="auto"/>
        <w:outlineLvl w:val="0"/>
        <w:rPr>
          <w:rFonts w:ascii="宋体" w:hAnsi="宋体" w:cs="宋体"/>
          <w:szCs w:val="21"/>
        </w:rPr>
      </w:pPr>
      <w:bookmarkStart w:id="61" w:name="_Toc20806"/>
      <w:r>
        <w:rPr>
          <w:rFonts w:hint="eastAsia" w:ascii="宋体" w:hAnsi="宋体" w:cs="宋体"/>
          <w:szCs w:val="21"/>
        </w:rPr>
        <w:t>项目联系人：何艳</w:t>
      </w:r>
      <w:bookmarkEnd w:id="61"/>
      <w:r>
        <w:rPr>
          <w:rFonts w:hint="eastAsia" w:ascii="宋体" w:hAnsi="宋体" w:cs="宋体"/>
          <w:szCs w:val="21"/>
        </w:rPr>
        <w:t>　</w:t>
      </w:r>
    </w:p>
    <w:p w14:paraId="30631CA6">
      <w:pPr>
        <w:spacing w:line="348" w:lineRule="auto"/>
        <w:outlineLvl w:val="0"/>
        <w:rPr>
          <w:rFonts w:ascii="宋体" w:hAnsi="宋体" w:cs="宋体"/>
          <w:szCs w:val="21"/>
        </w:rPr>
      </w:pPr>
      <w:bookmarkStart w:id="62" w:name="_Toc26440"/>
      <w:r>
        <w:rPr>
          <w:rFonts w:hint="eastAsia" w:ascii="宋体" w:hAnsi="宋体" w:cs="宋体"/>
          <w:szCs w:val="21"/>
        </w:rPr>
        <w:t>项目联系方式：0771-7924808</w:t>
      </w:r>
      <w:bookmarkEnd w:id="62"/>
    </w:p>
    <w:p w14:paraId="267CFC48">
      <w:pPr>
        <w:spacing w:line="324" w:lineRule="auto"/>
        <w:rPr>
          <w:rFonts w:ascii="宋体" w:hAnsi="宋体" w:cs="宋体"/>
          <w:szCs w:val="21"/>
        </w:rPr>
      </w:pPr>
      <w:bookmarkStart w:id="63" w:name="_Toc17345"/>
      <w:r>
        <w:rPr>
          <w:rFonts w:hint="eastAsia" w:ascii="宋体" w:hAnsi="宋体" w:cs="宋体"/>
          <w:szCs w:val="21"/>
        </w:rPr>
        <w:t>4.监督单位：</w:t>
      </w:r>
      <w:bookmarkEnd w:id="63"/>
      <w:r>
        <w:rPr>
          <w:rFonts w:hint="eastAsia" w:ascii="宋体" w:hAnsi="宋体" w:cs="宋体"/>
          <w:szCs w:val="21"/>
        </w:rPr>
        <w:t>崇左市财政局政府采购监督管理科</w:t>
      </w:r>
      <w:r>
        <w:rPr>
          <w:rFonts w:hint="eastAsia" w:ascii="宋体" w:hAnsi="宋体" w:cs="宋体"/>
          <w:szCs w:val="21"/>
          <w:lang w:val="en-US" w:eastAsia="zh-CN"/>
        </w:rPr>
        <w:t xml:space="preserve">  </w:t>
      </w:r>
      <w:r>
        <w:rPr>
          <w:rFonts w:hint="eastAsia" w:ascii="宋体" w:hAnsi="宋体" w:cs="宋体"/>
          <w:szCs w:val="21"/>
        </w:rPr>
        <w:t>电话：0771-5962513</w:t>
      </w:r>
    </w:p>
    <w:p w14:paraId="3C8DC88D">
      <w:pPr>
        <w:spacing w:line="348" w:lineRule="auto"/>
        <w:outlineLvl w:val="0"/>
        <w:rPr>
          <w:rFonts w:ascii="宋体" w:hAnsi="宋体" w:cs="宋体"/>
          <w:szCs w:val="21"/>
        </w:rPr>
      </w:pPr>
    </w:p>
    <w:p w14:paraId="67B9377B">
      <w:pPr>
        <w:spacing w:line="348" w:lineRule="auto"/>
        <w:ind w:firstLine="4830" w:firstLineChars="2300"/>
        <w:outlineLvl w:val="0"/>
        <w:rPr>
          <w:rFonts w:ascii="宋体" w:hAnsi="宋体" w:cs="宋体"/>
          <w:szCs w:val="21"/>
        </w:rPr>
      </w:pPr>
      <w:bookmarkStart w:id="64" w:name="_Toc4225"/>
      <w:r>
        <w:rPr>
          <w:rFonts w:hint="eastAsia" w:ascii="宋体" w:hAnsi="宋体" w:cs="宋体"/>
          <w:szCs w:val="21"/>
        </w:rPr>
        <w:t>采购人：崇左市自然资源局</w:t>
      </w:r>
      <w:bookmarkEnd w:id="64"/>
    </w:p>
    <w:p w14:paraId="51101868">
      <w:pPr>
        <w:spacing w:line="348" w:lineRule="auto"/>
        <w:ind w:firstLine="4830" w:firstLineChars="2300"/>
        <w:outlineLvl w:val="0"/>
        <w:rPr>
          <w:rFonts w:ascii="宋体" w:hAnsi="宋体" w:cs="宋体"/>
          <w:szCs w:val="21"/>
        </w:rPr>
      </w:pPr>
      <w:bookmarkStart w:id="65" w:name="_Toc23242"/>
      <w:r>
        <w:rPr>
          <w:rFonts w:hint="eastAsia" w:ascii="宋体" w:hAnsi="宋体" w:cs="宋体"/>
          <w:szCs w:val="21"/>
        </w:rPr>
        <w:t>采购代理机构：广西金旺技术管理有限公司</w:t>
      </w:r>
      <w:bookmarkEnd w:id="65"/>
    </w:p>
    <w:p w14:paraId="21FA4B14">
      <w:pPr>
        <w:spacing w:line="348" w:lineRule="auto"/>
        <w:ind w:firstLine="5460" w:firstLineChars="2600"/>
        <w:outlineLvl w:val="0"/>
        <w:rPr>
          <w:rFonts w:ascii="宋体" w:hAnsi="宋体" w:cs="宋体"/>
          <w:szCs w:val="21"/>
        </w:rPr>
        <w:sectPr>
          <w:footerReference r:id="rId8" w:type="first"/>
          <w:footerReference r:id="rId7" w:type="default"/>
          <w:pgSz w:w="11906" w:h="16838"/>
          <w:pgMar w:top="1134" w:right="1419" w:bottom="1560" w:left="1467" w:header="851" w:footer="992" w:gutter="0"/>
          <w:pgNumType w:start="1"/>
          <w:cols w:space="720" w:num="1"/>
          <w:titlePg/>
          <w:docGrid w:linePitch="312" w:charSpace="0"/>
        </w:sectPr>
      </w:pPr>
      <w:bookmarkStart w:id="66" w:name="_Toc21248"/>
      <w:r>
        <w:rPr>
          <w:rFonts w:hint="eastAsia" w:ascii="宋体" w:hAnsi="宋体" w:cs="宋体"/>
          <w:szCs w:val="21"/>
        </w:rPr>
        <w:t>日期：2026年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bookmarkEnd w:id="66"/>
    </w:p>
    <w:p w14:paraId="50D051EA">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67" w:name="_Toc19686830"/>
      <w:bookmarkStart w:id="68" w:name="_Toc10847"/>
      <w:bookmarkStart w:id="69" w:name="_Toc2436"/>
      <w:bookmarkStart w:id="70" w:name="_Toc20558"/>
      <w:r>
        <w:rPr>
          <w:rFonts w:hint="eastAsia" w:ascii="宋体" w:hAnsi="宋体" w:cs="宋体"/>
        </w:rPr>
        <w:t>第二章采购需求</w:t>
      </w:r>
      <w:bookmarkEnd w:id="67"/>
      <w:bookmarkEnd w:id="68"/>
      <w:bookmarkEnd w:id="69"/>
      <w:bookmarkEnd w:id="70"/>
    </w:p>
    <w:p w14:paraId="05531947">
      <w:pPr>
        <w:spacing w:line="360" w:lineRule="auto"/>
        <w:jc w:val="center"/>
        <w:rPr>
          <w:rFonts w:ascii="宋体" w:hAnsi="宋体" w:cs="宋体"/>
          <w:b/>
          <w:sz w:val="32"/>
          <w:szCs w:val="32"/>
        </w:rPr>
      </w:pPr>
      <w:bookmarkStart w:id="71" w:name="_Toc16337"/>
      <w:bookmarkStart w:id="72" w:name="_Toc19686831"/>
      <w:bookmarkStart w:id="73" w:name="_Toc4399"/>
      <w:r>
        <w:rPr>
          <w:rFonts w:hint="eastAsia" w:ascii="宋体" w:hAnsi="宋体" w:cs="宋体"/>
          <w:b/>
          <w:sz w:val="32"/>
          <w:szCs w:val="32"/>
        </w:rPr>
        <w:t>采购项目技术规格、参数及要求</w:t>
      </w:r>
    </w:p>
    <w:p w14:paraId="54E284B8">
      <w:pPr>
        <w:spacing w:line="360" w:lineRule="auto"/>
        <w:jc w:val="left"/>
        <w:rPr>
          <w:rFonts w:ascii="宋体" w:hAnsi="宋体" w:cs="宋体"/>
          <w:szCs w:val="21"/>
        </w:rPr>
      </w:pPr>
      <w:r>
        <w:rPr>
          <w:rFonts w:hint="eastAsia" w:ascii="宋体" w:hAnsi="宋体" w:cs="宋体"/>
          <w:szCs w:val="21"/>
        </w:rPr>
        <w:t>说明：</w:t>
      </w:r>
    </w:p>
    <w:p w14:paraId="0617B87C">
      <w:pPr>
        <w:spacing w:line="276" w:lineRule="auto"/>
        <w:ind w:left="424" w:leftChars="202"/>
        <w:jc w:val="left"/>
        <w:rPr>
          <w:rFonts w:hAnsi="宋体"/>
          <w:bCs/>
          <w:spacing w:val="10"/>
          <w:kern w:val="0"/>
          <w:szCs w:val="21"/>
        </w:rPr>
      </w:pPr>
      <w:r>
        <w:rPr>
          <w:rFonts w:hint="eastAsia" w:ascii="宋体" w:hAnsi="宋体" w:cs="宋体"/>
          <w:szCs w:val="21"/>
        </w:rPr>
        <w:t>1.“实质性要求”是指投标文件中已经指明不满足则投标文件按无效响应处理的条款，或者不能负偏离的条款，或者采购需求中带“▲”的条款。</w:t>
      </w:r>
      <w:r>
        <w:rPr>
          <w:rFonts w:hint="eastAsia" w:hAnsi="宋体"/>
          <w:bCs/>
          <w:spacing w:val="10"/>
          <w:kern w:val="0"/>
          <w:szCs w:val="21"/>
        </w:rPr>
        <w:t>本项目标记“▲”号的条款为实质性要求和条件，要求必须满足或优于，否则投标响应无效。</w:t>
      </w:r>
    </w:p>
    <w:p w14:paraId="0F6A3AED">
      <w:pPr>
        <w:spacing w:line="360" w:lineRule="auto"/>
        <w:ind w:firstLine="424" w:firstLineChars="202"/>
        <w:jc w:val="left"/>
        <w:rPr>
          <w:rFonts w:ascii="宋体" w:hAnsi="宋体" w:cs="宋体"/>
        </w:rPr>
      </w:pPr>
      <w:r>
        <w:rPr>
          <w:rFonts w:hint="eastAsia" w:ascii="宋体" w:hAnsi="宋体" w:cs="宋体"/>
          <w:szCs w:val="21"/>
        </w:rPr>
        <w:t>2.</w:t>
      </w:r>
      <w:r>
        <w:rPr>
          <w:rFonts w:hint="eastAsia" w:ascii="宋体" w:hAnsi="宋体" w:cs="宋体"/>
        </w:rPr>
        <w:t>供应商必须自行为其投标产品侵犯他人的知识产权或者专利成果的行为承担相应法律责任。</w:t>
      </w:r>
    </w:p>
    <w:p w14:paraId="20FF0D8D">
      <w:pPr>
        <w:spacing w:line="360" w:lineRule="auto"/>
        <w:ind w:firstLine="424" w:firstLineChars="202"/>
        <w:jc w:val="left"/>
        <w:rPr>
          <w:rFonts w:ascii="宋体" w:hAnsi="宋体" w:cs="宋体"/>
        </w:rPr>
      </w:pPr>
      <w:r>
        <w:rPr>
          <w:rFonts w:hint="eastAsia" w:ascii="宋体" w:hAnsi="宋体" w:cs="宋体"/>
        </w:rPr>
        <w:t>3.本项目专门面向中小企业采购，采购预留份额100%。</w:t>
      </w:r>
    </w:p>
    <w:p w14:paraId="016BC2CB">
      <w:pPr>
        <w:spacing w:line="360" w:lineRule="auto"/>
        <w:ind w:firstLine="424" w:firstLineChars="202"/>
        <w:jc w:val="left"/>
        <w:rPr>
          <w:rFonts w:ascii="宋体" w:hAnsi="宋体" w:cs="宋体"/>
        </w:rPr>
      </w:pPr>
      <w:r>
        <w:rPr>
          <w:rFonts w:hint="eastAsia" w:ascii="宋体" w:hAnsi="宋体" w:cs="宋体"/>
        </w:rPr>
        <w:t>4.行业划分：其他未列明行业（详见关于印发中小企业划型标准规定的通知(工信部联企业〔2011〕300号)）。</w:t>
      </w:r>
    </w:p>
    <w:tbl>
      <w:tblPr>
        <w:tblStyle w:val="46"/>
        <w:tblW w:w="9628" w:type="dxa"/>
        <w:tblInd w:w="0" w:type="dxa"/>
        <w:tblLayout w:type="fixed"/>
        <w:tblCellMar>
          <w:top w:w="0" w:type="dxa"/>
          <w:left w:w="108" w:type="dxa"/>
          <w:bottom w:w="0" w:type="dxa"/>
          <w:right w:w="108" w:type="dxa"/>
        </w:tblCellMar>
      </w:tblPr>
      <w:tblGrid>
        <w:gridCol w:w="635"/>
        <w:gridCol w:w="847"/>
        <w:gridCol w:w="639"/>
        <w:gridCol w:w="4308"/>
        <w:gridCol w:w="1901"/>
        <w:gridCol w:w="1298"/>
      </w:tblGrid>
      <w:tr w14:paraId="75E15325">
        <w:tblPrEx>
          <w:tblCellMar>
            <w:top w:w="0" w:type="dxa"/>
            <w:left w:w="108" w:type="dxa"/>
            <w:bottom w:w="0" w:type="dxa"/>
            <w:right w:w="108" w:type="dxa"/>
          </w:tblCellMar>
        </w:tblPrEx>
        <w:trPr>
          <w:trHeight w:val="620" w:hRule="atLeast"/>
        </w:trPr>
        <w:tc>
          <w:tcPr>
            <w:tcW w:w="9628" w:type="dxa"/>
            <w:gridSpan w:val="6"/>
            <w:tcBorders>
              <w:top w:val="single" w:color="auto" w:sz="4" w:space="0"/>
              <w:left w:val="single" w:color="auto" w:sz="4" w:space="0"/>
              <w:bottom w:val="nil"/>
              <w:right w:val="single" w:color="auto" w:sz="4" w:space="0"/>
            </w:tcBorders>
            <w:vAlign w:val="center"/>
          </w:tcPr>
          <w:p w14:paraId="4CC0D03B">
            <w:pPr>
              <w:widowControl/>
              <w:spacing w:line="360" w:lineRule="auto"/>
              <w:textAlignment w:val="center"/>
              <w:rPr>
                <w:rFonts w:ascii="宋体" w:hAnsi="宋体" w:cs="宋体"/>
                <w:b/>
                <w:bCs/>
                <w:color w:val="000000"/>
                <w:szCs w:val="21"/>
              </w:rPr>
            </w:pPr>
            <w:r>
              <w:rPr>
                <w:rFonts w:hint="eastAsia" w:ascii="宋体" w:hAnsi="宋体" w:cs="宋体"/>
                <w:b/>
                <w:bCs/>
                <w:color w:val="000000"/>
                <w:kern w:val="0"/>
                <w:szCs w:val="21"/>
              </w:rPr>
              <w:t>一、技术条款要求</w:t>
            </w:r>
          </w:p>
        </w:tc>
      </w:tr>
      <w:tr w14:paraId="7CC40FDD">
        <w:tblPrEx>
          <w:tblCellMar>
            <w:top w:w="0" w:type="dxa"/>
            <w:left w:w="108" w:type="dxa"/>
            <w:bottom w:w="0" w:type="dxa"/>
            <w:right w:w="108" w:type="dxa"/>
          </w:tblCellMar>
        </w:tblPrEx>
        <w:trPr>
          <w:trHeight w:val="780" w:hRule="atLeast"/>
        </w:trPr>
        <w:tc>
          <w:tcPr>
            <w:tcW w:w="635" w:type="dxa"/>
            <w:tcBorders>
              <w:top w:val="single" w:color="000000" w:sz="4" w:space="0"/>
              <w:left w:val="single" w:color="auto" w:sz="4" w:space="0"/>
              <w:bottom w:val="single" w:color="auto" w:sz="4" w:space="0"/>
              <w:right w:val="single" w:color="000000" w:sz="4" w:space="0"/>
            </w:tcBorders>
            <w:shd w:val="clear" w:color="auto" w:fill="F2F2F2"/>
            <w:noWrap/>
            <w:vAlign w:val="center"/>
          </w:tcPr>
          <w:p w14:paraId="76B0F5CB">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847" w:type="dxa"/>
            <w:tcBorders>
              <w:top w:val="single" w:color="000000" w:sz="4" w:space="0"/>
              <w:left w:val="single" w:color="000000" w:sz="4" w:space="0"/>
              <w:bottom w:val="single" w:color="auto" w:sz="4" w:space="0"/>
              <w:right w:val="single" w:color="000000" w:sz="4" w:space="0"/>
            </w:tcBorders>
            <w:shd w:val="clear" w:color="auto" w:fill="F2F2F2"/>
            <w:vAlign w:val="center"/>
          </w:tcPr>
          <w:p w14:paraId="612C7C85">
            <w:pPr>
              <w:widowControl/>
              <w:spacing w:line="360" w:lineRule="auto"/>
              <w:jc w:val="center"/>
              <w:textAlignment w:val="center"/>
              <w:rPr>
                <w:rFonts w:ascii="宋体" w:hAnsi="宋体" w:cs="宋体"/>
                <w:b/>
                <w:bCs/>
                <w:color w:val="000000"/>
                <w:kern w:val="0"/>
                <w:szCs w:val="21"/>
              </w:rPr>
            </w:pPr>
            <w:r>
              <w:rPr>
                <w:rFonts w:hint="eastAsia" w:ascii="宋体" w:hAnsi="宋体" w:cs="宋体"/>
                <w:b/>
                <w:bCs/>
                <w:color w:val="000000"/>
                <w:kern w:val="0"/>
                <w:szCs w:val="21"/>
              </w:rPr>
              <w:t>技术类</w:t>
            </w:r>
          </w:p>
          <w:p w14:paraId="6E52E115">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rPr>
              <w:t>名称</w:t>
            </w:r>
          </w:p>
        </w:tc>
        <w:tc>
          <w:tcPr>
            <w:tcW w:w="639" w:type="dxa"/>
            <w:tcBorders>
              <w:top w:val="single" w:color="000000" w:sz="4" w:space="0"/>
              <w:left w:val="single" w:color="000000" w:sz="4" w:space="0"/>
              <w:bottom w:val="single" w:color="auto" w:sz="4" w:space="0"/>
              <w:right w:val="single" w:color="000000" w:sz="4" w:space="0"/>
            </w:tcBorders>
            <w:shd w:val="clear" w:color="auto" w:fill="F2F2F2"/>
            <w:vAlign w:val="center"/>
          </w:tcPr>
          <w:p w14:paraId="7EA21CF1">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rPr>
              <w:t>标的名称</w:t>
            </w:r>
          </w:p>
        </w:tc>
        <w:tc>
          <w:tcPr>
            <w:tcW w:w="4308" w:type="dxa"/>
            <w:tcBorders>
              <w:top w:val="single" w:color="000000" w:sz="4" w:space="0"/>
              <w:left w:val="single" w:color="000000" w:sz="4" w:space="0"/>
              <w:bottom w:val="single" w:color="auto" w:sz="4" w:space="0"/>
              <w:right w:val="single" w:color="000000" w:sz="4" w:space="0"/>
            </w:tcBorders>
            <w:shd w:val="clear" w:color="auto" w:fill="F2F2F2"/>
            <w:vAlign w:val="center"/>
          </w:tcPr>
          <w:p w14:paraId="2B4CB5EE">
            <w:pPr>
              <w:widowControl/>
              <w:spacing w:line="360" w:lineRule="auto"/>
              <w:jc w:val="center"/>
              <w:textAlignment w:val="center"/>
              <w:rPr>
                <w:rFonts w:ascii="宋体" w:hAnsi="宋体" w:cs="宋体"/>
                <w:b/>
                <w:bCs/>
                <w:color w:val="000000"/>
                <w:szCs w:val="21"/>
              </w:rPr>
            </w:pPr>
            <w:r>
              <w:rPr>
                <w:rFonts w:ascii="宋体" w:hAnsi="宋体" w:cs="宋体"/>
                <w:sz w:val="24"/>
              </w:rPr>
              <w:t>▲</w:t>
            </w:r>
            <w:r>
              <w:rPr>
                <w:rFonts w:hint="eastAsia" w:ascii="宋体" w:hAnsi="宋体" w:cs="宋体"/>
                <w:b/>
                <w:bCs/>
                <w:color w:val="000000"/>
                <w:kern w:val="0"/>
                <w:szCs w:val="21"/>
              </w:rPr>
              <w:t>工作内容</w:t>
            </w:r>
          </w:p>
        </w:tc>
        <w:tc>
          <w:tcPr>
            <w:tcW w:w="1901" w:type="dxa"/>
            <w:tcBorders>
              <w:top w:val="single" w:color="000000" w:sz="4" w:space="0"/>
              <w:left w:val="single" w:color="000000" w:sz="4" w:space="0"/>
              <w:bottom w:val="single" w:color="auto" w:sz="4" w:space="0"/>
              <w:right w:val="single" w:color="000000" w:sz="4" w:space="0"/>
            </w:tcBorders>
            <w:shd w:val="clear" w:color="auto" w:fill="F2F2F2"/>
            <w:vAlign w:val="center"/>
          </w:tcPr>
          <w:p w14:paraId="17923E32">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rPr>
              <w:t>工作依据</w:t>
            </w:r>
          </w:p>
        </w:tc>
        <w:tc>
          <w:tcPr>
            <w:tcW w:w="1298" w:type="dxa"/>
            <w:tcBorders>
              <w:top w:val="single" w:color="000000" w:sz="4" w:space="0"/>
              <w:left w:val="single" w:color="000000" w:sz="4" w:space="0"/>
              <w:bottom w:val="single" w:color="auto" w:sz="4" w:space="0"/>
              <w:right w:val="single" w:color="auto" w:sz="4" w:space="0"/>
            </w:tcBorders>
            <w:noWrap/>
            <w:vAlign w:val="center"/>
          </w:tcPr>
          <w:p w14:paraId="269A2D49">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rPr>
              <w:t>预算金额（元）</w:t>
            </w:r>
          </w:p>
        </w:tc>
      </w:tr>
      <w:tr w14:paraId="3A61938B">
        <w:tblPrEx>
          <w:tblCellMar>
            <w:top w:w="0" w:type="dxa"/>
            <w:left w:w="108" w:type="dxa"/>
            <w:bottom w:w="0" w:type="dxa"/>
            <w:right w:w="108" w:type="dxa"/>
          </w:tblCellMar>
        </w:tblPrEx>
        <w:trPr>
          <w:trHeight w:val="3860" w:hRule="atLeast"/>
        </w:trPr>
        <w:tc>
          <w:tcPr>
            <w:tcW w:w="635" w:type="dxa"/>
            <w:tcBorders>
              <w:top w:val="single" w:color="auto" w:sz="4" w:space="0"/>
              <w:left w:val="single" w:color="000000" w:sz="4" w:space="0"/>
              <w:bottom w:val="single" w:color="000000" w:sz="4" w:space="0"/>
              <w:right w:val="single" w:color="000000" w:sz="4" w:space="0"/>
            </w:tcBorders>
            <w:noWrap/>
            <w:vAlign w:val="center"/>
          </w:tcPr>
          <w:p w14:paraId="6C593D6F">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w:t>
            </w:r>
          </w:p>
        </w:tc>
        <w:tc>
          <w:tcPr>
            <w:tcW w:w="847" w:type="dxa"/>
            <w:vMerge w:val="restart"/>
            <w:tcBorders>
              <w:top w:val="single" w:color="auto" w:sz="4" w:space="0"/>
              <w:left w:val="single" w:color="000000" w:sz="4" w:space="0"/>
              <w:bottom w:val="single" w:color="000000" w:sz="4" w:space="0"/>
              <w:right w:val="single" w:color="000000" w:sz="4" w:space="0"/>
            </w:tcBorders>
            <w:vAlign w:val="center"/>
          </w:tcPr>
          <w:p w14:paraId="27BECC70">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耕地保护卫片监测执法督察技术</w:t>
            </w:r>
          </w:p>
        </w:tc>
        <w:tc>
          <w:tcPr>
            <w:tcW w:w="639" w:type="dxa"/>
            <w:tcBorders>
              <w:top w:val="single" w:color="auto" w:sz="4" w:space="0"/>
              <w:left w:val="single" w:color="000000" w:sz="4" w:space="0"/>
              <w:bottom w:val="single" w:color="000000" w:sz="4" w:space="0"/>
              <w:right w:val="single" w:color="000000" w:sz="4" w:space="0"/>
            </w:tcBorders>
            <w:vAlign w:val="center"/>
          </w:tcPr>
          <w:p w14:paraId="16BFD5E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卫片监测执法技术服务</w:t>
            </w:r>
          </w:p>
        </w:tc>
        <w:tc>
          <w:tcPr>
            <w:tcW w:w="4308" w:type="dxa"/>
            <w:tcBorders>
              <w:top w:val="single" w:color="auto" w:sz="4" w:space="0"/>
              <w:left w:val="single" w:color="000000" w:sz="4" w:space="0"/>
              <w:bottom w:val="single" w:color="000000" w:sz="4" w:space="0"/>
              <w:right w:val="single" w:color="000000" w:sz="4" w:space="0"/>
            </w:tcBorders>
            <w:vAlign w:val="center"/>
          </w:tcPr>
          <w:p w14:paraId="24444F5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土地利用现状数据、土地利用总体规划数据、基本农田保护数据、历年已验收的新增耕地项目以及已批准的新增建设用地项目空间位置及属性信息、历年地籍发证资料、年度土地变更调查形成的各级控制界线、控制面积和各地类面积资料等资料，并进行整理核实。</w:t>
            </w:r>
            <w:r>
              <w:rPr>
                <w:rFonts w:hint="eastAsia" w:ascii="宋体" w:hAnsi="宋体" w:cs="宋体"/>
                <w:color w:val="000000"/>
                <w:kern w:val="0"/>
                <w:szCs w:val="21"/>
              </w:rPr>
              <w:br w:type="textWrapping"/>
            </w:r>
            <w:r>
              <w:rPr>
                <w:rFonts w:hint="eastAsia" w:ascii="宋体" w:hAnsi="宋体" w:cs="宋体"/>
                <w:color w:val="000000"/>
                <w:kern w:val="0"/>
                <w:szCs w:val="21"/>
              </w:rPr>
              <w:t>2.外业举证</w:t>
            </w:r>
            <w:r>
              <w:rPr>
                <w:rFonts w:hint="eastAsia" w:ascii="宋体" w:hAnsi="宋体" w:cs="宋体"/>
                <w:color w:val="000000"/>
                <w:kern w:val="0"/>
                <w:szCs w:val="21"/>
              </w:rPr>
              <w:br w:type="textWrapping"/>
            </w:r>
            <w:r>
              <w:rPr>
                <w:rFonts w:hint="eastAsia" w:ascii="宋体" w:hAnsi="宋体" w:cs="宋体"/>
                <w:color w:val="000000"/>
                <w:kern w:val="0"/>
                <w:szCs w:val="21"/>
              </w:rPr>
              <w:t>根据县级申请验收图斑和卫片系统图斑填报情况，到实地核查图斑的范围、面积、种植作物类型、是否建设、整改等详细信息，并出具外业核查意见和现场照片。</w:t>
            </w:r>
            <w:r>
              <w:rPr>
                <w:rFonts w:hint="eastAsia" w:ascii="宋体" w:hAnsi="宋体" w:cs="宋体"/>
                <w:color w:val="000000"/>
                <w:kern w:val="0"/>
                <w:szCs w:val="21"/>
              </w:rPr>
              <w:br w:type="textWrapping"/>
            </w:r>
            <w:r>
              <w:rPr>
                <w:rFonts w:hint="eastAsia" w:ascii="宋体" w:hAnsi="宋体" w:cs="宋体"/>
                <w:color w:val="000000"/>
                <w:kern w:val="0"/>
                <w:szCs w:val="21"/>
              </w:rPr>
              <w:t>3.内业数据核查</w:t>
            </w:r>
            <w:r>
              <w:rPr>
                <w:rFonts w:hint="eastAsia" w:ascii="宋体" w:hAnsi="宋体" w:cs="宋体"/>
                <w:color w:val="000000"/>
                <w:kern w:val="0"/>
                <w:szCs w:val="21"/>
              </w:rPr>
              <w:br w:type="textWrapping"/>
            </w:r>
            <w:r>
              <w:rPr>
                <w:rFonts w:hint="eastAsia" w:ascii="宋体" w:hAnsi="宋体" w:cs="宋体"/>
                <w:color w:val="000000"/>
                <w:kern w:val="0"/>
                <w:szCs w:val="21"/>
              </w:rPr>
              <w:t>审核每个图斑地类、规划、占用基本农田、是否已获批建设、是否发证等情况。</w:t>
            </w:r>
          </w:p>
        </w:tc>
        <w:tc>
          <w:tcPr>
            <w:tcW w:w="1901" w:type="dxa"/>
            <w:tcBorders>
              <w:top w:val="single" w:color="auto" w:sz="4" w:space="0"/>
              <w:left w:val="single" w:color="000000" w:sz="4" w:space="0"/>
              <w:bottom w:val="single" w:color="000000" w:sz="4" w:space="0"/>
              <w:right w:val="single" w:color="000000" w:sz="4" w:space="0"/>
            </w:tcBorders>
            <w:vAlign w:val="center"/>
          </w:tcPr>
          <w:p w14:paraId="1FD6E88D">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依据《广西壮族自治区2023年土地矿产卫片执法工作实施方案》，第四条抽查核查和质量评价。</w:t>
            </w:r>
          </w:p>
        </w:tc>
        <w:tc>
          <w:tcPr>
            <w:tcW w:w="1298" w:type="dxa"/>
            <w:tcBorders>
              <w:top w:val="single" w:color="auto" w:sz="4" w:space="0"/>
              <w:left w:val="single" w:color="000000" w:sz="4" w:space="0"/>
              <w:bottom w:val="single" w:color="000000" w:sz="4" w:space="0"/>
              <w:right w:val="single" w:color="000000" w:sz="4" w:space="0"/>
            </w:tcBorders>
            <w:noWrap/>
            <w:vAlign w:val="center"/>
          </w:tcPr>
          <w:p w14:paraId="1CD93D21">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1399000.00</w:t>
            </w:r>
          </w:p>
        </w:tc>
      </w:tr>
      <w:tr w14:paraId="4F477805">
        <w:tblPrEx>
          <w:tblCellMar>
            <w:top w:w="0" w:type="dxa"/>
            <w:left w:w="108" w:type="dxa"/>
            <w:bottom w:w="0" w:type="dxa"/>
            <w:right w:w="108" w:type="dxa"/>
          </w:tblCellMar>
        </w:tblPrEx>
        <w:trPr>
          <w:trHeight w:val="17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9FF1B34">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549C3121">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A2B45AE">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崇左市综合监测－违法用地线索核查技术</w:t>
            </w:r>
          </w:p>
        </w:tc>
        <w:tc>
          <w:tcPr>
            <w:tcW w:w="4308" w:type="dxa"/>
            <w:tcBorders>
              <w:top w:val="single" w:color="000000" w:sz="4" w:space="0"/>
              <w:left w:val="single" w:color="000000" w:sz="4" w:space="0"/>
              <w:bottom w:val="single" w:color="000000" w:sz="4" w:space="0"/>
              <w:right w:val="single" w:color="000000" w:sz="4" w:space="0"/>
            </w:tcBorders>
            <w:vAlign w:val="center"/>
          </w:tcPr>
          <w:p w14:paraId="2D030505">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内业审核监测系统中县级上报的每个图斑地类、规划、占用基本农田、是否已获批建设、是否发证等情况。</w:t>
            </w:r>
          </w:p>
        </w:tc>
        <w:tc>
          <w:tcPr>
            <w:tcW w:w="1901" w:type="dxa"/>
            <w:tcBorders>
              <w:top w:val="single" w:color="000000" w:sz="4" w:space="0"/>
              <w:left w:val="single" w:color="000000" w:sz="4" w:space="0"/>
              <w:bottom w:val="single" w:color="000000" w:sz="4" w:space="0"/>
              <w:right w:val="single" w:color="000000" w:sz="4" w:space="0"/>
            </w:tcBorders>
            <w:vAlign w:val="center"/>
          </w:tcPr>
          <w:p w14:paraId="49B6A72C">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依据《广西壮族自治区自然资源厅关于建立健全综合监测监管快速反应机制的通知》，第四条工作流程及任务分工。</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198313BD">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34444.00</w:t>
            </w:r>
          </w:p>
        </w:tc>
      </w:tr>
      <w:tr w14:paraId="102DED68">
        <w:tblPrEx>
          <w:tblCellMar>
            <w:top w:w="0" w:type="dxa"/>
            <w:left w:w="108" w:type="dxa"/>
            <w:bottom w:w="0" w:type="dxa"/>
            <w:right w:w="108" w:type="dxa"/>
          </w:tblCellMar>
        </w:tblPrEx>
        <w:trPr>
          <w:trHeight w:val="39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1A354587">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1F59783E">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B9E9602">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违法图斑出具现场勘测技术报告</w:t>
            </w:r>
          </w:p>
        </w:tc>
        <w:tc>
          <w:tcPr>
            <w:tcW w:w="4308" w:type="dxa"/>
            <w:tcBorders>
              <w:top w:val="single" w:color="000000" w:sz="4" w:space="0"/>
              <w:left w:val="single" w:color="000000" w:sz="4" w:space="0"/>
              <w:bottom w:val="single" w:color="000000" w:sz="4" w:space="0"/>
              <w:right w:val="single" w:color="000000" w:sz="4" w:space="0"/>
            </w:tcBorders>
            <w:vAlign w:val="center"/>
          </w:tcPr>
          <w:p w14:paraId="5DB49229">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收集土地利用现状数据、耕地资源质量数据、基本农田保护数据、已批准的新增建设用地项目空间位置及属性信息、历年地籍发证资料、年度土地变更调查形成的各级控制界线、控制面积和各地类面积资料等资料，并进行整理核实。</w:t>
            </w:r>
            <w:r>
              <w:rPr>
                <w:rFonts w:hint="eastAsia" w:ascii="宋体" w:hAnsi="宋体" w:cs="宋体"/>
                <w:color w:val="000000"/>
                <w:kern w:val="0"/>
                <w:szCs w:val="21"/>
              </w:rPr>
              <w:br w:type="textWrapping"/>
            </w:r>
            <w:r>
              <w:rPr>
                <w:rFonts w:hint="eastAsia" w:ascii="宋体" w:hAnsi="宋体" w:cs="宋体"/>
                <w:color w:val="000000"/>
                <w:kern w:val="0"/>
                <w:szCs w:val="21"/>
              </w:rPr>
              <w:t>2.外业举证</w:t>
            </w:r>
            <w:r>
              <w:rPr>
                <w:rFonts w:hint="eastAsia" w:ascii="宋体" w:hAnsi="宋体" w:cs="宋体"/>
                <w:color w:val="000000"/>
                <w:kern w:val="0"/>
                <w:szCs w:val="21"/>
              </w:rPr>
              <w:br w:type="textWrapping"/>
            </w:r>
            <w:r>
              <w:rPr>
                <w:rFonts w:hint="eastAsia" w:ascii="宋体" w:hAnsi="宋体" w:cs="宋体"/>
                <w:color w:val="000000"/>
                <w:kern w:val="0"/>
                <w:szCs w:val="21"/>
              </w:rPr>
              <w:t>首先采用无人机航空摄影测量进行现场作业，根据需要现场拍照、录像，并进行正射影像或三维模型测量。</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w:t>
            </w:r>
            <w:r>
              <w:rPr>
                <w:rFonts w:hint="eastAsia" w:ascii="宋体" w:hAnsi="宋体" w:cs="宋体"/>
                <w:color w:val="000000"/>
                <w:kern w:val="0"/>
                <w:szCs w:val="21"/>
              </w:rPr>
              <w:br w:type="textWrapping"/>
            </w:r>
            <w:r>
              <w:rPr>
                <w:rFonts w:hint="eastAsia" w:ascii="宋体" w:hAnsi="宋体" w:cs="宋体"/>
                <w:color w:val="000000"/>
                <w:kern w:val="0"/>
                <w:szCs w:val="21"/>
              </w:rPr>
              <w:t>生成正射影像，根据现场量取土层数据并查询每个图斑地类、土层厚度、规划、占用基本农田、是否已获批建设、是否发证等情况，</w:t>
            </w:r>
            <w:r>
              <w:rPr>
                <w:rFonts w:hint="eastAsia" w:ascii="宋体" w:hAnsi="宋体" w:cs="宋体"/>
                <w:color w:val="auto"/>
                <w:kern w:val="0"/>
                <w:szCs w:val="21"/>
              </w:rPr>
              <w:t>编写违法用地分析报告。</w:t>
            </w:r>
          </w:p>
        </w:tc>
        <w:tc>
          <w:tcPr>
            <w:tcW w:w="1901" w:type="dxa"/>
            <w:tcBorders>
              <w:top w:val="single" w:color="000000" w:sz="4" w:space="0"/>
              <w:left w:val="single" w:color="000000" w:sz="4" w:space="0"/>
              <w:bottom w:val="single" w:color="000000" w:sz="4" w:space="0"/>
              <w:right w:val="single" w:color="000000" w:sz="4" w:space="0"/>
            </w:tcBorders>
            <w:vAlign w:val="center"/>
          </w:tcPr>
          <w:p w14:paraId="6A1A348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国土资源部最高人民检察院公安部关于国土资源行政主管部门移送涉嫌国土资源犯罪案件的若干意见》（国土资发〔2008〕203号）、《国土资源部关于印发〈国土资源违法行为查处工作规程〉的通知》（国土资发〔2014〕117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2F0974E5">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350602.00</w:t>
            </w:r>
          </w:p>
        </w:tc>
      </w:tr>
      <w:tr w14:paraId="591C1B19">
        <w:tblPrEx>
          <w:tblCellMar>
            <w:top w:w="0" w:type="dxa"/>
            <w:left w:w="108" w:type="dxa"/>
            <w:bottom w:w="0" w:type="dxa"/>
            <w:right w:w="108" w:type="dxa"/>
          </w:tblCellMar>
        </w:tblPrEx>
        <w:trPr>
          <w:trHeight w:val="789"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230479BB">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4</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2C8A198C">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4346E19">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被占用耕地破坏鉴定技术服务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68AE9B7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收集土地利用现状数据、耕地资源质量数据、基本农田保护数据、已批准的新增建设用地项目空间位置及属性信息、历年地籍发证资料、年度土地变更调查形成的各级控制界线、控制面积和各地类面积资料等资料，并进行整理核实。</w:t>
            </w:r>
            <w:r>
              <w:rPr>
                <w:rFonts w:hint="eastAsia" w:ascii="宋体" w:hAnsi="宋体" w:cs="宋体"/>
                <w:color w:val="000000"/>
                <w:kern w:val="0"/>
                <w:szCs w:val="21"/>
              </w:rPr>
              <w:br w:type="textWrapping"/>
            </w:r>
            <w:r>
              <w:rPr>
                <w:rFonts w:hint="eastAsia" w:ascii="宋体" w:hAnsi="宋体" w:cs="宋体"/>
                <w:color w:val="000000"/>
                <w:kern w:val="0"/>
                <w:szCs w:val="21"/>
              </w:rPr>
              <w:t>2.外业举证</w:t>
            </w:r>
            <w:r>
              <w:rPr>
                <w:rFonts w:hint="eastAsia" w:ascii="宋体" w:hAnsi="宋体" w:cs="宋体"/>
                <w:color w:val="000000"/>
                <w:kern w:val="0"/>
                <w:szCs w:val="21"/>
              </w:rPr>
              <w:br w:type="textWrapping"/>
            </w:r>
            <w:r>
              <w:rPr>
                <w:rFonts w:hint="eastAsia" w:ascii="宋体" w:hAnsi="宋体" w:cs="宋体"/>
                <w:color w:val="000000"/>
                <w:kern w:val="0"/>
                <w:szCs w:val="21"/>
              </w:rPr>
              <w:t>首先采用无人机航空摄影测量进行现场作业，根据需要现场拍照、录像，并进行正射影像或三维模型测量。</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w:t>
            </w:r>
            <w:r>
              <w:rPr>
                <w:rFonts w:hint="eastAsia" w:ascii="宋体" w:hAnsi="宋体" w:cs="宋体"/>
                <w:color w:val="000000"/>
                <w:kern w:val="0"/>
                <w:szCs w:val="21"/>
              </w:rPr>
              <w:br w:type="textWrapping"/>
            </w:r>
            <w:r>
              <w:rPr>
                <w:rFonts w:hint="eastAsia" w:ascii="宋体" w:hAnsi="宋体" w:cs="宋体"/>
                <w:color w:val="000000"/>
                <w:kern w:val="0"/>
                <w:szCs w:val="21"/>
              </w:rPr>
              <w:t>生成正射影像，根据现场量取土层数据并查询每个图斑地类、土层厚度、规划、占用基本农田、是否已获批建设、是否发证等情况，编写耕地破坏报告。</w:t>
            </w:r>
          </w:p>
        </w:tc>
        <w:tc>
          <w:tcPr>
            <w:tcW w:w="1901" w:type="dxa"/>
            <w:tcBorders>
              <w:top w:val="single" w:color="000000" w:sz="4" w:space="0"/>
              <w:left w:val="single" w:color="000000" w:sz="4" w:space="0"/>
              <w:bottom w:val="single" w:color="000000" w:sz="4" w:space="0"/>
              <w:right w:val="single" w:color="000000" w:sz="4" w:space="0"/>
            </w:tcBorders>
            <w:vAlign w:val="center"/>
          </w:tcPr>
          <w:p w14:paraId="591444CC">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依据《广西壮族自治区耕地破坏损毁鉴定办法》（试行），第五条。</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62DD8ABA">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140232.39</w:t>
            </w:r>
          </w:p>
        </w:tc>
      </w:tr>
      <w:tr w14:paraId="782DA568">
        <w:tblPrEx>
          <w:tblCellMar>
            <w:top w:w="0" w:type="dxa"/>
            <w:left w:w="108" w:type="dxa"/>
            <w:bottom w:w="0" w:type="dxa"/>
            <w:right w:w="108" w:type="dxa"/>
          </w:tblCellMar>
        </w:tblPrEx>
        <w:trPr>
          <w:trHeight w:val="39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1FDCC15A">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5</w:t>
            </w: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14:paraId="36369F7F">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耕地占补平衡管理、征收、质量分类认定技术</w:t>
            </w:r>
          </w:p>
        </w:tc>
        <w:tc>
          <w:tcPr>
            <w:tcW w:w="639" w:type="dxa"/>
            <w:tcBorders>
              <w:top w:val="single" w:color="000000" w:sz="4" w:space="0"/>
              <w:left w:val="single" w:color="000000" w:sz="4" w:space="0"/>
              <w:bottom w:val="single" w:color="000000" w:sz="4" w:space="0"/>
              <w:right w:val="single" w:color="000000" w:sz="4" w:space="0"/>
            </w:tcBorders>
            <w:vAlign w:val="center"/>
          </w:tcPr>
          <w:p w14:paraId="3A412AA2">
            <w:pPr>
              <w:widowControl/>
              <w:spacing w:line="360" w:lineRule="auto"/>
              <w:jc w:val="left"/>
              <w:textAlignment w:val="center"/>
              <w:rPr>
                <w:rFonts w:ascii="宋体" w:hAnsi="宋体" w:cs="宋体"/>
                <w:color w:val="FF0000"/>
                <w:szCs w:val="21"/>
              </w:rPr>
            </w:pPr>
            <w:r>
              <w:rPr>
                <w:rFonts w:hint="eastAsia" w:ascii="宋体" w:hAnsi="宋体" w:cs="宋体"/>
                <w:color w:val="auto"/>
                <w:kern w:val="0"/>
                <w:szCs w:val="21"/>
              </w:rPr>
              <w:t>补充耕地指标核查工作</w:t>
            </w:r>
          </w:p>
        </w:tc>
        <w:tc>
          <w:tcPr>
            <w:tcW w:w="4308" w:type="dxa"/>
            <w:tcBorders>
              <w:top w:val="single" w:color="000000" w:sz="4" w:space="0"/>
              <w:left w:val="single" w:color="000000" w:sz="4" w:space="0"/>
              <w:bottom w:val="single" w:color="000000" w:sz="4" w:space="0"/>
              <w:right w:val="single" w:color="000000" w:sz="4" w:space="0"/>
            </w:tcBorders>
            <w:vAlign w:val="center"/>
          </w:tcPr>
          <w:p w14:paraId="4DC0150D">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1.收集材料</w:t>
            </w:r>
            <w:r>
              <w:rPr>
                <w:rFonts w:hint="eastAsia" w:ascii="宋体" w:hAnsi="宋体" w:cs="宋体"/>
                <w:color w:val="000000"/>
                <w:kern w:val="0"/>
                <w:szCs w:val="21"/>
              </w:rPr>
              <w:br w:type="textWrapping"/>
            </w:r>
            <w:r>
              <w:rPr>
                <w:rFonts w:hint="eastAsia" w:ascii="宋体" w:hAnsi="宋体" w:cs="宋体"/>
                <w:color w:val="000000"/>
                <w:kern w:val="0"/>
                <w:szCs w:val="21"/>
              </w:rPr>
              <w:t>收集最新年度的国土变更调查耕地成果；耕地等别库；项目完成前三年影像；项目的可研、规划设计、竣工验收等材料。</w:t>
            </w:r>
            <w:r>
              <w:rPr>
                <w:rFonts w:hint="eastAsia" w:ascii="宋体" w:hAnsi="宋体" w:cs="宋体"/>
                <w:color w:val="000000"/>
                <w:kern w:val="0"/>
                <w:szCs w:val="21"/>
              </w:rPr>
              <w:br w:type="textWrapping"/>
            </w:r>
            <w:r>
              <w:rPr>
                <w:rFonts w:hint="eastAsia" w:ascii="宋体" w:hAnsi="宋体" w:cs="宋体"/>
                <w:color w:val="000000"/>
                <w:kern w:val="0"/>
                <w:szCs w:val="21"/>
              </w:rPr>
              <w:t>2.内业核查</w:t>
            </w:r>
            <w:r>
              <w:rPr>
                <w:rFonts w:hint="eastAsia" w:ascii="宋体" w:hAnsi="宋体" w:cs="宋体"/>
                <w:color w:val="000000"/>
                <w:kern w:val="0"/>
                <w:szCs w:val="21"/>
              </w:rPr>
              <w:br w:type="textWrapping"/>
            </w:r>
            <w:r>
              <w:rPr>
                <w:rFonts w:hint="eastAsia" w:ascii="宋体" w:hAnsi="宋体" w:cs="宋体"/>
                <w:color w:val="000000"/>
                <w:kern w:val="0"/>
                <w:szCs w:val="21"/>
              </w:rPr>
              <w:t>根据项目范围线及年度国土变更调查成果，核查新增耕地范围线是否准确，核查新增耕地范围线套合前三年影像，是否有耕地痕迹。编写核查报告。</w:t>
            </w:r>
            <w:r>
              <w:rPr>
                <w:rFonts w:hint="eastAsia" w:ascii="宋体" w:hAnsi="宋体" w:cs="宋体"/>
                <w:color w:val="000000"/>
                <w:kern w:val="0"/>
                <w:szCs w:val="21"/>
              </w:rPr>
              <w:br w:type="textWrapping"/>
            </w:r>
            <w:r>
              <w:rPr>
                <w:rFonts w:hint="eastAsia" w:ascii="宋体" w:hAnsi="宋体" w:cs="宋体"/>
                <w:color w:val="000000"/>
                <w:kern w:val="0"/>
                <w:szCs w:val="21"/>
              </w:rPr>
              <w:t>3.外业核查</w:t>
            </w:r>
            <w:r>
              <w:rPr>
                <w:rFonts w:hint="eastAsia" w:ascii="宋体" w:hAnsi="宋体" w:cs="宋体"/>
                <w:color w:val="000000"/>
                <w:kern w:val="0"/>
                <w:szCs w:val="21"/>
              </w:rPr>
              <w:br w:type="textWrapping"/>
            </w:r>
            <w:r>
              <w:rPr>
                <w:rFonts w:hint="eastAsia" w:ascii="宋体" w:hAnsi="宋体" w:cs="宋体"/>
                <w:color w:val="000000"/>
                <w:kern w:val="0"/>
                <w:szCs w:val="21"/>
              </w:rPr>
              <w:t>根据新增耕地范围线，对每一个地块进行外业核查，是否达到耕地标准，是否种植作物；对新增耕地地块的土壤进行抽查，随机抽选</w:t>
            </w:r>
            <w:r>
              <w:rPr>
                <w:rFonts w:hint="eastAsia" w:ascii="宋体" w:hAnsi="宋体" w:cs="宋体"/>
                <w:color w:val="auto"/>
                <w:kern w:val="0"/>
                <w:szCs w:val="21"/>
              </w:rPr>
              <w:t>10%地块的土壤进行检</w:t>
            </w:r>
            <w:r>
              <w:rPr>
                <w:rFonts w:hint="eastAsia" w:ascii="宋体" w:hAnsi="宋体" w:cs="宋体"/>
                <w:color w:val="000000"/>
                <w:kern w:val="0"/>
                <w:szCs w:val="21"/>
              </w:rPr>
              <w:t>测，核查该项目耕地评价结果是否合理。</w:t>
            </w:r>
          </w:p>
        </w:tc>
        <w:tc>
          <w:tcPr>
            <w:tcW w:w="1901" w:type="dxa"/>
            <w:tcBorders>
              <w:top w:val="single" w:color="000000" w:sz="4" w:space="0"/>
              <w:left w:val="single" w:color="000000" w:sz="4" w:space="0"/>
              <w:bottom w:val="single" w:color="000000" w:sz="4" w:space="0"/>
              <w:right w:val="single" w:color="000000" w:sz="4" w:space="0"/>
            </w:tcBorders>
            <w:vAlign w:val="center"/>
          </w:tcPr>
          <w:p w14:paraId="3C39873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关于印发〈广西壮族自治区补充耕地指标交易管理办法〉的通知》（桂自然资规〔2020〕5号）、《关于严格核定土地整治和高标准农田建设项目新增耕地的通知》（国土资发〔2018〕31号）、《关于进一步严格新增耕地报备入库有关事项的函》（自然资耕保函〔2021〕38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7F47A277">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279061.44</w:t>
            </w:r>
          </w:p>
        </w:tc>
      </w:tr>
      <w:tr w14:paraId="73A35468">
        <w:tblPrEx>
          <w:tblCellMar>
            <w:top w:w="0" w:type="dxa"/>
            <w:left w:w="108" w:type="dxa"/>
            <w:bottom w:w="0" w:type="dxa"/>
            <w:right w:w="108" w:type="dxa"/>
          </w:tblCellMar>
        </w:tblPrEx>
        <w:trPr>
          <w:trHeight w:val="36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7D4214D9">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6</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5A0B73C4">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9DC9604">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市级耕地资源质量分类监测</w:t>
            </w:r>
          </w:p>
        </w:tc>
        <w:tc>
          <w:tcPr>
            <w:tcW w:w="4308" w:type="dxa"/>
            <w:tcBorders>
              <w:top w:val="single" w:color="000000" w:sz="4" w:space="0"/>
              <w:left w:val="single" w:color="000000" w:sz="4" w:space="0"/>
              <w:bottom w:val="single" w:color="000000" w:sz="4" w:space="0"/>
              <w:right w:val="single" w:color="000000" w:sz="4" w:space="0"/>
            </w:tcBorders>
            <w:vAlign w:val="center"/>
          </w:tcPr>
          <w:p w14:paraId="546093D3">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1.内业数据核查</w:t>
            </w:r>
            <w:r>
              <w:rPr>
                <w:rFonts w:hint="eastAsia" w:ascii="宋体" w:hAnsi="宋体" w:cs="宋体"/>
                <w:color w:val="000000"/>
                <w:kern w:val="0"/>
                <w:szCs w:val="21"/>
              </w:rPr>
              <w:br w:type="textWrapping"/>
            </w:r>
            <w:r>
              <w:rPr>
                <w:rFonts w:hint="eastAsia" w:ascii="宋体" w:hAnsi="宋体" w:cs="宋体"/>
                <w:color w:val="000000"/>
                <w:kern w:val="0"/>
                <w:szCs w:val="21"/>
              </w:rPr>
              <w:t>（1）根据当年度的《耕地资源质量分类年度更新与监测实施方案》及《耕地资源质量分类年度更新与监测技术手册》对全市7个县（市、区）的县级成果进行齐全性、有效性、合理性、准确性的质量检查。</w:t>
            </w:r>
            <w:r>
              <w:rPr>
                <w:rFonts w:hint="eastAsia" w:ascii="宋体" w:hAnsi="宋体" w:cs="宋体"/>
                <w:color w:val="000000"/>
                <w:kern w:val="0"/>
                <w:szCs w:val="21"/>
              </w:rPr>
              <w:br w:type="textWrapping"/>
            </w:r>
            <w:r>
              <w:rPr>
                <w:rFonts w:hint="eastAsia" w:ascii="宋体" w:hAnsi="宋体" w:cs="宋体"/>
                <w:color w:val="000000"/>
                <w:kern w:val="0"/>
                <w:szCs w:val="21"/>
              </w:rPr>
              <w:t>（2）县级成果复核无误后,按照《技术手册》相关要求汇总县级数据，编制市级成果（主要包括①崇左市耕地资源质量分类年度更新与监测分析报告；②耕地资源质量分类面积汇总表；③耕地资源质量分类年度监测样点汇总表；④县级报告审查意见；⑤土壤条件指标分布图等），提交自治区自然资源厅。</w:t>
            </w:r>
          </w:p>
        </w:tc>
        <w:tc>
          <w:tcPr>
            <w:tcW w:w="1901" w:type="dxa"/>
            <w:tcBorders>
              <w:top w:val="single" w:color="000000" w:sz="4" w:space="0"/>
              <w:left w:val="single" w:color="000000" w:sz="4" w:space="0"/>
              <w:bottom w:val="single" w:color="000000" w:sz="4" w:space="0"/>
              <w:right w:val="single" w:color="000000" w:sz="4" w:space="0"/>
            </w:tcBorders>
            <w:vAlign w:val="center"/>
          </w:tcPr>
          <w:p w14:paraId="404981B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依据《广西壮族自治区自然资源厅办公室关于印发〈广西2023年度耕地资源质量分类年度更新与监测实施方案〉的通知》（桂自然资办〔2024〕28号）。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19E20127">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251647.83</w:t>
            </w:r>
          </w:p>
        </w:tc>
      </w:tr>
      <w:tr w14:paraId="4CA9A1F9">
        <w:tblPrEx>
          <w:tblCellMar>
            <w:top w:w="0" w:type="dxa"/>
            <w:left w:w="108" w:type="dxa"/>
            <w:bottom w:w="0" w:type="dxa"/>
            <w:right w:w="108" w:type="dxa"/>
          </w:tblCellMar>
        </w:tblPrEx>
        <w:trPr>
          <w:trHeight w:val="33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AEAFCB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7</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03B5B8FB">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E649660">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土地征收社会稳定风险评估</w:t>
            </w:r>
          </w:p>
        </w:tc>
        <w:tc>
          <w:tcPr>
            <w:tcW w:w="4308" w:type="dxa"/>
            <w:tcBorders>
              <w:top w:val="single" w:color="000000" w:sz="4" w:space="0"/>
              <w:left w:val="single" w:color="000000" w:sz="4" w:space="0"/>
              <w:bottom w:val="single" w:color="000000" w:sz="4" w:space="0"/>
              <w:right w:val="single" w:color="000000" w:sz="4" w:space="0"/>
            </w:tcBorders>
            <w:vAlign w:val="center"/>
          </w:tcPr>
          <w:p w14:paraId="3A6B0492">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1.收集材料</w:t>
            </w:r>
            <w:r>
              <w:rPr>
                <w:rFonts w:hint="eastAsia" w:ascii="宋体" w:hAnsi="宋体" w:cs="宋体"/>
                <w:color w:val="000000"/>
                <w:kern w:val="0"/>
                <w:szCs w:val="21"/>
              </w:rPr>
              <w:br w:type="textWrapping"/>
            </w:r>
            <w:r>
              <w:rPr>
                <w:rFonts w:hint="eastAsia" w:ascii="宋体" w:hAnsi="宋体" w:cs="宋体"/>
                <w:color w:val="000000"/>
                <w:kern w:val="0"/>
                <w:szCs w:val="21"/>
              </w:rPr>
              <w:t>项目可行性研究报告及批复；国土空间规划方案及批文；集体土地征收及拆迁补偿标准的批复文件；土地预征收的公告；勘测定界成果（勘测定界图、现状图、规划图、地类面积表）；项目设计及批复；征地材料。</w:t>
            </w:r>
            <w:r>
              <w:rPr>
                <w:rFonts w:hint="eastAsia" w:ascii="宋体" w:hAnsi="宋体" w:cs="宋体"/>
                <w:color w:val="000000"/>
                <w:kern w:val="0"/>
                <w:szCs w:val="21"/>
              </w:rPr>
              <w:br w:type="textWrapping"/>
            </w:r>
            <w:r>
              <w:rPr>
                <w:rFonts w:hint="eastAsia" w:ascii="宋体" w:hAnsi="宋体" w:cs="宋体"/>
                <w:color w:val="000000"/>
                <w:kern w:val="0"/>
                <w:szCs w:val="21"/>
              </w:rPr>
              <w:t>2.风险调查</w:t>
            </w:r>
            <w:r>
              <w:rPr>
                <w:rFonts w:hint="eastAsia" w:ascii="宋体" w:hAnsi="宋体" w:cs="宋体"/>
                <w:color w:val="000000"/>
                <w:kern w:val="0"/>
                <w:szCs w:val="21"/>
              </w:rPr>
              <w:br w:type="textWrapping"/>
            </w:r>
            <w:r>
              <w:rPr>
                <w:rFonts w:hint="eastAsia" w:ascii="宋体" w:hAnsi="宋体" w:cs="宋体"/>
                <w:color w:val="000000"/>
                <w:kern w:val="0"/>
                <w:szCs w:val="21"/>
              </w:rPr>
              <w:t>调查方式：实地踏勘；问卷调查（民众参与）；走访座谈。</w:t>
            </w:r>
            <w:r>
              <w:rPr>
                <w:rFonts w:hint="eastAsia" w:ascii="宋体" w:hAnsi="宋体" w:cs="宋体"/>
                <w:color w:val="000000"/>
                <w:kern w:val="0"/>
                <w:szCs w:val="21"/>
              </w:rPr>
              <w:br w:type="textWrapping"/>
            </w:r>
            <w:r>
              <w:rPr>
                <w:rFonts w:hint="eastAsia" w:ascii="宋体" w:hAnsi="宋体" w:cs="宋体"/>
                <w:color w:val="000000"/>
                <w:kern w:val="0"/>
                <w:szCs w:val="21"/>
              </w:rPr>
              <w:t>3.编写报告</w:t>
            </w:r>
            <w:r>
              <w:rPr>
                <w:rFonts w:hint="eastAsia" w:ascii="宋体" w:hAnsi="宋体" w:cs="宋体"/>
                <w:color w:val="000000"/>
                <w:kern w:val="0"/>
                <w:szCs w:val="21"/>
              </w:rPr>
              <w:br w:type="textWrapping"/>
            </w:r>
            <w:r>
              <w:rPr>
                <w:rFonts w:hint="eastAsia" w:ascii="宋体" w:hAnsi="宋体" w:cs="宋体"/>
                <w:color w:val="000000"/>
                <w:kern w:val="0"/>
                <w:szCs w:val="21"/>
              </w:rPr>
              <w:t>4.上会审查</w:t>
            </w:r>
            <w:r>
              <w:rPr>
                <w:rFonts w:hint="eastAsia" w:ascii="宋体" w:hAnsi="宋体" w:cs="宋体"/>
                <w:color w:val="000000"/>
                <w:kern w:val="0"/>
                <w:szCs w:val="21"/>
              </w:rPr>
              <w:br w:type="textWrapping"/>
            </w:r>
            <w:r>
              <w:rPr>
                <w:rFonts w:hint="eastAsia" w:ascii="宋体" w:hAnsi="宋体" w:cs="宋体"/>
                <w:color w:val="000000"/>
                <w:kern w:val="0"/>
                <w:szCs w:val="21"/>
              </w:rPr>
              <w:t>5.提交最终成果</w:t>
            </w:r>
          </w:p>
        </w:tc>
        <w:tc>
          <w:tcPr>
            <w:tcW w:w="1901" w:type="dxa"/>
            <w:tcBorders>
              <w:top w:val="single" w:color="000000" w:sz="4" w:space="0"/>
              <w:left w:val="single" w:color="000000" w:sz="4" w:space="0"/>
              <w:bottom w:val="single" w:color="000000" w:sz="4" w:space="0"/>
              <w:right w:val="single" w:color="000000" w:sz="4" w:space="0"/>
            </w:tcBorders>
            <w:vAlign w:val="center"/>
          </w:tcPr>
          <w:p w14:paraId="605288E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国家发展改革委重大固定资产投资项目社会稳定风险评估暂行办法》（发改投资〔2012〕2492号）、《国家发展改革委办公厅关于印发重大固定资产投资项目社会稳定风险分析篇章和评估报告编制大纲（试行）的通知》（发改办投资〔2013〕428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1388BA38">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208614.00</w:t>
            </w:r>
          </w:p>
        </w:tc>
      </w:tr>
      <w:tr w14:paraId="76B2700A">
        <w:tblPrEx>
          <w:tblCellMar>
            <w:top w:w="0" w:type="dxa"/>
            <w:left w:w="108" w:type="dxa"/>
            <w:bottom w:w="0" w:type="dxa"/>
            <w:right w:w="108" w:type="dxa"/>
          </w:tblCellMar>
        </w:tblPrEx>
        <w:trPr>
          <w:trHeight w:val="834"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E7A8695">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8</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1DD151FA">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ABED37B">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新增耕地图斑市级地类认定及数据审核</w:t>
            </w:r>
          </w:p>
        </w:tc>
        <w:tc>
          <w:tcPr>
            <w:tcW w:w="4308" w:type="dxa"/>
            <w:tcBorders>
              <w:top w:val="single" w:color="000000" w:sz="4" w:space="0"/>
              <w:left w:val="single" w:color="000000" w:sz="4" w:space="0"/>
              <w:bottom w:val="single" w:color="000000" w:sz="4" w:space="0"/>
              <w:right w:val="single" w:color="000000" w:sz="4" w:space="0"/>
            </w:tcBorders>
            <w:vAlign w:val="center"/>
          </w:tcPr>
          <w:p w14:paraId="6D8230B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1.收集材料</w:t>
            </w:r>
            <w:r>
              <w:rPr>
                <w:rFonts w:hint="eastAsia" w:ascii="宋体" w:hAnsi="宋体" w:cs="宋体"/>
                <w:color w:val="000000"/>
                <w:kern w:val="0"/>
                <w:szCs w:val="21"/>
              </w:rPr>
              <w:br w:type="textWrapping"/>
            </w:r>
            <w:r>
              <w:rPr>
                <w:rFonts w:hint="eastAsia" w:ascii="宋体" w:hAnsi="宋体" w:cs="宋体"/>
                <w:color w:val="000000"/>
                <w:kern w:val="0"/>
                <w:szCs w:val="21"/>
              </w:rPr>
              <w:t>收集最新年度的国土变更调查成果；坡度库；林业一张图数据库；自然保护区；风景名胜区；“三区三线”生态保护红线成果等。</w:t>
            </w:r>
            <w:r>
              <w:rPr>
                <w:rFonts w:hint="eastAsia" w:ascii="宋体" w:hAnsi="宋体" w:cs="宋体"/>
                <w:color w:val="000000"/>
                <w:kern w:val="0"/>
                <w:szCs w:val="21"/>
              </w:rPr>
              <w:br w:type="textWrapping"/>
            </w:r>
            <w:r>
              <w:rPr>
                <w:rFonts w:hint="eastAsia" w:ascii="宋体" w:hAnsi="宋体" w:cs="宋体"/>
                <w:color w:val="000000"/>
                <w:kern w:val="0"/>
                <w:szCs w:val="21"/>
              </w:rPr>
              <w:t>2.分析数据</w:t>
            </w:r>
            <w:r>
              <w:rPr>
                <w:rFonts w:hint="eastAsia" w:ascii="宋体" w:hAnsi="宋体" w:cs="宋体"/>
                <w:color w:val="000000"/>
                <w:kern w:val="0"/>
                <w:szCs w:val="21"/>
              </w:rPr>
              <w:br w:type="textWrapping"/>
            </w:r>
            <w:r>
              <w:rPr>
                <w:rFonts w:hint="eastAsia" w:ascii="宋体" w:hAnsi="宋体" w:cs="宋体"/>
                <w:color w:val="000000"/>
                <w:kern w:val="0"/>
                <w:szCs w:val="21"/>
              </w:rPr>
              <w:t>从最新年度的国土变更调查提取非耕地及非建设用地图斑，再将该部分图斑与“三区三线”、坡度级别为4级5级的范围、风景名胜区、林业部门的林地限制区（公益林、退耕还林、自然保护区等）、历年耕地（包括二调及三调后的耕地）、已开垦项目（包括已开垦未入库项目）进行擦除分析，形成补充耕地潜力数据。</w:t>
            </w:r>
            <w:r>
              <w:rPr>
                <w:rFonts w:hint="eastAsia" w:ascii="宋体" w:hAnsi="宋体" w:cs="宋体"/>
                <w:color w:val="000000"/>
                <w:kern w:val="0"/>
                <w:szCs w:val="21"/>
              </w:rPr>
              <w:br w:type="textWrapping"/>
            </w:r>
            <w:r>
              <w:rPr>
                <w:rFonts w:hint="eastAsia" w:ascii="宋体" w:hAnsi="宋体" w:cs="宋体"/>
                <w:color w:val="000000"/>
                <w:kern w:val="0"/>
                <w:szCs w:val="21"/>
              </w:rPr>
              <w:t>3.系统核查</w:t>
            </w:r>
            <w:r>
              <w:rPr>
                <w:rFonts w:hint="eastAsia" w:ascii="宋体" w:hAnsi="宋体" w:cs="宋体"/>
                <w:color w:val="000000"/>
                <w:kern w:val="0"/>
                <w:szCs w:val="21"/>
              </w:rPr>
              <w:br w:type="textWrapping"/>
            </w:r>
            <w:r>
              <w:rPr>
                <w:rFonts w:hint="eastAsia" w:ascii="宋体" w:hAnsi="宋体" w:cs="宋体"/>
                <w:color w:val="000000"/>
                <w:kern w:val="0"/>
                <w:szCs w:val="21"/>
              </w:rPr>
              <w:t>将潜力数据拆分多部件后删除微小面（一般要求单地块面积大于400㎡）、结合影像等地形数据优先选取坡度较平缓且较为集中连片区域，后将潜力图斑发给业主，由业主选择意向区域。将意向区域数据转换成可导入占补平衡系统的数据格式，根据系统分析提示修改意向范围，直至通过系统核查。</w:t>
            </w:r>
          </w:p>
        </w:tc>
        <w:tc>
          <w:tcPr>
            <w:tcW w:w="1901" w:type="dxa"/>
            <w:tcBorders>
              <w:top w:val="single" w:color="000000" w:sz="4" w:space="0"/>
              <w:left w:val="single" w:color="000000" w:sz="4" w:space="0"/>
              <w:bottom w:val="single" w:color="000000" w:sz="4" w:space="0"/>
              <w:right w:val="single" w:color="000000" w:sz="4" w:space="0"/>
            </w:tcBorders>
            <w:vAlign w:val="center"/>
          </w:tcPr>
          <w:p w14:paraId="1F66FB76">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依据《关于严格核定土地整治和高标准农田建设项目新增耕地的通知》（国土资发〔2018〕31号）和《关于进一步严格新增耕地报备入库有关事项的函》（自然资耕保函〔2021〕38号）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54806B0B">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449172.00</w:t>
            </w:r>
          </w:p>
        </w:tc>
      </w:tr>
      <w:tr w14:paraId="33920D4C">
        <w:tblPrEx>
          <w:tblCellMar>
            <w:top w:w="0" w:type="dxa"/>
            <w:left w:w="108" w:type="dxa"/>
            <w:bottom w:w="0" w:type="dxa"/>
            <w:right w:w="108" w:type="dxa"/>
          </w:tblCellMar>
        </w:tblPrEx>
        <w:trPr>
          <w:trHeight w:val="58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1D4F7991">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9</w:t>
            </w: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14:paraId="290283CA">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自然资源基础测绘、调查监测分析技术</w:t>
            </w:r>
          </w:p>
        </w:tc>
        <w:tc>
          <w:tcPr>
            <w:tcW w:w="639" w:type="dxa"/>
            <w:tcBorders>
              <w:top w:val="single" w:color="000000" w:sz="4" w:space="0"/>
              <w:left w:val="single" w:color="000000" w:sz="4" w:space="0"/>
              <w:bottom w:val="single" w:color="000000" w:sz="4" w:space="0"/>
              <w:right w:val="single" w:color="000000" w:sz="4" w:space="0"/>
            </w:tcBorders>
            <w:vAlign w:val="center"/>
          </w:tcPr>
          <w:p w14:paraId="32E9B072">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日常变更及年度变更图斑市级审核</w:t>
            </w:r>
          </w:p>
        </w:tc>
        <w:tc>
          <w:tcPr>
            <w:tcW w:w="4308" w:type="dxa"/>
            <w:tcBorders>
              <w:top w:val="single" w:color="000000" w:sz="4" w:space="0"/>
              <w:left w:val="single" w:color="000000" w:sz="4" w:space="0"/>
              <w:bottom w:val="single" w:color="000000" w:sz="4" w:space="0"/>
              <w:right w:val="single" w:color="000000" w:sz="4" w:space="0"/>
            </w:tcBorders>
            <w:vAlign w:val="center"/>
          </w:tcPr>
          <w:p w14:paraId="7A8FB0FE">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1.收集材料</w:t>
            </w:r>
            <w:r>
              <w:rPr>
                <w:rFonts w:hint="eastAsia" w:ascii="宋体" w:hAnsi="宋体" w:cs="宋体"/>
                <w:color w:val="000000"/>
                <w:kern w:val="0"/>
                <w:szCs w:val="21"/>
              </w:rPr>
              <w:br w:type="textWrapping"/>
            </w:r>
            <w:r>
              <w:rPr>
                <w:rFonts w:hint="eastAsia" w:ascii="宋体" w:hAnsi="宋体" w:cs="宋体"/>
                <w:color w:val="000000"/>
                <w:kern w:val="0"/>
                <w:szCs w:val="21"/>
              </w:rPr>
              <w:t>（1）最新年度变更调查成果。</w:t>
            </w:r>
            <w:r>
              <w:rPr>
                <w:rFonts w:hint="eastAsia" w:ascii="宋体" w:hAnsi="宋体" w:cs="宋体"/>
                <w:color w:val="000000"/>
                <w:kern w:val="0"/>
                <w:szCs w:val="21"/>
              </w:rPr>
              <w:br w:type="textWrapping"/>
            </w:r>
            <w:r>
              <w:rPr>
                <w:rFonts w:hint="eastAsia" w:ascii="宋体" w:hAnsi="宋体" w:cs="宋体"/>
                <w:color w:val="000000"/>
                <w:kern w:val="0"/>
                <w:szCs w:val="21"/>
              </w:rPr>
              <w:t>（2）历年耕地成果。</w:t>
            </w:r>
            <w:r>
              <w:rPr>
                <w:rFonts w:hint="eastAsia" w:ascii="宋体" w:hAnsi="宋体" w:cs="宋体"/>
                <w:color w:val="000000"/>
                <w:kern w:val="0"/>
                <w:szCs w:val="21"/>
              </w:rPr>
              <w:br w:type="textWrapping"/>
            </w:r>
            <w:r>
              <w:rPr>
                <w:rFonts w:hint="eastAsia" w:ascii="宋体" w:hAnsi="宋体" w:cs="宋体"/>
                <w:color w:val="000000"/>
                <w:kern w:val="0"/>
                <w:szCs w:val="21"/>
              </w:rPr>
              <w:t>（3）城镇地籍调查成果。</w:t>
            </w:r>
            <w:r>
              <w:rPr>
                <w:rFonts w:hint="eastAsia" w:ascii="宋体" w:hAnsi="宋体" w:cs="宋体"/>
                <w:color w:val="000000"/>
                <w:kern w:val="0"/>
                <w:szCs w:val="21"/>
              </w:rPr>
              <w:br w:type="textWrapping"/>
            </w:r>
            <w:r>
              <w:rPr>
                <w:rFonts w:hint="eastAsia" w:ascii="宋体" w:hAnsi="宋体" w:cs="宋体"/>
                <w:color w:val="000000"/>
                <w:kern w:val="0"/>
                <w:szCs w:val="21"/>
              </w:rPr>
              <w:t>（4）宅基地及集体建设用地使用权登记发证成果或地籍调查成果，包括宗地图和数据库。</w:t>
            </w:r>
            <w:r>
              <w:rPr>
                <w:rFonts w:hint="eastAsia" w:ascii="宋体" w:hAnsi="宋体" w:cs="宋体"/>
                <w:color w:val="000000"/>
                <w:kern w:val="0"/>
                <w:szCs w:val="21"/>
              </w:rPr>
              <w:br w:type="textWrapping"/>
            </w:r>
            <w:r>
              <w:rPr>
                <w:rFonts w:hint="eastAsia" w:ascii="宋体" w:hAnsi="宋体" w:cs="宋体"/>
                <w:color w:val="000000"/>
                <w:kern w:val="0"/>
                <w:szCs w:val="21"/>
              </w:rPr>
              <w:t>（5）集体土地所有权登记发证成果，包括宗地图、界线协议书和数据库。</w:t>
            </w:r>
            <w:r>
              <w:rPr>
                <w:rFonts w:hint="eastAsia" w:ascii="宋体" w:hAnsi="宋体" w:cs="宋体"/>
                <w:color w:val="000000"/>
                <w:kern w:val="0"/>
                <w:szCs w:val="21"/>
              </w:rPr>
              <w:br w:type="textWrapping"/>
            </w:r>
            <w:r>
              <w:rPr>
                <w:rFonts w:hint="eastAsia" w:ascii="宋体" w:hAnsi="宋体" w:cs="宋体"/>
                <w:color w:val="000000"/>
                <w:kern w:val="0"/>
                <w:szCs w:val="21"/>
              </w:rPr>
              <w:t>（6）城镇范围外国有土地使用权登记发证成果。</w:t>
            </w:r>
            <w:r>
              <w:rPr>
                <w:rFonts w:hint="eastAsia" w:ascii="宋体" w:hAnsi="宋体" w:cs="宋体"/>
                <w:color w:val="000000"/>
                <w:kern w:val="0"/>
                <w:szCs w:val="21"/>
              </w:rPr>
              <w:br w:type="textWrapping"/>
            </w:r>
            <w:r>
              <w:rPr>
                <w:rFonts w:hint="eastAsia" w:ascii="宋体" w:hAnsi="宋体" w:cs="宋体"/>
                <w:color w:val="000000"/>
                <w:kern w:val="0"/>
                <w:szCs w:val="21"/>
              </w:rPr>
              <w:t>（7）城镇范围内的不动产登记发证数据成果，包括土地和房屋的登记信息。</w:t>
            </w:r>
            <w:r>
              <w:rPr>
                <w:rFonts w:hint="eastAsia" w:ascii="宋体" w:hAnsi="宋体" w:cs="宋体"/>
                <w:color w:val="000000"/>
                <w:kern w:val="0"/>
                <w:szCs w:val="21"/>
              </w:rPr>
              <w:br w:type="textWrapping"/>
            </w:r>
            <w:r>
              <w:rPr>
                <w:rFonts w:hint="eastAsia" w:ascii="宋体" w:hAnsi="宋体" w:cs="宋体"/>
                <w:color w:val="000000"/>
                <w:kern w:val="0"/>
                <w:szCs w:val="21"/>
              </w:rPr>
              <w:t>（8）永久基本农田划定成果。</w:t>
            </w:r>
            <w:r>
              <w:rPr>
                <w:rFonts w:hint="eastAsia" w:ascii="宋体" w:hAnsi="宋体" w:cs="宋体"/>
                <w:color w:val="000000"/>
                <w:kern w:val="0"/>
                <w:szCs w:val="21"/>
              </w:rPr>
              <w:br w:type="textWrapping"/>
            </w:r>
            <w:r>
              <w:rPr>
                <w:rFonts w:hint="eastAsia" w:ascii="宋体" w:hAnsi="宋体" w:cs="宋体"/>
                <w:color w:val="000000"/>
                <w:kern w:val="0"/>
                <w:szCs w:val="21"/>
              </w:rPr>
              <w:t>（9）历年建设用地报批、供地数据。</w:t>
            </w:r>
            <w:r>
              <w:rPr>
                <w:rFonts w:hint="eastAsia" w:ascii="宋体" w:hAnsi="宋体" w:cs="宋体"/>
                <w:color w:val="000000"/>
                <w:kern w:val="0"/>
                <w:szCs w:val="21"/>
              </w:rPr>
              <w:br w:type="textWrapping"/>
            </w:r>
            <w:r>
              <w:rPr>
                <w:rFonts w:hint="eastAsia" w:ascii="宋体" w:hAnsi="宋体" w:cs="宋体"/>
                <w:color w:val="000000"/>
                <w:kern w:val="0"/>
                <w:szCs w:val="21"/>
              </w:rPr>
              <w:t>（10）土地整治项目立项和验收数据。</w:t>
            </w:r>
            <w:r>
              <w:rPr>
                <w:rFonts w:hint="eastAsia" w:ascii="宋体" w:hAnsi="宋体" w:cs="宋体"/>
                <w:color w:val="000000"/>
                <w:kern w:val="0"/>
                <w:szCs w:val="21"/>
              </w:rPr>
              <w:br w:type="textWrapping"/>
            </w:r>
            <w:r>
              <w:rPr>
                <w:rFonts w:hint="eastAsia" w:ascii="宋体" w:hAnsi="宋体" w:cs="宋体"/>
                <w:color w:val="000000"/>
                <w:kern w:val="0"/>
                <w:szCs w:val="21"/>
              </w:rPr>
              <w:t>（11）土地利用总体规划数据。</w:t>
            </w:r>
            <w:r>
              <w:rPr>
                <w:rFonts w:hint="eastAsia" w:ascii="宋体" w:hAnsi="宋体" w:cs="宋体"/>
                <w:color w:val="000000"/>
                <w:kern w:val="0"/>
                <w:szCs w:val="21"/>
              </w:rPr>
              <w:br w:type="textWrapping"/>
            </w:r>
            <w:r>
              <w:rPr>
                <w:rFonts w:hint="eastAsia" w:ascii="宋体" w:hAnsi="宋体" w:cs="宋体"/>
                <w:color w:val="000000"/>
                <w:kern w:val="0"/>
                <w:szCs w:val="21"/>
              </w:rPr>
              <w:t>（12）历年临时用地审批、设施农用地、增减挂审批、新农村建设审批等材料。</w:t>
            </w:r>
            <w:r>
              <w:rPr>
                <w:rFonts w:hint="eastAsia" w:ascii="宋体" w:hAnsi="宋体" w:cs="宋体"/>
                <w:color w:val="000000"/>
                <w:kern w:val="0"/>
                <w:szCs w:val="21"/>
              </w:rPr>
              <w:br w:type="textWrapping"/>
            </w:r>
            <w:r>
              <w:rPr>
                <w:rFonts w:hint="eastAsia" w:ascii="宋体" w:hAnsi="宋体" w:cs="宋体"/>
                <w:color w:val="000000"/>
                <w:kern w:val="0"/>
                <w:szCs w:val="21"/>
              </w:rPr>
              <w:t>（13）矿产资源、土地执法等相关数据。</w:t>
            </w:r>
            <w:r>
              <w:rPr>
                <w:rFonts w:hint="eastAsia" w:ascii="宋体" w:hAnsi="宋体" w:cs="宋体"/>
                <w:color w:val="000000"/>
                <w:kern w:val="0"/>
                <w:szCs w:val="21"/>
              </w:rPr>
              <w:br w:type="textWrapping"/>
            </w:r>
            <w:r>
              <w:rPr>
                <w:rFonts w:hint="eastAsia" w:ascii="宋体" w:hAnsi="宋体" w:cs="宋体"/>
                <w:color w:val="000000"/>
                <w:kern w:val="0"/>
                <w:szCs w:val="21"/>
              </w:rPr>
              <w:t>（14）补充耕地项目等。</w:t>
            </w:r>
            <w:r>
              <w:rPr>
                <w:rFonts w:hint="eastAsia" w:ascii="宋体" w:hAnsi="宋体" w:cs="宋体"/>
                <w:color w:val="000000"/>
                <w:kern w:val="0"/>
                <w:szCs w:val="21"/>
              </w:rPr>
              <w:br w:type="textWrapping"/>
            </w:r>
            <w:r>
              <w:rPr>
                <w:rFonts w:hint="eastAsia" w:ascii="宋体" w:hAnsi="宋体" w:cs="宋体"/>
                <w:color w:val="000000"/>
                <w:kern w:val="0"/>
                <w:szCs w:val="21"/>
              </w:rPr>
              <w:t>2.内业审核</w:t>
            </w:r>
            <w:r>
              <w:rPr>
                <w:rFonts w:hint="eastAsia" w:ascii="宋体" w:hAnsi="宋体" w:cs="宋体"/>
                <w:color w:val="000000"/>
                <w:kern w:val="0"/>
                <w:szCs w:val="21"/>
              </w:rPr>
              <w:br w:type="textWrapping"/>
            </w:r>
            <w:r>
              <w:rPr>
                <w:rFonts w:hint="eastAsia" w:ascii="宋体" w:hAnsi="宋体" w:cs="宋体"/>
                <w:color w:val="000000"/>
                <w:kern w:val="0"/>
                <w:szCs w:val="21"/>
              </w:rPr>
              <w:t>对作业单位举证提交的图斑，进行内业审核。</w:t>
            </w:r>
          </w:p>
        </w:tc>
        <w:tc>
          <w:tcPr>
            <w:tcW w:w="1901" w:type="dxa"/>
            <w:tcBorders>
              <w:top w:val="single" w:color="000000" w:sz="4" w:space="0"/>
              <w:left w:val="single" w:color="000000" w:sz="4" w:space="0"/>
              <w:bottom w:val="single" w:color="000000" w:sz="4" w:space="0"/>
              <w:right w:val="single" w:color="000000" w:sz="4" w:space="0"/>
            </w:tcBorders>
            <w:vAlign w:val="center"/>
          </w:tcPr>
          <w:p w14:paraId="74C67C5E">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依据《土地调查条例》及《土地调查条例实施办法》。</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589BB8CE">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276329.13</w:t>
            </w:r>
          </w:p>
        </w:tc>
      </w:tr>
      <w:tr w14:paraId="6F59280E">
        <w:tblPrEx>
          <w:tblCellMar>
            <w:top w:w="0" w:type="dxa"/>
            <w:left w:w="108" w:type="dxa"/>
            <w:bottom w:w="0" w:type="dxa"/>
            <w:right w:w="108" w:type="dxa"/>
          </w:tblCellMar>
        </w:tblPrEx>
        <w:trPr>
          <w:trHeight w:val="2702"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8612BF9">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2C42BB67">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C37B410">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城市国土空间监测技术服务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0E7870C4">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1.基础资料收集与分析处理</w:t>
            </w:r>
            <w:r>
              <w:rPr>
                <w:rFonts w:hint="eastAsia" w:ascii="宋体" w:hAnsi="宋体" w:cs="宋体"/>
                <w:color w:val="000000"/>
                <w:kern w:val="0"/>
                <w:szCs w:val="21"/>
              </w:rPr>
              <w:br w:type="textWrapping"/>
            </w:r>
            <w:r>
              <w:rPr>
                <w:rFonts w:hint="eastAsia" w:ascii="宋体" w:hAnsi="宋体" w:cs="宋体"/>
                <w:color w:val="000000"/>
                <w:kern w:val="0"/>
                <w:szCs w:val="21"/>
              </w:rPr>
              <w:t>（1）通过与各部门沟通协调结合实地走访的形式，充分收集地籍调查和不动产登记、地理国情监测、广西自然资源综合监测监管等自然资源管理部门数据，以及有关部门收集民政、教育、交通、水利等现势性为2022年底之后的专题资料、POI数据，为确定各类监测对象空间位置、范围和属性做参考和指引。</w:t>
            </w:r>
            <w:r>
              <w:rPr>
                <w:rFonts w:hint="eastAsia" w:ascii="宋体" w:hAnsi="宋体" w:cs="宋体"/>
                <w:color w:val="000000"/>
                <w:kern w:val="0"/>
                <w:szCs w:val="21"/>
              </w:rPr>
              <w:br w:type="textWrapping"/>
            </w:r>
            <w:r>
              <w:rPr>
                <w:rFonts w:hint="eastAsia" w:ascii="宋体" w:hAnsi="宋体" w:cs="宋体"/>
                <w:color w:val="000000"/>
                <w:kern w:val="0"/>
                <w:szCs w:val="21"/>
              </w:rPr>
              <w:t>（2）数据整理与分析。按标准格式整理已有及收集到的电子数据、纸质资料。检查数据资料的完整性、齐全性、正确性。将数据统一转换为CGCS2000国家大地坐标系下的SHP格式。</w:t>
            </w:r>
            <w:r>
              <w:rPr>
                <w:rFonts w:hint="eastAsia" w:ascii="宋体" w:hAnsi="宋体" w:cs="宋体"/>
                <w:color w:val="000000"/>
                <w:kern w:val="0"/>
                <w:szCs w:val="21"/>
              </w:rPr>
              <w:br w:type="textWrapping"/>
            </w:r>
            <w:r>
              <w:rPr>
                <w:rFonts w:hint="eastAsia" w:ascii="宋体" w:hAnsi="宋体" w:cs="宋体"/>
                <w:color w:val="000000"/>
                <w:kern w:val="0"/>
                <w:szCs w:val="21"/>
              </w:rPr>
              <w:t>（3）空间信息细化与补充。以2022年度国土变更调查成果为底图，以收集的资料作为指引，套合2023年最新遥感影像，利用多种技术手段对公共管理与公共服务用地、特殊用地、水域及水利设施用地开展空间细化与补充。其中①公共管理与公共服务用地中的科教文卫用地细化出高等学校和中等职业学校。②特殊用地细化出殡葬用地。③水域及水利设施用地中的水工建筑用地细化出水电站。</w:t>
            </w:r>
            <w:r>
              <w:rPr>
                <w:rFonts w:hint="eastAsia" w:ascii="宋体" w:hAnsi="宋体" w:cs="宋体"/>
                <w:color w:val="000000"/>
                <w:kern w:val="0"/>
                <w:szCs w:val="21"/>
              </w:rPr>
              <w:br w:type="textWrapping"/>
            </w:r>
            <w:r>
              <w:rPr>
                <w:rFonts w:hint="eastAsia" w:ascii="宋体" w:hAnsi="宋体" w:cs="宋体"/>
                <w:color w:val="000000"/>
                <w:kern w:val="0"/>
                <w:szCs w:val="21"/>
              </w:rPr>
              <w:t>（4）以2022年地理国情监测数据为基础对水网）（包括河流、水渠、水库、坑塘、水利工程设施等)(对交通网络（包括铁路、公路、城市道路、乡村道路、交通设施等）开展更新工作，形成水域网络数据集和交通网络数据集。</w:t>
            </w:r>
            <w:r>
              <w:rPr>
                <w:rFonts w:hint="eastAsia" w:ascii="宋体" w:hAnsi="宋体" w:cs="宋体"/>
                <w:color w:val="000000"/>
                <w:kern w:val="0"/>
                <w:szCs w:val="21"/>
              </w:rPr>
              <w:br w:type="textWrapping"/>
            </w:r>
            <w:r>
              <w:rPr>
                <w:rFonts w:hint="eastAsia" w:ascii="宋体" w:hAnsi="宋体" w:cs="宋体"/>
                <w:color w:val="000000"/>
                <w:kern w:val="0"/>
                <w:szCs w:val="21"/>
              </w:rPr>
              <w:t>2.外业实地调查</w:t>
            </w:r>
            <w:r>
              <w:rPr>
                <w:rFonts w:hint="eastAsia" w:ascii="宋体" w:hAnsi="宋体" w:cs="宋体"/>
                <w:color w:val="000000"/>
                <w:kern w:val="0"/>
                <w:szCs w:val="21"/>
              </w:rPr>
              <w:br w:type="textWrapping"/>
            </w:r>
            <w:r>
              <w:rPr>
                <w:rFonts w:hint="eastAsia" w:ascii="宋体" w:hAnsi="宋体" w:cs="宋体"/>
                <w:color w:val="000000"/>
                <w:kern w:val="0"/>
                <w:szCs w:val="21"/>
              </w:rPr>
              <w:t>（1）对于在资料收集时，业务管理部门无法提供矢量数据的，以实地调查方式获取矢量数据。</w:t>
            </w:r>
            <w:r>
              <w:rPr>
                <w:rFonts w:hint="eastAsia" w:ascii="宋体" w:hAnsi="宋体" w:cs="宋体"/>
                <w:color w:val="000000"/>
                <w:kern w:val="0"/>
                <w:szCs w:val="21"/>
              </w:rPr>
              <w:br w:type="textWrapping"/>
            </w:r>
            <w:r>
              <w:rPr>
                <w:rFonts w:hint="eastAsia" w:ascii="宋体" w:hAnsi="宋体" w:cs="宋体"/>
                <w:color w:val="000000"/>
                <w:kern w:val="0"/>
                <w:szCs w:val="21"/>
              </w:rPr>
              <w:t>（2）以2022年变更调查数据为基础，根据城市国土空间监测细化内容，针对数据处理信息提取的外调图斑开展外业实地调查工作，以实地现状认定地类为原则，实地对公共管理与公共服务用地、特殊用地等开展图斑细化调查，调绘图斑边界，记录名称、类型等要素属性。</w:t>
            </w:r>
            <w:r>
              <w:rPr>
                <w:rFonts w:hint="eastAsia" w:ascii="宋体" w:hAnsi="宋体" w:cs="宋体"/>
                <w:color w:val="000000"/>
                <w:kern w:val="0"/>
                <w:szCs w:val="21"/>
              </w:rPr>
              <w:br w:type="textWrapping"/>
            </w:r>
            <w:r>
              <w:rPr>
                <w:rFonts w:hint="eastAsia" w:ascii="宋体" w:hAnsi="宋体" w:cs="宋体"/>
                <w:color w:val="000000"/>
                <w:kern w:val="0"/>
                <w:szCs w:val="21"/>
              </w:rPr>
              <w:t>（3）将调查图斑矢量化编辑及外业调查成果进行修整。</w:t>
            </w:r>
            <w:r>
              <w:rPr>
                <w:rFonts w:hint="eastAsia" w:ascii="宋体" w:hAnsi="宋体" w:cs="宋体"/>
                <w:color w:val="000000"/>
                <w:kern w:val="0"/>
                <w:szCs w:val="21"/>
              </w:rPr>
              <w:br w:type="textWrapping"/>
            </w:r>
            <w:r>
              <w:rPr>
                <w:rFonts w:hint="eastAsia" w:ascii="宋体" w:hAnsi="宋体" w:cs="宋体"/>
                <w:color w:val="000000"/>
                <w:kern w:val="0"/>
                <w:szCs w:val="21"/>
              </w:rPr>
              <w:t>3.数据库建设</w:t>
            </w:r>
            <w:r>
              <w:rPr>
                <w:rFonts w:hint="eastAsia" w:ascii="宋体" w:hAnsi="宋体" w:cs="宋体"/>
                <w:color w:val="000000"/>
                <w:kern w:val="0"/>
                <w:szCs w:val="21"/>
              </w:rPr>
              <w:br w:type="textWrapping"/>
            </w:r>
            <w:r>
              <w:rPr>
                <w:rFonts w:hint="eastAsia" w:ascii="宋体" w:hAnsi="宋体" w:cs="宋体"/>
                <w:color w:val="000000"/>
                <w:kern w:val="0"/>
                <w:szCs w:val="21"/>
              </w:rPr>
              <w:t>（1）调查成果编辑。根据细化补充调查成果，包括图斑界线调整，图斑属性信息完善等，形成全区域所有要素的数字化成果。</w:t>
            </w:r>
            <w:r>
              <w:rPr>
                <w:rFonts w:hint="eastAsia" w:ascii="宋体" w:hAnsi="宋体" w:cs="宋体"/>
                <w:color w:val="000000"/>
                <w:kern w:val="0"/>
                <w:szCs w:val="21"/>
              </w:rPr>
              <w:br w:type="textWrapping"/>
            </w:r>
            <w:r>
              <w:rPr>
                <w:rFonts w:hint="eastAsia" w:ascii="宋体" w:hAnsi="宋体" w:cs="宋体"/>
                <w:color w:val="000000"/>
                <w:kern w:val="0"/>
                <w:szCs w:val="21"/>
              </w:rPr>
              <w:t>（2）数据分层处理。根据城市国土空间监测数据库建设要求，按用途、功能等属性建立单独图层并完善相关属性信息。</w:t>
            </w:r>
            <w:r>
              <w:rPr>
                <w:rFonts w:hint="eastAsia" w:ascii="宋体" w:hAnsi="宋体" w:cs="宋体"/>
                <w:color w:val="000000"/>
                <w:kern w:val="0"/>
                <w:szCs w:val="21"/>
              </w:rPr>
              <w:br w:type="textWrapping"/>
            </w:r>
            <w:r>
              <w:rPr>
                <w:rFonts w:hint="eastAsia" w:ascii="宋体" w:hAnsi="宋体" w:cs="宋体"/>
                <w:color w:val="000000"/>
                <w:kern w:val="0"/>
                <w:szCs w:val="21"/>
              </w:rPr>
              <w:t>（3）调查成果数据入库。将修改完善的调查成果整理建库，并开展数据库质量检查，检查所有要素在图层内、图层间的相互关系，并进行拓扑处理，建立拓扑结构，检查数据完整性、准确性、逻辑一致性。</w:t>
            </w:r>
            <w:r>
              <w:rPr>
                <w:rFonts w:hint="eastAsia" w:ascii="宋体" w:hAnsi="宋体" w:cs="宋体"/>
                <w:color w:val="000000"/>
                <w:kern w:val="0"/>
                <w:szCs w:val="21"/>
              </w:rPr>
              <w:br w:type="textWrapping"/>
            </w:r>
            <w:r>
              <w:rPr>
                <w:rFonts w:hint="eastAsia" w:ascii="宋体" w:hAnsi="宋体" w:cs="宋体"/>
                <w:color w:val="000000"/>
                <w:kern w:val="0"/>
                <w:szCs w:val="21"/>
              </w:rPr>
              <w:t>（4）监测成果汇总整理，包括监测数据成果整理、生产元数据等。</w:t>
            </w:r>
            <w:r>
              <w:rPr>
                <w:rFonts w:hint="eastAsia" w:ascii="宋体" w:hAnsi="宋体" w:cs="宋体"/>
                <w:color w:val="000000"/>
                <w:kern w:val="0"/>
                <w:szCs w:val="21"/>
              </w:rPr>
              <w:br w:type="textWrapping"/>
            </w:r>
            <w:r>
              <w:rPr>
                <w:rFonts w:hint="eastAsia" w:ascii="宋体" w:hAnsi="宋体" w:cs="宋体"/>
                <w:color w:val="000000"/>
                <w:kern w:val="0"/>
                <w:szCs w:val="21"/>
              </w:rPr>
              <w:t>（5）根据国土空间规划实施监督、城市体检评估和用途管制等业务工作需要结合其他有关数据，通过计算和分析形成数据成果和工作报告、数据分析报告等，服务国土空间治理等工作。</w:t>
            </w:r>
          </w:p>
        </w:tc>
        <w:tc>
          <w:tcPr>
            <w:tcW w:w="1901" w:type="dxa"/>
            <w:tcBorders>
              <w:top w:val="single" w:color="000000" w:sz="4" w:space="0"/>
              <w:left w:val="single" w:color="000000" w:sz="4" w:space="0"/>
              <w:bottom w:val="single" w:color="000000" w:sz="4" w:space="0"/>
              <w:right w:val="single" w:color="000000" w:sz="4" w:space="0"/>
            </w:tcBorders>
            <w:vAlign w:val="center"/>
          </w:tcPr>
          <w:p w14:paraId="1C06183D">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依据《自然资源部办公厅关于开展2024年城市国土空间监测工作的通知》（自然资办发〔2024〕20号）。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7B6BF6C5">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278725.80</w:t>
            </w:r>
          </w:p>
        </w:tc>
      </w:tr>
      <w:tr w14:paraId="18805885">
        <w:tblPrEx>
          <w:tblCellMar>
            <w:top w:w="0" w:type="dxa"/>
            <w:left w:w="108" w:type="dxa"/>
            <w:bottom w:w="0" w:type="dxa"/>
            <w:right w:w="108" w:type="dxa"/>
          </w:tblCellMar>
        </w:tblPrEx>
        <w:trPr>
          <w:trHeight w:val="26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F1603F5">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847" w:type="dxa"/>
            <w:tcBorders>
              <w:top w:val="single" w:color="000000" w:sz="4" w:space="0"/>
              <w:left w:val="single" w:color="000000" w:sz="4" w:space="0"/>
              <w:bottom w:val="single" w:color="000000" w:sz="4" w:space="0"/>
              <w:right w:val="single" w:color="000000" w:sz="4" w:space="0"/>
            </w:tcBorders>
            <w:vAlign w:val="center"/>
          </w:tcPr>
          <w:p w14:paraId="2486141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土地整理复垦评审技术</w:t>
            </w:r>
          </w:p>
        </w:tc>
        <w:tc>
          <w:tcPr>
            <w:tcW w:w="639" w:type="dxa"/>
            <w:tcBorders>
              <w:top w:val="single" w:color="000000" w:sz="4" w:space="0"/>
              <w:left w:val="single" w:color="000000" w:sz="4" w:space="0"/>
              <w:bottom w:val="single" w:color="000000" w:sz="4" w:space="0"/>
              <w:right w:val="single" w:color="000000" w:sz="4" w:space="0"/>
            </w:tcBorders>
            <w:vAlign w:val="center"/>
          </w:tcPr>
          <w:p w14:paraId="04CECD60">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组织评审（土地复垦可研报告、设计和施工图纸、项目验收）</w:t>
            </w:r>
          </w:p>
        </w:tc>
        <w:tc>
          <w:tcPr>
            <w:tcW w:w="4308" w:type="dxa"/>
            <w:tcBorders>
              <w:top w:val="single" w:color="000000" w:sz="4" w:space="0"/>
              <w:left w:val="single" w:color="000000" w:sz="4" w:space="0"/>
              <w:bottom w:val="single" w:color="000000" w:sz="4" w:space="0"/>
              <w:right w:val="single" w:color="000000" w:sz="4" w:space="0"/>
            </w:tcBorders>
            <w:vAlign w:val="center"/>
          </w:tcPr>
          <w:p w14:paraId="383F0D8C">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1.地形核查</w:t>
            </w:r>
            <w:r>
              <w:rPr>
                <w:rFonts w:hint="eastAsia" w:ascii="宋体" w:hAnsi="宋体" w:cs="宋体"/>
                <w:color w:val="000000"/>
                <w:kern w:val="0"/>
                <w:szCs w:val="21"/>
              </w:rPr>
              <w:br w:type="textWrapping"/>
            </w:r>
            <w:r>
              <w:rPr>
                <w:rFonts w:hint="eastAsia" w:ascii="宋体" w:hAnsi="宋体" w:cs="宋体"/>
                <w:color w:val="000000"/>
                <w:kern w:val="0"/>
                <w:szCs w:val="21"/>
              </w:rPr>
              <w:t>完成项目的地形核查。</w:t>
            </w:r>
            <w:r>
              <w:rPr>
                <w:rFonts w:hint="eastAsia" w:ascii="宋体" w:hAnsi="宋体" w:cs="宋体"/>
                <w:color w:val="000000"/>
                <w:kern w:val="0"/>
                <w:szCs w:val="21"/>
              </w:rPr>
              <w:br w:type="textWrapping"/>
            </w:r>
            <w:r>
              <w:rPr>
                <w:rFonts w:hint="eastAsia" w:ascii="宋体" w:hAnsi="宋体" w:cs="宋体"/>
                <w:color w:val="000000"/>
                <w:kern w:val="0"/>
                <w:szCs w:val="21"/>
              </w:rPr>
              <w:t>2.外业核查</w:t>
            </w:r>
            <w:r>
              <w:rPr>
                <w:rFonts w:hint="eastAsia" w:ascii="宋体" w:hAnsi="宋体" w:cs="宋体"/>
                <w:color w:val="000000"/>
                <w:kern w:val="0"/>
                <w:szCs w:val="21"/>
              </w:rPr>
              <w:br w:type="textWrapping"/>
            </w:r>
            <w:r>
              <w:rPr>
                <w:rFonts w:hint="eastAsia" w:ascii="宋体" w:hAnsi="宋体" w:cs="宋体"/>
                <w:color w:val="000000"/>
                <w:kern w:val="0"/>
                <w:szCs w:val="21"/>
              </w:rPr>
              <w:t>完成项目的实地查看、组织专家及有关单位进行现场核查。</w:t>
            </w:r>
            <w:r>
              <w:rPr>
                <w:rFonts w:hint="eastAsia" w:ascii="宋体" w:hAnsi="宋体" w:cs="宋体"/>
                <w:color w:val="000000"/>
                <w:kern w:val="0"/>
                <w:szCs w:val="21"/>
              </w:rPr>
              <w:br w:type="textWrapping"/>
            </w:r>
            <w:r>
              <w:rPr>
                <w:rFonts w:hint="eastAsia" w:ascii="宋体" w:hAnsi="宋体" w:cs="宋体"/>
                <w:color w:val="000000"/>
                <w:kern w:val="0"/>
                <w:szCs w:val="21"/>
              </w:rPr>
              <w:t>3.内业审核</w:t>
            </w:r>
            <w:r>
              <w:rPr>
                <w:rFonts w:hint="eastAsia" w:ascii="宋体" w:hAnsi="宋体" w:cs="宋体"/>
                <w:color w:val="000000"/>
                <w:kern w:val="0"/>
                <w:szCs w:val="21"/>
              </w:rPr>
              <w:br w:type="textWrapping"/>
            </w:r>
            <w:r>
              <w:rPr>
                <w:rFonts w:hint="eastAsia" w:ascii="宋体" w:hAnsi="宋体" w:cs="宋体"/>
                <w:color w:val="000000"/>
                <w:kern w:val="0"/>
                <w:szCs w:val="21"/>
              </w:rPr>
              <w:t>完成方案材料审查及修改情况复核、结合专家现场核查及内业审查情况，出具评审意见书。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21290604">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依据《广西壮族自治区自然资源厅广西壮族自治区海洋局关于印发〈广西壮族自治区国土空间生态修复项目管理办法〉的通知》（桂自然资规〔2024〕4号）。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67FFEB5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139733.43</w:t>
            </w:r>
          </w:p>
        </w:tc>
      </w:tr>
      <w:tr w14:paraId="630C407A">
        <w:tblPrEx>
          <w:tblCellMar>
            <w:top w:w="0" w:type="dxa"/>
            <w:left w:w="108" w:type="dxa"/>
            <w:bottom w:w="0" w:type="dxa"/>
            <w:right w:w="108" w:type="dxa"/>
          </w:tblCellMar>
        </w:tblPrEx>
        <w:trPr>
          <w:trHeight w:val="30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3C1CBF54">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14:paraId="6CBD1E46">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土地资源资产价值有偿使用（出让前期）工作技术服务</w:t>
            </w:r>
          </w:p>
        </w:tc>
        <w:tc>
          <w:tcPr>
            <w:tcW w:w="639" w:type="dxa"/>
            <w:tcBorders>
              <w:top w:val="single" w:color="000000" w:sz="4" w:space="0"/>
              <w:left w:val="single" w:color="000000" w:sz="4" w:space="0"/>
              <w:bottom w:val="single" w:color="000000" w:sz="4" w:space="0"/>
              <w:right w:val="single" w:color="000000" w:sz="4" w:space="0"/>
            </w:tcBorders>
            <w:vAlign w:val="center"/>
          </w:tcPr>
          <w:p w14:paraId="18DB8461">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历史遗留批而未供土地核实后出具供地红线</w:t>
            </w:r>
          </w:p>
        </w:tc>
        <w:tc>
          <w:tcPr>
            <w:tcW w:w="4308" w:type="dxa"/>
            <w:tcBorders>
              <w:top w:val="single" w:color="000000" w:sz="4" w:space="0"/>
              <w:left w:val="single" w:color="000000" w:sz="4" w:space="0"/>
              <w:bottom w:val="single" w:color="000000" w:sz="4" w:space="0"/>
              <w:right w:val="single" w:color="000000" w:sz="4" w:space="0"/>
            </w:tcBorders>
            <w:vAlign w:val="center"/>
          </w:tcPr>
          <w:p w14:paraId="30D438A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根据具体项目委托收集历年供地材料、土地利用总体规划数据、已批准的新增建设用地项目空间位置及属性信息、历年地籍发证资料、年度土地变更调查形成的各级控制界线、控制面积和各地类面积资料等资料。</w:t>
            </w:r>
            <w:r>
              <w:rPr>
                <w:rFonts w:hint="eastAsia" w:ascii="宋体" w:hAnsi="宋体" w:cs="宋体"/>
                <w:color w:val="000000"/>
                <w:kern w:val="0"/>
                <w:szCs w:val="21"/>
              </w:rPr>
              <w:br w:type="textWrapping"/>
            </w:r>
            <w:r>
              <w:rPr>
                <w:rFonts w:hint="eastAsia" w:ascii="宋体" w:hAnsi="宋体" w:cs="宋体"/>
                <w:color w:val="000000"/>
                <w:kern w:val="0"/>
                <w:szCs w:val="21"/>
              </w:rPr>
              <w:t>2.外业测绘</w:t>
            </w:r>
            <w:r>
              <w:rPr>
                <w:rFonts w:hint="eastAsia" w:ascii="宋体" w:hAnsi="宋体" w:cs="宋体"/>
                <w:color w:val="000000"/>
                <w:kern w:val="0"/>
                <w:szCs w:val="21"/>
              </w:rPr>
              <w:br w:type="textWrapping"/>
            </w:r>
            <w:r>
              <w:rPr>
                <w:rFonts w:hint="eastAsia" w:ascii="宋体" w:hAnsi="宋体" w:cs="宋体"/>
                <w:color w:val="000000"/>
                <w:kern w:val="0"/>
                <w:szCs w:val="21"/>
              </w:rPr>
              <w:t>实测历史遗留批而未供土地范围。</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w:t>
            </w:r>
            <w:r>
              <w:rPr>
                <w:rFonts w:hint="eastAsia" w:ascii="宋体" w:hAnsi="宋体" w:cs="宋体"/>
                <w:color w:val="000000"/>
                <w:kern w:val="0"/>
                <w:szCs w:val="21"/>
              </w:rPr>
              <w:br w:type="textWrapping"/>
            </w:r>
            <w:r>
              <w:rPr>
                <w:rFonts w:hint="eastAsia" w:ascii="宋体" w:hAnsi="宋体" w:cs="宋体"/>
                <w:color w:val="000000"/>
                <w:kern w:val="0"/>
                <w:szCs w:val="21"/>
              </w:rPr>
              <w:t>综合实测批而未供土地范围和收集的附近地块规划、供地、发证等情况，重新出具供地红线图。</w:t>
            </w:r>
          </w:p>
        </w:tc>
        <w:tc>
          <w:tcPr>
            <w:tcW w:w="1901" w:type="dxa"/>
            <w:tcBorders>
              <w:top w:val="single" w:color="000000" w:sz="4" w:space="0"/>
              <w:left w:val="single" w:color="000000" w:sz="4" w:space="0"/>
              <w:bottom w:val="single" w:color="000000" w:sz="4" w:space="0"/>
              <w:right w:val="single" w:color="000000" w:sz="4" w:space="0"/>
            </w:tcBorders>
            <w:vAlign w:val="center"/>
          </w:tcPr>
          <w:p w14:paraId="534DCFD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依据《中华人民共和国土地管理法》。</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2D07198B">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139857.05</w:t>
            </w:r>
          </w:p>
        </w:tc>
      </w:tr>
      <w:tr w14:paraId="44523349">
        <w:tblPrEx>
          <w:tblCellMar>
            <w:top w:w="0" w:type="dxa"/>
            <w:left w:w="108" w:type="dxa"/>
            <w:bottom w:w="0" w:type="dxa"/>
            <w:right w:w="108" w:type="dxa"/>
          </w:tblCellMar>
        </w:tblPrEx>
        <w:trPr>
          <w:trHeight w:val="274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4D8FE222">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1F7DEEB3">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19F43F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城区安置点供地技术服务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34042954">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根据具体项目委托收集土地利用总体规划数据、已批准的新增建设用地项目空间位置及属性信息、历年地籍发证资料、年度土地变更调查形成的各级控制界线、控制面积和各地类面积资料等资料，并进行整理核实。</w:t>
            </w:r>
            <w:r>
              <w:rPr>
                <w:rFonts w:hint="eastAsia" w:ascii="宋体" w:hAnsi="宋体" w:cs="宋体"/>
                <w:color w:val="000000"/>
                <w:kern w:val="0"/>
                <w:szCs w:val="21"/>
              </w:rPr>
              <w:br w:type="textWrapping"/>
            </w:r>
            <w:r>
              <w:rPr>
                <w:rFonts w:hint="eastAsia" w:ascii="宋体" w:hAnsi="宋体" w:cs="宋体"/>
                <w:color w:val="000000"/>
                <w:kern w:val="0"/>
                <w:szCs w:val="21"/>
              </w:rPr>
              <w:t>2.外业测绘</w:t>
            </w:r>
            <w:r>
              <w:rPr>
                <w:rFonts w:hint="eastAsia" w:ascii="宋体" w:hAnsi="宋体" w:cs="宋体"/>
                <w:color w:val="000000"/>
                <w:kern w:val="0"/>
                <w:szCs w:val="21"/>
              </w:rPr>
              <w:br w:type="textWrapping"/>
            </w:r>
            <w:r>
              <w:rPr>
                <w:rFonts w:hint="eastAsia" w:ascii="宋体" w:hAnsi="宋体" w:cs="宋体"/>
                <w:color w:val="000000"/>
                <w:kern w:val="0"/>
                <w:szCs w:val="21"/>
              </w:rPr>
              <w:t>逐户测绘安置点界址坐标，并进行地籍要素采集。</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w:t>
            </w:r>
            <w:r>
              <w:rPr>
                <w:rFonts w:hint="eastAsia" w:ascii="宋体" w:hAnsi="宋体" w:cs="宋体"/>
                <w:color w:val="000000"/>
                <w:kern w:val="0"/>
                <w:szCs w:val="21"/>
              </w:rPr>
              <w:br w:type="textWrapping"/>
            </w:r>
            <w:r>
              <w:rPr>
                <w:rFonts w:hint="eastAsia" w:ascii="宋体" w:hAnsi="宋体" w:cs="宋体"/>
                <w:color w:val="000000"/>
                <w:kern w:val="0"/>
                <w:szCs w:val="21"/>
              </w:rPr>
              <w:t>绘制安置点用地平面图。</w:t>
            </w:r>
          </w:p>
        </w:tc>
        <w:tc>
          <w:tcPr>
            <w:tcW w:w="1901" w:type="dxa"/>
            <w:tcBorders>
              <w:top w:val="single" w:color="000000" w:sz="4" w:space="0"/>
              <w:left w:val="single" w:color="000000" w:sz="4" w:space="0"/>
              <w:bottom w:val="single" w:color="000000" w:sz="4" w:space="0"/>
              <w:right w:val="single" w:color="000000" w:sz="4" w:space="0"/>
            </w:tcBorders>
            <w:vAlign w:val="center"/>
          </w:tcPr>
          <w:p w14:paraId="1FE3EB0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依据《中华人民共和国土地管理法》。</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4D570592">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349948.40</w:t>
            </w:r>
          </w:p>
        </w:tc>
      </w:tr>
      <w:tr w14:paraId="49A93FD2">
        <w:tblPrEx>
          <w:tblCellMar>
            <w:top w:w="0" w:type="dxa"/>
            <w:left w:w="108" w:type="dxa"/>
            <w:bottom w:w="0" w:type="dxa"/>
            <w:right w:w="108" w:type="dxa"/>
          </w:tblCellMar>
        </w:tblPrEx>
        <w:trPr>
          <w:trHeight w:val="234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651B9FE">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2280C21B">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5B19F6E">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供地红线图（出让）技术服务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4B0F4FB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根据具体项目委托收集历年供地范围以及已批准的新增建设用地项目空间位置及属性信息、历年地籍发证资料、年度土地变更调查形成的各级控制界线、控制面积和各地类面积资料等资料，并进行整理核实。</w:t>
            </w:r>
            <w:r>
              <w:rPr>
                <w:rFonts w:hint="eastAsia" w:ascii="宋体" w:hAnsi="宋体" w:cs="宋体"/>
                <w:color w:val="000000"/>
                <w:kern w:val="0"/>
                <w:szCs w:val="21"/>
              </w:rPr>
              <w:br w:type="textWrapping"/>
            </w:r>
            <w:r>
              <w:rPr>
                <w:rFonts w:hint="eastAsia" w:ascii="宋体" w:hAnsi="宋体" w:cs="宋体"/>
                <w:color w:val="000000"/>
                <w:kern w:val="0"/>
                <w:szCs w:val="21"/>
              </w:rPr>
              <w:t>2.内业数据生产</w:t>
            </w:r>
            <w:r>
              <w:rPr>
                <w:rFonts w:hint="eastAsia" w:ascii="宋体" w:hAnsi="宋体" w:cs="宋体"/>
                <w:color w:val="000000"/>
                <w:kern w:val="0"/>
                <w:szCs w:val="21"/>
              </w:rPr>
              <w:br w:type="textWrapping"/>
            </w:r>
            <w:r>
              <w:rPr>
                <w:rFonts w:hint="eastAsia" w:ascii="宋体" w:hAnsi="宋体" w:cs="宋体"/>
                <w:color w:val="000000"/>
                <w:kern w:val="0"/>
                <w:szCs w:val="21"/>
              </w:rPr>
              <w:t>绘制供地红线图。</w:t>
            </w:r>
          </w:p>
        </w:tc>
        <w:tc>
          <w:tcPr>
            <w:tcW w:w="1901" w:type="dxa"/>
            <w:tcBorders>
              <w:top w:val="single" w:color="000000" w:sz="4" w:space="0"/>
              <w:left w:val="single" w:color="000000" w:sz="4" w:space="0"/>
              <w:bottom w:val="single" w:color="000000" w:sz="4" w:space="0"/>
              <w:right w:val="single" w:color="000000" w:sz="4" w:space="0"/>
            </w:tcBorders>
            <w:vAlign w:val="center"/>
          </w:tcPr>
          <w:p w14:paraId="5CE2328F">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依据《中华人民共和国土地管理法》。</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2C279797">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21374.02</w:t>
            </w:r>
          </w:p>
        </w:tc>
      </w:tr>
      <w:tr w14:paraId="6CA097E8">
        <w:tblPrEx>
          <w:tblCellMar>
            <w:top w:w="0" w:type="dxa"/>
            <w:left w:w="108" w:type="dxa"/>
            <w:bottom w:w="0" w:type="dxa"/>
            <w:right w:w="108" w:type="dxa"/>
          </w:tblCellMar>
        </w:tblPrEx>
        <w:trPr>
          <w:trHeight w:val="24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780C70FF">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6AF7756E">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9E30D5C">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产业园区土地集约利用监测统计更新数据技术</w:t>
            </w:r>
          </w:p>
        </w:tc>
        <w:tc>
          <w:tcPr>
            <w:tcW w:w="4308" w:type="dxa"/>
            <w:tcBorders>
              <w:top w:val="single" w:color="000000" w:sz="4" w:space="0"/>
              <w:left w:val="single" w:color="000000" w:sz="4" w:space="0"/>
              <w:bottom w:val="single" w:color="000000" w:sz="4" w:space="0"/>
              <w:right w:val="single" w:color="000000" w:sz="4" w:space="0"/>
            </w:tcBorders>
            <w:vAlign w:val="center"/>
          </w:tcPr>
          <w:p w14:paraId="7688CBE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按照国家、自治区关于开发区土地集约利用评价的工作要求和技术规程要求，开展2024年度产业园土地集约利用监测统计工作，工作内容包括：开发区依法审批范围和实际管理范围内的土地、人口、经济及管理状况等进行监测统计。</w:t>
            </w:r>
          </w:p>
        </w:tc>
        <w:tc>
          <w:tcPr>
            <w:tcW w:w="1901" w:type="dxa"/>
            <w:tcBorders>
              <w:top w:val="single" w:color="000000" w:sz="4" w:space="0"/>
              <w:left w:val="single" w:color="000000" w:sz="4" w:space="0"/>
              <w:bottom w:val="single" w:color="000000" w:sz="4" w:space="0"/>
              <w:right w:val="single" w:color="000000" w:sz="4" w:space="0"/>
            </w:tcBorders>
            <w:vAlign w:val="center"/>
          </w:tcPr>
          <w:p w14:paraId="1ADA3163">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依据广西壮族自治区自然资源厅广西壮族自治区产业园区改革发展办公室关于开展2024年度开发区土地集约利用监测统计有关工作的通知（桂自然资发〔2024〕39号）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01369AF2">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70097.52</w:t>
            </w:r>
          </w:p>
        </w:tc>
      </w:tr>
      <w:tr w14:paraId="3DF221B8">
        <w:tblPrEx>
          <w:tblCellMar>
            <w:top w:w="0" w:type="dxa"/>
            <w:left w:w="108" w:type="dxa"/>
            <w:bottom w:w="0" w:type="dxa"/>
            <w:right w:w="108" w:type="dxa"/>
          </w:tblCellMar>
        </w:tblPrEx>
        <w:trPr>
          <w:trHeight w:val="14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5649CD9F">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102FCB05">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D5F968B">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供地一张图数据更新</w:t>
            </w:r>
          </w:p>
        </w:tc>
        <w:tc>
          <w:tcPr>
            <w:tcW w:w="4308" w:type="dxa"/>
            <w:tcBorders>
              <w:top w:val="single" w:color="000000" w:sz="4" w:space="0"/>
              <w:left w:val="single" w:color="000000" w:sz="4" w:space="0"/>
              <w:bottom w:val="single" w:color="000000" w:sz="4" w:space="0"/>
              <w:right w:val="single" w:color="000000" w:sz="4" w:space="0"/>
            </w:tcBorders>
            <w:vAlign w:val="center"/>
          </w:tcPr>
          <w:p w14:paraId="711C428B">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1.收集最新供地数据</w:t>
            </w:r>
            <w:r>
              <w:rPr>
                <w:rFonts w:hint="eastAsia" w:ascii="宋体" w:hAnsi="宋体" w:cs="宋体"/>
                <w:color w:val="000000"/>
                <w:kern w:val="0"/>
                <w:szCs w:val="21"/>
              </w:rPr>
              <w:br w:type="textWrapping"/>
            </w:r>
            <w:r>
              <w:rPr>
                <w:rFonts w:hint="eastAsia" w:ascii="宋体" w:hAnsi="宋体" w:cs="宋体"/>
                <w:color w:val="000000"/>
                <w:kern w:val="0"/>
                <w:szCs w:val="21"/>
              </w:rPr>
              <w:t>2.对数据进行分析处理</w:t>
            </w:r>
            <w:r>
              <w:rPr>
                <w:rFonts w:hint="eastAsia" w:ascii="宋体" w:hAnsi="宋体" w:cs="宋体"/>
                <w:color w:val="000000"/>
                <w:kern w:val="0"/>
                <w:szCs w:val="21"/>
              </w:rPr>
              <w:br w:type="textWrapping"/>
            </w:r>
            <w:r>
              <w:rPr>
                <w:rFonts w:hint="eastAsia" w:ascii="宋体" w:hAnsi="宋体" w:cs="宋体"/>
                <w:color w:val="000000"/>
                <w:kern w:val="0"/>
                <w:szCs w:val="21"/>
              </w:rPr>
              <w:t>3.对数据进行建库，及完成对应上报备案格式</w:t>
            </w:r>
          </w:p>
        </w:tc>
        <w:tc>
          <w:tcPr>
            <w:tcW w:w="1901" w:type="dxa"/>
            <w:tcBorders>
              <w:top w:val="single" w:color="000000" w:sz="4" w:space="0"/>
              <w:left w:val="single" w:color="000000" w:sz="4" w:space="0"/>
              <w:bottom w:val="single" w:color="000000" w:sz="4" w:space="0"/>
              <w:right w:val="single" w:color="000000" w:sz="4" w:space="0"/>
            </w:tcBorders>
            <w:vAlign w:val="center"/>
          </w:tcPr>
          <w:p w14:paraId="1F0BB7EE">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依据《自然资源部关于进一步做好地籍调查工作的通知》</w:t>
            </w:r>
            <w:r>
              <w:rPr>
                <w:rFonts w:hint="eastAsia" w:ascii="宋体" w:hAnsi="宋体" w:cs="宋体"/>
                <w:color w:val="000000"/>
                <w:kern w:val="0"/>
                <w:szCs w:val="21"/>
              </w:rPr>
              <w:br w:type="textWrapping"/>
            </w:r>
            <w:r>
              <w:rPr>
                <w:rFonts w:hint="eastAsia" w:ascii="宋体" w:hAnsi="宋体" w:cs="宋体"/>
                <w:color w:val="000000"/>
                <w:kern w:val="0"/>
                <w:szCs w:val="21"/>
              </w:rPr>
              <w:t>（自然资发〔2023〕195号）。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5843C83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70555.00</w:t>
            </w:r>
          </w:p>
        </w:tc>
      </w:tr>
      <w:tr w14:paraId="1ED64750">
        <w:tblPrEx>
          <w:tblCellMar>
            <w:top w:w="0" w:type="dxa"/>
            <w:left w:w="108" w:type="dxa"/>
            <w:bottom w:w="0" w:type="dxa"/>
            <w:right w:w="108" w:type="dxa"/>
          </w:tblCellMar>
        </w:tblPrEx>
        <w:trPr>
          <w:trHeight w:val="324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3032E928">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14:paraId="3EAFD340">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国土空间规划类技术</w:t>
            </w:r>
          </w:p>
        </w:tc>
        <w:tc>
          <w:tcPr>
            <w:tcW w:w="639" w:type="dxa"/>
            <w:tcBorders>
              <w:top w:val="single" w:color="000000" w:sz="4" w:space="0"/>
              <w:left w:val="single" w:color="000000" w:sz="4" w:space="0"/>
              <w:bottom w:val="single" w:color="000000" w:sz="4" w:space="0"/>
              <w:right w:val="single" w:color="000000" w:sz="4" w:space="0"/>
            </w:tcBorders>
            <w:vAlign w:val="center"/>
          </w:tcPr>
          <w:p w14:paraId="4DE69535">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用地报批红线图技术服务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4B0D92FD">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根据收集土地利用现状数据、土地利用总体规划数据、基本农田保护数据、已批准的新增建设用地项目空间位置及属性信息、历年地籍发证资料、年度土地变更调查形成的各级控制界线、控制面积和各地类面积资料等资料，并进行整理核实。</w:t>
            </w:r>
            <w:r>
              <w:rPr>
                <w:rFonts w:hint="eastAsia" w:ascii="宋体" w:hAnsi="宋体" w:cs="宋体"/>
                <w:color w:val="000000"/>
                <w:kern w:val="0"/>
                <w:szCs w:val="21"/>
              </w:rPr>
              <w:br w:type="textWrapping"/>
            </w:r>
            <w:r>
              <w:rPr>
                <w:rFonts w:hint="eastAsia" w:ascii="宋体" w:hAnsi="宋体" w:cs="宋体"/>
                <w:color w:val="000000"/>
                <w:kern w:val="0"/>
                <w:szCs w:val="21"/>
              </w:rPr>
              <w:t>2.外业测绘</w:t>
            </w:r>
            <w:r>
              <w:rPr>
                <w:rFonts w:hint="eastAsia" w:ascii="宋体" w:hAnsi="宋体" w:cs="宋体"/>
                <w:color w:val="000000"/>
                <w:kern w:val="0"/>
                <w:szCs w:val="21"/>
              </w:rPr>
              <w:br w:type="textWrapping"/>
            </w:r>
            <w:r>
              <w:rPr>
                <w:rFonts w:hint="eastAsia" w:ascii="宋体" w:hAnsi="宋体" w:cs="宋体"/>
                <w:color w:val="000000"/>
                <w:kern w:val="0"/>
                <w:szCs w:val="21"/>
              </w:rPr>
              <w:t>实地测定红线界址，核实现场地类情况。</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w:t>
            </w:r>
            <w:r>
              <w:rPr>
                <w:rFonts w:hint="eastAsia" w:ascii="宋体" w:hAnsi="宋体" w:cs="宋体"/>
                <w:color w:val="000000"/>
                <w:kern w:val="0"/>
                <w:szCs w:val="21"/>
              </w:rPr>
              <w:br w:type="textWrapping"/>
            </w:r>
            <w:r>
              <w:rPr>
                <w:rFonts w:hint="eastAsia" w:ascii="宋体" w:hAnsi="宋体" w:cs="宋体"/>
                <w:color w:val="000000"/>
                <w:kern w:val="0"/>
                <w:szCs w:val="21"/>
              </w:rPr>
              <w:t>根据采集数据和内业资料绘制用地报批红线图。</w:t>
            </w:r>
          </w:p>
        </w:tc>
        <w:tc>
          <w:tcPr>
            <w:tcW w:w="1901" w:type="dxa"/>
            <w:tcBorders>
              <w:top w:val="single" w:color="000000" w:sz="4" w:space="0"/>
              <w:left w:val="single" w:color="000000" w:sz="4" w:space="0"/>
              <w:bottom w:val="single" w:color="000000" w:sz="4" w:space="0"/>
              <w:right w:val="single" w:color="000000" w:sz="4" w:space="0"/>
            </w:tcBorders>
            <w:vAlign w:val="center"/>
          </w:tcPr>
          <w:p w14:paraId="7CEF935C">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依据《建设用地审查报批管理办法》（1999年3月2日国土资源部令第3号根据2010年11月30日国土资源部令第49号第一次修改根据2016年11月25日国土资源部令第69号第二次修改）</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207542B1">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140243.00</w:t>
            </w:r>
          </w:p>
        </w:tc>
      </w:tr>
      <w:tr w14:paraId="43ECAB15">
        <w:tblPrEx>
          <w:tblCellMar>
            <w:top w:w="0" w:type="dxa"/>
            <w:left w:w="108" w:type="dxa"/>
            <w:bottom w:w="0" w:type="dxa"/>
            <w:right w:w="108" w:type="dxa"/>
          </w:tblCellMar>
        </w:tblPrEx>
        <w:trPr>
          <w:trHeight w:val="36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0AFC2C8">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2EC7B4E7">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EF28BD1">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节地专章踏勘论证</w:t>
            </w:r>
          </w:p>
        </w:tc>
        <w:tc>
          <w:tcPr>
            <w:tcW w:w="4308" w:type="dxa"/>
            <w:tcBorders>
              <w:top w:val="single" w:color="000000" w:sz="4" w:space="0"/>
              <w:left w:val="single" w:color="000000" w:sz="4" w:space="0"/>
              <w:bottom w:val="single" w:color="000000" w:sz="4" w:space="0"/>
              <w:right w:val="single" w:color="000000" w:sz="4" w:space="0"/>
            </w:tcBorders>
            <w:vAlign w:val="center"/>
          </w:tcPr>
          <w:p w14:paraId="0230001F">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根据《广西壮族自治区自然资源厅关于进一步做好建设项目用地预审与选址踏勘论证工作的通知》（桂自然资规〔2020〕2号）文件，委托技术审查单位对踏勘论证报告完成项目初审，组织项目实地踏勘，开展踏勘后，督促报审单位及时按相关部门及专家组意见进行修改。收到修改完善踏勘论证报告后要完成复核工作，出具相应审查报告。</w:t>
            </w:r>
            <w:r>
              <w:rPr>
                <w:rFonts w:hint="eastAsia" w:ascii="宋体" w:hAnsi="宋体" w:cs="宋体"/>
                <w:color w:val="000000"/>
                <w:kern w:val="0"/>
                <w:szCs w:val="21"/>
              </w:rPr>
              <w:br w:type="textWrapping"/>
            </w:r>
            <w:r>
              <w:rPr>
                <w:rFonts w:hint="eastAsia" w:ascii="宋体" w:hAnsi="宋体" w:cs="宋体"/>
                <w:color w:val="000000"/>
                <w:kern w:val="0"/>
                <w:szCs w:val="21"/>
              </w:rPr>
              <w:t>1.资料收集与整理：对踏勘论证报告完成项目初审。</w:t>
            </w:r>
            <w:r>
              <w:rPr>
                <w:rFonts w:hint="eastAsia" w:ascii="宋体" w:hAnsi="宋体" w:cs="宋体"/>
                <w:color w:val="000000"/>
                <w:kern w:val="0"/>
                <w:szCs w:val="21"/>
              </w:rPr>
              <w:br w:type="textWrapping"/>
            </w:r>
            <w:r>
              <w:rPr>
                <w:rFonts w:hint="eastAsia" w:ascii="宋体" w:hAnsi="宋体" w:cs="宋体"/>
                <w:color w:val="000000"/>
                <w:kern w:val="0"/>
                <w:szCs w:val="21"/>
              </w:rPr>
              <w:t>2.外业实地核查：组织专家及有关单位进行项目实地踏勘。</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3.内业数据生产：开展踏勘后，督促报审单位及时按相关部门及专家组意见进行修改。收到修改完善踏勘论证报告后要完成复核工作，出具相应审查报告。</w:t>
            </w:r>
          </w:p>
        </w:tc>
        <w:tc>
          <w:tcPr>
            <w:tcW w:w="1901" w:type="dxa"/>
            <w:tcBorders>
              <w:top w:val="single" w:color="000000" w:sz="4" w:space="0"/>
              <w:left w:val="single" w:color="000000" w:sz="4" w:space="0"/>
              <w:bottom w:val="single" w:color="000000" w:sz="4" w:space="0"/>
              <w:right w:val="single" w:color="000000" w:sz="4" w:space="0"/>
            </w:tcBorders>
            <w:vAlign w:val="center"/>
          </w:tcPr>
          <w:p w14:paraId="1227336F">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依据《广西壮族自治区自然资源厅关于做好建设项目节约集约用地论证分析专章编制和审查工作的通知》（桂自然资发〔2023〕40号）。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33AA6402">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174248.00</w:t>
            </w:r>
          </w:p>
        </w:tc>
      </w:tr>
      <w:tr w14:paraId="6449E6D5">
        <w:tblPrEx>
          <w:tblCellMar>
            <w:top w:w="0" w:type="dxa"/>
            <w:left w:w="108" w:type="dxa"/>
            <w:bottom w:w="0" w:type="dxa"/>
            <w:right w:w="108" w:type="dxa"/>
          </w:tblCellMar>
        </w:tblPrEx>
        <w:trPr>
          <w:trHeight w:val="33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1DF77B2C">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2A62BCAB">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F33FC7B">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永久基本农田踏勘论证</w:t>
            </w:r>
          </w:p>
        </w:tc>
        <w:tc>
          <w:tcPr>
            <w:tcW w:w="4308" w:type="dxa"/>
            <w:tcBorders>
              <w:top w:val="single" w:color="000000" w:sz="4" w:space="0"/>
              <w:left w:val="single" w:color="000000" w:sz="4" w:space="0"/>
              <w:bottom w:val="single" w:color="000000" w:sz="4" w:space="0"/>
              <w:right w:val="single" w:color="000000" w:sz="4" w:space="0"/>
            </w:tcBorders>
            <w:vAlign w:val="center"/>
          </w:tcPr>
          <w:p w14:paraId="250A6F83">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根据《广西壮族自治区自然资源厅关于进一步做好建设项目用地预审与选址踏勘论证工作的通知》（桂自然资规〔2020〕2号）文件，委托技术审查单位对踏勘论证报告完成项目初审，组织项目实地踏勘，开展踏勘后，督促报审单位及时按相关部门及专家组意见进行修改。收到修改完善踏勘论证报告后要完成复核工作，出具相应审查报告。</w:t>
            </w:r>
            <w:r>
              <w:rPr>
                <w:rFonts w:hint="eastAsia" w:ascii="宋体" w:hAnsi="宋体" w:cs="宋体"/>
                <w:color w:val="000000"/>
                <w:kern w:val="0"/>
                <w:szCs w:val="21"/>
              </w:rPr>
              <w:br w:type="textWrapping"/>
            </w:r>
            <w:r>
              <w:rPr>
                <w:rFonts w:hint="eastAsia" w:ascii="宋体" w:hAnsi="宋体" w:cs="宋体"/>
                <w:color w:val="000000"/>
                <w:kern w:val="0"/>
                <w:szCs w:val="21"/>
              </w:rPr>
              <w:t>1.资料收集与整理：对踏勘论证报告完成项目初审。</w:t>
            </w:r>
            <w:r>
              <w:rPr>
                <w:rFonts w:hint="eastAsia" w:ascii="宋体" w:hAnsi="宋体" w:cs="宋体"/>
                <w:color w:val="000000"/>
                <w:kern w:val="0"/>
                <w:szCs w:val="21"/>
              </w:rPr>
              <w:br w:type="textWrapping"/>
            </w:r>
            <w:r>
              <w:rPr>
                <w:rFonts w:hint="eastAsia" w:ascii="宋体" w:hAnsi="宋体" w:cs="宋体"/>
                <w:color w:val="000000"/>
                <w:kern w:val="0"/>
                <w:szCs w:val="21"/>
              </w:rPr>
              <w:t>2.业实地核查：组织专家及有关单位进行项目实地踏勘。</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3.内业数据生产：开展踏勘后，督促报审单位及时按相关部门及专家组意见进行修改。收到修改完善踏勘论证报告后要完成复核工作，出具相应审查报告。</w:t>
            </w:r>
          </w:p>
        </w:tc>
        <w:tc>
          <w:tcPr>
            <w:tcW w:w="1901" w:type="dxa"/>
            <w:tcBorders>
              <w:top w:val="single" w:color="000000" w:sz="4" w:space="0"/>
              <w:left w:val="single" w:color="000000" w:sz="4" w:space="0"/>
              <w:bottom w:val="single" w:color="000000" w:sz="4" w:space="0"/>
              <w:right w:val="single" w:color="000000" w:sz="4" w:space="0"/>
            </w:tcBorders>
            <w:vAlign w:val="center"/>
          </w:tcPr>
          <w:p w14:paraId="73347A4D">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依据《广西壮族自治区自然资源厅关于进一步做好建设项目用地预审与选址踏勘论证工作的通知》（桂自然资规〔2020〕2号）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044C769F">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138499.00</w:t>
            </w:r>
          </w:p>
        </w:tc>
      </w:tr>
      <w:tr w14:paraId="3EBA26AE">
        <w:tblPrEx>
          <w:tblCellMar>
            <w:top w:w="0" w:type="dxa"/>
            <w:left w:w="108" w:type="dxa"/>
            <w:bottom w:w="0" w:type="dxa"/>
            <w:right w:w="108" w:type="dxa"/>
          </w:tblCellMar>
        </w:tblPrEx>
        <w:trPr>
          <w:trHeight w:val="21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58CE960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847" w:type="dxa"/>
            <w:tcBorders>
              <w:top w:val="single" w:color="000000" w:sz="4" w:space="0"/>
              <w:left w:val="single" w:color="000000" w:sz="4" w:space="0"/>
              <w:bottom w:val="single" w:color="000000" w:sz="4" w:space="0"/>
              <w:right w:val="single" w:color="000000" w:sz="4" w:space="0"/>
            </w:tcBorders>
            <w:vAlign w:val="center"/>
          </w:tcPr>
          <w:p w14:paraId="26D4738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国土空间规划一张图系统数据更新（细化）</w:t>
            </w:r>
          </w:p>
        </w:tc>
        <w:tc>
          <w:tcPr>
            <w:tcW w:w="639" w:type="dxa"/>
            <w:tcBorders>
              <w:top w:val="single" w:color="000000" w:sz="4" w:space="0"/>
              <w:left w:val="single" w:color="000000" w:sz="4" w:space="0"/>
              <w:bottom w:val="single" w:color="000000" w:sz="4" w:space="0"/>
              <w:right w:val="single" w:color="000000" w:sz="4" w:space="0"/>
            </w:tcBorders>
            <w:vAlign w:val="center"/>
          </w:tcPr>
          <w:p w14:paraId="3A8C66DE">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国土空间规划一张图系统数据更新（细化）</w:t>
            </w:r>
          </w:p>
        </w:tc>
        <w:tc>
          <w:tcPr>
            <w:tcW w:w="4308" w:type="dxa"/>
            <w:tcBorders>
              <w:top w:val="single" w:color="000000" w:sz="4" w:space="0"/>
              <w:left w:val="single" w:color="000000" w:sz="4" w:space="0"/>
              <w:bottom w:val="single" w:color="000000" w:sz="4" w:space="0"/>
              <w:right w:val="single" w:color="000000" w:sz="4" w:space="0"/>
            </w:tcBorders>
            <w:vAlign w:val="center"/>
          </w:tcPr>
          <w:p w14:paraId="15DD2D69">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1.资料收集</w:t>
            </w:r>
            <w:r>
              <w:rPr>
                <w:rFonts w:hint="eastAsia" w:ascii="宋体" w:hAnsi="宋体" w:cs="宋体"/>
                <w:color w:val="000000"/>
                <w:kern w:val="0"/>
                <w:szCs w:val="21"/>
              </w:rPr>
              <w:br w:type="textWrapping"/>
            </w:r>
            <w:r>
              <w:rPr>
                <w:rFonts w:hint="eastAsia" w:ascii="宋体" w:hAnsi="宋体" w:cs="宋体"/>
                <w:color w:val="000000"/>
                <w:kern w:val="0"/>
                <w:szCs w:val="21"/>
              </w:rPr>
              <w:t>收集最新“一张图”国土变更、影像、预审、报批、违法、各类专题等数据。</w:t>
            </w:r>
            <w:r>
              <w:rPr>
                <w:rFonts w:hint="eastAsia" w:ascii="宋体" w:hAnsi="宋体" w:cs="宋体"/>
                <w:color w:val="000000"/>
                <w:kern w:val="0"/>
                <w:szCs w:val="21"/>
              </w:rPr>
              <w:br w:type="textWrapping"/>
            </w:r>
            <w:r>
              <w:rPr>
                <w:rFonts w:hint="eastAsia" w:ascii="宋体" w:hAnsi="宋体" w:cs="宋体"/>
                <w:color w:val="000000"/>
                <w:kern w:val="0"/>
                <w:szCs w:val="21"/>
              </w:rPr>
              <w:t>2.内业核查</w:t>
            </w:r>
            <w:r>
              <w:rPr>
                <w:rFonts w:hint="eastAsia" w:ascii="宋体" w:hAnsi="宋体" w:cs="宋体"/>
                <w:color w:val="000000"/>
                <w:kern w:val="0"/>
                <w:szCs w:val="21"/>
              </w:rPr>
              <w:br w:type="textWrapping"/>
            </w:r>
            <w:r>
              <w:rPr>
                <w:rFonts w:hint="eastAsia" w:ascii="宋体" w:hAnsi="宋体" w:cs="宋体"/>
                <w:color w:val="000000"/>
                <w:kern w:val="0"/>
                <w:szCs w:val="21"/>
              </w:rPr>
              <w:t>对数据进行分析处理、建库，及完成对应上报备案格式。</w:t>
            </w:r>
          </w:p>
        </w:tc>
        <w:tc>
          <w:tcPr>
            <w:tcW w:w="1901" w:type="dxa"/>
            <w:tcBorders>
              <w:top w:val="single" w:color="000000" w:sz="4" w:space="0"/>
              <w:left w:val="single" w:color="000000" w:sz="4" w:space="0"/>
              <w:bottom w:val="single" w:color="000000" w:sz="4" w:space="0"/>
              <w:right w:val="single" w:color="000000" w:sz="4" w:space="0"/>
            </w:tcBorders>
            <w:vAlign w:val="center"/>
          </w:tcPr>
          <w:p w14:paraId="6AFBE6ED">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依据《中共中央、国务院关于建立国土空间规划体系并监督实施的若干意见》。</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1976474A">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141008.00</w:t>
            </w:r>
          </w:p>
        </w:tc>
      </w:tr>
      <w:tr w14:paraId="132E6DD4">
        <w:tblPrEx>
          <w:tblCellMar>
            <w:top w:w="0" w:type="dxa"/>
            <w:left w:w="108" w:type="dxa"/>
            <w:bottom w:w="0" w:type="dxa"/>
            <w:right w:w="108" w:type="dxa"/>
          </w:tblCellMar>
        </w:tblPrEx>
        <w:trPr>
          <w:trHeight w:val="24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406F7DFF">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14:paraId="55419B9A">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城市规划区内各类建设项目用地规划前期技术服务</w:t>
            </w:r>
          </w:p>
        </w:tc>
        <w:tc>
          <w:tcPr>
            <w:tcW w:w="639" w:type="dxa"/>
            <w:tcBorders>
              <w:top w:val="single" w:color="000000" w:sz="4" w:space="0"/>
              <w:left w:val="single" w:color="000000" w:sz="4" w:space="0"/>
              <w:bottom w:val="single" w:color="000000" w:sz="4" w:space="0"/>
              <w:right w:val="single" w:color="000000" w:sz="4" w:space="0"/>
            </w:tcBorders>
            <w:vAlign w:val="center"/>
          </w:tcPr>
          <w:p w14:paraId="6F7A721C">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规划红线图技术服务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63386D21">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根据具体项目委托收集历年规划范围以及已批准的新增建设用地项目空间位置及属性信息、历年地籍发证资料、年度土地变更调查形成的各级控制界线、控制面积和各地类面积资料等资料，并进行整理核实。</w:t>
            </w:r>
            <w:r>
              <w:rPr>
                <w:rFonts w:hint="eastAsia" w:ascii="宋体" w:hAnsi="宋体" w:cs="宋体"/>
                <w:color w:val="000000"/>
                <w:kern w:val="0"/>
                <w:szCs w:val="21"/>
              </w:rPr>
              <w:br w:type="textWrapping"/>
            </w:r>
            <w:r>
              <w:rPr>
                <w:rFonts w:hint="eastAsia" w:ascii="宋体" w:hAnsi="宋体" w:cs="宋体"/>
                <w:color w:val="000000"/>
                <w:kern w:val="0"/>
                <w:szCs w:val="21"/>
              </w:rPr>
              <w:t>2.内业数据生产</w:t>
            </w:r>
            <w:r>
              <w:rPr>
                <w:rFonts w:hint="eastAsia" w:ascii="宋体" w:hAnsi="宋体" w:cs="宋体"/>
                <w:color w:val="000000"/>
                <w:kern w:val="0"/>
                <w:szCs w:val="21"/>
              </w:rPr>
              <w:br w:type="textWrapping"/>
            </w:r>
            <w:r>
              <w:rPr>
                <w:rFonts w:hint="eastAsia" w:ascii="宋体" w:hAnsi="宋体" w:cs="宋体"/>
                <w:color w:val="000000"/>
                <w:kern w:val="0"/>
                <w:szCs w:val="21"/>
              </w:rPr>
              <w:t>根据规划设计条件，绘制规划红线图。</w:t>
            </w:r>
          </w:p>
        </w:tc>
        <w:tc>
          <w:tcPr>
            <w:tcW w:w="1901" w:type="dxa"/>
            <w:tcBorders>
              <w:top w:val="single" w:color="000000" w:sz="4" w:space="0"/>
              <w:left w:val="single" w:color="000000" w:sz="4" w:space="0"/>
              <w:bottom w:val="single" w:color="000000" w:sz="4" w:space="0"/>
              <w:right w:val="single" w:color="000000" w:sz="4" w:space="0"/>
            </w:tcBorders>
            <w:vAlign w:val="center"/>
          </w:tcPr>
          <w:p w14:paraId="658A5E4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依据《中华人民共和国城乡规划法》，第二十四条。</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708285F1">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104965.00</w:t>
            </w:r>
          </w:p>
        </w:tc>
      </w:tr>
      <w:tr w14:paraId="7B3C8589">
        <w:tblPrEx>
          <w:tblCellMar>
            <w:top w:w="0" w:type="dxa"/>
            <w:left w:w="108" w:type="dxa"/>
            <w:bottom w:w="0" w:type="dxa"/>
            <w:right w:w="108" w:type="dxa"/>
          </w:tblCellMar>
        </w:tblPrEx>
        <w:trPr>
          <w:trHeight w:val="29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4651530A">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130CF3E6">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0518C0C">
            <w:pPr>
              <w:widowControl/>
              <w:spacing w:line="360" w:lineRule="auto"/>
              <w:jc w:val="left"/>
              <w:textAlignment w:val="center"/>
              <w:rPr>
                <w:rFonts w:ascii="宋体" w:hAnsi="宋体" w:cs="宋体"/>
                <w:color w:val="FF0000"/>
                <w:szCs w:val="21"/>
              </w:rPr>
            </w:pPr>
            <w:r>
              <w:rPr>
                <w:rFonts w:hint="eastAsia" w:ascii="宋体" w:hAnsi="宋体" w:cs="宋体"/>
                <w:color w:val="auto"/>
                <w:kern w:val="0"/>
                <w:szCs w:val="21"/>
              </w:rPr>
              <w:t>建筑设计方案技术审查服务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65438B5B">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收集项目基本情况、工程概况、设计文件、施工方案、工程验收报告等。</w:t>
            </w:r>
            <w:r>
              <w:rPr>
                <w:rFonts w:hint="eastAsia" w:ascii="宋体" w:hAnsi="宋体" w:cs="宋体"/>
                <w:color w:val="000000"/>
                <w:kern w:val="0"/>
                <w:szCs w:val="21"/>
              </w:rPr>
              <w:br w:type="textWrapping"/>
            </w:r>
            <w:r>
              <w:rPr>
                <w:rFonts w:hint="eastAsia" w:ascii="宋体" w:hAnsi="宋体" w:cs="宋体"/>
                <w:color w:val="000000"/>
                <w:kern w:val="0"/>
                <w:szCs w:val="21"/>
              </w:rPr>
              <w:t>2.内业审查服务</w:t>
            </w:r>
            <w:r>
              <w:rPr>
                <w:rFonts w:hint="eastAsia" w:ascii="宋体" w:hAnsi="宋体" w:cs="宋体"/>
                <w:color w:val="000000"/>
                <w:kern w:val="0"/>
                <w:szCs w:val="21"/>
              </w:rPr>
              <w:br w:type="textWrapping"/>
            </w:r>
            <w:r>
              <w:rPr>
                <w:rFonts w:hint="eastAsia" w:ascii="宋体" w:hAnsi="宋体" w:cs="宋体"/>
                <w:color w:val="000000"/>
                <w:kern w:val="0"/>
                <w:szCs w:val="21"/>
              </w:rPr>
              <w:t>（1）审查项目立项阶段的工程技术方案及可行性研究报告。</w:t>
            </w:r>
            <w:r>
              <w:rPr>
                <w:rFonts w:hint="eastAsia" w:ascii="宋体" w:hAnsi="宋体" w:cs="宋体"/>
                <w:color w:val="000000"/>
                <w:kern w:val="0"/>
                <w:szCs w:val="21"/>
              </w:rPr>
              <w:br w:type="textWrapping"/>
            </w:r>
            <w:r>
              <w:rPr>
                <w:rFonts w:hint="eastAsia" w:ascii="宋体" w:hAnsi="宋体" w:cs="宋体"/>
                <w:color w:val="000000"/>
                <w:kern w:val="0"/>
                <w:szCs w:val="21"/>
              </w:rPr>
              <w:t>（2）审查工程设计文件。</w:t>
            </w:r>
            <w:r>
              <w:rPr>
                <w:rFonts w:hint="eastAsia" w:ascii="宋体" w:hAnsi="宋体" w:cs="宋体"/>
                <w:color w:val="000000"/>
                <w:kern w:val="0"/>
                <w:szCs w:val="21"/>
              </w:rPr>
              <w:br w:type="textWrapping"/>
            </w:r>
            <w:r>
              <w:rPr>
                <w:rFonts w:hint="eastAsia" w:ascii="宋体" w:hAnsi="宋体" w:cs="宋体"/>
                <w:color w:val="000000"/>
                <w:kern w:val="0"/>
                <w:szCs w:val="21"/>
              </w:rPr>
              <w:t>（3）审查施工过程中的技术措施和工艺方案。</w:t>
            </w:r>
            <w:r>
              <w:rPr>
                <w:rFonts w:hint="eastAsia" w:ascii="宋体" w:hAnsi="宋体" w:cs="宋体"/>
                <w:color w:val="000000"/>
                <w:kern w:val="0"/>
                <w:szCs w:val="21"/>
              </w:rPr>
              <w:br w:type="textWrapping"/>
            </w:r>
            <w:r>
              <w:rPr>
                <w:rFonts w:hint="eastAsia" w:ascii="宋体" w:hAnsi="宋体" w:cs="宋体"/>
                <w:color w:val="000000"/>
                <w:kern w:val="0"/>
                <w:szCs w:val="21"/>
              </w:rPr>
              <w:t>（4）审查工程验收报告及竣工图纸。</w:t>
            </w:r>
            <w:r>
              <w:rPr>
                <w:rFonts w:hint="eastAsia" w:ascii="宋体" w:hAnsi="宋体" w:cs="宋体"/>
                <w:color w:val="000000"/>
                <w:kern w:val="0"/>
                <w:szCs w:val="21"/>
              </w:rPr>
              <w:br w:type="textWrapping"/>
            </w:r>
            <w:r>
              <w:rPr>
                <w:rFonts w:hint="eastAsia" w:ascii="宋体" w:hAnsi="宋体" w:cs="宋体"/>
                <w:color w:val="000000"/>
                <w:kern w:val="0"/>
                <w:szCs w:val="21"/>
              </w:rPr>
              <w:t>（5）根据审查结果编制审查报告。</w:t>
            </w:r>
          </w:p>
        </w:tc>
        <w:tc>
          <w:tcPr>
            <w:tcW w:w="1901" w:type="dxa"/>
            <w:tcBorders>
              <w:top w:val="single" w:color="000000" w:sz="4" w:space="0"/>
              <w:left w:val="single" w:color="000000" w:sz="4" w:space="0"/>
              <w:bottom w:val="single" w:color="000000" w:sz="4" w:space="0"/>
              <w:right w:val="single" w:color="000000" w:sz="4" w:space="0"/>
            </w:tcBorders>
            <w:vAlign w:val="center"/>
          </w:tcPr>
          <w:p w14:paraId="21527521">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依据《中华人民共和国城乡规划法》。</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05F85E02">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105812.00</w:t>
            </w:r>
          </w:p>
        </w:tc>
      </w:tr>
      <w:tr w14:paraId="49FE06F3">
        <w:tblPrEx>
          <w:tblCellMar>
            <w:top w:w="0" w:type="dxa"/>
            <w:left w:w="108" w:type="dxa"/>
            <w:bottom w:w="0" w:type="dxa"/>
            <w:right w:w="108" w:type="dxa"/>
          </w:tblCellMar>
        </w:tblPrEx>
        <w:trPr>
          <w:trHeight w:val="24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62E18B9">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12659CE1">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6457366">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建设项目规划验线复核技术服务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338D053C">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收集放线成果报告、工程规划许可证、建设施工设计图纸、地籍图和实地边界标志线、桩位坐标点等相关资料。</w:t>
            </w:r>
            <w:r>
              <w:rPr>
                <w:rFonts w:hint="eastAsia" w:ascii="宋体" w:hAnsi="宋体" w:cs="宋体"/>
                <w:color w:val="000000"/>
                <w:kern w:val="0"/>
                <w:szCs w:val="21"/>
              </w:rPr>
              <w:br w:type="textWrapping"/>
            </w:r>
            <w:r>
              <w:rPr>
                <w:rFonts w:hint="eastAsia" w:ascii="宋体" w:hAnsi="宋体" w:cs="宋体"/>
                <w:color w:val="000000"/>
                <w:kern w:val="0"/>
                <w:szCs w:val="21"/>
              </w:rPr>
              <w:t>2.外业测绘</w:t>
            </w:r>
            <w:r>
              <w:rPr>
                <w:rFonts w:hint="eastAsia" w:ascii="宋体" w:hAnsi="宋体" w:cs="宋体"/>
                <w:color w:val="000000"/>
                <w:kern w:val="0"/>
                <w:szCs w:val="21"/>
              </w:rPr>
              <w:br w:type="textWrapping"/>
            </w:r>
            <w:r>
              <w:rPr>
                <w:rFonts w:hint="eastAsia" w:ascii="宋体" w:hAnsi="宋体" w:cs="宋体"/>
                <w:color w:val="000000"/>
                <w:kern w:val="0"/>
                <w:szCs w:val="21"/>
              </w:rPr>
              <w:t>利用GPS接收机、全站仪等工具对建设工程施工放线、建筑物的位置及±0标高进行定点核验。</w:t>
            </w:r>
          </w:p>
        </w:tc>
        <w:tc>
          <w:tcPr>
            <w:tcW w:w="1901" w:type="dxa"/>
            <w:tcBorders>
              <w:top w:val="single" w:color="000000" w:sz="4" w:space="0"/>
              <w:left w:val="single" w:color="000000" w:sz="4" w:space="0"/>
              <w:bottom w:val="single" w:color="000000" w:sz="4" w:space="0"/>
              <w:right w:val="single" w:color="000000" w:sz="4" w:space="0"/>
            </w:tcBorders>
            <w:noWrap/>
            <w:vAlign w:val="center"/>
          </w:tcPr>
          <w:p w14:paraId="253C318F">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依据《中华人民共和国城乡规划法》。</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4E08FD48">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104885.00</w:t>
            </w:r>
          </w:p>
        </w:tc>
      </w:tr>
      <w:tr w14:paraId="615FD226">
        <w:tblPrEx>
          <w:tblCellMar>
            <w:top w:w="0" w:type="dxa"/>
            <w:left w:w="108" w:type="dxa"/>
            <w:bottom w:w="0" w:type="dxa"/>
            <w:right w:w="108" w:type="dxa"/>
          </w:tblCellMar>
        </w:tblPrEx>
        <w:trPr>
          <w:trHeight w:val="328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45050866">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744F7E87">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680B01F">
            <w:pPr>
              <w:widowControl/>
              <w:spacing w:line="360" w:lineRule="auto"/>
              <w:jc w:val="left"/>
              <w:textAlignment w:val="center"/>
              <w:rPr>
                <w:rFonts w:ascii="宋体" w:hAnsi="宋体" w:cs="宋体"/>
                <w:color w:val="FF0000"/>
                <w:szCs w:val="21"/>
              </w:rPr>
            </w:pPr>
            <w:r>
              <w:rPr>
                <w:rFonts w:hint="eastAsia" w:ascii="宋体" w:hAnsi="宋体" w:cs="宋体"/>
                <w:color w:val="auto"/>
                <w:kern w:val="0"/>
                <w:szCs w:val="21"/>
              </w:rPr>
              <w:t>建设项目规划核实复核服务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7A88EF8C">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收集规划条件或建设项目选址意见书及附图、建设用地批准文件及相关资料、建设工程规划许可证、施工设计图等资料。</w:t>
            </w:r>
            <w:r>
              <w:rPr>
                <w:rFonts w:hint="eastAsia" w:ascii="宋体" w:hAnsi="宋体" w:cs="宋体"/>
                <w:color w:val="000000"/>
                <w:kern w:val="0"/>
                <w:szCs w:val="21"/>
              </w:rPr>
              <w:br w:type="textWrapping"/>
            </w:r>
            <w:r>
              <w:rPr>
                <w:rFonts w:hint="eastAsia" w:ascii="宋体" w:hAnsi="宋体" w:cs="宋体"/>
                <w:color w:val="000000"/>
                <w:kern w:val="0"/>
                <w:szCs w:val="21"/>
              </w:rPr>
              <w:t>2.外业测绘</w:t>
            </w:r>
            <w:r>
              <w:rPr>
                <w:rFonts w:hint="eastAsia" w:ascii="宋体" w:hAnsi="宋体" w:cs="宋体"/>
                <w:color w:val="000000"/>
                <w:kern w:val="0"/>
                <w:szCs w:val="21"/>
              </w:rPr>
              <w:br w:type="textWrapping"/>
            </w:r>
            <w:r>
              <w:rPr>
                <w:rFonts w:hint="eastAsia" w:ascii="宋体" w:hAnsi="宋体" w:cs="宋体"/>
                <w:color w:val="000000"/>
                <w:kern w:val="0"/>
                <w:szCs w:val="21"/>
              </w:rPr>
              <w:t>利用GPS接收机、全站仪等工具对建设项目的建（构）筑物平面位置、高度及层高，建筑基地面积与建筑面积，建筑密度、容积率、绿地面积、绿地率及其他技术经济指标等进行测量。</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w:t>
            </w:r>
            <w:r>
              <w:rPr>
                <w:rFonts w:hint="eastAsia" w:ascii="宋体" w:hAnsi="宋体" w:cs="宋体"/>
                <w:color w:val="000000"/>
                <w:kern w:val="0"/>
                <w:szCs w:val="21"/>
              </w:rPr>
              <w:br w:type="textWrapping"/>
            </w:r>
            <w:r>
              <w:rPr>
                <w:rFonts w:hint="eastAsia" w:ascii="宋体" w:hAnsi="宋体" w:cs="宋体"/>
                <w:color w:val="000000"/>
                <w:kern w:val="0"/>
                <w:szCs w:val="21"/>
              </w:rPr>
              <w:t>根据外业测量数据计算、对比，出具复核意见书。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2C46A8FC">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依据《中华人民共和国城乡规划法》。</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06D209E9">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105116.00</w:t>
            </w:r>
          </w:p>
        </w:tc>
      </w:tr>
      <w:tr w14:paraId="457EBF0E">
        <w:tblPrEx>
          <w:tblCellMar>
            <w:top w:w="0" w:type="dxa"/>
            <w:left w:w="108" w:type="dxa"/>
            <w:bottom w:w="0" w:type="dxa"/>
            <w:right w:w="108" w:type="dxa"/>
          </w:tblCellMar>
        </w:tblPrEx>
        <w:trPr>
          <w:trHeight w:val="30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12FB71B">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57B2AFF0">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BD9068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全市建设工程规划许可“双随机、一公开”检查技术服务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4599433B">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收集建设用地规划许可证、工程规划许可证、建设施工设计图纸等相关材料。</w:t>
            </w:r>
            <w:r>
              <w:rPr>
                <w:rFonts w:hint="eastAsia" w:ascii="宋体" w:hAnsi="宋体" w:cs="宋体"/>
                <w:color w:val="000000"/>
                <w:kern w:val="0"/>
                <w:szCs w:val="21"/>
              </w:rPr>
              <w:br w:type="textWrapping"/>
            </w:r>
            <w:r>
              <w:rPr>
                <w:rFonts w:hint="eastAsia" w:ascii="宋体" w:hAnsi="宋体" w:cs="宋体"/>
                <w:color w:val="000000"/>
                <w:kern w:val="0"/>
                <w:szCs w:val="21"/>
              </w:rPr>
              <w:t>2.外业测绘</w:t>
            </w:r>
            <w:r>
              <w:rPr>
                <w:rFonts w:hint="eastAsia" w:ascii="宋体" w:hAnsi="宋体" w:cs="宋体"/>
                <w:color w:val="000000"/>
                <w:kern w:val="0"/>
                <w:szCs w:val="21"/>
              </w:rPr>
              <w:br w:type="textWrapping"/>
            </w:r>
            <w:r>
              <w:rPr>
                <w:rFonts w:hint="eastAsia" w:ascii="宋体" w:hAnsi="宋体" w:cs="宋体"/>
                <w:color w:val="000000"/>
                <w:kern w:val="0"/>
                <w:szCs w:val="21"/>
              </w:rPr>
              <w:t>利用GPS接收机、全站仪等工具对建设用地规划许可明确的地块位置、建筑物容积率、绿地率、用地面积、建筑高度、建筑层数测量。</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w:t>
            </w:r>
            <w:r>
              <w:rPr>
                <w:rFonts w:hint="eastAsia" w:ascii="宋体" w:hAnsi="宋体" w:cs="宋体"/>
                <w:color w:val="000000"/>
                <w:kern w:val="0"/>
                <w:szCs w:val="21"/>
              </w:rPr>
              <w:br w:type="textWrapping"/>
            </w:r>
            <w:r>
              <w:rPr>
                <w:rFonts w:hint="eastAsia" w:ascii="宋体" w:hAnsi="宋体" w:cs="宋体"/>
                <w:color w:val="000000"/>
                <w:kern w:val="0"/>
                <w:szCs w:val="21"/>
              </w:rPr>
              <w:t>对测量的数据进行整理分析计算，编制报告。</w:t>
            </w:r>
          </w:p>
        </w:tc>
        <w:tc>
          <w:tcPr>
            <w:tcW w:w="1901" w:type="dxa"/>
            <w:tcBorders>
              <w:top w:val="single" w:color="000000" w:sz="4" w:space="0"/>
              <w:left w:val="single" w:color="000000" w:sz="4" w:space="0"/>
              <w:bottom w:val="single" w:color="000000" w:sz="4" w:space="0"/>
              <w:right w:val="single" w:color="000000" w:sz="4" w:space="0"/>
            </w:tcBorders>
            <w:vAlign w:val="center"/>
          </w:tcPr>
          <w:p w14:paraId="52273C25">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依据《中华人民共和国城乡规划法》。</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27CA231B">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70053.00</w:t>
            </w:r>
          </w:p>
        </w:tc>
      </w:tr>
      <w:tr w14:paraId="00F6ADD7">
        <w:tblPrEx>
          <w:tblCellMar>
            <w:top w:w="0" w:type="dxa"/>
            <w:left w:w="108" w:type="dxa"/>
            <w:bottom w:w="0" w:type="dxa"/>
            <w:right w:w="108" w:type="dxa"/>
          </w:tblCellMar>
        </w:tblPrEx>
        <w:trPr>
          <w:trHeight w:val="26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20591E45">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63411865">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79D3B6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拟建工程定点技术服务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374A85ED">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收集建筑设计图、建设用地红线图、坐标系、控制点等资料。</w:t>
            </w:r>
            <w:r>
              <w:rPr>
                <w:rFonts w:hint="eastAsia" w:ascii="宋体" w:hAnsi="宋体" w:cs="宋体"/>
                <w:color w:val="000000"/>
                <w:kern w:val="0"/>
                <w:szCs w:val="21"/>
              </w:rPr>
              <w:br w:type="textWrapping"/>
            </w:r>
            <w:r>
              <w:rPr>
                <w:rFonts w:hint="eastAsia" w:ascii="宋体" w:hAnsi="宋体" w:cs="宋体"/>
                <w:color w:val="000000"/>
                <w:kern w:val="0"/>
                <w:szCs w:val="21"/>
              </w:rPr>
              <w:t>2.外业测绘</w:t>
            </w:r>
            <w:r>
              <w:rPr>
                <w:rFonts w:hint="eastAsia" w:ascii="宋体" w:hAnsi="宋体" w:cs="宋体"/>
                <w:color w:val="000000"/>
                <w:kern w:val="0"/>
                <w:szCs w:val="21"/>
              </w:rPr>
              <w:br w:type="textWrapping"/>
            </w:r>
            <w:r>
              <w:rPr>
                <w:rFonts w:hint="eastAsia" w:ascii="宋体" w:hAnsi="宋体" w:cs="宋体"/>
                <w:color w:val="000000"/>
                <w:kern w:val="0"/>
                <w:szCs w:val="21"/>
              </w:rPr>
              <w:t>根据该项目建设用地红线图坐标数据进行实地定点放样。放样采用GPS放于实地，然后打木桩固定，并用红油漆将木桩喷成红色。精确放样于桩顶至厘米级。</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w:t>
            </w:r>
            <w:r>
              <w:rPr>
                <w:rFonts w:hint="eastAsia" w:ascii="宋体" w:hAnsi="宋体" w:cs="宋体"/>
                <w:color w:val="000000"/>
                <w:kern w:val="0"/>
                <w:szCs w:val="21"/>
              </w:rPr>
              <w:br w:type="textWrapping"/>
            </w:r>
            <w:r>
              <w:rPr>
                <w:rFonts w:hint="eastAsia" w:ascii="宋体" w:hAnsi="宋体" w:cs="宋体"/>
                <w:color w:val="000000"/>
                <w:kern w:val="0"/>
                <w:szCs w:val="21"/>
              </w:rPr>
              <w:t>根据GPS接收机定点放样数据出具报告。</w:t>
            </w:r>
          </w:p>
        </w:tc>
        <w:tc>
          <w:tcPr>
            <w:tcW w:w="1901" w:type="dxa"/>
            <w:tcBorders>
              <w:top w:val="single" w:color="000000" w:sz="4" w:space="0"/>
              <w:left w:val="single" w:color="000000" w:sz="4" w:space="0"/>
              <w:bottom w:val="single" w:color="000000" w:sz="4" w:space="0"/>
              <w:right w:val="single" w:color="000000" w:sz="4" w:space="0"/>
            </w:tcBorders>
            <w:vAlign w:val="center"/>
          </w:tcPr>
          <w:p w14:paraId="1A8F655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依据《中华人民共和国城乡规划法》。</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452C388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70172.00</w:t>
            </w:r>
          </w:p>
        </w:tc>
      </w:tr>
      <w:tr w14:paraId="664A1B4F">
        <w:tblPrEx>
          <w:tblCellMar>
            <w:top w:w="0" w:type="dxa"/>
            <w:left w:w="108" w:type="dxa"/>
            <w:bottom w:w="0" w:type="dxa"/>
            <w:right w:w="108" w:type="dxa"/>
          </w:tblCellMar>
        </w:tblPrEx>
        <w:trPr>
          <w:trHeight w:val="15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FE3B5A7">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14:paraId="5B2FAC5B">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国土空间生态修复和矿山地质环境恢复治理审查技术服务</w:t>
            </w:r>
          </w:p>
        </w:tc>
        <w:tc>
          <w:tcPr>
            <w:tcW w:w="639" w:type="dxa"/>
            <w:tcBorders>
              <w:top w:val="single" w:color="000000" w:sz="4" w:space="0"/>
              <w:left w:val="single" w:color="000000" w:sz="4" w:space="0"/>
              <w:bottom w:val="single" w:color="000000" w:sz="4" w:space="0"/>
              <w:right w:val="single" w:color="000000" w:sz="4" w:space="0"/>
            </w:tcBorders>
            <w:vAlign w:val="center"/>
          </w:tcPr>
          <w:p w14:paraId="6F92FCB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组织评审历史遗留矿山生态修复实施方案</w:t>
            </w:r>
          </w:p>
        </w:tc>
        <w:tc>
          <w:tcPr>
            <w:tcW w:w="4308" w:type="dxa"/>
            <w:tcBorders>
              <w:top w:val="single" w:color="000000" w:sz="4" w:space="0"/>
              <w:left w:val="single" w:color="000000" w:sz="4" w:space="0"/>
              <w:bottom w:val="single" w:color="000000" w:sz="4" w:space="0"/>
              <w:right w:val="single" w:color="000000" w:sz="4" w:space="0"/>
            </w:tcBorders>
            <w:vAlign w:val="center"/>
          </w:tcPr>
          <w:p w14:paraId="3402344E">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1.外业核查：完成项目的实地查看、组织专家及有关单位进行现场核查。</w:t>
            </w:r>
            <w:r>
              <w:rPr>
                <w:rFonts w:hint="eastAsia" w:ascii="宋体" w:hAnsi="宋体" w:cs="宋体"/>
                <w:color w:val="000000"/>
                <w:kern w:val="0"/>
                <w:szCs w:val="21"/>
              </w:rPr>
              <w:br w:type="textWrapping"/>
            </w:r>
            <w:r>
              <w:rPr>
                <w:rFonts w:hint="eastAsia" w:ascii="宋体" w:hAnsi="宋体" w:cs="宋体"/>
                <w:color w:val="000000"/>
                <w:kern w:val="0"/>
                <w:szCs w:val="21"/>
              </w:rPr>
              <w:t>2.内业审核：完成方案材料审查及修改情况复核、结合专家现场核查及内业审查情况，出具评审意见书。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0EDC5CC9">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依据《广西壮族自治区自然资源厅关于印发〈广西壮族自治区废弃矿山生态修复管理办法〉的通知》（桂自然资规〔2022〕2号）中《广西壮族自治区废弃矿山生态修复管理办法》“第十四条、第十九条”。</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18858587">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71848.00</w:t>
            </w:r>
          </w:p>
        </w:tc>
      </w:tr>
      <w:tr w14:paraId="0463A0B8">
        <w:tblPrEx>
          <w:tblCellMar>
            <w:top w:w="0" w:type="dxa"/>
            <w:left w:w="108" w:type="dxa"/>
            <w:bottom w:w="0" w:type="dxa"/>
            <w:right w:w="108" w:type="dxa"/>
          </w:tblCellMar>
        </w:tblPrEx>
        <w:trPr>
          <w:trHeight w:val="21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E37E31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6F6A225A">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8260283">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组织崇左市历史遗留矿山自然恢复市级审核认定</w:t>
            </w:r>
          </w:p>
        </w:tc>
        <w:tc>
          <w:tcPr>
            <w:tcW w:w="4308" w:type="dxa"/>
            <w:tcBorders>
              <w:top w:val="single" w:color="000000" w:sz="4" w:space="0"/>
              <w:left w:val="single" w:color="000000" w:sz="4" w:space="0"/>
              <w:bottom w:val="single" w:color="000000" w:sz="4" w:space="0"/>
              <w:right w:val="single" w:color="000000" w:sz="4" w:space="0"/>
            </w:tcBorders>
            <w:vAlign w:val="center"/>
          </w:tcPr>
          <w:p w14:paraId="44812D70">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1.地形核查：完成7个县（市、区）图斑信息、现状情况。</w:t>
            </w:r>
            <w:r>
              <w:rPr>
                <w:rFonts w:hint="eastAsia" w:ascii="宋体" w:hAnsi="宋体" w:cs="宋体"/>
                <w:color w:val="000000"/>
                <w:kern w:val="0"/>
                <w:szCs w:val="21"/>
              </w:rPr>
              <w:br w:type="textWrapping"/>
            </w:r>
            <w:r>
              <w:rPr>
                <w:rFonts w:hint="eastAsia" w:ascii="宋体" w:hAnsi="宋体" w:cs="宋体"/>
                <w:color w:val="000000"/>
                <w:kern w:val="0"/>
                <w:szCs w:val="21"/>
              </w:rPr>
              <w:t>2.外业核查：完成7个县（市、区）图斑的实地查看、组织有关专家进行评估审核。</w:t>
            </w:r>
            <w:r>
              <w:rPr>
                <w:rFonts w:hint="eastAsia" w:ascii="宋体" w:hAnsi="宋体" w:cs="宋体"/>
                <w:color w:val="000000"/>
                <w:kern w:val="0"/>
                <w:szCs w:val="21"/>
              </w:rPr>
              <w:br w:type="textWrapping"/>
            </w:r>
            <w:r>
              <w:rPr>
                <w:rFonts w:hint="eastAsia" w:ascii="宋体" w:hAnsi="宋体" w:cs="宋体"/>
                <w:color w:val="000000"/>
                <w:kern w:val="0"/>
                <w:szCs w:val="21"/>
              </w:rPr>
              <w:t>3.内业审核：完成图斑生态修复成效影像对比、成果材料审核及修改情况复核、结合专家现场评估审核情况，出具验收意见。</w:t>
            </w:r>
          </w:p>
        </w:tc>
        <w:tc>
          <w:tcPr>
            <w:tcW w:w="1901" w:type="dxa"/>
            <w:tcBorders>
              <w:top w:val="single" w:color="000000" w:sz="4" w:space="0"/>
              <w:left w:val="single" w:color="000000" w:sz="4" w:space="0"/>
              <w:bottom w:val="single" w:color="000000" w:sz="4" w:space="0"/>
              <w:right w:val="single" w:color="000000" w:sz="4" w:space="0"/>
            </w:tcBorders>
            <w:vAlign w:val="center"/>
          </w:tcPr>
          <w:p w14:paraId="00A9E1E7">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w:t>
            </w:r>
            <w:r>
              <w:rPr>
                <w:rFonts w:hint="eastAsia" w:ascii="宋体" w:hAnsi="宋体" w:cs="宋体"/>
                <w:color w:val="auto"/>
                <w:kern w:val="0"/>
                <w:szCs w:val="21"/>
              </w:rPr>
              <w:t>据《广西壮族自治区自然资源厅办公室关于印发〈广西壮族自治区历史遗留矿山自然恢复技术指南（试行）〉的通知》</w:t>
            </w:r>
            <w:r>
              <w:rPr>
                <w:rFonts w:hint="eastAsia" w:ascii="宋体" w:hAnsi="宋体" w:cs="宋体"/>
                <w:color w:val="000000"/>
                <w:kern w:val="0"/>
                <w:szCs w:val="21"/>
              </w:rPr>
              <w:t>（桂自然资办〔2023〕174号）中《广西壮族自治区历史遗留矿山自然恢复技术指南（试行）》“二、实施程序”“（二）建立名录。”“2.市级审核认定。”</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391714B8">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67775.00</w:t>
            </w:r>
          </w:p>
        </w:tc>
      </w:tr>
      <w:tr w14:paraId="04E88440">
        <w:tblPrEx>
          <w:tblCellMar>
            <w:top w:w="0" w:type="dxa"/>
            <w:left w:w="108" w:type="dxa"/>
            <w:bottom w:w="0" w:type="dxa"/>
            <w:right w:w="108" w:type="dxa"/>
          </w:tblCellMar>
        </w:tblPrEx>
        <w:trPr>
          <w:trHeight w:val="24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9A6D52E">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29</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0E2AEF76">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24DF94D">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组织评审临时用地土地复垦方案</w:t>
            </w:r>
          </w:p>
        </w:tc>
        <w:tc>
          <w:tcPr>
            <w:tcW w:w="4308" w:type="dxa"/>
            <w:tcBorders>
              <w:top w:val="single" w:color="000000" w:sz="4" w:space="0"/>
              <w:left w:val="single" w:color="000000" w:sz="4" w:space="0"/>
              <w:bottom w:val="single" w:color="000000" w:sz="4" w:space="0"/>
              <w:right w:val="single" w:color="000000" w:sz="4" w:space="0"/>
            </w:tcBorders>
            <w:vAlign w:val="center"/>
          </w:tcPr>
          <w:p w14:paraId="3510A655">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1.地形核查：完成项目的地形核查。</w:t>
            </w:r>
            <w:r>
              <w:rPr>
                <w:rFonts w:hint="eastAsia" w:ascii="宋体" w:hAnsi="宋体" w:cs="宋体"/>
                <w:color w:val="000000"/>
                <w:kern w:val="0"/>
                <w:szCs w:val="21"/>
              </w:rPr>
              <w:br w:type="textWrapping"/>
            </w:r>
            <w:r>
              <w:rPr>
                <w:rFonts w:hint="eastAsia" w:ascii="宋体" w:hAnsi="宋体" w:cs="宋体"/>
                <w:color w:val="000000"/>
                <w:kern w:val="0"/>
                <w:szCs w:val="21"/>
              </w:rPr>
              <w:t>2.外业核查：完成项目的实地查看、组织专家及有关单位进行现场核查。</w:t>
            </w:r>
            <w:r>
              <w:rPr>
                <w:rFonts w:hint="eastAsia" w:ascii="宋体" w:hAnsi="宋体" w:cs="宋体"/>
                <w:color w:val="000000"/>
                <w:kern w:val="0"/>
                <w:szCs w:val="21"/>
              </w:rPr>
              <w:br w:type="textWrapping"/>
            </w:r>
            <w:r>
              <w:rPr>
                <w:rFonts w:hint="eastAsia" w:ascii="宋体" w:hAnsi="宋体" w:cs="宋体"/>
                <w:color w:val="000000"/>
                <w:kern w:val="0"/>
                <w:szCs w:val="21"/>
              </w:rPr>
              <w:t>3.内业审核：完成方案材料审查及修改情况复核、结合专家现场核查及内业审查情况，出具评审意见书。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1D24270B">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依据《广西壮族自治区自然资源厅关于进一步规范生产建设项目土地复垦方案编报和审查要求的通知》（桂自然资规〔2019〕7号）“三、审查要求”“审查权限”“审查方式”。</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1D67E14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97430.00</w:t>
            </w:r>
          </w:p>
        </w:tc>
      </w:tr>
      <w:tr w14:paraId="123227D7">
        <w:tblPrEx>
          <w:tblCellMar>
            <w:top w:w="0" w:type="dxa"/>
            <w:left w:w="108" w:type="dxa"/>
            <w:bottom w:w="0" w:type="dxa"/>
            <w:right w:w="108" w:type="dxa"/>
          </w:tblCellMar>
        </w:tblPrEx>
        <w:trPr>
          <w:trHeight w:val="24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62CADED">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3DE54323">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63AB346">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组织矿山生态修复工程验收</w:t>
            </w:r>
          </w:p>
        </w:tc>
        <w:tc>
          <w:tcPr>
            <w:tcW w:w="4308" w:type="dxa"/>
            <w:tcBorders>
              <w:top w:val="single" w:color="000000" w:sz="4" w:space="0"/>
              <w:left w:val="single" w:color="000000" w:sz="4" w:space="0"/>
              <w:bottom w:val="single" w:color="000000" w:sz="4" w:space="0"/>
              <w:right w:val="single" w:color="000000" w:sz="4" w:space="0"/>
            </w:tcBorders>
            <w:vAlign w:val="center"/>
          </w:tcPr>
          <w:p w14:paraId="57CFC04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1.地形核查：完成项目的地形核查。</w:t>
            </w:r>
            <w:r>
              <w:rPr>
                <w:rFonts w:hint="eastAsia" w:ascii="宋体" w:hAnsi="宋体" w:cs="宋体"/>
                <w:color w:val="000000"/>
                <w:kern w:val="0"/>
                <w:szCs w:val="21"/>
              </w:rPr>
              <w:br w:type="textWrapping"/>
            </w:r>
            <w:r>
              <w:rPr>
                <w:rFonts w:hint="eastAsia" w:ascii="宋体" w:hAnsi="宋体" w:cs="宋体"/>
                <w:color w:val="000000"/>
                <w:kern w:val="0"/>
                <w:szCs w:val="21"/>
              </w:rPr>
              <w:t>2.外业核查：完成项目的实地查看、组织专家及有关单位进行现场核查。</w:t>
            </w:r>
            <w:r>
              <w:rPr>
                <w:rFonts w:hint="eastAsia" w:ascii="宋体" w:hAnsi="宋体" w:cs="宋体"/>
                <w:color w:val="000000"/>
                <w:kern w:val="0"/>
                <w:szCs w:val="21"/>
              </w:rPr>
              <w:br w:type="textWrapping"/>
            </w:r>
            <w:r>
              <w:rPr>
                <w:rFonts w:hint="eastAsia" w:ascii="宋体" w:hAnsi="宋体" w:cs="宋体"/>
                <w:color w:val="000000"/>
                <w:kern w:val="0"/>
                <w:szCs w:val="21"/>
              </w:rPr>
              <w:t>3.内业审核：完成工程验收材料审查及修改情况复核、结合专家现场核查及内业审查情况，出具验收意见书。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45051B61">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依据《广西壮族自治区自然资源厅关于印发〈广西壮族自治区废弃矿山生态修复管理办法〉的通知》（桂自然资规〔2022〕2号）中《广西壮族自治区废弃矿山生态修复管理办法》“第五条”。</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61E9E3AA">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96430.00</w:t>
            </w:r>
          </w:p>
        </w:tc>
      </w:tr>
      <w:tr w14:paraId="44EF0931">
        <w:tblPrEx>
          <w:tblCellMar>
            <w:top w:w="0" w:type="dxa"/>
            <w:left w:w="108" w:type="dxa"/>
            <w:bottom w:w="0" w:type="dxa"/>
            <w:right w:w="108" w:type="dxa"/>
          </w:tblCellMar>
        </w:tblPrEx>
        <w:trPr>
          <w:trHeight w:val="24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C7C7590">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31</w:t>
            </w: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14:paraId="4B83FE04">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矿业权管理市级审查技术服务</w:t>
            </w:r>
          </w:p>
        </w:tc>
        <w:tc>
          <w:tcPr>
            <w:tcW w:w="639" w:type="dxa"/>
            <w:tcBorders>
              <w:top w:val="single" w:color="000000" w:sz="4" w:space="0"/>
              <w:left w:val="single" w:color="000000" w:sz="4" w:space="0"/>
              <w:bottom w:val="single" w:color="000000" w:sz="4" w:space="0"/>
              <w:right w:val="single" w:color="000000" w:sz="4" w:space="0"/>
            </w:tcBorders>
            <w:vAlign w:val="center"/>
          </w:tcPr>
          <w:p w14:paraId="0952EB00">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组织评审矿产资源勘查实施方案（矿产勘查设计）</w:t>
            </w:r>
          </w:p>
        </w:tc>
        <w:tc>
          <w:tcPr>
            <w:tcW w:w="4308" w:type="dxa"/>
            <w:tcBorders>
              <w:top w:val="single" w:color="000000" w:sz="4" w:space="0"/>
              <w:left w:val="single" w:color="000000" w:sz="4" w:space="0"/>
              <w:bottom w:val="single" w:color="000000" w:sz="4" w:space="0"/>
              <w:right w:val="single" w:color="000000" w:sz="4" w:space="0"/>
            </w:tcBorders>
            <w:vAlign w:val="center"/>
          </w:tcPr>
          <w:p w14:paraId="5633DE8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1.外业核查：项目的实地查看、组织专家及有关单位进行现场核查。</w:t>
            </w:r>
            <w:r>
              <w:rPr>
                <w:rFonts w:hint="eastAsia" w:ascii="宋体" w:hAnsi="宋体" w:cs="宋体"/>
                <w:color w:val="000000"/>
                <w:kern w:val="0"/>
                <w:szCs w:val="21"/>
              </w:rPr>
              <w:br w:type="textWrapping"/>
            </w:r>
            <w:r>
              <w:rPr>
                <w:rFonts w:hint="eastAsia" w:ascii="宋体" w:hAnsi="宋体" w:cs="宋体"/>
                <w:color w:val="000000"/>
                <w:kern w:val="0"/>
                <w:szCs w:val="21"/>
              </w:rPr>
              <w:t>2.内业审核：完成方案材料的审查及修改情况复核、结合专家现场核查及内业审查情况，出具评审意见书。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238D2BD8">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依据《广西壮族自治区自然资源厅办公室关于印发〈广西地质勘查项目管理办法〉配套细则的通知》（桂自然资办〔2018〕45号）中《广西地质勘查项目设计编写与评审细则》“第五条”。</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3A013CB4">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67187.00</w:t>
            </w:r>
          </w:p>
        </w:tc>
      </w:tr>
      <w:tr w14:paraId="430BD0B3">
        <w:tblPrEx>
          <w:tblCellMar>
            <w:top w:w="0" w:type="dxa"/>
            <w:left w:w="108" w:type="dxa"/>
            <w:bottom w:w="0" w:type="dxa"/>
            <w:right w:w="108" w:type="dxa"/>
          </w:tblCellMar>
        </w:tblPrEx>
        <w:trPr>
          <w:trHeight w:val="17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8D38EE8">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32</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107F9107">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27A3729">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组织评审地质矿产勘查项目野外验收</w:t>
            </w:r>
          </w:p>
        </w:tc>
        <w:tc>
          <w:tcPr>
            <w:tcW w:w="4308" w:type="dxa"/>
            <w:tcBorders>
              <w:top w:val="single" w:color="000000" w:sz="4" w:space="0"/>
              <w:left w:val="single" w:color="000000" w:sz="4" w:space="0"/>
              <w:bottom w:val="single" w:color="000000" w:sz="4" w:space="0"/>
              <w:right w:val="single" w:color="000000" w:sz="4" w:space="0"/>
            </w:tcBorders>
            <w:vAlign w:val="center"/>
          </w:tcPr>
          <w:p w14:paraId="0534B1C4">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1.地形核查：完成项目的地形核查。</w:t>
            </w:r>
            <w:r>
              <w:rPr>
                <w:rFonts w:hint="eastAsia" w:ascii="宋体" w:hAnsi="宋体" w:cs="宋体"/>
                <w:color w:val="000000"/>
                <w:kern w:val="0"/>
                <w:szCs w:val="21"/>
              </w:rPr>
              <w:br w:type="textWrapping"/>
            </w:r>
            <w:r>
              <w:rPr>
                <w:rFonts w:hint="eastAsia" w:ascii="宋体" w:hAnsi="宋体" w:cs="宋体"/>
                <w:color w:val="000000"/>
                <w:kern w:val="0"/>
                <w:szCs w:val="21"/>
              </w:rPr>
              <w:t>2.外业核查：完成项目的实地查看、组织专家及有关单位进行现场核查。</w:t>
            </w:r>
            <w:r>
              <w:rPr>
                <w:rFonts w:hint="eastAsia" w:ascii="宋体" w:hAnsi="宋体" w:cs="宋体"/>
                <w:color w:val="000000"/>
                <w:kern w:val="0"/>
                <w:szCs w:val="21"/>
              </w:rPr>
              <w:br w:type="textWrapping"/>
            </w:r>
            <w:r>
              <w:rPr>
                <w:rFonts w:hint="eastAsia" w:ascii="宋体" w:hAnsi="宋体" w:cs="宋体"/>
                <w:color w:val="000000"/>
                <w:kern w:val="0"/>
                <w:szCs w:val="21"/>
              </w:rPr>
              <w:t>3.内业审核：完成项目野外验收材料审查及修改情况复核、结合专家现场核查及内业审查情况，出具验收意见书。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2C493DC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依据《广西壮族自治区自然资源厅办公室关于印发〈广西地质勘查项目管理办法〉配套细则的通知》（桂自然资办〔2018〕45号）中《广西地质勘查项目野外验收实施细则》“第三条”。</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235ECDB5">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97430.00</w:t>
            </w:r>
          </w:p>
        </w:tc>
      </w:tr>
      <w:tr w14:paraId="5F71278B">
        <w:tblPrEx>
          <w:tblCellMar>
            <w:top w:w="0" w:type="dxa"/>
            <w:left w:w="108" w:type="dxa"/>
            <w:bottom w:w="0" w:type="dxa"/>
            <w:right w:w="108" w:type="dxa"/>
          </w:tblCellMar>
        </w:tblPrEx>
        <w:trPr>
          <w:trHeight w:val="228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2A3F255">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33</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2F4E54A5">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B3AD1DE">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组织评审地质勘查报告、资源储量核实报告等矿产资源储量报告</w:t>
            </w:r>
          </w:p>
        </w:tc>
        <w:tc>
          <w:tcPr>
            <w:tcW w:w="4308" w:type="dxa"/>
            <w:tcBorders>
              <w:top w:val="single" w:color="000000" w:sz="4" w:space="0"/>
              <w:left w:val="single" w:color="000000" w:sz="4" w:space="0"/>
              <w:bottom w:val="single" w:color="000000" w:sz="4" w:space="0"/>
              <w:right w:val="single" w:color="000000" w:sz="4" w:space="0"/>
            </w:tcBorders>
            <w:vAlign w:val="center"/>
          </w:tcPr>
          <w:p w14:paraId="5AFF5A6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1.外业核查：完成项目的实地查看、组织专家及有关单位进行现场核查。</w:t>
            </w:r>
            <w:r>
              <w:rPr>
                <w:rFonts w:hint="eastAsia" w:ascii="宋体" w:hAnsi="宋体" w:cs="宋体"/>
                <w:color w:val="000000"/>
                <w:kern w:val="0"/>
                <w:szCs w:val="21"/>
              </w:rPr>
              <w:br w:type="textWrapping"/>
            </w:r>
            <w:r>
              <w:rPr>
                <w:rFonts w:hint="eastAsia" w:ascii="宋体" w:hAnsi="宋体" w:cs="宋体"/>
                <w:color w:val="000000"/>
                <w:kern w:val="0"/>
                <w:szCs w:val="21"/>
              </w:rPr>
              <w:t>2.内业审核：完成报告材料的审查及修改情况复核、结合专家现场核查及内业审查情况，出具评审意见书。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32EEB006">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依据《广西壮族自治区自然资源厅关于深化矿产资源储量管理改革有关事项的通知》（桂自然资规〔2024〕3号）“一、规范评审备案管理”“（五）明确评审机构要求。”</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39FE6BEF">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101200.00</w:t>
            </w:r>
          </w:p>
        </w:tc>
      </w:tr>
      <w:tr w14:paraId="4DA01159">
        <w:tblPrEx>
          <w:tblCellMar>
            <w:top w:w="0" w:type="dxa"/>
            <w:left w:w="108" w:type="dxa"/>
            <w:bottom w:w="0" w:type="dxa"/>
            <w:right w:w="108" w:type="dxa"/>
          </w:tblCellMar>
        </w:tblPrEx>
        <w:trPr>
          <w:trHeight w:val="17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5B2C0165">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34</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0B3FFFAB">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48789F3">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组织评审矿产资源开发利用方案</w:t>
            </w:r>
          </w:p>
        </w:tc>
        <w:tc>
          <w:tcPr>
            <w:tcW w:w="4308" w:type="dxa"/>
            <w:tcBorders>
              <w:top w:val="single" w:color="000000" w:sz="4" w:space="0"/>
              <w:left w:val="single" w:color="000000" w:sz="4" w:space="0"/>
              <w:bottom w:val="single" w:color="000000" w:sz="4" w:space="0"/>
              <w:right w:val="single" w:color="000000" w:sz="4" w:space="0"/>
            </w:tcBorders>
            <w:vAlign w:val="center"/>
          </w:tcPr>
          <w:p w14:paraId="26933240">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1.外业核查：完成项目的实地查看、组织专家及有关单位进行现场核查。</w:t>
            </w:r>
            <w:r>
              <w:rPr>
                <w:rFonts w:hint="eastAsia" w:ascii="宋体" w:hAnsi="宋体" w:cs="宋体"/>
                <w:color w:val="000000"/>
                <w:kern w:val="0"/>
                <w:szCs w:val="21"/>
              </w:rPr>
              <w:br w:type="textWrapping"/>
            </w:r>
            <w:r>
              <w:rPr>
                <w:rFonts w:hint="eastAsia" w:ascii="宋体" w:hAnsi="宋体" w:cs="宋体"/>
                <w:color w:val="000000"/>
                <w:kern w:val="0"/>
                <w:szCs w:val="21"/>
              </w:rPr>
              <w:t>2.内业审核：完成方案材料的审查及修改情况复核、结合专家现场核查及内业审查情况，出具评审意见书。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0E6AFE6F">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依据《关于加强对矿产资源开发利用方案审查的通知》（国土资发〔1999〕98号）第二点。</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7B59F83D">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67187.00</w:t>
            </w:r>
          </w:p>
        </w:tc>
      </w:tr>
      <w:tr w14:paraId="72D6139E">
        <w:tblPrEx>
          <w:tblCellMar>
            <w:top w:w="0" w:type="dxa"/>
            <w:left w:w="108" w:type="dxa"/>
            <w:bottom w:w="0" w:type="dxa"/>
            <w:right w:w="108" w:type="dxa"/>
          </w:tblCellMar>
        </w:tblPrEx>
        <w:trPr>
          <w:trHeight w:val="20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73CB501B">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35</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658076A3">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B25F942">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组织评审矿山地质环境保护与土地复垦方案</w:t>
            </w:r>
          </w:p>
        </w:tc>
        <w:tc>
          <w:tcPr>
            <w:tcW w:w="4308" w:type="dxa"/>
            <w:tcBorders>
              <w:top w:val="single" w:color="000000" w:sz="4" w:space="0"/>
              <w:left w:val="single" w:color="000000" w:sz="4" w:space="0"/>
              <w:bottom w:val="single" w:color="000000" w:sz="4" w:space="0"/>
              <w:right w:val="single" w:color="000000" w:sz="4" w:space="0"/>
            </w:tcBorders>
            <w:vAlign w:val="center"/>
          </w:tcPr>
          <w:p w14:paraId="52822914">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1.外业核查：完成项目的实地查看、组织专家及有关单位进行现场核查。</w:t>
            </w:r>
            <w:r>
              <w:rPr>
                <w:rFonts w:hint="eastAsia" w:ascii="宋体" w:hAnsi="宋体" w:cs="宋体"/>
                <w:color w:val="000000"/>
                <w:kern w:val="0"/>
                <w:szCs w:val="21"/>
              </w:rPr>
              <w:br w:type="textWrapping"/>
            </w:r>
            <w:r>
              <w:rPr>
                <w:rFonts w:hint="eastAsia" w:ascii="宋体" w:hAnsi="宋体" w:cs="宋体"/>
                <w:color w:val="000000"/>
                <w:kern w:val="0"/>
                <w:szCs w:val="21"/>
              </w:rPr>
              <w:t>2.内业审核：完成方案材料审查及修改情况复核、结合专家现场核查及内业审查情况，出具评审意见书。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55A8CA55">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依据《广西壮族自治区国土资源厅关于印发广西矿山地质环境保护与土地复垦方案编制技术要求的通知》（桂国土资规〔2017〕4号）“二、方案审查要求”。</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24BEE932">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48451.00</w:t>
            </w:r>
          </w:p>
        </w:tc>
      </w:tr>
      <w:tr w14:paraId="27EE31A5">
        <w:tblPrEx>
          <w:tblCellMar>
            <w:top w:w="0" w:type="dxa"/>
            <w:left w:w="108" w:type="dxa"/>
            <w:bottom w:w="0" w:type="dxa"/>
            <w:right w:w="108" w:type="dxa"/>
          </w:tblCellMar>
        </w:tblPrEx>
        <w:trPr>
          <w:trHeight w:val="17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19AFC00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36</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7D02B3B9">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476FF6A">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组织评审矿产资源开发利用与保护总体方案</w:t>
            </w:r>
          </w:p>
        </w:tc>
        <w:tc>
          <w:tcPr>
            <w:tcW w:w="4308" w:type="dxa"/>
            <w:tcBorders>
              <w:top w:val="single" w:color="000000" w:sz="4" w:space="0"/>
              <w:left w:val="single" w:color="000000" w:sz="4" w:space="0"/>
              <w:bottom w:val="single" w:color="000000" w:sz="4" w:space="0"/>
              <w:right w:val="single" w:color="000000" w:sz="4" w:space="0"/>
            </w:tcBorders>
            <w:vAlign w:val="center"/>
          </w:tcPr>
          <w:p w14:paraId="007FB7F7">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1.外业核查：项目的实地查看、组织专家及有关单位进行现场核查。</w:t>
            </w:r>
            <w:r>
              <w:rPr>
                <w:rFonts w:hint="eastAsia" w:ascii="宋体" w:hAnsi="宋体" w:cs="宋体"/>
                <w:color w:val="000000"/>
                <w:kern w:val="0"/>
                <w:szCs w:val="21"/>
              </w:rPr>
              <w:br w:type="textWrapping"/>
            </w:r>
            <w:r>
              <w:rPr>
                <w:rFonts w:hint="eastAsia" w:ascii="宋体" w:hAnsi="宋体" w:cs="宋体"/>
                <w:color w:val="000000"/>
                <w:kern w:val="0"/>
                <w:szCs w:val="21"/>
              </w:rPr>
              <w:t>2.内业审核：完成方案材料审查及修改情况复核、结合专家现场核查及内业审查情况，出具评审意见书。</w:t>
            </w:r>
          </w:p>
        </w:tc>
        <w:tc>
          <w:tcPr>
            <w:tcW w:w="1901" w:type="dxa"/>
            <w:tcBorders>
              <w:top w:val="single" w:color="000000" w:sz="4" w:space="0"/>
              <w:left w:val="single" w:color="000000" w:sz="4" w:space="0"/>
              <w:bottom w:val="single" w:color="000000" w:sz="4" w:space="0"/>
              <w:right w:val="single" w:color="000000" w:sz="4" w:space="0"/>
            </w:tcBorders>
            <w:vAlign w:val="center"/>
          </w:tcPr>
          <w:p w14:paraId="71647F65">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广西壮族自治区自然资源厅关于储量规模中型（含）以下露天开采砂石土类矿山合并编制地质报告（储量核实报告）、开发利用方案、地质环境保护与土地复垦方案的通知》（桂自然资发〔2019〕68号）第五点。</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543292F3">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95903.00</w:t>
            </w:r>
          </w:p>
        </w:tc>
      </w:tr>
      <w:tr w14:paraId="1C8D430F">
        <w:tblPrEx>
          <w:tblCellMar>
            <w:top w:w="0" w:type="dxa"/>
            <w:left w:w="108" w:type="dxa"/>
            <w:bottom w:w="0" w:type="dxa"/>
            <w:right w:w="108" w:type="dxa"/>
          </w:tblCellMar>
        </w:tblPrEx>
        <w:trPr>
          <w:trHeight w:val="31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D9435D8">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37</w:t>
            </w:r>
          </w:p>
        </w:tc>
        <w:tc>
          <w:tcPr>
            <w:tcW w:w="847" w:type="dxa"/>
            <w:tcBorders>
              <w:top w:val="single" w:color="000000" w:sz="4" w:space="0"/>
              <w:left w:val="single" w:color="000000" w:sz="4" w:space="0"/>
              <w:bottom w:val="single" w:color="000000" w:sz="4" w:space="0"/>
              <w:right w:val="single" w:color="000000" w:sz="4" w:space="0"/>
            </w:tcBorders>
            <w:vAlign w:val="center"/>
          </w:tcPr>
          <w:p w14:paraId="1720CA79">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不动产确权登记权籍调查测绘</w:t>
            </w:r>
          </w:p>
        </w:tc>
        <w:tc>
          <w:tcPr>
            <w:tcW w:w="639" w:type="dxa"/>
            <w:tcBorders>
              <w:top w:val="single" w:color="000000" w:sz="4" w:space="0"/>
              <w:left w:val="single" w:color="000000" w:sz="4" w:space="0"/>
              <w:bottom w:val="single" w:color="000000" w:sz="4" w:space="0"/>
              <w:right w:val="single" w:color="000000" w:sz="4" w:space="0"/>
            </w:tcBorders>
            <w:vAlign w:val="center"/>
          </w:tcPr>
          <w:p w14:paraId="4F555A53">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权籍调查</w:t>
            </w:r>
          </w:p>
        </w:tc>
        <w:tc>
          <w:tcPr>
            <w:tcW w:w="4308" w:type="dxa"/>
            <w:tcBorders>
              <w:top w:val="single" w:color="000000" w:sz="4" w:space="0"/>
              <w:left w:val="single" w:color="000000" w:sz="4" w:space="0"/>
              <w:bottom w:val="single" w:color="000000" w:sz="4" w:space="0"/>
              <w:right w:val="single" w:color="000000" w:sz="4" w:space="0"/>
            </w:tcBorders>
            <w:vAlign w:val="center"/>
          </w:tcPr>
          <w:p w14:paraId="4865587D">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收集权属来源资料，如土地出让合同、不动产所有权证等。</w:t>
            </w:r>
            <w:r>
              <w:rPr>
                <w:rFonts w:hint="eastAsia" w:ascii="宋体" w:hAnsi="宋体" w:cs="宋体"/>
                <w:color w:val="000000"/>
                <w:kern w:val="0"/>
                <w:szCs w:val="21"/>
              </w:rPr>
              <w:br w:type="textWrapping"/>
            </w:r>
            <w:r>
              <w:rPr>
                <w:rFonts w:hint="eastAsia" w:ascii="宋体" w:hAnsi="宋体" w:cs="宋体"/>
                <w:color w:val="000000"/>
                <w:kern w:val="0"/>
                <w:szCs w:val="21"/>
              </w:rPr>
              <w:t>2.外业测绘</w:t>
            </w:r>
            <w:r>
              <w:rPr>
                <w:rFonts w:hint="eastAsia" w:ascii="宋体" w:hAnsi="宋体" w:cs="宋体"/>
                <w:color w:val="000000"/>
                <w:kern w:val="0"/>
                <w:szCs w:val="21"/>
              </w:rPr>
              <w:br w:type="textWrapping"/>
            </w:r>
            <w:r>
              <w:rPr>
                <w:rFonts w:hint="eastAsia" w:ascii="宋体" w:hAnsi="宋体" w:cs="宋体"/>
                <w:color w:val="000000"/>
                <w:kern w:val="0"/>
                <w:szCs w:val="21"/>
              </w:rPr>
              <w:t>到现场进行勘查，利用GPS接收机、全站仪等工具确定不动产的界址、面积等信息；调查不动产的用途、现状等进行核实。</w:t>
            </w:r>
            <w:r>
              <w:rPr>
                <w:rFonts w:hint="eastAsia" w:ascii="宋体" w:hAnsi="宋体" w:cs="宋体"/>
                <w:color w:val="000000"/>
                <w:kern w:val="0"/>
                <w:szCs w:val="21"/>
              </w:rPr>
              <w:br w:type="textWrapping"/>
            </w:r>
            <w:r>
              <w:rPr>
                <w:rFonts w:hint="eastAsia" w:ascii="宋体" w:hAnsi="宋体" w:cs="宋体"/>
                <w:color w:val="000000"/>
                <w:kern w:val="0"/>
                <w:szCs w:val="21"/>
              </w:rPr>
              <w:t>3.内业数据生产</w:t>
            </w:r>
            <w:r>
              <w:rPr>
                <w:rFonts w:hint="eastAsia" w:ascii="宋体" w:hAnsi="宋体" w:cs="宋体"/>
                <w:color w:val="000000"/>
                <w:kern w:val="0"/>
                <w:szCs w:val="21"/>
              </w:rPr>
              <w:br w:type="textWrapping"/>
            </w:r>
            <w:r>
              <w:rPr>
                <w:rFonts w:hint="eastAsia" w:ascii="宋体" w:hAnsi="宋体" w:cs="宋体"/>
                <w:color w:val="000000"/>
                <w:kern w:val="0"/>
                <w:szCs w:val="21"/>
              </w:rPr>
              <w:t>将实地测量的数据进行整理、绘制权籍图。编制权籍调查报告。</w:t>
            </w:r>
          </w:p>
        </w:tc>
        <w:tc>
          <w:tcPr>
            <w:tcW w:w="1901" w:type="dxa"/>
            <w:tcBorders>
              <w:top w:val="single" w:color="000000" w:sz="4" w:space="0"/>
              <w:left w:val="single" w:color="000000" w:sz="4" w:space="0"/>
              <w:bottom w:val="single" w:color="000000" w:sz="4" w:space="0"/>
              <w:right w:val="single" w:color="000000" w:sz="4" w:space="0"/>
            </w:tcBorders>
            <w:vAlign w:val="center"/>
          </w:tcPr>
          <w:p w14:paraId="1BFFD9F7">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依据《自然资源部关于进一步做好地籍调查工作的通知》</w:t>
            </w:r>
            <w:r>
              <w:rPr>
                <w:rFonts w:hint="eastAsia" w:ascii="宋体" w:hAnsi="宋体" w:cs="宋体"/>
                <w:color w:val="000000"/>
                <w:kern w:val="0"/>
                <w:szCs w:val="21"/>
              </w:rPr>
              <w:br w:type="textWrapping"/>
            </w:r>
            <w:r>
              <w:rPr>
                <w:rFonts w:hint="eastAsia" w:ascii="宋体" w:hAnsi="宋体" w:cs="宋体"/>
                <w:color w:val="000000"/>
                <w:kern w:val="0"/>
                <w:szCs w:val="21"/>
              </w:rPr>
              <w:t>（自然资发〔2023〕195号）。</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52F6344F">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70005.00</w:t>
            </w:r>
          </w:p>
        </w:tc>
      </w:tr>
      <w:tr w14:paraId="0333E788">
        <w:tblPrEx>
          <w:tblCellMar>
            <w:top w:w="0" w:type="dxa"/>
            <w:left w:w="108" w:type="dxa"/>
            <w:bottom w:w="0" w:type="dxa"/>
            <w:right w:w="108" w:type="dxa"/>
          </w:tblCellMar>
        </w:tblPrEx>
        <w:trPr>
          <w:trHeight w:val="38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700B3D1">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38</w:t>
            </w:r>
          </w:p>
        </w:tc>
        <w:tc>
          <w:tcPr>
            <w:tcW w:w="847" w:type="dxa"/>
            <w:tcBorders>
              <w:top w:val="single" w:color="000000" w:sz="4" w:space="0"/>
              <w:left w:val="single" w:color="000000" w:sz="4" w:space="0"/>
              <w:bottom w:val="single" w:color="000000" w:sz="4" w:space="0"/>
              <w:right w:val="single" w:color="000000" w:sz="4" w:space="0"/>
            </w:tcBorders>
            <w:vAlign w:val="center"/>
          </w:tcPr>
          <w:p w14:paraId="345CF660">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土地山林水利等自然资源权属纠纷核查技术</w:t>
            </w:r>
          </w:p>
        </w:tc>
        <w:tc>
          <w:tcPr>
            <w:tcW w:w="639" w:type="dxa"/>
            <w:tcBorders>
              <w:top w:val="single" w:color="000000" w:sz="4" w:space="0"/>
              <w:left w:val="single" w:color="000000" w:sz="4" w:space="0"/>
              <w:bottom w:val="single" w:color="000000" w:sz="4" w:space="0"/>
              <w:right w:val="single" w:color="000000" w:sz="4" w:space="0"/>
            </w:tcBorders>
            <w:vAlign w:val="center"/>
          </w:tcPr>
          <w:p w14:paraId="14DA6056">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纠纷调处测绘技术服务</w:t>
            </w:r>
          </w:p>
        </w:tc>
        <w:tc>
          <w:tcPr>
            <w:tcW w:w="4308" w:type="dxa"/>
            <w:tcBorders>
              <w:top w:val="single" w:color="000000" w:sz="4" w:space="0"/>
              <w:left w:val="single" w:color="000000" w:sz="4" w:space="0"/>
              <w:bottom w:val="single" w:color="000000" w:sz="4" w:space="0"/>
              <w:right w:val="single" w:color="000000" w:sz="4" w:space="0"/>
            </w:tcBorders>
            <w:vAlign w:val="center"/>
          </w:tcPr>
          <w:p w14:paraId="327019B4">
            <w:pPr>
              <w:widowControl/>
              <w:spacing w:line="360" w:lineRule="auto"/>
              <w:jc w:val="left"/>
              <w:textAlignment w:val="center"/>
              <w:rPr>
                <w:rFonts w:ascii="宋体" w:hAnsi="宋体" w:cs="宋体"/>
                <w:color w:val="000000"/>
                <w:szCs w:val="21"/>
              </w:rPr>
            </w:pPr>
            <w:r>
              <w:rPr>
                <w:rStyle w:val="130"/>
                <w:rFonts w:hint="default"/>
                <w:sz w:val="21"/>
                <w:szCs w:val="21"/>
              </w:rPr>
              <w:t>1.基础材料收集</w:t>
            </w:r>
            <w:r>
              <w:rPr>
                <w:rStyle w:val="130"/>
                <w:rFonts w:hint="default"/>
                <w:sz w:val="21"/>
                <w:szCs w:val="21"/>
              </w:rPr>
              <w:br w:type="textWrapping"/>
            </w:r>
            <w:r>
              <w:rPr>
                <w:rStyle w:val="130"/>
                <w:rFonts w:hint="default"/>
                <w:sz w:val="21"/>
                <w:szCs w:val="21"/>
              </w:rPr>
              <w:t>收集相关的地形图、规划图、历史测绘数据等资料。</w:t>
            </w:r>
            <w:r>
              <w:rPr>
                <w:rStyle w:val="130"/>
                <w:rFonts w:hint="default"/>
                <w:sz w:val="21"/>
                <w:szCs w:val="21"/>
              </w:rPr>
              <w:br w:type="textWrapping"/>
            </w:r>
            <w:r>
              <w:rPr>
                <w:rStyle w:val="130"/>
                <w:rFonts w:hint="default"/>
                <w:sz w:val="21"/>
                <w:szCs w:val="21"/>
              </w:rPr>
              <w:t>2.</w:t>
            </w:r>
            <w:r>
              <w:rPr>
                <w:rStyle w:val="131"/>
                <w:sz w:val="21"/>
                <w:szCs w:val="21"/>
              </w:rPr>
              <w:t>‌</w:t>
            </w:r>
            <w:r>
              <w:rPr>
                <w:rStyle w:val="130"/>
                <w:rFonts w:hint="default"/>
                <w:sz w:val="21"/>
                <w:szCs w:val="21"/>
              </w:rPr>
              <w:t>外业测绘</w:t>
            </w:r>
            <w:r>
              <w:rPr>
                <w:rStyle w:val="130"/>
                <w:rFonts w:hint="default"/>
                <w:sz w:val="21"/>
                <w:szCs w:val="21"/>
              </w:rPr>
              <w:br w:type="textWrapping"/>
            </w:r>
            <w:r>
              <w:rPr>
                <w:rStyle w:val="130"/>
                <w:rFonts w:hint="default"/>
                <w:sz w:val="21"/>
                <w:szCs w:val="21"/>
              </w:rPr>
              <w:t>利用GPS接收机、全站仪等工具对土地、林地的边界进行实地测量，使用全站仪、无人机等设备对土地、林地的地形地貌进行测绘，获取高程、坡度、坡向等信息。同时，进行林木资源调查，记录林木的种类、数量、分布和生长状况等信息。</w:t>
            </w:r>
            <w:r>
              <w:rPr>
                <w:rStyle w:val="130"/>
                <w:rFonts w:hint="default"/>
                <w:sz w:val="21"/>
                <w:szCs w:val="21"/>
              </w:rPr>
              <w:br w:type="textWrapping"/>
            </w:r>
            <w:r>
              <w:rPr>
                <w:rStyle w:val="130"/>
                <w:rFonts w:hint="default"/>
                <w:sz w:val="21"/>
                <w:szCs w:val="21"/>
              </w:rPr>
              <w:t>3.</w:t>
            </w:r>
            <w:r>
              <w:rPr>
                <w:rStyle w:val="131"/>
                <w:sz w:val="21"/>
                <w:szCs w:val="21"/>
              </w:rPr>
              <w:t>‌</w:t>
            </w:r>
            <w:r>
              <w:rPr>
                <w:rStyle w:val="130"/>
                <w:rFonts w:hint="default"/>
                <w:sz w:val="21"/>
                <w:szCs w:val="21"/>
              </w:rPr>
              <w:t>内业数据生产</w:t>
            </w:r>
            <w:r>
              <w:rPr>
                <w:rStyle w:val="130"/>
                <w:rFonts w:hint="default"/>
                <w:sz w:val="21"/>
                <w:szCs w:val="21"/>
              </w:rPr>
              <w:br w:type="textWrapping"/>
            </w:r>
            <w:r>
              <w:rPr>
                <w:rStyle w:val="130"/>
                <w:rFonts w:hint="default"/>
                <w:sz w:val="21"/>
                <w:szCs w:val="21"/>
              </w:rPr>
              <w:t>对实地测绘的数据进行整理，利用测绘软件和地理信息系统（GIS）对数据进行处理和分析，计算土地面积、林地面积、植被覆盖率、林木资源分布等指标，出具测绘报告。</w:t>
            </w:r>
          </w:p>
        </w:tc>
        <w:tc>
          <w:tcPr>
            <w:tcW w:w="1901" w:type="dxa"/>
            <w:tcBorders>
              <w:top w:val="single" w:color="000000" w:sz="4" w:space="0"/>
              <w:left w:val="single" w:color="000000" w:sz="4" w:space="0"/>
              <w:bottom w:val="single" w:color="000000" w:sz="4" w:space="0"/>
              <w:right w:val="single" w:color="000000" w:sz="4" w:space="0"/>
            </w:tcBorders>
            <w:vAlign w:val="center"/>
          </w:tcPr>
          <w:p w14:paraId="0F98CF65">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依据《中华人民共和国土地管理法》。</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4012FED8">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140000.00</w:t>
            </w:r>
          </w:p>
        </w:tc>
      </w:tr>
      <w:tr w14:paraId="1B792D83">
        <w:tblPrEx>
          <w:tblCellMar>
            <w:top w:w="0" w:type="dxa"/>
            <w:left w:w="108" w:type="dxa"/>
            <w:bottom w:w="0" w:type="dxa"/>
            <w:right w:w="108" w:type="dxa"/>
          </w:tblCellMar>
        </w:tblPrEx>
        <w:trPr>
          <w:trHeight w:val="17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5B77621D">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39</w:t>
            </w: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14:paraId="758B0F06">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行政审批技术审查及出图服务</w:t>
            </w:r>
          </w:p>
        </w:tc>
        <w:tc>
          <w:tcPr>
            <w:tcW w:w="639" w:type="dxa"/>
            <w:tcBorders>
              <w:top w:val="single" w:color="000000" w:sz="4" w:space="0"/>
              <w:left w:val="single" w:color="000000" w:sz="4" w:space="0"/>
              <w:bottom w:val="single" w:color="000000" w:sz="4" w:space="0"/>
              <w:right w:val="single" w:color="000000" w:sz="4" w:space="0"/>
            </w:tcBorders>
            <w:vAlign w:val="center"/>
          </w:tcPr>
          <w:p w14:paraId="0C064E64">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权属调查审核</w:t>
            </w:r>
          </w:p>
        </w:tc>
        <w:tc>
          <w:tcPr>
            <w:tcW w:w="4308" w:type="dxa"/>
            <w:tcBorders>
              <w:top w:val="single" w:color="000000" w:sz="4" w:space="0"/>
              <w:left w:val="single" w:color="000000" w:sz="4" w:space="0"/>
              <w:bottom w:val="single" w:color="000000" w:sz="4" w:space="0"/>
              <w:right w:val="single" w:color="000000" w:sz="4" w:space="0"/>
            </w:tcBorders>
            <w:vAlign w:val="center"/>
          </w:tcPr>
          <w:p w14:paraId="05FA0804">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1.根据业主提供的项目红线套合供地成果、报批数据、征地成果等数据分析；</w:t>
            </w:r>
            <w:r>
              <w:rPr>
                <w:rFonts w:hint="eastAsia" w:ascii="宋体" w:hAnsi="宋体" w:cs="宋体"/>
                <w:color w:val="000000"/>
                <w:kern w:val="0"/>
                <w:szCs w:val="21"/>
              </w:rPr>
              <w:br w:type="textWrapping"/>
            </w:r>
            <w:r>
              <w:rPr>
                <w:rFonts w:hint="eastAsia" w:ascii="宋体" w:hAnsi="宋体" w:cs="宋体"/>
                <w:color w:val="000000"/>
                <w:kern w:val="0"/>
                <w:szCs w:val="21"/>
              </w:rPr>
              <w:t>2.外业实地核查实地情况；</w:t>
            </w:r>
            <w:r>
              <w:rPr>
                <w:rFonts w:hint="eastAsia" w:ascii="宋体" w:hAnsi="宋体" w:cs="宋体"/>
                <w:color w:val="000000"/>
                <w:kern w:val="0"/>
                <w:szCs w:val="21"/>
              </w:rPr>
              <w:br w:type="textWrapping"/>
            </w:r>
            <w:r>
              <w:rPr>
                <w:rFonts w:hint="eastAsia" w:ascii="宋体" w:hAnsi="宋体" w:cs="宋体"/>
                <w:color w:val="000000"/>
                <w:kern w:val="0"/>
                <w:szCs w:val="21"/>
              </w:rPr>
              <w:t>3.综合内外业成果，出具权属面积审查图。</w:t>
            </w:r>
          </w:p>
        </w:tc>
        <w:tc>
          <w:tcPr>
            <w:tcW w:w="1901" w:type="dxa"/>
            <w:tcBorders>
              <w:top w:val="single" w:color="000000" w:sz="4" w:space="0"/>
              <w:left w:val="single" w:color="000000" w:sz="4" w:space="0"/>
              <w:bottom w:val="single" w:color="000000" w:sz="4" w:space="0"/>
              <w:right w:val="single" w:color="000000" w:sz="4" w:space="0"/>
            </w:tcBorders>
            <w:vAlign w:val="center"/>
          </w:tcPr>
          <w:p w14:paraId="7B3B137B">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依据《自然资源部关于进一步做好地籍调查工作的通知》</w:t>
            </w:r>
            <w:r>
              <w:rPr>
                <w:rFonts w:hint="eastAsia" w:ascii="宋体" w:hAnsi="宋体" w:cs="宋体"/>
                <w:color w:val="000000"/>
                <w:kern w:val="0"/>
                <w:szCs w:val="21"/>
              </w:rPr>
              <w:br w:type="textWrapping"/>
            </w:r>
            <w:r>
              <w:rPr>
                <w:rFonts w:hint="eastAsia" w:ascii="宋体" w:hAnsi="宋体" w:cs="宋体"/>
                <w:color w:val="000000"/>
                <w:kern w:val="0"/>
                <w:szCs w:val="21"/>
              </w:rPr>
              <w:t>（自然资发〔2023〕195号）。</w:t>
            </w:r>
          </w:p>
        </w:tc>
        <w:tc>
          <w:tcPr>
            <w:tcW w:w="1298" w:type="dxa"/>
            <w:tcBorders>
              <w:top w:val="single" w:color="000000" w:sz="4" w:space="0"/>
              <w:left w:val="single" w:color="000000" w:sz="4" w:space="0"/>
              <w:bottom w:val="single" w:color="000000" w:sz="4" w:space="0"/>
              <w:right w:val="single" w:color="000000" w:sz="4" w:space="0"/>
            </w:tcBorders>
            <w:noWrap/>
            <w:vAlign w:val="bottom"/>
          </w:tcPr>
          <w:p w14:paraId="0FDC6BB5">
            <w:pPr>
              <w:widowControl/>
              <w:spacing w:line="360" w:lineRule="auto"/>
              <w:jc w:val="center"/>
              <w:textAlignment w:val="bottom"/>
              <w:rPr>
                <w:rFonts w:ascii="宋体" w:hAnsi="宋体" w:cs="宋体"/>
                <w:color w:val="000000"/>
                <w:szCs w:val="21"/>
              </w:rPr>
            </w:pPr>
            <w:r>
              <w:rPr>
                <w:rFonts w:hint="eastAsia" w:ascii="宋体" w:hAnsi="宋体" w:cs="宋体"/>
                <w:color w:val="000000"/>
                <w:kern w:val="0"/>
                <w:szCs w:val="21"/>
              </w:rPr>
              <w:t>52597.00</w:t>
            </w:r>
          </w:p>
        </w:tc>
      </w:tr>
      <w:tr w14:paraId="59616C8C">
        <w:tblPrEx>
          <w:tblCellMar>
            <w:top w:w="0" w:type="dxa"/>
            <w:left w:w="108" w:type="dxa"/>
            <w:bottom w:w="0" w:type="dxa"/>
            <w:right w:w="108" w:type="dxa"/>
          </w:tblCellMar>
        </w:tblPrEx>
        <w:trPr>
          <w:trHeight w:val="23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A108ADF">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547A8122">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1DD6406">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供地红线图（划拨）</w:t>
            </w:r>
          </w:p>
        </w:tc>
        <w:tc>
          <w:tcPr>
            <w:tcW w:w="4308" w:type="dxa"/>
            <w:tcBorders>
              <w:top w:val="single" w:color="000000" w:sz="4" w:space="0"/>
              <w:left w:val="single" w:color="000000" w:sz="4" w:space="0"/>
              <w:bottom w:val="single" w:color="000000" w:sz="4" w:space="0"/>
              <w:right w:val="single" w:color="000000" w:sz="4" w:space="0"/>
            </w:tcBorders>
            <w:vAlign w:val="center"/>
          </w:tcPr>
          <w:p w14:paraId="5B971887">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根据具体项目委托收集历年供地范围以及已批准的新增建设用地项目空间位置及属性信息、历年地籍发证资料、年度土地变更调查形成的各级控制界线、控制面积和各地类面积资料等资料，并进行整理核实。</w:t>
            </w:r>
            <w:r>
              <w:rPr>
                <w:rFonts w:hint="eastAsia" w:ascii="宋体" w:hAnsi="宋体" w:cs="宋体"/>
                <w:color w:val="000000"/>
                <w:kern w:val="0"/>
                <w:szCs w:val="21"/>
              </w:rPr>
              <w:br w:type="textWrapping"/>
            </w:r>
            <w:r>
              <w:rPr>
                <w:rFonts w:hint="eastAsia" w:ascii="宋体" w:hAnsi="宋体" w:cs="宋体"/>
                <w:color w:val="000000"/>
                <w:kern w:val="0"/>
                <w:szCs w:val="21"/>
              </w:rPr>
              <w:t>2.内业数据生产</w:t>
            </w:r>
            <w:r>
              <w:rPr>
                <w:rFonts w:hint="eastAsia" w:ascii="宋体" w:hAnsi="宋体" w:cs="宋体"/>
                <w:color w:val="000000"/>
                <w:kern w:val="0"/>
                <w:szCs w:val="21"/>
              </w:rPr>
              <w:br w:type="textWrapping"/>
            </w:r>
            <w:r>
              <w:rPr>
                <w:rFonts w:hint="eastAsia" w:ascii="宋体" w:hAnsi="宋体" w:cs="宋体"/>
                <w:color w:val="000000"/>
                <w:kern w:val="0"/>
                <w:szCs w:val="21"/>
              </w:rPr>
              <w:t>根据规划设计条件，绘制规划红线图。</w:t>
            </w:r>
          </w:p>
        </w:tc>
        <w:tc>
          <w:tcPr>
            <w:tcW w:w="1901" w:type="dxa"/>
            <w:tcBorders>
              <w:top w:val="single" w:color="000000" w:sz="4" w:space="0"/>
              <w:left w:val="single" w:color="000000" w:sz="4" w:space="0"/>
              <w:bottom w:val="single" w:color="000000" w:sz="4" w:space="0"/>
              <w:right w:val="single" w:color="000000" w:sz="4" w:space="0"/>
            </w:tcBorders>
            <w:vAlign w:val="center"/>
          </w:tcPr>
          <w:p w14:paraId="3E9842CF">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依据《中华人民共和国土地管理法》。</w:t>
            </w:r>
          </w:p>
        </w:tc>
        <w:tc>
          <w:tcPr>
            <w:tcW w:w="1298" w:type="dxa"/>
            <w:tcBorders>
              <w:top w:val="single" w:color="000000" w:sz="4" w:space="0"/>
              <w:left w:val="single" w:color="000000" w:sz="4" w:space="0"/>
              <w:bottom w:val="single" w:color="000000" w:sz="4" w:space="0"/>
              <w:right w:val="single" w:color="000000" w:sz="4" w:space="0"/>
            </w:tcBorders>
            <w:noWrap/>
            <w:vAlign w:val="bottom"/>
          </w:tcPr>
          <w:p w14:paraId="7A6823EE">
            <w:pPr>
              <w:widowControl/>
              <w:spacing w:line="360" w:lineRule="auto"/>
              <w:jc w:val="center"/>
              <w:textAlignment w:val="bottom"/>
              <w:rPr>
                <w:rFonts w:ascii="宋体" w:hAnsi="宋体" w:cs="宋体"/>
                <w:color w:val="000000"/>
                <w:szCs w:val="21"/>
              </w:rPr>
            </w:pPr>
            <w:r>
              <w:rPr>
                <w:rFonts w:hint="eastAsia" w:ascii="宋体" w:hAnsi="宋体" w:cs="宋体"/>
                <w:color w:val="000000"/>
                <w:kern w:val="0"/>
                <w:szCs w:val="21"/>
              </w:rPr>
              <w:t>21162.00</w:t>
            </w:r>
          </w:p>
        </w:tc>
      </w:tr>
      <w:tr w14:paraId="58154BF8">
        <w:tblPrEx>
          <w:tblCellMar>
            <w:top w:w="0" w:type="dxa"/>
            <w:left w:w="108" w:type="dxa"/>
            <w:bottom w:w="0" w:type="dxa"/>
            <w:right w:w="108" w:type="dxa"/>
          </w:tblCellMar>
        </w:tblPrEx>
        <w:trPr>
          <w:trHeight w:val="248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128420B1">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rPr>
              <w:t>41</w:t>
            </w: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5F94D9DE">
            <w:pPr>
              <w:spacing w:line="360" w:lineRule="auto"/>
              <w:jc w:val="center"/>
              <w:rPr>
                <w:rFonts w:ascii="宋体" w:hAnsi="宋体" w:cs="宋体"/>
                <w:color w:val="000000"/>
                <w:szCs w:val="21"/>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4933D31">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补办出让前，宗地核实</w:t>
            </w:r>
          </w:p>
        </w:tc>
        <w:tc>
          <w:tcPr>
            <w:tcW w:w="4308" w:type="dxa"/>
            <w:tcBorders>
              <w:top w:val="single" w:color="000000" w:sz="4" w:space="0"/>
              <w:left w:val="single" w:color="000000" w:sz="4" w:space="0"/>
              <w:bottom w:val="single" w:color="000000" w:sz="4" w:space="0"/>
              <w:right w:val="single" w:color="000000" w:sz="4" w:space="0"/>
            </w:tcBorders>
            <w:vAlign w:val="center"/>
          </w:tcPr>
          <w:p w14:paraId="7E26C83F">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1.基础材料收集</w:t>
            </w:r>
            <w:r>
              <w:rPr>
                <w:rFonts w:hint="eastAsia" w:ascii="宋体" w:hAnsi="宋体" w:cs="宋体"/>
                <w:color w:val="000000"/>
                <w:kern w:val="0"/>
                <w:szCs w:val="21"/>
              </w:rPr>
              <w:br w:type="textWrapping"/>
            </w:r>
            <w:r>
              <w:rPr>
                <w:rFonts w:hint="eastAsia" w:ascii="宋体" w:hAnsi="宋体" w:cs="宋体"/>
                <w:color w:val="000000"/>
                <w:kern w:val="0"/>
                <w:szCs w:val="21"/>
              </w:rPr>
              <w:t>首先收集相关的地形图、规划图、历史测绘数据等资料。</w:t>
            </w:r>
            <w:r>
              <w:rPr>
                <w:rFonts w:hint="eastAsia" w:ascii="宋体" w:hAnsi="宋体" w:cs="宋体"/>
                <w:color w:val="000000"/>
                <w:kern w:val="0"/>
                <w:szCs w:val="21"/>
              </w:rPr>
              <w:br w:type="textWrapping"/>
            </w:r>
            <w:r>
              <w:rPr>
                <w:rFonts w:hint="eastAsia" w:ascii="宋体" w:hAnsi="宋体" w:cs="宋体"/>
                <w:color w:val="000000"/>
                <w:kern w:val="0"/>
                <w:szCs w:val="21"/>
              </w:rPr>
              <w:t>2.外业核实</w:t>
            </w:r>
            <w:r>
              <w:rPr>
                <w:rFonts w:hint="eastAsia" w:ascii="宋体" w:hAnsi="宋体" w:cs="宋体"/>
                <w:color w:val="000000"/>
                <w:kern w:val="0"/>
                <w:szCs w:val="21"/>
              </w:rPr>
              <w:br w:type="textWrapping"/>
            </w:r>
            <w:r>
              <w:rPr>
                <w:rFonts w:hint="eastAsia" w:ascii="宋体" w:hAnsi="宋体" w:cs="宋体"/>
                <w:color w:val="000000"/>
                <w:kern w:val="0"/>
                <w:szCs w:val="21"/>
              </w:rPr>
              <w:t>利用GPS接收机、全站仪等工具对宗地的边界进行实地测量，确定宗地的准确范围并标记边界点。</w:t>
            </w:r>
            <w:r>
              <w:rPr>
                <w:rFonts w:hint="eastAsia" w:ascii="宋体" w:hAnsi="宋体" w:cs="宋体"/>
                <w:color w:val="000000"/>
                <w:kern w:val="0"/>
                <w:szCs w:val="21"/>
              </w:rPr>
              <w:br w:type="textWrapping"/>
            </w:r>
            <w:r>
              <w:rPr>
                <w:rFonts w:hint="eastAsia" w:ascii="宋体" w:hAnsi="宋体" w:cs="宋体"/>
                <w:color w:val="000000"/>
                <w:kern w:val="0"/>
                <w:szCs w:val="21"/>
              </w:rPr>
              <w:t>3.内业核实</w:t>
            </w:r>
            <w:r>
              <w:rPr>
                <w:rFonts w:hint="eastAsia" w:ascii="宋体" w:hAnsi="宋体" w:cs="宋体"/>
                <w:color w:val="000000"/>
                <w:kern w:val="0"/>
                <w:szCs w:val="21"/>
              </w:rPr>
              <w:br w:type="textWrapping"/>
            </w:r>
            <w:r>
              <w:rPr>
                <w:rFonts w:hint="eastAsia" w:ascii="宋体" w:hAnsi="宋体" w:cs="宋体"/>
                <w:color w:val="000000"/>
                <w:kern w:val="0"/>
                <w:szCs w:val="21"/>
              </w:rPr>
              <w:t>按照《地籍调查规程》的要求，将处理后的数据绘制地籍图，出具核实结果。</w:t>
            </w:r>
          </w:p>
        </w:tc>
        <w:tc>
          <w:tcPr>
            <w:tcW w:w="1901" w:type="dxa"/>
            <w:tcBorders>
              <w:top w:val="single" w:color="000000" w:sz="4" w:space="0"/>
              <w:left w:val="single" w:color="000000" w:sz="4" w:space="0"/>
              <w:bottom w:val="single" w:color="000000" w:sz="4" w:space="0"/>
              <w:right w:val="single" w:color="000000" w:sz="4" w:space="0"/>
            </w:tcBorders>
            <w:vAlign w:val="center"/>
          </w:tcPr>
          <w:p w14:paraId="005ACCFE">
            <w:pPr>
              <w:widowControl/>
              <w:spacing w:line="360" w:lineRule="auto"/>
              <w:jc w:val="left"/>
              <w:textAlignment w:val="center"/>
              <w:rPr>
                <w:rFonts w:ascii="宋体" w:hAnsi="宋体" w:cs="宋体"/>
                <w:color w:val="000000"/>
                <w:szCs w:val="21"/>
              </w:rPr>
            </w:pPr>
            <w:r>
              <w:rPr>
                <w:rFonts w:hint="eastAsia" w:ascii="宋体" w:hAnsi="宋体" w:cs="宋体"/>
                <w:color w:val="000000"/>
                <w:kern w:val="0"/>
                <w:szCs w:val="21"/>
              </w:rPr>
              <w:t>依据《自然资源部关于进一步做好地籍调查工作的通知》</w:t>
            </w:r>
            <w:r>
              <w:rPr>
                <w:rFonts w:hint="eastAsia" w:ascii="宋体" w:hAnsi="宋体" w:cs="宋体"/>
                <w:color w:val="000000"/>
                <w:kern w:val="0"/>
                <w:szCs w:val="21"/>
              </w:rPr>
              <w:br w:type="textWrapping"/>
            </w:r>
            <w:r>
              <w:rPr>
                <w:rFonts w:hint="eastAsia" w:ascii="宋体" w:hAnsi="宋体" w:cs="宋体"/>
                <w:color w:val="000000"/>
                <w:kern w:val="0"/>
                <w:szCs w:val="21"/>
              </w:rPr>
              <w:t>（自然资发〔2023〕195号）。</w:t>
            </w:r>
          </w:p>
        </w:tc>
        <w:tc>
          <w:tcPr>
            <w:tcW w:w="1298" w:type="dxa"/>
            <w:tcBorders>
              <w:top w:val="single" w:color="000000" w:sz="4" w:space="0"/>
              <w:left w:val="single" w:color="000000" w:sz="4" w:space="0"/>
              <w:bottom w:val="single" w:color="000000" w:sz="4" w:space="0"/>
              <w:right w:val="single" w:color="000000" w:sz="4" w:space="0"/>
            </w:tcBorders>
            <w:noWrap/>
            <w:vAlign w:val="bottom"/>
          </w:tcPr>
          <w:p w14:paraId="39B8F64C">
            <w:pPr>
              <w:widowControl/>
              <w:spacing w:line="360" w:lineRule="auto"/>
              <w:jc w:val="center"/>
              <w:textAlignment w:val="bottom"/>
              <w:rPr>
                <w:rFonts w:ascii="宋体" w:hAnsi="宋体" w:cs="宋体"/>
                <w:color w:val="000000"/>
                <w:szCs w:val="21"/>
              </w:rPr>
            </w:pPr>
            <w:r>
              <w:rPr>
                <w:rFonts w:hint="eastAsia" w:ascii="宋体" w:hAnsi="宋体" w:cs="宋体"/>
                <w:color w:val="000000"/>
                <w:kern w:val="0"/>
                <w:szCs w:val="21"/>
              </w:rPr>
              <w:t>21000.00</w:t>
            </w:r>
          </w:p>
        </w:tc>
      </w:tr>
      <w:tr w14:paraId="73B45F51">
        <w:tblPrEx>
          <w:tblCellMar>
            <w:top w:w="0" w:type="dxa"/>
            <w:left w:w="108" w:type="dxa"/>
            <w:bottom w:w="0" w:type="dxa"/>
            <w:right w:w="108" w:type="dxa"/>
          </w:tblCellMar>
        </w:tblPrEx>
        <w:trPr>
          <w:trHeight w:val="521" w:hRule="atLeast"/>
        </w:trPr>
        <w:tc>
          <w:tcPr>
            <w:tcW w:w="8330" w:type="dxa"/>
            <w:gridSpan w:val="5"/>
            <w:tcBorders>
              <w:top w:val="single" w:color="000000" w:sz="4" w:space="0"/>
              <w:left w:val="single" w:color="000000" w:sz="4" w:space="0"/>
              <w:bottom w:val="single" w:color="000000" w:sz="4" w:space="0"/>
              <w:right w:val="single" w:color="000000" w:sz="4" w:space="0"/>
            </w:tcBorders>
            <w:vAlign w:val="center"/>
          </w:tcPr>
          <w:p w14:paraId="05E68778">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rPr>
              <w:t>合计</w:t>
            </w:r>
          </w:p>
        </w:tc>
        <w:tc>
          <w:tcPr>
            <w:tcW w:w="1298" w:type="dxa"/>
            <w:tcBorders>
              <w:top w:val="single" w:color="000000" w:sz="4" w:space="0"/>
              <w:left w:val="single" w:color="000000" w:sz="4" w:space="0"/>
              <w:bottom w:val="single" w:color="000000" w:sz="4" w:space="0"/>
              <w:right w:val="single" w:color="000000" w:sz="4" w:space="0"/>
            </w:tcBorders>
            <w:noWrap/>
            <w:vAlign w:val="center"/>
          </w:tcPr>
          <w:p w14:paraId="73A493FD">
            <w:pPr>
              <w:widowControl/>
              <w:spacing w:line="360" w:lineRule="auto"/>
              <w:jc w:val="center"/>
              <w:textAlignment w:val="center"/>
              <w:rPr>
                <w:rFonts w:ascii="宋体" w:hAnsi="宋体" w:cs="宋体"/>
                <w:b/>
                <w:bCs/>
                <w:color w:val="000000"/>
                <w:szCs w:val="21"/>
              </w:rPr>
            </w:pPr>
            <w:r>
              <w:rPr>
                <w:rFonts w:hint="eastAsia" w:ascii="宋体" w:hAnsi="宋体" w:cs="宋体"/>
                <w:b/>
                <w:bCs/>
                <w:color w:val="000000"/>
                <w:kern w:val="0"/>
                <w:szCs w:val="21"/>
              </w:rPr>
              <w:t>6730000.00</w:t>
            </w:r>
          </w:p>
        </w:tc>
      </w:tr>
    </w:tbl>
    <w:p w14:paraId="65E3EF37"/>
    <w:p w14:paraId="09319622">
      <w:pPr>
        <w:pStyle w:val="89"/>
      </w:pPr>
    </w:p>
    <w:tbl>
      <w:tblPr>
        <w:tblStyle w:val="46"/>
        <w:tblW w:w="974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7512"/>
      </w:tblGrid>
      <w:tr w14:paraId="197AB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9747" w:type="dxa"/>
            <w:gridSpan w:val="2"/>
            <w:tcBorders>
              <w:top w:val="single" w:color="auto" w:sz="4" w:space="0"/>
              <w:left w:val="single" w:color="auto" w:sz="4" w:space="0"/>
              <w:bottom w:val="single" w:color="auto" w:sz="4" w:space="0"/>
              <w:right w:val="single" w:color="auto" w:sz="4" w:space="0"/>
            </w:tcBorders>
            <w:noWrap/>
            <w:vAlign w:val="center"/>
          </w:tcPr>
          <w:p w14:paraId="4DA408DE">
            <w:pPr>
              <w:adjustRightInd w:val="0"/>
              <w:snapToGrid w:val="0"/>
              <w:spacing w:line="360" w:lineRule="auto"/>
              <w:rPr>
                <w:rFonts w:ascii="宋体" w:hAnsi="宋体"/>
                <w:b/>
                <w:szCs w:val="21"/>
              </w:rPr>
            </w:pPr>
            <w:r>
              <w:rPr>
                <w:rFonts w:hint="eastAsia" w:ascii="宋体" w:hAnsi="宋体"/>
                <w:b/>
                <w:szCs w:val="21"/>
              </w:rPr>
              <w:t>二、</w:t>
            </w:r>
            <w:r>
              <w:rPr>
                <w:rFonts w:hint="eastAsia" w:ascii="宋体" w:hAnsi="宋体" w:cs="宋体"/>
                <w:b/>
                <w:szCs w:val="21"/>
              </w:rPr>
              <w:t>▲</w:t>
            </w:r>
            <w:r>
              <w:rPr>
                <w:rFonts w:hint="eastAsia" w:ascii="宋体" w:hAnsi="宋体"/>
                <w:b/>
                <w:szCs w:val="21"/>
              </w:rPr>
              <w:t>涉及项目的其他技术要求</w:t>
            </w:r>
          </w:p>
        </w:tc>
      </w:tr>
      <w:tr w14:paraId="048BA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2235" w:type="dxa"/>
            <w:tcBorders>
              <w:top w:val="single" w:color="auto" w:sz="4" w:space="0"/>
              <w:left w:val="single" w:color="auto" w:sz="4" w:space="0"/>
              <w:bottom w:val="single" w:color="auto" w:sz="4" w:space="0"/>
              <w:right w:val="single" w:color="auto" w:sz="4" w:space="0"/>
            </w:tcBorders>
            <w:noWrap/>
            <w:vAlign w:val="center"/>
          </w:tcPr>
          <w:p w14:paraId="1DF853F5">
            <w:pPr>
              <w:spacing w:line="360" w:lineRule="auto"/>
              <w:jc w:val="center"/>
              <w:rPr>
                <w:rFonts w:ascii="宋体" w:hAnsi="宋体"/>
                <w:szCs w:val="21"/>
              </w:rPr>
            </w:pPr>
            <w:r>
              <w:rPr>
                <w:rFonts w:hint="eastAsia" w:ascii="宋体" w:hAnsi="宋体"/>
                <w:szCs w:val="21"/>
              </w:rPr>
              <w:t>采购预算价</w:t>
            </w:r>
          </w:p>
        </w:tc>
        <w:tc>
          <w:tcPr>
            <w:tcW w:w="7512" w:type="dxa"/>
            <w:tcBorders>
              <w:top w:val="single" w:color="auto" w:sz="4" w:space="0"/>
              <w:left w:val="single" w:color="auto" w:sz="4" w:space="0"/>
              <w:bottom w:val="single" w:color="auto" w:sz="4" w:space="0"/>
              <w:right w:val="single" w:color="auto" w:sz="4" w:space="0"/>
            </w:tcBorders>
            <w:noWrap/>
            <w:vAlign w:val="center"/>
          </w:tcPr>
          <w:p w14:paraId="3647DAE2">
            <w:pPr>
              <w:adjustRightInd w:val="0"/>
              <w:snapToGrid w:val="0"/>
              <w:spacing w:line="360" w:lineRule="auto"/>
              <w:rPr>
                <w:rFonts w:ascii="宋体" w:hAnsi="宋体"/>
                <w:szCs w:val="21"/>
              </w:rPr>
            </w:pPr>
            <w:r>
              <w:rPr>
                <w:rFonts w:hint="eastAsia" w:ascii="宋体" w:hAnsi="宋体" w:cs="宋体"/>
                <w:kern w:val="0"/>
                <w:szCs w:val="21"/>
              </w:rPr>
              <w:t>人民币陆佰柒拾叁万元整（¥6730000.00）</w:t>
            </w:r>
          </w:p>
        </w:tc>
      </w:tr>
      <w:tr w14:paraId="73CD1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35" w:type="dxa"/>
            <w:tcBorders>
              <w:top w:val="single" w:color="auto" w:sz="4" w:space="0"/>
              <w:left w:val="single" w:color="auto" w:sz="4" w:space="0"/>
              <w:bottom w:val="single" w:color="auto" w:sz="4" w:space="0"/>
              <w:right w:val="single" w:color="auto" w:sz="4" w:space="0"/>
            </w:tcBorders>
            <w:noWrap/>
            <w:vAlign w:val="center"/>
          </w:tcPr>
          <w:p w14:paraId="474D16E9">
            <w:pPr>
              <w:spacing w:line="360" w:lineRule="auto"/>
              <w:jc w:val="center"/>
              <w:rPr>
                <w:rFonts w:ascii="宋体" w:hAnsi="宋体"/>
                <w:szCs w:val="21"/>
              </w:rPr>
            </w:pPr>
            <w:r>
              <w:rPr>
                <w:rFonts w:hint="eastAsia" w:ascii="宋体" w:hAnsi="宋体" w:cs="Arial"/>
                <w:szCs w:val="21"/>
              </w:rPr>
              <w:t>为落实政府采购政策需满足的要求</w:t>
            </w:r>
          </w:p>
        </w:tc>
        <w:tc>
          <w:tcPr>
            <w:tcW w:w="7512" w:type="dxa"/>
            <w:tcBorders>
              <w:top w:val="single" w:color="auto" w:sz="4" w:space="0"/>
              <w:left w:val="single" w:color="auto" w:sz="4" w:space="0"/>
              <w:bottom w:val="single" w:color="auto" w:sz="4" w:space="0"/>
              <w:right w:val="single" w:color="auto" w:sz="4" w:space="0"/>
            </w:tcBorders>
            <w:noWrap/>
            <w:vAlign w:val="center"/>
          </w:tcPr>
          <w:p w14:paraId="096CA736">
            <w:pPr>
              <w:tabs>
                <w:tab w:val="left" w:pos="1065"/>
                <w:tab w:val="center" w:pos="4411"/>
              </w:tabs>
              <w:adjustRightInd w:val="0"/>
              <w:snapToGrid w:val="0"/>
              <w:spacing w:line="360" w:lineRule="auto"/>
              <w:rPr>
                <w:rFonts w:ascii="宋体" w:hAnsi="宋体"/>
                <w:szCs w:val="21"/>
              </w:rPr>
            </w:pPr>
            <w:r>
              <w:rPr>
                <w:rFonts w:hint="eastAsia" w:ascii="宋体" w:hAnsi="宋体"/>
                <w:szCs w:val="21"/>
              </w:rPr>
              <w:t>具体见本招标文件“投标人须知前附表”，以及第四章“评标办法及评分标准”。</w:t>
            </w:r>
          </w:p>
        </w:tc>
      </w:tr>
      <w:tr w14:paraId="53356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235" w:type="dxa"/>
            <w:tcBorders>
              <w:top w:val="single" w:color="auto" w:sz="4" w:space="0"/>
              <w:left w:val="single" w:color="auto" w:sz="4" w:space="0"/>
              <w:bottom w:val="single" w:color="auto" w:sz="4" w:space="0"/>
              <w:right w:val="single" w:color="auto" w:sz="4" w:space="0"/>
            </w:tcBorders>
            <w:noWrap/>
            <w:vAlign w:val="center"/>
          </w:tcPr>
          <w:p w14:paraId="0930140C">
            <w:pPr>
              <w:tabs>
                <w:tab w:val="left" w:pos="1065"/>
                <w:tab w:val="center" w:pos="4411"/>
              </w:tabs>
              <w:adjustRightInd w:val="0"/>
              <w:snapToGrid w:val="0"/>
              <w:spacing w:line="360" w:lineRule="auto"/>
              <w:jc w:val="center"/>
              <w:rPr>
                <w:rFonts w:hint="eastAsia" w:ascii="宋体" w:hAnsi="宋体"/>
                <w:color w:val="auto"/>
                <w:szCs w:val="21"/>
              </w:rPr>
            </w:pPr>
            <w:r>
              <w:rPr>
                <w:rFonts w:hint="eastAsia" w:ascii="宋体" w:hAnsi="宋体"/>
                <w:color w:val="auto"/>
                <w:szCs w:val="21"/>
              </w:rPr>
              <w:t>知识产权要求</w:t>
            </w:r>
          </w:p>
        </w:tc>
        <w:tc>
          <w:tcPr>
            <w:tcW w:w="7512" w:type="dxa"/>
            <w:tcBorders>
              <w:top w:val="single" w:color="auto" w:sz="4" w:space="0"/>
              <w:left w:val="single" w:color="auto" w:sz="4" w:space="0"/>
              <w:bottom w:val="single" w:color="auto" w:sz="4" w:space="0"/>
              <w:right w:val="single" w:color="auto" w:sz="4" w:space="0"/>
            </w:tcBorders>
            <w:noWrap/>
            <w:vAlign w:val="center"/>
          </w:tcPr>
          <w:p w14:paraId="0A1848A0">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（一）权利归属与核心约定</w:t>
            </w:r>
          </w:p>
          <w:p w14:paraId="07B5F1D0">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本项目所有服务成果（包括但不限于基础数据、中间报告、最终报告、图纸、数据库文件、技术方案文本、外业实测数据、内业分析模型、软件操作手册等，以下统称“成果文件”）的署名权归中标人所有，版权、使用权、修改权、复制权、发行权、信息网络传播权及转授权禁止权均独家归采购人（崇左市自然资源局）所有。</w:t>
            </w:r>
          </w:p>
          <w:p w14:paraId="5BFB5846">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中标人仅享有在自身业绩宣传中提及“参与本项目服务”的权利，不得单独或结合其他材料公开、展示、传播任何成果文件的核心内容（包括但不限于关键数据、技术参数、分析模型、图件等）。</w:t>
            </w:r>
          </w:p>
          <w:p w14:paraId="48D5B6D1">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rPr>
              <w:t>成</w:t>
            </w:r>
            <w:r>
              <w:rPr>
                <w:rFonts w:hint="eastAsia" w:ascii="宋体" w:hAnsi="宋体"/>
                <w:color w:val="auto"/>
                <w:szCs w:val="21"/>
                <w:highlight w:val="none"/>
              </w:rPr>
              <w:t>果文件基于采购人需求且由采购人提供资金支持的衍生开发，衍生权利归采购人；中标人自行开展的衍生开发，衍生权利归中标人，但采购人享有免费使用权</w:t>
            </w:r>
            <w:r>
              <w:rPr>
                <w:rFonts w:hint="eastAsia" w:ascii="宋体" w:hAnsi="宋体"/>
                <w:color w:val="auto"/>
                <w:szCs w:val="21"/>
                <w:highlight w:val="none"/>
                <w:lang w:eastAsia="zh-CN"/>
              </w:rPr>
              <w:t>，</w:t>
            </w:r>
            <w:r>
              <w:rPr>
                <w:rFonts w:hint="eastAsia" w:ascii="宋体" w:hAnsi="宋体"/>
                <w:color w:val="auto"/>
                <w:szCs w:val="21"/>
                <w:highlight w:val="none"/>
              </w:rPr>
              <w:t>中标人自行开发的衍生成果，需授权采购人在自然资源管理工作中无偿使用，不得收取额外费用。</w:t>
            </w:r>
          </w:p>
          <w:p w14:paraId="61AF95BB">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（二）使用限制与禁止行为</w:t>
            </w:r>
          </w:p>
          <w:p w14:paraId="3D5563A1">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中标人不得擅自将成果文件用于本合同外的其他项目，不得向任何第三方转让、许可使用、出租、质押成果文件，也不得为第三方提供基于成果文件的技术咨询、数据解读等服务。</w:t>
            </w:r>
          </w:p>
          <w:p w14:paraId="2F64096A">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未经采购人书面同意，中标人不得将成果文件的任何部分用于商业宣传、学术发表、技术交流等活动，不得允许其关联公司、分支机构或项目参与人员私自留存、使用成果文件。</w:t>
            </w:r>
          </w:p>
          <w:p w14:paraId="1216DA09">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采购人有权将成果文件用于政府履职、公共管理、政策制定、公开公示等合法用途，无需另行向中标人支付费用；如需将成果文件用于市场化合作（如与第三方联合开展研究），需提前书面告知中标人，但无需获得其同意。</w:t>
            </w:r>
          </w:p>
          <w:p w14:paraId="334F5C84">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（三）涉密成果特别约定</w:t>
            </w:r>
          </w:p>
          <w:p w14:paraId="7045935C">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涉及国家秘密、商业秘密的成果文件（如土地利用现状涉密数据、权属登记敏感信息等），除遵守本条款约定外，还需严格按照《中华人民共和国保守国家秘密法》等相关规定管理，中标人不得因知识产权约定突破保密义务。</w:t>
            </w:r>
          </w:p>
          <w:p w14:paraId="14689284">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中标人需在成果交付前对涉密成果进行加密处理，并单独标注“涉密”标识，交付后应立即删除自身系统及存储设备中的涉密成果副本，仅保留用于售后技术支持的加密备份（需经采购人审核同意）。</w:t>
            </w:r>
          </w:p>
          <w:p w14:paraId="506076A1">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（四）成果修改与后续维护的知识产权</w:t>
            </w:r>
          </w:p>
          <w:p w14:paraId="5436F5D7">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采购人有权根据工作需要对成果文件进行修改、补充、整合，修改后的成果知识产权仍归采购人所有，中标人需配合提供必要的技术支持（如数据格式转换、模型适配等），不得主张额外权利。</w:t>
            </w:r>
          </w:p>
          <w:p w14:paraId="13E3E056">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合同约定的12个月后续服务期内，中标人提供的非实质性成果修改（如文字纠错、数据格式调整等），相关修改成果的知识产权归采购人所有；若涉及实质性修改（如核心模型优化、数据重新测算等），需签订补充协议明确知识产权归属，但默认仍归采购人。</w:t>
            </w:r>
          </w:p>
          <w:p w14:paraId="4D0836E8">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（五）违约责任</w:t>
            </w:r>
          </w:p>
          <w:p w14:paraId="3CE0810A">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若中标人违反本条款约定，擅自泄露、转让、使用成果文件或主张不当知识产权的，需向采购人支付合同总价款</w:t>
            </w:r>
            <w:r>
              <w:rPr>
                <w:rFonts w:hint="eastAsia" w:ascii="宋体" w:hAnsi="宋体"/>
                <w:color w:val="auto"/>
                <w:szCs w:val="21"/>
                <w:lang w:val="en-US" w:eastAsia="zh-CN"/>
              </w:rPr>
              <w:t>10</w:t>
            </w:r>
            <w:r>
              <w:rPr>
                <w:rFonts w:hint="eastAsia" w:ascii="宋体" w:hAnsi="宋体"/>
                <w:color w:val="auto"/>
                <w:szCs w:val="21"/>
              </w:rPr>
              <w:t>%的违约金；若违约金不足以弥补采购人损失（包括直接损失、间接损失及维权费用），中标人需另行赔偿。</w:t>
            </w:r>
          </w:p>
          <w:p w14:paraId="29AAFFE4">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若中标人的违约行为导致成果文件知识产权争议（如侵犯第三方权利），由中标人承担全部责任（包括但不限于赔偿第三方损失、承担诉讼费用、重新出具合规成果等），并赔偿采购人因此遭受的损失。</w:t>
            </w:r>
          </w:p>
          <w:p w14:paraId="7A7A533E">
            <w:pPr>
              <w:keepNext w:val="0"/>
              <w:keepLines w:val="0"/>
              <w:pageBreakBefore w:val="0"/>
              <w:widowControl w:val="0"/>
              <w:tabs>
                <w:tab w:val="left" w:pos="1065"/>
                <w:tab w:val="center" w:pos="4411"/>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若中标人违反涉密成果知识产权约定，除承担上述违约责任外，采购人有权立即终止合同，并将其列入政府采购不良行为记录名单，情节严重的移交相关部门追究法律责任。</w:t>
            </w:r>
          </w:p>
        </w:tc>
      </w:tr>
      <w:tr w14:paraId="5D24C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235" w:type="dxa"/>
            <w:tcBorders>
              <w:top w:val="single" w:color="auto" w:sz="4" w:space="0"/>
              <w:left w:val="single" w:color="auto" w:sz="4" w:space="0"/>
              <w:bottom w:val="single" w:color="auto" w:sz="4" w:space="0"/>
              <w:right w:val="single" w:color="auto" w:sz="4" w:space="0"/>
            </w:tcBorders>
            <w:noWrap/>
            <w:vAlign w:val="center"/>
          </w:tcPr>
          <w:p w14:paraId="7DA7B5A7">
            <w:pPr>
              <w:tabs>
                <w:tab w:val="left" w:pos="1065"/>
                <w:tab w:val="center" w:pos="4411"/>
              </w:tabs>
              <w:adjustRightInd w:val="0"/>
              <w:snapToGrid w:val="0"/>
              <w:spacing w:line="360" w:lineRule="auto"/>
              <w:ind w:firstLine="420" w:firstLineChars="200"/>
              <w:rPr>
                <w:rFonts w:ascii="宋体" w:hAnsi="宋体"/>
                <w:szCs w:val="21"/>
              </w:rPr>
            </w:pPr>
            <w:r>
              <w:rPr>
                <w:rFonts w:hint="eastAsia" w:ascii="宋体" w:hAnsi="宋体"/>
                <w:szCs w:val="21"/>
              </w:rPr>
              <w:t>其他技术及服务要求</w:t>
            </w:r>
          </w:p>
        </w:tc>
        <w:tc>
          <w:tcPr>
            <w:tcW w:w="7512" w:type="dxa"/>
            <w:tcBorders>
              <w:top w:val="single" w:color="auto" w:sz="4" w:space="0"/>
              <w:left w:val="single" w:color="auto" w:sz="4" w:space="0"/>
              <w:bottom w:val="single" w:color="auto" w:sz="4" w:space="0"/>
              <w:right w:val="single" w:color="auto" w:sz="4" w:space="0"/>
            </w:tcBorders>
            <w:noWrap/>
            <w:vAlign w:val="center"/>
          </w:tcPr>
          <w:p w14:paraId="6300A892">
            <w:pPr>
              <w:numPr>
                <w:ilvl w:val="0"/>
                <w:numId w:val="4"/>
              </w:numPr>
              <w:tabs>
                <w:tab w:val="left" w:pos="1065"/>
                <w:tab w:val="center" w:pos="4411"/>
              </w:tabs>
              <w:adjustRightInd w:val="0"/>
              <w:snapToGrid w:val="0"/>
              <w:spacing w:line="360" w:lineRule="auto"/>
              <w:ind w:firstLine="420" w:firstLineChars="200"/>
              <w:rPr>
                <w:rFonts w:ascii="宋体" w:hAnsi="宋体"/>
                <w:szCs w:val="21"/>
              </w:rPr>
            </w:pPr>
            <w:r>
              <w:rPr>
                <w:rFonts w:hint="eastAsia" w:ascii="宋体" w:hAnsi="宋体"/>
                <w:szCs w:val="21"/>
              </w:rPr>
              <w:t>服务成果（包括但不限于基础数据、中间报告、最终图纸、数据库文件、技术方案文本等）的署名权归中标人所有，版权、使用权及修改权归采购人所有。采购人有权在服务方案审定后，通过公开展示、传播、汇编、应用等方式使用成果文件，无需另行支付费用。</w:t>
            </w:r>
          </w:p>
          <w:p w14:paraId="421DEDE0">
            <w:pPr>
              <w:numPr>
                <w:ilvl w:val="0"/>
                <w:numId w:val="4"/>
              </w:numPr>
              <w:tabs>
                <w:tab w:val="left" w:pos="1065"/>
                <w:tab w:val="center" w:pos="4411"/>
              </w:tabs>
              <w:adjustRightInd w:val="0"/>
              <w:snapToGrid w:val="0"/>
              <w:spacing w:line="360" w:lineRule="auto"/>
              <w:ind w:firstLine="420" w:firstLineChars="200"/>
              <w:rPr>
                <w:rFonts w:ascii="宋体" w:hAnsi="宋体"/>
                <w:szCs w:val="21"/>
              </w:rPr>
            </w:pPr>
            <w:r>
              <w:rPr>
                <w:rFonts w:hint="eastAsia" w:ascii="宋体" w:hAnsi="宋体"/>
                <w:szCs w:val="21"/>
              </w:rPr>
              <w:t>服务方案批准实施前，任何单位和个人（包括中标人）未经采购人书面同意，不得向第三方泄露、展示、转让或用于本合同外的其他项目，否则视为违约。</w:t>
            </w:r>
          </w:p>
          <w:p w14:paraId="7BAC70E2">
            <w:pPr>
              <w:numPr>
                <w:ilvl w:val="0"/>
                <w:numId w:val="4"/>
              </w:numPr>
              <w:tabs>
                <w:tab w:val="left" w:pos="1065"/>
                <w:tab w:val="center" w:pos="4411"/>
              </w:tabs>
              <w:adjustRightInd w:val="0"/>
              <w:snapToGrid w:val="0"/>
              <w:spacing w:line="360" w:lineRule="auto"/>
              <w:ind w:firstLine="420" w:firstLineChars="200"/>
              <w:rPr>
                <w:rFonts w:ascii="宋体" w:hAnsi="宋体"/>
                <w:szCs w:val="21"/>
              </w:rPr>
            </w:pPr>
            <w:r>
              <w:rPr>
                <w:rFonts w:hint="eastAsia" w:ascii="宋体" w:hAnsi="宋体"/>
                <w:szCs w:val="21"/>
              </w:rPr>
              <w:t>中标单位提交的服务成果文件需满足以下质量要求，否则采购人有权要求整改或终止合同：①</w:t>
            </w:r>
            <w:r>
              <w:rPr>
                <w:rFonts w:hint="eastAsia"/>
              </w:rPr>
              <w:t>中标单位需按照</w:t>
            </w:r>
            <w:r>
              <w:rPr>
                <w:rFonts w:hint="eastAsia" w:ascii="宋体" w:hAnsi="宋体"/>
                <w:szCs w:val="21"/>
              </w:rPr>
              <w:t>《测绘成果质量检查与验收》GB/T24356-2009)规定，</w:t>
            </w:r>
            <w:r>
              <w:rPr>
                <w:rFonts w:hint="eastAsia"/>
              </w:rPr>
              <w:t>成果文件需通过“两级检查一级验收”的方式进行质量控制，成果文件文字</w:t>
            </w:r>
            <w:r>
              <w:rPr>
                <w:rFonts w:hint="eastAsia" w:ascii="宋体" w:hAnsi="宋体"/>
                <w:szCs w:val="21"/>
              </w:rPr>
              <w:t>清晰无错别字，关键数据（如面积、坐标、技术参数）误差在有关规范限差范围内；②成果内容需</w:t>
            </w:r>
            <w:r>
              <w:rPr>
                <w:rFonts w:hint="eastAsia" w:ascii="宋体" w:hAnsi="宋体"/>
                <w:szCs w:val="21"/>
                <w:lang w:val="en-US" w:eastAsia="zh-CN"/>
              </w:rPr>
              <w:t>按照各子项工作的具体要求进行提供，做到无缺项、漏项（具体以第二章“技术条款要求”的工作内容为准）</w:t>
            </w:r>
            <w:r>
              <w:rPr>
                <w:rFonts w:hint="eastAsia" w:ascii="宋体" w:hAnsi="宋体"/>
                <w:szCs w:val="21"/>
              </w:rPr>
              <w:t>。</w:t>
            </w:r>
          </w:p>
          <w:p w14:paraId="73AD99C2">
            <w:pPr>
              <w:numPr>
                <w:ilvl w:val="0"/>
                <w:numId w:val="4"/>
              </w:numPr>
              <w:tabs>
                <w:tab w:val="left" w:pos="1065"/>
                <w:tab w:val="center" w:pos="4411"/>
              </w:tabs>
              <w:adjustRightInd w:val="0"/>
              <w:snapToGrid w:val="0"/>
              <w:spacing w:line="360" w:lineRule="auto"/>
              <w:ind w:firstLine="420" w:firstLineChars="200"/>
              <w:rPr>
                <w:rFonts w:ascii="宋体" w:hAnsi="宋体"/>
                <w:szCs w:val="21"/>
              </w:rPr>
            </w:pPr>
            <w:r>
              <w:rPr>
                <w:rFonts w:hint="eastAsia" w:ascii="宋体" w:hAnsi="宋体"/>
                <w:szCs w:val="21"/>
              </w:rPr>
              <w:t>中标人需在合同约定的履行期限内提交成果文件，未经采购人书面同意逾期提交的，按以下标准处理：①逾期≤15天：每逾期1天，按子项合同价的0.2%支付违约金；②逾期＞15天且≤30天：按子项合同价的10%支付违约金，同时采购人有权要求加速交付；③逾期＞30天：采购人有权终止合同，中标人需退还已支付款项，并赔偿子项合同价20%的违约金。</w:t>
            </w:r>
          </w:p>
          <w:p w14:paraId="61AACCBC">
            <w:pPr>
              <w:numPr>
                <w:ilvl w:val="0"/>
                <w:numId w:val="4"/>
              </w:numPr>
              <w:tabs>
                <w:tab w:val="left" w:pos="1065"/>
                <w:tab w:val="center" w:pos="4411"/>
              </w:tabs>
              <w:adjustRightInd w:val="0"/>
              <w:snapToGrid w:val="0"/>
              <w:spacing w:line="360" w:lineRule="auto"/>
              <w:ind w:firstLine="420" w:firstLineChars="200"/>
              <w:rPr>
                <w:rFonts w:ascii="宋体" w:hAnsi="宋体"/>
                <w:szCs w:val="21"/>
              </w:rPr>
            </w:pPr>
            <w:r>
              <w:rPr>
                <w:rFonts w:hint="eastAsia" w:ascii="宋体" w:hAnsi="宋体"/>
                <w:szCs w:val="21"/>
              </w:rPr>
              <w:t>中标人未经采购人正式书面同意，擅自修改服务方案或成果文件的，需在采购人要求的5个工作日内恢复原方案，同时支付</w:t>
            </w:r>
            <w:r>
              <w:rPr>
                <w:rFonts w:hint="eastAsia" w:ascii="宋体" w:hAnsi="宋体"/>
                <w:szCs w:val="21"/>
                <w:lang w:val="en-US" w:eastAsia="zh-CN"/>
              </w:rPr>
              <w:t>子项</w:t>
            </w:r>
            <w:r>
              <w:rPr>
                <w:rFonts w:hint="eastAsia" w:ascii="宋体" w:hAnsi="宋体"/>
                <w:szCs w:val="21"/>
              </w:rPr>
              <w:t>合同总价5%的违约金；若修改导致成果不符合要求的，采购人有权终止合同并追究损失。</w:t>
            </w:r>
          </w:p>
          <w:p w14:paraId="63C1D7C9">
            <w:pPr>
              <w:numPr>
                <w:ilvl w:val="0"/>
                <w:numId w:val="4"/>
              </w:numPr>
              <w:tabs>
                <w:tab w:val="left" w:pos="1065"/>
                <w:tab w:val="center" w:pos="4411"/>
              </w:tabs>
              <w:adjustRightInd w:val="0"/>
              <w:snapToGrid w:val="0"/>
              <w:spacing w:line="360" w:lineRule="auto"/>
              <w:ind w:firstLine="420" w:firstLineChars="200"/>
              <w:rPr>
                <w:rFonts w:ascii="宋体" w:hAnsi="宋体"/>
                <w:szCs w:val="21"/>
              </w:rPr>
            </w:pPr>
            <w:r>
              <w:rPr>
                <w:rFonts w:hint="eastAsia" w:ascii="宋体" w:hAnsi="宋体"/>
                <w:szCs w:val="21"/>
              </w:rPr>
              <w:t>中标人提交的成果文件需配合采购人完成阶段性验收及最终验收，按要求提供补充说明、修改完善相关内容，整改时限不得超过验收通知中明确的期限（阶段性验收整改≤7个工作日，最终验收整改≤15个工作日），否则按逾期提交成果处理。</w:t>
            </w:r>
          </w:p>
        </w:tc>
      </w:tr>
    </w:tbl>
    <w:p w14:paraId="40A433ED"/>
    <w:tbl>
      <w:tblPr>
        <w:tblStyle w:val="46"/>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525"/>
        <w:gridCol w:w="7410"/>
      </w:tblGrid>
      <w:tr w14:paraId="49B4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Pr>
          <w:p w14:paraId="5C13904F">
            <w:pPr>
              <w:rPr>
                <w:rFonts w:eastAsiaTheme="minorEastAsia"/>
                <w:color w:val="auto"/>
              </w:rPr>
            </w:pPr>
            <w:r>
              <w:rPr>
                <w:rFonts w:hint="eastAsia"/>
                <w:color w:val="auto"/>
              </w:rPr>
              <w:t>三、</w:t>
            </w:r>
            <w:r>
              <w:rPr>
                <w:rFonts w:ascii="宋体" w:hAnsi="宋体" w:cs="宋体"/>
                <w:color w:val="auto"/>
                <w:sz w:val="24"/>
              </w:rPr>
              <w:t>▲</w:t>
            </w:r>
            <w:r>
              <w:rPr>
                <w:rFonts w:hint="eastAsia"/>
                <w:color w:val="auto"/>
              </w:rPr>
              <w:t>商务条款要求</w:t>
            </w:r>
          </w:p>
        </w:tc>
      </w:tr>
      <w:tr w14:paraId="60E4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7B10FDDD">
            <w:pPr>
              <w:spacing w:line="360" w:lineRule="auto"/>
              <w:rPr>
                <w:rFonts w:eastAsiaTheme="minorEastAsia"/>
                <w:color w:val="auto"/>
              </w:rPr>
            </w:pPr>
            <w:r>
              <w:rPr>
                <w:rFonts w:hint="eastAsia"/>
                <w:color w:val="auto"/>
              </w:rPr>
              <w:t>序号</w:t>
            </w:r>
          </w:p>
        </w:tc>
        <w:tc>
          <w:tcPr>
            <w:tcW w:w="1525" w:type="dxa"/>
          </w:tcPr>
          <w:p w14:paraId="53E48F54">
            <w:pPr>
              <w:spacing w:line="360" w:lineRule="auto"/>
              <w:rPr>
                <w:rFonts w:eastAsiaTheme="minorEastAsia"/>
                <w:color w:val="auto"/>
              </w:rPr>
            </w:pPr>
            <w:r>
              <w:rPr>
                <w:rFonts w:hint="eastAsia"/>
                <w:color w:val="auto"/>
              </w:rPr>
              <w:t>内容</w:t>
            </w:r>
          </w:p>
        </w:tc>
        <w:tc>
          <w:tcPr>
            <w:tcW w:w="7410" w:type="dxa"/>
          </w:tcPr>
          <w:p w14:paraId="3C7AED28">
            <w:pPr>
              <w:spacing w:line="360" w:lineRule="auto"/>
              <w:jc w:val="center"/>
              <w:rPr>
                <w:rFonts w:eastAsiaTheme="minorEastAsia"/>
                <w:color w:val="auto"/>
              </w:rPr>
            </w:pPr>
            <w:r>
              <w:rPr>
                <w:rFonts w:hint="eastAsia"/>
                <w:color w:val="auto"/>
              </w:rPr>
              <w:t>要求内容</w:t>
            </w:r>
          </w:p>
        </w:tc>
      </w:tr>
      <w:tr w14:paraId="46C2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59F4E34E">
            <w:pPr>
              <w:spacing w:line="360" w:lineRule="auto"/>
              <w:rPr>
                <w:rFonts w:eastAsiaTheme="minorEastAsia"/>
                <w:color w:val="auto"/>
              </w:rPr>
            </w:pPr>
            <w:r>
              <w:rPr>
                <w:rFonts w:hint="eastAsia"/>
                <w:color w:val="auto"/>
              </w:rPr>
              <w:t>1</w:t>
            </w:r>
          </w:p>
        </w:tc>
        <w:tc>
          <w:tcPr>
            <w:tcW w:w="1525" w:type="dxa"/>
          </w:tcPr>
          <w:p w14:paraId="4B47E70C">
            <w:pPr>
              <w:spacing w:line="360" w:lineRule="auto"/>
              <w:rPr>
                <w:rFonts w:eastAsiaTheme="minorEastAsia"/>
                <w:color w:val="auto"/>
              </w:rPr>
            </w:pPr>
            <w:r>
              <w:rPr>
                <w:rFonts w:hint="eastAsia"/>
                <w:color w:val="auto"/>
              </w:rPr>
              <w:t>签订合同时间</w:t>
            </w:r>
          </w:p>
        </w:tc>
        <w:tc>
          <w:tcPr>
            <w:tcW w:w="7410" w:type="dxa"/>
          </w:tcPr>
          <w:p w14:paraId="004034B6">
            <w:pPr>
              <w:spacing w:line="360" w:lineRule="auto"/>
              <w:ind w:firstLine="420" w:firstLineChars="200"/>
              <w:rPr>
                <w:color w:val="auto"/>
              </w:rPr>
            </w:pPr>
            <w:r>
              <w:rPr>
                <w:rFonts w:hint="eastAsia"/>
                <w:color w:val="auto"/>
              </w:rPr>
              <w:t>自中标通知书发出之日起15日内。</w:t>
            </w:r>
          </w:p>
        </w:tc>
      </w:tr>
      <w:tr w14:paraId="4C08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1141EA0E">
            <w:pPr>
              <w:spacing w:line="360" w:lineRule="auto"/>
              <w:rPr>
                <w:rFonts w:eastAsiaTheme="minorEastAsia"/>
                <w:color w:val="auto"/>
                <w:highlight w:val="none"/>
              </w:rPr>
            </w:pPr>
            <w:r>
              <w:rPr>
                <w:rFonts w:hint="eastAsia"/>
                <w:color w:val="auto"/>
                <w:highlight w:val="none"/>
              </w:rPr>
              <w:t>2</w:t>
            </w:r>
          </w:p>
        </w:tc>
        <w:tc>
          <w:tcPr>
            <w:tcW w:w="1525" w:type="dxa"/>
          </w:tcPr>
          <w:p w14:paraId="7271EC74">
            <w:pPr>
              <w:spacing w:line="360" w:lineRule="auto"/>
              <w:rPr>
                <w:color w:val="auto"/>
                <w:highlight w:val="none"/>
              </w:rPr>
            </w:pPr>
            <w:r>
              <w:rPr>
                <w:color w:val="auto"/>
                <w:highlight w:val="none"/>
              </w:rPr>
              <w:t>合同履行期限</w:t>
            </w:r>
          </w:p>
        </w:tc>
        <w:tc>
          <w:tcPr>
            <w:tcW w:w="7410" w:type="dxa"/>
          </w:tcPr>
          <w:p w14:paraId="6C8FCDEA">
            <w:pPr>
              <w:widowControl/>
              <w:spacing w:line="360" w:lineRule="atLeast"/>
              <w:ind w:firstLine="420" w:firstLineChars="200"/>
              <w:jc w:val="left"/>
              <w:rPr>
                <w:color w:val="auto"/>
                <w:highlight w:val="none"/>
              </w:rPr>
            </w:pPr>
            <w:r>
              <w:rPr>
                <w:rFonts w:hint="eastAsia"/>
                <w:color w:val="auto"/>
                <w:szCs w:val="21"/>
                <w:highlight w:val="none"/>
              </w:rPr>
              <w:t>自合同签订之日起12个</w:t>
            </w:r>
            <w:r>
              <w:rPr>
                <w:rFonts w:hint="eastAsia"/>
                <w:color w:val="auto"/>
                <w:szCs w:val="21"/>
                <w:highlight w:val="none"/>
                <w:lang w:eastAsia="zh-CN"/>
              </w:rPr>
              <w:t>月内</w:t>
            </w:r>
            <w:r>
              <w:rPr>
                <w:rFonts w:hint="eastAsia"/>
                <w:color w:val="auto"/>
                <w:szCs w:val="21"/>
                <w:highlight w:val="none"/>
              </w:rPr>
              <w:t>完成所有服务工作内容，在履行期间</w:t>
            </w:r>
            <w:r>
              <w:rPr>
                <w:rFonts w:hint="eastAsia"/>
                <w:color w:val="auto"/>
                <w:szCs w:val="21"/>
                <w:highlight w:val="none"/>
                <w:lang w:eastAsia="zh-CN"/>
              </w:rPr>
              <w:t>如</w:t>
            </w:r>
            <w:r>
              <w:rPr>
                <w:rFonts w:hint="eastAsia"/>
                <w:color w:val="auto"/>
                <w:szCs w:val="21"/>
                <w:highlight w:val="none"/>
              </w:rPr>
              <w:t>遇国家或广西壮族自治区自然资源领域政策调整（如耕地保护、卫片执法、国土空间监测新规），按最新政策执行，期限可根据政策要求相应顺延（顺延时间不超过30个工作日，需双方书面确认）。</w:t>
            </w:r>
          </w:p>
        </w:tc>
      </w:tr>
      <w:tr w14:paraId="2AA2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44299A01">
            <w:pPr>
              <w:spacing w:line="360" w:lineRule="auto"/>
              <w:rPr>
                <w:rFonts w:eastAsiaTheme="minorEastAsia"/>
                <w:color w:val="auto"/>
              </w:rPr>
            </w:pPr>
            <w:r>
              <w:rPr>
                <w:rFonts w:hint="eastAsia"/>
                <w:color w:val="auto"/>
              </w:rPr>
              <w:t>3</w:t>
            </w:r>
          </w:p>
        </w:tc>
        <w:tc>
          <w:tcPr>
            <w:tcW w:w="1525" w:type="dxa"/>
          </w:tcPr>
          <w:p w14:paraId="51617A19">
            <w:pPr>
              <w:spacing w:line="360" w:lineRule="auto"/>
              <w:rPr>
                <w:rFonts w:eastAsiaTheme="minorEastAsia"/>
                <w:color w:val="auto"/>
              </w:rPr>
            </w:pPr>
            <w:r>
              <w:rPr>
                <w:rFonts w:hint="eastAsia"/>
                <w:color w:val="auto"/>
              </w:rPr>
              <w:t>成果提交地点</w:t>
            </w:r>
          </w:p>
        </w:tc>
        <w:tc>
          <w:tcPr>
            <w:tcW w:w="7410" w:type="dxa"/>
          </w:tcPr>
          <w:p w14:paraId="54DCE035">
            <w:pPr>
              <w:spacing w:line="360" w:lineRule="auto"/>
              <w:ind w:firstLine="420" w:firstLineChars="200"/>
              <w:rPr>
                <w:color w:val="auto"/>
              </w:rPr>
            </w:pPr>
            <w:r>
              <w:rPr>
                <w:rFonts w:hint="eastAsia"/>
                <w:color w:val="auto"/>
              </w:rPr>
              <w:t>崇左市，采购人指定地点</w:t>
            </w:r>
          </w:p>
        </w:tc>
      </w:tr>
      <w:tr w14:paraId="5B3C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1F6EC1A4">
            <w:pPr>
              <w:spacing w:line="360" w:lineRule="auto"/>
              <w:rPr>
                <w:rFonts w:eastAsiaTheme="minorEastAsia"/>
                <w:color w:val="auto"/>
              </w:rPr>
            </w:pPr>
            <w:r>
              <w:rPr>
                <w:rFonts w:hint="eastAsia"/>
                <w:color w:val="auto"/>
              </w:rPr>
              <w:t>4</w:t>
            </w:r>
          </w:p>
        </w:tc>
        <w:tc>
          <w:tcPr>
            <w:tcW w:w="1525" w:type="dxa"/>
          </w:tcPr>
          <w:p w14:paraId="7F2FE3C1">
            <w:pPr>
              <w:spacing w:line="360" w:lineRule="auto"/>
              <w:rPr>
                <w:rFonts w:eastAsiaTheme="minorEastAsia"/>
                <w:color w:val="auto"/>
              </w:rPr>
            </w:pPr>
            <w:r>
              <w:rPr>
                <w:rFonts w:hint="eastAsia"/>
                <w:color w:val="auto"/>
              </w:rPr>
              <w:t>服务质量要求</w:t>
            </w:r>
          </w:p>
        </w:tc>
        <w:tc>
          <w:tcPr>
            <w:tcW w:w="7410" w:type="dxa"/>
          </w:tcPr>
          <w:p w14:paraId="58A0F32C">
            <w:pPr>
              <w:spacing w:line="360" w:lineRule="auto"/>
              <w:ind w:firstLine="420" w:firstLineChars="200"/>
              <w:rPr>
                <w:color w:val="auto"/>
              </w:rPr>
            </w:pPr>
            <w:r>
              <w:rPr>
                <w:rFonts w:hint="eastAsia" w:ascii="宋体" w:hAnsi="宋体"/>
                <w:color w:val="auto"/>
                <w:szCs w:val="21"/>
              </w:rPr>
              <w:t>①</w:t>
            </w:r>
            <w:r>
              <w:rPr>
                <w:rFonts w:hint="eastAsia"/>
                <w:color w:val="auto"/>
              </w:rPr>
              <w:t>中标单位需按照</w:t>
            </w:r>
            <w:r>
              <w:rPr>
                <w:rFonts w:hint="eastAsia" w:ascii="宋体" w:hAnsi="宋体"/>
                <w:color w:val="auto"/>
                <w:szCs w:val="21"/>
              </w:rPr>
              <w:t>《测绘成果质量检查与验收》GB/T24356-2009)规定，</w:t>
            </w:r>
            <w:r>
              <w:rPr>
                <w:rFonts w:hint="eastAsia"/>
                <w:color w:val="auto"/>
              </w:rPr>
              <w:t>成果文件需通过“两级检查一级验收”的方式进行质量控制，成果文件文字</w:t>
            </w:r>
            <w:r>
              <w:rPr>
                <w:rFonts w:hint="eastAsia" w:ascii="宋体" w:hAnsi="宋体"/>
                <w:color w:val="auto"/>
                <w:szCs w:val="21"/>
              </w:rPr>
              <w:t>清晰无错别字，关键数据（如面积、坐标、技术参数）误差在有关规范限差范围内；②成果内容需</w:t>
            </w:r>
            <w:r>
              <w:rPr>
                <w:rFonts w:hint="eastAsia" w:ascii="宋体" w:hAnsi="宋体"/>
                <w:color w:val="auto"/>
                <w:szCs w:val="21"/>
                <w:lang w:val="en-US" w:eastAsia="zh-CN"/>
              </w:rPr>
              <w:t>按照各子项工作的具体要求进行提供，做到无缺项、漏项（具体以第二章“技术条款要求”的工作内容为准）</w:t>
            </w:r>
            <w:r>
              <w:rPr>
                <w:rFonts w:hint="eastAsia" w:ascii="宋体" w:hAnsi="宋体"/>
                <w:color w:val="auto"/>
                <w:szCs w:val="21"/>
              </w:rPr>
              <w:t>。</w:t>
            </w:r>
          </w:p>
        </w:tc>
      </w:tr>
      <w:tr w14:paraId="0D8F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443BC19">
            <w:pPr>
              <w:spacing w:line="360" w:lineRule="auto"/>
              <w:rPr>
                <w:rFonts w:eastAsiaTheme="minorEastAsia"/>
                <w:color w:val="auto"/>
                <w:highlight w:val="none"/>
              </w:rPr>
            </w:pPr>
            <w:r>
              <w:rPr>
                <w:rFonts w:hint="eastAsia"/>
                <w:color w:val="auto"/>
                <w:highlight w:val="none"/>
              </w:rPr>
              <w:t>5</w:t>
            </w:r>
          </w:p>
        </w:tc>
        <w:tc>
          <w:tcPr>
            <w:tcW w:w="1525" w:type="dxa"/>
          </w:tcPr>
          <w:p w14:paraId="0BDB624F">
            <w:pPr>
              <w:spacing w:line="360" w:lineRule="auto"/>
              <w:rPr>
                <w:color w:val="auto"/>
                <w:highlight w:val="none"/>
              </w:rPr>
            </w:pPr>
            <w:r>
              <w:rPr>
                <w:color w:val="auto"/>
                <w:highlight w:val="none"/>
              </w:rPr>
              <w:t>付款方式要求</w:t>
            </w:r>
          </w:p>
        </w:tc>
        <w:tc>
          <w:tcPr>
            <w:tcW w:w="7410" w:type="dxa"/>
          </w:tcPr>
          <w:p w14:paraId="7244C7D1">
            <w:pPr>
              <w:spacing w:line="360" w:lineRule="auto"/>
              <w:ind w:firstLine="420" w:firstLineChars="200"/>
              <w:rPr>
                <w:rFonts w:asciiTheme="minorHAnsi" w:hAnsiTheme="minorHAnsi" w:cstheme="minorBidi"/>
                <w:color w:val="auto"/>
              </w:rPr>
            </w:pPr>
            <w:r>
              <w:rPr>
                <w:rFonts w:hint="eastAsia"/>
                <w:color w:val="auto"/>
              </w:rPr>
              <w:t>合同签订后，供应商人员、设备进场并完成基础材料收集，采购人在供应商开具等额发票后10个工作日内支付子</w:t>
            </w:r>
            <w:r>
              <w:rPr>
                <w:rFonts w:hint="eastAsia"/>
                <w:color w:val="auto"/>
                <w:lang w:eastAsia="zh-CN"/>
              </w:rPr>
              <w:t>项目</w:t>
            </w:r>
            <w:r>
              <w:rPr>
                <w:rFonts w:hint="eastAsia"/>
                <w:color w:val="auto"/>
              </w:rPr>
              <w:t>合同总价的10%作为预付款；供应商提交每一个子项目的成果文件，经采购人确认后，采购人在供应商开具等额发票后10个工作日内支付相应子项目金额的80%；全部成果文件通过最终验收，采购人在供应商开具等额发票后10个工作日内支付至子项合同价款的100%。</w:t>
            </w:r>
          </w:p>
        </w:tc>
      </w:tr>
      <w:tr w14:paraId="2C81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2ED98E2F">
            <w:pPr>
              <w:spacing w:line="360" w:lineRule="auto"/>
              <w:rPr>
                <w:rFonts w:eastAsiaTheme="minorEastAsia"/>
                <w:color w:val="auto"/>
              </w:rPr>
            </w:pPr>
            <w:r>
              <w:rPr>
                <w:rFonts w:hint="eastAsia"/>
                <w:color w:val="auto"/>
              </w:rPr>
              <w:t>6</w:t>
            </w:r>
          </w:p>
        </w:tc>
        <w:tc>
          <w:tcPr>
            <w:tcW w:w="1525" w:type="dxa"/>
          </w:tcPr>
          <w:p w14:paraId="665D13CC">
            <w:pPr>
              <w:spacing w:line="360" w:lineRule="auto"/>
              <w:rPr>
                <w:color w:val="auto"/>
              </w:rPr>
            </w:pPr>
            <w:r>
              <w:rPr>
                <w:rFonts w:hint="eastAsia"/>
                <w:color w:val="auto"/>
              </w:rPr>
              <w:t>后续</w:t>
            </w:r>
            <w:r>
              <w:rPr>
                <w:color w:val="auto"/>
              </w:rPr>
              <w:t>服务要求</w:t>
            </w:r>
          </w:p>
        </w:tc>
        <w:tc>
          <w:tcPr>
            <w:tcW w:w="7410" w:type="dxa"/>
          </w:tcPr>
          <w:p w14:paraId="59AF3862">
            <w:pPr>
              <w:pStyle w:val="132"/>
              <w:widowControl w:val="0"/>
              <w:ind w:firstLine="420" w:firstLineChars="200"/>
              <w:jc w:val="both"/>
              <w:rPr>
                <w:rFonts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rPr>
              <w:t>供应商需在所有成果最终验收通过后提供至少12个月的技术咨询服务，服务范围包括：成果数据解读、数据使用指导、非实质性成果修改。供应商需建立服务响应机制，接到采购人需求通知后，1小时内通过电话/邮件提供初步解决方案；一般问题（不影响整体成果使用，仅需远程指导即可解决）24小时内完成或提供替代方案；重大问题（成果核心数据错误、系统无法运行、影响采购人业务开展）</w:t>
            </w:r>
            <w:r>
              <w:rPr>
                <w:rFonts w:hint="eastAsia" w:ascii="Times New Roman" w:hAnsi="Times New Roman" w:eastAsia="宋体" w:cs="Times New Roman"/>
                <w:color w:val="auto"/>
                <w:kern w:val="2"/>
                <w:sz w:val="21"/>
                <w:szCs w:val="24"/>
                <w:lang w:val="en-US" w:eastAsia="zh-CN"/>
              </w:rPr>
              <w:t>1</w:t>
            </w:r>
            <w:r>
              <w:rPr>
                <w:rFonts w:hint="eastAsia" w:ascii="Times New Roman" w:hAnsi="Times New Roman" w:eastAsia="宋体" w:cs="Times New Roman"/>
                <w:color w:val="auto"/>
                <w:kern w:val="2"/>
                <w:sz w:val="21"/>
                <w:szCs w:val="24"/>
              </w:rPr>
              <w:t>小时内到场处理（崇左市内），逾期未解决的，按每子项合同总价0.1%支付违约金，累计违约金不超过子项合同总价的5%，造成实际损失的按实赔偿。</w:t>
            </w:r>
          </w:p>
          <w:p w14:paraId="7AB3751C">
            <w:pPr>
              <w:pStyle w:val="132"/>
              <w:widowControl w:val="0"/>
              <w:ind w:firstLine="420" w:firstLineChars="200"/>
              <w:jc w:val="both"/>
              <w:rPr>
                <w:rFonts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rPr>
              <w:t>注：“一般问题”“重大问题”判定标准，如“一般问题：不影响整体成果使用，仅需远程指导即可解决；重大问题：成果核心数据错误、影响采购人业务开展”</w:t>
            </w:r>
          </w:p>
        </w:tc>
      </w:tr>
      <w:tr w14:paraId="59B7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349E22C3">
            <w:pPr>
              <w:spacing w:line="360" w:lineRule="auto"/>
              <w:rPr>
                <w:color w:val="auto"/>
              </w:rPr>
            </w:pPr>
            <w:r>
              <w:rPr>
                <w:rFonts w:hint="eastAsia"/>
                <w:color w:val="auto"/>
              </w:rPr>
              <w:t>7</w:t>
            </w:r>
          </w:p>
        </w:tc>
        <w:tc>
          <w:tcPr>
            <w:tcW w:w="1525" w:type="dxa"/>
          </w:tcPr>
          <w:p w14:paraId="3B032749">
            <w:pPr>
              <w:spacing w:line="360" w:lineRule="auto"/>
              <w:rPr>
                <w:color w:val="auto"/>
              </w:rPr>
            </w:pPr>
            <w:r>
              <w:rPr>
                <w:color w:val="auto"/>
              </w:rPr>
              <w:t>保密要求</w:t>
            </w:r>
          </w:p>
        </w:tc>
        <w:tc>
          <w:tcPr>
            <w:tcW w:w="7410" w:type="dxa"/>
          </w:tcPr>
          <w:p w14:paraId="22355300">
            <w:pPr>
              <w:pStyle w:val="132"/>
              <w:widowControl w:val="0"/>
              <w:ind w:firstLine="420" w:firstLineChars="200"/>
              <w:jc w:val="both"/>
              <w:rPr>
                <w:rFonts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rPr>
              <w:t>（1）保密范围包括：本项目所有原始数据、中间成果、最终报告、采购人业务数据（如土地利用现状数据、权属信息）、技术参数及招标文件未公开的内容；</w:t>
            </w:r>
          </w:p>
          <w:p w14:paraId="7CB7D6B1">
            <w:pPr>
              <w:pStyle w:val="132"/>
              <w:widowControl w:val="0"/>
              <w:ind w:firstLine="420" w:firstLineChars="200"/>
              <w:jc w:val="both"/>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rPr>
              <w:t>（2）保密期限：永久（若涉及国家秘密，保密期限按相关规定执行）；</w:t>
            </w:r>
          </w:p>
          <w:p w14:paraId="57415AFA">
            <w:pPr>
              <w:pStyle w:val="132"/>
              <w:widowControl w:val="0"/>
              <w:ind w:firstLine="420" w:firstLineChars="200"/>
              <w:jc w:val="both"/>
              <w:rPr>
                <w:rFonts w:hint="eastAsia"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rPr>
              <w:t>（3）保密措施：符合公司实际的保密措施。如建立办公局域网，数据处理计算机禁止连接互联网，参与业务工作人员签订保密协议</w:t>
            </w:r>
          </w:p>
          <w:p w14:paraId="2F7408EE">
            <w:pPr>
              <w:pStyle w:val="132"/>
              <w:widowControl w:val="0"/>
              <w:spacing w:line="360" w:lineRule="auto"/>
              <w:ind w:firstLine="420" w:firstLineChars="200"/>
              <w:jc w:val="both"/>
              <w:rPr>
                <w:color w:val="auto"/>
              </w:rPr>
            </w:pPr>
            <w:r>
              <w:rPr>
                <w:rFonts w:hint="eastAsia" w:ascii="Times New Roman" w:hAnsi="Times New Roman" w:eastAsia="宋体" w:cs="Times New Roman"/>
                <w:color w:val="auto"/>
                <w:kern w:val="2"/>
                <w:sz w:val="21"/>
                <w:szCs w:val="24"/>
              </w:rPr>
              <w:t>（4）违约责任：若发生泄密，供应商需支付</w:t>
            </w:r>
            <w:r>
              <w:rPr>
                <w:rFonts w:hint="eastAsia" w:ascii="Times New Roman" w:hAnsi="Times New Roman" w:eastAsia="宋体" w:cs="Times New Roman"/>
                <w:color w:val="auto"/>
                <w:kern w:val="2"/>
                <w:sz w:val="21"/>
                <w:szCs w:val="24"/>
                <w:lang w:val="en-US" w:eastAsia="zh-CN"/>
              </w:rPr>
              <w:t>子项</w:t>
            </w:r>
            <w:r>
              <w:rPr>
                <w:rFonts w:hint="eastAsia" w:ascii="Times New Roman" w:hAnsi="Times New Roman" w:eastAsia="宋体" w:cs="Times New Roman"/>
                <w:color w:val="auto"/>
                <w:kern w:val="2"/>
                <w:sz w:val="21"/>
                <w:szCs w:val="24"/>
              </w:rPr>
              <w:t>合同总价10%的违约金，造成采购人损失的，按实际损失金额赔偿（包括直接损失和间接损失</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仅包括因泄密导致的项目重新招标费用、第三方索赔金额，不包括预期收益损失），违约方赔偿总额不超过子项合同总价的30%，且间接损失赔偿不超过直接损失的50%</w:t>
            </w:r>
            <w:r>
              <w:rPr>
                <w:rFonts w:hint="eastAsia" w:ascii="Times New Roman" w:hAnsi="Times New Roman" w:eastAsia="宋体" w:cs="Times New Roman"/>
                <w:color w:val="auto"/>
                <w:kern w:val="2"/>
                <w:sz w:val="21"/>
                <w:szCs w:val="24"/>
                <w:lang w:eastAsia="zh-CN"/>
              </w:rPr>
              <w:t>，</w:t>
            </w:r>
            <w:r>
              <w:rPr>
                <w:rFonts w:hint="eastAsia" w:ascii="Times New Roman" w:hAnsi="Times New Roman" w:eastAsia="宋体" w:cs="Times New Roman"/>
                <w:color w:val="auto"/>
                <w:kern w:val="2"/>
                <w:sz w:val="21"/>
                <w:szCs w:val="24"/>
              </w:rPr>
              <w:t>采购人有权解除合同并将其列入政府采购不良行为记录名单”。</w:t>
            </w:r>
          </w:p>
        </w:tc>
      </w:tr>
      <w:tr w14:paraId="2141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3F80A2DF">
            <w:pPr>
              <w:spacing w:line="360" w:lineRule="auto"/>
              <w:rPr>
                <w:color w:val="auto"/>
              </w:rPr>
            </w:pPr>
            <w:r>
              <w:rPr>
                <w:rFonts w:hint="eastAsia"/>
                <w:color w:val="auto"/>
              </w:rPr>
              <w:t>8</w:t>
            </w:r>
          </w:p>
        </w:tc>
        <w:tc>
          <w:tcPr>
            <w:tcW w:w="1525" w:type="dxa"/>
          </w:tcPr>
          <w:p w14:paraId="279EF696">
            <w:pPr>
              <w:pageBreakBefore w:val="0"/>
              <w:kinsoku/>
              <w:wordWrap/>
              <w:overflowPunct/>
              <w:topLinePunct w:val="0"/>
              <w:autoSpaceDE/>
              <w:autoSpaceDN/>
              <w:bidi w:val="0"/>
              <w:adjustRightInd/>
              <w:snapToGrid/>
              <w:spacing w:line="360" w:lineRule="auto"/>
              <w:ind w:firstLine="210" w:firstLineChars="10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验收要求</w:t>
            </w:r>
          </w:p>
        </w:tc>
        <w:tc>
          <w:tcPr>
            <w:tcW w:w="7410" w:type="dxa"/>
          </w:tcPr>
          <w:p w14:paraId="7DC0D0B3">
            <w:pPr>
              <w:pageBreakBefore w:val="0"/>
              <w:tabs>
                <w:tab w:val="left" w:pos="180"/>
                <w:tab w:val="left" w:pos="1620"/>
              </w:tabs>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服务行为及服务成果质量必须符合国家及地方行政主管部门对相关工作的要求，满足国家和广西实施方案、技术规范规程、细则等文件的要求,中标人按政策要求提交成果。具体如下</w:t>
            </w:r>
          </w:p>
          <w:p w14:paraId="42178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（1）验收标准</w:t>
            </w:r>
          </w:p>
          <w:p w14:paraId="15585C5E">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成果质量要求：需通过“两级检查一级验收”，符合《测绘成果质量检查与验收》GB/T24356-2009，关键数据误差在规范限差内，无错别字。</w:t>
            </w:r>
          </w:p>
          <w:p w14:paraId="48A38661">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合规性要求：服务行为和成果需符合国家、广西相关政策、技术规范及招标文件要求。</w:t>
            </w:r>
          </w:p>
          <w:p w14:paraId="0910CEF0">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完整性要求：成果无缺项漏项，需涵盖各子项规定的报告、图纸、数据库等全部内容。</w:t>
            </w:r>
          </w:p>
          <w:p w14:paraId="12A3EBFA">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知识产权要求：成果署名权归中标人，版权、使用权等归采购人，无侵权风险。</w:t>
            </w:r>
          </w:p>
          <w:p w14:paraId="2F0B6C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（2）验收流程</w:t>
            </w:r>
          </w:p>
          <w:p w14:paraId="34593F59">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成果提交：中标人按合同约定提交纸质、电子等形式的成果文件。</w:t>
            </w:r>
          </w:p>
          <w:p w14:paraId="439306B0">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阶段性验收：采购人收到阶段成果后7个工作日内反馈审核意见，10个工作日内组织验收，合格出具《阶段性验收报告》，不合格书面通知整改。</w:t>
            </w:r>
          </w:p>
          <w:p w14:paraId="4AF77B70">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最终验收：收到全套最终成果后</w:t>
            </w:r>
            <w:r>
              <w:rPr>
                <w:rFonts w:hint="eastAsia" w:cs="Times New Roman"/>
                <w:color w:val="auto"/>
                <w:kern w:val="2"/>
                <w:sz w:val="21"/>
                <w:szCs w:val="24"/>
                <w:highlight w:val="none"/>
                <w:lang w:val="en-US" w:eastAsia="zh-CN" w:bidi="ar-SA"/>
              </w:rPr>
              <w:t>15</w:t>
            </w:r>
            <w:r>
              <w:rPr>
                <w:rFonts w:hint="eastAsia" w:ascii="Times New Roman" w:hAnsi="Times New Roman" w:eastAsia="宋体" w:cs="Times New Roman"/>
                <w:color w:val="auto"/>
                <w:kern w:val="2"/>
                <w:sz w:val="21"/>
                <w:szCs w:val="24"/>
                <w:highlight w:val="none"/>
                <w:lang w:val="en-US" w:eastAsia="zh-CN" w:bidi="ar-SA"/>
              </w:rPr>
              <w:t>个工作日内组织专家评审，合格出具《最终验收报告》；不合格需在</w:t>
            </w:r>
            <w:r>
              <w:rPr>
                <w:rFonts w:hint="eastAsia" w:cs="Times New Roman"/>
                <w:color w:val="auto"/>
                <w:kern w:val="2"/>
                <w:sz w:val="21"/>
                <w:szCs w:val="24"/>
                <w:highlight w:val="none"/>
                <w:lang w:val="en-US" w:eastAsia="zh-CN" w:bidi="ar-SA"/>
              </w:rPr>
              <w:t>15</w:t>
            </w:r>
            <w:r>
              <w:rPr>
                <w:rFonts w:hint="eastAsia" w:ascii="Times New Roman" w:hAnsi="Times New Roman" w:eastAsia="宋体" w:cs="Times New Roman"/>
                <w:color w:val="auto"/>
                <w:kern w:val="2"/>
                <w:sz w:val="21"/>
                <w:szCs w:val="24"/>
                <w:highlight w:val="none"/>
                <w:lang w:val="en-US" w:eastAsia="zh-CN" w:bidi="ar-SA"/>
              </w:rPr>
              <w:t>个工作日内整改并重新申请验收。</w:t>
            </w:r>
          </w:p>
          <w:p w14:paraId="4499476E">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整改要求：阶段性验收整改期限≤</w:t>
            </w:r>
            <w:r>
              <w:rPr>
                <w:rFonts w:hint="eastAsia" w:cs="Times New Roman"/>
                <w:color w:val="auto"/>
                <w:kern w:val="2"/>
                <w:sz w:val="21"/>
                <w:szCs w:val="24"/>
                <w:highlight w:val="none"/>
                <w:lang w:val="en-US" w:eastAsia="zh-CN" w:bidi="ar-SA"/>
              </w:rPr>
              <w:t>10</w:t>
            </w:r>
            <w:r>
              <w:rPr>
                <w:rFonts w:hint="eastAsia" w:ascii="Times New Roman" w:hAnsi="Times New Roman" w:eastAsia="宋体" w:cs="Times New Roman"/>
                <w:color w:val="auto"/>
                <w:kern w:val="2"/>
                <w:sz w:val="21"/>
                <w:szCs w:val="24"/>
                <w:highlight w:val="none"/>
                <w:lang w:val="en-US" w:eastAsia="zh-CN" w:bidi="ar-SA"/>
              </w:rPr>
              <w:t>个工作日，最终验收整改期限≤15个工作日，逾期按逾期提交成果处理。</w:t>
            </w:r>
          </w:p>
          <w:p w14:paraId="00F5178B">
            <w:pPr>
              <w:pStyle w:val="2"/>
              <w:jc w:val="center"/>
              <w:rPr>
                <w:rFonts w:hint="eastAsia"/>
                <w:highlight w:val="none"/>
                <w:lang w:val="en-US" w:eastAsia="zh-CN"/>
              </w:rPr>
            </w:pPr>
            <w:r>
              <w:rPr>
                <w:rFonts w:ascii="宋体" w:hAnsi="宋体" w:eastAsia="宋体" w:cs="宋体"/>
                <w:sz w:val="24"/>
                <w:szCs w:val="24"/>
                <w:highlight w:val="none"/>
              </w:rPr>
              <w:t>验收标准与流程对照表</w:t>
            </w:r>
            <w:r>
              <w:rPr>
                <w:rFonts w:hint="eastAsia" w:ascii="宋体" w:hAnsi="宋体" w:eastAsia="宋体" w:cs="宋体"/>
                <w:sz w:val="24"/>
                <w:szCs w:val="24"/>
                <w:highlight w:val="none"/>
                <w:lang w:eastAsia="zh-CN"/>
              </w:rPr>
              <w:t>：</w:t>
            </w:r>
          </w:p>
          <w:tbl>
            <w:tblPr>
              <w:tblStyle w:val="46"/>
              <w:tblW w:w="4854"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
              <w:gridCol w:w="1055"/>
              <w:gridCol w:w="4"/>
              <w:gridCol w:w="3279"/>
              <w:gridCol w:w="4"/>
              <w:gridCol w:w="1938"/>
              <w:gridCol w:w="4"/>
              <w:gridCol w:w="681"/>
              <w:gridCol w:w="5"/>
            </w:tblGrid>
            <w:tr w14:paraId="0F8E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 w:type="pct"/>
                <w:trHeight w:val="270" w:hRule="atLeast"/>
              </w:trPr>
              <w:tc>
                <w:tcPr>
                  <w:tcW w:w="759" w:type="pct"/>
                  <w:gridSpan w:val="2"/>
                  <w:shd w:val="clear" w:color="auto" w:fill="auto"/>
                  <w:vAlign w:val="center"/>
                </w:tcPr>
                <w:p w14:paraId="5B1BAA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验收环节</w:t>
                  </w:r>
                </w:p>
              </w:tc>
              <w:tc>
                <w:tcPr>
                  <w:tcW w:w="2353" w:type="pct"/>
                  <w:gridSpan w:val="2"/>
                  <w:shd w:val="clear" w:color="auto" w:fill="auto"/>
                  <w:vAlign w:val="center"/>
                </w:tcPr>
                <w:p w14:paraId="27C2FC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具体要求</w:t>
                  </w:r>
                </w:p>
              </w:tc>
              <w:tc>
                <w:tcPr>
                  <w:tcW w:w="1392" w:type="pct"/>
                  <w:gridSpan w:val="2"/>
                  <w:shd w:val="clear" w:color="auto" w:fill="auto"/>
                  <w:vAlign w:val="center"/>
                </w:tcPr>
                <w:p w14:paraId="531D41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时间节点</w:t>
                  </w:r>
                </w:p>
              </w:tc>
              <w:tc>
                <w:tcPr>
                  <w:tcW w:w="491" w:type="pct"/>
                  <w:gridSpan w:val="2"/>
                  <w:shd w:val="clear" w:color="auto" w:fill="auto"/>
                  <w:vAlign w:val="center"/>
                </w:tcPr>
                <w:p w14:paraId="28C464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DEE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5" w:hRule="atLeast"/>
              </w:trPr>
              <w:tc>
                <w:tcPr>
                  <w:tcW w:w="759" w:type="pct"/>
                  <w:gridSpan w:val="2"/>
                  <w:shd w:val="clear" w:color="auto" w:fill="auto"/>
                  <w:vAlign w:val="center"/>
                </w:tcPr>
                <w:p w14:paraId="739928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成果提交要求</w:t>
                  </w:r>
                </w:p>
              </w:tc>
              <w:tc>
                <w:tcPr>
                  <w:tcW w:w="2353" w:type="pct"/>
                  <w:gridSpan w:val="2"/>
                  <w:shd w:val="clear" w:color="auto" w:fill="auto"/>
                  <w:vAlign w:val="center"/>
                </w:tcPr>
                <w:p w14:paraId="0B3D16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1.成果形式：含纸质报告、图纸、电子成果（如数据库、SHP格式文件等），按各子项要求完整提供；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2.成果完整性：无缺项、漏项，覆盖41项服务对应的全部报告、图件、数据等；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3.质量合规性：通过“两级检查一级验收”，符合《测绘成果质量检查与验收》GB/T24356-2009，关键数据误差在规范限差内，无错别字；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4.知识产权：署名权归中标人，版权、使用权等归采购人，无侵权风险；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5.保密要求：涉密成果加密并标注“涉密”，无信息泄露。</w:t>
                  </w:r>
                </w:p>
              </w:tc>
              <w:tc>
                <w:tcPr>
                  <w:tcW w:w="1392" w:type="pct"/>
                  <w:gridSpan w:val="2"/>
                  <w:shd w:val="clear" w:color="auto" w:fill="auto"/>
                  <w:vAlign w:val="center"/>
                </w:tcPr>
                <w:p w14:paraId="490828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合同履行期内（自签订之日起12个月，政策调整可顺延超过30个工作日）</w:t>
                  </w:r>
                </w:p>
              </w:tc>
              <w:tc>
                <w:tcPr>
                  <w:tcW w:w="491" w:type="pct"/>
                  <w:gridSpan w:val="2"/>
                  <w:shd w:val="clear" w:color="auto" w:fill="auto"/>
                  <w:vAlign w:val="center"/>
                </w:tcPr>
                <w:p w14:paraId="7951D54A">
                  <w:pPr>
                    <w:rPr>
                      <w:rFonts w:hint="eastAsia" w:ascii="宋体" w:hAnsi="宋体" w:eastAsia="宋体" w:cs="宋体"/>
                      <w:i w:val="0"/>
                      <w:iCs w:val="0"/>
                      <w:color w:val="000000"/>
                      <w:sz w:val="22"/>
                      <w:szCs w:val="22"/>
                      <w:highlight w:val="none"/>
                      <w:u w:val="none"/>
                    </w:rPr>
                  </w:pPr>
                </w:p>
              </w:tc>
            </w:tr>
            <w:tr w14:paraId="31D2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080" w:hRule="atLeast"/>
              </w:trPr>
              <w:tc>
                <w:tcPr>
                  <w:tcW w:w="759" w:type="pct"/>
                  <w:gridSpan w:val="2"/>
                  <w:shd w:val="clear" w:color="auto" w:fill="auto"/>
                  <w:vAlign w:val="center"/>
                </w:tcPr>
                <w:p w14:paraId="71CCEA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阶段性验收</w:t>
                  </w:r>
                </w:p>
              </w:tc>
              <w:tc>
                <w:tcPr>
                  <w:tcW w:w="2353" w:type="pct"/>
                  <w:gridSpan w:val="2"/>
                  <w:shd w:val="clear" w:color="auto" w:fill="auto"/>
                  <w:vAlign w:val="center"/>
                </w:tcPr>
                <w:p w14:paraId="39AE5E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1.中标人提交阶段成果后，采购人组织验收；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2.验收合格：出具《阶段性验收报告》；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3.验收不合格：书面通知中标人整改，整改内容需针对性回应验收意见。</w:t>
                  </w:r>
                </w:p>
              </w:tc>
              <w:tc>
                <w:tcPr>
                  <w:tcW w:w="1392" w:type="pct"/>
                  <w:gridSpan w:val="2"/>
                  <w:shd w:val="clear" w:color="auto" w:fill="auto"/>
                  <w:vAlign w:val="center"/>
                </w:tcPr>
                <w:p w14:paraId="18F740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1.采购人收到阶段成果后7个工作日内出具审核反馈；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2.收到成果后10个工作日内组织验收；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3.整改时限≤7个工作日。</w:t>
                  </w:r>
                </w:p>
              </w:tc>
              <w:tc>
                <w:tcPr>
                  <w:tcW w:w="491" w:type="pct"/>
                  <w:gridSpan w:val="2"/>
                  <w:shd w:val="clear" w:color="auto" w:fill="auto"/>
                  <w:vAlign w:val="center"/>
                </w:tcPr>
                <w:p w14:paraId="467C28D8">
                  <w:pPr>
                    <w:rPr>
                      <w:rFonts w:hint="eastAsia" w:ascii="宋体" w:hAnsi="宋体" w:eastAsia="宋体" w:cs="宋体"/>
                      <w:i w:val="0"/>
                      <w:iCs w:val="0"/>
                      <w:color w:val="000000"/>
                      <w:sz w:val="22"/>
                      <w:szCs w:val="22"/>
                      <w:highlight w:val="none"/>
                      <w:u w:val="none"/>
                    </w:rPr>
                  </w:pPr>
                </w:p>
              </w:tc>
            </w:tr>
            <w:tr w14:paraId="1E89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350" w:hRule="atLeast"/>
              </w:trPr>
              <w:tc>
                <w:tcPr>
                  <w:tcW w:w="759" w:type="pct"/>
                  <w:gridSpan w:val="2"/>
                  <w:shd w:val="clear" w:color="auto" w:fill="auto"/>
                  <w:vAlign w:val="center"/>
                </w:tcPr>
                <w:p w14:paraId="29B46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最终验收</w:t>
                  </w:r>
                </w:p>
              </w:tc>
              <w:tc>
                <w:tcPr>
                  <w:tcW w:w="2353" w:type="pct"/>
                  <w:gridSpan w:val="2"/>
                  <w:shd w:val="clear" w:color="auto" w:fill="auto"/>
                  <w:vAlign w:val="center"/>
                </w:tcPr>
                <w:p w14:paraId="4218C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1.中标人提交全套最终成果后，采购人组织专家评审；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2.验收合格：出具《最终验收报告》；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3.验收不合格：中标人需按要求整改后重新申请验收。</w:t>
                  </w:r>
                </w:p>
              </w:tc>
              <w:tc>
                <w:tcPr>
                  <w:tcW w:w="1392" w:type="pct"/>
                  <w:gridSpan w:val="2"/>
                  <w:shd w:val="clear" w:color="auto" w:fill="auto"/>
                  <w:vAlign w:val="center"/>
                </w:tcPr>
                <w:p w14:paraId="1A925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1.收到全套最终成果后15个工作日内组织专家评审；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2.整改时限≤15个工作日。</w:t>
                  </w:r>
                </w:p>
              </w:tc>
              <w:tc>
                <w:tcPr>
                  <w:tcW w:w="491" w:type="pct"/>
                  <w:gridSpan w:val="2"/>
                  <w:shd w:val="clear" w:color="auto" w:fill="auto"/>
                  <w:vAlign w:val="center"/>
                </w:tcPr>
                <w:p w14:paraId="56B2D333">
                  <w:pPr>
                    <w:rPr>
                      <w:rFonts w:hint="eastAsia" w:ascii="宋体" w:hAnsi="宋体" w:eastAsia="宋体" w:cs="宋体"/>
                      <w:i w:val="0"/>
                      <w:iCs w:val="0"/>
                      <w:color w:val="000000"/>
                      <w:sz w:val="22"/>
                      <w:szCs w:val="22"/>
                      <w:u w:val="none"/>
                    </w:rPr>
                  </w:pPr>
                </w:p>
              </w:tc>
            </w:tr>
            <w:tr w14:paraId="20B7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160" w:hRule="atLeast"/>
              </w:trPr>
              <w:tc>
                <w:tcPr>
                  <w:tcW w:w="759" w:type="pct"/>
                  <w:gridSpan w:val="2"/>
                  <w:shd w:val="clear" w:color="auto" w:fill="auto"/>
                  <w:vAlign w:val="center"/>
                </w:tcPr>
                <w:p w14:paraId="094F9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异常低价项目专项验收</w:t>
                  </w:r>
                </w:p>
              </w:tc>
              <w:tc>
                <w:tcPr>
                  <w:tcW w:w="2353" w:type="pct"/>
                  <w:gridSpan w:val="2"/>
                  <w:shd w:val="clear" w:color="auto" w:fill="auto"/>
                  <w:vAlign w:val="center"/>
                </w:tcPr>
                <w:p w14:paraId="1F96E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1.按服务子项分阶段验收，每阶段验收合格后支付对应子项80%进度款；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2.履约中发现质量不达标（如外业核查遗漏、数据误差超规范），采购人暂停付款并要求限期整改；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3.整改后仍不达标：采购人可解除合同，要求中标人支付子项合同价20%违约金并赔偿直接损失。</w:t>
                  </w:r>
                </w:p>
              </w:tc>
              <w:tc>
                <w:tcPr>
                  <w:tcW w:w="1392" w:type="pct"/>
                  <w:gridSpan w:val="2"/>
                  <w:shd w:val="clear" w:color="auto" w:fill="auto"/>
                  <w:vAlign w:val="center"/>
                </w:tcPr>
                <w:p w14:paraId="78743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与阶段性验收、最终验收同步，整改时限同对应验收阶段要求</w:t>
                  </w:r>
                </w:p>
              </w:tc>
              <w:tc>
                <w:tcPr>
                  <w:tcW w:w="491" w:type="pct"/>
                  <w:gridSpan w:val="2"/>
                  <w:shd w:val="clear" w:color="auto" w:fill="auto"/>
                  <w:vAlign w:val="center"/>
                </w:tcPr>
                <w:p w14:paraId="7DA3634B">
                  <w:pPr>
                    <w:rPr>
                      <w:rFonts w:hint="eastAsia" w:ascii="宋体" w:hAnsi="宋体" w:eastAsia="宋体" w:cs="宋体"/>
                      <w:i w:val="0"/>
                      <w:iCs w:val="0"/>
                      <w:color w:val="000000"/>
                      <w:sz w:val="22"/>
                      <w:szCs w:val="22"/>
                      <w:u w:val="none"/>
                    </w:rPr>
                  </w:pPr>
                </w:p>
              </w:tc>
            </w:tr>
            <w:tr w14:paraId="478C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620" w:hRule="atLeast"/>
              </w:trPr>
              <w:tc>
                <w:tcPr>
                  <w:tcW w:w="759" w:type="pct"/>
                  <w:gridSpan w:val="2"/>
                  <w:shd w:val="clear" w:color="auto" w:fill="auto"/>
                  <w:vAlign w:val="center"/>
                </w:tcPr>
                <w:p w14:paraId="2422E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验收结果应用</w:t>
                  </w:r>
                </w:p>
              </w:tc>
              <w:tc>
                <w:tcPr>
                  <w:tcW w:w="2353" w:type="pct"/>
                  <w:gridSpan w:val="2"/>
                  <w:shd w:val="clear" w:color="auto" w:fill="auto"/>
                  <w:vAlign w:val="center"/>
                </w:tcPr>
                <w:p w14:paraId="154B2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1.阶段性验收合格：支付对应子项80%进度款；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2.最终验收合格：支付至子项合同价款100%；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3.逾期未完成整改：按逾期提交成果处理（逾期≤15天按子项合同价0.2%/天付违约金，逾期＞30天采购人可终止合同）。</w:t>
                  </w:r>
                </w:p>
              </w:tc>
              <w:tc>
                <w:tcPr>
                  <w:tcW w:w="1392" w:type="pct"/>
                  <w:gridSpan w:val="2"/>
                  <w:shd w:val="clear" w:color="auto" w:fill="auto"/>
                  <w:vAlign w:val="center"/>
                </w:tcPr>
                <w:p w14:paraId="68EE0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1.阶段性验收合格后，中标人开具等额发票，采购人10个工作日内付款；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2.最终验收合格后，中标人开具全额发票，采购人10个工作日内付款。</w:t>
                  </w:r>
                </w:p>
              </w:tc>
              <w:tc>
                <w:tcPr>
                  <w:tcW w:w="491" w:type="pct"/>
                  <w:gridSpan w:val="2"/>
                  <w:shd w:val="clear" w:color="auto" w:fill="auto"/>
                  <w:vAlign w:val="center"/>
                </w:tcPr>
                <w:p w14:paraId="0CFE143C">
                  <w:pPr>
                    <w:rPr>
                      <w:rFonts w:hint="eastAsia" w:ascii="宋体" w:hAnsi="宋体" w:eastAsia="宋体" w:cs="宋体"/>
                      <w:i w:val="0"/>
                      <w:iCs w:val="0"/>
                      <w:color w:val="000000"/>
                      <w:sz w:val="22"/>
                      <w:szCs w:val="22"/>
                      <w:u w:val="none"/>
                    </w:rPr>
                  </w:pPr>
                </w:p>
              </w:tc>
            </w:tr>
          </w:tbl>
          <w:p w14:paraId="79C21C25">
            <w:pPr>
              <w:pStyle w:val="2"/>
              <w:rPr>
                <w:rFonts w:hint="eastAsia"/>
                <w:lang w:val="en-US" w:eastAsia="zh-CN"/>
              </w:rPr>
            </w:pPr>
          </w:p>
        </w:tc>
      </w:tr>
    </w:tbl>
    <w:p w14:paraId="4F1B5EAE"/>
    <w:p w14:paraId="56C22322">
      <w:pPr>
        <w:rPr>
          <w:rFonts w:ascii="宋体" w:hAnsi="宋体" w:cs="宋体"/>
          <w:sz w:val="24"/>
          <w:szCs w:val="36"/>
        </w:rPr>
      </w:pPr>
    </w:p>
    <w:p w14:paraId="6A7EF0CD">
      <w:pPr>
        <w:rPr>
          <w:rFonts w:ascii="宋体" w:hAnsi="宋体" w:cs="宋体"/>
          <w:sz w:val="24"/>
          <w:szCs w:val="36"/>
        </w:rPr>
        <w:sectPr>
          <w:pgSz w:w="11906" w:h="16838"/>
          <w:pgMar w:top="1134" w:right="1247" w:bottom="1560" w:left="1247" w:header="851" w:footer="992" w:gutter="0"/>
          <w:cols w:space="720" w:num="1"/>
          <w:titlePg/>
          <w:docGrid w:linePitch="312" w:charSpace="0"/>
        </w:sectPr>
      </w:pPr>
      <w:r>
        <w:rPr>
          <w:rFonts w:ascii="宋体" w:hAnsi="宋体" w:cs="宋体"/>
          <w:sz w:val="24"/>
          <w:szCs w:val="36"/>
        </w:rPr>
        <w:br w:type="page"/>
      </w:r>
    </w:p>
    <w:p w14:paraId="53C8D022">
      <w:pPr>
        <w:pStyle w:val="126"/>
        <w:rPr>
          <w:rFonts w:ascii="宋体" w:hAnsi="宋体" w:eastAsia="宋体" w:cs="宋体"/>
          <w:sz w:val="32"/>
          <w:szCs w:val="32"/>
        </w:rPr>
      </w:pPr>
      <w:r>
        <w:rPr>
          <w:rFonts w:hint="eastAsia" w:ascii="宋体" w:hAnsi="宋体" w:eastAsia="宋体" w:cs="宋体"/>
          <w:sz w:val="32"/>
          <w:szCs w:val="32"/>
        </w:rPr>
        <w:t>附件：</w:t>
      </w:r>
    </w:p>
    <w:p w14:paraId="7FD2125E">
      <w:pPr>
        <w:pStyle w:val="125"/>
        <w:jc w:val="center"/>
        <w:rPr>
          <w:b/>
          <w:bCs/>
          <w:sz w:val="24"/>
          <w:szCs w:val="32"/>
        </w:rPr>
      </w:pPr>
      <w:r>
        <w:rPr>
          <w:rFonts w:hint="eastAsia"/>
          <w:b/>
          <w:bCs/>
          <w:sz w:val="24"/>
          <w:szCs w:val="32"/>
        </w:rPr>
        <w:t>关于印发中小企业划型标准规定的通知（工信部联企业〔2011〕300号）</w:t>
      </w:r>
    </w:p>
    <w:p w14:paraId="6E3342DE">
      <w:pPr>
        <w:pStyle w:val="126"/>
      </w:pPr>
    </w:p>
    <w:p w14:paraId="639DC90A">
      <w:pPr>
        <w:pStyle w:val="125"/>
        <w:spacing w:line="360" w:lineRule="auto"/>
        <w:jc w:val="center"/>
        <w:rPr>
          <w:rFonts w:ascii="宋体" w:hAnsi="宋体" w:cs="宋体"/>
          <w:szCs w:val="21"/>
        </w:rPr>
      </w:pPr>
      <w:r>
        <w:rPr>
          <w:rFonts w:hint="eastAsia" w:ascii="宋体" w:hAnsi="宋体" w:cs="宋体"/>
          <w:szCs w:val="21"/>
        </w:rPr>
        <w:t>关于印发中小企业划型标准规定的通知</w:t>
      </w:r>
    </w:p>
    <w:p w14:paraId="12EB38F8">
      <w:pPr>
        <w:pStyle w:val="125"/>
        <w:spacing w:line="360" w:lineRule="auto"/>
        <w:rPr>
          <w:rFonts w:ascii="宋体" w:hAnsi="宋体" w:cs="宋体"/>
          <w:szCs w:val="21"/>
        </w:rPr>
      </w:pPr>
      <w:r>
        <w:rPr>
          <w:rFonts w:hint="eastAsia" w:ascii="宋体" w:hAnsi="宋体" w:cs="宋体"/>
          <w:szCs w:val="21"/>
        </w:rPr>
        <w:t>工信部联企业〔2011〕300号各省、自治区、直辖市人民政府，国务院各部委、各直属机构及有关单位：</w:t>
      </w:r>
    </w:p>
    <w:p w14:paraId="36D6C7EA">
      <w:pPr>
        <w:pStyle w:val="125"/>
        <w:spacing w:line="360" w:lineRule="auto"/>
        <w:rPr>
          <w:rFonts w:ascii="宋体" w:hAnsi="宋体" w:cs="宋体"/>
          <w:szCs w:val="21"/>
        </w:rPr>
      </w:pPr>
      <w:r>
        <w:rPr>
          <w:rFonts w:hint="eastAsia" w:ascii="宋体" w:hAnsi="宋体" w:cs="宋体"/>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D5DD55D">
      <w:pPr>
        <w:pStyle w:val="125"/>
        <w:spacing w:line="360" w:lineRule="auto"/>
        <w:rPr>
          <w:rFonts w:ascii="宋体" w:hAnsi="宋体" w:cs="宋体"/>
          <w:szCs w:val="21"/>
        </w:rPr>
      </w:pPr>
      <w:r>
        <w:rPr>
          <w:rFonts w:hint="eastAsia" w:ascii="宋体" w:hAnsi="宋体" w:cs="宋体"/>
          <w:szCs w:val="21"/>
        </w:rPr>
        <w:t>　　　　　　　　　　　　　　　　　　　　　　工业和信息化部　国家统计局</w:t>
      </w:r>
    </w:p>
    <w:p w14:paraId="634FD430">
      <w:pPr>
        <w:pStyle w:val="125"/>
        <w:spacing w:line="360" w:lineRule="auto"/>
        <w:rPr>
          <w:rFonts w:ascii="宋体" w:hAnsi="宋体" w:cs="宋体"/>
          <w:szCs w:val="21"/>
        </w:rPr>
      </w:pPr>
      <w:r>
        <w:rPr>
          <w:rFonts w:hint="eastAsia" w:ascii="宋体" w:hAnsi="宋体" w:cs="宋体"/>
          <w:szCs w:val="21"/>
        </w:rPr>
        <w:t>　　　　　　　　　　　　　　　　　　　　　　国家发展和改革委员会　财政部</w:t>
      </w:r>
    </w:p>
    <w:p w14:paraId="209193F6">
      <w:pPr>
        <w:pStyle w:val="125"/>
        <w:spacing w:line="360" w:lineRule="auto"/>
        <w:rPr>
          <w:rFonts w:ascii="宋体" w:hAnsi="宋体" w:cs="宋体"/>
          <w:szCs w:val="21"/>
        </w:rPr>
      </w:pPr>
      <w:r>
        <w:rPr>
          <w:rFonts w:hint="eastAsia" w:ascii="宋体" w:hAnsi="宋体" w:cs="宋体"/>
          <w:szCs w:val="21"/>
        </w:rPr>
        <w:t>　　　　　　　　　　　　　　　　　　　　　　　　二〇一一年六月十八日中小企业划型标准规定　　一、根据《中华人民共和国中小企业促进法》和《国务院关于进一步促进中小企业发展的若干意见》（国发〔2009〕36号），制定本规定。</w:t>
      </w:r>
    </w:p>
    <w:p w14:paraId="17477932">
      <w:pPr>
        <w:pStyle w:val="125"/>
        <w:spacing w:line="360" w:lineRule="auto"/>
        <w:rPr>
          <w:rFonts w:ascii="宋体" w:hAnsi="宋体" w:cs="宋体"/>
          <w:szCs w:val="21"/>
        </w:rPr>
      </w:pPr>
      <w:r>
        <w:rPr>
          <w:rFonts w:hint="eastAsia" w:ascii="宋体" w:hAnsi="宋体" w:cs="宋体"/>
          <w:szCs w:val="21"/>
        </w:rPr>
        <w:t>　　二、中小企业划分为中型、小型、微型三种类型，具体标准根据企业从业人员、营业收入、资产总额等指标，结合行业特点制定。</w:t>
      </w:r>
    </w:p>
    <w:p w14:paraId="735B442B">
      <w:pPr>
        <w:pStyle w:val="125"/>
        <w:spacing w:line="360" w:lineRule="auto"/>
        <w:rPr>
          <w:rFonts w:ascii="宋体" w:hAnsi="宋体" w:cs="宋体"/>
          <w:szCs w:val="21"/>
        </w:rPr>
      </w:pPr>
      <w:r>
        <w:rPr>
          <w:rFonts w:hint="eastAsia" w:ascii="宋体" w:hAnsi="宋体" w:cs="宋体"/>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8EBBD9">
      <w:pPr>
        <w:pStyle w:val="125"/>
        <w:spacing w:line="360" w:lineRule="auto"/>
        <w:rPr>
          <w:rFonts w:ascii="宋体" w:hAnsi="宋体" w:cs="宋体"/>
          <w:szCs w:val="21"/>
        </w:rPr>
      </w:pPr>
      <w:r>
        <w:rPr>
          <w:rFonts w:hint="eastAsia" w:ascii="宋体" w:hAnsi="宋体" w:cs="宋体"/>
          <w:szCs w:val="21"/>
        </w:rPr>
        <w:t>　　四、各行业划型标准为：</w:t>
      </w:r>
    </w:p>
    <w:p w14:paraId="2B00AF88">
      <w:pPr>
        <w:pStyle w:val="125"/>
        <w:spacing w:line="360" w:lineRule="auto"/>
        <w:rPr>
          <w:rFonts w:ascii="宋体" w:hAnsi="宋体" w:cs="宋体"/>
          <w:szCs w:val="21"/>
        </w:rPr>
      </w:pPr>
      <w:r>
        <w:rPr>
          <w:rFonts w:hint="eastAsia" w:ascii="宋体" w:hAnsi="宋体" w:cs="宋体"/>
          <w:szCs w:val="21"/>
        </w:rPr>
        <w:t>　　（一）农、林、牧、渔业。营业收入20000万元以下的为中小微型企业。其中，营业收入500万元及以上的为中型企业，营业收入50万元及以上的为小型企业，营业收入50万元以下的为微型企业。</w:t>
      </w:r>
    </w:p>
    <w:p w14:paraId="24704C2D">
      <w:pPr>
        <w:pStyle w:val="125"/>
        <w:spacing w:line="360" w:lineRule="auto"/>
        <w:rPr>
          <w:rFonts w:ascii="宋体" w:hAnsi="宋体" w:cs="宋体"/>
          <w:szCs w:val="21"/>
        </w:rPr>
      </w:pPr>
      <w:r>
        <w:rPr>
          <w:rFonts w:hint="eastAsia" w:ascii="宋体" w:hAnsi="宋体" w:cs="宋体"/>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958179E">
      <w:pPr>
        <w:pStyle w:val="125"/>
        <w:spacing w:line="360" w:lineRule="auto"/>
        <w:rPr>
          <w:rFonts w:ascii="宋体" w:hAnsi="宋体" w:cs="宋体"/>
          <w:szCs w:val="21"/>
        </w:rPr>
      </w:pPr>
      <w:r>
        <w:rPr>
          <w:rFonts w:hint="eastAsia" w:ascii="宋体" w:hAnsi="宋体" w:cs="宋体"/>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4C28AE7">
      <w:pPr>
        <w:pStyle w:val="125"/>
        <w:spacing w:line="360" w:lineRule="auto"/>
        <w:rPr>
          <w:rFonts w:ascii="宋体" w:hAnsi="宋体" w:cs="宋体"/>
          <w:szCs w:val="21"/>
        </w:rPr>
      </w:pPr>
      <w:r>
        <w:rPr>
          <w:rFonts w:hint="eastAsia" w:ascii="宋体" w:hAnsi="宋体" w:cs="宋体"/>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05191EC">
      <w:pPr>
        <w:pStyle w:val="125"/>
        <w:spacing w:line="360" w:lineRule="auto"/>
        <w:rPr>
          <w:rFonts w:ascii="宋体" w:hAnsi="宋体" w:cs="宋体"/>
          <w:szCs w:val="21"/>
        </w:rPr>
      </w:pPr>
      <w:r>
        <w:rPr>
          <w:rFonts w:hint="eastAsia" w:ascii="宋体" w:hAnsi="宋体" w:cs="宋体"/>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F269A20">
      <w:pPr>
        <w:pStyle w:val="125"/>
        <w:spacing w:line="360" w:lineRule="auto"/>
        <w:rPr>
          <w:rFonts w:ascii="宋体" w:hAnsi="宋体" w:cs="宋体"/>
          <w:szCs w:val="21"/>
        </w:rPr>
      </w:pPr>
      <w:r>
        <w:rPr>
          <w:rFonts w:hint="eastAsia" w:ascii="宋体" w:hAnsi="宋体" w:cs="宋体"/>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47B734">
      <w:pPr>
        <w:pStyle w:val="125"/>
        <w:spacing w:line="360" w:lineRule="auto"/>
        <w:rPr>
          <w:rFonts w:ascii="宋体" w:hAnsi="宋体" w:cs="宋体"/>
          <w:szCs w:val="21"/>
        </w:rPr>
      </w:pPr>
      <w:r>
        <w:rPr>
          <w:rFonts w:hint="eastAsia" w:ascii="宋体" w:hAnsi="宋体" w:cs="宋体"/>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3BD2DDF">
      <w:pPr>
        <w:pStyle w:val="125"/>
        <w:spacing w:line="360" w:lineRule="auto"/>
        <w:rPr>
          <w:rFonts w:ascii="宋体" w:hAnsi="宋体" w:cs="宋体"/>
          <w:szCs w:val="21"/>
        </w:rPr>
      </w:pPr>
      <w:r>
        <w:rPr>
          <w:rFonts w:hint="eastAsia" w:ascii="宋体" w:hAnsi="宋体" w:cs="宋体"/>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814C457">
      <w:pPr>
        <w:pStyle w:val="125"/>
        <w:spacing w:line="360" w:lineRule="auto"/>
        <w:rPr>
          <w:rFonts w:ascii="宋体" w:hAnsi="宋体" w:cs="宋体"/>
          <w:szCs w:val="21"/>
        </w:rPr>
      </w:pPr>
      <w:r>
        <w:rPr>
          <w:rFonts w:hint="eastAsia" w:ascii="宋体" w:hAnsi="宋体" w:cs="宋体"/>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BFB191">
      <w:pPr>
        <w:pStyle w:val="125"/>
        <w:spacing w:line="360" w:lineRule="auto"/>
        <w:rPr>
          <w:rFonts w:ascii="宋体" w:hAnsi="宋体" w:cs="宋体"/>
          <w:szCs w:val="21"/>
        </w:rPr>
      </w:pPr>
      <w:r>
        <w:rPr>
          <w:rFonts w:hint="eastAsia" w:ascii="宋体" w:hAnsi="宋体" w:cs="宋体"/>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BE8BB16">
      <w:pPr>
        <w:pStyle w:val="125"/>
        <w:spacing w:line="360" w:lineRule="auto"/>
        <w:rPr>
          <w:rFonts w:ascii="宋体" w:hAnsi="宋体" w:cs="宋体"/>
          <w:szCs w:val="21"/>
        </w:rPr>
      </w:pPr>
      <w:r>
        <w:rPr>
          <w:rFonts w:hint="eastAsia" w:ascii="宋体" w:hAnsi="宋体" w:cs="宋体"/>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2FA7FF">
      <w:pPr>
        <w:pStyle w:val="125"/>
        <w:spacing w:line="360" w:lineRule="auto"/>
        <w:rPr>
          <w:rFonts w:ascii="宋体" w:hAnsi="宋体" w:cs="宋体"/>
          <w:szCs w:val="21"/>
        </w:rPr>
      </w:pPr>
      <w:r>
        <w:rPr>
          <w:rFonts w:hint="eastAsia" w:ascii="宋体" w:hAnsi="宋体" w:cs="宋体"/>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3CC526E">
      <w:pPr>
        <w:pStyle w:val="125"/>
        <w:spacing w:line="360" w:lineRule="auto"/>
        <w:rPr>
          <w:rFonts w:ascii="宋体" w:hAnsi="宋体" w:cs="宋体"/>
          <w:szCs w:val="21"/>
        </w:rPr>
      </w:pPr>
      <w:r>
        <w:rPr>
          <w:rFonts w:hint="eastAsia" w:ascii="宋体" w:hAnsi="宋体" w:cs="宋体"/>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7BA77D">
      <w:pPr>
        <w:pStyle w:val="125"/>
        <w:spacing w:line="360" w:lineRule="auto"/>
        <w:rPr>
          <w:rFonts w:ascii="宋体" w:hAnsi="宋体" w:cs="宋体"/>
          <w:szCs w:val="21"/>
        </w:rPr>
      </w:pPr>
      <w:r>
        <w:rPr>
          <w:rFonts w:hint="eastAsia" w:ascii="宋体" w:hAnsi="宋体" w:cs="宋体"/>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F7134E5">
      <w:pPr>
        <w:pStyle w:val="125"/>
        <w:spacing w:line="360" w:lineRule="auto"/>
        <w:rPr>
          <w:rFonts w:ascii="宋体" w:hAnsi="宋体" w:cs="宋体"/>
          <w:szCs w:val="21"/>
        </w:rPr>
      </w:pPr>
      <w:r>
        <w:rPr>
          <w:rFonts w:hint="eastAsia" w:ascii="宋体" w:hAnsi="宋体" w:cs="宋体"/>
          <w:szCs w:val="21"/>
        </w:rPr>
        <w:t>　　（十六）其他未列明行业。从业人员300人以下的为中小微型企业。其中，从业人员100人及以上的为中型企业；从业人员10人及以上的为小型企业；从业人员10人以下的为微型企业。</w:t>
      </w:r>
    </w:p>
    <w:p w14:paraId="1FB63208">
      <w:pPr>
        <w:pStyle w:val="125"/>
        <w:spacing w:line="360" w:lineRule="auto"/>
        <w:rPr>
          <w:rFonts w:ascii="宋体" w:hAnsi="宋体" w:cs="宋体"/>
          <w:szCs w:val="21"/>
        </w:rPr>
      </w:pPr>
      <w:r>
        <w:rPr>
          <w:rFonts w:hint="eastAsia" w:ascii="宋体" w:hAnsi="宋体" w:cs="宋体"/>
          <w:szCs w:val="21"/>
        </w:rPr>
        <w:t>　　五、企业类型的划分以统计部门的统计数据为依据。</w:t>
      </w:r>
    </w:p>
    <w:p w14:paraId="7CA4512C">
      <w:pPr>
        <w:pStyle w:val="125"/>
        <w:spacing w:line="360" w:lineRule="auto"/>
        <w:rPr>
          <w:rFonts w:ascii="宋体" w:hAnsi="宋体" w:cs="宋体"/>
          <w:szCs w:val="21"/>
        </w:rPr>
      </w:pPr>
      <w:r>
        <w:rPr>
          <w:rFonts w:hint="eastAsia" w:ascii="宋体" w:hAnsi="宋体" w:cs="宋体"/>
          <w:szCs w:val="21"/>
        </w:rPr>
        <w:t>　　六、本规定适用于在中华人民共和国境内依法设立的各类所有制和各种组织形式的企业。个体工商户和本规定以外的行业，参照本规定进行划型。</w:t>
      </w:r>
    </w:p>
    <w:p w14:paraId="106A4CCF">
      <w:pPr>
        <w:pStyle w:val="125"/>
        <w:spacing w:line="360" w:lineRule="auto"/>
        <w:rPr>
          <w:rFonts w:ascii="宋体" w:hAnsi="宋体" w:cs="宋体"/>
          <w:szCs w:val="21"/>
        </w:rPr>
      </w:pPr>
      <w:r>
        <w:rPr>
          <w:rFonts w:hint="eastAsia" w:ascii="宋体" w:hAnsi="宋体" w:cs="宋体"/>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42AEF04C">
      <w:pPr>
        <w:pStyle w:val="125"/>
        <w:spacing w:line="360" w:lineRule="auto"/>
        <w:rPr>
          <w:rFonts w:ascii="宋体" w:hAnsi="宋体" w:cs="宋体"/>
          <w:szCs w:val="21"/>
        </w:rPr>
      </w:pPr>
      <w:r>
        <w:rPr>
          <w:rFonts w:hint="eastAsia" w:ascii="宋体" w:hAnsi="宋体" w:cs="宋体"/>
          <w:szCs w:val="21"/>
        </w:rPr>
        <w:t>　　八、本规定由工业和信息化部、国家统计局会同有关部门根据《国民经济行业分类》修订情况和企业发展变化情况适时修订。</w:t>
      </w:r>
    </w:p>
    <w:p w14:paraId="40B632B5">
      <w:pPr>
        <w:pStyle w:val="125"/>
        <w:spacing w:line="360" w:lineRule="auto"/>
        <w:rPr>
          <w:rFonts w:ascii="宋体" w:hAnsi="宋体" w:cs="宋体"/>
          <w:szCs w:val="21"/>
        </w:rPr>
      </w:pPr>
      <w:r>
        <w:rPr>
          <w:rFonts w:hint="eastAsia" w:ascii="宋体" w:hAnsi="宋体" w:cs="宋体"/>
          <w:szCs w:val="21"/>
        </w:rPr>
        <w:t>　　九、本规定由工业和信息化部、国家统计局会同有关部门负责解释。</w:t>
      </w:r>
    </w:p>
    <w:p w14:paraId="6762A6D1">
      <w:pPr>
        <w:pStyle w:val="125"/>
        <w:spacing w:line="360" w:lineRule="auto"/>
        <w:ind w:firstLine="420" w:firstLineChars="200"/>
        <w:rPr>
          <w:rFonts w:ascii="宋体" w:hAnsi="宋体" w:cs="宋体"/>
          <w:szCs w:val="21"/>
        </w:rPr>
      </w:pPr>
      <w:r>
        <w:rPr>
          <w:rFonts w:hint="eastAsia" w:ascii="宋体" w:hAnsi="宋体" w:cs="宋体"/>
          <w:szCs w:val="21"/>
        </w:rPr>
        <w:t>十、本规定自发布之日起执行，原国家经贸委、原国家计委、财政部和国家统计局2003年颁布的《中小企业标准暂行规定》同时废止。</w:t>
      </w:r>
    </w:p>
    <w:p w14:paraId="65AFF301">
      <w:pPr>
        <w:pStyle w:val="125"/>
        <w:spacing w:line="360" w:lineRule="auto"/>
        <w:rPr>
          <w:rFonts w:ascii="宋体" w:hAnsi="宋体" w:cs="宋体"/>
          <w:szCs w:val="21"/>
        </w:rPr>
      </w:pPr>
    </w:p>
    <w:p w14:paraId="39675707">
      <w:pPr>
        <w:pStyle w:val="133"/>
      </w:pPr>
    </w:p>
    <w:p w14:paraId="3CC44E3D">
      <w:pPr>
        <w:pStyle w:val="125"/>
      </w:pPr>
    </w:p>
    <w:p w14:paraId="2D6BB448">
      <w:pPr>
        <w:pStyle w:val="126"/>
      </w:pPr>
    </w:p>
    <w:p w14:paraId="58F1D4C9">
      <w:pPr>
        <w:pStyle w:val="125"/>
      </w:pPr>
    </w:p>
    <w:p w14:paraId="00B6072A">
      <w:pPr>
        <w:pStyle w:val="126"/>
      </w:pPr>
    </w:p>
    <w:p w14:paraId="28CA6AFD">
      <w:pPr>
        <w:pStyle w:val="125"/>
      </w:pPr>
    </w:p>
    <w:p w14:paraId="570B43CD">
      <w:pPr>
        <w:pStyle w:val="126"/>
      </w:pPr>
    </w:p>
    <w:p w14:paraId="291FD1F9">
      <w:pPr>
        <w:pStyle w:val="125"/>
      </w:pPr>
    </w:p>
    <w:p w14:paraId="203AB1FA">
      <w:pPr>
        <w:rPr>
          <w:rFonts w:ascii="宋体" w:hAnsi="宋体" w:cs="宋体"/>
          <w:sz w:val="24"/>
          <w:szCs w:val="36"/>
        </w:rPr>
      </w:pPr>
    </w:p>
    <w:p w14:paraId="68701877">
      <w:pPr>
        <w:rPr>
          <w:rFonts w:ascii="宋体" w:hAnsi="宋体" w:cs="宋体"/>
          <w:sz w:val="24"/>
          <w:szCs w:val="36"/>
        </w:rPr>
      </w:pPr>
    </w:p>
    <w:p w14:paraId="66282515">
      <w:pPr>
        <w:rPr>
          <w:rFonts w:ascii="宋体" w:hAnsi="宋体" w:cs="宋体"/>
          <w:sz w:val="24"/>
          <w:szCs w:val="36"/>
        </w:rPr>
      </w:pPr>
    </w:p>
    <w:p w14:paraId="1B2E793F">
      <w:pPr>
        <w:rPr>
          <w:rFonts w:ascii="宋体" w:hAnsi="宋体" w:cs="宋体"/>
          <w:sz w:val="24"/>
          <w:szCs w:val="36"/>
        </w:rPr>
      </w:pPr>
    </w:p>
    <w:p w14:paraId="3976DF99">
      <w:pPr>
        <w:rPr>
          <w:rFonts w:ascii="宋体" w:hAnsi="宋体" w:cs="宋体"/>
          <w:sz w:val="24"/>
          <w:szCs w:val="36"/>
        </w:rPr>
      </w:pPr>
    </w:p>
    <w:p w14:paraId="3AFAFE99">
      <w:pPr>
        <w:rPr>
          <w:rFonts w:ascii="宋体" w:hAnsi="宋体" w:cs="宋体"/>
          <w:sz w:val="24"/>
          <w:szCs w:val="36"/>
        </w:rPr>
      </w:pPr>
    </w:p>
    <w:p w14:paraId="359F5666">
      <w:pPr>
        <w:rPr>
          <w:rFonts w:ascii="宋体" w:hAnsi="宋体" w:cs="宋体"/>
          <w:sz w:val="24"/>
          <w:szCs w:val="36"/>
        </w:rPr>
      </w:pPr>
    </w:p>
    <w:p w14:paraId="18D28ADE">
      <w:pPr>
        <w:rPr>
          <w:rFonts w:ascii="宋体" w:hAnsi="宋体" w:cs="宋体"/>
          <w:sz w:val="24"/>
          <w:szCs w:val="36"/>
        </w:rPr>
      </w:pPr>
    </w:p>
    <w:p w14:paraId="64419072">
      <w:pPr>
        <w:rPr>
          <w:rFonts w:ascii="宋体" w:hAnsi="宋体" w:cs="宋体"/>
          <w:sz w:val="24"/>
          <w:szCs w:val="36"/>
        </w:rPr>
      </w:pPr>
    </w:p>
    <w:p w14:paraId="64CC7CBD">
      <w:pPr>
        <w:rPr>
          <w:rFonts w:ascii="宋体" w:hAnsi="宋体" w:cs="宋体"/>
          <w:sz w:val="24"/>
          <w:szCs w:val="36"/>
        </w:rPr>
      </w:pPr>
    </w:p>
    <w:p w14:paraId="6209003C">
      <w:pPr>
        <w:rPr>
          <w:rFonts w:ascii="宋体" w:hAnsi="宋体" w:cs="宋体"/>
          <w:sz w:val="24"/>
          <w:szCs w:val="36"/>
        </w:rPr>
      </w:pPr>
    </w:p>
    <w:p w14:paraId="27810899">
      <w:pPr>
        <w:rPr>
          <w:rFonts w:ascii="宋体" w:hAnsi="宋体" w:cs="宋体"/>
          <w:sz w:val="24"/>
          <w:szCs w:val="36"/>
        </w:rPr>
      </w:pPr>
    </w:p>
    <w:p w14:paraId="4ABB8F54">
      <w:pPr>
        <w:rPr>
          <w:rFonts w:ascii="宋体" w:hAnsi="宋体" w:cs="宋体"/>
          <w:sz w:val="24"/>
          <w:szCs w:val="36"/>
        </w:rPr>
      </w:pPr>
    </w:p>
    <w:p w14:paraId="43F8990A">
      <w:pPr>
        <w:rPr>
          <w:rFonts w:ascii="宋体" w:hAnsi="宋体" w:cs="宋体"/>
          <w:sz w:val="24"/>
          <w:szCs w:val="36"/>
        </w:rPr>
      </w:pPr>
    </w:p>
    <w:p w14:paraId="37DD15BB">
      <w:pPr>
        <w:rPr>
          <w:rFonts w:ascii="宋体" w:hAnsi="宋体" w:cs="宋体"/>
          <w:sz w:val="24"/>
          <w:szCs w:val="36"/>
        </w:rPr>
      </w:pPr>
    </w:p>
    <w:p w14:paraId="209F942B">
      <w:pPr>
        <w:rPr>
          <w:rFonts w:ascii="宋体" w:hAnsi="宋体" w:cs="宋体"/>
          <w:sz w:val="24"/>
          <w:szCs w:val="36"/>
        </w:rPr>
      </w:pPr>
    </w:p>
    <w:p w14:paraId="20CF19CF">
      <w:pPr>
        <w:rPr>
          <w:rFonts w:ascii="宋体" w:hAnsi="宋体" w:cs="宋体"/>
          <w:sz w:val="24"/>
          <w:szCs w:val="36"/>
        </w:rPr>
      </w:pPr>
    </w:p>
    <w:p w14:paraId="1D200E62">
      <w:pPr>
        <w:rPr>
          <w:rFonts w:ascii="宋体" w:hAnsi="宋体" w:cs="宋体"/>
          <w:sz w:val="24"/>
          <w:szCs w:val="36"/>
        </w:rPr>
      </w:pPr>
    </w:p>
    <w:p w14:paraId="39A802E5">
      <w:pPr>
        <w:rPr>
          <w:rFonts w:ascii="宋体" w:hAnsi="宋体" w:cs="宋体"/>
          <w:sz w:val="24"/>
          <w:szCs w:val="36"/>
        </w:rPr>
      </w:pPr>
    </w:p>
    <w:p w14:paraId="1118B30E">
      <w:pPr>
        <w:rPr>
          <w:rFonts w:ascii="宋体" w:hAnsi="宋体" w:cs="宋体"/>
          <w:sz w:val="24"/>
          <w:szCs w:val="36"/>
        </w:rPr>
      </w:pPr>
    </w:p>
    <w:p w14:paraId="397D6612">
      <w:pPr>
        <w:rPr>
          <w:rFonts w:ascii="宋体" w:hAnsi="宋体" w:cs="宋体"/>
          <w:sz w:val="24"/>
          <w:szCs w:val="36"/>
        </w:rPr>
      </w:pPr>
    </w:p>
    <w:p w14:paraId="0B2B11D6">
      <w:pPr>
        <w:rPr>
          <w:rFonts w:ascii="宋体" w:hAnsi="宋体" w:cs="宋体"/>
          <w:sz w:val="24"/>
          <w:szCs w:val="36"/>
        </w:rPr>
      </w:pPr>
    </w:p>
    <w:p w14:paraId="7B07C071">
      <w:pPr>
        <w:rPr>
          <w:rFonts w:ascii="宋体" w:hAnsi="宋体" w:cs="宋体"/>
          <w:sz w:val="24"/>
          <w:szCs w:val="36"/>
        </w:rPr>
      </w:pPr>
    </w:p>
    <w:p w14:paraId="45F62D93">
      <w:pPr>
        <w:rPr>
          <w:rFonts w:ascii="宋体" w:hAnsi="宋体" w:cs="宋体"/>
          <w:sz w:val="24"/>
          <w:szCs w:val="36"/>
        </w:rPr>
      </w:pPr>
    </w:p>
    <w:p w14:paraId="65B52CD4">
      <w:pPr>
        <w:rPr>
          <w:rFonts w:ascii="宋体" w:hAnsi="宋体" w:cs="宋体"/>
          <w:sz w:val="24"/>
          <w:szCs w:val="36"/>
        </w:rPr>
      </w:pPr>
    </w:p>
    <w:p w14:paraId="213A732F">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74" w:name="_Toc21677"/>
      <w:r>
        <w:rPr>
          <w:rFonts w:hint="eastAsia" w:ascii="宋体" w:hAnsi="宋体" w:cs="宋体"/>
        </w:rPr>
        <w:t>第三章投标人须知</w:t>
      </w:r>
      <w:bookmarkEnd w:id="71"/>
      <w:bookmarkEnd w:id="72"/>
      <w:bookmarkEnd w:id="73"/>
      <w:bookmarkEnd w:id="74"/>
    </w:p>
    <w:p w14:paraId="42567B44">
      <w:pPr>
        <w:pStyle w:val="4"/>
        <w:spacing w:before="0" w:after="0" w:line="360" w:lineRule="auto"/>
        <w:jc w:val="center"/>
        <w:rPr>
          <w:rFonts w:ascii="宋体" w:hAnsi="宋体" w:eastAsia="宋体"/>
        </w:rPr>
      </w:pPr>
      <w:bookmarkStart w:id="75" w:name="_Toc3968"/>
      <w:bookmarkStart w:id="76" w:name="_Toc12068"/>
      <w:bookmarkStart w:id="77" w:name="_Toc13104"/>
      <w:bookmarkStart w:id="78" w:name="_Toc254970526"/>
      <w:bookmarkStart w:id="79" w:name="_Toc254970667"/>
      <w:r>
        <w:rPr>
          <w:rFonts w:hint="eastAsia" w:ascii="宋体" w:hAnsi="宋体" w:eastAsia="宋体"/>
        </w:rPr>
        <w:t>投标人须知前附表</w:t>
      </w:r>
      <w:bookmarkEnd w:id="75"/>
      <w:bookmarkEnd w:id="76"/>
      <w:bookmarkEnd w:id="77"/>
      <w:bookmarkEnd w:id="78"/>
      <w:bookmarkEnd w:id="79"/>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6"/>
        <w:gridCol w:w="8809"/>
      </w:tblGrid>
      <w:tr w14:paraId="303AF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44489C9E">
            <w:pPr>
              <w:snapToGrid w:val="0"/>
              <w:spacing w:line="360" w:lineRule="auto"/>
              <w:jc w:val="left"/>
              <w:rPr>
                <w:rFonts w:ascii="宋体" w:hAnsi="宋体" w:cs="宋体"/>
                <w:szCs w:val="21"/>
              </w:rPr>
            </w:pPr>
            <w:r>
              <w:rPr>
                <w:rFonts w:hint="eastAsia" w:ascii="宋体" w:hAnsi="宋体" w:cs="宋体"/>
                <w:szCs w:val="21"/>
              </w:rPr>
              <w:t>条款号</w:t>
            </w:r>
          </w:p>
        </w:tc>
        <w:tc>
          <w:tcPr>
            <w:tcW w:w="8809" w:type="dxa"/>
            <w:tcBorders>
              <w:top w:val="single" w:color="auto" w:sz="4" w:space="0"/>
              <w:left w:val="single" w:color="auto" w:sz="4" w:space="0"/>
              <w:bottom w:val="single" w:color="auto" w:sz="4" w:space="0"/>
              <w:right w:val="single" w:color="auto" w:sz="4" w:space="0"/>
            </w:tcBorders>
            <w:noWrap/>
            <w:vAlign w:val="center"/>
          </w:tcPr>
          <w:p w14:paraId="2B931885">
            <w:pPr>
              <w:snapToGrid w:val="0"/>
              <w:spacing w:line="360" w:lineRule="auto"/>
              <w:jc w:val="center"/>
              <w:rPr>
                <w:rFonts w:ascii="宋体" w:hAnsi="宋体" w:cs="宋体"/>
                <w:szCs w:val="21"/>
              </w:rPr>
            </w:pPr>
            <w:r>
              <w:rPr>
                <w:rFonts w:hint="eastAsia" w:ascii="宋体" w:hAnsi="宋体" w:cs="宋体"/>
                <w:szCs w:val="21"/>
              </w:rPr>
              <w:t>编列内容</w:t>
            </w:r>
          </w:p>
        </w:tc>
      </w:tr>
      <w:tr w14:paraId="055FB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7F4D0488">
            <w:pPr>
              <w:spacing w:line="360" w:lineRule="auto"/>
              <w:rPr>
                <w:rFonts w:ascii="宋体" w:hAnsi="宋体" w:cs="宋体"/>
                <w:szCs w:val="21"/>
              </w:rPr>
            </w:pPr>
            <w:r>
              <w:rPr>
                <w:rFonts w:hint="eastAsia" w:ascii="宋体" w:hAnsi="宋体" w:cs="宋体"/>
                <w:szCs w:val="21"/>
              </w:rPr>
              <w:t>3</w:t>
            </w:r>
          </w:p>
        </w:tc>
        <w:tc>
          <w:tcPr>
            <w:tcW w:w="8809" w:type="dxa"/>
            <w:tcBorders>
              <w:top w:val="single" w:color="auto" w:sz="4" w:space="0"/>
              <w:left w:val="single" w:color="auto" w:sz="4" w:space="0"/>
              <w:bottom w:val="single" w:color="auto" w:sz="4" w:space="0"/>
              <w:right w:val="single" w:color="auto" w:sz="4" w:space="0"/>
            </w:tcBorders>
            <w:noWrap/>
            <w:vAlign w:val="center"/>
          </w:tcPr>
          <w:p w14:paraId="4C9A19C2">
            <w:pPr>
              <w:snapToGrid w:val="0"/>
              <w:spacing w:line="360" w:lineRule="auto"/>
              <w:jc w:val="left"/>
              <w:rPr>
                <w:rFonts w:ascii="宋体" w:hAnsi="宋体" w:cs="宋体"/>
                <w:szCs w:val="21"/>
              </w:rPr>
            </w:pPr>
            <w:r>
              <w:rPr>
                <w:rFonts w:hint="eastAsia" w:ascii="宋体" w:hAnsi="宋体" w:cs="宋体"/>
                <w:szCs w:val="21"/>
              </w:rPr>
              <w:t>投标人的资格要求详见“招标公告”。</w:t>
            </w:r>
          </w:p>
        </w:tc>
      </w:tr>
      <w:tr w14:paraId="22795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622978D5">
            <w:pPr>
              <w:spacing w:line="360" w:lineRule="auto"/>
              <w:rPr>
                <w:rFonts w:ascii="宋体" w:hAnsi="宋体" w:cs="宋体"/>
                <w:szCs w:val="21"/>
              </w:rPr>
            </w:pPr>
            <w:bookmarkStart w:id="80" w:name="_9.2"/>
            <w:bookmarkEnd w:id="80"/>
            <w:bookmarkStart w:id="81" w:name="_5"/>
            <w:bookmarkEnd w:id="81"/>
            <w:bookmarkStart w:id="82" w:name="_8.1"/>
            <w:bookmarkEnd w:id="82"/>
            <w:r>
              <w:rPr>
                <w:rFonts w:hint="eastAsia" w:ascii="宋体" w:hAnsi="宋体" w:cs="宋体"/>
                <w:szCs w:val="21"/>
              </w:rPr>
              <w:t>6.1</w:t>
            </w:r>
          </w:p>
        </w:tc>
        <w:tc>
          <w:tcPr>
            <w:tcW w:w="8809" w:type="dxa"/>
            <w:tcBorders>
              <w:top w:val="single" w:color="auto" w:sz="4" w:space="0"/>
              <w:left w:val="single" w:color="auto" w:sz="4" w:space="0"/>
              <w:bottom w:val="single" w:color="auto" w:sz="4" w:space="0"/>
              <w:right w:val="single" w:color="auto" w:sz="4" w:space="0"/>
            </w:tcBorders>
            <w:noWrap/>
            <w:vAlign w:val="center"/>
          </w:tcPr>
          <w:p w14:paraId="68F99539">
            <w:pPr>
              <w:pStyle w:val="16"/>
              <w:spacing w:line="360" w:lineRule="auto"/>
              <w:rPr>
                <w:rFonts w:ascii="宋体" w:hAnsi="宋体" w:cs="宋体"/>
                <w:szCs w:val="21"/>
              </w:rPr>
            </w:pPr>
            <w:r>
              <w:rPr>
                <w:rFonts w:hint="eastAsia" w:ascii="宋体" w:hAnsi="宋体" w:cs="宋体"/>
                <w:szCs w:val="21"/>
              </w:rPr>
              <w:t>本项目是否接受联合体投标：详见招标公告。</w:t>
            </w:r>
          </w:p>
        </w:tc>
      </w:tr>
      <w:tr w14:paraId="51E01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22EC9C1C">
            <w:pPr>
              <w:spacing w:line="360" w:lineRule="auto"/>
              <w:rPr>
                <w:rFonts w:ascii="宋体" w:hAnsi="宋体" w:cs="宋体"/>
                <w:szCs w:val="21"/>
              </w:rPr>
            </w:pPr>
            <w:r>
              <w:rPr>
                <w:rFonts w:hint="eastAsia" w:ascii="宋体" w:hAnsi="宋体" w:cs="宋体"/>
                <w:szCs w:val="21"/>
              </w:rPr>
              <w:t>7.2</w:t>
            </w:r>
          </w:p>
        </w:tc>
        <w:tc>
          <w:tcPr>
            <w:tcW w:w="8809" w:type="dxa"/>
            <w:tcBorders>
              <w:top w:val="single" w:color="auto" w:sz="4" w:space="0"/>
              <w:left w:val="single" w:color="auto" w:sz="4" w:space="0"/>
              <w:bottom w:val="single" w:color="auto" w:sz="4" w:space="0"/>
              <w:right w:val="single" w:color="auto" w:sz="4" w:space="0"/>
            </w:tcBorders>
            <w:noWrap/>
            <w:vAlign w:val="center"/>
          </w:tcPr>
          <w:p w14:paraId="4226A3E7">
            <w:pPr>
              <w:pStyle w:val="16"/>
              <w:spacing w:line="360" w:lineRule="auto"/>
              <w:rPr>
                <w:rFonts w:ascii="宋体" w:hAnsi="宋体" w:cs="宋体"/>
                <w:szCs w:val="21"/>
                <w:u w:val="single"/>
              </w:rPr>
            </w:pPr>
            <w:r>
              <w:rPr>
                <w:rFonts w:hint="eastAsia" w:ascii="宋体" w:hAnsi="宋体" w:cs="宋体"/>
                <w:szCs w:val="21"/>
              </w:rPr>
              <w:sym w:font="Wingdings" w:char="00FE"/>
            </w:r>
            <w:r>
              <w:rPr>
                <w:rFonts w:hint="eastAsia" w:ascii="宋体" w:hAnsi="宋体" w:cs="宋体"/>
                <w:szCs w:val="21"/>
              </w:rPr>
              <w:t>不允许分包</w:t>
            </w:r>
          </w:p>
        </w:tc>
      </w:tr>
      <w:tr w14:paraId="36163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650240EA">
            <w:pPr>
              <w:spacing w:line="360" w:lineRule="auto"/>
              <w:rPr>
                <w:rFonts w:ascii="宋体" w:hAnsi="宋体" w:cs="宋体"/>
                <w:szCs w:val="21"/>
              </w:rPr>
            </w:pPr>
            <w:r>
              <w:rPr>
                <w:rFonts w:hint="eastAsia" w:ascii="宋体" w:hAnsi="宋体" w:cs="宋体"/>
                <w:szCs w:val="21"/>
              </w:rPr>
              <w:t>11.2</w:t>
            </w:r>
          </w:p>
        </w:tc>
        <w:tc>
          <w:tcPr>
            <w:tcW w:w="8809" w:type="dxa"/>
            <w:tcBorders>
              <w:top w:val="single" w:color="auto" w:sz="4" w:space="0"/>
              <w:left w:val="single" w:color="auto" w:sz="4" w:space="0"/>
              <w:bottom w:val="single" w:color="auto" w:sz="4" w:space="0"/>
              <w:right w:val="single" w:color="auto" w:sz="4" w:space="0"/>
            </w:tcBorders>
            <w:noWrap/>
            <w:vAlign w:val="center"/>
          </w:tcPr>
          <w:p w14:paraId="6E8B5AD1">
            <w:pPr>
              <w:snapToGrid w:val="0"/>
              <w:spacing w:line="360" w:lineRule="auto"/>
              <w:rPr>
                <w:rFonts w:ascii="宋体" w:hAnsi="宋体" w:cs="宋体"/>
                <w:szCs w:val="21"/>
              </w:rPr>
            </w:pPr>
            <w:r>
              <w:rPr>
                <w:rFonts w:hint="eastAsia" w:ascii="宋体" w:hAnsi="宋体" w:cs="宋体"/>
                <w:szCs w:val="21"/>
              </w:rPr>
              <w:t>☑不组织现场考察</w:t>
            </w:r>
          </w:p>
          <w:p w14:paraId="5768F8C3">
            <w:pPr>
              <w:snapToGrid w:val="0"/>
              <w:spacing w:line="360" w:lineRule="auto"/>
              <w:rPr>
                <w:rFonts w:ascii="宋体" w:hAnsi="宋体" w:cs="宋体"/>
                <w:szCs w:val="21"/>
              </w:rPr>
            </w:pPr>
            <w:r>
              <w:rPr>
                <w:rFonts w:hint="eastAsia" w:ascii="宋体" w:hAnsi="宋体" w:cs="宋体"/>
                <w:szCs w:val="21"/>
              </w:rPr>
              <w:t>☑不组织召开开标前答疑会</w:t>
            </w:r>
          </w:p>
        </w:tc>
      </w:tr>
      <w:tr w14:paraId="202BF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vMerge w:val="restart"/>
            <w:tcBorders>
              <w:top w:val="single" w:color="auto" w:sz="4" w:space="0"/>
              <w:left w:val="single" w:color="auto" w:sz="4" w:space="0"/>
              <w:right w:val="single" w:color="auto" w:sz="4" w:space="0"/>
            </w:tcBorders>
            <w:noWrap/>
            <w:vAlign w:val="center"/>
          </w:tcPr>
          <w:p w14:paraId="0B6438C6">
            <w:pPr>
              <w:spacing w:line="360" w:lineRule="auto"/>
              <w:rPr>
                <w:rFonts w:ascii="宋体" w:hAnsi="宋体" w:cs="宋体"/>
                <w:szCs w:val="21"/>
              </w:rPr>
            </w:pPr>
            <w:bookmarkStart w:id="83" w:name="_13.1"/>
            <w:bookmarkEnd w:id="83"/>
            <w:r>
              <w:rPr>
                <w:rFonts w:hint="eastAsia" w:ascii="宋体" w:hAnsi="宋体" w:cs="宋体"/>
                <w:szCs w:val="21"/>
              </w:rPr>
              <w:t>13.</w:t>
            </w:r>
            <w:bookmarkStart w:id="84" w:name="_Hlt19632543"/>
            <w:r>
              <w:rPr>
                <w:rFonts w:hint="eastAsia" w:ascii="宋体" w:hAnsi="宋体" w:cs="宋体"/>
                <w:szCs w:val="21"/>
              </w:rPr>
              <w:t>1</w:t>
            </w:r>
            <w:bookmarkEnd w:id="84"/>
          </w:p>
        </w:tc>
        <w:tc>
          <w:tcPr>
            <w:tcW w:w="8809" w:type="dxa"/>
            <w:tcBorders>
              <w:top w:val="single" w:color="auto" w:sz="4" w:space="0"/>
              <w:left w:val="single" w:color="auto" w:sz="4" w:space="0"/>
              <w:bottom w:val="single" w:color="auto" w:sz="4" w:space="0"/>
              <w:right w:val="single" w:color="auto" w:sz="4" w:space="0"/>
            </w:tcBorders>
            <w:noWrap/>
            <w:vAlign w:val="center"/>
          </w:tcPr>
          <w:p w14:paraId="519E187B">
            <w:pPr>
              <w:snapToGrid w:val="0"/>
              <w:spacing w:line="360" w:lineRule="auto"/>
              <w:jc w:val="left"/>
              <w:rPr>
                <w:rFonts w:ascii="宋体" w:hAnsi="宋体" w:cs="宋体"/>
                <w:b/>
                <w:szCs w:val="21"/>
              </w:rPr>
            </w:pPr>
            <w:r>
              <w:rPr>
                <w:rFonts w:hint="eastAsia" w:ascii="宋体" w:hAnsi="宋体" w:cs="宋体"/>
                <w:b/>
                <w:szCs w:val="21"/>
              </w:rPr>
              <w:t>报价文件：</w:t>
            </w:r>
          </w:p>
          <w:p w14:paraId="025362F6">
            <w:pPr>
              <w:snapToGrid w:val="0"/>
              <w:spacing w:line="360" w:lineRule="auto"/>
              <w:ind w:left="433"/>
              <w:rPr>
                <w:rFonts w:ascii="宋体" w:hAnsi="宋体" w:cs="宋体"/>
                <w:szCs w:val="21"/>
              </w:rPr>
            </w:pPr>
            <w:r>
              <w:rPr>
                <w:rFonts w:hint="eastAsia" w:ascii="宋体" w:hAnsi="宋体" w:cs="宋体"/>
                <w:szCs w:val="21"/>
              </w:rPr>
              <w:t>1.投标函（格式后附）；（必须提供，否则作无效投标处理）</w:t>
            </w:r>
          </w:p>
          <w:p w14:paraId="19652CD0">
            <w:pPr>
              <w:snapToGrid w:val="0"/>
              <w:spacing w:line="360" w:lineRule="auto"/>
              <w:ind w:left="433"/>
              <w:rPr>
                <w:rFonts w:ascii="宋体" w:hAnsi="宋体" w:cs="宋体"/>
                <w:szCs w:val="21"/>
              </w:rPr>
            </w:pPr>
            <w:r>
              <w:rPr>
                <w:rFonts w:hint="eastAsia" w:ascii="宋体" w:hAnsi="宋体" w:cs="宋体"/>
                <w:szCs w:val="21"/>
              </w:rPr>
              <w:t>2.开标一览表（格式后附）；（必须提供，否则作无效投标处理）</w:t>
            </w:r>
          </w:p>
          <w:p w14:paraId="721F2547">
            <w:pPr>
              <w:snapToGrid w:val="0"/>
              <w:spacing w:line="360" w:lineRule="auto"/>
              <w:ind w:firstLine="420"/>
              <w:rPr>
                <w:rFonts w:ascii="宋体" w:hAnsi="宋体" w:cs="宋体"/>
                <w:b/>
                <w:bCs/>
                <w:szCs w:val="21"/>
              </w:rPr>
            </w:pPr>
            <w:r>
              <w:rPr>
                <w:rFonts w:hint="eastAsia" w:ascii="宋体" w:hAnsi="宋体" w:cs="宋体"/>
                <w:szCs w:val="21"/>
              </w:rPr>
              <w:t>3.投标人针对报价需要说明的其他文件和说明（格式自拟）。</w:t>
            </w:r>
          </w:p>
          <w:p w14:paraId="69906D00">
            <w:pPr>
              <w:snapToGrid w:val="0"/>
              <w:spacing w:line="360" w:lineRule="auto"/>
              <w:ind w:firstLine="420"/>
              <w:jc w:val="left"/>
              <w:rPr>
                <w:rFonts w:ascii="宋体" w:hAnsi="宋体" w:cs="宋体"/>
                <w:szCs w:val="21"/>
              </w:rPr>
            </w:pPr>
            <w:r>
              <w:rPr>
                <w:rFonts w:hint="eastAsia" w:ascii="宋体" w:hAnsi="宋体" w:cs="宋体"/>
                <w:b/>
                <w:bCs/>
                <w:szCs w:val="21"/>
              </w:rPr>
              <w:t>注：投标函、开标一览表必须由法定代表人或者委托代理人在规定签章处逐一签字并加盖投标人公章，否则</w:t>
            </w:r>
            <w:r>
              <w:rPr>
                <w:rFonts w:hint="eastAsia" w:ascii="宋体" w:hAnsi="宋体" w:cs="宋体"/>
                <w:b/>
                <w:szCs w:val="21"/>
              </w:rPr>
              <w:t>作无效投标处理</w:t>
            </w:r>
            <w:r>
              <w:rPr>
                <w:rFonts w:hint="eastAsia" w:ascii="宋体" w:hAnsi="宋体" w:cs="宋体"/>
                <w:b/>
                <w:bCs/>
                <w:szCs w:val="21"/>
              </w:rPr>
              <w:t>。</w:t>
            </w:r>
          </w:p>
        </w:tc>
      </w:tr>
      <w:tr w14:paraId="58A86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vMerge w:val="continue"/>
            <w:tcBorders>
              <w:left w:val="single" w:color="auto" w:sz="4" w:space="0"/>
              <w:right w:val="single" w:color="auto" w:sz="4" w:space="0"/>
            </w:tcBorders>
            <w:noWrap/>
            <w:vAlign w:val="center"/>
          </w:tcPr>
          <w:p w14:paraId="00C916BB">
            <w:pPr>
              <w:spacing w:line="360" w:lineRule="auto"/>
              <w:rPr>
                <w:rFonts w:ascii="宋体" w:hAnsi="宋体" w:cs="宋体"/>
                <w:szCs w:val="21"/>
              </w:rPr>
            </w:pPr>
            <w:bookmarkStart w:id="85" w:name="_13.2"/>
            <w:bookmarkEnd w:id="85"/>
          </w:p>
        </w:tc>
        <w:tc>
          <w:tcPr>
            <w:tcW w:w="8809" w:type="dxa"/>
            <w:tcBorders>
              <w:top w:val="single" w:color="auto" w:sz="4" w:space="0"/>
              <w:left w:val="single" w:color="auto" w:sz="4" w:space="0"/>
              <w:bottom w:val="single" w:color="auto" w:sz="4" w:space="0"/>
              <w:right w:val="single" w:color="auto" w:sz="4" w:space="0"/>
            </w:tcBorders>
            <w:noWrap/>
            <w:vAlign w:val="center"/>
          </w:tcPr>
          <w:p w14:paraId="44A14FA1">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资格证明文件</w:t>
            </w:r>
          </w:p>
          <w:p w14:paraId="1BA72FCA">
            <w:pPr>
              <w:snapToGrid w:val="0"/>
              <w:spacing w:line="360" w:lineRule="auto"/>
              <w:ind w:firstLine="420" w:firstLineChars="200"/>
              <w:jc w:val="left"/>
              <w:rPr>
                <w:rFonts w:ascii="宋体" w:hAnsi="宋体" w:cs="宋体"/>
                <w:b/>
                <w:szCs w:val="21"/>
              </w:rPr>
            </w:pPr>
            <w:r>
              <w:rPr>
                <w:rFonts w:hint="eastAsia" w:ascii="宋体" w:hAnsi="宋体" w:cs="宋体"/>
                <w:szCs w:val="21"/>
              </w:rPr>
              <w:t>1.</w:t>
            </w:r>
            <w:r>
              <w:rPr>
                <w:rFonts w:hint="eastAsia" w:ascii="宋体" w:hAnsi="宋体"/>
                <w:szCs w:val="21"/>
              </w:rPr>
              <w:t>崇左市政府采购供应商信用承诺函</w:t>
            </w:r>
            <w:r>
              <w:rPr>
                <w:rFonts w:hint="eastAsia" w:ascii="宋体" w:hAnsi="宋体" w:cs="宋体"/>
                <w:bCs/>
                <w:szCs w:val="21"/>
              </w:rPr>
              <w:t>（格式后附）</w:t>
            </w:r>
            <w:r>
              <w:rPr>
                <w:rFonts w:hint="eastAsia" w:ascii="宋体" w:hAnsi="宋体" w:cs="宋体"/>
                <w:szCs w:val="21"/>
              </w:rPr>
              <w:t>；</w:t>
            </w:r>
            <w:r>
              <w:rPr>
                <w:rFonts w:hint="eastAsia" w:ascii="宋体" w:hAnsi="宋体" w:cs="宋体"/>
                <w:bCs/>
                <w:szCs w:val="21"/>
              </w:rPr>
              <w:t>（</w:t>
            </w:r>
            <w:r>
              <w:rPr>
                <w:rFonts w:hint="eastAsia" w:ascii="宋体" w:hAnsi="宋体" w:cs="宋体"/>
                <w:b/>
                <w:szCs w:val="21"/>
              </w:rPr>
              <w:t>必须提供，否则投标文件按无效响应处理</w:t>
            </w:r>
            <w:r>
              <w:rPr>
                <w:rFonts w:hint="eastAsia" w:ascii="宋体" w:hAnsi="宋体" w:cs="宋体"/>
                <w:bCs/>
                <w:szCs w:val="21"/>
              </w:rPr>
              <w:t>）</w:t>
            </w:r>
          </w:p>
          <w:p w14:paraId="4042B789">
            <w:pPr>
              <w:snapToGrid w:val="0"/>
              <w:spacing w:line="360" w:lineRule="auto"/>
              <w:ind w:firstLine="420" w:firstLineChars="200"/>
              <w:jc w:val="left"/>
              <w:rPr>
                <w:rFonts w:ascii="宋体" w:hAnsi="宋体" w:cs="宋体"/>
                <w:szCs w:val="21"/>
              </w:rPr>
            </w:pPr>
            <w:r>
              <w:rPr>
                <w:rFonts w:hint="eastAsia" w:ascii="宋体" w:hAnsi="宋体" w:cs="宋体"/>
                <w:szCs w:val="21"/>
              </w:rPr>
              <w:t>2.有效的资质证书副本复印件；</w:t>
            </w:r>
            <w:r>
              <w:rPr>
                <w:rFonts w:hint="eastAsia" w:ascii="宋体" w:hAnsi="宋体" w:cs="宋体"/>
                <w:bCs/>
                <w:szCs w:val="21"/>
              </w:rPr>
              <w:t>（</w:t>
            </w:r>
            <w:r>
              <w:rPr>
                <w:rFonts w:hint="eastAsia" w:ascii="宋体" w:hAnsi="宋体" w:cs="宋体"/>
                <w:b/>
                <w:szCs w:val="21"/>
              </w:rPr>
              <w:t>必须提供，否则投标文件按无效响应处理</w:t>
            </w:r>
            <w:r>
              <w:rPr>
                <w:rFonts w:hint="eastAsia" w:ascii="宋体" w:hAnsi="宋体" w:cs="宋体"/>
                <w:bCs/>
                <w:szCs w:val="21"/>
              </w:rPr>
              <w:t>）</w:t>
            </w:r>
          </w:p>
          <w:p w14:paraId="7DE121B5">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3.投标人直接控股、管理关系信息表（格式后附）；（</w:t>
            </w:r>
            <w:r>
              <w:rPr>
                <w:rFonts w:hint="eastAsia" w:ascii="宋体" w:hAnsi="宋体" w:cs="宋体"/>
                <w:b/>
                <w:szCs w:val="21"/>
              </w:rPr>
              <w:t>必须提供，否则作无效投标处理</w:t>
            </w:r>
            <w:r>
              <w:rPr>
                <w:rFonts w:hint="eastAsia" w:ascii="宋体" w:hAnsi="宋体" w:cs="宋体"/>
                <w:szCs w:val="21"/>
              </w:rPr>
              <w:t>）</w:t>
            </w:r>
          </w:p>
          <w:p w14:paraId="02E3967B">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4.投标声明（格式后附）；（</w:t>
            </w:r>
            <w:r>
              <w:rPr>
                <w:rFonts w:hint="eastAsia" w:ascii="宋体" w:hAnsi="宋体" w:cs="宋体"/>
                <w:b/>
                <w:szCs w:val="21"/>
              </w:rPr>
              <w:t>必须提供，否则作无效投标处理</w:t>
            </w:r>
            <w:r>
              <w:rPr>
                <w:rFonts w:hint="eastAsia" w:ascii="宋体" w:hAnsi="宋体" w:cs="宋体"/>
                <w:szCs w:val="21"/>
              </w:rPr>
              <w:t>）</w:t>
            </w:r>
          </w:p>
          <w:p w14:paraId="25F1D77F">
            <w:pPr>
              <w:snapToGrid w:val="0"/>
              <w:spacing w:line="360" w:lineRule="auto"/>
              <w:ind w:firstLine="420" w:firstLineChars="200"/>
              <w:jc w:val="left"/>
              <w:rPr>
                <w:rFonts w:ascii="宋体" w:hAnsi="宋体" w:cs="宋体"/>
                <w:szCs w:val="21"/>
              </w:rPr>
            </w:pPr>
            <w:r>
              <w:rPr>
                <w:rFonts w:hint="eastAsia" w:ascii="宋体" w:hAnsi="宋体" w:cs="宋体"/>
                <w:szCs w:val="21"/>
              </w:rPr>
              <w:t>5.中小企业声明函或《政府采购促进中小企业发展管理办法财库〔2020〕46号》要求的其他证明文件；（</w:t>
            </w:r>
            <w:r>
              <w:rPr>
                <w:rFonts w:hint="eastAsia" w:ascii="宋体" w:hAnsi="宋体" w:cs="宋体"/>
                <w:b/>
                <w:szCs w:val="21"/>
              </w:rPr>
              <w:t>必须提供，否则作无效投标处理</w:t>
            </w:r>
            <w:r>
              <w:rPr>
                <w:rFonts w:hint="eastAsia" w:ascii="宋体" w:hAnsi="宋体" w:cs="宋体"/>
                <w:szCs w:val="21"/>
              </w:rPr>
              <w:t>）</w:t>
            </w:r>
          </w:p>
          <w:p w14:paraId="46947043">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6.除招标文件规定必须提供以外，投标人认为需要提供的其他证明材料或不符合招标文件的其他情形。</w:t>
            </w:r>
          </w:p>
          <w:p w14:paraId="25E6145E">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注：</w:t>
            </w:r>
          </w:p>
          <w:p w14:paraId="6112097A">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1.以上标明“必须提供”的材料属于复印件的，必须加盖投标人公章，否则</w:t>
            </w:r>
            <w:r>
              <w:rPr>
                <w:rFonts w:hint="eastAsia" w:ascii="宋体" w:hAnsi="宋体" w:cs="宋体"/>
                <w:b/>
                <w:szCs w:val="21"/>
              </w:rPr>
              <w:t>作无效投标处理。</w:t>
            </w:r>
          </w:p>
          <w:p w14:paraId="752B392D">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2.</w:t>
            </w:r>
            <w:r>
              <w:rPr>
                <w:rFonts w:hint="eastAsia" w:ascii="宋体" w:hAnsi="宋体" w:cs="宋体"/>
                <w:b/>
                <w:bCs/>
                <w:szCs w:val="21"/>
              </w:rPr>
              <w:t>投标声明必须由法定代表人在规定签章处签字并加盖投标人公章，否则作无效投标处理。</w:t>
            </w:r>
          </w:p>
          <w:p w14:paraId="0825E7D1">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3.投标人直接控股、管理关系信息表必须由法定代表人或者委托代理人在规定签章处签字并加盖投标人公章，否则</w:t>
            </w:r>
            <w:r>
              <w:rPr>
                <w:rFonts w:hint="eastAsia" w:ascii="宋体" w:hAnsi="宋体" w:cs="宋体"/>
                <w:b/>
                <w:szCs w:val="21"/>
              </w:rPr>
              <w:t>作无效投标处理</w:t>
            </w:r>
            <w:r>
              <w:rPr>
                <w:rFonts w:hint="eastAsia" w:ascii="宋体" w:hAnsi="宋体" w:cs="宋体"/>
                <w:b/>
                <w:bCs/>
                <w:szCs w:val="21"/>
              </w:rPr>
              <w:t>。</w:t>
            </w:r>
          </w:p>
        </w:tc>
      </w:tr>
      <w:tr w14:paraId="2A724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vMerge w:val="continue"/>
            <w:tcBorders>
              <w:left w:val="single" w:color="auto" w:sz="4" w:space="0"/>
              <w:right w:val="single" w:color="auto" w:sz="4" w:space="0"/>
            </w:tcBorders>
            <w:noWrap/>
            <w:vAlign w:val="center"/>
          </w:tcPr>
          <w:p w14:paraId="3C1B9DDF">
            <w:pPr>
              <w:spacing w:line="360" w:lineRule="auto"/>
              <w:rPr>
                <w:rFonts w:ascii="宋体" w:hAnsi="宋体" w:cs="宋体"/>
                <w:szCs w:val="21"/>
              </w:rPr>
            </w:pPr>
            <w:bookmarkStart w:id="86" w:name="_13.3"/>
            <w:bookmarkEnd w:id="86"/>
          </w:p>
        </w:tc>
        <w:tc>
          <w:tcPr>
            <w:tcW w:w="8809" w:type="dxa"/>
            <w:tcBorders>
              <w:top w:val="single" w:color="auto" w:sz="4" w:space="0"/>
              <w:left w:val="single" w:color="auto" w:sz="4" w:space="0"/>
              <w:bottom w:val="single" w:color="auto" w:sz="4" w:space="0"/>
              <w:right w:val="single" w:color="auto" w:sz="4" w:space="0"/>
            </w:tcBorders>
            <w:noWrap/>
            <w:vAlign w:val="center"/>
          </w:tcPr>
          <w:p w14:paraId="428BB3B8">
            <w:pPr>
              <w:snapToGrid w:val="0"/>
              <w:spacing w:line="360" w:lineRule="auto"/>
              <w:jc w:val="left"/>
              <w:rPr>
                <w:rFonts w:ascii="宋体" w:hAnsi="宋体" w:cs="宋体"/>
                <w:b/>
                <w:szCs w:val="21"/>
              </w:rPr>
            </w:pPr>
            <w:r>
              <w:rPr>
                <w:rFonts w:hint="eastAsia" w:ascii="宋体" w:hAnsi="宋体" w:cs="宋体"/>
                <w:b/>
                <w:szCs w:val="21"/>
              </w:rPr>
              <w:t>商务文件：</w:t>
            </w:r>
          </w:p>
          <w:p w14:paraId="2BD3280C">
            <w:pPr>
              <w:snapToGrid w:val="0"/>
              <w:spacing w:line="360" w:lineRule="auto"/>
              <w:ind w:left="413"/>
              <w:jc w:val="left"/>
              <w:rPr>
                <w:rFonts w:ascii="宋体" w:hAnsi="宋体" w:cs="宋体"/>
                <w:szCs w:val="21"/>
              </w:rPr>
            </w:pPr>
            <w:r>
              <w:rPr>
                <w:rFonts w:hint="eastAsia" w:ascii="宋体" w:hAnsi="宋体" w:cs="宋体"/>
                <w:szCs w:val="21"/>
              </w:rPr>
              <w:t>1.无串通投标行为的承诺函（格式后附）；（</w:t>
            </w:r>
            <w:r>
              <w:rPr>
                <w:rFonts w:hint="eastAsia" w:ascii="宋体" w:hAnsi="宋体" w:cs="宋体"/>
                <w:b/>
                <w:szCs w:val="21"/>
              </w:rPr>
              <w:t>必须提供，否则作无效投标处理</w:t>
            </w:r>
            <w:r>
              <w:rPr>
                <w:rFonts w:hint="eastAsia" w:ascii="宋体" w:hAnsi="宋体" w:cs="宋体"/>
                <w:szCs w:val="21"/>
              </w:rPr>
              <w:t>）</w:t>
            </w:r>
          </w:p>
          <w:p w14:paraId="11BBF8CA">
            <w:pPr>
              <w:snapToGrid w:val="0"/>
              <w:spacing w:line="360" w:lineRule="auto"/>
              <w:ind w:left="413"/>
              <w:jc w:val="left"/>
              <w:rPr>
                <w:rFonts w:ascii="宋体" w:hAnsi="宋体" w:cs="宋体"/>
                <w:szCs w:val="21"/>
              </w:rPr>
            </w:pPr>
            <w:r>
              <w:rPr>
                <w:rFonts w:hint="eastAsia" w:ascii="宋体" w:hAnsi="宋体" w:cs="宋体"/>
                <w:szCs w:val="21"/>
              </w:rPr>
              <w:t>2.法定代表人身份证明及法定代表人有效身份证正反面复印件（格式后附）；（</w:t>
            </w:r>
            <w:r>
              <w:rPr>
                <w:rFonts w:hint="eastAsia" w:ascii="宋体" w:hAnsi="宋体" w:cs="宋体"/>
                <w:b/>
                <w:bCs/>
                <w:szCs w:val="21"/>
              </w:rPr>
              <w:t>除自然人投标外</w:t>
            </w:r>
            <w:r>
              <w:rPr>
                <w:rFonts w:hint="eastAsia" w:ascii="宋体" w:hAnsi="宋体" w:cs="宋体"/>
                <w:b/>
                <w:szCs w:val="21"/>
              </w:rPr>
              <w:t>必须提供，否则作无效投标处理</w:t>
            </w:r>
            <w:r>
              <w:rPr>
                <w:rFonts w:hint="eastAsia" w:ascii="宋体" w:hAnsi="宋体" w:cs="宋体"/>
                <w:szCs w:val="21"/>
              </w:rPr>
              <w:t>）</w:t>
            </w:r>
          </w:p>
          <w:p w14:paraId="0F362C43">
            <w:pPr>
              <w:snapToGrid w:val="0"/>
              <w:spacing w:line="360" w:lineRule="auto"/>
              <w:ind w:left="413"/>
              <w:jc w:val="left"/>
              <w:rPr>
                <w:rFonts w:ascii="宋体" w:hAnsi="宋体" w:cs="宋体"/>
                <w:color w:val="auto"/>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委托时必须提供，否则作无效投标</w:t>
            </w:r>
            <w:r>
              <w:rPr>
                <w:rFonts w:hint="eastAsia" w:ascii="宋体" w:hAnsi="宋体" w:cs="宋体"/>
                <w:b/>
                <w:color w:val="auto"/>
                <w:szCs w:val="21"/>
              </w:rPr>
              <w:t>处理</w:t>
            </w:r>
            <w:r>
              <w:rPr>
                <w:rFonts w:hint="eastAsia" w:ascii="宋体" w:hAnsi="宋体" w:cs="宋体"/>
                <w:color w:val="auto"/>
                <w:szCs w:val="21"/>
              </w:rPr>
              <w:t>）</w:t>
            </w:r>
          </w:p>
          <w:p w14:paraId="6C6016DB">
            <w:pPr>
              <w:snapToGrid w:val="0"/>
              <w:spacing w:line="360" w:lineRule="auto"/>
              <w:ind w:left="413"/>
              <w:jc w:val="left"/>
              <w:rPr>
                <w:rFonts w:ascii="宋体" w:hAnsi="宋体" w:cs="宋体"/>
                <w:color w:val="auto"/>
                <w:szCs w:val="21"/>
              </w:rPr>
            </w:pPr>
            <w:r>
              <w:rPr>
                <w:rFonts w:hint="eastAsia" w:ascii="宋体" w:hAnsi="宋体" w:cs="宋体"/>
                <w:color w:val="auto"/>
                <w:szCs w:val="21"/>
              </w:rPr>
              <w:t>4.商务条款偏离表（格式后附）；（</w:t>
            </w:r>
            <w:r>
              <w:rPr>
                <w:rFonts w:hint="eastAsia" w:ascii="宋体" w:hAnsi="宋体" w:cs="宋体"/>
                <w:b/>
                <w:color w:val="auto"/>
                <w:szCs w:val="21"/>
              </w:rPr>
              <w:t>必须提供，否则作无效投标处理</w:t>
            </w:r>
            <w:r>
              <w:rPr>
                <w:rFonts w:hint="eastAsia" w:ascii="宋体" w:hAnsi="宋体" w:cs="宋体"/>
                <w:color w:val="auto"/>
                <w:szCs w:val="21"/>
              </w:rPr>
              <w:t>）</w:t>
            </w:r>
          </w:p>
          <w:p w14:paraId="6F1FCAD6">
            <w:pPr>
              <w:snapToGrid w:val="0"/>
              <w:spacing w:line="360" w:lineRule="auto"/>
              <w:ind w:left="413"/>
              <w:jc w:val="left"/>
              <w:rPr>
                <w:rFonts w:ascii="宋体" w:hAnsi="宋体" w:cs="宋体"/>
                <w:color w:val="auto"/>
                <w:szCs w:val="21"/>
              </w:rPr>
            </w:pPr>
            <w:r>
              <w:rPr>
                <w:rFonts w:hint="eastAsia" w:ascii="宋体" w:hAnsi="宋体" w:cs="宋体"/>
                <w:color w:val="auto"/>
                <w:szCs w:val="21"/>
              </w:rPr>
              <w:t>5.投标人类似的业绩证明文件</w:t>
            </w:r>
            <w:r>
              <w:rPr>
                <w:rFonts w:hint="eastAsia" w:ascii="宋体" w:hAnsi="宋体" w:eastAsia="宋体" w:cs="宋体"/>
                <w:b/>
                <w:color w:val="auto"/>
                <w:szCs w:val="21"/>
              </w:rPr>
              <w:t>（类似项目指近3年内承接的自然资源领域（</w:t>
            </w:r>
            <w:r>
              <w:rPr>
                <w:rFonts w:hint="eastAsia" w:ascii="宋体" w:hAnsi="宋体" w:eastAsia="宋体" w:cs="宋体"/>
                <w:b/>
                <w:color w:val="auto"/>
                <w:szCs w:val="21"/>
                <w:lang w:val="en-US" w:eastAsia="zh-CN"/>
              </w:rPr>
              <w:t>如卫片执法、</w:t>
            </w:r>
            <w:r>
              <w:rPr>
                <w:rFonts w:hint="eastAsia" w:ascii="宋体" w:hAnsi="宋体" w:eastAsia="宋体" w:cs="宋体"/>
                <w:b/>
                <w:color w:val="auto"/>
                <w:szCs w:val="21"/>
              </w:rPr>
              <w:t>耕地保护、国土空间监测、测绘、土地整治、</w:t>
            </w:r>
            <w:r>
              <w:rPr>
                <w:rFonts w:hint="eastAsia" w:ascii="宋体" w:hAnsi="宋体" w:eastAsia="宋体" w:cs="宋体"/>
                <w:b/>
                <w:color w:val="auto"/>
                <w:szCs w:val="21"/>
                <w:lang w:val="en-US" w:eastAsia="zh-CN"/>
              </w:rPr>
              <w:t>土地复垦方案、不动产测绘、</w:t>
            </w:r>
            <w:r>
              <w:rPr>
                <w:rFonts w:hint="eastAsia" w:ascii="宋体" w:hAnsi="宋体" w:eastAsia="宋体" w:cs="宋体"/>
                <w:b/>
                <w:color w:val="auto"/>
                <w:szCs w:val="21"/>
              </w:rPr>
              <w:t>年度变更、</w:t>
            </w:r>
            <w:r>
              <w:rPr>
                <w:rFonts w:hint="eastAsia" w:ascii="宋体" w:hAnsi="宋体" w:eastAsia="宋体" w:cs="宋体"/>
                <w:b/>
                <w:color w:val="auto"/>
                <w:szCs w:val="21"/>
                <w:lang w:val="en-US" w:eastAsia="zh-CN"/>
              </w:rPr>
              <w:t>日常变更、</w:t>
            </w:r>
            <w:r>
              <w:rPr>
                <w:rFonts w:hint="eastAsia" w:ascii="宋体" w:hAnsi="宋体" w:eastAsia="宋体" w:cs="宋体"/>
                <w:b/>
                <w:color w:val="auto"/>
                <w:szCs w:val="21"/>
              </w:rPr>
              <w:t>矿产资源</w:t>
            </w:r>
            <w:r>
              <w:rPr>
                <w:rFonts w:hint="eastAsia" w:ascii="宋体" w:hAnsi="宋体" w:eastAsia="宋体" w:cs="宋体"/>
                <w:b/>
                <w:color w:val="auto"/>
                <w:szCs w:val="21"/>
                <w:lang w:val="en-US" w:eastAsia="zh-CN"/>
              </w:rPr>
              <w:t>储量年报编制</w:t>
            </w:r>
            <w:r>
              <w:rPr>
                <w:rFonts w:hint="eastAsia" w:ascii="宋体" w:hAnsi="宋体" w:eastAsia="宋体" w:cs="宋体"/>
                <w:b/>
                <w:color w:val="auto"/>
                <w:szCs w:val="21"/>
              </w:rPr>
              <w:t>类</w:t>
            </w:r>
            <w:r>
              <w:rPr>
                <w:rFonts w:hint="eastAsia" w:ascii="宋体" w:hAnsi="宋体" w:eastAsia="宋体" w:cs="宋体"/>
                <w:b/>
                <w:color w:val="auto"/>
                <w:szCs w:val="21"/>
                <w:lang w:eastAsia="zh-CN"/>
              </w:rPr>
              <w:t>、矿产资源总体规划</w:t>
            </w:r>
            <w:r>
              <w:rPr>
                <w:rFonts w:hint="eastAsia" w:ascii="宋体" w:hAnsi="宋体" w:eastAsia="宋体" w:cs="宋体"/>
                <w:b/>
                <w:color w:val="auto"/>
                <w:szCs w:val="21"/>
                <w:lang w:val="en-US" w:eastAsia="zh-CN"/>
              </w:rPr>
              <w:t>编制工作</w:t>
            </w:r>
            <w:r>
              <w:rPr>
                <w:rFonts w:hint="eastAsia" w:ascii="宋体" w:hAnsi="宋体" w:eastAsia="宋体" w:cs="宋体"/>
                <w:b/>
                <w:color w:val="auto"/>
                <w:szCs w:val="21"/>
              </w:rPr>
              <w:t>等相关服务</w:t>
            </w:r>
            <w:r>
              <w:rPr>
                <w:rFonts w:hint="eastAsia" w:ascii="宋体" w:hAnsi="宋体" w:eastAsia="宋体" w:cs="宋体"/>
                <w:b/>
                <w:color w:val="auto"/>
                <w:szCs w:val="21"/>
                <w:lang w:val="en-US" w:eastAsia="zh-CN"/>
              </w:rPr>
              <w:t>类</w:t>
            </w:r>
            <w:r>
              <w:rPr>
                <w:rFonts w:hint="eastAsia" w:ascii="宋体" w:hAnsi="宋体" w:eastAsia="宋体" w:cs="宋体"/>
                <w:b/>
                <w:color w:val="auto"/>
                <w:szCs w:val="21"/>
              </w:rPr>
              <w:t>）专业技术服务项目，需提供中标通知书或合同关键页（含服务内容、签订时间、金额等信息）</w:t>
            </w:r>
          </w:p>
          <w:p w14:paraId="026DA1FB">
            <w:pPr>
              <w:snapToGrid w:val="0"/>
              <w:spacing w:line="360" w:lineRule="auto"/>
              <w:ind w:left="413"/>
              <w:jc w:val="left"/>
              <w:rPr>
                <w:rFonts w:ascii="宋体" w:hAnsi="宋体" w:cs="宋体"/>
                <w:color w:val="auto"/>
                <w:szCs w:val="21"/>
              </w:rPr>
            </w:pPr>
            <w:r>
              <w:rPr>
                <w:rFonts w:hint="eastAsia" w:ascii="宋体" w:hAnsi="宋体" w:cs="宋体"/>
                <w:color w:val="auto"/>
                <w:szCs w:val="21"/>
              </w:rPr>
              <w:t>6.后续服务承诺（格式自拟）；</w:t>
            </w:r>
          </w:p>
          <w:p w14:paraId="16411017">
            <w:pPr>
              <w:snapToGrid w:val="0"/>
              <w:spacing w:line="360" w:lineRule="auto"/>
              <w:ind w:left="413"/>
              <w:jc w:val="left"/>
              <w:rPr>
                <w:rFonts w:ascii="宋体" w:hAnsi="宋体" w:cs="宋体"/>
                <w:color w:val="auto"/>
                <w:szCs w:val="21"/>
              </w:rPr>
            </w:pPr>
            <w:r>
              <w:rPr>
                <w:rFonts w:hint="eastAsia" w:ascii="宋体" w:hAnsi="宋体" w:cs="宋体"/>
                <w:color w:val="auto"/>
                <w:szCs w:val="21"/>
              </w:rPr>
              <w:t>7.投标人情况介绍（格式自拟）；</w:t>
            </w:r>
          </w:p>
          <w:p w14:paraId="465446EC">
            <w:pPr>
              <w:snapToGrid w:val="0"/>
              <w:spacing w:line="360" w:lineRule="auto"/>
              <w:ind w:left="413"/>
              <w:jc w:val="left"/>
              <w:rPr>
                <w:rFonts w:ascii="宋体" w:hAnsi="宋体" w:cs="宋体"/>
                <w:szCs w:val="21"/>
              </w:rPr>
            </w:pPr>
            <w:r>
              <w:rPr>
                <w:rFonts w:hint="eastAsia" w:ascii="宋体" w:hAnsi="宋体" w:cs="宋体"/>
                <w:szCs w:val="21"/>
              </w:rPr>
              <w:t>8.除招标文件规定必须提供以外，投标人认为需要提供的其他证明材料（格式自拟）。（投标人根据“第二章采购需求”及“第四章评标方法及评标标准”提供有关证明材料）。</w:t>
            </w:r>
          </w:p>
          <w:p w14:paraId="3D4195A6">
            <w:pPr>
              <w:snapToGrid w:val="0"/>
              <w:spacing w:line="360" w:lineRule="auto"/>
              <w:ind w:left="413"/>
              <w:rPr>
                <w:rFonts w:ascii="宋体" w:hAnsi="宋体" w:cs="宋体"/>
                <w:szCs w:val="21"/>
              </w:rPr>
            </w:pPr>
            <w:r>
              <w:rPr>
                <w:rFonts w:hint="eastAsia" w:ascii="宋体" w:hAnsi="宋体" w:cs="宋体"/>
                <w:szCs w:val="21"/>
              </w:rPr>
              <w:t>注：</w:t>
            </w:r>
          </w:p>
          <w:p w14:paraId="57C29895">
            <w:pPr>
              <w:snapToGrid w:val="0"/>
              <w:spacing w:line="360" w:lineRule="auto"/>
              <w:ind w:left="413"/>
              <w:rPr>
                <w:rFonts w:ascii="宋体" w:hAnsi="宋体" w:cs="宋体"/>
                <w:szCs w:val="21"/>
              </w:rPr>
            </w:pPr>
            <w:r>
              <w:rPr>
                <w:rFonts w:hint="eastAsia" w:ascii="宋体" w:hAnsi="宋体" w:cs="宋体"/>
                <w:szCs w:val="21"/>
              </w:rPr>
              <w:t>1.法定代表人授权委托书必须由法定代表人及委托代理人签字，并加盖投标人公章，否则作无效投标处理。</w:t>
            </w:r>
          </w:p>
          <w:p w14:paraId="5164B24D">
            <w:pPr>
              <w:snapToGrid w:val="0"/>
              <w:spacing w:line="360" w:lineRule="auto"/>
              <w:ind w:left="413"/>
              <w:rPr>
                <w:rFonts w:ascii="宋体" w:hAnsi="宋体" w:cs="宋体"/>
                <w:b/>
                <w:szCs w:val="21"/>
              </w:rPr>
            </w:pPr>
            <w:r>
              <w:rPr>
                <w:rFonts w:hint="eastAsia" w:ascii="宋体" w:hAnsi="宋体" w:cs="宋体"/>
                <w:szCs w:val="21"/>
              </w:rPr>
              <w:t>2.以上标明“必须提供”的材料属于复印件的，必须加盖投标人公章，否则作无效投标处理。</w:t>
            </w:r>
          </w:p>
        </w:tc>
      </w:tr>
      <w:tr w14:paraId="2E350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vMerge w:val="continue"/>
            <w:tcBorders>
              <w:left w:val="single" w:color="auto" w:sz="4" w:space="0"/>
              <w:bottom w:val="single" w:color="auto" w:sz="4" w:space="0"/>
              <w:right w:val="single" w:color="auto" w:sz="4" w:space="0"/>
            </w:tcBorders>
            <w:noWrap/>
            <w:vAlign w:val="center"/>
          </w:tcPr>
          <w:p w14:paraId="7A6E72D0">
            <w:pPr>
              <w:spacing w:line="360" w:lineRule="auto"/>
              <w:rPr>
                <w:rFonts w:ascii="宋体" w:hAnsi="宋体" w:cs="宋体"/>
                <w:szCs w:val="21"/>
              </w:rPr>
            </w:pPr>
            <w:bookmarkStart w:id="87" w:name="_13.4"/>
            <w:bookmarkEnd w:id="87"/>
          </w:p>
        </w:tc>
        <w:tc>
          <w:tcPr>
            <w:tcW w:w="8809" w:type="dxa"/>
            <w:tcBorders>
              <w:top w:val="single" w:color="auto" w:sz="4" w:space="0"/>
              <w:left w:val="single" w:color="auto" w:sz="4" w:space="0"/>
              <w:bottom w:val="single" w:color="auto" w:sz="4" w:space="0"/>
              <w:right w:val="single" w:color="auto" w:sz="4" w:space="0"/>
            </w:tcBorders>
            <w:noWrap/>
            <w:vAlign w:val="center"/>
          </w:tcPr>
          <w:p w14:paraId="1C94B115">
            <w:pPr>
              <w:snapToGrid w:val="0"/>
              <w:spacing w:line="360" w:lineRule="auto"/>
              <w:rPr>
                <w:rFonts w:ascii="宋体" w:hAnsi="宋体" w:cs="宋体"/>
                <w:b/>
                <w:szCs w:val="21"/>
              </w:rPr>
            </w:pPr>
            <w:r>
              <w:rPr>
                <w:rFonts w:hint="eastAsia" w:ascii="宋体" w:hAnsi="宋体" w:cs="宋体"/>
                <w:b/>
                <w:szCs w:val="21"/>
              </w:rPr>
              <w:t>技术文件：</w:t>
            </w:r>
          </w:p>
          <w:p w14:paraId="5C13F1AD">
            <w:pPr>
              <w:snapToGrid w:val="0"/>
              <w:spacing w:line="360" w:lineRule="auto"/>
              <w:ind w:left="420"/>
              <w:rPr>
                <w:rFonts w:ascii="宋体" w:hAnsi="宋体" w:cs="宋体"/>
                <w:szCs w:val="21"/>
              </w:rPr>
            </w:pPr>
            <w:r>
              <w:rPr>
                <w:rFonts w:hint="eastAsia" w:ascii="宋体" w:hAnsi="宋体" w:cs="宋体"/>
                <w:szCs w:val="21"/>
              </w:rPr>
              <w:t>1.技术需求偏离表（格式后附，可根据实际情况自行扩展格式）；</w:t>
            </w:r>
            <w:r>
              <w:rPr>
                <w:rFonts w:hint="eastAsia" w:ascii="宋体" w:hAnsi="宋体" w:cs="宋体"/>
                <w:b/>
                <w:szCs w:val="21"/>
              </w:rPr>
              <w:t>（必须提供，否则作无效投标处理）</w:t>
            </w:r>
          </w:p>
          <w:p w14:paraId="243BF266">
            <w:pPr>
              <w:snapToGrid w:val="0"/>
              <w:spacing w:line="360" w:lineRule="auto"/>
              <w:ind w:left="420"/>
              <w:rPr>
                <w:rFonts w:ascii="宋体" w:hAnsi="宋体" w:cs="宋体"/>
                <w:szCs w:val="21"/>
              </w:rPr>
            </w:pPr>
            <w:r>
              <w:rPr>
                <w:rFonts w:hint="eastAsia" w:ascii="宋体" w:hAnsi="宋体" w:cs="宋体"/>
                <w:szCs w:val="21"/>
              </w:rPr>
              <w:t>2.服务方案（格式自拟）；</w:t>
            </w:r>
          </w:p>
          <w:p w14:paraId="6959DF0F">
            <w:pPr>
              <w:snapToGrid w:val="0"/>
              <w:spacing w:line="360" w:lineRule="auto"/>
              <w:ind w:left="420"/>
              <w:rPr>
                <w:rFonts w:ascii="宋体" w:hAnsi="宋体" w:cs="宋体"/>
                <w:b/>
                <w:szCs w:val="21"/>
              </w:rPr>
            </w:pPr>
            <w:r>
              <w:rPr>
                <w:rFonts w:hint="eastAsia" w:ascii="宋体" w:hAnsi="宋体" w:cs="宋体"/>
                <w:szCs w:val="21"/>
              </w:rPr>
              <w:t>3.项目实施人员一览表</w:t>
            </w:r>
            <w:r>
              <w:rPr>
                <w:rFonts w:hint="eastAsia" w:ascii="宋体" w:hAnsi="宋体" w:cs="宋体"/>
                <w:b/>
                <w:szCs w:val="21"/>
              </w:rPr>
              <w:t>（格式后附，可根据实际情况自行扩展格式）；</w:t>
            </w:r>
          </w:p>
          <w:p w14:paraId="3574D61E">
            <w:pPr>
              <w:snapToGrid w:val="0"/>
              <w:spacing w:line="360" w:lineRule="auto"/>
              <w:ind w:left="420"/>
              <w:rPr>
                <w:rFonts w:ascii="宋体" w:hAnsi="宋体" w:cs="宋体"/>
                <w:szCs w:val="21"/>
              </w:rPr>
            </w:pPr>
            <w:r>
              <w:rPr>
                <w:rFonts w:hint="eastAsia" w:ascii="宋体" w:hAnsi="宋体" w:cs="宋体"/>
                <w:szCs w:val="21"/>
              </w:rPr>
              <w:t>4.投标人对本项目后续服务的安排及保证措施</w:t>
            </w:r>
            <w:r>
              <w:rPr>
                <w:rFonts w:hint="eastAsia" w:ascii="宋体" w:hAnsi="宋体" w:cs="宋体"/>
                <w:b/>
                <w:szCs w:val="21"/>
              </w:rPr>
              <w:t>（格式自拟）</w:t>
            </w:r>
            <w:r>
              <w:rPr>
                <w:rFonts w:hint="eastAsia" w:ascii="宋体" w:hAnsi="宋体" w:cs="宋体"/>
                <w:szCs w:val="21"/>
              </w:rPr>
              <w:t>；</w:t>
            </w:r>
          </w:p>
          <w:p w14:paraId="68FEF2FD">
            <w:pPr>
              <w:snapToGrid w:val="0"/>
              <w:spacing w:line="360" w:lineRule="auto"/>
              <w:ind w:left="420"/>
              <w:rPr>
                <w:rFonts w:ascii="宋体" w:hAnsi="宋体" w:cs="宋体"/>
                <w:bCs/>
                <w:szCs w:val="21"/>
              </w:rPr>
            </w:pPr>
            <w:r>
              <w:rPr>
                <w:rFonts w:hint="eastAsia" w:ascii="宋体" w:hAnsi="宋体" w:cs="宋体"/>
                <w:szCs w:val="21"/>
              </w:rPr>
              <w:t>5.除招标文件规定必须提供以外，投标人需要说明的其他文件和说明</w:t>
            </w:r>
            <w:r>
              <w:rPr>
                <w:rFonts w:hint="eastAsia" w:ascii="宋体" w:hAnsi="宋体" w:cs="宋体"/>
                <w:b/>
                <w:szCs w:val="21"/>
              </w:rPr>
              <w:t>（格式自拟）</w:t>
            </w:r>
            <w:r>
              <w:rPr>
                <w:rFonts w:hint="eastAsia" w:ascii="宋体" w:hAnsi="宋体" w:cs="宋体"/>
                <w:szCs w:val="21"/>
              </w:rPr>
              <w:t>。</w:t>
            </w:r>
          </w:p>
          <w:p w14:paraId="26677D86">
            <w:pPr>
              <w:snapToGrid w:val="0"/>
              <w:spacing w:line="360" w:lineRule="auto"/>
              <w:rPr>
                <w:rFonts w:ascii="宋体" w:hAnsi="宋体" w:cs="宋体"/>
                <w:b/>
                <w:bCs/>
                <w:szCs w:val="21"/>
              </w:rPr>
            </w:pPr>
            <w:r>
              <w:rPr>
                <w:rFonts w:hint="eastAsia" w:ascii="宋体" w:hAnsi="宋体" w:cs="宋体"/>
                <w:b/>
                <w:bCs/>
                <w:szCs w:val="21"/>
              </w:rPr>
              <w:t>注：以上标明“必须提供”的材料属于复印件的，必须加盖投标人公章，否则</w:t>
            </w:r>
            <w:r>
              <w:rPr>
                <w:rFonts w:hint="eastAsia" w:ascii="宋体" w:hAnsi="宋体" w:cs="宋体"/>
                <w:b/>
                <w:szCs w:val="21"/>
              </w:rPr>
              <w:t>作无效投标处理</w:t>
            </w:r>
            <w:r>
              <w:rPr>
                <w:rFonts w:hint="eastAsia" w:ascii="宋体" w:hAnsi="宋体" w:cs="宋体"/>
                <w:b/>
                <w:bCs/>
                <w:szCs w:val="21"/>
              </w:rPr>
              <w:t>。</w:t>
            </w:r>
          </w:p>
        </w:tc>
      </w:tr>
      <w:tr w14:paraId="08F46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01C4C678">
            <w:pPr>
              <w:spacing w:line="360" w:lineRule="auto"/>
              <w:rPr>
                <w:rFonts w:ascii="宋体" w:hAnsi="宋体" w:cs="宋体"/>
                <w:szCs w:val="21"/>
              </w:rPr>
            </w:pPr>
            <w:bookmarkStart w:id="88" w:name="_13.5"/>
            <w:bookmarkEnd w:id="88"/>
            <w:r>
              <w:rPr>
                <w:rFonts w:hint="eastAsia" w:ascii="宋体" w:hAnsi="宋体" w:cs="宋体"/>
                <w:szCs w:val="21"/>
              </w:rPr>
              <w:t>13.2</w:t>
            </w:r>
          </w:p>
        </w:tc>
        <w:tc>
          <w:tcPr>
            <w:tcW w:w="8809" w:type="dxa"/>
            <w:tcBorders>
              <w:top w:val="single" w:color="auto" w:sz="4" w:space="0"/>
              <w:left w:val="single" w:color="auto" w:sz="4" w:space="0"/>
              <w:bottom w:val="single" w:color="auto" w:sz="4" w:space="0"/>
              <w:right w:val="single" w:color="auto" w:sz="4" w:space="0"/>
            </w:tcBorders>
            <w:noWrap/>
            <w:vAlign w:val="center"/>
          </w:tcPr>
          <w:p w14:paraId="2C33C4B5">
            <w:pPr>
              <w:pStyle w:val="4"/>
              <w:spacing w:line="360" w:lineRule="auto"/>
              <w:rPr>
                <w:rFonts w:ascii="宋体" w:hAnsi="宋体" w:cs="宋体"/>
                <w:sz w:val="21"/>
                <w:szCs w:val="21"/>
              </w:rPr>
            </w:pPr>
            <w:bookmarkStart w:id="89" w:name="_Toc31052"/>
            <w:bookmarkStart w:id="90" w:name="_Toc21615"/>
            <w:bookmarkStart w:id="91" w:name="_Toc29521"/>
            <w:r>
              <w:rPr>
                <w:rFonts w:hint="eastAsia" w:ascii="宋体" w:hAnsi="宋体" w:eastAsia="宋体" w:cs="宋体"/>
                <w:bCs w:val="0"/>
                <w:sz w:val="21"/>
                <w:szCs w:val="21"/>
              </w:rPr>
              <w:t>在线投标响应（电子投标）说明</w:t>
            </w:r>
            <w:r>
              <w:rPr>
                <w:rFonts w:hint="eastAsia" w:ascii="宋体" w:hAnsi="宋体" w:cs="宋体"/>
                <w:bCs w:val="0"/>
                <w:sz w:val="21"/>
                <w:szCs w:val="21"/>
              </w:rPr>
              <w:t>。</w:t>
            </w:r>
            <w:bookmarkEnd w:id="89"/>
            <w:bookmarkEnd w:id="90"/>
            <w:bookmarkEnd w:id="91"/>
          </w:p>
          <w:p w14:paraId="4065D83C">
            <w:pPr>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1.本项目通过广西政府采购云平台实行在线投标响应（电子投标），供应商需要先安装“广西政府采购云电子交易客户端”，并按照本招标文件和广西政府采购云平台的要求，通过“广西政府采购云电子交易客户端”编制并加密电子投标文件。供应商未按规定编制并加密的电子投标文件，广西政府采购云平台将予以拒收。</w:t>
            </w:r>
          </w:p>
          <w:p w14:paraId="2B005F99">
            <w:pPr>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广西政府采购云电子交易客户端”请自行前往广西政府采购网下载并安装；电子投标具体操作流程参考《政府采购项目电子交易管理操作指南－供应商》；在使用投标客户端时，建议使用WIN7及以上操作系统,通过广西政府采购云平台参与在线投标时如遇平台技术问题详询95763。未按规定时限办理CA数字证书导致无法投标的，后果由投标人自行承担。</w:t>
            </w:r>
          </w:p>
          <w:p w14:paraId="77C8BC1B">
            <w:pPr>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2.为确保网上操作合法、有效和安全，供应商应当在投标截止时间前完成在“广西政府采购云平台”的身份认证，确保在电子投标过程中能够对相关数据电文进行加密和使用电子签章。使用“广西政府采购云电子交易客户端”需要提前申领CA数字证书，申领流程请自行前往相关网站进行查阅；（完成CA数字证书办理预计一周左右，建议供应商获取招标文件后立即办理。）</w:t>
            </w:r>
          </w:p>
          <w:p w14:paraId="3453FB7A">
            <w:pPr>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3.供应商应当在投标截止时间前，将生成的“电子投标文件”上传递交至广西政府采购云平台。投标截止时</w:t>
            </w:r>
            <w:r>
              <w:rPr>
                <w:rFonts w:hint="eastAsia" w:ascii="宋体" w:hAnsi="宋体" w:cs="宋体"/>
                <w:szCs w:val="21"/>
                <w:shd w:val="clear" w:color="auto" w:fill="FFFFFF"/>
                <w:lang w:eastAsia="zh-CN"/>
              </w:rPr>
              <w:t>间之</w:t>
            </w:r>
            <w:r>
              <w:rPr>
                <w:rFonts w:hint="eastAsia" w:ascii="宋体" w:hAnsi="宋体" w:cs="宋体"/>
                <w:szCs w:val="21"/>
                <w:shd w:val="clear" w:color="auto" w:fill="FFFFFF"/>
              </w:rPr>
              <w:t>前可以补充、修改或者撤回电子投标文件。补充或者修改电子投标文件的，应当先行撤回原文件，补充、修改后重新传输递交，投标截止时间前未完成传输的，视为撤回电子投标文件。</w:t>
            </w:r>
          </w:p>
          <w:p w14:paraId="05BFD102">
            <w:pPr>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4.本项目实行全流程电子化招投标交易，供应商如有需要，可以参与现场开标（所需在线投标响应及解密开启设备自带）并可在开标截止时间前提供以介质（U盘或光盘等）存储的数据电文形成的电子备份电子投标文件。电子备份电子投标文件应当由法定代表人或授权委托代理人（需携带法定代表人身份证明书或授权委托书原件等有效证明材料）在开标截止时间前按要求密封并提交至开标地址或按要求密封邮寄并送达招标文件指定的开标地址。逾期送达或未按要求密封将被拒收。电子备份电子投标文件应当密封包装并在包装上标注投标项目名称、单位名称并加盖单位公章。</w:t>
            </w:r>
          </w:p>
          <w:p w14:paraId="7AEA44F4">
            <w:pPr>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5.投标文件网上提交截止后，广西政府采购云平台自动提取所有投标文件，各供应商须在提交投标文件截止后30分钟内对上传广西政府采购云平台的投标文件进行解密，所有供应商在规定的解密时限内解密完成或解密时限到后，采购代理机构开启投标文件；供应商超过解密时限的，系统默认自动放弃。</w:t>
            </w:r>
          </w:p>
          <w:p w14:paraId="36DC5522">
            <w:pPr>
              <w:spacing w:line="360" w:lineRule="auto"/>
              <w:ind w:firstLine="420" w:firstLineChars="200"/>
              <w:rPr>
                <w:rFonts w:ascii="宋体" w:hAnsi="宋体" w:cs="宋体"/>
                <w:szCs w:val="21"/>
              </w:rPr>
            </w:pPr>
            <w:r>
              <w:rPr>
                <w:rFonts w:hint="eastAsia" w:ascii="宋体" w:hAnsi="宋体" w:cs="宋体"/>
                <w:szCs w:val="21"/>
                <w:shd w:val="clear" w:color="auto" w:fill="FFFFFF"/>
              </w:rPr>
              <w:t>6.通过广西政府采购云平台（电子交易平台）上传递交的“电子加密投标文件”无法按时解密，供应商递交了备份投标文件的，以备份投标文件为依据，否则视为投标文件撤回。通过广西政府采购云平台（电子交易平台）上传递交的“电子加密投标文件”已按时解密的，“备份投标文件”自动失效。供应商仅递交备份投标文件的，投标无效。</w:t>
            </w:r>
          </w:p>
        </w:tc>
      </w:tr>
      <w:tr w14:paraId="4F659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5DDED5FC">
            <w:pPr>
              <w:spacing w:line="360" w:lineRule="auto"/>
              <w:rPr>
                <w:rFonts w:ascii="宋体" w:hAnsi="宋体" w:cs="宋体"/>
                <w:szCs w:val="21"/>
              </w:rPr>
            </w:pPr>
            <w:bookmarkStart w:id="92" w:name="_16.2"/>
            <w:bookmarkEnd w:id="92"/>
            <w:r>
              <w:rPr>
                <w:rFonts w:hint="eastAsia" w:ascii="宋体" w:hAnsi="宋体" w:cs="宋体"/>
                <w:szCs w:val="21"/>
              </w:rPr>
              <w:t>16</w:t>
            </w:r>
            <w:bookmarkStart w:id="93" w:name="_Hlt19194066"/>
            <w:bookmarkStart w:id="94" w:name="_Hlt19194067"/>
            <w:bookmarkStart w:id="95" w:name="_Hlt19693758"/>
            <w:bookmarkStart w:id="96" w:name="_Hlt19693759"/>
            <w:r>
              <w:rPr>
                <w:rFonts w:hint="eastAsia" w:ascii="宋体" w:hAnsi="宋体" w:cs="宋体"/>
                <w:szCs w:val="21"/>
              </w:rPr>
              <w:t>.</w:t>
            </w:r>
            <w:bookmarkEnd w:id="93"/>
            <w:bookmarkEnd w:id="94"/>
            <w:bookmarkEnd w:id="95"/>
            <w:bookmarkEnd w:id="96"/>
            <w:r>
              <w:rPr>
                <w:rFonts w:hint="eastAsia" w:ascii="宋体" w:hAnsi="宋体" w:cs="宋体"/>
                <w:szCs w:val="21"/>
              </w:rPr>
              <w:t>2</w:t>
            </w:r>
          </w:p>
        </w:tc>
        <w:tc>
          <w:tcPr>
            <w:tcW w:w="8809" w:type="dxa"/>
            <w:tcBorders>
              <w:top w:val="single" w:color="auto" w:sz="4" w:space="0"/>
              <w:left w:val="single" w:color="auto" w:sz="4" w:space="0"/>
              <w:bottom w:val="single" w:color="auto" w:sz="4" w:space="0"/>
              <w:right w:val="single" w:color="auto" w:sz="4" w:space="0"/>
            </w:tcBorders>
            <w:noWrap/>
            <w:vAlign w:val="center"/>
          </w:tcPr>
          <w:p w14:paraId="1358C441">
            <w:pPr>
              <w:spacing w:line="360" w:lineRule="auto"/>
              <w:ind w:firstLine="420" w:firstLineChars="200"/>
              <w:rPr>
                <w:rFonts w:ascii="宋体" w:hAnsi="宋体" w:cs="宋体"/>
                <w:szCs w:val="21"/>
              </w:rPr>
            </w:pPr>
            <w:r>
              <w:rPr>
                <w:rFonts w:hint="eastAsia" w:ascii="宋体" w:hAnsi="宋体" w:cs="宋体"/>
                <w:szCs w:val="21"/>
              </w:rPr>
              <w:t>投标报价已经包括了实施和完成服务所需的劳务费、技术服务费、交通、通讯、管理费、税费和利润等费用和政策性文件规定及合同包含的所有风险、责任等各项应有的费用。各投标人应该根据项目实际情况结合市场报价进行投标单价及总额报价。</w:t>
            </w:r>
          </w:p>
          <w:p w14:paraId="028291FA">
            <w:pPr>
              <w:spacing w:line="360" w:lineRule="auto"/>
              <w:ind w:firstLine="420" w:firstLineChars="200"/>
              <w:rPr>
                <w:rFonts w:ascii="宋体" w:hAnsi="宋体" w:cs="宋体"/>
                <w:b/>
                <w:szCs w:val="21"/>
              </w:rPr>
            </w:pPr>
            <w:r>
              <w:rPr>
                <w:rFonts w:hint="eastAsia" w:ascii="宋体" w:hAnsi="宋体" w:cs="宋体"/>
                <w:szCs w:val="21"/>
              </w:rPr>
              <w:t>本项目采用‘总价包干为主、工作量调整为辅’的报价方式：①报价为完成全部服务的固定总价（包含所有成本及税费）；②若因采购人需求变更导致工作量增减，按投标文件列明的分项单价（未列明分项单价的，按总价分摊计算）乘以双方确认的实际工作量调整结算，总结算金额不得超过最高限价；③实际工作量由采购人、供应商共同现场核实，签署《工作量确认单》作为结算依据。</w:t>
            </w:r>
          </w:p>
        </w:tc>
      </w:tr>
      <w:tr w14:paraId="41ABA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2084B0F6">
            <w:pPr>
              <w:spacing w:line="360" w:lineRule="auto"/>
              <w:rPr>
                <w:rFonts w:ascii="宋体" w:hAnsi="宋体" w:cs="宋体"/>
                <w:szCs w:val="21"/>
              </w:rPr>
            </w:pPr>
            <w:bookmarkStart w:id="97" w:name="_17.1"/>
            <w:bookmarkEnd w:id="97"/>
            <w:r>
              <w:rPr>
                <w:rFonts w:hint="eastAsia" w:ascii="宋体" w:hAnsi="宋体" w:cs="宋体"/>
                <w:szCs w:val="21"/>
              </w:rPr>
              <w:t>17.2</w:t>
            </w:r>
          </w:p>
        </w:tc>
        <w:tc>
          <w:tcPr>
            <w:tcW w:w="8809" w:type="dxa"/>
            <w:tcBorders>
              <w:top w:val="single" w:color="auto" w:sz="4" w:space="0"/>
              <w:left w:val="single" w:color="auto" w:sz="4" w:space="0"/>
              <w:bottom w:val="single" w:color="auto" w:sz="4" w:space="0"/>
              <w:right w:val="single" w:color="auto" w:sz="4" w:space="0"/>
            </w:tcBorders>
            <w:noWrap/>
            <w:vAlign w:val="center"/>
          </w:tcPr>
          <w:p w14:paraId="6486A19A">
            <w:pPr>
              <w:snapToGrid w:val="0"/>
              <w:spacing w:line="360" w:lineRule="auto"/>
              <w:rPr>
                <w:rFonts w:ascii="宋体" w:hAnsi="宋体" w:cs="宋体"/>
                <w:szCs w:val="21"/>
              </w:rPr>
            </w:pPr>
            <w:r>
              <w:rPr>
                <w:rFonts w:hint="eastAsia" w:ascii="宋体" w:hAnsi="宋体" w:cs="宋体"/>
                <w:szCs w:val="21"/>
              </w:rPr>
              <w:t>投标有效期：自投标截止之日起</w:t>
            </w:r>
            <w:r>
              <w:rPr>
                <w:rFonts w:hint="eastAsia" w:ascii="宋体" w:hAnsi="宋体" w:cs="宋体"/>
                <w:szCs w:val="21"/>
                <w:u w:val="single"/>
              </w:rPr>
              <w:t>30</w:t>
            </w:r>
            <w:r>
              <w:rPr>
                <w:rFonts w:hint="eastAsia" w:ascii="宋体" w:hAnsi="宋体" w:cs="宋体"/>
                <w:szCs w:val="21"/>
              </w:rPr>
              <w:t>日。</w:t>
            </w:r>
          </w:p>
        </w:tc>
      </w:tr>
      <w:tr w14:paraId="6D919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6E0E790F">
            <w:pPr>
              <w:spacing w:line="360" w:lineRule="auto"/>
              <w:rPr>
                <w:rFonts w:ascii="宋体" w:hAnsi="宋体" w:cs="宋体"/>
                <w:szCs w:val="21"/>
              </w:rPr>
            </w:pPr>
            <w:bookmarkStart w:id="98" w:name="_18"/>
            <w:bookmarkEnd w:id="98"/>
            <w:r>
              <w:rPr>
                <w:rFonts w:hint="eastAsia" w:ascii="宋体" w:hAnsi="宋体" w:cs="宋体"/>
                <w:szCs w:val="21"/>
              </w:rPr>
              <w:t>18.1</w:t>
            </w:r>
          </w:p>
        </w:tc>
        <w:tc>
          <w:tcPr>
            <w:tcW w:w="8809" w:type="dxa"/>
            <w:tcBorders>
              <w:top w:val="single" w:color="auto" w:sz="4" w:space="0"/>
              <w:left w:val="single" w:color="auto" w:sz="4" w:space="0"/>
              <w:bottom w:val="single" w:color="auto" w:sz="4" w:space="0"/>
              <w:right w:val="single" w:color="auto" w:sz="4" w:space="0"/>
            </w:tcBorders>
            <w:noWrap/>
            <w:vAlign w:val="center"/>
          </w:tcPr>
          <w:p w14:paraId="0CE626EB">
            <w:pPr>
              <w:snapToGrid w:val="0"/>
              <w:spacing w:line="360" w:lineRule="auto"/>
              <w:rPr>
                <w:rFonts w:ascii="宋体" w:hAnsi="宋体" w:cs="宋体"/>
                <w:b/>
                <w:szCs w:val="21"/>
              </w:rPr>
            </w:pPr>
            <w:r>
              <w:rPr>
                <w:rFonts w:hint="eastAsia" w:ascii="宋体" w:hAnsi="宋体" w:cs="宋体"/>
                <w:szCs w:val="21"/>
              </w:rPr>
              <w:sym w:font="Wingdings" w:char="00FE"/>
            </w:r>
            <w:r>
              <w:rPr>
                <w:rFonts w:hint="eastAsia" w:ascii="宋体" w:hAnsi="宋体" w:cs="宋体"/>
                <w:szCs w:val="21"/>
              </w:rPr>
              <w:t>本项目不收取投标保证金。</w:t>
            </w:r>
          </w:p>
        </w:tc>
      </w:tr>
      <w:tr w14:paraId="33007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05B61B62">
            <w:pPr>
              <w:spacing w:line="360" w:lineRule="auto"/>
              <w:rPr>
                <w:rFonts w:ascii="宋体" w:hAnsi="宋体" w:cs="宋体"/>
                <w:szCs w:val="21"/>
              </w:rPr>
            </w:pPr>
            <w:bookmarkStart w:id="99" w:name="_19.2"/>
            <w:bookmarkEnd w:id="99"/>
            <w:r>
              <w:rPr>
                <w:rFonts w:hint="eastAsia" w:ascii="宋体" w:hAnsi="宋体" w:cs="宋体"/>
                <w:szCs w:val="21"/>
              </w:rPr>
              <w:t>20</w:t>
            </w:r>
          </w:p>
        </w:tc>
        <w:tc>
          <w:tcPr>
            <w:tcW w:w="8809" w:type="dxa"/>
            <w:tcBorders>
              <w:top w:val="single" w:color="auto" w:sz="4" w:space="0"/>
              <w:left w:val="single" w:color="auto" w:sz="4" w:space="0"/>
              <w:bottom w:val="single" w:color="auto" w:sz="4" w:space="0"/>
              <w:right w:val="single" w:color="auto" w:sz="4" w:space="0"/>
            </w:tcBorders>
            <w:noWrap/>
            <w:vAlign w:val="center"/>
          </w:tcPr>
          <w:p w14:paraId="520F33AA">
            <w:pPr>
              <w:autoSpaceDE w:val="0"/>
              <w:autoSpaceDN w:val="0"/>
              <w:snapToGrid w:val="0"/>
              <w:spacing w:line="360" w:lineRule="auto"/>
              <w:textAlignment w:val="bottom"/>
              <w:rPr>
                <w:szCs w:val="21"/>
              </w:rPr>
            </w:pPr>
            <w:r>
              <w:rPr>
                <w:rFonts w:hint="eastAsia"/>
                <w:szCs w:val="21"/>
              </w:rPr>
              <w:t>投标文件备份：电子备份文件为未加密的电子投标文件，以U盘形式密封方式：电子备份文件（U盘/光盘）单独放入密封袋，加贴封条，封口处加盖投标人公章，密封袋正面标注‘项目名称、项目编号、投标人全称、电子备份文件、投标截止时间前不得启封’字样，在投标截止时</w:t>
            </w:r>
            <w:r>
              <w:rPr>
                <w:rFonts w:hint="eastAsia"/>
                <w:szCs w:val="21"/>
                <w:lang w:eastAsia="zh-CN"/>
              </w:rPr>
              <w:t>间之</w:t>
            </w:r>
            <w:r>
              <w:rPr>
                <w:rFonts w:hint="eastAsia"/>
                <w:szCs w:val="21"/>
              </w:rPr>
              <w:t>前提交。（由供应商自行选择是否提交电子备份电子投标文件，但不提交电子备份电子投标文件的，不作为否决条件；电子加密投标文件解密失败的，需在解密时限内（30分钟）向采购代理机构提交书面说明，启用电子备份文件；因供应商自身操作失误导致解密失败的，备份文件不予启用，视为投标撤回）。</w:t>
            </w:r>
          </w:p>
        </w:tc>
      </w:tr>
      <w:tr w14:paraId="571E8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56" w:type="dxa"/>
            <w:tcBorders>
              <w:top w:val="single" w:color="auto" w:sz="4" w:space="0"/>
              <w:left w:val="single" w:color="auto" w:sz="4" w:space="0"/>
              <w:bottom w:val="single" w:color="auto" w:sz="4" w:space="0"/>
              <w:right w:val="single" w:color="auto" w:sz="4" w:space="0"/>
            </w:tcBorders>
            <w:noWrap/>
            <w:vAlign w:val="center"/>
          </w:tcPr>
          <w:p w14:paraId="4A05AF09">
            <w:pPr>
              <w:spacing w:line="360" w:lineRule="auto"/>
              <w:rPr>
                <w:rFonts w:ascii="宋体" w:hAnsi="宋体" w:cs="宋体"/>
                <w:szCs w:val="21"/>
              </w:rPr>
            </w:pPr>
            <w:bookmarkStart w:id="100" w:name="_21.1"/>
            <w:bookmarkEnd w:id="100"/>
            <w:r>
              <w:rPr>
                <w:rFonts w:hint="eastAsia" w:ascii="宋体" w:hAnsi="宋体" w:cs="宋体"/>
                <w:szCs w:val="21"/>
              </w:rPr>
              <w:t>21.1</w:t>
            </w:r>
          </w:p>
        </w:tc>
        <w:tc>
          <w:tcPr>
            <w:tcW w:w="8809" w:type="dxa"/>
            <w:tcBorders>
              <w:top w:val="single" w:color="auto" w:sz="4" w:space="0"/>
              <w:left w:val="single" w:color="auto" w:sz="4" w:space="0"/>
              <w:bottom w:val="single" w:color="auto" w:sz="4" w:space="0"/>
              <w:right w:val="single" w:color="auto" w:sz="4" w:space="0"/>
            </w:tcBorders>
            <w:noWrap/>
            <w:vAlign w:val="center"/>
          </w:tcPr>
          <w:p w14:paraId="195C2FB7">
            <w:pPr>
              <w:snapToGrid w:val="0"/>
              <w:spacing w:line="360" w:lineRule="auto"/>
              <w:rPr>
                <w:rFonts w:ascii="宋体" w:hAnsi="宋体" w:cs="宋体"/>
                <w:szCs w:val="21"/>
                <w:u w:val="single"/>
              </w:rPr>
            </w:pPr>
            <w:r>
              <w:rPr>
                <w:rFonts w:hint="eastAsia" w:ascii="宋体" w:hAnsi="宋体" w:cs="宋体"/>
                <w:szCs w:val="21"/>
              </w:rPr>
              <w:t>1.投标截止时间：详见招标公告</w:t>
            </w:r>
          </w:p>
          <w:p w14:paraId="041DA040">
            <w:pPr>
              <w:snapToGrid w:val="0"/>
              <w:spacing w:line="360" w:lineRule="auto"/>
              <w:rPr>
                <w:rFonts w:ascii="宋体" w:hAnsi="宋体" w:cs="宋体"/>
                <w:szCs w:val="21"/>
              </w:rPr>
            </w:pPr>
            <w:r>
              <w:rPr>
                <w:rFonts w:hint="eastAsia" w:ascii="宋体" w:hAnsi="宋体" w:cs="宋体"/>
                <w:szCs w:val="21"/>
              </w:rPr>
              <w:t>2.投标文件提交起止时间：详见招标公告</w:t>
            </w:r>
          </w:p>
          <w:p w14:paraId="305DB93F">
            <w:pPr>
              <w:snapToGrid w:val="0"/>
              <w:spacing w:line="360" w:lineRule="auto"/>
              <w:rPr>
                <w:rFonts w:ascii="宋体" w:hAnsi="宋体" w:cs="宋体"/>
                <w:szCs w:val="21"/>
              </w:rPr>
            </w:pPr>
            <w:r>
              <w:rPr>
                <w:rFonts w:hint="eastAsia" w:ascii="宋体" w:hAnsi="宋体" w:cs="宋体"/>
                <w:szCs w:val="21"/>
              </w:rPr>
              <w:t>3.投标地点：详见招标公告</w:t>
            </w:r>
          </w:p>
        </w:tc>
      </w:tr>
      <w:tr w14:paraId="442F6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0AC99CF1">
            <w:pPr>
              <w:spacing w:line="360" w:lineRule="auto"/>
              <w:rPr>
                <w:rFonts w:ascii="宋体" w:hAnsi="宋体" w:cs="宋体"/>
                <w:szCs w:val="21"/>
              </w:rPr>
            </w:pPr>
            <w:bookmarkStart w:id="101" w:name="_23"/>
            <w:bookmarkEnd w:id="101"/>
            <w:r>
              <w:rPr>
                <w:rFonts w:hint="eastAsia" w:ascii="宋体" w:hAnsi="宋体" w:cs="宋体"/>
                <w:szCs w:val="21"/>
              </w:rPr>
              <w:t>23</w:t>
            </w:r>
          </w:p>
        </w:tc>
        <w:tc>
          <w:tcPr>
            <w:tcW w:w="8809" w:type="dxa"/>
            <w:tcBorders>
              <w:top w:val="single" w:color="auto" w:sz="4" w:space="0"/>
              <w:left w:val="single" w:color="auto" w:sz="4" w:space="0"/>
              <w:bottom w:val="single" w:color="auto" w:sz="4" w:space="0"/>
              <w:right w:val="single" w:color="auto" w:sz="4" w:space="0"/>
            </w:tcBorders>
            <w:noWrap/>
            <w:vAlign w:val="center"/>
          </w:tcPr>
          <w:p w14:paraId="417D3E5A">
            <w:pPr>
              <w:snapToGrid w:val="0"/>
              <w:spacing w:line="360" w:lineRule="auto"/>
              <w:rPr>
                <w:rFonts w:ascii="宋体" w:hAnsi="宋体" w:cs="宋体"/>
                <w:szCs w:val="21"/>
              </w:rPr>
            </w:pPr>
            <w:r>
              <w:rPr>
                <w:rFonts w:hint="eastAsia" w:ascii="宋体" w:hAnsi="宋体" w:cs="宋体"/>
                <w:szCs w:val="21"/>
              </w:rPr>
              <w:t>1.开标时间：详见招标公告</w:t>
            </w:r>
          </w:p>
          <w:p w14:paraId="0A016101">
            <w:pPr>
              <w:snapToGrid w:val="0"/>
              <w:spacing w:line="360" w:lineRule="auto"/>
              <w:rPr>
                <w:rFonts w:ascii="宋体" w:hAnsi="宋体" w:cs="宋体"/>
                <w:szCs w:val="21"/>
              </w:rPr>
            </w:pPr>
            <w:r>
              <w:rPr>
                <w:rFonts w:hint="eastAsia" w:ascii="宋体" w:hAnsi="宋体" w:cs="宋体"/>
                <w:szCs w:val="21"/>
              </w:rPr>
              <w:t>2.开标地点：详见招标公告</w:t>
            </w:r>
          </w:p>
        </w:tc>
      </w:tr>
      <w:tr w14:paraId="12434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44B68AC2">
            <w:pPr>
              <w:spacing w:line="360" w:lineRule="auto"/>
              <w:rPr>
                <w:rFonts w:ascii="宋体" w:hAnsi="宋体" w:cs="宋体"/>
                <w:szCs w:val="21"/>
              </w:rPr>
            </w:pPr>
            <w:bookmarkStart w:id="102" w:name="_25.3"/>
            <w:bookmarkEnd w:id="102"/>
            <w:r>
              <w:rPr>
                <w:rFonts w:hint="eastAsia" w:ascii="宋体" w:hAnsi="宋体" w:cs="宋体"/>
                <w:szCs w:val="21"/>
              </w:rPr>
              <w:t>25.3（2）</w:t>
            </w:r>
          </w:p>
        </w:tc>
        <w:tc>
          <w:tcPr>
            <w:tcW w:w="8809" w:type="dxa"/>
            <w:tcBorders>
              <w:top w:val="single" w:color="auto" w:sz="4" w:space="0"/>
              <w:left w:val="single" w:color="auto" w:sz="4" w:space="0"/>
              <w:bottom w:val="single" w:color="auto" w:sz="4" w:space="0"/>
              <w:right w:val="single" w:color="auto" w:sz="4" w:space="0"/>
            </w:tcBorders>
            <w:noWrap/>
            <w:vAlign w:val="center"/>
          </w:tcPr>
          <w:p w14:paraId="247878C5">
            <w:pPr>
              <w:snapToGrid w:val="0"/>
              <w:spacing w:line="360" w:lineRule="auto"/>
              <w:rPr>
                <w:rFonts w:ascii="宋体" w:hAnsi="宋体" w:cs="宋体"/>
                <w:szCs w:val="21"/>
              </w:rPr>
            </w:pPr>
            <w:r>
              <w:rPr>
                <w:rFonts w:hint="eastAsia" w:ascii="宋体" w:hAnsi="宋体" w:cs="宋体"/>
                <w:szCs w:val="21"/>
              </w:rPr>
              <w:t>采购人或者采购代理机构在资格审查结束前，对投标人进行信用查询。</w:t>
            </w:r>
          </w:p>
          <w:p w14:paraId="7D42F748">
            <w:pPr>
              <w:snapToGrid w:val="0"/>
              <w:spacing w:line="360" w:lineRule="auto"/>
              <w:rPr>
                <w:rFonts w:ascii="宋体" w:hAnsi="宋体" w:cs="宋体"/>
                <w:szCs w:val="21"/>
              </w:rPr>
            </w:pPr>
            <w:r>
              <w:rPr>
                <w:rFonts w:hint="eastAsia" w:ascii="宋体" w:hAnsi="宋体" w:cs="宋体"/>
                <w:szCs w:val="21"/>
              </w:rPr>
              <w:t>查询渠道：“信用中国”网站（www.creditchina.gov.cn）、中国政府采购网（www.ccgp.gov.cn）》。</w:t>
            </w:r>
          </w:p>
          <w:p w14:paraId="374C2CA2">
            <w:pPr>
              <w:snapToGrid w:val="0"/>
              <w:spacing w:line="360" w:lineRule="auto"/>
              <w:rPr>
                <w:rFonts w:ascii="宋体" w:hAnsi="宋体" w:cs="宋体"/>
                <w:szCs w:val="21"/>
              </w:rPr>
            </w:pPr>
            <w:r>
              <w:rPr>
                <w:rFonts w:hint="eastAsia" w:ascii="宋体" w:hAnsi="宋体" w:cs="宋体"/>
                <w:szCs w:val="21"/>
              </w:rPr>
              <w:t>信用查询截止时点：资格审查结束前</w:t>
            </w:r>
          </w:p>
          <w:p w14:paraId="602B2F5A">
            <w:pPr>
              <w:snapToGrid w:val="0"/>
              <w:spacing w:line="360" w:lineRule="auto"/>
              <w:rPr>
                <w:rFonts w:ascii="宋体" w:hAnsi="宋体" w:cs="宋体"/>
                <w:szCs w:val="21"/>
              </w:rPr>
            </w:pPr>
            <w:r>
              <w:rPr>
                <w:rFonts w:hint="eastAsia" w:ascii="宋体" w:hAnsi="宋体" w:cs="宋体"/>
                <w:szCs w:val="21"/>
              </w:rPr>
              <w:t>查询记录和证据留存方式：在查询网站中直接打印查询记录，打印材料作为评审资料保存，查询记录及评审资料保存期限不少于15年，保存主体为采购代理机构。</w:t>
            </w:r>
          </w:p>
          <w:p w14:paraId="58161DF3">
            <w:pPr>
              <w:snapToGrid w:val="0"/>
              <w:spacing w:line="360" w:lineRule="auto"/>
              <w:rPr>
                <w:rFonts w:ascii="宋体" w:hAnsi="宋体" w:cs="宋体"/>
                <w:szCs w:val="21"/>
              </w:rPr>
            </w:pPr>
            <w:r>
              <w:rPr>
                <w:rFonts w:hint="eastAsia" w:ascii="宋体" w:hAnsi="宋体" w:cs="宋体"/>
                <w:szCs w:val="21"/>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C8520F5">
            <w:pPr>
              <w:snapToGrid w:val="0"/>
              <w:spacing w:line="360" w:lineRule="auto"/>
              <w:rPr>
                <w:rFonts w:ascii="宋体" w:hAnsi="宋体" w:cs="宋体"/>
                <w:szCs w:val="21"/>
              </w:rPr>
            </w:pPr>
          </w:p>
        </w:tc>
      </w:tr>
      <w:tr w14:paraId="29718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4A8C15CF">
            <w:pPr>
              <w:spacing w:line="360" w:lineRule="auto"/>
              <w:rPr>
                <w:rFonts w:ascii="宋体" w:hAnsi="宋体" w:cs="宋体"/>
                <w:szCs w:val="21"/>
              </w:rPr>
            </w:pPr>
            <w:bookmarkStart w:id="103" w:name="_26"/>
            <w:bookmarkEnd w:id="103"/>
            <w:r>
              <w:rPr>
                <w:rFonts w:hint="eastAsia" w:ascii="宋体" w:hAnsi="宋体" w:cs="宋体"/>
                <w:szCs w:val="21"/>
              </w:rPr>
              <w:t>26</w:t>
            </w:r>
          </w:p>
        </w:tc>
        <w:tc>
          <w:tcPr>
            <w:tcW w:w="8809" w:type="dxa"/>
            <w:tcBorders>
              <w:top w:val="single" w:color="auto" w:sz="4" w:space="0"/>
              <w:left w:val="single" w:color="auto" w:sz="4" w:space="0"/>
              <w:bottom w:val="single" w:color="auto" w:sz="4" w:space="0"/>
              <w:right w:val="single" w:color="auto" w:sz="4" w:space="0"/>
            </w:tcBorders>
            <w:noWrap/>
            <w:vAlign w:val="center"/>
          </w:tcPr>
          <w:p w14:paraId="70D12A64">
            <w:pPr>
              <w:autoSpaceDE w:val="0"/>
              <w:autoSpaceDN w:val="0"/>
              <w:snapToGrid w:val="0"/>
              <w:spacing w:line="360" w:lineRule="auto"/>
              <w:textAlignment w:val="bottom"/>
              <w:rPr>
                <w:rFonts w:ascii="宋体" w:hAnsi="宋体" w:cs="宋体"/>
                <w:szCs w:val="21"/>
              </w:rPr>
            </w:pPr>
            <w:r>
              <w:rPr>
                <w:rFonts w:hint="eastAsia" w:ascii="宋体" w:hAnsi="宋体" w:cs="宋体"/>
                <w:szCs w:val="21"/>
              </w:rPr>
              <w:t>评标委员会的人数：评标委员会由采购人代表和评审专家组成，成员人数应当为5人以上单数，其中评审专家不得少于成员总数的三分之二。</w:t>
            </w:r>
          </w:p>
        </w:tc>
      </w:tr>
      <w:tr w14:paraId="3C088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02420C19">
            <w:pPr>
              <w:spacing w:line="360" w:lineRule="auto"/>
              <w:rPr>
                <w:rFonts w:ascii="宋体" w:hAnsi="宋体" w:cs="宋体"/>
                <w:szCs w:val="21"/>
              </w:rPr>
            </w:pPr>
            <w:bookmarkStart w:id="104" w:name="_28.3"/>
            <w:bookmarkEnd w:id="104"/>
            <w:r>
              <w:rPr>
                <w:rFonts w:hint="eastAsia" w:ascii="宋体" w:hAnsi="宋体" w:cs="宋体"/>
                <w:szCs w:val="21"/>
              </w:rPr>
              <w:t>29.1</w:t>
            </w:r>
          </w:p>
        </w:tc>
        <w:tc>
          <w:tcPr>
            <w:tcW w:w="8809" w:type="dxa"/>
            <w:tcBorders>
              <w:top w:val="single" w:color="auto" w:sz="4" w:space="0"/>
              <w:left w:val="single" w:color="auto" w:sz="4" w:space="0"/>
              <w:bottom w:val="single" w:color="auto" w:sz="4" w:space="0"/>
              <w:right w:val="single" w:color="auto" w:sz="4" w:space="0"/>
            </w:tcBorders>
            <w:noWrap/>
            <w:vAlign w:val="center"/>
          </w:tcPr>
          <w:p w14:paraId="753B6598">
            <w:pPr>
              <w:autoSpaceDE w:val="0"/>
              <w:autoSpaceDN w:val="0"/>
              <w:snapToGrid w:val="0"/>
              <w:spacing w:line="360" w:lineRule="auto"/>
              <w:textAlignment w:val="bottom"/>
              <w:rPr>
                <w:rFonts w:ascii="宋体" w:hAnsi="宋体" w:cs="宋体"/>
                <w:szCs w:val="21"/>
              </w:rPr>
            </w:pPr>
            <w:r>
              <w:rPr>
                <w:rFonts w:hint="eastAsia" w:ascii="宋体" w:hAnsi="宋体" w:cs="宋体"/>
                <w:szCs w:val="21"/>
              </w:rPr>
              <w:t>评标方法：☑综合评分法</w:t>
            </w:r>
          </w:p>
        </w:tc>
      </w:tr>
      <w:tr w14:paraId="66231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56" w:type="dxa"/>
            <w:tcBorders>
              <w:top w:val="single" w:color="auto" w:sz="4" w:space="0"/>
              <w:left w:val="single" w:color="auto" w:sz="4" w:space="0"/>
              <w:right w:val="single" w:color="auto" w:sz="4" w:space="0"/>
            </w:tcBorders>
            <w:noWrap/>
            <w:vAlign w:val="center"/>
          </w:tcPr>
          <w:p w14:paraId="70A8CC8D">
            <w:pPr>
              <w:spacing w:line="360" w:lineRule="auto"/>
              <w:rPr>
                <w:rFonts w:ascii="宋体" w:hAnsi="宋体" w:cs="宋体"/>
                <w:szCs w:val="21"/>
              </w:rPr>
            </w:pPr>
            <w:bookmarkStart w:id="105" w:name="_29.2.2（2）"/>
            <w:bookmarkEnd w:id="105"/>
            <w:r>
              <w:rPr>
                <w:rFonts w:hint="eastAsia" w:ascii="宋体" w:hAnsi="宋体" w:cs="宋体"/>
                <w:szCs w:val="21"/>
              </w:rPr>
              <w:t>29.2</w:t>
            </w:r>
          </w:p>
        </w:tc>
        <w:tc>
          <w:tcPr>
            <w:tcW w:w="8809" w:type="dxa"/>
            <w:tcBorders>
              <w:top w:val="single" w:color="auto" w:sz="4" w:space="0"/>
              <w:left w:val="single" w:color="auto" w:sz="4" w:space="0"/>
              <w:right w:val="single" w:color="auto" w:sz="4" w:space="0"/>
            </w:tcBorders>
            <w:noWrap/>
            <w:vAlign w:val="center"/>
          </w:tcPr>
          <w:p w14:paraId="7D7D8DA7">
            <w:pPr>
              <w:snapToGrid w:val="0"/>
              <w:spacing w:line="360" w:lineRule="auto"/>
              <w:rPr>
                <w:rFonts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w:t>
            </w:r>
            <w:r>
              <w:rPr>
                <w:rFonts w:hint="eastAsia" w:ascii="宋体" w:hAnsi="宋体" w:cs="宋体"/>
                <w:szCs w:val="21"/>
              </w:rPr>
              <w:t>项。</w:t>
            </w:r>
          </w:p>
          <w:p w14:paraId="09D35A3D">
            <w:pPr>
              <w:snapToGrid w:val="0"/>
              <w:spacing w:line="360" w:lineRule="auto"/>
              <w:rPr>
                <w:rFonts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w:t>
            </w:r>
            <w:r>
              <w:rPr>
                <w:rFonts w:hint="eastAsia" w:ascii="宋体" w:hAnsi="宋体" w:cs="宋体"/>
                <w:szCs w:val="21"/>
              </w:rPr>
              <w:t>项。</w:t>
            </w:r>
          </w:p>
        </w:tc>
      </w:tr>
      <w:tr w14:paraId="4F7A7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2208EDDB">
            <w:pPr>
              <w:spacing w:line="360" w:lineRule="auto"/>
              <w:rPr>
                <w:rFonts w:ascii="宋体" w:hAnsi="宋体" w:cs="宋体"/>
                <w:szCs w:val="21"/>
              </w:rPr>
            </w:pPr>
            <w:r>
              <w:rPr>
                <w:rFonts w:hint="eastAsia" w:ascii="宋体" w:hAnsi="宋体" w:cs="宋体"/>
                <w:szCs w:val="21"/>
              </w:rPr>
              <w:t>30.1</w:t>
            </w:r>
          </w:p>
        </w:tc>
        <w:tc>
          <w:tcPr>
            <w:tcW w:w="8809" w:type="dxa"/>
            <w:tcBorders>
              <w:top w:val="single" w:color="auto" w:sz="4" w:space="0"/>
              <w:left w:val="single" w:color="auto" w:sz="4" w:space="0"/>
              <w:bottom w:val="single" w:color="auto" w:sz="4" w:space="0"/>
              <w:right w:val="single" w:color="auto" w:sz="4" w:space="0"/>
            </w:tcBorders>
            <w:noWrap/>
            <w:vAlign w:val="center"/>
          </w:tcPr>
          <w:p w14:paraId="468A1E38">
            <w:pPr>
              <w:autoSpaceDE w:val="0"/>
              <w:autoSpaceDN w:val="0"/>
              <w:snapToGrid w:val="0"/>
              <w:spacing w:line="360" w:lineRule="auto"/>
              <w:textAlignment w:val="bottom"/>
              <w:rPr>
                <w:rFonts w:ascii="宋体" w:hAnsi="宋体" w:cs="宋体"/>
                <w:szCs w:val="21"/>
              </w:rPr>
            </w:pPr>
            <w:r>
              <w:rPr>
                <w:rFonts w:hint="eastAsia" w:ascii="宋体" w:hAnsi="宋体" w:cs="宋体"/>
                <w:szCs w:val="21"/>
              </w:rPr>
              <w:t>采购人确定中标人时，出现中标候选人并列的情形，采购人按以下方式确定中标人：</w:t>
            </w:r>
          </w:p>
          <w:p w14:paraId="6FB4D175">
            <w:pPr>
              <w:autoSpaceDE w:val="0"/>
              <w:autoSpaceDN w:val="0"/>
              <w:snapToGrid w:val="0"/>
              <w:spacing w:line="360" w:lineRule="auto"/>
              <w:textAlignment w:val="bottom"/>
              <w:rPr>
                <w:rFonts w:ascii="宋体" w:hAnsi="宋体" w:cs="宋体"/>
                <w:szCs w:val="21"/>
              </w:rPr>
            </w:pPr>
            <w:r>
              <w:rPr>
                <w:rFonts w:hint="eastAsia" w:ascii="宋体" w:hAnsi="宋体" w:cs="宋体"/>
                <w:szCs w:val="21"/>
              </w:rPr>
              <w:t>☑技术评分高的优先、商务评分高的优先、政策分得分高的优先、项目质保期长优先、交货期短优先、故障响应时间短优先的顺序；</w:t>
            </w:r>
          </w:p>
          <w:p w14:paraId="765C4F85">
            <w:pPr>
              <w:snapToGrid w:val="0"/>
              <w:spacing w:line="360" w:lineRule="auto"/>
              <w:rPr>
                <w:rFonts w:ascii="宋体" w:hAnsi="宋体" w:cs="宋体"/>
                <w:b/>
                <w:szCs w:val="21"/>
              </w:rPr>
            </w:pPr>
            <w:r>
              <w:rPr>
                <w:rFonts w:hint="eastAsia" w:ascii="宋体" w:hAnsi="宋体" w:cs="宋体"/>
                <w:szCs w:val="21"/>
              </w:rPr>
              <w:t>□随机抽取</w:t>
            </w:r>
          </w:p>
        </w:tc>
      </w:tr>
      <w:tr w14:paraId="32726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dxa"/>
            <w:tcBorders>
              <w:top w:val="single" w:color="auto" w:sz="4" w:space="0"/>
              <w:left w:val="single" w:color="auto" w:sz="4" w:space="0"/>
              <w:bottom w:val="single" w:color="auto" w:sz="4" w:space="0"/>
              <w:right w:val="single" w:color="auto" w:sz="4" w:space="0"/>
            </w:tcBorders>
            <w:noWrap/>
            <w:vAlign w:val="center"/>
          </w:tcPr>
          <w:p w14:paraId="6352C82E">
            <w:pPr>
              <w:spacing w:line="360" w:lineRule="auto"/>
              <w:rPr>
                <w:rFonts w:ascii="宋体" w:hAnsi="宋体" w:cs="宋体"/>
                <w:szCs w:val="21"/>
              </w:rPr>
            </w:pPr>
            <w:bookmarkStart w:id="106" w:name="_39.1"/>
            <w:bookmarkEnd w:id="106"/>
            <w:r>
              <w:rPr>
                <w:rFonts w:hint="eastAsia" w:ascii="宋体" w:hAnsi="宋体" w:cs="宋体"/>
                <w:szCs w:val="21"/>
              </w:rPr>
              <w:t>35.1</w:t>
            </w:r>
          </w:p>
        </w:tc>
        <w:tc>
          <w:tcPr>
            <w:tcW w:w="8809" w:type="dxa"/>
            <w:tcBorders>
              <w:top w:val="single" w:color="auto" w:sz="4" w:space="0"/>
              <w:left w:val="single" w:color="auto" w:sz="4" w:space="0"/>
              <w:bottom w:val="single" w:color="auto" w:sz="4" w:space="0"/>
              <w:right w:val="single" w:color="auto" w:sz="4" w:space="0"/>
            </w:tcBorders>
            <w:noWrap/>
            <w:vAlign w:val="center"/>
          </w:tcPr>
          <w:p w14:paraId="2DDDE208">
            <w:pPr>
              <w:spacing w:line="360" w:lineRule="auto"/>
              <w:jc w:val="left"/>
              <w:rPr>
                <w:rFonts w:ascii="宋体" w:hAnsi="宋体" w:cs="宋体"/>
                <w:kern w:val="0"/>
                <w:szCs w:val="21"/>
              </w:rPr>
            </w:pPr>
            <w:r>
              <w:rPr>
                <w:rFonts w:hint="eastAsia" w:ascii="宋体" w:hAnsi="宋体" w:cs="宋体"/>
                <w:szCs w:val="21"/>
              </w:rPr>
              <w:t>履约保证金金额：无。</w:t>
            </w:r>
          </w:p>
        </w:tc>
      </w:tr>
      <w:tr w14:paraId="79FB4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4497F3BD">
            <w:pPr>
              <w:spacing w:line="360" w:lineRule="auto"/>
              <w:rPr>
                <w:rFonts w:ascii="宋体" w:hAnsi="宋体" w:cs="宋体"/>
                <w:szCs w:val="21"/>
              </w:rPr>
            </w:pPr>
            <w:bookmarkStart w:id="107" w:name="_40.1"/>
            <w:bookmarkEnd w:id="107"/>
            <w:r>
              <w:rPr>
                <w:rFonts w:hint="eastAsia" w:ascii="宋体" w:hAnsi="宋体" w:cs="宋体"/>
                <w:szCs w:val="21"/>
              </w:rPr>
              <w:t>36.1</w:t>
            </w:r>
          </w:p>
        </w:tc>
        <w:tc>
          <w:tcPr>
            <w:tcW w:w="8809" w:type="dxa"/>
            <w:tcBorders>
              <w:top w:val="single" w:color="auto" w:sz="4" w:space="0"/>
              <w:left w:val="single" w:color="auto" w:sz="4" w:space="0"/>
              <w:bottom w:val="single" w:color="auto" w:sz="4" w:space="0"/>
              <w:right w:val="single" w:color="auto" w:sz="4" w:space="0"/>
            </w:tcBorders>
            <w:noWrap/>
            <w:vAlign w:val="center"/>
          </w:tcPr>
          <w:p w14:paraId="5F651B39">
            <w:pPr>
              <w:autoSpaceDE w:val="0"/>
              <w:autoSpaceDN w:val="0"/>
              <w:snapToGrid w:val="0"/>
              <w:spacing w:line="360" w:lineRule="auto"/>
              <w:textAlignment w:val="bottom"/>
              <w:rPr>
                <w:rFonts w:ascii="宋体" w:hAnsi="宋体" w:cs="宋体"/>
                <w:szCs w:val="21"/>
              </w:rPr>
            </w:pPr>
            <w:r>
              <w:rPr>
                <w:rFonts w:hint="eastAsia" w:ascii="宋体" w:hAnsi="宋体" w:cs="宋体"/>
                <w:szCs w:val="21"/>
              </w:rPr>
              <w:t>签订合同携带的证明材料：</w:t>
            </w:r>
          </w:p>
          <w:p w14:paraId="07BC9F8D">
            <w:pPr>
              <w:autoSpaceDE w:val="0"/>
              <w:autoSpaceDN w:val="0"/>
              <w:snapToGrid w:val="0"/>
              <w:spacing w:line="360" w:lineRule="auto"/>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140705AB">
            <w:pPr>
              <w:autoSpaceDE w:val="0"/>
              <w:autoSpaceDN w:val="0"/>
              <w:snapToGrid w:val="0"/>
              <w:spacing w:line="360" w:lineRule="auto"/>
              <w:textAlignment w:val="bottom"/>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60A07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33652C43">
            <w:pPr>
              <w:spacing w:line="360" w:lineRule="auto"/>
              <w:rPr>
                <w:rFonts w:ascii="宋体" w:hAnsi="宋体" w:cs="宋体"/>
                <w:szCs w:val="21"/>
              </w:rPr>
            </w:pPr>
            <w:r>
              <w:rPr>
                <w:rFonts w:hint="eastAsia" w:ascii="宋体" w:hAnsi="宋体" w:cs="宋体"/>
                <w:szCs w:val="21"/>
              </w:rPr>
              <w:t>38.2</w:t>
            </w:r>
          </w:p>
        </w:tc>
        <w:tc>
          <w:tcPr>
            <w:tcW w:w="8809" w:type="dxa"/>
            <w:tcBorders>
              <w:top w:val="single" w:color="auto" w:sz="4" w:space="0"/>
              <w:left w:val="single" w:color="auto" w:sz="4" w:space="0"/>
              <w:bottom w:val="single" w:color="auto" w:sz="4" w:space="0"/>
              <w:right w:val="single" w:color="auto" w:sz="4" w:space="0"/>
            </w:tcBorders>
            <w:noWrap/>
            <w:vAlign w:val="center"/>
          </w:tcPr>
          <w:p w14:paraId="7A22891E">
            <w:pPr>
              <w:snapToGrid w:val="0"/>
              <w:spacing w:line="360" w:lineRule="auto"/>
              <w:rPr>
                <w:rFonts w:ascii="宋体" w:hAnsi="宋体" w:cs="宋体"/>
                <w:szCs w:val="21"/>
              </w:rPr>
            </w:pPr>
            <w:r>
              <w:rPr>
                <w:rFonts w:hint="eastAsia" w:ascii="宋体" w:hAnsi="宋体" w:cs="宋体"/>
                <w:szCs w:val="21"/>
              </w:rPr>
              <w:t>接收质疑函方式：以书面形式</w:t>
            </w:r>
          </w:p>
          <w:p w14:paraId="0AEB487B">
            <w:pPr>
              <w:snapToGrid w:val="0"/>
              <w:spacing w:line="360" w:lineRule="auto"/>
              <w:rPr>
                <w:rFonts w:ascii="宋体" w:hAnsi="宋体" w:cs="宋体"/>
                <w:szCs w:val="21"/>
              </w:rPr>
            </w:pPr>
            <w:r>
              <w:rPr>
                <w:rFonts w:hint="eastAsia" w:ascii="宋体" w:hAnsi="宋体" w:cs="宋体"/>
                <w:szCs w:val="21"/>
              </w:rPr>
              <w:t>质疑联系部门及联系方式：详见招标公告</w:t>
            </w:r>
          </w:p>
          <w:p w14:paraId="263E136E">
            <w:pPr>
              <w:autoSpaceDE w:val="0"/>
              <w:autoSpaceDN w:val="0"/>
              <w:snapToGrid w:val="0"/>
              <w:spacing w:line="360" w:lineRule="auto"/>
              <w:textAlignment w:val="bottom"/>
              <w:rPr>
                <w:rFonts w:ascii="宋体" w:hAnsi="宋体" w:cs="宋体"/>
                <w:szCs w:val="21"/>
              </w:rPr>
            </w:pPr>
            <w:r>
              <w:rPr>
                <w:rFonts w:hint="eastAsia" w:ascii="宋体" w:hAnsi="宋体" w:cs="宋体"/>
                <w:szCs w:val="21"/>
              </w:rPr>
              <w:t>现场提交质疑办理业务时间：每天8时00分到12时00分，15时00分到18时00分，业务时间以外、双休日和法定节假日不办理业务。</w:t>
            </w:r>
          </w:p>
        </w:tc>
      </w:tr>
      <w:tr w14:paraId="3EE54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1A675CD7">
            <w:pPr>
              <w:spacing w:line="360" w:lineRule="auto"/>
              <w:rPr>
                <w:rFonts w:ascii="宋体" w:hAnsi="宋体" w:cs="宋体"/>
                <w:szCs w:val="21"/>
              </w:rPr>
            </w:pPr>
            <w:bookmarkStart w:id="108" w:name="_42"/>
            <w:bookmarkEnd w:id="108"/>
            <w:bookmarkStart w:id="109" w:name="_41"/>
            <w:bookmarkEnd w:id="109"/>
            <w:bookmarkStart w:id="110" w:name="_Hlt17709148"/>
            <w:r>
              <w:rPr>
                <w:rFonts w:hint="eastAsia" w:ascii="宋体" w:hAnsi="宋体" w:cs="宋体"/>
                <w:szCs w:val="21"/>
              </w:rPr>
              <w:t>3</w:t>
            </w:r>
            <w:bookmarkEnd w:id="110"/>
            <w:r>
              <w:rPr>
                <w:rFonts w:hint="eastAsia" w:ascii="宋体" w:hAnsi="宋体" w:cs="宋体"/>
                <w:szCs w:val="21"/>
              </w:rPr>
              <w:t>9.1</w:t>
            </w:r>
          </w:p>
        </w:tc>
        <w:tc>
          <w:tcPr>
            <w:tcW w:w="8809" w:type="dxa"/>
            <w:tcBorders>
              <w:top w:val="single" w:color="auto" w:sz="4" w:space="0"/>
              <w:left w:val="single" w:color="auto" w:sz="4" w:space="0"/>
              <w:bottom w:val="single" w:color="auto" w:sz="4" w:space="0"/>
              <w:right w:val="single" w:color="auto" w:sz="4" w:space="0"/>
            </w:tcBorders>
            <w:noWrap/>
            <w:vAlign w:val="center"/>
          </w:tcPr>
          <w:p w14:paraId="7A39A3C5">
            <w:pPr>
              <w:pStyle w:val="24"/>
              <w:snapToGrid w:val="0"/>
              <w:spacing w:line="360" w:lineRule="auto"/>
              <w:rPr>
                <w:rFonts w:hAnsi="宋体" w:cs="宋体"/>
                <w:sz w:val="21"/>
              </w:rPr>
            </w:pPr>
            <w:r>
              <w:rPr>
                <w:rFonts w:hint="eastAsia" w:hAnsi="宋体" w:cs="宋体"/>
                <w:sz w:val="21"/>
              </w:rPr>
              <w:t>1.采购代理费支付方式：</w:t>
            </w:r>
          </w:p>
          <w:p w14:paraId="09990B3F">
            <w:pPr>
              <w:pStyle w:val="24"/>
              <w:snapToGrid w:val="0"/>
              <w:spacing w:line="360" w:lineRule="auto"/>
              <w:rPr>
                <w:rFonts w:hAnsi="宋体" w:cs="宋体"/>
                <w:sz w:val="21"/>
              </w:rPr>
            </w:pPr>
            <w:r>
              <w:rPr>
                <w:rFonts w:hint="eastAsia" w:hAnsi="宋体" w:cs="宋体"/>
                <w:sz w:val="21"/>
              </w:rPr>
              <w:t>☑本项目代理服务费由</w:t>
            </w:r>
            <w:r>
              <w:rPr>
                <w:rFonts w:hint="eastAsia" w:hAnsi="宋体" w:cs="宋体"/>
                <w:sz w:val="21"/>
                <w:u w:val="single"/>
              </w:rPr>
              <w:t>中标人</w:t>
            </w:r>
            <w:r>
              <w:rPr>
                <w:rFonts w:hint="eastAsia" w:hAnsi="宋体" w:cs="宋体"/>
                <w:sz w:val="21"/>
              </w:rPr>
              <w:t>在领取中标通知书前，一次性向采购代理机构支付。</w:t>
            </w:r>
          </w:p>
          <w:p w14:paraId="471FA667">
            <w:pPr>
              <w:pStyle w:val="24"/>
              <w:snapToGrid w:val="0"/>
              <w:spacing w:line="360" w:lineRule="auto"/>
              <w:rPr>
                <w:rFonts w:hAnsi="宋体" w:cs="宋体"/>
                <w:sz w:val="21"/>
              </w:rPr>
            </w:pPr>
            <w:r>
              <w:rPr>
                <w:rFonts w:hint="eastAsia" w:hAnsi="宋体" w:cs="宋体"/>
                <w:sz w:val="21"/>
              </w:rPr>
              <w:t>□采购人支付。</w:t>
            </w:r>
          </w:p>
          <w:p w14:paraId="3ADC4D6E">
            <w:pPr>
              <w:pStyle w:val="24"/>
              <w:snapToGrid w:val="0"/>
              <w:spacing w:line="360" w:lineRule="auto"/>
              <w:rPr>
                <w:rFonts w:hAnsi="宋体" w:cs="宋体"/>
                <w:sz w:val="21"/>
              </w:rPr>
            </w:pPr>
            <w:r>
              <w:rPr>
                <w:rFonts w:hint="eastAsia" w:hAnsi="宋体" w:cs="宋体"/>
                <w:sz w:val="21"/>
              </w:rPr>
              <w:t>2.采购代理费收取标准：</w:t>
            </w:r>
          </w:p>
          <w:p w14:paraId="4B6C0386">
            <w:pPr>
              <w:pStyle w:val="24"/>
              <w:snapToGrid w:val="0"/>
              <w:spacing w:line="360" w:lineRule="auto"/>
              <w:rPr>
                <w:rFonts w:hAnsi="宋体" w:cs="宋体"/>
                <w:sz w:val="21"/>
              </w:rPr>
            </w:pPr>
            <w:r>
              <w:rPr>
                <w:rFonts w:hint="eastAsia" w:hAnsi="宋体" w:cs="宋体"/>
                <w:sz w:val="21"/>
              </w:rPr>
              <w:t>□以分标（☑中标金额/□采购预算/□暂定中标金额/□其他）为计费额，按本须知正文第39.2条规定的收费计算标准（□货物招标/☑服务招标/□工程招标）采用差额定率累进法计算出收费基准价格，采购代理收费以（□收费基准价格/☑收费基准价格下浮</w:t>
            </w:r>
            <w:r>
              <w:rPr>
                <w:rFonts w:hint="eastAsia" w:hAnsi="宋体" w:cs="宋体"/>
                <w:sz w:val="21"/>
                <w:u w:val="single"/>
              </w:rPr>
              <w:t>10%</w:t>
            </w:r>
            <w:r>
              <w:rPr>
                <w:rFonts w:hint="eastAsia" w:hAnsi="宋体" w:cs="宋体"/>
                <w:sz w:val="21"/>
              </w:rPr>
              <w:t>/□收费基准价格上浮</w:t>
            </w:r>
            <w:r>
              <w:rPr>
                <w:rFonts w:hint="eastAsia" w:hAnsi="宋体" w:cs="宋体"/>
                <w:sz w:val="21"/>
                <w:u w:val="single"/>
              </w:rPr>
              <w:t>%</w:t>
            </w:r>
            <w:r>
              <w:rPr>
                <w:rFonts w:hint="eastAsia" w:hAnsi="宋体" w:cs="宋体"/>
                <w:sz w:val="21"/>
              </w:rPr>
              <w:t>）收取。</w:t>
            </w:r>
          </w:p>
          <w:p w14:paraId="5A2F8AF5">
            <w:pPr>
              <w:pStyle w:val="24"/>
              <w:snapToGrid w:val="0"/>
              <w:spacing w:line="360" w:lineRule="auto"/>
              <w:rPr>
                <w:rFonts w:hAnsi="宋体" w:cs="宋体"/>
                <w:sz w:val="21"/>
              </w:rPr>
            </w:pPr>
            <w:r>
              <w:rPr>
                <w:rFonts w:hint="eastAsia" w:hAnsi="宋体" w:cs="宋体"/>
                <w:sz w:val="21"/>
              </w:rPr>
              <w:t>□固定采购代理收费</w:t>
            </w:r>
            <w:r>
              <w:rPr>
                <w:rFonts w:hint="eastAsia" w:hAnsi="宋体" w:cs="宋体"/>
                <w:sz w:val="21"/>
                <w:u w:val="single"/>
              </w:rPr>
              <w:t>。</w:t>
            </w:r>
          </w:p>
        </w:tc>
      </w:tr>
      <w:tr w14:paraId="1B2EE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261C44DE">
            <w:pPr>
              <w:snapToGrid w:val="0"/>
              <w:spacing w:line="360" w:lineRule="auto"/>
              <w:jc w:val="center"/>
              <w:rPr>
                <w:rFonts w:ascii="宋体" w:hAnsi="宋体" w:cs="宋体"/>
                <w:szCs w:val="21"/>
              </w:rPr>
            </w:pPr>
            <w:r>
              <w:rPr>
                <w:rFonts w:hint="eastAsia" w:ascii="宋体" w:hAnsi="宋体" w:cs="宋体"/>
                <w:szCs w:val="21"/>
              </w:rPr>
              <w:t>40.1</w:t>
            </w:r>
          </w:p>
        </w:tc>
        <w:tc>
          <w:tcPr>
            <w:tcW w:w="8809" w:type="dxa"/>
            <w:tcBorders>
              <w:top w:val="single" w:color="auto" w:sz="4" w:space="0"/>
              <w:left w:val="single" w:color="auto" w:sz="4" w:space="0"/>
              <w:bottom w:val="single" w:color="auto" w:sz="4" w:space="0"/>
              <w:right w:val="single" w:color="auto" w:sz="4" w:space="0"/>
            </w:tcBorders>
            <w:noWrap/>
            <w:vAlign w:val="center"/>
          </w:tcPr>
          <w:p w14:paraId="35325993">
            <w:pPr>
              <w:snapToGrid w:val="0"/>
              <w:spacing w:line="360" w:lineRule="auto"/>
              <w:rPr>
                <w:rFonts w:ascii="宋体" w:hAnsi="宋体" w:cs="宋体"/>
                <w:szCs w:val="21"/>
              </w:rPr>
            </w:pPr>
            <w:r>
              <w:rPr>
                <w:rFonts w:hint="eastAsia" w:ascii="宋体" w:hAnsi="宋体" w:cs="宋体"/>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1603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noWrap/>
            <w:vAlign w:val="center"/>
          </w:tcPr>
          <w:p w14:paraId="140C68C3">
            <w:pPr>
              <w:snapToGrid w:val="0"/>
              <w:spacing w:line="360" w:lineRule="auto"/>
              <w:rPr>
                <w:rFonts w:ascii="宋体" w:hAnsi="宋体" w:cs="宋体"/>
                <w:szCs w:val="21"/>
              </w:rPr>
            </w:pPr>
            <w:r>
              <w:rPr>
                <w:rFonts w:hint="eastAsia" w:ascii="宋体" w:hAnsi="宋体" w:cs="宋体"/>
                <w:szCs w:val="21"/>
              </w:rPr>
              <w:t>40.2</w:t>
            </w:r>
          </w:p>
        </w:tc>
        <w:tc>
          <w:tcPr>
            <w:tcW w:w="8809" w:type="dxa"/>
            <w:tcBorders>
              <w:top w:val="single" w:color="auto" w:sz="4" w:space="0"/>
              <w:left w:val="single" w:color="auto" w:sz="4" w:space="0"/>
              <w:bottom w:val="single" w:color="auto" w:sz="4" w:space="0"/>
              <w:right w:val="single" w:color="auto" w:sz="4" w:space="0"/>
            </w:tcBorders>
            <w:noWrap/>
            <w:vAlign w:val="center"/>
          </w:tcPr>
          <w:p w14:paraId="1A6C450D">
            <w:pPr>
              <w:snapToGrid w:val="0"/>
              <w:spacing w:line="360" w:lineRule="auto"/>
              <w:rPr>
                <w:rFonts w:ascii="宋体" w:hAnsi="宋体" w:cs="宋体"/>
                <w:szCs w:val="21"/>
              </w:rPr>
            </w:pPr>
            <w:r>
              <w:rPr>
                <w:rFonts w:hint="eastAsia" w:ascii="宋体" w:hAnsi="宋体" w:cs="宋体"/>
                <w:szCs w:val="21"/>
              </w:rPr>
              <w:t>1.本招标文件中描述投标人的“公章”是指根据我国对公章的管理规定，用投标人法定主体行为名称制作的印章，除本招标文件有特殊规定外，投标人的财务章、部门章、分公司章、工会章、合同章、投标专用章、业务专用章等其他形式印章均不能代替公章。</w:t>
            </w:r>
          </w:p>
          <w:p w14:paraId="48329983">
            <w:pPr>
              <w:snapToGrid w:val="0"/>
              <w:spacing w:line="360" w:lineRule="auto"/>
              <w:rPr>
                <w:rFonts w:ascii="宋体" w:hAnsi="宋体" w:cs="宋体"/>
                <w:szCs w:val="21"/>
              </w:rPr>
            </w:pPr>
            <w:r>
              <w:rPr>
                <w:rFonts w:hint="eastAsia" w:ascii="宋体" w:hAnsi="宋体" w:cs="宋体"/>
                <w:szCs w:val="21"/>
              </w:rPr>
              <w:t>2.本招标文件中描述投标人的“签字”是指投标人的法定代表人或被授权人亲自在招标文件规定签署处亲笔写上个人的名字的行为或通过CA加盖的签字章，私章、签字章、印鉴、影印等其他形式均不能代替亲笔签字。</w:t>
            </w:r>
          </w:p>
          <w:p w14:paraId="10F68A8F">
            <w:pPr>
              <w:snapToGrid w:val="0"/>
              <w:spacing w:line="360" w:lineRule="auto"/>
              <w:rPr>
                <w:rFonts w:ascii="宋体" w:hAnsi="宋体" w:cs="宋体"/>
                <w:b/>
                <w:bCs/>
                <w:szCs w:val="21"/>
              </w:rPr>
            </w:pPr>
            <w:r>
              <w:rPr>
                <w:rFonts w:hint="eastAsia" w:ascii="宋体" w:hAnsi="宋体" w:cs="宋体"/>
                <w:szCs w:val="21"/>
              </w:rPr>
              <w:t>3.</w:t>
            </w:r>
            <w:r>
              <w:rPr>
                <w:rFonts w:hint="eastAsia" w:ascii="宋体" w:hAnsi="宋体" w:cs="宋体"/>
                <w:b/>
                <w:bCs/>
                <w:szCs w:val="21"/>
              </w:rPr>
              <w:t>电子投标文件中须加盖供应商公章部分均采用CA签章，并根据“政府采购项目电子交易管理操作指南－供应商”及本招标文件规定的格式和顺序编制电子投标文件并进行关联定位，电子投标文件应按‘报价文件－资格证明文件－商务文件－技术文件’层级编制目录，每个评分项对应的内容需在目录中精准关联，确保评标委员会点击评分项可直接跳转至对应页面。</w:t>
            </w:r>
          </w:p>
          <w:p w14:paraId="7B3550B1">
            <w:pPr>
              <w:snapToGrid w:val="0"/>
              <w:spacing w:line="360" w:lineRule="auto"/>
              <w:rPr>
                <w:rFonts w:ascii="宋体" w:hAnsi="宋体" w:cs="宋体"/>
                <w:b/>
                <w:bCs/>
                <w:szCs w:val="21"/>
              </w:rPr>
            </w:pPr>
            <w:r>
              <w:rPr>
                <w:rFonts w:hint="eastAsia" w:ascii="宋体" w:hAnsi="宋体" w:cs="宋体"/>
                <w:b/>
                <w:bCs/>
                <w:szCs w:val="21"/>
              </w:rPr>
              <w:t>4.电子投标文件中需加盖公章及法定代表人/授权代表签字的部分，应通过CA签章完成；若CA签章未开通法定代表人/授权代表签字功能，可将线下签字文件扫描为PDF格式，与电子投标文件一并关联上传至广西政府采购云平台，确保可追溯核验。</w:t>
            </w:r>
          </w:p>
          <w:p w14:paraId="3629E81B">
            <w:pPr>
              <w:snapToGrid w:val="0"/>
              <w:spacing w:line="360" w:lineRule="auto"/>
              <w:rPr>
                <w:rFonts w:ascii="宋体" w:hAnsi="宋体" w:cs="宋体"/>
                <w:szCs w:val="21"/>
              </w:rPr>
            </w:pPr>
            <w:r>
              <w:rPr>
                <w:rFonts w:hint="eastAsia" w:ascii="宋体" w:hAnsi="宋体" w:cs="宋体"/>
                <w:szCs w:val="21"/>
              </w:rPr>
              <w:t>5.本招标文件所称的“以上”“以下”“以内”“届满”，包括本数；所称的“不满”“超过”“以外”，不包括本数。</w:t>
            </w:r>
          </w:p>
        </w:tc>
      </w:tr>
    </w:tbl>
    <w:p w14:paraId="50233944">
      <w:pPr>
        <w:snapToGrid w:val="0"/>
        <w:spacing w:line="360" w:lineRule="auto"/>
        <w:rPr>
          <w:rFonts w:ascii="宋体" w:hAnsi="宋体" w:cs="宋体"/>
          <w:sz w:val="24"/>
          <w:szCs w:val="20"/>
        </w:rPr>
        <w:sectPr>
          <w:pgSz w:w="11906" w:h="16838"/>
          <w:pgMar w:top="1134" w:right="1247" w:bottom="1560" w:left="1247" w:header="851" w:footer="992" w:gutter="0"/>
          <w:cols w:space="720" w:num="1"/>
          <w:titlePg/>
          <w:docGrid w:linePitch="312" w:charSpace="0"/>
        </w:sectPr>
      </w:pPr>
    </w:p>
    <w:p w14:paraId="5E6FC400">
      <w:pPr>
        <w:pStyle w:val="4"/>
        <w:spacing w:before="0" w:after="0" w:line="360" w:lineRule="auto"/>
        <w:jc w:val="center"/>
        <w:rPr>
          <w:rFonts w:ascii="宋体" w:hAnsi="宋体" w:eastAsia="宋体"/>
        </w:rPr>
      </w:pPr>
      <w:bookmarkStart w:id="111" w:name="_Toc1053"/>
      <w:bookmarkStart w:id="112" w:name="_Toc32187"/>
      <w:bookmarkStart w:id="113" w:name="_Toc22218"/>
      <w:r>
        <w:rPr>
          <w:rFonts w:hint="eastAsia" w:ascii="宋体" w:hAnsi="宋体" w:eastAsia="宋体"/>
        </w:rPr>
        <w:t>投标人须知正文</w:t>
      </w:r>
      <w:bookmarkEnd w:id="111"/>
      <w:bookmarkEnd w:id="112"/>
      <w:bookmarkEnd w:id="113"/>
    </w:p>
    <w:p w14:paraId="441017D8">
      <w:pPr>
        <w:pStyle w:val="5"/>
        <w:keepNext w:val="0"/>
        <w:keepLines w:val="0"/>
        <w:spacing w:before="0" w:after="0" w:line="360" w:lineRule="auto"/>
        <w:jc w:val="center"/>
        <w:rPr>
          <w:rFonts w:ascii="宋体" w:hAnsi="宋体" w:cs="宋体"/>
        </w:rPr>
      </w:pPr>
      <w:r>
        <w:rPr>
          <w:rFonts w:hint="eastAsia" w:ascii="宋体" w:hAnsi="宋体" w:cs="宋体"/>
        </w:rPr>
        <w:t>一、总则</w:t>
      </w:r>
    </w:p>
    <w:p w14:paraId="4E807D01">
      <w:pPr>
        <w:pStyle w:val="7"/>
        <w:keepNext w:val="0"/>
        <w:keepLines w:val="0"/>
        <w:spacing w:before="0" w:after="0" w:line="360" w:lineRule="auto"/>
        <w:ind w:left="420" w:leftChars="200"/>
        <w:rPr>
          <w:rFonts w:ascii="宋体" w:hAnsi="宋体" w:cs="宋体"/>
          <w:sz w:val="24"/>
        </w:rPr>
      </w:pPr>
      <w:bookmarkStart w:id="114" w:name="_Toc254970668"/>
      <w:bookmarkStart w:id="115" w:name="_Toc254970527"/>
      <w:r>
        <w:rPr>
          <w:rFonts w:hint="eastAsia" w:ascii="宋体" w:hAnsi="宋体" w:cs="宋体"/>
          <w:sz w:val="24"/>
        </w:rPr>
        <w:t>1.适用范围</w:t>
      </w:r>
      <w:bookmarkEnd w:id="114"/>
      <w:bookmarkEnd w:id="115"/>
    </w:p>
    <w:p w14:paraId="5A320180">
      <w:pPr>
        <w:snapToGrid w:val="0"/>
        <w:spacing w:line="360" w:lineRule="auto"/>
        <w:ind w:firstLine="420" w:firstLineChars="200"/>
        <w:jc w:val="left"/>
        <w:rPr>
          <w:rFonts w:ascii="宋体" w:hAnsi="宋体" w:cs="宋体"/>
          <w:szCs w:val="21"/>
        </w:rPr>
      </w:pPr>
      <w:r>
        <w:rPr>
          <w:rFonts w:hint="eastAsia" w:ascii="宋体" w:hAnsi="宋体" w:cs="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B66E7D0">
      <w:pPr>
        <w:snapToGrid w:val="0"/>
        <w:spacing w:line="360" w:lineRule="auto"/>
        <w:ind w:firstLine="420" w:firstLineChars="200"/>
        <w:jc w:val="left"/>
        <w:rPr>
          <w:rFonts w:ascii="宋体" w:hAnsi="宋体" w:cs="宋体"/>
          <w:szCs w:val="21"/>
        </w:rPr>
      </w:pPr>
      <w:r>
        <w:rPr>
          <w:rFonts w:hint="eastAsia" w:ascii="宋体" w:hAnsi="宋体" w:cs="宋体"/>
          <w:szCs w:val="21"/>
        </w:rPr>
        <w:t>1.2本招标文件</w:t>
      </w:r>
      <w:r>
        <w:rPr>
          <w:rFonts w:hint="eastAsia" w:ascii="宋体" w:hAnsi="宋体" w:cs="宋体"/>
          <w:spacing w:val="-6"/>
          <w:szCs w:val="21"/>
        </w:rPr>
        <w:t>适用于本项目的所有采购程序和环节（法律、法规另有规定的，从其规定）。</w:t>
      </w:r>
    </w:p>
    <w:p w14:paraId="2B7CB4B2">
      <w:pPr>
        <w:pStyle w:val="7"/>
        <w:keepNext w:val="0"/>
        <w:keepLines w:val="0"/>
        <w:spacing w:before="0" w:after="0" w:line="360" w:lineRule="auto"/>
        <w:ind w:left="420" w:leftChars="200"/>
        <w:rPr>
          <w:rFonts w:ascii="宋体" w:hAnsi="宋体" w:cs="宋体"/>
          <w:sz w:val="24"/>
        </w:rPr>
      </w:pPr>
      <w:bookmarkStart w:id="116" w:name="_Toc254970528"/>
      <w:bookmarkStart w:id="117" w:name="_Toc254970669"/>
      <w:r>
        <w:rPr>
          <w:rFonts w:hint="eastAsia" w:ascii="宋体" w:hAnsi="宋体" w:cs="宋体"/>
          <w:sz w:val="24"/>
        </w:rPr>
        <w:t>2.定义</w:t>
      </w:r>
      <w:bookmarkEnd w:id="116"/>
      <w:bookmarkEnd w:id="117"/>
    </w:p>
    <w:p w14:paraId="739CE7DE">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2.1“采购人”是指依法进行政府采购的国家机关、事业单位、团体组织。</w:t>
      </w:r>
    </w:p>
    <w:p w14:paraId="3E9CFCF5">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2.2“采购代理机构”是指政府采购代理机构（以下简称采购代理机构）是指集中采购机构以外、受采购人委托从事政府采购代理业务的社会中介机构。</w:t>
      </w:r>
    </w:p>
    <w:p w14:paraId="15FED37C">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2.3“供应商”是指向采购人提供货物、工程或者服务的法人、其他组织或者自然人。</w:t>
      </w:r>
    </w:p>
    <w:p w14:paraId="700A052E">
      <w:pPr>
        <w:pStyle w:val="8"/>
        <w:spacing w:line="360" w:lineRule="auto"/>
        <w:rPr>
          <w:rFonts w:ascii="宋体" w:hAnsi="宋体" w:cs="宋体"/>
          <w:szCs w:val="21"/>
        </w:rPr>
      </w:pPr>
      <w:r>
        <w:rPr>
          <w:rFonts w:hint="eastAsia" w:ascii="宋体" w:hAnsi="宋体" w:cs="宋体"/>
          <w:szCs w:val="21"/>
        </w:rPr>
        <w:t>2.4“投标人”是指响应招标、参加投标竞争的法人、非法人组织或者自然人。</w:t>
      </w:r>
    </w:p>
    <w:p w14:paraId="47C3A416">
      <w:pPr>
        <w:pStyle w:val="7"/>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2.5“服务”是指除货物和工程以外的其他政府采购对象。</w:t>
      </w:r>
    </w:p>
    <w:p w14:paraId="7754BB81">
      <w:pPr>
        <w:pStyle w:val="7"/>
        <w:keepNext w:val="0"/>
        <w:keepLines w:val="0"/>
        <w:spacing w:before="0" w:after="0" w:line="360" w:lineRule="auto"/>
        <w:rPr>
          <w:rFonts w:ascii="宋体" w:hAnsi="宋体" w:cs="宋体"/>
          <w:b w:val="0"/>
          <w:sz w:val="21"/>
          <w:szCs w:val="21"/>
        </w:rPr>
      </w:pPr>
      <w:r>
        <w:rPr>
          <w:rFonts w:hint="eastAsia" w:ascii="宋体" w:hAnsi="宋体" w:cs="宋体"/>
          <w:b w:val="0"/>
          <w:sz w:val="21"/>
          <w:szCs w:val="21"/>
        </w:rPr>
        <w:t>2.6“书面形式”是指合同书、信件和数据电文（包括电报、电传、传真、电子数据交换和电子邮件）等可以有形地表现所载内容的形式。</w:t>
      </w:r>
    </w:p>
    <w:p w14:paraId="1188D228">
      <w:pPr>
        <w:pStyle w:val="7"/>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2.7“实质性要求”是指招标文件中已经指明不满足则投标无效的条款，或者不能负偏离的条款，或者采购需求中带“▲”或“★”的条款。</w:t>
      </w:r>
    </w:p>
    <w:p w14:paraId="3E933106">
      <w:pPr>
        <w:snapToGrid w:val="0"/>
        <w:spacing w:line="360" w:lineRule="auto"/>
        <w:ind w:firstLine="420" w:firstLineChars="200"/>
        <w:jc w:val="left"/>
        <w:rPr>
          <w:rFonts w:ascii="宋体" w:hAnsi="宋体" w:cs="宋体"/>
          <w:szCs w:val="21"/>
        </w:rPr>
      </w:pPr>
      <w:r>
        <w:rPr>
          <w:rFonts w:hint="eastAsia" w:ascii="宋体" w:hAnsi="宋体" w:cs="宋体"/>
          <w:szCs w:val="21"/>
        </w:rPr>
        <w:t>2.8“正偏离”，是指投标文件对招标文件“采购需求”中有关条款作出的响应优于条款要求并有利于采购人的情形。</w:t>
      </w:r>
    </w:p>
    <w:p w14:paraId="7A9DE713">
      <w:pPr>
        <w:snapToGrid w:val="0"/>
        <w:spacing w:line="360" w:lineRule="auto"/>
        <w:ind w:firstLine="420" w:firstLineChars="200"/>
        <w:jc w:val="left"/>
        <w:rPr>
          <w:rFonts w:ascii="宋体" w:hAnsi="宋体" w:cs="宋体"/>
          <w:szCs w:val="21"/>
        </w:rPr>
      </w:pPr>
      <w:r>
        <w:rPr>
          <w:rFonts w:hint="eastAsia" w:ascii="宋体" w:hAnsi="宋体" w:cs="宋体"/>
          <w:szCs w:val="21"/>
        </w:rPr>
        <w:t>2.9“负偏离”，是指投标文件对招标文件“采购需求”中有关条款作出的响应不满足条款要求，导致采购人要求不能得到满足的情形。</w:t>
      </w:r>
    </w:p>
    <w:p w14:paraId="21DA45E0">
      <w:pPr>
        <w:snapToGrid w:val="0"/>
        <w:spacing w:line="360" w:lineRule="auto"/>
        <w:ind w:firstLine="420" w:firstLineChars="200"/>
        <w:jc w:val="left"/>
        <w:rPr>
          <w:rFonts w:ascii="宋体" w:hAnsi="宋体" w:cs="宋体"/>
          <w:szCs w:val="21"/>
        </w:rPr>
      </w:pPr>
      <w:r>
        <w:rPr>
          <w:rFonts w:hint="eastAsia" w:ascii="宋体" w:hAnsi="宋体" w:cs="宋体"/>
          <w:szCs w:val="21"/>
        </w:rPr>
        <w:t>2.10“允许负偏离的条款”是指采购需求中的不属于“实质性要求”的条款。</w:t>
      </w:r>
      <w:bookmarkStart w:id="118" w:name="_Toc254970529"/>
      <w:bookmarkStart w:id="119" w:name="_Toc254970670"/>
    </w:p>
    <w:p w14:paraId="2F15BB83">
      <w:pPr>
        <w:snapToGrid w:val="0"/>
        <w:spacing w:line="360" w:lineRule="auto"/>
        <w:ind w:firstLine="420" w:firstLineChars="200"/>
        <w:jc w:val="left"/>
        <w:rPr>
          <w:rFonts w:ascii="宋体" w:hAnsi="宋体" w:cs="宋体"/>
          <w:szCs w:val="21"/>
        </w:rPr>
      </w:pPr>
      <w:r>
        <w:rPr>
          <w:rFonts w:hint="eastAsia" w:ascii="宋体" w:hAnsi="宋体" w:cs="宋体"/>
          <w:szCs w:val="21"/>
        </w:rPr>
        <w:t>2.11本招标文件中，‘日历天’指自然日（含法定节假日），‘工作日’指不含周六、周日及法定节假日的自然日，两者不可混用。</w:t>
      </w:r>
    </w:p>
    <w:p w14:paraId="0C521D08">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3.</w:t>
      </w:r>
      <w:bookmarkEnd w:id="118"/>
      <w:bookmarkEnd w:id="119"/>
      <w:r>
        <w:rPr>
          <w:rFonts w:hint="eastAsia" w:ascii="宋体" w:hAnsi="宋体" w:cs="宋体"/>
          <w:sz w:val="24"/>
        </w:rPr>
        <w:t>投标人的资格要求</w:t>
      </w:r>
    </w:p>
    <w:p w14:paraId="41821F4C">
      <w:pPr>
        <w:snapToGrid w:val="0"/>
        <w:spacing w:line="360" w:lineRule="auto"/>
        <w:ind w:firstLine="420" w:firstLineChars="200"/>
        <w:jc w:val="left"/>
        <w:rPr>
          <w:rFonts w:ascii="宋体" w:hAnsi="宋体" w:cs="宋体"/>
          <w:szCs w:val="21"/>
        </w:rPr>
      </w:pPr>
      <w:r>
        <w:rPr>
          <w:rFonts w:hint="eastAsia" w:ascii="宋体" w:hAnsi="宋体" w:cs="宋体"/>
          <w:szCs w:val="21"/>
        </w:rPr>
        <w:t>投标人的资格要求详见“投标人须知前附表”。</w:t>
      </w:r>
    </w:p>
    <w:p w14:paraId="1CBFD1B6">
      <w:pPr>
        <w:pStyle w:val="7"/>
        <w:keepNext w:val="0"/>
        <w:keepLines w:val="0"/>
        <w:spacing w:before="0" w:after="0" w:line="360" w:lineRule="auto"/>
        <w:ind w:left="420" w:leftChars="200"/>
        <w:rPr>
          <w:rFonts w:ascii="宋体" w:hAnsi="宋体" w:cs="宋体"/>
          <w:sz w:val="24"/>
        </w:rPr>
      </w:pPr>
      <w:bookmarkStart w:id="120" w:name="_Toc254970530"/>
      <w:bookmarkStart w:id="121" w:name="_Toc254970671"/>
      <w:r>
        <w:rPr>
          <w:rFonts w:hint="eastAsia" w:ascii="宋体" w:hAnsi="宋体" w:cs="宋体"/>
          <w:sz w:val="24"/>
        </w:rPr>
        <w:t>4.投标委托</w:t>
      </w:r>
      <w:bookmarkEnd w:id="120"/>
      <w:bookmarkEnd w:id="121"/>
    </w:p>
    <w:p w14:paraId="75BC9EBE">
      <w:pPr>
        <w:snapToGrid w:val="0"/>
        <w:spacing w:line="360" w:lineRule="auto"/>
        <w:ind w:firstLine="420" w:firstLineChars="200"/>
        <w:jc w:val="left"/>
        <w:rPr>
          <w:rFonts w:ascii="宋体" w:hAnsi="宋体" w:cs="宋体"/>
          <w:szCs w:val="21"/>
        </w:rPr>
      </w:pPr>
      <w:r>
        <w:rPr>
          <w:rFonts w:hint="eastAsia" w:ascii="宋体" w:hAnsi="宋体" w:cs="宋体"/>
          <w:szCs w:val="21"/>
        </w:rPr>
        <w:t>投标人代表参加投标活动过程中必须携带个人有效身份证件。如投标人代表不是法定代表人，须持有法定代表人授权委托书（正本用原件，副本用复印件，按第六章要求格式填写）。</w:t>
      </w:r>
    </w:p>
    <w:p w14:paraId="25A6901A">
      <w:pPr>
        <w:pStyle w:val="7"/>
        <w:keepNext w:val="0"/>
        <w:keepLines w:val="0"/>
        <w:spacing w:before="0" w:after="0" w:line="360" w:lineRule="auto"/>
        <w:ind w:left="420" w:leftChars="200"/>
        <w:rPr>
          <w:rFonts w:ascii="宋体" w:hAnsi="宋体" w:cs="宋体"/>
          <w:sz w:val="24"/>
        </w:rPr>
      </w:pPr>
      <w:bookmarkStart w:id="122" w:name="_5.投标费用"/>
      <w:bookmarkEnd w:id="122"/>
      <w:bookmarkStart w:id="123" w:name="_Toc254970531"/>
      <w:bookmarkStart w:id="124" w:name="_Toc254970672"/>
      <w:r>
        <w:rPr>
          <w:rFonts w:hint="eastAsia" w:ascii="宋体" w:hAnsi="宋体" w:cs="宋体"/>
          <w:sz w:val="24"/>
        </w:rPr>
        <w:t>5.投标费用</w:t>
      </w:r>
      <w:bookmarkEnd w:id="123"/>
      <w:bookmarkEnd w:id="124"/>
    </w:p>
    <w:p w14:paraId="5BA8A521">
      <w:pPr>
        <w:snapToGrid w:val="0"/>
        <w:spacing w:line="360" w:lineRule="auto"/>
        <w:ind w:firstLine="420" w:firstLineChars="200"/>
        <w:jc w:val="left"/>
        <w:rPr>
          <w:rFonts w:ascii="宋体" w:hAnsi="宋体" w:cs="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5D252199">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6.联合体投标</w:t>
      </w:r>
    </w:p>
    <w:p w14:paraId="0F1A5E76">
      <w:pPr>
        <w:snapToGrid w:val="0"/>
        <w:spacing w:line="360" w:lineRule="auto"/>
        <w:ind w:firstLine="420" w:firstLineChars="200"/>
        <w:jc w:val="left"/>
        <w:rPr>
          <w:rFonts w:ascii="宋体" w:hAnsi="宋体" w:cs="宋体"/>
          <w:szCs w:val="21"/>
        </w:rPr>
      </w:pPr>
      <w:r>
        <w:rPr>
          <w:rFonts w:hint="eastAsia" w:ascii="宋体" w:hAnsi="宋体" w:cs="宋体"/>
          <w:szCs w:val="21"/>
        </w:rPr>
        <w:t>6.1本项目是否接受联合体投标，详见“投标人须知前附表”。</w:t>
      </w:r>
    </w:p>
    <w:p w14:paraId="03B1FB2E">
      <w:pPr>
        <w:snapToGrid w:val="0"/>
        <w:spacing w:line="360" w:lineRule="auto"/>
        <w:ind w:firstLine="420" w:firstLineChars="200"/>
        <w:jc w:val="left"/>
        <w:rPr>
          <w:rFonts w:ascii="宋体" w:hAnsi="宋体" w:cs="宋体"/>
          <w:bCs/>
          <w:szCs w:val="21"/>
        </w:rPr>
      </w:pPr>
      <w:r>
        <w:rPr>
          <w:rFonts w:hint="eastAsia" w:ascii="宋体" w:hAnsi="宋体" w:cs="宋体"/>
          <w:bCs/>
          <w:szCs w:val="21"/>
        </w:rPr>
        <w:t>6.2如接受联合体投标，联合体投标要求详见“投标人须知前附表”。</w:t>
      </w:r>
    </w:p>
    <w:p w14:paraId="77B5B855">
      <w:pPr>
        <w:snapToGrid w:val="0"/>
        <w:spacing w:line="360" w:lineRule="auto"/>
        <w:ind w:firstLine="420" w:firstLineChars="200"/>
        <w:jc w:val="left"/>
        <w:rPr>
          <w:rFonts w:ascii="宋体" w:hAnsi="宋体" w:cs="宋体"/>
          <w:szCs w:val="21"/>
        </w:rPr>
      </w:pPr>
      <w:r>
        <w:rPr>
          <w:rFonts w:hint="eastAsia" w:ascii="宋体" w:hAnsi="宋体" w:cs="宋体"/>
          <w:bCs/>
          <w:szCs w:val="21"/>
        </w:rPr>
        <w:t>6.3根据《政府采购促进中小企业发展管理办法》（财库〔2020〕46号）第六条规定，“鼓励大中型企业和其他自然人、法人或者其他组织与小型、微型企业组成联合体共同参加非专门面向中小企业的政府采购活动。</w:t>
      </w:r>
    </w:p>
    <w:p w14:paraId="693BEF3E">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7.转包与分包</w:t>
      </w:r>
    </w:p>
    <w:p w14:paraId="59B1CBB3">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7.1本项目不允许转包。</w:t>
      </w:r>
    </w:p>
    <w:p w14:paraId="2E92B574">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7.2本项目是否允许分包详见“投标人须知前附表”，本项目不允许违法分包。</w:t>
      </w:r>
    </w:p>
    <w:p w14:paraId="31BDD99F">
      <w:pPr>
        <w:pStyle w:val="7"/>
        <w:keepNext w:val="0"/>
        <w:keepLines w:val="0"/>
        <w:spacing w:before="0" w:after="0" w:line="360" w:lineRule="auto"/>
        <w:ind w:left="420" w:leftChars="200"/>
        <w:rPr>
          <w:rFonts w:ascii="宋体" w:hAnsi="宋体" w:cs="宋体"/>
          <w:sz w:val="24"/>
        </w:rPr>
      </w:pPr>
      <w:bookmarkStart w:id="125" w:name="_Toc254970532"/>
      <w:bookmarkStart w:id="126" w:name="_Toc254970673"/>
      <w:r>
        <w:rPr>
          <w:rFonts w:hint="eastAsia" w:ascii="宋体" w:hAnsi="宋体" w:cs="宋体"/>
          <w:sz w:val="24"/>
        </w:rPr>
        <w:t>8.特别说明：</w:t>
      </w:r>
      <w:bookmarkEnd w:id="125"/>
      <w:bookmarkEnd w:id="126"/>
      <w:bookmarkStart w:id="127" w:name="_8.1提供相同品牌产品且通过资格审查、符合性审查的不同投标人参加同一合"/>
      <w:bookmarkEnd w:id="127"/>
    </w:p>
    <w:p w14:paraId="4306BB42">
      <w:pPr>
        <w:pStyle w:val="7"/>
        <w:keepNext w:val="0"/>
        <w:keepLines w:val="0"/>
        <w:spacing w:before="0" w:after="0" w:line="360" w:lineRule="auto"/>
        <w:ind w:firstLine="369" w:firstLineChars="175"/>
        <w:rPr>
          <w:rFonts w:ascii="宋体" w:hAnsi="宋体" w:cs="宋体"/>
          <w:sz w:val="21"/>
          <w:szCs w:val="21"/>
        </w:rPr>
      </w:pPr>
      <w:r>
        <w:rPr>
          <w:rFonts w:hint="eastAsia" w:ascii="宋体" w:hAnsi="宋体" w:cs="宋体"/>
          <w:sz w:val="21"/>
          <w:szCs w:val="21"/>
        </w:rPr>
        <w:t>8.1如果本招标文件要求投标人提供资格、信誉、荣誉、业绩与企业认证等材料的，则投标人所提供的以上材料必须为投标人所拥有。</w:t>
      </w:r>
    </w:p>
    <w:p w14:paraId="04B1904D">
      <w:pPr>
        <w:pStyle w:val="7"/>
        <w:keepNext w:val="0"/>
        <w:keepLines w:val="0"/>
        <w:spacing w:before="0" w:after="0" w:line="360" w:lineRule="auto"/>
        <w:ind w:firstLine="369" w:firstLineChars="175"/>
        <w:rPr>
          <w:rFonts w:ascii="宋体" w:hAnsi="宋体" w:cs="宋体"/>
          <w:sz w:val="21"/>
          <w:szCs w:val="21"/>
        </w:rPr>
      </w:pPr>
      <w:r>
        <w:rPr>
          <w:rFonts w:hint="eastAsia" w:ascii="宋体" w:hAnsi="宋体" w:cs="宋体"/>
          <w:sz w:val="21"/>
          <w:szCs w:val="21"/>
        </w:rPr>
        <w:t>8.2投标人应仔细阅读招标文件的所有内容，按照招标文件的要求提交投标文件，并对所提供的全部资料的真实性承担法律责任。</w:t>
      </w:r>
    </w:p>
    <w:p w14:paraId="6807F305">
      <w:pPr>
        <w:pStyle w:val="7"/>
        <w:keepNext w:val="0"/>
        <w:keepLines w:val="0"/>
        <w:spacing w:before="0" w:after="0" w:line="360" w:lineRule="auto"/>
        <w:ind w:firstLine="369" w:firstLineChars="175"/>
        <w:rPr>
          <w:rFonts w:ascii="宋体" w:hAnsi="宋体" w:cs="宋体"/>
          <w:sz w:val="21"/>
          <w:szCs w:val="21"/>
        </w:rPr>
      </w:pPr>
      <w:r>
        <w:rPr>
          <w:rFonts w:hint="eastAsia" w:ascii="宋体" w:hAnsi="宋体" w:cs="宋体"/>
          <w:sz w:val="21"/>
          <w:szCs w:val="21"/>
        </w:rPr>
        <w:t>8.3投标人在投标活动中提供任何虚假材料，将报监管部门查处（监管部门为崇左市财政局政府采购监督管理科，联系电话：0771-5962513）；中标后发现的，中标人须依照《中华人民共和国消费者权益保护法》规定赔偿采购人，且民事赔偿并不免除违法投标人的行政与刑事责任。</w:t>
      </w:r>
    </w:p>
    <w:p w14:paraId="33687F25">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9.回避与串通投标</w:t>
      </w:r>
    </w:p>
    <w:p w14:paraId="60545AF7">
      <w:pPr>
        <w:pStyle w:val="7"/>
        <w:keepNext w:val="0"/>
        <w:keepLines w:val="0"/>
        <w:spacing w:before="0" w:after="0" w:line="360" w:lineRule="auto"/>
        <w:ind w:firstLine="369" w:firstLineChars="175"/>
        <w:rPr>
          <w:rFonts w:ascii="宋体" w:hAnsi="宋体" w:cs="宋体"/>
          <w:sz w:val="21"/>
          <w:szCs w:val="21"/>
        </w:rPr>
      </w:pPr>
      <w:r>
        <w:rPr>
          <w:rFonts w:hint="eastAsia" w:ascii="宋体" w:hAnsi="宋体" w:cs="宋体"/>
          <w:sz w:val="21"/>
          <w:szCs w:val="21"/>
        </w:rPr>
        <w:t>9.1在政府采购活动中，采购人员及相关人员与供应商有下列利害关系之一的，应当回避：</w:t>
      </w:r>
    </w:p>
    <w:p w14:paraId="018E0250">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（1）参加采购活动前3年内与供应商存在劳动关系；</w:t>
      </w:r>
    </w:p>
    <w:p w14:paraId="0BFEEE9F">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（2）参加采购活动前3年内担任供应商的董事、监事；</w:t>
      </w:r>
    </w:p>
    <w:p w14:paraId="078C7AFF">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（3）参加采购活动前3年内是供应商的控股股东或者实际控制人；</w:t>
      </w:r>
    </w:p>
    <w:p w14:paraId="1027EF19">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（4）与供应商的法定代表人或者负责人有夫妻、直系血亲、三代以内旁系血亲或者近姻亲关系；</w:t>
      </w:r>
    </w:p>
    <w:p w14:paraId="090615B7">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（5）与供应商有其他可能影响政府采购活动公平、公正进行的关系。</w:t>
      </w:r>
    </w:p>
    <w:p w14:paraId="41AB2215">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（6）各采购服务内容分别对应的工可、初设及施工图编制单位及其参股、控股或者实际控制人等利益相关方。</w:t>
      </w:r>
    </w:p>
    <w:p w14:paraId="14751F75">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5C72E97">
      <w:pPr>
        <w:pStyle w:val="7"/>
        <w:keepNext w:val="0"/>
        <w:keepLines w:val="0"/>
        <w:spacing w:before="0" w:after="0" w:line="360" w:lineRule="auto"/>
        <w:ind w:left="420" w:leftChars="200"/>
        <w:rPr>
          <w:rFonts w:ascii="宋体" w:hAnsi="宋体" w:cs="宋体"/>
          <w:sz w:val="21"/>
          <w:szCs w:val="21"/>
        </w:rPr>
      </w:pPr>
      <w:r>
        <w:rPr>
          <w:rFonts w:hint="eastAsia" w:ascii="宋体" w:hAnsi="宋体" w:cs="宋体"/>
          <w:sz w:val="21"/>
          <w:szCs w:val="21"/>
        </w:rPr>
        <w:t>9.2有下列情形之一的视为投标人相互串通投标，投标文件将被视为无效：</w:t>
      </w:r>
    </w:p>
    <w:p w14:paraId="43C629DD">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（1）不同投标人的投标文件由同一单位或者个人编制；或者不同投标人报名的IP地址一致的；</w:t>
      </w:r>
    </w:p>
    <w:p w14:paraId="3EA99BAD">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（2）不同投标人委托同一单位或者个人办理投标事宜；</w:t>
      </w:r>
    </w:p>
    <w:p w14:paraId="3BB700F5">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（3）不同的投标人的投标文件载明的项目管理员为同一个人；</w:t>
      </w:r>
    </w:p>
    <w:p w14:paraId="18D4CECA">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（4）不同投标人的投标文件异常一致或者投标报价呈规律性差异；</w:t>
      </w:r>
    </w:p>
    <w:p w14:paraId="296577E6">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（5）不同投标人的投标文件相互混装；</w:t>
      </w:r>
    </w:p>
    <w:p w14:paraId="6DBC403A">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（6）不同投标人的投标保证金从同一单位或者个人账户转出。</w:t>
      </w:r>
    </w:p>
    <w:p w14:paraId="6D7F062C">
      <w:pPr>
        <w:pStyle w:val="7"/>
        <w:keepNext w:val="0"/>
        <w:keepLines w:val="0"/>
        <w:spacing w:before="0" w:after="0" w:line="360" w:lineRule="auto"/>
        <w:ind w:left="420" w:leftChars="200"/>
        <w:rPr>
          <w:rFonts w:ascii="宋体" w:hAnsi="宋体" w:cs="宋体"/>
          <w:sz w:val="21"/>
          <w:szCs w:val="21"/>
        </w:rPr>
      </w:pPr>
      <w:r>
        <w:rPr>
          <w:rFonts w:hint="eastAsia" w:ascii="宋体" w:hAnsi="宋体" w:cs="宋体"/>
          <w:sz w:val="21"/>
          <w:szCs w:val="21"/>
        </w:rPr>
        <w:t>9.3供应商有下列情形之一的，属于恶意串通行为，将报同级监督管理部门：</w:t>
      </w:r>
    </w:p>
    <w:p w14:paraId="2D8811F3">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（1）供应商直接或者间接从采购人或者采购代理机构处获得其他供应商的相关信息并修改其投标文件或者投标文件；</w:t>
      </w:r>
    </w:p>
    <w:p w14:paraId="417457FE">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（2）供应商按照采购人或者采购代理机构的授意撤换、修改投标文件或者投标文件；</w:t>
      </w:r>
    </w:p>
    <w:p w14:paraId="28BF688A">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（3）供应商之间协商报价、技术方案等投标文件或者投标文件的实质性内容；</w:t>
      </w:r>
    </w:p>
    <w:p w14:paraId="63A443FC">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w:t>
      </w:r>
      <w:r>
        <w:rPr>
          <w:rFonts w:hAnsi="宋体" w:cs="宋体"/>
          <w:b/>
          <w:kern w:val="2"/>
          <w:sz w:val="21"/>
        </w:rPr>
        <w:t>4</w:t>
      </w:r>
      <w:r>
        <w:rPr>
          <w:rFonts w:hint="eastAsia" w:hAnsi="宋体" w:cs="宋体"/>
          <w:b/>
          <w:kern w:val="2"/>
          <w:sz w:val="21"/>
        </w:rPr>
        <w:t>）供应商之间事先约定一致抬高或者压低投标报价，或者在招标项目中事先约定轮流以高价位或者低价位中标，或者事先约定由某一特定供应商中标，然后再参加投标；</w:t>
      </w:r>
    </w:p>
    <w:p w14:paraId="20154DF5">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w:t>
      </w:r>
      <w:r>
        <w:rPr>
          <w:rFonts w:hAnsi="宋体" w:cs="宋体"/>
          <w:b/>
          <w:kern w:val="2"/>
          <w:sz w:val="21"/>
        </w:rPr>
        <w:t>5</w:t>
      </w:r>
      <w:r>
        <w:rPr>
          <w:rFonts w:hint="eastAsia" w:hAnsi="宋体" w:cs="宋体"/>
          <w:b/>
          <w:kern w:val="2"/>
          <w:sz w:val="21"/>
        </w:rPr>
        <w:t>）供应商之间商定部分供应商放弃参加政府采购活动或者放弃中标；</w:t>
      </w:r>
    </w:p>
    <w:p w14:paraId="0D0628B4">
      <w:pPr>
        <w:pStyle w:val="24"/>
        <w:snapToGrid w:val="0"/>
        <w:spacing w:line="360" w:lineRule="auto"/>
        <w:ind w:left="2" w:leftChars="1" w:firstLine="422" w:firstLineChars="200"/>
        <w:rPr>
          <w:rFonts w:hAnsi="宋体" w:cs="宋体"/>
          <w:b/>
          <w:kern w:val="2"/>
          <w:sz w:val="21"/>
        </w:rPr>
      </w:pPr>
      <w:r>
        <w:rPr>
          <w:rFonts w:hint="eastAsia" w:hAnsi="宋体" w:cs="宋体"/>
          <w:b/>
          <w:kern w:val="2"/>
          <w:sz w:val="21"/>
        </w:rPr>
        <w:t>（</w:t>
      </w:r>
      <w:r>
        <w:rPr>
          <w:rFonts w:hAnsi="宋体" w:cs="宋体"/>
          <w:b/>
          <w:kern w:val="2"/>
          <w:sz w:val="21"/>
        </w:rPr>
        <w:t>6</w:t>
      </w:r>
      <w:r>
        <w:rPr>
          <w:rFonts w:hint="eastAsia" w:hAnsi="宋体" w:cs="宋体"/>
          <w:b/>
          <w:kern w:val="2"/>
          <w:sz w:val="21"/>
        </w:rPr>
        <w:t>）供应商与采购人或者采购代理机构之间、供应商相互之间，为谋求特定供应商中标或者排斥其他供应商的其他串通行为。</w:t>
      </w:r>
    </w:p>
    <w:p w14:paraId="58EBB94F">
      <w:pPr>
        <w:pStyle w:val="5"/>
        <w:keepNext w:val="0"/>
        <w:keepLines w:val="0"/>
        <w:spacing w:before="0" w:after="0" w:line="360" w:lineRule="auto"/>
        <w:jc w:val="center"/>
        <w:rPr>
          <w:rFonts w:ascii="宋体" w:hAnsi="宋体" w:cs="宋体"/>
        </w:rPr>
      </w:pPr>
      <w:bookmarkStart w:id="128" w:name="_Toc254970675"/>
      <w:bookmarkStart w:id="129" w:name="_Toc254970534"/>
      <w:r>
        <w:rPr>
          <w:rFonts w:hint="eastAsia" w:ascii="宋体" w:hAnsi="宋体" w:cs="宋体"/>
        </w:rPr>
        <w:t>二、招标文件</w:t>
      </w:r>
      <w:bookmarkEnd w:id="128"/>
      <w:bookmarkEnd w:id="129"/>
    </w:p>
    <w:p w14:paraId="223845A2">
      <w:pPr>
        <w:pStyle w:val="7"/>
        <w:keepNext w:val="0"/>
        <w:keepLines w:val="0"/>
        <w:spacing w:before="0" w:after="0" w:line="360" w:lineRule="auto"/>
        <w:ind w:firstLine="482" w:firstLineChars="200"/>
        <w:rPr>
          <w:rFonts w:ascii="宋体" w:hAnsi="宋体" w:cs="宋体"/>
          <w:sz w:val="24"/>
        </w:rPr>
      </w:pPr>
      <w:r>
        <w:rPr>
          <w:rFonts w:hint="eastAsia" w:ascii="宋体" w:hAnsi="宋体" w:cs="宋体"/>
          <w:sz w:val="24"/>
        </w:rPr>
        <w:t>10.招标文件的组成</w:t>
      </w:r>
    </w:p>
    <w:p w14:paraId="1019104D">
      <w:pPr>
        <w:snapToGrid w:val="0"/>
        <w:spacing w:line="360" w:lineRule="auto"/>
        <w:ind w:firstLine="420" w:firstLineChars="200"/>
        <w:rPr>
          <w:rFonts w:ascii="宋体" w:hAnsi="宋体" w:cs="宋体"/>
          <w:szCs w:val="21"/>
        </w:rPr>
      </w:pPr>
      <w:r>
        <w:rPr>
          <w:rFonts w:hint="eastAsia" w:ascii="宋体" w:hAnsi="宋体" w:cs="宋体"/>
          <w:szCs w:val="21"/>
        </w:rPr>
        <w:t>（1）招标公告；</w:t>
      </w:r>
    </w:p>
    <w:p w14:paraId="12D8F24D">
      <w:pPr>
        <w:snapToGrid w:val="0"/>
        <w:spacing w:line="360" w:lineRule="auto"/>
        <w:ind w:firstLine="420" w:firstLineChars="200"/>
        <w:rPr>
          <w:rFonts w:ascii="宋体" w:hAnsi="宋体" w:cs="宋体"/>
          <w:szCs w:val="21"/>
        </w:rPr>
      </w:pPr>
      <w:r>
        <w:rPr>
          <w:rFonts w:hint="eastAsia" w:ascii="宋体" w:hAnsi="宋体" w:cs="宋体"/>
          <w:szCs w:val="21"/>
        </w:rPr>
        <w:t>（2）采购需求；</w:t>
      </w:r>
    </w:p>
    <w:p w14:paraId="67C75773">
      <w:pPr>
        <w:snapToGrid w:val="0"/>
        <w:spacing w:line="360" w:lineRule="auto"/>
        <w:ind w:firstLine="420" w:firstLineChars="200"/>
        <w:rPr>
          <w:rFonts w:ascii="宋体" w:hAnsi="宋体" w:cs="宋体"/>
          <w:szCs w:val="21"/>
        </w:rPr>
      </w:pPr>
      <w:r>
        <w:rPr>
          <w:rFonts w:hint="eastAsia" w:ascii="宋体" w:hAnsi="宋体" w:cs="宋体"/>
          <w:szCs w:val="21"/>
        </w:rPr>
        <w:t>（3）投标人须知；</w:t>
      </w:r>
    </w:p>
    <w:p w14:paraId="74DAC85A">
      <w:pPr>
        <w:snapToGrid w:val="0"/>
        <w:spacing w:line="360" w:lineRule="auto"/>
        <w:ind w:firstLine="420" w:firstLineChars="200"/>
        <w:rPr>
          <w:rFonts w:ascii="宋体" w:hAnsi="宋体" w:cs="宋体"/>
          <w:szCs w:val="21"/>
        </w:rPr>
      </w:pPr>
      <w:r>
        <w:rPr>
          <w:rFonts w:hint="eastAsia" w:ascii="宋体" w:hAnsi="宋体" w:cs="宋体"/>
          <w:szCs w:val="21"/>
        </w:rPr>
        <w:t>（4）评标方法及评标标准；</w:t>
      </w:r>
    </w:p>
    <w:p w14:paraId="4EB57461">
      <w:pPr>
        <w:snapToGrid w:val="0"/>
        <w:spacing w:line="360" w:lineRule="auto"/>
        <w:ind w:firstLine="420" w:firstLineChars="200"/>
        <w:rPr>
          <w:rFonts w:ascii="宋体" w:hAnsi="宋体" w:cs="宋体"/>
          <w:szCs w:val="21"/>
        </w:rPr>
      </w:pPr>
      <w:r>
        <w:rPr>
          <w:rFonts w:hint="eastAsia" w:ascii="宋体" w:hAnsi="宋体" w:cs="宋体"/>
          <w:szCs w:val="21"/>
        </w:rPr>
        <w:t>（5）拟签订的合同文本；</w:t>
      </w:r>
    </w:p>
    <w:p w14:paraId="4E6A2419">
      <w:pPr>
        <w:snapToGrid w:val="0"/>
        <w:spacing w:line="360" w:lineRule="auto"/>
        <w:ind w:firstLine="420" w:firstLineChars="200"/>
        <w:rPr>
          <w:rFonts w:ascii="宋体" w:hAnsi="宋体" w:cs="宋体"/>
          <w:szCs w:val="21"/>
        </w:rPr>
      </w:pPr>
      <w:r>
        <w:rPr>
          <w:rFonts w:hint="eastAsia" w:ascii="宋体" w:hAnsi="宋体" w:cs="宋体"/>
          <w:szCs w:val="21"/>
        </w:rPr>
        <w:t>（6）投标文件格式。</w:t>
      </w:r>
    </w:p>
    <w:p w14:paraId="7E24F4CF">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11.招标文件的澄清、修改、现场考察和答疑会</w:t>
      </w:r>
    </w:p>
    <w:p w14:paraId="34D04B78">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427ED8C">
      <w:pPr>
        <w:pStyle w:val="24"/>
        <w:snapToGrid w:val="0"/>
        <w:spacing w:line="360" w:lineRule="auto"/>
        <w:ind w:firstLine="420" w:firstLineChars="200"/>
        <w:rPr>
          <w:rFonts w:hAnsi="宋体" w:cs="宋体"/>
          <w:sz w:val="21"/>
        </w:rPr>
      </w:pPr>
      <w:r>
        <w:rPr>
          <w:rFonts w:hint="eastAsia" w:hAnsi="宋体" w:cs="宋体"/>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6B1C38CB">
      <w:pPr>
        <w:pStyle w:val="24"/>
        <w:snapToGrid w:val="0"/>
        <w:spacing w:line="360" w:lineRule="auto"/>
        <w:ind w:firstLine="420" w:firstLineChars="200"/>
        <w:rPr>
          <w:rFonts w:hAnsi="宋体" w:cs="宋体"/>
          <w:sz w:val="21"/>
        </w:rPr>
      </w:pPr>
      <w:r>
        <w:rPr>
          <w:rFonts w:hint="eastAsia" w:hAnsi="宋体" w:cs="宋体"/>
          <w:sz w:val="21"/>
        </w:rPr>
        <w:t>11.2</w:t>
      </w:r>
      <w:bookmarkStart w:id="130" w:name="_Hlk53134511"/>
      <w:r>
        <w:rPr>
          <w:rFonts w:hint="eastAsia" w:hAnsi="宋体" w:cs="宋体"/>
          <w:sz w:val="21"/>
        </w:rPr>
        <w:t>采购人或者采购代理机构可以在招标文件提供期限截止后，组织已获取招标文件的潜在投标人现场考察或者召开开标前答疑会，具体详见“投标人须知前附表”。</w:t>
      </w:r>
    </w:p>
    <w:bookmarkEnd w:id="130"/>
    <w:p w14:paraId="605190D8">
      <w:pPr>
        <w:pStyle w:val="5"/>
        <w:keepNext w:val="0"/>
        <w:keepLines w:val="0"/>
        <w:spacing w:before="0" w:after="0" w:line="360" w:lineRule="auto"/>
        <w:jc w:val="center"/>
        <w:rPr>
          <w:rFonts w:ascii="宋体" w:hAnsi="宋体" w:cs="宋体"/>
        </w:rPr>
      </w:pPr>
      <w:bookmarkStart w:id="131" w:name="_Toc254970676"/>
      <w:bookmarkStart w:id="132" w:name="_Toc254970535"/>
      <w:r>
        <w:rPr>
          <w:rFonts w:hint="eastAsia" w:ascii="宋体" w:hAnsi="宋体" w:cs="宋体"/>
        </w:rPr>
        <w:t>三、投标文件的编制</w:t>
      </w:r>
      <w:bookmarkEnd w:id="131"/>
      <w:bookmarkEnd w:id="132"/>
    </w:p>
    <w:p w14:paraId="72C8DDE5">
      <w:pPr>
        <w:pStyle w:val="7"/>
        <w:keepNext w:val="0"/>
        <w:keepLines w:val="0"/>
        <w:spacing w:before="0" w:after="0" w:line="360" w:lineRule="auto"/>
        <w:ind w:left="420" w:leftChars="200"/>
        <w:rPr>
          <w:rFonts w:ascii="宋体" w:hAnsi="宋体" w:cs="宋体"/>
          <w:sz w:val="24"/>
        </w:rPr>
      </w:pPr>
      <w:bookmarkStart w:id="133" w:name="_Toc254970677"/>
      <w:bookmarkStart w:id="134" w:name="_Toc254970536"/>
      <w:r>
        <w:rPr>
          <w:rFonts w:hint="eastAsia" w:ascii="宋体" w:hAnsi="宋体" w:cs="宋体"/>
          <w:sz w:val="24"/>
        </w:rPr>
        <w:t>12.投标文件的编制原则</w:t>
      </w:r>
    </w:p>
    <w:p w14:paraId="153FB945">
      <w:pPr>
        <w:snapToGrid w:val="0"/>
        <w:spacing w:line="360" w:lineRule="auto"/>
        <w:ind w:firstLine="420"/>
        <w:jc w:val="left"/>
        <w:rPr>
          <w:rFonts w:ascii="宋体" w:hAnsi="宋体" w:cs="宋体"/>
          <w:szCs w:val="21"/>
        </w:rPr>
      </w:pPr>
      <w:r>
        <w:rPr>
          <w:rFonts w:hint="eastAsia" w:ascii="宋体" w:hAnsi="宋体" w:cs="宋体"/>
          <w:szCs w:val="21"/>
        </w:rPr>
        <w:t>投标人必须按照招标文件的要求编制投标文件。投标文件必须对招标文件提出的要求和条件作出明确响应。</w:t>
      </w:r>
    </w:p>
    <w:p w14:paraId="4D42273D">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13.投标文件的组成</w:t>
      </w:r>
      <w:bookmarkEnd w:id="133"/>
      <w:bookmarkEnd w:id="134"/>
    </w:p>
    <w:p w14:paraId="2406A476">
      <w:pPr>
        <w:snapToGrid w:val="0"/>
        <w:spacing w:line="360" w:lineRule="auto"/>
        <w:ind w:firstLine="420" w:firstLineChars="200"/>
        <w:jc w:val="left"/>
        <w:rPr>
          <w:rFonts w:ascii="宋体" w:hAnsi="宋体" w:cs="宋体"/>
          <w:szCs w:val="21"/>
        </w:rPr>
      </w:pPr>
      <w:r>
        <w:rPr>
          <w:rFonts w:hint="eastAsia" w:ascii="宋体" w:hAnsi="宋体" w:cs="宋体"/>
          <w:szCs w:val="21"/>
        </w:rPr>
        <w:t>13.1投标文件由报价文件、资格证明文件、商务文件、技术文件四部分组成。</w:t>
      </w:r>
    </w:p>
    <w:p w14:paraId="16013570">
      <w:pPr>
        <w:pStyle w:val="7"/>
        <w:keepNext w:val="0"/>
        <w:keepLines w:val="0"/>
        <w:spacing w:before="0" w:after="0" w:line="360" w:lineRule="auto"/>
        <w:ind w:left="420" w:leftChars="200"/>
        <w:rPr>
          <w:rFonts w:ascii="宋体" w:hAnsi="宋体" w:cs="宋体"/>
          <w:b w:val="0"/>
          <w:sz w:val="21"/>
          <w:szCs w:val="21"/>
        </w:rPr>
      </w:pPr>
      <w:bookmarkStart w:id="135" w:name="_13.1报价文件:_具体材料见“投标人须知前附表”。"/>
      <w:bookmarkEnd w:id="135"/>
      <w:r>
        <w:rPr>
          <w:rFonts w:hint="eastAsia" w:ascii="宋体" w:hAnsi="宋体" w:cs="宋体"/>
          <w:b w:val="0"/>
          <w:sz w:val="21"/>
          <w:szCs w:val="21"/>
        </w:rPr>
        <w:t>（1）报价文件：具体材料见“投标人须知前附表”。</w:t>
      </w:r>
    </w:p>
    <w:p w14:paraId="29688D11">
      <w:pPr>
        <w:pStyle w:val="7"/>
        <w:keepNext w:val="0"/>
        <w:keepLines w:val="0"/>
        <w:spacing w:before="0" w:after="0" w:line="360" w:lineRule="auto"/>
        <w:ind w:left="420" w:leftChars="200"/>
        <w:rPr>
          <w:rFonts w:ascii="宋体" w:hAnsi="宋体" w:cs="宋体"/>
          <w:b w:val="0"/>
          <w:sz w:val="21"/>
          <w:szCs w:val="21"/>
        </w:rPr>
      </w:pPr>
      <w:bookmarkStart w:id="136" w:name="_13.2资格证明文件：具体材料见“投标人须知前附表”。"/>
      <w:bookmarkEnd w:id="136"/>
      <w:r>
        <w:rPr>
          <w:rFonts w:hint="eastAsia" w:ascii="宋体" w:hAnsi="宋体" w:cs="宋体"/>
          <w:b w:val="0"/>
          <w:sz w:val="21"/>
          <w:szCs w:val="21"/>
        </w:rPr>
        <w:t>（2）资格证明文件：具体材料见“投标人须知前附表”。</w:t>
      </w:r>
    </w:p>
    <w:p w14:paraId="71912688">
      <w:pPr>
        <w:pStyle w:val="7"/>
        <w:keepNext w:val="0"/>
        <w:keepLines w:val="0"/>
        <w:spacing w:before="0" w:after="0" w:line="360" w:lineRule="auto"/>
        <w:ind w:left="420" w:leftChars="200"/>
        <w:rPr>
          <w:rFonts w:ascii="宋体" w:hAnsi="宋体" w:cs="宋体"/>
          <w:b w:val="0"/>
          <w:sz w:val="21"/>
          <w:szCs w:val="21"/>
        </w:rPr>
      </w:pPr>
      <w:bookmarkStart w:id="137" w:name="_13.3商务文件:_具体材料见“投标人须知前附表”。"/>
      <w:bookmarkEnd w:id="137"/>
      <w:r>
        <w:rPr>
          <w:rFonts w:hint="eastAsia" w:ascii="宋体" w:hAnsi="宋体" w:cs="宋体"/>
          <w:b w:val="0"/>
          <w:sz w:val="21"/>
          <w:szCs w:val="21"/>
        </w:rPr>
        <w:t>（3）商务文件：具体材料见“投标人须知前附表”。</w:t>
      </w:r>
    </w:p>
    <w:p w14:paraId="395848B3">
      <w:pPr>
        <w:pStyle w:val="7"/>
        <w:keepNext w:val="0"/>
        <w:keepLines w:val="0"/>
        <w:spacing w:before="0" w:after="0" w:line="360" w:lineRule="auto"/>
        <w:ind w:left="420" w:leftChars="200"/>
        <w:rPr>
          <w:rFonts w:ascii="宋体" w:hAnsi="宋体" w:cs="宋体"/>
          <w:b w:val="0"/>
          <w:sz w:val="21"/>
          <w:szCs w:val="21"/>
        </w:rPr>
      </w:pPr>
      <w:bookmarkStart w:id="138" w:name="_13.4技术文件：具体材料见“投标人须知前附表”。"/>
      <w:bookmarkEnd w:id="138"/>
      <w:r>
        <w:rPr>
          <w:rFonts w:hint="eastAsia" w:ascii="宋体" w:hAnsi="宋体" w:cs="宋体"/>
          <w:b w:val="0"/>
          <w:sz w:val="21"/>
          <w:szCs w:val="21"/>
        </w:rPr>
        <w:t>（4）技术文件：具体材料见“投标人须知前附表”。</w:t>
      </w:r>
    </w:p>
    <w:p w14:paraId="32EE7A1A">
      <w:pPr>
        <w:pStyle w:val="7"/>
        <w:keepNext w:val="0"/>
        <w:keepLines w:val="0"/>
        <w:spacing w:before="0" w:after="0" w:line="360" w:lineRule="auto"/>
        <w:ind w:left="420" w:leftChars="200"/>
        <w:rPr>
          <w:rFonts w:ascii="宋体" w:hAnsi="宋体" w:cs="宋体"/>
          <w:b w:val="0"/>
          <w:sz w:val="21"/>
          <w:szCs w:val="21"/>
        </w:rPr>
      </w:pPr>
      <w:bookmarkStart w:id="139" w:name="_13.5投标文件电子版：具体材料见“投标人须知前附表”。"/>
      <w:bookmarkEnd w:id="139"/>
      <w:r>
        <w:rPr>
          <w:rFonts w:hint="eastAsia" w:ascii="宋体" w:hAnsi="宋体" w:cs="宋体"/>
          <w:b w:val="0"/>
          <w:sz w:val="21"/>
          <w:szCs w:val="21"/>
        </w:rPr>
        <w:t>13.2投标文件电子版：具体要求见“投标人须知前附表”。</w:t>
      </w:r>
    </w:p>
    <w:p w14:paraId="1069C774">
      <w:pPr>
        <w:pStyle w:val="7"/>
        <w:keepNext w:val="0"/>
        <w:keepLines w:val="0"/>
        <w:spacing w:before="0" w:after="0" w:line="360" w:lineRule="auto"/>
        <w:ind w:left="420" w:leftChars="200"/>
        <w:rPr>
          <w:rFonts w:ascii="宋体" w:hAnsi="宋体" w:cs="宋体"/>
          <w:sz w:val="24"/>
        </w:rPr>
      </w:pPr>
      <w:bookmarkStart w:id="140" w:name="_Toc254970678"/>
      <w:bookmarkStart w:id="141" w:name="_Toc254970537"/>
      <w:r>
        <w:rPr>
          <w:rFonts w:hint="eastAsia" w:ascii="宋体" w:hAnsi="宋体" w:cs="宋体"/>
          <w:sz w:val="24"/>
        </w:rPr>
        <w:t>14.投标文件的语言及计量</w:t>
      </w:r>
      <w:bookmarkEnd w:id="140"/>
      <w:bookmarkEnd w:id="141"/>
    </w:p>
    <w:p w14:paraId="59D6008F">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14.1语言文字</w:t>
      </w:r>
    </w:p>
    <w:p w14:paraId="6A94A346">
      <w:pPr>
        <w:pStyle w:val="7"/>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F888BB8">
      <w:pPr>
        <w:pStyle w:val="7"/>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14.2投标计量单位</w:t>
      </w:r>
    </w:p>
    <w:p w14:paraId="2D1609F5">
      <w:pPr>
        <w:pStyle w:val="7"/>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招标文件已有明确规定的，使用招标文件规定的计量单位；招标文件没有规定的，应采用中华人民共和国法定计量单位，货币种类为人民币，否则视同未响应。</w:t>
      </w:r>
    </w:p>
    <w:p w14:paraId="4B05799F">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15.投标的风险</w:t>
      </w:r>
    </w:p>
    <w:p w14:paraId="2F58F312">
      <w:pPr>
        <w:pStyle w:val="24"/>
        <w:snapToGrid w:val="0"/>
        <w:spacing w:line="360" w:lineRule="auto"/>
        <w:ind w:firstLine="420" w:firstLineChars="200"/>
        <w:jc w:val="left"/>
        <w:rPr>
          <w:rFonts w:hAnsi="宋体" w:cs="宋体"/>
          <w:sz w:val="21"/>
        </w:rPr>
      </w:pPr>
      <w:r>
        <w:rPr>
          <w:rFonts w:hint="eastAsia" w:hAnsi="宋体" w:cs="宋体"/>
          <w:sz w:val="21"/>
        </w:rPr>
        <w:t>投标人没有按照招标文件要求提供全部资料，或者投标人没有对招标文件作出实质性响应是投标人的风险，并可能导致其投标被拒绝。</w:t>
      </w:r>
    </w:p>
    <w:p w14:paraId="292822D5">
      <w:pPr>
        <w:pStyle w:val="7"/>
        <w:keepNext w:val="0"/>
        <w:keepLines w:val="0"/>
        <w:spacing w:before="0" w:after="0" w:line="360" w:lineRule="auto"/>
        <w:ind w:left="420" w:leftChars="200"/>
        <w:rPr>
          <w:rFonts w:ascii="宋体" w:hAnsi="宋体" w:cs="宋体"/>
          <w:sz w:val="24"/>
        </w:rPr>
      </w:pPr>
      <w:bookmarkStart w:id="142" w:name="_Toc254970538"/>
      <w:bookmarkStart w:id="143" w:name="_Toc254970679"/>
      <w:r>
        <w:rPr>
          <w:rFonts w:hint="eastAsia" w:ascii="宋体" w:hAnsi="宋体" w:cs="宋体"/>
          <w:sz w:val="24"/>
        </w:rPr>
        <w:t>16.投标报价</w:t>
      </w:r>
      <w:bookmarkEnd w:id="142"/>
      <w:bookmarkEnd w:id="143"/>
    </w:p>
    <w:p w14:paraId="6FE5A25E">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16.1投标报价应按“第六章　投标文件格式”中“开标一览表”格式填写。</w:t>
      </w:r>
    </w:p>
    <w:p w14:paraId="05A9DE0D">
      <w:pPr>
        <w:pStyle w:val="7"/>
        <w:keepNext w:val="0"/>
        <w:keepLines w:val="0"/>
        <w:spacing w:before="0" w:after="0" w:line="360" w:lineRule="auto"/>
        <w:ind w:left="420" w:leftChars="200"/>
        <w:rPr>
          <w:rFonts w:ascii="宋体" w:hAnsi="宋体" w:cs="宋体"/>
          <w:b w:val="0"/>
          <w:sz w:val="21"/>
          <w:szCs w:val="21"/>
        </w:rPr>
      </w:pPr>
      <w:bookmarkStart w:id="144" w:name="_16.2投标报价具体定义见投标人须知前附表。"/>
      <w:bookmarkEnd w:id="144"/>
      <w:r>
        <w:rPr>
          <w:rFonts w:hint="eastAsia" w:ascii="宋体" w:hAnsi="宋体" w:cs="宋体"/>
          <w:b w:val="0"/>
          <w:sz w:val="21"/>
          <w:szCs w:val="21"/>
        </w:rPr>
        <w:t>16.2投标报价具体包括内容详见“投标人须知前附表”。</w:t>
      </w:r>
    </w:p>
    <w:p w14:paraId="7797FA94">
      <w:pPr>
        <w:pStyle w:val="7"/>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16.3投标人必须就所投每个分标的全部内容分别作完整唯一总价报价，不得存在漏项报价；投标人必须就所投分标的单项内容作唯一报价。</w:t>
      </w:r>
    </w:p>
    <w:p w14:paraId="09063225">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17.投标有效期</w:t>
      </w:r>
    </w:p>
    <w:p w14:paraId="326FAB88">
      <w:pPr>
        <w:pStyle w:val="7"/>
        <w:keepNext w:val="0"/>
        <w:keepLines w:val="0"/>
        <w:spacing w:before="0" w:after="0" w:line="360" w:lineRule="auto"/>
        <w:ind w:left="420" w:leftChars="200"/>
        <w:rPr>
          <w:rFonts w:ascii="宋体" w:hAnsi="宋体" w:cs="宋体"/>
          <w:b w:val="0"/>
          <w:sz w:val="21"/>
          <w:szCs w:val="21"/>
        </w:rPr>
      </w:pPr>
      <w:bookmarkStart w:id="145" w:name="_17.1投标有效期应按“投标人须知中的前附表”规定的期限。"/>
      <w:bookmarkEnd w:id="145"/>
      <w:r>
        <w:rPr>
          <w:rFonts w:hint="eastAsia" w:ascii="宋体" w:hAnsi="宋体" w:cs="宋体"/>
          <w:b w:val="0"/>
          <w:sz w:val="21"/>
          <w:szCs w:val="21"/>
        </w:rPr>
        <w:t>17.1投标有效期是指为保证采购人有足够的时间在开标后完成评标、定标、合同签订等工作而要求投标人提交的投标文件在一定时间内保持有效的期限。</w:t>
      </w:r>
    </w:p>
    <w:p w14:paraId="66E02ECB">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17.2</w:t>
      </w:r>
      <w:bookmarkStart w:id="146" w:name="_Toc254970681"/>
      <w:bookmarkStart w:id="147" w:name="_Toc254970540"/>
      <w:r>
        <w:rPr>
          <w:rFonts w:hint="eastAsia" w:ascii="宋体" w:hAnsi="宋体" w:cs="宋体"/>
          <w:b w:val="0"/>
          <w:sz w:val="21"/>
          <w:szCs w:val="21"/>
        </w:rPr>
        <w:t>投标有效期应按规定的期限作出承诺，具体详见“投标人须知前附表”。</w:t>
      </w:r>
    </w:p>
    <w:p w14:paraId="05830D64">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17.3投标人的投标文件在投标有效期内均保持有效。</w:t>
      </w:r>
      <w:bookmarkEnd w:id="146"/>
      <w:bookmarkEnd w:id="147"/>
    </w:p>
    <w:p w14:paraId="798113BE">
      <w:pPr>
        <w:pStyle w:val="7"/>
        <w:keepNext w:val="0"/>
        <w:keepLines w:val="0"/>
        <w:spacing w:before="0" w:after="0" w:line="360" w:lineRule="auto"/>
        <w:ind w:left="420" w:leftChars="200"/>
        <w:rPr>
          <w:rFonts w:ascii="宋体" w:hAnsi="宋体" w:cs="宋体"/>
          <w:sz w:val="24"/>
        </w:rPr>
      </w:pPr>
      <w:bookmarkStart w:id="148" w:name="_18.投标保证金"/>
      <w:bookmarkEnd w:id="148"/>
      <w:bookmarkStart w:id="149" w:name="_Toc254970682"/>
      <w:bookmarkStart w:id="150" w:name="_Toc254970541"/>
      <w:r>
        <w:rPr>
          <w:rFonts w:hint="eastAsia" w:ascii="宋体" w:hAnsi="宋体" w:cs="宋体"/>
          <w:sz w:val="24"/>
        </w:rPr>
        <w:t>18.投标保证金</w:t>
      </w:r>
      <w:bookmarkEnd w:id="149"/>
      <w:bookmarkEnd w:id="150"/>
    </w:p>
    <w:p w14:paraId="4122610C">
      <w:pPr>
        <w:pStyle w:val="7"/>
        <w:keepNext w:val="0"/>
        <w:keepLines w:val="0"/>
        <w:spacing w:before="0" w:after="0" w:line="360" w:lineRule="auto"/>
        <w:ind w:left="420" w:leftChars="200"/>
        <w:rPr>
          <w:rFonts w:ascii="宋体" w:hAnsi="宋体" w:cs="宋体"/>
          <w:b w:val="0"/>
          <w:sz w:val="21"/>
          <w:szCs w:val="21"/>
        </w:rPr>
      </w:pPr>
      <w:bookmarkStart w:id="151" w:name="_Toc254970683"/>
      <w:bookmarkStart w:id="152" w:name="_Toc254970542"/>
      <w:r>
        <w:rPr>
          <w:rFonts w:hint="eastAsia" w:ascii="宋体" w:hAnsi="宋体" w:cs="宋体"/>
          <w:b w:val="0"/>
          <w:sz w:val="21"/>
          <w:szCs w:val="21"/>
        </w:rPr>
        <w:t>本项目不收取投标保证金。</w:t>
      </w:r>
    </w:p>
    <w:p w14:paraId="2EED98FA">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19.投标文件的</w:t>
      </w:r>
      <w:bookmarkEnd w:id="151"/>
      <w:bookmarkEnd w:id="152"/>
      <w:r>
        <w:rPr>
          <w:rFonts w:hint="eastAsia" w:ascii="宋体" w:hAnsi="宋体" w:cs="宋体"/>
          <w:sz w:val="24"/>
        </w:rPr>
        <w:t>编制</w:t>
      </w:r>
    </w:p>
    <w:p w14:paraId="5B789981">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19.1投标人应按本招标文件规定的格式和顺序编制，投标文件内容不完整、编排混乱导致投标文件被误读、漏读或者查找不到相关内容的，由此引发的后果由投标人承担。</w:t>
      </w:r>
    </w:p>
    <w:p w14:paraId="78DA2391">
      <w:pPr>
        <w:pStyle w:val="7"/>
        <w:keepNext w:val="0"/>
        <w:keepLines w:val="0"/>
        <w:spacing w:before="0" w:after="0" w:line="360" w:lineRule="auto"/>
        <w:ind w:firstLine="315" w:firstLineChars="150"/>
        <w:rPr>
          <w:rFonts w:ascii="宋体" w:hAnsi="宋体" w:cs="宋体"/>
          <w:b w:val="0"/>
          <w:sz w:val="21"/>
          <w:szCs w:val="21"/>
        </w:rPr>
      </w:pPr>
      <w:bookmarkStart w:id="153" w:name="_19.2投标文件应按报价文件、资格证明文件、商务文件、技术文件分别编制"/>
      <w:bookmarkEnd w:id="153"/>
      <w:r>
        <w:rPr>
          <w:rFonts w:hint="eastAsia" w:ascii="宋体" w:hAnsi="宋体" w:cs="宋体"/>
          <w:b w:val="0"/>
          <w:sz w:val="21"/>
          <w:szCs w:val="21"/>
        </w:rPr>
        <w:t>19.2投标文件应按报价文件、资格证明文件、商务文件、技术文件分别编制（如电子系统上要求和招标文件有出入的，以招标文件要求为准），详见投标须知前附表要求。</w:t>
      </w:r>
    </w:p>
    <w:p w14:paraId="29C2E82A">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19.3</w:t>
      </w:r>
      <w:r>
        <w:rPr>
          <w:rFonts w:hint="eastAsia" w:ascii="Arial" w:hAnsi="宋体" w:cs="Arial"/>
          <w:kern w:val="0"/>
          <w:sz w:val="21"/>
          <w:szCs w:val="21"/>
        </w:rPr>
        <w:t>投标电子备份电子投标文件光盘（或U盘）密封方式：单独放入一个密封袋中，加贴封条，并在封套封口处加盖供应商单位公章，在封套上标记“电子投标文件”字样，在投标截止时间前提交。（由供应商自行选择是否提交电子备份电子投标文件，但不提交电子备份电子投标文件的，不作为否决条件；若供应商在规定时间内无法解密或解密失败，供应商未在投标截止时间前递交电子备份电子投标文件的，自行承担后果）</w:t>
      </w:r>
      <w:r>
        <w:rPr>
          <w:rFonts w:hint="eastAsia" w:ascii="宋体" w:hAnsi="宋体" w:cs="宋体"/>
          <w:b w:val="0"/>
          <w:sz w:val="21"/>
          <w:szCs w:val="21"/>
        </w:rPr>
        <w:t>。</w:t>
      </w:r>
    </w:p>
    <w:p w14:paraId="4754CDF9">
      <w:pPr>
        <w:pStyle w:val="7"/>
        <w:keepNext w:val="0"/>
        <w:keepLines w:val="0"/>
        <w:spacing w:before="0" w:after="0" w:line="360" w:lineRule="auto"/>
        <w:ind w:firstLine="315" w:firstLineChars="150"/>
        <w:rPr>
          <w:rFonts w:ascii="Arial" w:hAnsi="宋体" w:cs="Arial"/>
          <w:kern w:val="0"/>
          <w:sz w:val="21"/>
          <w:szCs w:val="21"/>
        </w:rPr>
      </w:pPr>
      <w:r>
        <w:rPr>
          <w:rFonts w:hint="eastAsia" w:ascii="宋体" w:hAnsi="宋体" w:cs="宋体"/>
          <w:b w:val="0"/>
          <w:sz w:val="21"/>
          <w:szCs w:val="21"/>
        </w:rPr>
        <w:t>19.4</w:t>
      </w:r>
      <w:r>
        <w:rPr>
          <w:rFonts w:hint="eastAsia" w:ascii="Arial" w:hAnsi="宋体" w:cs="Arial"/>
          <w:kern w:val="0"/>
          <w:sz w:val="21"/>
          <w:szCs w:val="21"/>
        </w:rPr>
        <w:t>电子投标文件中须加盖供应商公章部分均采用CA签章，并根据“政府采购项目电子交易管理操作指南－供应商”及本招标文件规定的格式和顺序编制电子投标文件并进行关联定位，以便评标委员会在评审时，点击评分项可直接定位到该评分项内容。如对招标文件的某项要求，供应商的电子投标文件未能关联定位提供相应的内容与其对应，则评标委员会在评审时如做出对供应商不利的评审由供应商自行承担。电子投标文件如内容不完整、编排混乱导致投标文件被误读、漏读，或者在招标文件规定的部位查找不到相关内容的，由供应商自行承担。因广西政府采购云平台技术故障导致关联定位失效的，投标人可提供平台故障证明材料，评标委员会应结合备份文件进行评审。</w:t>
      </w:r>
    </w:p>
    <w:p w14:paraId="6C443495">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19.5投标文件中标注的投标人名称应与主体资格证明（如营业执照、事业单位法人证书、执业许可证、自然人身份证等）及公章一致，否则作无效投标处理。</w:t>
      </w:r>
    </w:p>
    <w:p w14:paraId="15610030">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19.6投标文件应尽量避免涂改、行间插字或者删除。如果出现上述情况，改动之处应由投标人的法定代表人或者其委托代理人签字或者加盖公章。投标文件因字迹潦草或者表达不清所引起的后果由投标人承担。</w:t>
      </w:r>
    </w:p>
    <w:p w14:paraId="1EC562AA">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20.投标文件的密封</w:t>
      </w:r>
    </w:p>
    <w:p w14:paraId="3F132886">
      <w:pPr>
        <w:pStyle w:val="7"/>
        <w:keepNext w:val="0"/>
        <w:keepLines w:val="0"/>
        <w:numPr>
          <w:ilvl w:val="4"/>
          <w:numId w:val="0"/>
        </w:numPr>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电子备份文件为未加密的电子投标文件，以U盘形式密封方式：单独放入一个密封袋中，加贴封条，并在封套封口处加盖供应商单位公章，在封套上标记“电子投标文件”字样，在投标截止时间前提交。（由供应商自行选择是否提交电子备份电子投标文件，但不提交电子备份电子投标文件的，不作为否决条件；电子加密投标文件解密失败的，需在解密时限内（30分钟）向采购代理机构提交书面说明，启用电子备份文件；因供应商自身操作失误导致解密失败的，备份文件不予启用，视为投标撤回）。</w:t>
      </w:r>
    </w:p>
    <w:p w14:paraId="1184C8F9">
      <w:pPr>
        <w:pStyle w:val="7"/>
        <w:keepNext w:val="0"/>
        <w:keepLines w:val="0"/>
        <w:spacing w:before="0" w:after="0" w:line="360" w:lineRule="auto"/>
        <w:ind w:left="420" w:leftChars="200"/>
        <w:rPr>
          <w:rFonts w:ascii="宋体" w:hAnsi="宋体" w:cs="宋体"/>
          <w:sz w:val="21"/>
          <w:szCs w:val="21"/>
        </w:rPr>
      </w:pPr>
      <w:r>
        <w:rPr>
          <w:rFonts w:hint="eastAsia" w:ascii="宋体" w:hAnsi="宋体" w:cs="宋体"/>
          <w:sz w:val="21"/>
          <w:szCs w:val="21"/>
        </w:rPr>
        <w:t>21.</w:t>
      </w:r>
      <w:r>
        <w:rPr>
          <w:rFonts w:hint="eastAsia" w:ascii="Arial" w:hAnsi="宋体" w:cs="Arial"/>
          <w:kern w:val="0"/>
          <w:sz w:val="21"/>
          <w:szCs w:val="21"/>
        </w:rPr>
        <w:t>投标文件递交、修改和撤回</w:t>
      </w:r>
    </w:p>
    <w:p w14:paraId="5F7E8438">
      <w:pPr>
        <w:snapToGrid w:val="0"/>
        <w:spacing w:line="360" w:lineRule="auto"/>
        <w:ind w:firstLine="422" w:firstLineChars="200"/>
        <w:jc w:val="left"/>
        <w:rPr>
          <w:rFonts w:ascii="宋体" w:hAnsi="宋体" w:cs="宋体"/>
          <w:b/>
          <w:szCs w:val="21"/>
        </w:rPr>
      </w:pPr>
      <w:bookmarkStart w:id="154" w:name="_21.1投标人必须在“投标人须知中的前附表”规定的投标文件接收时间和投"/>
      <w:bookmarkEnd w:id="154"/>
      <w:r>
        <w:rPr>
          <w:rFonts w:hint="eastAsia" w:ascii="宋体" w:hAnsi="宋体" w:cs="宋体"/>
          <w:b/>
          <w:szCs w:val="21"/>
        </w:rPr>
        <w:t>21.1供应商进行电子投标应安装客户端软件，客户端软件名称为‘广西政府采购云电子交易客户端’，下载路径为广西政府采购网（</w:t>
      </w:r>
      <w:r>
        <w:fldChar w:fldCharType="begin"/>
      </w:r>
      <w:r>
        <w:instrText xml:space="preserve"> HYPERLINK "https://zfcg.gxzf.gov.cn/" \t "_blank" </w:instrText>
      </w:r>
      <w:r>
        <w:fldChar w:fldCharType="separate"/>
      </w:r>
      <w:r>
        <w:rPr>
          <w:rFonts w:hint="eastAsia" w:ascii="宋体" w:hAnsi="宋体" w:cs="宋体"/>
          <w:b/>
          <w:szCs w:val="21"/>
        </w:rPr>
        <w:t>https://zfcg.gxzf.gov.cn/</w:t>
      </w:r>
      <w:r>
        <w:rPr>
          <w:rFonts w:hint="eastAsia" w:ascii="宋体" w:hAnsi="宋体" w:cs="宋体"/>
          <w:b/>
          <w:szCs w:val="21"/>
        </w:rPr>
        <w:fldChar w:fldCharType="end"/>
      </w:r>
      <w:r>
        <w:rPr>
          <w:rFonts w:hint="eastAsia" w:ascii="宋体" w:hAnsi="宋体" w:cs="宋体"/>
          <w:b/>
          <w:szCs w:val="21"/>
        </w:rPr>
        <w:t>）‘下载中心’栏目，并按照招标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2C4E160">
      <w:pPr>
        <w:snapToGrid w:val="0"/>
        <w:spacing w:line="360" w:lineRule="auto"/>
        <w:ind w:firstLine="422" w:firstLineChars="200"/>
        <w:jc w:val="left"/>
        <w:rPr>
          <w:rFonts w:ascii="宋体" w:hAnsi="宋体" w:cs="宋体"/>
          <w:b/>
          <w:szCs w:val="21"/>
        </w:rPr>
      </w:pPr>
      <w:r>
        <w:rPr>
          <w:rFonts w:hint="eastAsia" w:ascii="宋体" w:hAnsi="宋体" w:cs="宋体"/>
          <w:b/>
          <w:szCs w:val="21"/>
        </w:rPr>
        <w:t>21.2因不可抗力（如网络中断、平台卡顿）导致投标文件未按时传输的，投标人需在投标截止时间后1小时内联系采购代理机构（电话：0771-7924808），并在30分钟内提交相关证明材料及电子备份文件，经采购人确认后可视为有效投标。</w:t>
      </w:r>
    </w:p>
    <w:p w14:paraId="61C92617">
      <w:pPr>
        <w:numPr>
          <w:ilvl w:val="0"/>
          <w:numId w:val="7"/>
        </w:numPr>
        <w:snapToGrid w:val="0"/>
        <w:spacing w:line="360" w:lineRule="auto"/>
        <w:ind w:firstLine="482" w:firstLineChars="200"/>
        <w:jc w:val="left"/>
        <w:rPr>
          <w:rFonts w:ascii="Arial" w:hAnsi="宋体" w:cs="Arial"/>
          <w:b/>
          <w:kern w:val="0"/>
          <w:sz w:val="24"/>
        </w:rPr>
      </w:pPr>
      <w:r>
        <w:rPr>
          <w:rFonts w:hint="eastAsia" w:ascii="Arial" w:hAnsi="宋体" w:cs="Arial"/>
          <w:b/>
          <w:kern w:val="0"/>
          <w:sz w:val="24"/>
        </w:rPr>
        <w:t>其他情况</w:t>
      </w:r>
    </w:p>
    <w:p w14:paraId="030133D7">
      <w:pPr>
        <w:snapToGrid w:val="0"/>
        <w:spacing w:line="360" w:lineRule="auto"/>
        <w:ind w:firstLine="420" w:firstLineChars="200"/>
        <w:jc w:val="left"/>
        <w:rPr>
          <w:rFonts w:ascii="Arial" w:hAnsi="宋体" w:cs="Arial"/>
          <w:kern w:val="0"/>
          <w:sz w:val="24"/>
        </w:rPr>
      </w:pPr>
      <w:r>
        <w:rPr>
          <w:rFonts w:hint="eastAsia" w:ascii="宋体" w:hAnsi="宋体" w:cs="宋体"/>
          <w:bCs/>
          <w:szCs w:val="21"/>
        </w:rPr>
        <w:t>如有特殊情况，采购代理机构延长截止时间和开标时间，采购代理机构和供应商的权利和义务将受到新的截止时间和开标时间的约束。</w:t>
      </w:r>
    </w:p>
    <w:p w14:paraId="548B2B5E">
      <w:pPr>
        <w:pStyle w:val="5"/>
        <w:keepNext w:val="0"/>
        <w:keepLines w:val="0"/>
        <w:spacing w:before="0" w:after="0" w:line="360" w:lineRule="auto"/>
        <w:jc w:val="center"/>
        <w:rPr>
          <w:rFonts w:ascii="宋体" w:hAnsi="宋体" w:cs="宋体"/>
        </w:rPr>
      </w:pPr>
      <w:bookmarkStart w:id="155" w:name="_Toc254970685"/>
      <w:bookmarkStart w:id="156" w:name="_Toc254970544"/>
      <w:r>
        <w:rPr>
          <w:rFonts w:hint="eastAsia" w:ascii="宋体" w:hAnsi="宋体" w:cs="宋体"/>
        </w:rPr>
        <w:t>四、开标</w:t>
      </w:r>
      <w:bookmarkEnd w:id="155"/>
      <w:bookmarkEnd w:id="156"/>
    </w:p>
    <w:p w14:paraId="6BE4472B">
      <w:pPr>
        <w:pStyle w:val="7"/>
        <w:keepNext w:val="0"/>
        <w:keepLines w:val="0"/>
        <w:spacing w:before="0" w:after="0" w:line="360" w:lineRule="auto"/>
        <w:ind w:left="420" w:leftChars="200"/>
        <w:rPr>
          <w:rFonts w:ascii="宋体" w:hAnsi="宋体" w:cs="宋体"/>
          <w:sz w:val="24"/>
        </w:rPr>
      </w:pPr>
      <w:bookmarkStart w:id="157" w:name="_23.开标时间和地点"/>
      <w:bookmarkEnd w:id="157"/>
      <w:r>
        <w:rPr>
          <w:rFonts w:hint="eastAsia" w:ascii="宋体" w:hAnsi="宋体" w:cs="宋体"/>
          <w:sz w:val="24"/>
        </w:rPr>
        <w:t>23.开标时间和地点</w:t>
      </w:r>
    </w:p>
    <w:p w14:paraId="12D3D5B9">
      <w:pPr>
        <w:pStyle w:val="24"/>
        <w:snapToGrid w:val="0"/>
        <w:spacing w:line="360" w:lineRule="auto"/>
        <w:ind w:firstLine="420" w:firstLineChars="200"/>
        <w:rPr>
          <w:rFonts w:hAnsi="宋体" w:cs="宋体"/>
          <w:bCs/>
          <w:sz w:val="21"/>
        </w:rPr>
      </w:pPr>
      <w:r>
        <w:rPr>
          <w:rFonts w:hint="eastAsia" w:hAnsi="宋体" w:cs="宋体"/>
          <w:bCs/>
          <w:sz w:val="21"/>
        </w:rPr>
        <w:t>采购代理机构将在“投标人须知前附表”规定的时间和地点进行开标，投标人未参加开标的，视同认可开标过程和结果。本项目开标过程实行全程录音、录像监控。</w:t>
      </w:r>
    </w:p>
    <w:p w14:paraId="36BE2B28">
      <w:pPr>
        <w:pStyle w:val="24"/>
        <w:snapToGrid w:val="0"/>
        <w:spacing w:line="360" w:lineRule="auto"/>
        <w:ind w:firstLine="420" w:firstLineChars="200"/>
      </w:pPr>
      <w:r>
        <w:rPr>
          <w:rFonts w:hint="eastAsia" w:hAnsi="宋体" w:cs="宋体"/>
          <w:bCs/>
          <w:sz w:val="21"/>
        </w:rPr>
        <w:t>采购人将于前附表规定的时间和地点举行开标会议并签到以证明其出席开标会议。</w:t>
      </w:r>
    </w:p>
    <w:p w14:paraId="04BBA582">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24.开标程序</w:t>
      </w:r>
    </w:p>
    <w:p w14:paraId="62E3CA1D">
      <w:pPr>
        <w:pStyle w:val="24"/>
        <w:snapToGrid w:val="0"/>
        <w:spacing w:line="360" w:lineRule="auto"/>
        <w:ind w:firstLine="422" w:firstLineChars="200"/>
        <w:rPr>
          <w:rFonts w:hAnsi="宋体" w:cs="宋体"/>
          <w:b/>
          <w:sz w:val="21"/>
        </w:rPr>
      </w:pPr>
      <w:r>
        <w:rPr>
          <w:rFonts w:hint="eastAsia" w:hAnsi="宋体" w:cs="宋体"/>
          <w:b/>
          <w:sz w:val="21"/>
        </w:rPr>
        <w:t>供应商根据招标文件要求，登录广西政府采购云平台，在指定时间内将电子投标文件通过CA加密后上传完成投标。开标实行网上不见面开标。到达开标时间后，采购代理机构工作人员在广西政府采购云平台开始网上开标，供应商在招标文件指定解密时间内各自远程登录广西政府采购云平台进行投标文件解密，供应商全部解密完成或解密时间结束后由采购代理机构工作人员开启唱标及评标程序，供应商可在个人电脑上查看到唱标信息，并等待专家评委评审，评审结束后系统中将显示评标结果。</w:t>
      </w:r>
    </w:p>
    <w:p w14:paraId="76008C4C">
      <w:pPr>
        <w:rPr>
          <w:rFonts w:hAnsi="宋体" w:cs="宋体"/>
          <w:b/>
        </w:rPr>
      </w:pPr>
    </w:p>
    <w:p w14:paraId="2A2E5B16">
      <w:pPr>
        <w:rPr>
          <w:rFonts w:hAnsi="宋体" w:cs="宋体"/>
          <w:b/>
        </w:rPr>
      </w:pPr>
    </w:p>
    <w:p w14:paraId="7C0220B6">
      <w:pPr>
        <w:rPr>
          <w:rFonts w:hAnsi="宋体" w:cs="宋体"/>
          <w:b/>
        </w:rPr>
      </w:pPr>
    </w:p>
    <w:p w14:paraId="36C4A906">
      <w:pPr>
        <w:pStyle w:val="5"/>
        <w:keepNext w:val="0"/>
        <w:keepLines w:val="0"/>
        <w:spacing w:before="0" w:after="0" w:line="360" w:lineRule="auto"/>
        <w:jc w:val="center"/>
        <w:rPr>
          <w:rFonts w:ascii="宋体" w:hAnsi="宋体" w:cs="宋体"/>
        </w:rPr>
      </w:pPr>
      <w:r>
        <w:rPr>
          <w:rFonts w:hint="eastAsia" w:ascii="宋体" w:hAnsi="宋体" w:cs="宋体"/>
        </w:rPr>
        <w:t>五、资格审查</w:t>
      </w:r>
    </w:p>
    <w:p w14:paraId="7B5E353C">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25.资格审查</w:t>
      </w:r>
    </w:p>
    <w:p w14:paraId="1A846829">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25.1开标结束后，采购人、采购代理机构根据双方签订的代理协议约定，依法对投标人的资格进行审查。</w:t>
      </w:r>
    </w:p>
    <w:p w14:paraId="1AC01675">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25.2资格审查标准为本招标文件中载明对投标人资格要求的条件。本项目资格审查采用合格制，凡符合招标文件规定的投标人资格要求的投标人均通过资格审查。</w:t>
      </w:r>
    </w:p>
    <w:p w14:paraId="0EE5FC35">
      <w:pPr>
        <w:pStyle w:val="7"/>
        <w:keepNext w:val="0"/>
        <w:keepLines w:val="0"/>
        <w:numPr>
          <w:ilvl w:val="0"/>
          <w:numId w:val="0"/>
        </w:numPr>
        <w:spacing w:before="0" w:after="0" w:line="360" w:lineRule="auto"/>
        <w:ind w:firstLine="422" w:firstLineChars="200"/>
        <w:rPr>
          <w:rFonts w:ascii="宋体" w:hAnsi="宋体" w:cs="宋体"/>
          <w:sz w:val="21"/>
          <w:szCs w:val="21"/>
        </w:rPr>
      </w:pPr>
      <w:bookmarkStart w:id="158" w:name="_25.3_投标人有下列情形之一的，资格审查不通过而导致其投标无效："/>
      <w:bookmarkEnd w:id="158"/>
      <w:r>
        <w:rPr>
          <w:rFonts w:hint="eastAsia" w:ascii="宋体" w:hAnsi="宋体" w:cs="宋体"/>
          <w:sz w:val="21"/>
          <w:szCs w:val="21"/>
        </w:rPr>
        <w:t>25.3本项目资格审查不合格的情形包括但不限于以下内容，符合性审查的无效投标情形详见第四章评标方法及标准：</w:t>
      </w:r>
    </w:p>
    <w:p w14:paraId="0760F3FD">
      <w:pPr>
        <w:pStyle w:val="24"/>
        <w:snapToGrid w:val="0"/>
        <w:spacing w:line="360" w:lineRule="auto"/>
        <w:ind w:firstLine="422" w:firstLineChars="200"/>
        <w:rPr>
          <w:rFonts w:hAnsi="宋体" w:cs="宋体"/>
          <w:b/>
          <w:sz w:val="21"/>
        </w:rPr>
      </w:pPr>
      <w:r>
        <w:rPr>
          <w:rFonts w:hint="eastAsia" w:hAnsi="宋体" w:cs="宋体"/>
          <w:b/>
          <w:sz w:val="21"/>
        </w:rPr>
        <w:t>（1）未按招标文件规定的方式获取本招标文件的投标人；</w:t>
      </w:r>
    </w:p>
    <w:p w14:paraId="6F4ED702">
      <w:pPr>
        <w:pStyle w:val="24"/>
        <w:snapToGrid w:val="0"/>
        <w:spacing w:line="360" w:lineRule="auto"/>
        <w:ind w:firstLine="422" w:firstLineChars="200"/>
        <w:rPr>
          <w:rFonts w:hAnsi="宋体" w:cs="宋体"/>
          <w:b/>
          <w:sz w:val="21"/>
        </w:rPr>
      </w:pPr>
      <w:r>
        <w:rPr>
          <w:rFonts w:hint="eastAsia" w:hAnsi="宋体" w:cs="宋体"/>
          <w:b/>
          <w:sz w:val="21"/>
        </w:rPr>
        <w:t>（2）不具备招标文件中规定的资格要求的；（注：其中信用查询截止时点为资格审查结束前，查询渠道及使用规则见投标人须知前附表）</w:t>
      </w:r>
    </w:p>
    <w:p w14:paraId="7FC1E8BA">
      <w:pPr>
        <w:pStyle w:val="24"/>
        <w:snapToGrid w:val="0"/>
        <w:spacing w:line="360" w:lineRule="auto"/>
        <w:ind w:firstLine="422" w:firstLineChars="200"/>
        <w:rPr>
          <w:rFonts w:hAnsi="宋体" w:cs="宋体"/>
          <w:b/>
          <w:sz w:val="21"/>
        </w:rPr>
      </w:pPr>
      <w:r>
        <w:rPr>
          <w:rFonts w:hint="eastAsia" w:hAnsi="宋体" w:cs="宋体"/>
          <w:b/>
          <w:sz w:val="21"/>
        </w:rPr>
        <w:t>（3）投标文件未提供任一项“投标人须知前附表”资格证明文件规定的“必须提供”的文件资料的；</w:t>
      </w:r>
    </w:p>
    <w:p w14:paraId="291929A7">
      <w:pPr>
        <w:pStyle w:val="24"/>
        <w:snapToGrid w:val="0"/>
        <w:spacing w:line="360" w:lineRule="auto"/>
        <w:ind w:firstLine="422" w:firstLineChars="200"/>
        <w:rPr>
          <w:rFonts w:hAnsi="宋体" w:cs="宋体"/>
          <w:b/>
          <w:sz w:val="21"/>
        </w:rPr>
      </w:pPr>
      <w:r>
        <w:rPr>
          <w:rFonts w:hint="eastAsia" w:hAnsi="宋体" w:cs="宋体"/>
          <w:b/>
          <w:sz w:val="21"/>
        </w:rPr>
        <w:t>（4）投标文件提供的资格证明文件出现任一项不符合“投标人须知前附表”资格证明文件规定的“必须提供”的文件资料要求或者无效的。</w:t>
      </w:r>
    </w:p>
    <w:p w14:paraId="70022651">
      <w:pPr>
        <w:pStyle w:val="24"/>
        <w:snapToGrid w:val="0"/>
        <w:spacing w:line="360" w:lineRule="auto"/>
        <w:ind w:firstLine="422" w:firstLineChars="200"/>
        <w:rPr>
          <w:rFonts w:hAnsi="宋体" w:cs="宋体"/>
          <w:b/>
          <w:sz w:val="21"/>
        </w:rPr>
      </w:pPr>
      <w:r>
        <w:rPr>
          <w:rFonts w:hint="eastAsia" w:hAnsi="宋体" w:cs="宋体"/>
          <w:b/>
          <w:sz w:val="21"/>
        </w:rPr>
        <w:t>注:①资格审查（开标后）：仅审查供应商是否满足“资格要求”（资质、信用、承诺函等），不涉及技术、商务响应；②符合性审查（评标阶段）：审查投标文件是否响应招标文件实质性技术、商务条款（如服务期限、成果要求等）</w:t>
      </w:r>
    </w:p>
    <w:p w14:paraId="2B2BE358">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sz w:val="21"/>
          <w:szCs w:val="21"/>
        </w:rPr>
        <w:t>25.4资格审查的合格投标人不足3家的，不得评标。</w:t>
      </w:r>
    </w:p>
    <w:p w14:paraId="30CF390B">
      <w:pPr>
        <w:pStyle w:val="5"/>
        <w:keepNext w:val="0"/>
        <w:keepLines w:val="0"/>
        <w:spacing w:before="0" w:after="0" w:line="360" w:lineRule="auto"/>
        <w:jc w:val="center"/>
        <w:rPr>
          <w:rFonts w:ascii="宋体" w:hAnsi="宋体" w:cs="宋体"/>
        </w:rPr>
      </w:pPr>
      <w:r>
        <w:rPr>
          <w:rFonts w:hint="eastAsia" w:ascii="宋体" w:hAnsi="宋体" w:cs="宋体"/>
        </w:rPr>
        <w:t>六、评标</w:t>
      </w:r>
    </w:p>
    <w:p w14:paraId="2A4D58EC">
      <w:pPr>
        <w:pStyle w:val="7"/>
        <w:keepNext w:val="0"/>
        <w:keepLines w:val="0"/>
        <w:spacing w:before="0" w:after="0" w:line="360" w:lineRule="auto"/>
        <w:ind w:left="420" w:leftChars="200"/>
        <w:rPr>
          <w:rFonts w:ascii="宋体" w:hAnsi="宋体" w:cs="宋体"/>
          <w:sz w:val="24"/>
        </w:rPr>
      </w:pPr>
      <w:bookmarkStart w:id="159" w:name="_26.组建评标委员会"/>
      <w:bookmarkEnd w:id="159"/>
      <w:r>
        <w:rPr>
          <w:rFonts w:hint="eastAsia" w:ascii="宋体" w:hAnsi="宋体" w:cs="宋体"/>
          <w:sz w:val="24"/>
        </w:rPr>
        <w:t>26.组建评标委员会</w:t>
      </w:r>
    </w:p>
    <w:p w14:paraId="1D9E5DC6">
      <w:pPr>
        <w:pStyle w:val="24"/>
        <w:snapToGrid w:val="0"/>
        <w:spacing w:line="360" w:lineRule="auto"/>
        <w:ind w:firstLine="420" w:firstLineChars="200"/>
        <w:rPr>
          <w:rFonts w:hAnsi="宋体" w:cs="宋体"/>
          <w:sz w:val="21"/>
        </w:rPr>
      </w:pPr>
      <w:r>
        <w:rPr>
          <w:rFonts w:hint="eastAsia" w:hAnsi="宋体" w:cs="宋体"/>
          <w:sz w:val="21"/>
        </w:rPr>
        <w:t>评标委员会由采购人代表和评审专家组成，具体人数详见“投标人须知前附表”，其中评审专家不得少于成员总数的三分之二。</w:t>
      </w:r>
    </w:p>
    <w:p w14:paraId="1901A8DF">
      <w:pPr>
        <w:pStyle w:val="24"/>
        <w:snapToGrid w:val="0"/>
        <w:spacing w:line="360" w:lineRule="auto"/>
        <w:ind w:left="2" w:leftChars="1" w:firstLine="420" w:firstLineChars="200"/>
        <w:rPr>
          <w:rFonts w:hAnsi="宋体" w:cs="宋体"/>
          <w:sz w:val="21"/>
        </w:rPr>
      </w:pPr>
      <w:r>
        <w:rPr>
          <w:rFonts w:hint="eastAsia" w:hAnsi="宋体" w:cs="宋体"/>
          <w:sz w:val="21"/>
        </w:rPr>
        <w:t>参加过采购项目前期咨询论证的专家，不得参加该采购项目的评审活动。</w:t>
      </w:r>
    </w:p>
    <w:p w14:paraId="147D8F36">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27.评标的依据</w:t>
      </w:r>
    </w:p>
    <w:p w14:paraId="1BC627DB">
      <w:pPr>
        <w:pStyle w:val="24"/>
        <w:snapToGrid w:val="0"/>
        <w:spacing w:line="360" w:lineRule="auto"/>
        <w:ind w:firstLine="420" w:firstLineChars="200"/>
        <w:rPr>
          <w:rFonts w:hAnsi="宋体" w:cs="宋体"/>
          <w:sz w:val="21"/>
        </w:rPr>
      </w:pPr>
      <w:r>
        <w:rPr>
          <w:rFonts w:hint="eastAsia" w:hAnsi="宋体" w:cs="宋体"/>
          <w:sz w:val="21"/>
        </w:rPr>
        <w:t>评标委员会以招标文件为依据对投标文件进行评审，“第四章评标方法和评标标准”没有规定的方法、评审因素和标准，不作为评标依据。</w:t>
      </w:r>
    </w:p>
    <w:p w14:paraId="308304C8">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28.评标原则</w:t>
      </w:r>
    </w:p>
    <w:p w14:paraId="62AD18D3">
      <w:pPr>
        <w:pStyle w:val="24"/>
        <w:snapToGrid w:val="0"/>
        <w:spacing w:line="360" w:lineRule="auto"/>
        <w:ind w:firstLine="420" w:firstLineChars="200"/>
        <w:rPr>
          <w:rFonts w:hAnsi="宋体" w:cs="宋体"/>
          <w:sz w:val="21"/>
        </w:rPr>
      </w:pPr>
      <w:r>
        <w:rPr>
          <w:rFonts w:hint="eastAsia" w:hAnsi="宋体" w:cs="宋体"/>
          <w:sz w:val="21"/>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D48F8AA">
      <w:pPr>
        <w:pStyle w:val="24"/>
        <w:snapToGrid w:val="0"/>
        <w:spacing w:line="360" w:lineRule="auto"/>
        <w:ind w:firstLine="420" w:firstLineChars="200"/>
        <w:rPr>
          <w:rFonts w:hAnsi="宋体" w:cs="宋体"/>
          <w:sz w:val="21"/>
        </w:rPr>
      </w:pPr>
      <w:r>
        <w:rPr>
          <w:rFonts w:hint="eastAsia" w:hAnsi="宋体" w:cs="宋体"/>
          <w:sz w:val="21"/>
        </w:rPr>
        <w:t>28.2评委表决。在评标过程中出现法律法规和招标文件均没有明确规定的情形时，由评标委员会现场协商解决，协商不一致的，由全体评委投票表决，以得票率二分之一以上专家的意见为准。</w:t>
      </w:r>
      <w:bookmarkStart w:id="160" w:name="_28.3评标方法。本项目将按须知前附表规定的评标办法进行评标，具体评标"/>
      <w:bookmarkEnd w:id="160"/>
    </w:p>
    <w:p w14:paraId="014A79E2">
      <w:pPr>
        <w:pStyle w:val="24"/>
        <w:snapToGrid w:val="0"/>
        <w:spacing w:line="360" w:lineRule="auto"/>
        <w:ind w:firstLine="420" w:firstLineChars="200"/>
        <w:rPr>
          <w:rFonts w:hAnsi="宋体" w:cs="宋体"/>
          <w:sz w:val="21"/>
        </w:rPr>
      </w:pPr>
      <w:r>
        <w:rPr>
          <w:rFonts w:hint="eastAsia" w:hAnsi="宋体" w:cs="宋体"/>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5128982">
      <w:pPr>
        <w:pStyle w:val="24"/>
        <w:snapToGrid w:val="0"/>
        <w:spacing w:line="360" w:lineRule="auto"/>
        <w:ind w:firstLine="420" w:firstLineChars="200"/>
        <w:rPr>
          <w:rFonts w:hAnsi="宋体" w:cs="宋体"/>
          <w:sz w:val="21"/>
        </w:rPr>
      </w:pPr>
      <w:r>
        <w:rPr>
          <w:rFonts w:hint="eastAsia" w:hAnsi="宋体" w:cs="宋体"/>
          <w:sz w:val="21"/>
        </w:rPr>
        <w:t>28.4评标过程的监控。本项目评标过程实行全程录音、录像监控，投标人在评标过程中所进行的试图影响评标结果的不公正活动，可能导致其投标按无效处理。</w:t>
      </w:r>
    </w:p>
    <w:p w14:paraId="645CF61F">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29.评标方法及评标标准</w:t>
      </w:r>
    </w:p>
    <w:p w14:paraId="1AB6AC3A">
      <w:pPr>
        <w:pStyle w:val="24"/>
        <w:snapToGrid w:val="0"/>
        <w:spacing w:line="360" w:lineRule="auto"/>
        <w:ind w:firstLine="420" w:firstLineChars="200"/>
        <w:rPr>
          <w:rFonts w:hAnsi="宋体" w:cs="宋体"/>
          <w:sz w:val="21"/>
        </w:rPr>
      </w:pPr>
      <w:r>
        <w:rPr>
          <w:rFonts w:hint="eastAsia" w:hAnsi="宋体" w:cs="宋体"/>
          <w:sz w:val="21"/>
        </w:rPr>
        <w:t>29.1本项目的评标方法详见“投标人须知前附表”。</w:t>
      </w:r>
    </w:p>
    <w:p w14:paraId="57F87FDB">
      <w:pPr>
        <w:pStyle w:val="24"/>
        <w:snapToGrid w:val="0"/>
        <w:spacing w:line="360" w:lineRule="auto"/>
        <w:ind w:firstLine="420" w:firstLineChars="200"/>
        <w:rPr>
          <w:rFonts w:hAnsi="宋体" w:cs="宋体"/>
          <w:sz w:val="21"/>
        </w:rPr>
      </w:pPr>
      <w:r>
        <w:rPr>
          <w:rFonts w:hint="eastAsia" w:hAnsi="宋体" w:cs="宋体"/>
          <w:sz w:val="21"/>
        </w:rPr>
        <w:t>29.2评标委员会按照“第四章评标方法和评标标准”规定的方法、评审因素、标准和程序对投标文件进行评审。</w:t>
      </w:r>
    </w:p>
    <w:p w14:paraId="680BB867">
      <w:pPr>
        <w:pStyle w:val="5"/>
        <w:keepNext w:val="0"/>
        <w:keepLines w:val="0"/>
        <w:spacing w:before="0" w:after="0" w:line="360" w:lineRule="auto"/>
        <w:jc w:val="center"/>
        <w:rPr>
          <w:rFonts w:ascii="宋体" w:hAnsi="宋体" w:cs="宋体"/>
        </w:rPr>
      </w:pPr>
      <w:bookmarkStart w:id="161" w:name="_Toc254970546"/>
      <w:bookmarkStart w:id="162" w:name="_Toc254970687"/>
      <w:r>
        <w:rPr>
          <w:rFonts w:hint="eastAsia" w:ascii="宋体" w:hAnsi="宋体" w:cs="宋体"/>
        </w:rPr>
        <w:t>七、</w:t>
      </w:r>
      <w:bookmarkEnd w:id="161"/>
      <w:bookmarkEnd w:id="162"/>
      <w:r>
        <w:rPr>
          <w:rFonts w:hint="eastAsia" w:ascii="宋体" w:hAnsi="宋体" w:cs="宋体"/>
        </w:rPr>
        <w:t>中标合同</w:t>
      </w:r>
    </w:p>
    <w:p w14:paraId="4B81C172">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30确定中标人</w:t>
      </w:r>
    </w:p>
    <w:p w14:paraId="34BC0743">
      <w:pPr>
        <w:pStyle w:val="7"/>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30.1采购代理机构在评标结束之日起2个工作日内将评标报告送采购人，采购人在收到评标报告之日起2个工作日内，在评标报告确定的中标候选人名单中按顺序确定中标人。中标候选人并列的，按照“投标人须知前附表”规定的方式确定中标人。采购人也可以事先授权评标委员会直接确定中标人。</w:t>
      </w:r>
    </w:p>
    <w:p w14:paraId="2F062C03">
      <w:pPr>
        <w:snapToGrid w:val="0"/>
        <w:spacing w:line="360" w:lineRule="auto"/>
        <w:ind w:firstLine="420" w:firstLineChars="200"/>
        <w:rPr>
          <w:rFonts w:ascii="宋体" w:hAnsi="宋体" w:cs="宋体"/>
          <w:szCs w:val="21"/>
        </w:rPr>
      </w:pPr>
      <w:r>
        <w:rPr>
          <w:rFonts w:hint="eastAsia" w:ascii="宋体" w:hAnsi="宋体" w:cs="宋体"/>
          <w:szCs w:val="21"/>
        </w:rPr>
        <w:t>30.2采购人在收到评标报告2个工作日内未按评标报告推荐的中标候选人顺序确定中标人，又不能说明合法理由的，视同按评标报告推荐的顺序确定排名第一的中标候选人为中标人。</w:t>
      </w:r>
    </w:p>
    <w:p w14:paraId="30F8BEB7">
      <w:pPr>
        <w:snapToGrid w:val="0"/>
        <w:spacing w:line="360" w:lineRule="auto"/>
        <w:ind w:firstLine="420" w:firstLineChars="200"/>
        <w:rPr>
          <w:rFonts w:ascii="宋体" w:hAnsi="宋体" w:cs="宋体"/>
          <w:szCs w:val="21"/>
        </w:rPr>
      </w:pPr>
      <w:r>
        <w:rPr>
          <w:rFonts w:hint="eastAsia" w:ascii="宋体" w:hAnsi="宋体" w:cs="宋体"/>
          <w:szCs w:val="21"/>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78D6082">
      <w:pPr>
        <w:snapToGrid w:val="0"/>
        <w:spacing w:line="360" w:lineRule="auto"/>
        <w:ind w:firstLine="420" w:firstLineChars="200"/>
        <w:rPr>
          <w:rFonts w:ascii="宋体" w:hAnsi="宋体" w:cs="宋体"/>
          <w:szCs w:val="21"/>
        </w:rPr>
      </w:pPr>
      <w:r>
        <w:rPr>
          <w:rFonts w:hint="eastAsia" w:ascii="宋体" w:hAnsi="宋体" w:cs="宋体"/>
          <w:szCs w:val="21"/>
        </w:rPr>
        <w:t>30.4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2F1EA764">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31.结果公告</w:t>
      </w:r>
    </w:p>
    <w:p w14:paraId="6BFD9845">
      <w:pPr>
        <w:pStyle w:val="7"/>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31.1中标人确定后，于中标人确定之日起2个工作日内，中标结果将在招标公告发布媒体上公告。采购代理机构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采购代理机构未按规定履行查询义务导致采购单位损失的，应当承担赔偿责任，赔偿范围包括但不限于重新采购的费用、延误项目造成的损失等。</w:t>
      </w:r>
    </w:p>
    <w:p w14:paraId="417842B2">
      <w:pPr>
        <w:snapToGrid w:val="0"/>
        <w:spacing w:line="360" w:lineRule="auto"/>
        <w:ind w:firstLine="420" w:firstLineChars="200"/>
        <w:rPr>
          <w:rFonts w:ascii="宋体" w:hAnsi="宋体" w:cs="宋体"/>
          <w:szCs w:val="21"/>
        </w:rPr>
      </w:pPr>
      <w:r>
        <w:rPr>
          <w:rFonts w:hint="eastAsia" w:ascii="宋体" w:hAnsi="宋体" w:cs="宋体"/>
          <w:szCs w:val="21"/>
        </w:rPr>
        <w:t>排名第二的中标候选人因前款规定的同样原因被取消中标资格的，采购人可以确定排名第三的中标候选人为中标人，以此类推。</w:t>
      </w:r>
    </w:p>
    <w:p w14:paraId="5C8BE0C7">
      <w:pPr>
        <w:snapToGrid w:val="0"/>
        <w:spacing w:line="360" w:lineRule="auto"/>
        <w:ind w:firstLine="420" w:firstLineChars="200"/>
        <w:rPr>
          <w:rFonts w:ascii="宋体" w:hAnsi="宋体" w:cs="宋体"/>
          <w:szCs w:val="21"/>
        </w:rPr>
      </w:pPr>
      <w:r>
        <w:rPr>
          <w:rFonts w:hint="eastAsia" w:ascii="宋体" w:hAnsi="宋体" w:cs="宋体"/>
          <w:szCs w:val="21"/>
        </w:rPr>
        <w:t>以上信息查询记录及相关证据与招标文件一并保存。</w:t>
      </w:r>
    </w:p>
    <w:p w14:paraId="302E1E2A">
      <w:pPr>
        <w:snapToGrid w:val="0"/>
        <w:spacing w:line="360" w:lineRule="auto"/>
        <w:ind w:firstLine="420" w:firstLineChars="200"/>
        <w:rPr>
          <w:rFonts w:ascii="宋体" w:hAnsi="宋体" w:cs="宋体"/>
          <w:szCs w:val="21"/>
        </w:rPr>
      </w:pPr>
      <w:r>
        <w:rPr>
          <w:rFonts w:hint="eastAsia" w:ascii="宋体" w:hAnsi="宋体" w:cs="宋体"/>
          <w:szCs w:val="21"/>
        </w:rPr>
        <w:t>中小企业在政府采购活动过程中，请根据企业的真实情况出具《中小企业声明函》。依法享受中小企业优惠政策的，采购人或者采购代理机构在公告中标结果时，同时公告其《中小企业声明函》，接受社会监督。</w:t>
      </w:r>
    </w:p>
    <w:p w14:paraId="691E62DA">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32.发出中标通知书</w:t>
      </w:r>
    </w:p>
    <w:p w14:paraId="322C3C01">
      <w:pPr>
        <w:pStyle w:val="7"/>
        <w:keepNext w:val="0"/>
        <w:keepLines w:val="0"/>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在发布中标公告的同时，采购代理机构向中标人发出中标通知书。对未通过资格审查的投标人，应当告知其未通过的原因；采用综合评分办法评审的，还应当告知未中标人本人的评审得分与排序。</w:t>
      </w:r>
    </w:p>
    <w:p w14:paraId="66C25F6F">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33.无义务解释未中标原因</w:t>
      </w:r>
    </w:p>
    <w:p w14:paraId="3957E606">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采购代理机构无义务向未中标的投标人解释未中标原因和退还投标文件。</w:t>
      </w:r>
    </w:p>
    <w:p w14:paraId="6509348C">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34.合同授予标准</w:t>
      </w:r>
    </w:p>
    <w:p w14:paraId="71A77ACA">
      <w:pPr>
        <w:snapToGrid w:val="0"/>
        <w:spacing w:line="360" w:lineRule="auto"/>
        <w:ind w:firstLine="420" w:firstLineChars="200"/>
        <w:rPr>
          <w:rFonts w:ascii="宋体" w:hAnsi="宋体" w:cs="宋体"/>
          <w:szCs w:val="21"/>
        </w:rPr>
      </w:pPr>
      <w:r>
        <w:rPr>
          <w:rFonts w:hint="eastAsia" w:ascii="宋体" w:hAnsi="宋体" w:cs="宋体"/>
          <w:szCs w:val="21"/>
        </w:rPr>
        <w:t>合同将授予被确定实质上响应招标文件要求，具备履行合同能力的中标人（招标文件另有约定多名中标人的除外）。</w:t>
      </w:r>
    </w:p>
    <w:p w14:paraId="12606E5C">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35.履约保证金</w:t>
      </w:r>
    </w:p>
    <w:p w14:paraId="26406E31">
      <w:pPr>
        <w:pStyle w:val="7"/>
        <w:keepNext w:val="0"/>
        <w:keepLines w:val="0"/>
        <w:spacing w:before="0" w:after="0" w:line="360" w:lineRule="auto"/>
        <w:ind w:firstLine="315" w:firstLineChars="150"/>
        <w:rPr>
          <w:rFonts w:ascii="宋体" w:hAnsi="宋体" w:cs="宋体"/>
          <w:b w:val="0"/>
          <w:sz w:val="21"/>
          <w:szCs w:val="21"/>
        </w:rPr>
      </w:pPr>
      <w:bookmarkStart w:id="163" w:name="_39.1中标人须于签订合同前按本须知前附表规定的金额转账或电汇到指定账"/>
      <w:bookmarkEnd w:id="163"/>
      <w:r>
        <w:rPr>
          <w:rFonts w:hint="eastAsia" w:ascii="宋体" w:hAnsi="宋体" w:cs="宋体"/>
          <w:b w:val="0"/>
          <w:sz w:val="21"/>
          <w:szCs w:val="21"/>
        </w:rPr>
        <w:t>35.1履约保证金的金额、提交方式、退付的时间和条件详见“投标人须知前附表”。中标人未按规定提交履约保证金的，视为拒绝与采购人签订合同，采购人可以按照评标报告推荐的中标候选人名单排序，确定下一候选人为中标人，也可以重新开展政府采购活动。</w:t>
      </w:r>
    </w:p>
    <w:p w14:paraId="56175510">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35.2签订合同后，如中标人不按双方签订的合同规定履约，则没收其全部履约保证金，履约保证金不足以赔偿损失的，按实际损失赔偿。</w:t>
      </w:r>
    </w:p>
    <w:p w14:paraId="370B1D8C">
      <w:pPr>
        <w:pStyle w:val="7"/>
        <w:keepNext w:val="0"/>
        <w:keepLines w:val="0"/>
        <w:numPr>
          <w:ilvl w:val="0"/>
          <w:numId w:val="0"/>
        </w:numPr>
        <w:spacing w:before="0" w:after="0" w:line="360" w:lineRule="auto"/>
        <w:ind w:firstLine="420" w:firstLineChars="200"/>
        <w:rPr>
          <w:rFonts w:ascii="宋体" w:hAnsi="宋体" w:cs="宋体"/>
          <w:b w:val="0"/>
          <w:sz w:val="21"/>
          <w:szCs w:val="21"/>
        </w:rPr>
      </w:pPr>
      <w:r>
        <w:rPr>
          <w:rFonts w:hint="eastAsia" w:ascii="宋体" w:hAnsi="宋体" w:cs="宋体"/>
          <w:b w:val="0"/>
          <w:sz w:val="21"/>
          <w:szCs w:val="21"/>
        </w:rPr>
        <w:t>35.3在履约保证金退还日期前，若中标人的开户名称、开户银行、账号有变动的，请以书面形式通知履约保证金收取单位，否则由此产生的后果由中标人自行承担。</w:t>
      </w:r>
    </w:p>
    <w:p w14:paraId="2DD3A194">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36.签订合同</w:t>
      </w:r>
    </w:p>
    <w:p w14:paraId="203D2979">
      <w:pPr>
        <w:pStyle w:val="7"/>
        <w:keepNext w:val="0"/>
        <w:keepLines w:val="0"/>
        <w:spacing w:before="0" w:after="0" w:line="360" w:lineRule="auto"/>
        <w:ind w:firstLine="315" w:firstLineChars="150"/>
        <w:rPr>
          <w:rFonts w:ascii="宋体" w:hAnsi="宋体" w:cs="宋体"/>
          <w:b w:val="0"/>
          <w:sz w:val="21"/>
          <w:szCs w:val="21"/>
        </w:rPr>
      </w:pPr>
      <w:bookmarkStart w:id="164" w:name="_40.1投标人接到中标通知书后，按须知前附表规定向采购人出示相关资格证"/>
      <w:bookmarkEnd w:id="164"/>
      <w:r>
        <w:rPr>
          <w:rFonts w:hint="eastAsia" w:ascii="宋体" w:hAnsi="宋体" w:cs="宋体"/>
          <w:b w:val="0"/>
          <w:sz w:val="21"/>
          <w:szCs w:val="21"/>
        </w:rPr>
        <w:t>36.1投标人领取中标通知书后，按“投标人须知前附表”规定向采购人出示相关证明材料，经采购人核验合格后方可签订合同。</w:t>
      </w:r>
    </w:p>
    <w:p w14:paraId="617F1DEB">
      <w:pPr>
        <w:pStyle w:val="7"/>
        <w:keepNext w:val="0"/>
        <w:keepLines w:val="0"/>
        <w:numPr>
          <w:ilvl w:val="0"/>
          <w:numId w:val="0"/>
        </w:numPr>
        <w:spacing w:before="0" w:after="0" w:line="360" w:lineRule="auto"/>
        <w:ind w:firstLine="420" w:firstLineChars="200"/>
        <w:rPr>
          <w:rFonts w:ascii="宋体" w:hAnsi="宋体" w:cs="宋体"/>
          <w:b w:val="0"/>
          <w:bCs/>
          <w:sz w:val="21"/>
          <w:szCs w:val="21"/>
        </w:rPr>
      </w:pPr>
      <w:r>
        <w:rPr>
          <w:rFonts w:hint="eastAsia" w:ascii="宋体" w:hAnsi="宋体" w:cs="宋体"/>
          <w:b w:val="0"/>
          <w:sz w:val="21"/>
          <w:szCs w:val="21"/>
        </w:rPr>
        <w:t>36.2签订合同时间：</w:t>
      </w:r>
      <w:r>
        <w:rPr>
          <w:rFonts w:hint="eastAsia" w:ascii="宋体" w:hAnsi="宋体" w:cs="宋体"/>
          <w:b w:val="0"/>
          <w:bCs/>
          <w:sz w:val="21"/>
          <w:szCs w:val="21"/>
        </w:rPr>
        <w:t>自中标通知书发出之日起15日内，因不可抗力原因延迟签订合同的，自不可抗力事由消除之日起5个工作日内完成合同签订事宜。</w:t>
      </w:r>
    </w:p>
    <w:p w14:paraId="14D3DA5C">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36.3中标人拒绝与采购人签订合同的，采购人可以按照评审报告推荐的中标候选人名单排序，确定下一候选人为中标人，也可以重新开展政府采购活动。</w:t>
      </w:r>
    </w:p>
    <w:p w14:paraId="0280B59C">
      <w:pPr>
        <w:pStyle w:val="7"/>
        <w:keepNext w:val="0"/>
        <w:keepLines w:val="0"/>
        <w:spacing w:before="0" w:after="0" w:line="360" w:lineRule="auto"/>
        <w:ind w:left="420" w:leftChars="200"/>
        <w:rPr>
          <w:rFonts w:ascii="宋体" w:hAnsi="宋体" w:cs="宋体"/>
          <w:sz w:val="24"/>
        </w:rPr>
      </w:pPr>
      <w:bookmarkStart w:id="165" w:name="_41.政府采购合同公告"/>
      <w:bookmarkEnd w:id="165"/>
      <w:r>
        <w:rPr>
          <w:rFonts w:hint="eastAsia" w:ascii="宋体" w:hAnsi="宋体" w:cs="宋体"/>
          <w:sz w:val="24"/>
        </w:rPr>
        <w:t>37.政府采购合同公告</w:t>
      </w:r>
    </w:p>
    <w:p w14:paraId="622F6344">
      <w:pPr>
        <w:pStyle w:val="24"/>
        <w:snapToGrid w:val="0"/>
        <w:spacing w:line="360" w:lineRule="auto"/>
        <w:ind w:firstLine="420" w:firstLineChars="200"/>
        <w:rPr>
          <w:rFonts w:hAnsi="宋体" w:cs="宋体"/>
          <w:sz w:val="21"/>
        </w:rPr>
      </w:pPr>
      <w:r>
        <w:rPr>
          <w:rFonts w:hint="eastAsia" w:hAnsi="宋体" w:cs="宋体"/>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3CB4EBA">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38.询问、质疑和投诉</w:t>
      </w:r>
    </w:p>
    <w:p w14:paraId="3747C046">
      <w:pPr>
        <w:pStyle w:val="8"/>
        <w:spacing w:line="360" w:lineRule="auto"/>
        <w:rPr>
          <w:rFonts w:ascii="宋体" w:hAnsi="宋体" w:cs="宋体"/>
          <w:szCs w:val="21"/>
        </w:rPr>
      </w:pPr>
      <w:r>
        <w:rPr>
          <w:rFonts w:hint="eastAsia" w:ascii="宋体" w:hAnsi="宋体" w:cs="宋体"/>
          <w:szCs w:val="21"/>
        </w:rPr>
        <w:t>38.1供应商对政府采购活动事项有疑问的，可以向采购人提出询问，采购人应当及时作出答复，但答复的内容不得涉及商业秘密。</w:t>
      </w:r>
    </w:p>
    <w:p w14:paraId="4D280BFE">
      <w:pPr>
        <w:pStyle w:val="7"/>
        <w:keepNext w:val="0"/>
        <w:keepLines w:val="0"/>
        <w:spacing w:before="0" w:after="0" w:line="360" w:lineRule="auto"/>
        <w:ind w:firstLine="315" w:firstLineChars="150"/>
        <w:rPr>
          <w:rFonts w:ascii="宋体" w:hAnsi="宋体" w:cs="宋体"/>
          <w:b w:val="0"/>
          <w:sz w:val="21"/>
          <w:szCs w:val="21"/>
        </w:rPr>
      </w:pPr>
      <w:r>
        <w:rPr>
          <w:rFonts w:hint="eastAsia" w:ascii="宋体" w:hAnsi="宋体" w:cs="宋体"/>
          <w:b w:val="0"/>
          <w:sz w:val="21"/>
          <w:szCs w:val="21"/>
        </w:rPr>
        <w:t>38.2供应商认为招标文件、采购过程或者中标结果使自己的合法权益受到损害的，必须在知道或者应知其权益受到损害之日起7个工作日内，以书面形式向采购人、采购代理机构提出质疑。</w:t>
      </w:r>
      <w:r>
        <w:rPr>
          <w:rFonts w:hint="eastAsia" w:ascii="宋体" w:hAnsi="宋体" w:cs="宋体"/>
          <w:bCs/>
          <w:sz w:val="21"/>
          <w:szCs w:val="21"/>
        </w:rPr>
        <w:t>书面形式包括纸质文件现场提交（地址：崇左市友谊大道东源名城D区9栋3单元201号）或加密邮件提交（接收邮箱：gxjwjs@163.com），邮件主题需注明‘项目名称+质疑人全称’</w:t>
      </w:r>
      <w:r>
        <w:rPr>
          <w:rFonts w:hint="eastAsia" w:ascii="宋体" w:hAnsi="宋体" w:cs="宋体"/>
          <w:b w:val="0"/>
          <w:sz w:val="21"/>
          <w:szCs w:val="21"/>
        </w:rPr>
        <w:t>”。具体质疑起算时间如下：</w:t>
      </w:r>
    </w:p>
    <w:p w14:paraId="4B2D42E7">
      <w:pPr>
        <w:pStyle w:val="24"/>
        <w:snapToGrid w:val="0"/>
        <w:spacing w:line="360" w:lineRule="auto"/>
        <w:ind w:firstLine="420" w:firstLineChars="200"/>
        <w:rPr>
          <w:rFonts w:hAnsi="宋体" w:cs="宋体"/>
          <w:sz w:val="21"/>
        </w:rPr>
      </w:pPr>
      <w:r>
        <w:rPr>
          <w:rFonts w:hint="eastAsia" w:hAnsi="宋体" w:cs="宋体"/>
          <w:sz w:val="21"/>
        </w:rPr>
        <w:t>（1）对可以质疑的招标文件提出质疑的，为收到招标文件之日或者招标文件公告期限届满之日；</w:t>
      </w:r>
    </w:p>
    <w:p w14:paraId="3FD57C14">
      <w:pPr>
        <w:pStyle w:val="24"/>
        <w:snapToGrid w:val="0"/>
        <w:spacing w:line="360" w:lineRule="auto"/>
        <w:ind w:firstLine="420" w:firstLineChars="200"/>
        <w:rPr>
          <w:rFonts w:hAnsi="宋体" w:cs="宋体"/>
          <w:sz w:val="21"/>
        </w:rPr>
      </w:pPr>
      <w:r>
        <w:rPr>
          <w:rFonts w:hint="eastAsia" w:hAnsi="宋体" w:cs="宋体"/>
          <w:sz w:val="21"/>
        </w:rPr>
        <w:t>（2）对采购过程提出质疑的，为各采购程序环节结束之日；</w:t>
      </w:r>
    </w:p>
    <w:p w14:paraId="23EF8458">
      <w:pPr>
        <w:pStyle w:val="24"/>
        <w:snapToGrid w:val="0"/>
        <w:spacing w:line="360" w:lineRule="auto"/>
        <w:ind w:firstLine="420" w:firstLineChars="200"/>
        <w:rPr>
          <w:rFonts w:hAnsi="宋体" w:cs="宋体"/>
          <w:bCs/>
          <w:sz w:val="21"/>
        </w:rPr>
      </w:pPr>
      <w:r>
        <w:rPr>
          <w:rFonts w:hint="eastAsia" w:hAnsi="宋体" w:cs="宋体"/>
          <w:sz w:val="21"/>
        </w:rPr>
        <w:t>（3）对中标结果提出质疑的，为中标结果公告期限届满之日。</w:t>
      </w:r>
    </w:p>
    <w:p w14:paraId="6C8B0E63">
      <w:pPr>
        <w:pStyle w:val="24"/>
        <w:snapToGrid w:val="0"/>
        <w:spacing w:line="360" w:lineRule="auto"/>
        <w:ind w:firstLine="420" w:firstLineChars="200"/>
        <w:rPr>
          <w:rFonts w:hAnsi="宋体" w:cs="宋体"/>
          <w:bCs/>
          <w:sz w:val="21"/>
        </w:rPr>
      </w:pPr>
      <w:r>
        <w:rPr>
          <w:rFonts w:hint="eastAsia" w:hAnsi="宋体" w:cs="宋体"/>
          <w:sz w:val="21"/>
        </w:rPr>
        <w:t>供应商对采购人、采购代理机构的质疑答复不满意，或者采购人、采购代理机构未在规定时间内作出答复的，可以在答复期满后十五个工作日内向同级政府采购监管部门投诉。</w:t>
      </w:r>
    </w:p>
    <w:p w14:paraId="627BE470">
      <w:pPr>
        <w:pStyle w:val="7"/>
        <w:keepNext w:val="0"/>
        <w:keepLines w:val="0"/>
        <w:spacing w:before="0" w:after="0" w:line="360" w:lineRule="auto"/>
        <w:ind w:firstLine="315" w:firstLineChars="150"/>
        <w:rPr>
          <w:rFonts w:ascii="宋体" w:hAnsi="宋体" w:cs="宋体"/>
          <w:b w:val="0"/>
          <w:sz w:val="21"/>
          <w:szCs w:val="21"/>
        </w:rPr>
      </w:pPr>
      <w:bookmarkStart w:id="166" w:name="_9.2质疑、投诉应当采用书面形式，质疑函、投诉书均应明确阐述招标文件、"/>
      <w:bookmarkEnd w:id="166"/>
      <w:r>
        <w:rPr>
          <w:rFonts w:hint="eastAsia" w:ascii="宋体" w:hAnsi="宋体" w:cs="宋体"/>
          <w:b w:val="0"/>
          <w:sz w:val="21"/>
          <w:szCs w:val="21"/>
        </w:rPr>
        <w:t>38.3</w:t>
      </w:r>
      <w:r>
        <w:rPr>
          <w:rFonts w:hint="eastAsia" w:ascii="宋体" w:hAnsi="宋体" w:cs="宋体"/>
          <w:bCs/>
          <w:sz w:val="21"/>
        </w:rPr>
        <w:t>供应商提出质疑应当提交质疑函和必要的证明材料，针对同一采购程序环节的质疑必须在法定质疑期内一次性提出。质疑函应当包括下列内容（质疑函格式后附）：</w:t>
      </w:r>
    </w:p>
    <w:p w14:paraId="3D4ECE20">
      <w:pPr>
        <w:pStyle w:val="24"/>
        <w:snapToGrid w:val="0"/>
        <w:spacing w:line="360" w:lineRule="auto"/>
        <w:ind w:firstLine="420" w:firstLineChars="200"/>
        <w:rPr>
          <w:rFonts w:hAnsi="宋体" w:cs="宋体"/>
          <w:bCs/>
          <w:sz w:val="21"/>
        </w:rPr>
      </w:pPr>
      <w:r>
        <w:rPr>
          <w:rFonts w:hint="eastAsia" w:hAnsi="宋体" w:cs="宋体"/>
          <w:bCs/>
          <w:sz w:val="21"/>
        </w:rPr>
        <w:t>（1）供应商的姓名或者名称、地址、邮编、联系人及联系电话；</w:t>
      </w:r>
    </w:p>
    <w:p w14:paraId="4CD6EC6D">
      <w:pPr>
        <w:pStyle w:val="24"/>
        <w:snapToGrid w:val="0"/>
        <w:spacing w:line="360" w:lineRule="auto"/>
        <w:ind w:firstLine="420" w:firstLineChars="200"/>
        <w:rPr>
          <w:rFonts w:hAnsi="宋体" w:cs="宋体"/>
          <w:bCs/>
          <w:sz w:val="21"/>
        </w:rPr>
      </w:pPr>
      <w:r>
        <w:rPr>
          <w:rFonts w:hint="eastAsia" w:hAnsi="宋体" w:cs="宋体"/>
          <w:bCs/>
          <w:sz w:val="21"/>
        </w:rPr>
        <w:t>（2）质疑项目的名称、编号；</w:t>
      </w:r>
    </w:p>
    <w:p w14:paraId="2325AAAC">
      <w:pPr>
        <w:pStyle w:val="24"/>
        <w:snapToGrid w:val="0"/>
        <w:spacing w:line="360" w:lineRule="auto"/>
        <w:ind w:firstLine="420" w:firstLineChars="200"/>
        <w:rPr>
          <w:rFonts w:hAnsi="宋体" w:cs="宋体"/>
          <w:bCs/>
          <w:sz w:val="21"/>
        </w:rPr>
      </w:pPr>
      <w:r>
        <w:rPr>
          <w:rFonts w:hint="eastAsia" w:hAnsi="宋体" w:cs="宋体"/>
          <w:bCs/>
          <w:sz w:val="21"/>
        </w:rPr>
        <w:t>（3）具体、明确的质疑事项和与质疑事项相关的请求；</w:t>
      </w:r>
    </w:p>
    <w:p w14:paraId="49C7AABA">
      <w:pPr>
        <w:pStyle w:val="24"/>
        <w:snapToGrid w:val="0"/>
        <w:spacing w:line="360" w:lineRule="auto"/>
        <w:ind w:firstLine="420" w:firstLineChars="200"/>
        <w:rPr>
          <w:rFonts w:hAnsi="宋体" w:cs="宋体"/>
          <w:bCs/>
          <w:sz w:val="21"/>
        </w:rPr>
      </w:pPr>
      <w:r>
        <w:rPr>
          <w:rFonts w:hint="eastAsia" w:hAnsi="宋体" w:cs="宋体"/>
          <w:bCs/>
          <w:sz w:val="21"/>
        </w:rPr>
        <w:t>（4）事实依据；</w:t>
      </w:r>
    </w:p>
    <w:p w14:paraId="69737CF4">
      <w:pPr>
        <w:pStyle w:val="24"/>
        <w:snapToGrid w:val="0"/>
        <w:spacing w:line="360" w:lineRule="auto"/>
        <w:ind w:firstLine="420" w:firstLineChars="200"/>
        <w:rPr>
          <w:rFonts w:hAnsi="宋体" w:cs="宋体"/>
          <w:bCs/>
          <w:sz w:val="21"/>
        </w:rPr>
      </w:pPr>
      <w:r>
        <w:rPr>
          <w:rFonts w:hint="eastAsia" w:hAnsi="宋体" w:cs="宋体"/>
          <w:bCs/>
          <w:sz w:val="21"/>
        </w:rPr>
        <w:t>（5）必要的法律依据；</w:t>
      </w:r>
    </w:p>
    <w:p w14:paraId="733F2C42">
      <w:pPr>
        <w:pStyle w:val="24"/>
        <w:snapToGrid w:val="0"/>
        <w:spacing w:line="360" w:lineRule="auto"/>
        <w:ind w:firstLine="420" w:firstLineChars="200"/>
        <w:rPr>
          <w:rFonts w:hAnsi="宋体" w:cs="宋体"/>
          <w:bCs/>
          <w:sz w:val="21"/>
        </w:rPr>
      </w:pPr>
      <w:r>
        <w:rPr>
          <w:rFonts w:hint="eastAsia" w:hAnsi="宋体" w:cs="宋体"/>
          <w:bCs/>
          <w:sz w:val="21"/>
        </w:rPr>
        <w:t>（6）提出质疑的日期。</w:t>
      </w:r>
    </w:p>
    <w:p w14:paraId="49BFA08D">
      <w:pPr>
        <w:pStyle w:val="24"/>
        <w:snapToGrid w:val="0"/>
        <w:spacing w:line="360" w:lineRule="auto"/>
        <w:ind w:firstLine="420" w:firstLineChars="200"/>
        <w:rPr>
          <w:rFonts w:hAnsi="宋体" w:cs="宋体"/>
          <w:bCs/>
          <w:sz w:val="21"/>
        </w:rPr>
      </w:pPr>
      <w:r>
        <w:rPr>
          <w:rFonts w:hint="eastAsia" w:hAnsi="宋体" w:cs="宋体"/>
          <w:bCs/>
          <w:sz w:val="21"/>
        </w:rPr>
        <w:t>供应商为自然人的，应当由本人签字；供应商为法人或者其他组织的，应当由法定代表人、主要负责人，或者其委托代理人签字或者盖章，并加盖公章。</w:t>
      </w:r>
    </w:p>
    <w:p w14:paraId="7CC148D6">
      <w:pPr>
        <w:pStyle w:val="7"/>
        <w:keepNext w:val="0"/>
        <w:keepLines w:val="0"/>
        <w:snapToGrid w:val="0"/>
        <w:spacing w:before="0" w:after="0" w:line="360" w:lineRule="auto"/>
        <w:ind w:firstLine="422" w:firstLineChars="200"/>
        <w:rPr>
          <w:rFonts w:ascii="宋体" w:hAnsi="宋体" w:cs="宋体"/>
          <w:bCs/>
          <w:sz w:val="21"/>
          <w:szCs w:val="21"/>
        </w:rPr>
      </w:pPr>
      <w:r>
        <w:rPr>
          <w:rFonts w:hint="eastAsia" w:ascii="宋体" w:hAnsi="宋体" w:cs="宋体"/>
          <w:sz w:val="21"/>
          <w:szCs w:val="21"/>
        </w:rPr>
        <w:t>3</w:t>
      </w:r>
      <w:r>
        <w:rPr>
          <w:rFonts w:hint="eastAsia" w:ascii="宋体" w:hAnsi="宋体" w:cs="宋体"/>
          <w:bCs/>
          <w:sz w:val="21"/>
          <w:szCs w:val="21"/>
        </w:rPr>
        <w:t>8.4采购人、采购代理机构认为供应商质疑不成立，或者成立但未对中标结果构成影响的，继续开展采购活动；认为供应商质疑成立且影响或者可能影响中标结果的，按照下列情况处理：</w:t>
      </w:r>
    </w:p>
    <w:p w14:paraId="30F9187B">
      <w:pPr>
        <w:pStyle w:val="24"/>
        <w:snapToGrid w:val="0"/>
        <w:spacing w:line="360" w:lineRule="auto"/>
        <w:rPr>
          <w:rFonts w:hAnsi="宋体" w:cs="宋体"/>
          <w:bCs/>
          <w:sz w:val="21"/>
        </w:rPr>
      </w:pPr>
      <w:r>
        <w:rPr>
          <w:rFonts w:hint="eastAsia" w:hAnsi="宋体" w:cs="宋体"/>
          <w:bCs/>
          <w:sz w:val="21"/>
        </w:rPr>
        <w:t>　　（一）对招标文件提出的质疑，依法通过澄清或者修改可以继续开展采购活动的，澄清或者修改招标文件后继续开展采购活动；否则应当修改招标文件后重新开展采购活动。</w:t>
      </w:r>
    </w:p>
    <w:p w14:paraId="32D5B149">
      <w:pPr>
        <w:pStyle w:val="24"/>
        <w:snapToGrid w:val="0"/>
        <w:spacing w:line="360" w:lineRule="auto"/>
        <w:rPr>
          <w:rFonts w:hAnsi="宋体" w:cs="宋体"/>
          <w:bCs/>
          <w:sz w:val="21"/>
        </w:rPr>
      </w:pPr>
      <w:r>
        <w:rPr>
          <w:rFonts w:hint="eastAsia" w:hAnsi="宋体" w:cs="宋体"/>
          <w:bCs/>
          <w:sz w:val="21"/>
        </w:rPr>
        <w:t>　　（二）对采购过程、中标结果提出的质疑，合格供应商符合法定数量时，可以从合格的中标候选人中另行确定中标供应商的，应当依法另行确定中标供应商；否则应当重新开展采购活动。</w:t>
      </w:r>
    </w:p>
    <w:p w14:paraId="4B81B114">
      <w:pPr>
        <w:pStyle w:val="24"/>
        <w:snapToGrid w:val="0"/>
        <w:spacing w:line="360" w:lineRule="auto"/>
        <w:ind w:firstLine="420"/>
        <w:rPr>
          <w:rFonts w:hAnsi="宋体" w:cs="宋体"/>
          <w:bCs/>
          <w:sz w:val="21"/>
        </w:rPr>
      </w:pPr>
      <w:r>
        <w:rPr>
          <w:rFonts w:hint="eastAsia" w:hAnsi="宋体" w:cs="宋体"/>
          <w:bCs/>
          <w:sz w:val="21"/>
        </w:rPr>
        <w:t>质疑答复导致中标结果改变的，采购人或者采购代理机构应当将有关情况书面报告本级财政部门。</w:t>
      </w:r>
    </w:p>
    <w:p w14:paraId="06AA6065">
      <w:pPr>
        <w:pStyle w:val="24"/>
        <w:snapToGrid w:val="0"/>
        <w:spacing w:line="360" w:lineRule="auto"/>
        <w:ind w:firstLine="420" w:firstLineChars="200"/>
        <w:rPr>
          <w:rFonts w:hAnsi="宋体" w:cs="宋体"/>
          <w:b/>
          <w:sz w:val="21"/>
        </w:rPr>
      </w:pPr>
      <w:r>
        <w:rPr>
          <w:rFonts w:hint="eastAsia" w:hAnsi="宋体" w:cs="宋体"/>
          <w:sz w:val="21"/>
        </w:rPr>
        <w:t>38.5</w:t>
      </w:r>
      <w:r>
        <w:rPr>
          <w:rFonts w:hint="eastAsia" w:hAnsi="宋体" w:cs="宋体"/>
          <w:b/>
          <w:sz w:val="21"/>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13E0172">
      <w:pPr>
        <w:pStyle w:val="5"/>
        <w:keepNext w:val="0"/>
        <w:keepLines w:val="0"/>
        <w:spacing w:line="360" w:lineRule="auto"/>
        <w:jc w:val="center"/>
        <w:rPr>
          <w:rFonts w:ascii="宋体" w:hAnsi="宋体" w:cs="宋体"/>
        </w:rPr>
      </w:pPr>
      <w:bookmarkStart w:id="167" w:name="_八、其他事项"/>
      <w:bookmarkEnd w:id="167"/>
      <w:r>
        <w:rPr>
          <w:rFonts w:hint="eastAsia" w:ascii="宋体" w:hAnsi="宋体" w:cs="宋体"/>
        </w:rPr>
        <w:t>八、其他事项</w:t>
      </w:r>
    </w:p>
    <w:p w14:paraId="0B5B5A6E">
      <w:pPr>
        <w:pStyle w:val="7"/>
        <w:keepNext w:val="0"/>
        <w:keepLines w:val="0"/>
        <w:spacing w:before="0" w:after="0" w:line="360" w:lineRule="auto"/>
        <w:ind w:left="420" w:leftChars="200"/>
        <w:rPr>
          <w:rFonts w:ascii="宋体" w:hAnsi="宋体" w:cs="宋体"/>
          <w:sz w:val="24"/>
        </w:rPr>
      </w:pPr>
      <w:bookmarkStart w:id="168" w:name="_42.代理服务费"/>
      <w:bookmarkEnd w:id="168"/>
      <w:r>
        <w:rPr>
          <w:rFonts w:hint="eastAsia" w:ascii="宋体" w:hAnsi="宋体" w:cs="宋体"/>
          <w:sz w:val="24"/>
        </w:rPr>
        <w:t>39.代理服务费</w:t>
      </w:r>
    </w:p>
    <w:p w14:paraId="40AF0FD4">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39</w:t>
      </w:r>
      <w:r>
        <w:rPr>
          <w:rFonts w:hint="eastAsia" w:ascii="宋体" w:hAnsi="宋体" w:cs="宋体"/>
          <w:bCs/>
          <w:sz w:val="21"/>
          <w:szCs w:val="21"/>
        </w:rPr>
        <w:t>.1代理服务费按中标金额为计费基数，采用差额定率累进法计算（执行服务招标费率标准），由中标人在领取中标通知书时一次性支付至采购代理机构指定账户；逾期未支付的，视为放弃中标资格。</w:t>
      </w:r>
    </w:p>
    <w:p w14:paraId="5C034E02">
      <w:pPr>
        <w:pStyle w:val="7"/>
        <w:keepNext w:val="0"/>
        <w:keepLines w:val="0"/>
        <w:spacing w:before="0" w:after="0" w:line="360" w:lineRule="auto"/>
        <w:ind w:left="420" w:leftChars="200"/>
        <w:rPr>
          <w:rFonts w:ascii="宋体" w:hAnsi="宋体" w:cs="宋体"/>
          <w:b w:val="0"/>
          <w:sz w:val="21"/>
          <w:szCs w:val="21"/>
        </w:rPr>
      </w:pPr>
      <w:r>
        <w:rPr>
          <w:rFonts w:hint="eastAsia" w:ascii="宋体" w:hAnsi="宋体" w:cs="宋体"/>
          <w:b w:val="0"/>
          <w:sz w:val="21"/>
          <w:szCs w:val="21"/>
        </w:rPr>
        <w:t>39.2代理服务收费标准：</w:t>
      </w:r>
    </w:p>
    <w:tbl>
      <w:tblPr>
        <w:tblStyle w:val="46"/>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C06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72" w:type="dxa"/>
            <w:tcBorders>
              <w:tl2br w:val="single" w:color="auto" w:sz="4" w:space="0"/>
            </w:tcBorders>
            <w:noWrap/>
          </w:tcPr>
          <w:p w14:paraId="025E4BA4">
            <w:pPr>
              <w:spacing w:line="360" w:lineRule="auto"/>
              <w:rPr>
                <w:rFonts w:ascii="宋体" w:hAnsi="宋体" w:cs="宋体"/>
                <w:szCs w:val="21"/>
              </w:rPr>
            </w:pPr>
            <w:r>
              <w:rPr>
                <w:rFonts w:hint="eastAsia" w:ascii="宋体" w:hAnsi="宋体" w:cs="宋体"/>
                <w:szCs w:val="21"/>
              </w:rPr>
              <w:t>费率</w:t>
            </w:r>
          </w:p>
          <w:p w14:paraId="5972F647">
            <w:pPr>
              <w:spacing w:line="360" w:lineRule="auto"/>
              <w:rPr>
                <w:rFonts w:ascii="宋体" w:hAnsi="宋体" w:cs="宋体"/>
                <w:szCs w:val="21"/>
              </w:rPr>
            </w:pPr>
            <w:r>
              <w:rPr>
                <w:rFonts w:hint="eastAsia" w:ascii="宋体" w:hAnsi="宋体" w:cs="宋体"/>
                <w:szCs w:val="21"/>
              </w:rPr>
              <w:t>中标金额</w:t>
            </w:r>
          </w:p>
        </w:tc>
        <w:tc>
          <w:tcPr>
            <w:tcW w:w="1659" w:type="dxa"/>
            <w:noWrap/>
            <w:vAlign w:val="center"/>
          </w:tcPr>
          <w:p w14:paraId="20E8050E">
            <w:pPr>
              <w:spacing w:line="360" w:lineRule="auto"/>
              <w:ind w:firstLine="105" w:firstLineChars="50"/>
              <w:jc w:val="center"/>
              <w:rPr>
                <w:rFonts w:ascii="宋体" w:hAnsi="宋体" w:cs="宋体"/>
                <w:szCs w:val="21"/>
              </w:rPr>
            </w:pPr>
            <w:r>
              <w:rPr>
                <w:rFonts w:hint="eastAsia" w:ascii="宋体" w:hAnsi="宋体" w:cs="宋体"/>
                <w:szCs w:val="21"/>
              </w:rPr>
              <w:t>货物招标</w:t>
            </w:r>
          </w:p>
        </w:tc>
        <w:tc>
          <w:tcPr>
            <w:tcW w:w="1687" w:type="dxa"/>
            <w:noWrap/>
            <w:vAlign w:val="center"/>
          </w:tcPr>
          <w:p w14:paraId="29D84086">
            <w:pPr>
              <w:spacing w:line="360" w:lineRule="auto"/>
              <w:jc w:val="center"/>
              <w:rPr>
                <w:rFonts w:ascii="宋体" w:hAnsi="宋体" w:cs="宋体"/>
                <w:szCs w:val="21"/>
              </w:rPr>
            </w:pPr>
            <w:r>
              <w:rPr>
                <w:rFonts w:hint="eastAsia" w:ascii="宋体" w:hAnsi="宋体" w:cs="宋体"/>
                <w:szCs w:val="21"/>
              </w:rPr>
              <w:t>服务招标</w:t>
            </w:r>
          </w:p>
        </w:tc>
        <w:tc>
          <w:tcPr>
            <w:tcW w:w="1659" w:type="dxa"/>
            <w:noWrap/>
            <w:vAlign w:val="center"/>
          </w:tcPr>
          <w:p w14:paraId="6608185F">
            <w:pPr>
              <w:spacing w:line="360" w:lineRule="auto"/>
              <w:jc w:val="center"/>
              <w:rPr>
                <w:rFonts w:ascii="宋体" w:hAnsi="宋体" w:cs="宋体"/>
                <w:szCs w:val="21"/>
              </w:rPr>
            </w:pPr>
            <w:r>
              <w:rPr>
                <w:rFonts w:hint="eastAsia" w:ascii="宋体" w:hAnsi="宋体" w:cs="宋体"/>
                <w:szCs w:val="21"/>
              </w:rPr>
              <w:t>工程招标</w:t>
            </w:r>
          </w:p>
        </w:tc>
      </w:tr>
      <w:tr w14:paraId="125E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F6652FF">
            <w:pPr>
              <w:spacing w:line="360" w:lineRule="auto"/>
              <w:jc w:val="center"/>
              <w:rPr>
                <w:rFonts w:ascii="宋体" w:hAnsi="宋体" w:cs="宋体"/>
                <w:szCs w:val="21"/>
              </w:rPr>
            </w:pPr>
            <w:r>
              <w:rPr>
                <w:rFonts w:hint="eastAsia" w:ascii="宋体" w:hAnsi="宋体" w:cs="宋体"/>
                <w:szCs w:val="21"/>
              </w:rPr>
              <w:t>100万元以下</w:t>
            </w:r>
          </w:p>
        </w:tc>
        <w:tc>
          <w:tcPr>
            <w:tcW w:w="1659" w:type="dxa"/>
            <w:noWrap/>
          </w:tcPr>
          <w:p w14:paraId="5554EF01">
            <w:pPr>
              <w:spacing w:line="360" w:lineRule="auto"/>
              <w:jc w:val="center"/>
              <w:rPr>
                <w:rFonts w:ascii="宋体" w:hAnsi="宋体" w:cs="宋体"/>
                <w:szCs w:val="21"/>
              </w:rPr>
            </w:pPr>
            <w:r>
              <w:rPr>
                <w:rFonts w:hint="eastAsia" w:ascii="宋体" w:hAnsi="宋体" w:cs="宋体"/>
                <w:kern w:val="0"/>
                <w:szCs w:val="21"/>
              </w:rPr>
              <w:t>1.5%</w:t>
            </w:r>
          </w:p>
        </w:tc>
        <w:tc>
          <w:tcPr>
            <w:tcW w:w="1687" w:type="dxa"/>
            <w:noWrap/>
          </w:tcPr>
          <w:p w14:paraId="7C22F01B">
            <w:pPr>
              <w:spacing w:line="360" w:lineRule="auto"/>
              <w:ind w:firstLine="210" w:firstLineChars="100"/>
              <w:jc w:val="center"/>
              <w:rPr>
                <w:rFonts w:ascii="宋体" w:hAnsi="宋体" w:cs="宋体"/>
                <w:szCs w:val="21"/>
              </w:rPr>
            </w:pPr>
            <w:r>
              <w:rPr>
                <w:rFonts w:hint="eastAsia" w:ascii="宋体" w:hAnsi="宋体" w:cs="宋体"/>
                <w:kern w:val="0"/>
                <w:szCs w:val="21"/>
              </w:rPr>
              <w:t>1.5%</w:t>
            </w:r>
          </w:p>
        </w:tc>
        <w:tc>
          <w:tcPr>
            <w:tcW w:w="1659" w:type="dxa"/>
            <w:noWrap/>
          </w:tcPr>
          <w:p w14:paraId="6268B0B1">
            <w:pPr>
              <w:spacing w:line="360" w:lineRule="auto"/>
              <w:ind w:firstLine="210" w:firstLineChars="100"/>
              <w:jc w:val="center"/>
              <w:rPr>
                <w:rFonts w:ascii="宋体" w:hAnsi="宋体" w:cs="宋体"/>
                <w:szCs w:val="21"/>
              </w:rPr>
            </w:pPr>
            <w:r>
              <w:rPr>
                <w:rFonts w:hint="eastAsia" w:ascii="宋体" w:hAnsi="宋体" w:cs="宋体"/>
                <w:kern w:val="0"/>
                <w:szCs w:val="21"/>
              </w:rPr>
              <w:t>1.0%</w:t>
            </w:r>
          </w:p>
        </w:tc>
      </w:tr>
      <w:tr w14:paraId="0081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C9D4A53">
            <w:pPr>
              <w:spacing w:line="360" w:lineRule="auto"/>
              <w:jc w:val="center"/>
              <w:rPr>
                <w:rFonts w:ascii="宋体" w:hAnsi="宋体" w:cs="宋体"/>
                <w:szCs w:val="21"/>
              </w:rPr>
            </w:pPr>
            <w:r>
              <w:rPr>
                <w:rFonts w:hint="eastAsia" w:ascii="宋体" w:hAnsi="宋体" w:cs="宋体"/>
                <w:szCs w:val="21"/>
              </w:rPr>
              <w:t>100万～500万元</w:t>
            </w:r>
          </w:p>
        </w:tc>
        <w:tc>
          <w:tcPr>
            <w:tcW w:w="1659" w:type="dxa"/>
            <w:noWrap/>
          </w:tcPr>
          <w:p w14:paraId="7105AEFD">
            <w:pPr>
              <w:spacing w:line="360" w:lineRule="auto"/>
              <w:ind w:firstLine="210" w:firstLineChars="100"/>
              <w:jc w:val="center"/>
              <w:rPr>
                <w:rFonts w:ascii="宋体" w:hAnsi="宋体" w:cs="宋体"/>
                <w:szCs w:val="21"/>
              </w:rPr>
            </w:pPr>
            <w:r>
              <w:rPr>
                <w:rFonts w:hint="eastAsia" w:ascii="宋体" w:hAnsi="宋体" w:cs="宋体"/>
                <w:kern w:val="0"/>
                <w:szCs w:val="21"/>
              </w:rPr>
              <w:t>1.1%</w:t>
            </w:r>
          </w:p>
        </w:tc>
        <w:tc>
          <w:tcPr>
            <w:tcW w:w="1687" w:type="dxa"/>
            <w:noWrap/>
          </w:tcPr>
          <w:p w14:paraId="6DE37462">
            <w:pPr>
              <w:spacing w:line="360" w:lineRule="auto"/>
              <w:ind w:firstLine="210" w:firstLineChars="100"/>
              <w:jc w:val="center"/>
              <w:rPr>
                <w:rFonts w:ascii="宋体" w:hAnsi="宋体" w:cs="宋体"/>
                <w:szCs w:val="21"/>
              </w:rPr>
            </w:pPr>
            <w:r>
              <w:rPr>
                <w:rFonts w:hint="eastAsia" w:ascii="宋体" w:hAnsi="宋体" w:cs="宋体"/>
                <w:kern w:val="0"/>
                <w:szCs w:val="21"/>
              </w:rPr>
              <w:t>0.8%</w:t>
            </w:r>
          </w:p>
        </w:tc>
        <w:tc>
          <w:tcPr>
            <w:tcW w:w="1659" w:type="dxa"/>
            <w:noWrap/>
          </w:tcPr>
          <w:p w14:paraId="7B56F115">
            <w:pPr>
              <w:spacing w:line="360" w:lineRule="auto"/>
              <w:ind w:firstLine="210" w:firstLineChars="100"/>
              <w:jc w:val="center"/>
              <w:rPr>
                <w:rFonts w:ascii="宋体" w:hAnsi="宋体" w:cs="宋体"/>
                <w:szCs w:val="21"/>
              </w:rPr>
            </w:pPr>
            <w:r>
              <w:rPr>
                <w:rFonts w:hint="eastAsia" w:ascii="宋体" w:hAnsi="宋体" w:cs="宋体"/>
                <w:kern w:val="0"/>
                <w:szCs w:val="21"/>
              </w:rPr>
              <w:t>0.7%</w:t>
            </w:r>
          </w:p>
        </w:tc>
      </w:tr>
      <w:tr w14:paraId="22AD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A7F2B74">
            <w:pPr>
              <w:spacing w:line="360" w:lineRule="auto"/>
              <w:jc w:val="center"/>
              <w:rPr>
                <w:rFonts w:ascii="宋体" w:hAnsi="宋体" w:cs="宋体"/>
                <w:szCs w:val="21"/>
              </w:rPr>
            </w:pPr>
            <w:r>
              <w:rPr>
                <w:rFonts w:hint="eastAsia" w:ascii="宋体" w:hAnsi="宋体" w:cs="宋体"/>
                <w:szCs w:val="21"/>
              </w:rPr>
              <w:t>500万～1000万元</w:t>
            </w:r>
          </w:p>
        </w:tc>
        <w:tc>
          <w:tcPr>
            <w:tcW w:w="1659" w:type="dxa"/>
            <w:noWrap/>
          </w:tcPr>
          <w:p w14:paraId="5733953F">
            <w:pPr>
              <w:spacing w:line="360" w:lineRule="auto"/>
              <w:jc w:val="center"/>
              <w:rPr>
                <w:rFonts w:ascii="宋体" w:hAnsi="宋体" w:cs="宋体"/>
                <w:szCs w:val="21"/>
              </w:rPr>
            </w:pPr>
            <w:r>
              <w:rPr>
                <w:rFonts w:hint="eastAsia" w:ascii="宋体" w:hAnsi="宋体" w:cs="宋体"/>
                <w:kern w:val="0"/>
                <w:szCs w:val="21"/>
              </w:rPr>
              <w:t>0.8%</w:t>
            </w:r>
          </w:p>
        </w:tc>
        <w:tc>
          <w:tcPr>
            <w:tcW w:w="1687" w:type="dxa"/>
            <w:noWrap/>
          </w:tcPr>
          <w:p w14:paraId="4660027B">
            <w:pPr>
              <w:spacing w:line="360" w:lineRule="auto"/>
              <w:ind w:firstLine="210" w:firstLineChars="100"/>
              <w:jc w:val="center"/>
              <w:rPr>
                <w:rFonts w:ascii="宋体" w:hAnsi="宋体" w:cs="宋体"/>
                <w:szCs w:val="21"/>
              </w:rPr>
            </w:pPr>
            <w:r>
              <w:rPr>
                <w:rFonts w:hint="eastAsia" w:ascii="宋体" w:hAnsi="宋体" w:cs="宋体"/>
                <w:kern w:val="0"/>
                <w:szCs w:val="21"/>
              </w:rPr>
              <w:t>0.45%</w:t>
            </w:r>
          </w:p>
        </w:tc>
        <w:tc>
          <w:tcPr>
            <w:tcW w:w="1659" w:type="dxa"/>
            <w:noWrap/>
          </w:tcPr>
          <w:p w14:paraId="6698EDD7">
            <w:pPr>
              <w:spacing w:line="360" w:lineRule="auto"/>
              <w:ind w:firstLine="210" w:firstLineChars="100"/>
              <w:jc w:val="center"/>
              <w:rPr>
                <w:rFonts w:ascii="宋体" w:hAnsi="宋体" w:cs="宋体"/>
                <w:szCs w:val="21"/>
              </w:rPr>
            </w:pPr>
            <w:r>
              <w:rPr>
                <w:rFonts w:hint="eastAsia" w:ascii="宋体" w:hAnsi="宋体" w:cs="宋体"/>
                <w:kern w:val="0"/>
                <w:szCs w:val="21"/>
              </w:rPr>
              <w:t>0.55%</w:t>
            </w:r>
          </w:p>
        </w:tc>
      </w:tr>
      <w:tr w14:paraId="5FCC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9CA0B67">
            <w:pPr>
              <w:spacing w:line="360" w:lineRule="auto"/>
              <w:jc w:val="center"/>
              <w:rPr>
                <w:rFonts w:ascii="宋体" w:hAnsi="宋体" w:cs="宋体"/>
                <w:szCs w:val="21"/>
              </w:rPr>
            </w:pPr>
            <w:r>
              <w:rPr>
                <w:rFonts w:hint="eastAsia" w:ascii="宋体" w:hAnsi="宋体" w:cs="宋体"/>
                <w:szCs w:val="21"/>
              </w:rPr>
              <w:t>1000万～5000万元</w:t>
            </w:r>
          </w:p>
        </w:tc>
        <w:tc>
          <w:tcPr>
            <w:tcW w:w="1659" w:type="dxa"/>
            <w:noWrap/>
          </w:tcPr>
          <w:p w14:paraId="045BB3A8">
            <w:pPr>
              <w:spacing w:line="360" w:lineRule="auto"/>
              <w:ind w:firstLine="210" w:firstLineChars="100"/>
              <w:jc w:val="center"/>
              <w:rPr>
                <w:rFonts w:ascii="宋体" w:hAnsi="宋体" w:cs="宋体"/>
                <w:szCs w:val="21"/>
              </w:rPr>
            </w:pPr>
            <w:r>
              <w:rPr>
                <w:rFonts w:hint="eastAsia" w:ascii="宋体" w:hAnsi="宋体" w:cs="宋体"/>
                <w:kern w:val="0"/>
                <w:szCs w:val="21"/>
              </w:rPr>
              <w:t>0.5%</w:t>
            </w:r>
          </w:p>
        </w:tc>
        <w:tc>
          <w:tcPr>
            <w:tcW w:w="1687" w:type="dxa"/>
            <w:noWrap/>
          </w:tcPr>
          <w:p w14:paraId="216FBD0E">
            <w:pPr>
              <w:spacing w:line="360" w:lineRule="auto"/>
              <w:ind w:firstLine="210" w:firstLineChars="100"/>
              <w:jc w:val="center"/>
              <w:rPr>
                <w:rFonts w:ascii="宋体" w:hAnsi="宋体" w:cs="宋体"/>
                <w:szCs w:val="21"/>
              </w:rPr>
            </w:pPr>
            <w:r>
              <w:rPr>
                <w:rFonts w:hint="eastAsia" w:ascii="宋体" w:hAnsi="宋体" w:cs="宋体"/>
                <w:kern w:val="0"/>
                <w:szCs w:val="21"/>
              </w:rPr>
              <w:t>0.25%</w:t>
            </w:r>
          </w:p>
        </w:tc>
        <w:tc>
          <w:tcPr>
            <w:tcW w:w="1659" w:type="dxa"/>
            <w:noWrap/>
          </w:tcPr>
          <w:p w14:paraId="150818CB">
            <w:pPr>
              <w:spacing w:line="360" w:lineRule="auto"/>
              <w:ind w:firstLine="210" w:firstLineChars="100"/>
              <w:jc w:val="center"/>
              <w:rPr>
                <w:rFonts w:ascii="宋体" w:hAnsi="宋体" w:cs="宋体"/>
                <w:szCs w:val="21"/>
              </w:rPr>
            </w:pPr>
            <w:r>
              <w:rPr>
                <w:rFonts w:hint="eastAsia" w:ascii="宋体" w:hAnsi="宋体" w:cs="宋体"/>
                <w:kern w:val="0"/>
                <w:szCs w:val="21"/>
              </w:rPr>
              <w:t>0.35%</w:t>
            </w:r>
          </w:p>
        </w:tc>
      </w:tr>
      <w:tr w14:paraId="11BA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C0D1B7A">
            <w:pPr>
              <w:spacing w:line="360" w:lineRule="auto"/>
              <w:jc w:val="center"/>
              <w:rPr>
                <w:rFonts w:ascii="宋体" w:hAnsi="宋体" w:cs="宋体"/>
                <w:szCs w:val="21"/>
              </w:rPr>
            </w:pPr>
            <w:r>
              <w:rPr>
                <w:rFonts w:hint="eastAsia" w:ascii="宋体" w:hAnsi="宋体" w:cs="宋体"/>
                <w:szCs w:val="21"/>
              </w:rPr>
              <w:t>5000万元～1亿元</w:t>
            </w:r>
          </w:p>
        </w:tc>
        <w:tc>
          <w:tcPr>
            <w:tcW w:w="1659" w:type="dxa"/>
            <w:noWrap/>
          </w:tcPr>
          <w:p w14:paraId="07BACB61">
            <w:pPr>
              <w:spacing w:line="360" w:lineRule="auto"/>
              <w:ind w:firstLine="210" w:firstLineChars="100"/>
              <w:jc w:val="center"/>
              <w:rPr>
                <w:rFonts w:ascii="宋体" w:hAnsi="宋体" w:cs="宋体"/>
                <w:szCs w:val="21"/>
              </w:rPr>
            </w:pPr>
            <w:r>
              <w:rPr>
                <w:rFonts w:hint="eastAsia" w:ascii="宋体" w:hAnsi="宋体" w:cs="宋体"/>
                <w:kern w:val="0"/>
                <w:szCs w:val="21"/>
              </w:rPr>
              <w:t>0.25%</w:t>
            </w:r>
          </w:p>
        </w:tc>
        <w:tc>
          <w:tcPr>
            <w:tcW w:w="1687" w:type="dxa"/>
            <w:noWrap/>
          </w:tcPr>
          <w:p w14:paraId="7A003862">
            <w:pPr>
              <w:spacing w:line="360" w:lineRule="auto"/>
              <w:ind w:firstLine="210" w:firstLineChars="100"/>
              <w:jc w:val="center"/>
              <w:rPr>
                <w:rFonts w:ascii="宋体" w:hAnsi="宋体" w:cs="宋体"/>
                <w:szCs w:val="21"/>
              </w:rPr>
            </w:pPr>
            <w:r>
              <w:rPr>
                <w:rFonts w:hint="eastAsia" w:ascii="宋体" w:hAnsi="宋体" w:cs="宋体"/>
                <w:kern w:val="0"/>
                <w:szCs w:val="21"/>
              </w:rPr>
              <w:t>0.1%</w:t>
            </w:r>
          </w:p>
        </w:tc>
        <w:tc>
          <w:tcPr>
            <w:tcW w:w="1659" w:type="dxa"/>
            <w:noWrap/>
          </w:tcPr>
          <w:p w14:paraId="00688A2E">
            <w:pPr>
              <w:spacing w:line="360" w:lineRule="auto"/>
              <w:ind w:firstLine="210" w:firstLineChars="100"/>
              <w:jc w:val="center"/>
              <w:rPr>
                <w:rFonts w:ascii="宋体" w:hAnsi="宋体" w:cs="宋体"/>
                <w:szCs w:val="21"/>
              </w:rPr>
            </w:pPr>
            <w:r>
              <w:rPr>
                <w:rFonts w:hint="eastAsia" w:ascii="宋体" w:hAnsi="宋体" w:cs="宋体"/>
                <w:kern w:val="0"/>
                <w:szCs w:val="21"/>
              </w:rPr>
              <w:t>0.2%</w:t>
            </w:r>
          </w:p>
        </w:tc>
      </w:tr>
      <w:tr w14:paraId="498B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B3C2A77">
            <w:pPr>
              <w:spacing w:line="360" w:lineRule="auto"/>
              <w:jc w:val="center"/>
              <w:rPr>
                <w:rFonts w:ascii="宋体" w:hAnsi="宋体" w:cs="宋体"/>
                <w:szCs w:val="21"/>
              </w:rPr>
            </w:pPr>
            <w:r>
              <w:rPr>
                <w:rFonts w:hint="eastAsia" w:ascii="宋体" w:hAnsi="宋体" w:cs="宋体"/>
                <w:szCs w:val="21"/>
              </w:rPr>
              <w:t>1亿～5亿元</w:t>
            </w:r>
          </w:p>
        </w:tc>
        <w:tc>
          <w:tcPr>
            <w:tcW w:w="1659" w:type="dxa"/>
            <w:noWrap/>
          </w:tcPr>
          <w:p w14:paraId="642A48B5">
            <w:pPr>
              <w:spacing w:line="360" w:lineRule="auto"/>
              <w:ind w:firstLine="210" w:firstLineChars="100"/>
              <w:jc w:val="center"/>
              <w:rPr>
                <w:rFonts w:ascii="宋体" w:hAnsi="宋体" w:cs="宋体"/>
                <w:szCs w:val="21"/>
              </w:rPr>
            </w:pPr>
            <w:r>
              <w:rPr>
                <w:rFonts w:hint="eastAsia" w:ascii="宋体" w:hAnsi="宋体" w:cs="宋体"/>
                <w:szCs w:val="21"/>
              </w:rPr>
              <w:t>0.05%</w:t>
            </w:r>
          </w:p>
        </w:tc>
        <w:tc>
          <w:tcPr>
            <w:tcW w:w="1687" w:type="dxa"/>
            <w:noWrap/>
          </w:tcPr>
          <w:p w14:paraId="10343F8D">
            <w:pPr>
              <w:spacing w:line="360" w:lineRule="auto"/>
              <w:jc w:val="center"/>
              <w:rPr>
                <w:rFonts w:ascii="宋体" w:hAnsi="宋体" w:cs="宋体"/>
                <w:szCs w:val="21"/>
              </w:rPr>
            </w:pPr>
            <w:r>
              <w:rPr>
                <w:rFonts w:hint="eastAsia" w:ascii="宋体" w:hAnsi="宋体" w:cs="宋体"/>
                <w:szCs w:val="21"/>
              </w:rPr>
              <w:t>0.05%</w:t>
            </w:r>
          </w:p>
        </w:tc>
        <w:tc>
          <w:tcPr>
            <w:tcW w:w="1659" w:type="dxa"/>
            <w:noWrap/>
          </w:tcPr>
          <w:p w14:paraId="42EECCFE">
            <w:pPr>
              <w:spacing w:line="360" w:lineRule="auto"/>
              <w:jc w:val="center"/>
              <w:rPr>
                <w:rFonts w:ascii="宋体" w:hAnsi="宋体" w:cs="宋体"/>
                <w:szCs w:val="21"/>
              </w:rPr>
            </w:pPr>
            <w:r>
              <w:rPr>
                <w:rFonts w:hint="eastAsia" w:ascii="宋体" w:hAnsi="宋体" w:cs="宋体"/>
                <w:szCs w:val="21"/>
              </w:rPr>
              <w:t>0.05%</w:t>
            </w:r>
          </w:p>
        </w:tc>
      </w:tr>
      <w:tr w14:paraId="47BF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905AE51">
            <w:pPr>
              <w:spacing w:line="360" w:lineRule="auto"/>
              <w:jc w:val="center"/>
              <w:rPr>
                <w:rFonts w:ascii="宋体" w:hAnsi="宋体" w:cs="宋体"/>
                <w:szCs w:val="21"/>
              </w:rPr>
            </w:pPr>
            <w:r>
              <w:rPr>
                <w:rFonts w:hint="eastAsia" w:ascii="宋体" w:hAnsi="宋体" w:cs="宋体"/>
                <w:szCs w:val="21"/>
              </w:rPr>
              <w:t>5亿～10亿元</w:t>
            </w:r>
          </w:p>
        </w:tc>
        <w:tc>
          <w:tcPr>
            <w:tcW w:w="1659" w:type="dxa"/>
            <w:noWrap/>
          </w:tcPr>
          <w:p w14:paraId="1DC14BE1">
            <w:pPr>
              <w:spacing w:line="360" w:lineRule="auto"/>
              <w:ind w:firstLine="105" w:firstLineChars="50"/>
              <w:jc w:val="center"/>
              <w:rPr>
                <w:rFonts w:ascii="宋体" w:hAnsi="宋体" w:cs="宋体"/>
                <w:szCs w:val="21"/>
              </w:rPr>
            </w:pPr>
            <w:r>
              <w:rPr>
                <w:rFonts w:hint="eastAsia" w:ascii="宋体" w:hAnsi="宋体" w:cs="宋体"/>
                <w:szCs w:val="21"/>
              </w:rPr>
              <w:t>0.035%</w:t>
            </w:r>
          </w:p>
        </w:tc>
        <w:tc>
          <w:tcPr>
            <w:tcW w:w="1687" w:type="dxa"/>
            <w:noWrap/>
          </w:tcPr>
          <w:p w14:paraId="655C7B17">
            <w:pPr>
              <w:spacing w:line="360" w:lineRule="auto"/>
              <w:jc w:val="center"/>
              <w:rPr>
                <w:rFonts w:ascii="宋体" w:hAnsi="宋体" w:cs="宋体"/>
                <w:szCs w:val="21"/>
              </w:rPr>
            </w:pPr>
            <w:r>
              <w:rPr>
                <w:rFonts w:hint="eastAsia" w:ascii="宋体" w:hAnsi="宋体" w:cs="宋体"/>
                <w:szCs w:val="21"/>
              </w:rPr>
              <w:t>0.035%</w:t>
            </w:r>
          </w:p>
        </w:tc>
        <w:tc>
          <w:tcPr>
            <w:tcW w:w="1659" w:type="dxa"/>
            <w:noWrap/>
          </w:tcPr>
          <w:p w14:paraId="5E26EC5B">
            <w:pPr>
              <w:spacing w:line="360" w:lineRule="auto"/>
              <w:ind w:firstLine="105" w:firstLineChars="50"/>
              <w:jc w:val="center"/>
              <w:rPr>
                <w:rFonts w:ascii="宋体" w:hAnsi="宋体" w:cs="宋体"/>
                <w:szCs w:val="21"/>
              </w:rPr>
            </w:pPr>
            <w:r>
              <w:rPr>
                <w:rFonts w:hint="eastAsia" w:ascii="宋体" w:hAnsi="宋体" w:cs="宋体"/>
                <w:szCs w:val="21"/>
              </w:rPr>
              <w:t>0.035%</w:t>
            </w:r>
          </w:p>
        </w:tc>
      </w:tr>
      <w:tr w14:paraId="2D9D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8EA940D">
            <w:pPr>
              <w:spacing w:line="360" w:lineRule="auto"/>
              <w:jc w:val="center"/>
              <w:rPr>
                <w:rFonts w:ascii="宋体" w:hAnsi="宋体" w:cs="宋体"/>
                <w:szCs w:val="21"/>
              </w:rPr>
            </w:pPr>
            <w:r>
              <w:rPr>
                <w:rFonts w:hint="eastAsia" w:ascii="宋体" w:hAnsi="宋体" w:cs="宋体"/>
                <w:szCs w:val="21"/>
              </w:rPr>
              <w:t>10亿～50亿元</w:t>
            </w:r>
          </w:p>
        </w:tc>
        <w:tc>
          <w:tcPr>
            <w:tcW w:w="1659" w:type="dxa"/>
            <w:noWrap/>
          </w:tcPr>
          <w:p w14:paraId="5E97ECD1">
            <w:pPr>
              <w:spacing w:line="360" w:lineRule="auto"/>
              <w:ind w:firstLine="105" w:firstLineChars="50"/>
              <w:jc w:val="center"/>
              <w:rPr>
                <w:rFonts w:ascii="宋体" w:hAnsi="宋体" w:cs="宋体"/>
                <w:szCs w:val="21"/>
              </w:rPr>
            </w:pPr>
            <w:r>
              <w:rPr>
                <w:rFonts w:hint="eastAsia" w:ascii="宋体" w:hAnsi="宋体" w:cs="宋体"/>
                <w:szCs w:val="21"/>
              </w:rPr>
              <w:t>0.008%</w:t>
            </w:r>
          </w:p>
        </w:tc>
        <w:tc>
          <w:tcPr>
            <w:tcW w:w="1687" w:type="dxa"/>
            <w:noWrap/>
          </w:tcPr>
          <w:p w14:paraId="4BBA8CC3">
            <w:pPr>
              <w:spacing w:line="360" w:lineRule="auto"/>
              <w:ind w:firstLine="210" w:firstLineChars="100"/>
              <w:jc w:val="center"/>
              <w:rPr>
                <w:rFonts w:ascii="宋体" w:hAnsi="宋体" w:cs="宋体"/>
                <w:szCs w:val="21"/>
              </w:rPr>
            </w:pPr>
            <w:r>
              <w:rPr>
                <w:rFonts w:hint="eastAsia" w:ascii="宋体" w:hAnsi="宋体" w:cs="宋体"/>
                <w:szCs w:val="21"/>
              </w:rPr>
              <w:t>0.008%</w:t>
            </w:r>
          </w:p>
        </w:tc>
        <w:tc>
          <w:tcPr>
            <w:tcW w:w="1659" w:type="dxa"/>
            <w:noWrap/>
          </w:tcPr>
          <w:p w14:paraId="7B229724">
            <w:pPr>
              <w:spacing w:line="360" w:lineRule="auto"/>
              <w:ind w:firstLine="105" w:firstLineChars="50"/>
              <w:jc w:val="center"/>
              <w:rPr>
                <w:rFonts w:ascii="宋体" w:hAnsi="宋体" w:cs="宋体"/>
                <w:szCs w:val="21"/>
              </w:rPr>
            </w:pPr>
            <w:r>
              <w:rPr>
                <w:rFonts w:hint="eastAsia" w:ascii="宋体" w:hAnsi="宋体" w:cs="宋体"/>
                <w:szCs w:val="21"/>
              </w:rPr>
              <w:t>0.008%</w:t>
            </w:r>
          </w:p>
        </w:tc>
      </w:tr>
      <w:tr w14:paraId="2A1F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4167F9D7">
            <w:pPr>
              <w:spacing w:line="360" w:lineRule="auto"/>
              <w:jc w:val="center"/>
              <w:rPr>
                <w:rFonts w:ascii="宋体" w:hAnsi="宋体" w:cs="宋体"/>
                <w:szCs w:val="21"/>
              </w:rPr>
            </w:pPr>
            <w:r>
              <w:rPr>
                <w:rFonts w:hint="eastAsia" w:ascii="宋体" w:hAnsi="宋体" w:cs="宋体"/>
                <w:szCs w:val="21"/>
              </w:rPr>
              <w:t>50亿～100亿元</w:t>
            </w:r>
          </w:p>
        </w:tc>
        <w:tc>
          <w:tcPr>
            <w:tcW w:w="1659" w:type="dxa"/>
            <w:noWrap/>
          </w:tcPr>
          <w:p w14:paraId="71C0E9B6">
            <w:pPr>
              <w:spacing w:line="360" w:lineRule="auto"/>
              <w:jc w:val="center"/>
              <w:rPr>
                <w:rFonts w:ascii="宋体" w:hAnsi="宋体" w:cs="宋体"/>
                <w:szCs w:val="21"/>
              </w:rPr>
            </w:pPr>
            <w:r>
              <w:rPr>
                <w:rFonts w:hint="eastAsia" w:ascii="宋体" w:hAnsi="宋体" w:cs="宋体"/>
                <w:szCs w:val="21"/>
              </w:rPr>
              <w:t>0.006%</w:t>
            </w:r>
          </w:p>
        </w:tc>
        <w:tc>
          <w:tcPr>
            <w:tcW w:w="1687" w:type="dxa"/>
            <w:noWrap/>
          </w:tcPr>
          <w:p w14:paraId="585D55DC">
            <w:pPr>
              <w:spacing w:line="360" w:lineRule="auto"/>
              <w:ind w:firstLine="210" w:firstLineChars="100"/>
              <w:jc w:val="center"/>
              <w:rPr>
                <w:rFonts w:ascii="宋体" w:hAnsi="宋体" w:cs="宋体"/>
                <w:szCs w:val="21"/>
              </w:rPr>
            </w:pPr>
            <w:r>
              <w:rPr>
                <w:rFonts w:hint="eastAsia" w:ascii="宋体" w:hAnsi="宋体" w:cs="宋体"/>
                <w:szCs w:val="21"/>
              </w:rPr>
              <w:t>0.006%</w:t>
            </w:r>
          </w:p>
        </w:tc>
        <w:tc>
          <w:tcPr>
            <w:tcW w:w="1659" w:type="dxa"/>
            <w:noWrap/>
          </w:tcPr>
          <w:p w14:paraId="6720C1B7">
            <w:pPr>
              <w:spacing w:line="360" w:lineRule="auto"/>
              <w:ind w:firstLine="105" w:firstLineChars="50"/>
              <w:jc w:val="center"/>
              <w:rPr>
                <w:rFonts w:ascii="宋体" w:hAnsi="宋体" w:cs="宋体"/>
                <w:szCs w:val="21"/>
              </w:rPr>
            </w:pPr>
            <w:r>
              <w:rPr>
                <w:rFonts w:hint="eastAsia" w:ascii="宋体" w:hAnsi="宋体" w:cs="宋体"/>
                <w:szCs w:val="21"/>
              </w:rPr>
              <w:t>0.006%</w:t>
            </w:r>
          </w:p>
        </w:tc>
      </w:tr>
      <w:tr w14:paraId="2A7F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02CB33F1">
            <w:pPr>
              <w:spacing w:line="360" w:lineRule="auto"/>
              <w:jc w:val="center"/>
              <w:rPr>
                <w:rFonts w:ascii="宋体" w:hAnsi="宋体" w:cs="宋体"/>
                <w:szCs w:val="21"/>
              </w:rPr>
            </w:pPr>
            <w:r>
              <w:rPr>
                <w:rFonts w:hint="eastAsia" w:ascii="宋体" w:hAnsi="宋体" w:cs="宋体"/>
                <w:szCs w:val="21"/>
              </w:rPr>
              <w:t>100亿元以上</w:t>
            </w:r>
          </w:p>
        </w:tc>
        <w:tc>
          <w:tcPr>
            <w:tcW w:w="1659" w:type="dxa"/>
            <w:noWrap/>
          </w:tcPr>
          <w:p w14:paraId="07DD0093">
            <w:pPr>
              <w:spacing w:line="360" w:lineRule="auto"/>
              <w:jc w:val="center"/>
              <w:rPr>
                <w:rFonts w:ascii="宋体" w:hAnsi="宋体" w:cs="宋体"/>
                <w:szCs w:val="21"/>
              </w:rPr>
            </w:pPr>
            <w:r>
              <w:rPr>
                <w:rFonts w:hint="eastAsia" w:ascii="宋体" w:hAnsi="宋体" w:cs="宋体"/>
                <w:szCs w:val="21"/>
              </w:rPr>
              <w:t>0.004%</w:t>
            </w:r>
          </w:p>
        </w:tc>
        <w:tc>
          <w:tcPr>
            <w:tcW w:w="1687" w:type="dxa"/>
            <w:noWrap/>
          </w:tcPr>
          <w:p w14:paraId="62E8BFA8">
            <w:pPr>
              <w:spacing w:line="360" w:lineRule="auto"/>
              <w:ind w:firstLine="210" w:firstLineChars="100"/>
              <w:jc w:val="center"/>
              <w:rPr>
                <w:rFonts w:ascii="宋体" w:hAnsi="宋体" w:cs="宋体"/>
                <w:szCs w:val="21"/>
              </w:rPr>
            </w:pPr>
            <w:r>
              <w:rPr>
                <w:rFonts w:hint="eastAsia" w:ascii="宋体" w:hAnsi="宋体" w:cs="宋体"/>
                <w:szCs w:val="21"/>
              </w:rPr>
              <w:t>0.004%</w:t>
            </w:r>
          </w:p>
        </w:tc>
        <w:tc>
          <w:tcPr>
            <w:tcW w:w="1659" w:type="dxa"/>
            <w:noWrap/>
          </w:tcPr>
          <w:p w14:paraId="21D98DA0">
            <w:pPr>
              <w:spacing w:line="360" w:lineRule="auto"/>
              <w:ind w:firstLine="105" w:firstLineChars="50"/>
              <w:jc w:val="center"/>
              <w:rPr>
                <w:rFonts w:ascii="宋体" w:hAnsi="宋体" w:cs="宋体"/>
                <w:szCs w:val="21"/>
              </w:rPr>
            </w:pPr>
            <w:r>
              <w:rPr>
                <w:rFonts w:hint="eastAsia" w:ascii="宋体" w:hAnsi="宋体" w:cs="宋体"/>
                <w:szCs w:val="21"/>
              </w:rPr>
              <w:t>0.004%</w:t>
            </w:r>
          </w:p>
        </w:tc>
      </w:tr>
    </w:tbl>
    <w:p w14:paraId="7C488DB9">
      <w:pPr>
        <w:spacing w:line="360" w:lineRule="auto"/>
        <w:ind w:firstLine="420" w:firstLineChars="200"/>
        <w:rPr>
          <w:rFonts w:ascii="宋体" w:hAnsi="宋体" w:cs="宋体"/>
          <w:szCs w:val="21"/>
        </w:rPr>
      </w:pPr>
      <w:r>
        <w:rPr>
          <w:rFonts w:hint="eastAsia" w:ascii="宋体" w:hAnsi="宋体" w:cs="宋体"/>
          <w:szCs w:val="21"/>
        </w:rPr>
        <w:t>注:</w:t>
      </w:r>
    </w:p>
    <w:p w14:paraId="7566C9FE">
      <w:pPr>
        <w:spacing w:line="360" w:lineRule="auto"/>
        <w:ind w:firstLine="420" w:firstLineChars="200"/>
        <w:rPr>
          <w:rFonts w:ascii="宋体" w:hAnsi="宋体" w:cs="宋体"/>
          <w:szCs w:val="21"/>
        </w:rPr>
      </w:pPr>
      <w:r>
        <w:rPr>
          <w:rFonts w:hint="eastAsia" w:ascii="宋体" w:hAnsi="宋体" w:cs="宋体"/>
          <w:szCs w:val="21"/>
        </w:rPr>
        <w:t>（1）按本表费率计算的收费为采购代理的收费基准价格；</w:t>
      </w:r>
    </w:p>
    <w:p w14:paraId="1B182EF7">
      <w:pPr>
        <w:spacing w:line="360" w:lineRule="auto"/>
        <w:ind w:firstLine="420" w:firstLineChars="200"/>
        <w:rPr>
          <w:rFonts w:ascii="宋体" w:hAnsi="宋体" w:cs="宋体"/>
          <w:szCs w:val="21"/>
        </w:rPr>
      </w:pPr>
      <w:r>
        <w:rPr>
          <w:rFonts w:hint="eastAsia" w:ascii="宋体" w:hAnsi="宋体" w:cs="宋体"/>
          <w:szCs w:val="21"/>
        </w:rPr>
        <w:t>（2）采购代理收费按差额定率累进法计算。</w:t>
      </w:r>
    </w:p>
    <w:p w14:paraId="5513B610">
      <w:pPr>
        <w:spacing w:line="360" w:lineRule="auto"/>
        <w:ind w:firstLine="420" w:firstLineChars="200"/>
        <w:rPr>
          <w:rFonts w:ascii="宋体" w:hAnsi="宋体" w:cs="宋体"/>
          <w:szCs w:val="21"/>
        </w:rPr>
      </w:pPr>
      <w:r>
        <w:rPr>
          <w:rFonts w:hint="eastAsia" w:ascii="宋体" w:hAnsi="宋体" w:cs="宋体"/>
          <w:szCs w:val="21"/>
        </w:rPr>
        <w:t>例如：某服务采购代理业务中标金额或者暂定价为200万元，计算采购代理收费额如下：</w:t>
      </w:r>
    </w:p>
    <w:p w14:paraId="09E584D1">
      <w:pPr>
        <w:spacing w:line="360" w:lineRule="auto"/>
        <w:ind w:firstLine="420" w:firstLineChars="200"/>
        <w:rPr>
          <w:rFonts w:ascii="宋体" w:hAnsi="宋体" w:cs="宋体"/>
          <w:szCs w:val="21"/>
        </w:rPr>
      </w:pPr>
      <w:r>
        <w:rPr>
          <w:rFonts w:hint="eastAsia" w:ascii="宋体" w:hAnsi="宋体" w:cs="宋体"/>
          <w:szCs w:val="21"/>
        </w:rPr>
        <w:t>100万元×l.5％＝1.5万元</w:t>
      </w:r>
    </w:p>
    <w:p w14:paraId="1D51A718">
      <w:pPr>
        <w:spacing w:line="360" w:lineRule="auto"/>
        <w:ind w:firstLine="420" w:firstLineChars="200"/>
        <w:rPr>
          <w:rFonts w:ascii="宋体" w:hAnsi="宋体" w:cs="宋体"/>
          <w:szCs w:val="21"/>
        </w:rPr>
      </w:pPr>
      <w:r>
        <w:rPr>
          <w:rFonts w:hint="eastAsia" w:ascii="宋体" w:hAnsi="宋体" w:cs="宋体"/>
          <w:szCs w:val="21"/>
        </w:rPr>
        <w:t>（200－100）万元×0.8％＝0.8万元</w:t>
      </w:r>
    </w:p>
    <w:p w14:paraId="611C2D96">
      <w:pPr>
        <w:pStyle w:val="24"/>
        <w:snapToGrid w:val="0"/>
        <w:spacing w:before="120" w:after="120" w:line="360" w:lineRule="auto"/>
        <w:ind w:firstLine="420" w:firstLineChars="200"/>
        <w:rPr>
          <w:rFonts w:hAnsi="宋体" w:cs="宋体"/>
          <w:sz w:val="21"/>
        </w:rPr>
      </w:pPr>
      <w:r>
        <w:rPr>
          <w:rFonts w:hint="eastAsia" w:hAnsi="宋体" w:cs="宋体"/>
          <w:sz w:val="21"/>
        </w:rPr>
        <w:t>合计收费＝1.5+0.8＝2.3（万元）</w:t>
      </w:r>
    </w:p>
    <w:p w14:paraId="0347B500">
      <w:pPr>
        <w:pStyle w:val="7"/>
        <w:keepNext w:val="0"/>
        <w:keepLines w:val="0"/>
        <w:spacing w:before="0" w:after="0" w:line="360" w:lineRule="auto"/>
        <w:ind w:left="420" w:leftChars="200"/>
        <w:rPr>
          <w:rFonts w:ascii="宋体" w:hAnsi="宋体" w:cs="宋体"/>
          <w:sz w:val="24"/>
        </w:rPr>
      </w:pPr>
      <w:r>
        <w:rPr>
          <w:rFonts w:hint="eastAsia" w:ascii="宋体" w:hAnsi="宋体" w:cs="宋体"/>
          <w:sz w:val="24"/>
        </w:rPr>
        <w:t>40.需要补充的其他内容</w:t>
      </w:r>
    </w:p>
    <w:p w14:paraId="16E2B2C7">
      <w:pPr>
        <w:pStyle w:val="24"/>
        <w:snapToGrid w:val="0"/>
        <w:spacing w:before="120" w:after="120" w:line="360" w:lineRule="auto"/>
        <w:ind w:firstLine="420" w:firstLineChars="200"/>
        <w:rPr>
          <w:rFonts w:hAnsi="宋体" w:cs="宋体"/>
          <w:sz w:val="21"/>
        </w:rPr>
      </w:pPr>
      <w:r>
        <w:rPr>
          <w:rFonts w:hint="eastAsia" w:hAnsi="宋体" w:cs="宋体"/>
          <w:sz w:val="21"/>
        </w:rPr>
        <w:t>40.1本招标文件解释规则详见“投标人须知前附表”。</w:t>
      </w:r>
    </w:p>
    <w:p w14:paraId="112A5705">
      <w:pPr>
        <w:pStyle w:val="24"/>
        <w:snapToGrid w:val="0"/>
        <w:spacing w:before="120" w:after="120" w:line="360" w:lineRule="auto"/>
        <w:ind w:firstLine="420" w:firstLineChars="200"/>
        <w:rPr>
          <w:rFonts w:hAnsi="宋体" w:cs="宋体"/>
          <w:sz w:val="21"/>
        </w:rPr>
        <w:sectPr>
          <w:pgSz w:w="11906" w:h="16838"/>
          <w:pgMar w:top="1134" w:right="1247" w:bottom="1560" w:left="1247" w:header="851" w:footer="992" w:gutter="0"/>
          <w:cols w:space="720" w:num="1"/>
          <w:titlePg/>
          <w:docGrid w:linePitch="312" w:charSpace="0"/>
        </w:sectPr>
      </w:pPr>
      <w:r>
        <w:rPr>
          <w:rFonts w:hint="eastAsia" w:hAnsi="宋体" w:cs="宋体"/>
          <w:sz w:val="21"/>
        </w:rPr>
        <w:t>40.2其他事项详见“投标人须知前附表”。</w:t>
      </w:r>
    </w:p>
    <w:p w14:paraId="00595184">
      <w:pPr>
        <w:pStyle w:val="24"/>
        <w:snapToGrid w:val="0"/>
        <w:spacing w:before="120" w:after="120" w:line="360" w:lineRule="auto"/>
        <w:ind w:firstLine="400" w:firstLineChars="200"/>
        <w:rPr>
          <w:rFonts w:hAnsi="宋体" w:cs="宋体"/>
        </w:rPr>
      </w:pPr>
      <w:r>
        <w:rPr>
          <w:rFonts w:hint="eastAsia" w:hAnsi="宋体" w:cs="宋体"/>
        </w:rPr>
        <w:t>附件1：</w:t>
      </w:r>
    </w:p>
    <w:p w14:paraId="689AD89B">
      <w:pPr>
        <w:shd w:val="clear" w:color="auto" w:fill="FFFFFF"/>
        <w:spacing w:line="360" w:lineRule="auto"/>
        <w:jc w:val="center"/>
        <w:rPr>
          <w:rFonts w:ascii="宋体" w:hAnsi="宋体" w:cs="宋体"/>
          <w:kern w:val="0"/>
          <w:sz w:val="32"/>
          <w:szCs w:val="32"/>
        </w:rPr>
      </w:pPr>
      <w:r>
        <w:rPr>
          <w:rFonts w:hint="eastAsia" w:ascii="宋体" w:hAnsi="宋体" w:cs="宋体"/>
          <w:kern w:val="0"/>
          <w:sz w:val="32"/>
          <w:szCs w:val="32"/>
        </w:rPr>
        <w:t>广西壮族自治区政府采购项目合同验收书（格式）</w:t>
      </w:r>
    </w:p>
    <w:p w14:paraId="460B84E7">
      <w:pPr>
        <w:shd w:val="clear" w:color="auto" w:fill="FFFFFF"/>
        <w:spacing w:line="360" w:lineRule="auto"/>
        <w:jc w:val="center"/>
        <w:rPr>
          <w:rFonts w:ascii="宋体" w:hAnsi="宋体" w:cs="宋体"/>
          <w:kern w:val="0"/>
          <w:sz w:val="32"/>
          <w:szCs w:val="32"/>
        </w:rPr>
      </w:pPr>
    </w:p>
    <w:p w14:paraId="47FBDF03">
      <w:pPr>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项目名称</w:t>
      </w:r>
      <w:r>
        <w:rPr>
          <w:rFonts w:hint="eastAsia" w:ascii="宋体" w:hAnsi="宋体" w:cs="宋体"/>
          <w:kern w:val="0"/>
          <w:szCs w:val="21"/>
        </w:rPr>
        <w:t>）政府采购项目中标投标人（</w:t>
      </w:r>
      <w:r>
        <w:rPr>
          <w:rFonts w:hint="eastAsia" w:ascii="宋体" w:hAnsi="宋体" w:cs="宋体"/>
          <w:kern w:val="0"/>
          <w:szCs w:val="21"/>
          <w:u w:val="single"/>
        </w:rPr>
        <w:t>公司名称</w:t>
      </w:r>
      <w:r>
        <w:rPr>
          <w:rFonts w:hint="eastAsia" w:ascii="宋体" w:hAnsi="宋体" w:cs="宋体"/>
          <w:kern w:val="0"/>
          <w:szCs w:val="21"/>
        </w:rPr>
        <w:t>）提供的货物（或者工程、服务）进行了验收，验收情况如下：</w:t>
      </w:r>
    </w:p>
    <w:tbl>
      <w:tblPr>
        <w:tblStyle w:val="46"/>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5A59D134">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ign w:val="center"/>
          </w:tcPr>
          <w:p w14:paraId="26944946">
            <w:pPr>
              <w:snapToGrid w:val="0"/>
              <w:spacing w:before="100" w:beforeAutospacing="1" w:after="100" w:afterAutospacing="1" w:line="360" w:lineRule="auto"/>
              <w:ind w:firstLine="5"/>
              <w:jc w:val="center"/>
              <w:rPr>
                <w:rFonts w:ascii="宋体" w:hAnsi="宋体" w:cs="宋体"/>
                <w:kern w:val="0"/>
                <w:szCs w:val="21"/>
              </w:rPr>
            </w:pPr>
            <w:r>
              <w:rPr>
                <w:rFonts w:hint="eastAsia" w:ascii="宋体" w:hAnsi="宋体" w:cs="宋体"/>
                <w:kern w:val="0"/>
                <w:szCs w:val="21"/>
              </w:rPr>
              <w:t>验收方式：</w:t>
            </w:r>
          </w:p>
        </w:tc>
        <w:tc>
          <w:tcPr>
            <w:tcW w:w="6119" w:type="dxa"/>
            <w:gridSpan w:val="6"/>
            <w:tcBorders>
              <w:top w:val="single" w:color="auto" w:sz="8" w:space="0"/>
              <w:left w:val="nil"/>
              <w:bottom w:val="single" w:color="auto" w:sz="8" w:space="0"/>
              <w:right w:val="single" w:color="auto" w:sz="8" w:space="0"/>
            </w:tcBorders>
            <w:noWrap/>
            <w:vAlign w:val="center"/>
          </w:tcPr>
          <w:p w14:paraId="60922BAE">
            <w:pPr>
              <w:snapToGrid w:val="0"/>
              <w:spacing w:before="100" w:beforeAutospacing="1" w:after="100" w:afterAutospacing="1" w:line="360" w:lineRule="auto"/>
              <w:ind w:firstLine="480"/>
              <w:jc w:val="center"/>
              <w:rPr>
                <w:rFonts w:ascii="宋体" w:hAnsi="宋体" w:cs="宋体"/>
                <w:kern w:val="0"/>
                <w:szCs w:val="21"/>
              </w:rPr>
            </w:pPr>
            <w:r>
              <w:rPr>
                <w:rFonts w:hint="eastAsia" w:ascii="宋体" w:hAnsi="宋体" w:cs="宋体"/>
                <w:kern w:val="0"/>
                <w:szCs w:val="21"/>
              </w:rPr>
              <w:t>□自行验收□委托验收</w:t>
            </w:r>
          </w:p>
        </w:tc>
      </w:tr>
      <w:tr w14:paraId="01541892">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ign w:val="center"/>
          </w:tcPr>
          <w:p w14:paraId="6F0B3FF2">
            <w:pPr>
              <w:snapToGrid w:val="0"/>
              <w:spacing w:before="100" w:beforeAutospacing="1" w:after="100" w:afterAutospacing="1" w:line="360" w:lineRule="auto"/>
              <w:ind w:firstLine="2"/>
              <w:jc w:val="center"/>
              <w:rPr>
                <w:rFonts w:ascii="宋体" w:hAnsi="宋体" w:cs="宋体"/>
                <w:kern w:val="0"/>
                <w:szCs w:val="21"/>
              </w:rPr>
            </w:pPr>
            <w:r>
              <w:rPr>
                <w:rFonts w:hint="eastAsia" w:ascii="宋体" w:hAnsi="宋体" w:cs="宋体"/>
                <w:kern w:val="0"/>
                <w:szCs w:val="21"/>
              </w:rPr>
              <w:t>序号</w:t>
            </w:r>
          </w:p>
        </w:tc>
        <w:tc>
          <w:tcPr>
            <w:tcW w:w="1921" w:type="dxa"/>
            <w:tcBorders>
              <w:top w:val="nil"/>
              <w:left w:val="nil"/>
              <w:bottom w:val="single" w:color="auto" w:sz="8" w:space="0"/>
              <w:right w:val="single" w:color="auto" w:sz="8" w:space="0"/>
            </w:tcBorders>
            <w:noWrap/>
            <w:vAlign w:val="center"/>
          </w:tcPr>
          <w:p w14:paraId="41CB5F63">
            <w:pPr>
              <w:snapToGrid w:val="0"/>
              <w:spacing w:before="100" w:beforeAutospacing="1" w:after="100" w:afterAutospacing="1" w:line="360" w:lineRule="auto"/>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6349F44C">
            <w:pPr>
              <w:snapToGrid w:val="0"/>
              <w:spacing w:before="100" w:beforeAutospacing="1" w:after="100" w:afterAutospacing="1" w:line="360" w:lineRule="auto"/>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5189C8AB">
            <w:pPr>
              <w:snapToGrid w:val="0"/>
              <w:spacing w:before="100" w:beforeAutospacing="1" w:after="100" w:afterAutospacing="1" w:line="360" w:lineRule="auto"/>
              <w:jc w:val="center"/>
              <w:rPr>
                <w:rFonts w:ascii="宋体" w:hAnsi="宋体" w:cs="宋体"/>
                <w:kern w:val="0"/>
                <w:szCs w:val="21"/>
              </w:rPr>
            </w:pPr>
            <w:r>
              <w:rPr>
                <w:rFonts w:hint="eastAsia" w:ascii="宋体" w:hAnsi="宋体" w:cs="宋体"/>
                <w:kern w:val="0"/>
                <w:szCs w:val="21"/>
              </w:rPr>
              <w:t>数量</w:t>
            </w:r>
          </w:p>
        </w:tc>
        <w:tc>
          <w:tcPr>
            <w:tcW w:w="2354" w:type="dxa"/>
            <w:tcBorders>
              <w:top w:val="nil"/>
              <w:left w:val="nil"/>
              <w:bottom w:val="single" w:color="auto" w:sz="8" w:space="0"/>
              <w:right w:val="single" w:color="auto" w:sz="8" w:space="0"/>
            </w:tcBorders>
            <w:noWrap/>
            <w:vAlign w:val="center"/>
          </w:tcPr>
          <w:p w14:paraId="5AFD0C31">
            <w:pPr>
              <w:snapToGrid w:val="0"/>
              <w:spacing w:before="100" w:beforeAutospacing="1" w:after="100" w:afterAutospacing="1" w:line="360" w:lineRule="auto"/>
              <w:ind w:firstLine="2"/>
              <w:jc w:val="center"/>
              <w:rPr>
                <w:rFonts w:ascii="宋体" w:hAnsi="宋体" w:cs="宋体"/>
                <w:kern w:val="0"/>
                <w:szCs w:val="21"/>
              </w:rPr>
            </w:pPr>
            <w:r>
              <w:rPr>
                <w:rFonts w:hint="eastAsia" w:ascii="宋体" w:hAnsi="宋体" w:cs="宋体"/>
                <w:kern w:val="0"/>
                <w:szCs w:val="21"/>
              </w:rPr>
              <w:t>金额</w:t>
            </w:r>
          </w:p>
        </w:tc>
      </w:tr>
      <w:tr w14:paraId="1A3970E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159347FB">
            <w:pPr>
              <w:spacing w:before="100" w:beforeAutospacing="1" w:after="100" w:afterAutospacing="1" w:line="360" w:lineRule="auto"/>
              <w:jc w:val="center"/>
              <w:rPr>
                <w:rFonts w:ascii="宋体" w:hAnsi="宋体" w:cs="宋体"/>
                <w:kern w:val="0"/>
                <w:szCs w:val="21"/>
              </w:rPr>
            </w:pPr>
          </w:p>
        </w:tc>
        <w:tc>
          <w:tcPr>
            <w:tcW w:w="1921" w:type="dxa"/>
            <w:tcBorders>
              <w:top w:val="nil"/>
              <w:left w:val="nil"/>
              <w:bottom w:val="single" w:color="auto" w:sz="8" w:space="0"/>
              <w:right w:val="single" w:color="auto" w:sz="8" w:space="0"/>
            </w:tcBorders>
            <w:noWrap/>
            <w:vAlign w:val="center"/>
          </w:tcPr>
          <w:p w14:paraId="12E53CFA">
            <w:pPr>
              <w:spacing w:before="100" w:beforeAutospacing="1" w:after="100" w:afterAutospacing="1" w:line="360" w:lineRule="auto"/>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2CF3A225">
            <w:pPr>
              <w:spacing w:before="100" w:beforeAutospacing="1" w:after="100" w:afterAutospacing="1" w:line="360" w:lineRule="auto"/>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6CF29C8D">
            <w:pPr>
              <w:spacing w:before="100" w:beforeAutospacing="1" w:after="100" w:afterAutospacing="1" w:line="360" w:lineRule="auto"/>
              <w:jc w:val="center"/>
              <w:rPr>
                <w:rFonts w:ascii="宋体" w:hAnsi="宋体" w:cs="宋体"/>
                <w:kern w:val="0"/>
                <w:szCs w:val="21"/>
              </w:rPr>
            </w:pPr>
          </w:p>
        </w:tc>
        <w:tc>
          <w:tcPr>
            <w:tcW w:w="2354" w:type="dxa"/>
            <w:tcBorders>
              <w:top w:val="nil"/>
              <w:left w:val="nil"/>
              <w:bottom w:val="single" w:color="auto" w:sz="8" w:space="0"/>
              <w:right w:val="single" w:color="auto" w:sz="8" w:space="0"/>
            </w:tcBorders>
            <w:noWrap/>
            <w:vAlign w:val="center"/>
          </w:tcPr>
          <w:p w14:paraId="01485B0A">
            <w:pPr>
              <w:spacing w:before="100" w:beforeAutospacing="1" w:after="100" w:afterAutospacing="1" w:line="360" w:lineRule="auto"/>
              <w:jc w:val="center"/>
              <w:rPr>
                <w:rFonts w:ascii="宋体" w:hAnsi="宋体" w:cs="宋体"/>
                <w:kern w:val="0"/>
                <w:szCs w:val="21"/>
              </w:rPr>
            </w:pPr>
          </w:p>
        </w:tc>
      </w:tr>
      <w:tr w14:paraId="625838C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0E8B2F83">
            <w:pPr>
              <w:spacing w:before="100" w:beforeAutospacing="1" w:after="100" w:afterAutospacing="1" w:line="360" w:lineRule="auto"/>
              <w:jc w:val="center"/>
              <w:rPr>
                <w:rFonts w:ascii="宋体" w:hAnsi="宋体" w:cs="宋体"/>
                <w:kern w:val="0"/>
                <w:szCs w:val="21"/>
              </w:rPr>
            </w:pPr>
          </w:p>
        </w:tc>
        <w:tc>
          <w:tcPr>
            <w:tcW w:w="1921" w:type="dxa"/>
            <w:tcBorders>
              <w:top w:val="nil"/>
              <w:left w:val="nil"/>
              <w:bottom w:val="single" w:color="auto" w:sz="8" w:space="0"/>
              <w:right w:val="single" w:color="auto" w:sz="8" w:space="0"/>
            </w:tcBorders>
            <w:noWrap/>
            <w:vAlign w:val="center"/>
          </w:tcPr>
          <w:p w14:paraId="4A6B8A56">
            <w:pPr>
              <w:spacing w:before="100" w:beforeAutospacing="1" w:after="100" w:afterAutospacing="1" w:line="360" w:lineRule="auto"/>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5022B6D4">
            <w:pPr>
              <w:spacing w:before="100" w:beforeAutospacing="1" w:after="100" w:afterAutospacing="1" w:line="360" w:lineRule="auto"/>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7B8F05CF">
            <w:pPr>
              <w:spacing w:before="100" w:beforeAutospacing="1" w:after="100" w:afterAutospacing="1" w:line="360" w:lineRule="auto"/>
              <w:jc w:val="center"/>
              <w:rPr>
                <w:rFonts w:ascii="宋体" w:hAnsi="宋体" w:cs="宋体"/>
                <w:kern w:val="0"/>
                <w:szCs w:val="21"/>
              </w:rPr>
            </w:pPr>
          </w:p>
        </w:tc>
        <w:tc>
          <w:tcPr>
            <w:tcW w:w="2354" w:type="dxa"/>
            <w:tcBorders>
              <w:top w:val="nil"/>
              <w:left w:val="nil"/>
              <w:bottom w:val="single" w:color="auto" w:sz="8" w:space="0"/>
              <w:right w:val="single" w:color="auto" w:sz="8" w:space="0"/>
            </w:tcBorders>
            <w:noWrap/>
            <w:vAlign w:val="center"/>
          </w:tcPr>
          <w:p w14:paraId="54CC9602">
            <w:pPr>
              <w:spacing w:before="100" w:beforeAutospacing="1" w:after="100" w:afterAutospacing="1" w:line="360" w:lineRule="auto"/>
              <w:jc w:val="center"/>
              <w:rPr>
                <w:rFonts w:ascii="宋体" w:hAnsi="宋体" w:cs="宋体"/>
                <w:kern w:val="0"/>
                <w:szCs w:val="21"/>
              </w:rPr>
            </w:pPr>
          </w:p>
        </w:tc>
      </w:tr>
      <w:tr w14:paraId="3C6EC75A">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4A4AD479">
            <w:pPr>
              <w:spacing w:before="100" w:beforeAutospacing="1" w:after="100" w:afterAutospacing="1" w:line="360" w:lineRule="auto"/>
              <w:jc w:val="center"/>
              <w:rPr>
                <w:rFonts w:ascii="宋体" w:hAnsi="宋体" w:cs="宋体"/>
                <w:kern w:val="0"/>
                <w:szCs w:val="21"/>
              </w:rPr>
            </w:pPr>
          </w:p>
        </w:tc>
        <w:tc>
          <w:tcPr>
            <w:tcW w:w="1921" w:type="dxa"/>
            <w:tcBorders>
              <w:top w:val="nil"/>
              <w:left w:val="nil"/>
              <w:bottom w:val="single" w:color="auto" w:sz="8" w:space="0"/>
              <w:right w:val="single" w:color="auto" w:sz="8" w:space="0"/>
            </w:tcBorders>
            <w:noWrap/>
            <w:vAlign w:val="center"/>
          </w:tcPr>
          <w:p w14:paraId="14F403F7">
            <w:pPr>
              <w:spacing w:before="100" w:beforeAutospacing="1" w:after="100" w:afterAutospacing="1" w:line="360" w:lineRule="auto"/>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018C8058">
            <w:pPr>
              <w:spacing w:before="100" w:beforeAutospacing="1" w:after="100" w:afterAutospacing="1" w:line="360" w:lineRule="auto"/>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3CDC127">
            <w:pPr>
              <w:spacing w:before="100" w:beforeAutospacing="1" w:after="100" w:afterAutospacing="1" w:line="360" w:lineRule="auto"/>
              <w:jc w:val="center"/>
              <w:rPr>
                <w:rFonts w:ascii="宋体" w:hAnsi="宋体" w:cs="宋体"/>
                <w:kern w:val="0"/>
                <w:szCs w:val="21"/>
              </w:rPr>
            </w:pPr>
          </w:p>
        </w:tc>
        <w:tc>
          <w:tcPr>
            <w:tcW w:w="2354" w:type="dxa"/>
            <w:tcBorders>
              <w:top w:val="nil"/>
              <w:left w:val="nil"/>
              <w:bottom w:val="single" w:color="auto" w:sz="8" w:space="0"/>
              <w:right w:val="single" w:color="auto" w:sz="8" w:space="0"/>
            </w:tcBorders>
            <w:noWrap/>
            <w:vAlign w:val="center"/>
          </w:tcPr>
          <w:p w14:paraId="5043943F">
            <w:pPr>
              <w:spacing w:before="100" w:beforeAutospacing="1" w:after="100" w:afterAutospacing="1" w:line="360" w:lineRule="auto"/>
              <w:jc w:val="center"/>
              <w:rPr>
                <w:rFonts w:ascii="宋体" w:hAnsi="宋体" w:cs="宋体"/>
                <w:kern w:val="0"/>
                <w:szCs w:val="21"/>
              </w:rPr>
            </w:pPr>
          </w:p>
        </w:tc>
      </w:tr>
      <w:tr w14:paraId="77E04E2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ign w:val="center"/>
          </w:tcPr>
          <w:p w14:paraId="0169E304">
            <w:pPr>
              <w:snapToGrid w:val="0"/>
              <w:spacing w:before="100" w:beforeAutospacing="1" w:after="100" w:afterAutospacing="1" w:line="360" w:lineRule="auto"/>
              <w:ind w:firstLine="5"/>
              <w:jc w:val="center"/>
              <w:rPr>
                <w:rFonts w:ascii="宋体" w:hAnsi="宋体" w:cs="宋体"/>
                <w:kern w:val="0"/>
                <w:szCs w:val="21"/>
              </w:rPr>
            </w:pPr>
            <w:r>
              <w:rPr>
                <w:rFonts w:hint="eastAsia" w:ascii="宋体" w:hAnsi="宋体" w:cs="宋体"/>
                <w:kern w:val="0"/>
                <w:szCs w:val="21"/>
              </w:rPr>
              <w:t>合计</w:t>
            </w:r>
          </w:p>
        </w:tc>
        <w:tc>
          <w:tcPr>
            <w:tcW w:w="863" w:type="dxa"/>
            <w:gridSpan w:val="2"/>
            <w:tcBorders>
              <w:top w:val="nil"/>
              <w:left w:val="nil"/>
              <w:bottom w:val="single" w:color="auto" w:sz="8" w:space="0"/>
              <w:right w:val="single" w:color="auto" w:sz="8" w:space="0"/>
            </w:tcBorders>
            <w:noWrap/>
            <w:vAlign w:val="center"/>
          </w:tcPr>
          <w:p w14:paraId="7FD0A6F3">
            <w:pPr>
              <w:spacing w:before="100" w:beforeAutospacing="1" w:after="100" w:afterAutospacing="1" w:line="360" w:lineRule="auto"/>
              <w:jc w:val="center"/>
              <w:rPr>
                <w:rFonts w:ascii="宋体" w:hAnsi="宋体" w:cs="宋体"/>
                <w:kern w:val="0"/>
                <w:szCs w:val="21"/>
              </w:rPr>
            </w:pPr>
          </w:p>
        </w:tc>
        <w:tc>
          <w:tcPr>
            <w:tcW w:w="2354" w:type="dxa"/>
            <w:tcBorders>
              <w:top w:val="nil"/>
              <w:left w:val="nil"/>
              <w:bottom w:val="single" w:color="auto" w:sz="8" w:space="0"/>
              <w:right w:val="single" w:color="auto" w:sz="8" w:space="0"/>
            </w:tcBorders>
            <w:noWrap/>
            <w:vAlign w:val="center"/>
          </w:tcPr>
          <w:p w14:paraId="4F66C1A7">
            <w:pPr>
              <w:spacing w:before="100" w:beforeAutospacing="1" w:after="100" w:afterAutospacing="1" w:line="360" w:lineRule="auto"/>
              <w:jc w:val="center"/>
              <w:rPr>
                <w:rFonts w:ascii="宋体" w:hAnsi="宋体" w:cs="宋体"/>
                <w:kern w:val="0"/>
                <w:szCs w:val="21"/>
              </w:rPr>
            </w:pPr>
          </w:p>
        </w:tc>
      </w:tr>
      <w:tr w14:paraId="65D9E7A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ign w:val="center"/>
          </w:tcPr>
          <w:p w14:paraId="0E6186AF">
            <w:pPr>
              <w:snapToGrid w:val="0"/>
              <w:spacing w:before="100" w:beforeAutospacing="1" w:after="100" w:afterAutospacing="1" w:line="360" w:lineRule="auto"/>
              <w:ind w:firstLine="2"/>
              <w:jc w:val="left"/>
              <w:rPr>
                <w:rFonts w:ascii="宋体" w:hAnsi="宋体" w:cs="宋体"/>
                <w:kern w:val="0"/>
                <w:szCs w:val="21"/>
              </w:rPr>
            </w:pPr>
            <w:r>
              <w:rPr>
                <w:rFonts w:hint="eastAsia" w:ascii="宋体" w:hAnsi="宋体" w:cs="宋体"/>
                <w:kern w:val="0"/>
                <w:szCs w:val="21"/>
              </w:rPr>
              <w:t>合计大写金额：亿仟佰拾万仟佰拾元</w:t>
            </w:r>
          </w:p>
        </w:tc>
      </w:tr>
      <w:tr w14:paraId="54636158">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ign w:val="center"/>
          </w:tcPr>
          <w:p w14:paraId="5CF32BE4">
            <w:pPr>
              <w:snapToGrid w:val="0"/>
              <w:spacing w:before="100" w:beforeAutospacing="1" w:after="100" w:afterAutospacing="1" w:line="360" w:lineRule="auto"/>
              <w:ind w:firstLine="2"/>
              <w:jc w:val="center"/>
              <w:rPr>
                <w:rFonts w:ascii="宋体" w:hAnsi="宋体" w:cs="宋体"/>
                <w:kern w:val="0"/>
                <w:szCs w:val="21"/>
              </w:rPr>
            </w:pPr>
            <w:r>
              <w:rPr>
                <w:rFonts w:hint="eastAsia" w:ascii="宋体" w:hAnsi="宋体" w:cs="宋体"/>
                <w:kern w:val="0"/>
                <w:szCs w:val="21"/>
              </w:rPr>
              <w:t>实际供货日期</w:t>
            </w:r>
          </w:p>
        </w:tc>
        <w:tc>
          <w:tcPr>
            <w:tcW w:w="2719" w:type="dxa"/>
            <w:gridSpan w:val="2"/>
            <w:tcBorders>
              <w:top w:val="nil"/>
              <w:left w:val="nil"/>
              <w:bottom w:val="single" w:color="auto" w:sz="8" w:space="0"/>
              <w:right w:val="single" w:color="auto" w:sz="8" w:space="0"/>
            </w:tcBorders>
            <w:noWrap/>
            <w:vAlign w:val="center"/>
          </w:tcPr>
          <w:p w14:paraId="63223B90">
            <w:pPr>
              <w:spacing w:before="100" w:beforeAutospacing="1" w:after="100" w:afterAutospacing="1" w:line="360" w:lineRule="auto"/>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10D34889">
            <w:pPr>
              <w:snapToGrid w:val="0"/>
              <w:spacing w:before="100" w:beforeAutospacing="1" w:after="100" w:afterAutospacing="1" w:line="360" w:lineRule="auto"/>
              <w:ind w:firstLine="46"/>
              <w:jc w:val="center"/>
              <w:rPr>
                <w:rFonts w:ascii="宋体" w:hAnsi="宋体" w:cs="宋体"/>
                <w:kern w:val="0"/>
                <w:szCs w:val="21"/>
              </w:rPr>
            </w:pPr>
            <w:r>
              <w:rPr>
                <w:rFonts w:hint="eastAsia" w:ascii="宋体" w:hAnsi="宋体" w:cs="宋体"/>
                <w:kern w:val="0"/>
                <w:szCs w:val="21"/>
              </w:rPr>
              <w:t>合同交货验收日期</w:t>
            </w:r>
          </w:p>
        </w:tc>
        <w:tc>
          <w:tcPr>
            <w:tcW w:w="3039" w:type="dxa"/>
            <w:gridSpan w:val="2"/>
            <w:tcBorders>
              <w:top w:val="nil"/>
              <w:left w:val="nil"/>
              <w:bottom w:val="single" w:color="auto" w:sz="8" w:space="0"/>
              <w:right w:val="single" w:color="auto" w:sz="8" w:space="0"/>
            </w:tcBorders>
            <w:noWrap/>
            <w:vAlign w:val="center"/>
          </w:tcPr>
          <w:p w14:paraId="7286E89C">
            <w:pPr>
              <w:spacing w:before="100" w:beforeAutospacing="1" w:after="100" w:afterAutospacing="1" w:line="360" w:lineRule="auto"/>
              <w:jc w:val="center"/>
              <w:rPr>
                <w:rFonts w:ascii="宋体" w:hAnsi="宋体" w:cs="宋体"/>
                <w:kern w:val="0"/>
                <w:szCs w:val="21"/>
              </w:rPr>
            </w:pPr>
          </w:p>
        </w:tc>
      </w:tr>
      <w:tr w14:paraId="4C467EF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ign w:val="center"/>
          </w:tcPr>
          <w:p w14:paraId="3E86076E">
            <w:pPr>
              <w:spacing w:before="100" w:beforeAutospacing="1" w:after="100" w:afterAutospacing="1" w:line="360" w:lineRule="auto"/>
              <w:jc w:val="center"/>
              <w:rPr>
                <w:rFonts w:ascii="宋体" w:hAnsi="宋体" w:cs="宋体"/>
                <w:kern w:val="0"/>
                <w:szCs w:val="21"/>
              </w:rPr>
            </w:pPr>
          </w:p>
        </w:tc>
        <w:tc>
          <w:tcPr>
            <w:tcW w:w="2719" w:type="dxa"/>
            <w:gridSpan w:val="2"/>
            <w:tcBorders>
              <w:top w:val="nil"/>
              <w:left w:val="nil"/>
              <w:bottom w:val="single" w:color="auto" w:sz="8" w:space="0"/>
              <w:right w:val="single" w:color="auto" w:sz="8" w:space="0"/>
            </w:tcBorders>
            <w:noWrap/>
            <w:vAlign w:val="center"/>
          </w:tcPr>
          <w:p w14:paraId="428CFD9C">
            <w:pPr>
              <w:spacing w:before="100" w:beforeAutospacing="1" w:after="100" w:afterAutospacing="1" w:line="360" w:lineRule="auto"/>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2CC7DC9C">
            <w:pPr>
              <w:spacing w:before="100" w:beforeAutospacing="1" w:after="100" w:afterAutospacing="1" w:line="360" w:lineRule="auto"/>
              <w:jc w:val="center"/>
              <w:rPr>
                <w:rFonts w:ascii="宋体" w:hAnsi="宋体" w:cs="宋体"/>
                <w:kern w:val="0"/>
                <w:szCs w:val="21"/>
              </w:rPr>
            </w:pPr>
          </w:p>
        </w:tc>
        <w:tc>
          <w:tcPr>
            <w:tcW w:w="3039" w:type="dxa"/>
            <w:gridSpan w:val="2"/>
            <w:tcBorders>
              <w:top w:val="nil"/>
              <w:left w:val="nil"/>
              <w:bottom w:val="single" w:color="auto" w:sz="8" w:space="0"/>
              <w:right w:val="single" w:color="auto" w:sz="8" w:space="0"/>
            </w:tcBorders>
            <w:noWrap/>
            <w:vAlign w:val="center"/>
          </w:tcPr>
          <w:p w14:paraId="59225862">
            <w:pPr>
              <w:spacing w:before="100" w:beforeAutospacing="1" w:after="100" w:afterAutospacing="1" w:line="360" w:lineRule="auto"/>
              <w:jc w:val="center"/>
              <w:rPr>
                <w:rFonts w:ascii="宋体" w:hAnsi="宋体" w:cs="宋体"/>
                <w:kern w:val="0"/>
                <w:szCs w:val="21"/>
              </w:rPr>
            </w:pPr>
          </w:p>
        </w:tc>
      </w:tr>
      <w:tr w14:paraId="3B947818">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AC9E683">
            <w:pPr>
              <w:snapToGrid w:val="0"/>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验收具体内容</w:t>
            </w:r>
          </w:p>
        </w:tc>
        <w:tc>
          <w:tcPr>
            <w:tcW w:w="8040"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6C1803F6">
            <w:pPr>
              <w:snapToGrid w:val="0"/>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应按采购合同、招标文件、投标文件及验收方案等进行验收；并核对中标或者中标人在安装调试等方面是否违反合同约定或者服务规范要求、提供的质量保证证明材料是否齐全、应有的配件及附件是否达到合同约定等。</w:t>
            </w:r>
            <w:r>
              <w:rPr>
                <w:rFonts w:hint="eastAsia" w:ascii="宋体" w:hAnsi="宋体" w:cs="宋体"/>
                <w:kern w:val="0"/>
                <w:szCs w:val="21"/>
                <w:lang w:eastAsia="zh-CN"/>
              </w:rPr>
              <w:t>见</w:t>
            </w:r>
            <w:r>
              <w:rPr>
                <w:rFonts w:hint="eastAsia" w:ascii="宋体" w:hAnsi="宋体" w:cs="宋体"/>
                <w:kern w:val="0"/>
                <w:szCs w:val="21"/>
              </w:rPr>
              <w:t>附件）</w:t>
            </w:r>
          </w:p>
        </w:tc>
      </w:tr>
      <w:tr w14:paraId="701A419A">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583FEEB">
            <w:pPr>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验收小组意见</w:t>
            </w:r>
          </w:p>
        </w:tc>
        <w:tc>
          <w:tcPr>
            <w:tcW w:w="8040" w:type="dxa"/>
            <w:gridSpan w:val="7"/>
            <w:tcBorders>
              <w:top w:val="nil"/>
              <w:left w:val="nil"/>
              <w:bottom w:val="single" w:color="auto" w:sz="8" w:space="0"/>
              <w:right w:val="single" w:color="auto" w:sz="8" w:space="0"/>
            </w:tcBorders>
            <w:noWrap/>
            <w:vAlign w:val="center"/>
          </w:tcPr>
          <w:p w14:paraId="6CF2281D">
            <w:pPr>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验收结论性意见：</w:t>
            </w:r>
          </w:p>
        </w:tc>
      </w:tr>
      <w:tr w14:paraId="48D61B6E">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ign w:val="center"/>
          </w:tcPr>
          <w:p w14:paraId="339776BD">
            <w:pPr>
              <w:spacing w:line="360" w:lineRule="auto"/>
              <w:jc w:val="left"/>
              <w:rPr>
                <w:rFonts w:ascii="宋体" w:hAnsi="宋体" w:cs="宋体"/>
                <w:kern w:val="0"/>
                <w:szCs w:val="21"/>
              </w:rPr>
            </w:pPr>
          </w:p>
        </w:tc>
        <w:tc>
          <w:tcPr>
            <w:tcW w:w="8040" w:type="dxa"/>
            <w:gridSpan w:val="7"/>
            <w:tcBorders>
              <w:top w:val="nil"/>
              <w:left w:val="nil"/>
              <w:bottom w:val="single" w:color="auto" w:sz="8" w:space="0"/>
              <w:right w:val="single" w:color="auto" w:sz="8" w:space="0"/>
            </w:tcBorders>
            <w:noWrap/>
            <w:vAlign w:val="center"/>
          </w:tcPr>
          <w:p w14:paraId="449F1D58">
            <w:pPr>
              <w:spacing w:before="100" w:beforeAutospacing="1" w:after="100" w:afterAutospacing="1" w:line="360" w:lineRule="auto"/>
              <w:ind w:firstLine="96"/>
              <w:jc w:val="left"/>
              <w:rPr>
                <w:rFonts w:ascii="宋体" w:hAnsi="宋体" w:cs="宋体"/>
                <w:kern w:val="0"/>
                <w:szCs w:val="21"/>
              </w:rPr>
            </w:pPr>
            <w:r>
              <w:rPr>
                <w:rFonts w:hint="eastAsia" w:ascii="宋体" w:hAnsi="宋体" w:cs="宋体"/>
                <w:kern w:val="0"/>
                <w:szCs w:val="21"/>
              </w:rPr>
              <w:t>有异议的意见和说明理由：</w:t>
            </w:r>
          </w:p>
          <w:p w14:paraId="58829751">
            <w:pPr>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签字：</w:t>
            </w:r>
          </w:p>
        </w:tc>
      </w:tr>
      <w:tr w14:paraId="2B71CCBF">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C300834">
            <w:pPr>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验收小组成员签字：</w:t>
            </w:r>
          </w:p>
        </w:tc>
      </w:tr>
      <w:tr w14:paraId="0FDCA53A">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4" w:space="0"/>
              <w:right w:val="single" w:color="auto" w:sz="8" w:space="0"/>
            </w:tcBorders>
            <w:noWrap/>
            <w:tcMar>
              <w:top w:w="0" w:type="dxa"/>
              <w:left w:w="108" w:type="dxa"/>
              <w:bottom w:w="0" w:type="dxa"/>
              <w:right w:w="108" w:type="dxa"/>
            </w:tcMar>
            <w:vAlign w:val="center"/>
          </w:tcPr>
          <w:p w14:paraId="29BA03AF">
            <w:pPr>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监督人员或者其他相关人员签字：</w:t>
            </w:r>
          </w:p>
          <w:p w14:paraId="3CFB4B0A">
            <w:pPr>
              <w:spacing w:before="100" w:beforeAutospacing="1" w:after="100" w:afterAutospacing="1" w:line="360" w:lineRule="auto"/>
              <w:ind w:firstLine="74"/>
              <w:jc w:val="left"/>
              <w:rPr>
                <w:rFonts w:ascii="宋体" w:hAnsi="宋体" w:cs="宋体"/>
                <w:kern w:val="0"/>
                <w:szCs w:val="21"/>
              </w:rPr>
            </w:pPr>
            <w:r>
              <w:rPr>
                <w:rFonts w:hint="eastAsia" w:ascii="宋体" w:hAnsi="宋体" w:cs="宋体"/>
                <w:kern w:val="0"/>
                <w:szCs w:val="21"/>
              </w:rPr>
              <w:t>或者受邀机构的意见（盖章）：</w:t>
            </w:r>
          </w:p>
        </w:tc>
      </w:tr>
      <w:tr w14:paraId="78C61E1C">
        <w:tblPrEx>
          <w:tblCellMar>
            <w:top w:w="0" w:type="dxa"/>
            <w:left w:w="0" w:type="dxa"/>
            <w:bottom w:w="0" w:type="dxa"/>
            <w:right w:w="0" w:type="dxa"/>
          </w:tblCellMar>
        </w:tblPrEx>
        <w:trPr>
          <w:trHeight w:val="758" w:hRule="atLeast"/>
          <w:jc w:val="center"/>
        </w:trPr>
        <w:tc>
          <w:tcPr>
            <w:tcW w:w="4152"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E0B8DB7">
            <w:pPr>
              <w:spacing w:before="100" w:beforeAutospacing="1" w:after="100" w:afterAutospacing="1" w:line="360" w:lineRule="auto"/>
              <w:ind w:firstLine="74"/>
              <w:jc w:val="left"/>
              <w:rPr>
                <w:rFonts w:ascii="宋体" w:hAnsi="宋体" w:cs="宋体"/>
                <w:kern w:val="0"/>
                <w:szCs w:val="21"/>
              </w:rPr>
            </w:pPr>
            <w:r>
              <w:rPr>
                <w:rFonts w:hint="eastAsia" w:ascii="宋体" w:hAnsi="宋体" w:cs="宋体"/>
                <w:kern w:val="0"/>
                <w:szCs w:val="21"/>
              </w:rPr>
              <w:t>中标人负责人签字或者盖章：</w:t>
            </w:r>
          </w:p>
          <w:p w14:paraId="74979833">
            <w:pPr>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联系电话：年月日</w:t>
            </w:r>
          </w:p>
        </w:tc>
        <w:tc>
          <w:tcPr>
            <w:tcW w:w="5219" w:type="dxa"/>
            <w:gridSpan w:val="4"/>
            <w:tcBorders>
              <w:top w:val="single" w:color="auto" w:sz="4" w:space="0"/>
              <w:left w:val="single" w:color="auto" w:sz="4" w:space="0"/>
              <w:bottom w:val="single" w:color="auto" w:sz="4" w:space="0"/>
              <w:right w:val="single" w:color="auto" w:sz="4" w:space="0"/>
            </w:tcBorders>
            <w:noWrap/>
            <w:vAlign w:val="center"/>
          </w:tcPr>
          <w:p w14:paraId="7BC8E0D2">
            <w:pPr>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采购人或者受托机构的意见（盖章）：</w:t>
            </w:r>
          </w:p>
          <w:p w14:paraId="21B98E73">
            <w:pPr>
              <w:spacing w:before="100" w:beforeAutospacing="1" w:after="100" w:afterAutospacing="1" w:line="360" w:lineRule="auto"/>
              <w:jc w:val="left"/>
              <w:rPr>
                <w:rFonts w:ascii="宋体" w:hAnsi="宋体" w:cs="宋体"/>
                <w:kern w:val="0"/>
                <w:szCs w:val="21"/>
              </w:rPr>
            </w:pPr>
            <w:r>
              <w:rPr>
                <w:rFonts w:hint="eastAsia" w:ascii="宋体" w:hAnsi="宋体" w:cs="宋体"/>
                <w:kern w:val="0"/>
                <w:szCs w:val="21"/>
              </w:rPr>
              <w:t>联系电话：年月日</w:t>
            </w:r>
          </w:p>
        </w:tc>
      </w:tr>
    </w:tbl>
    <w:p w14:paraId="2D1D7AC5">
      <w:pPr>
        <w:spacing w:line="360" w:lineRule="auto"/>
        <w:jc w:val="left"/>
        <w:rPr>
          <w:rFonts w:ascii="宋体" w:hAnsi="宋体" w:cs="宋体"/>
        </w:rPr>
        <w:sectPr>
          <w:pgSz w:w="11906" w:h="16838"/>
          <w:pgMar w:top="1134" w:right="1247" w:bottom="1560" w:left="1247" w:header="851" w:footer="992" w:gutter="0"/>
          <w:cols w:space="720" w:num="1"/>
          <w:titlePg/>
          <w:docGrid w:linePitch="312" w:charSpace="0"/>
        </w:sectPr>
      </w:pPr>
    </w:p>
    <w:p w14:paraId="215179FB">
      <w:pPr>
        <w:spacing w:line="360" w:lineRule="auto"/>
        <w:jc w:val="left"/>
        <w:rPr>
          <w:rFonts w:ascii="宋体" w:hAnsi="宋体" w:cs="宋体"/>
        </w:rPr>
      </w:pPr>
      <w:r>
        <w:rPr>
          <w:rFonts w:hint="eastAsia" w:ascii="宋体" w:hAnsi="宋体" w:cs="宋体"/>
        </w:rPr>
        <w:t>附件2：</w:t>
      </w:r>
    </w:p>
    <w:p w14:paraId="22A62514">
      <w:pPr>
        <w:spacing w:line="360" w:lineRule="auto"/>
        <w:jc w:val="center"/>
        <w:rPr>
          <w:rFonts w:ascii="宋体" w:hAnsi="宋体" w:cs="宋体"/>
          <w:sz w:val="32"/>
          <w:szCs w:val="32"/>
        </w:rPr>
      </w:pPr>
      <w:r>
        <w:rPr>
          <w:rFonts w:hint="eastAsia" w:ascii="宋体" w:hAnsi="宋体" w:cs="宋体"/>
          <w:sz w:val="32"/>
          <w:szCs w:val="32"/>
        </w:rPr>
        <w:t>政府采购项目履约保证金退付意见书（</w:t>
      </w:r>
      <w:r>
        <w:rPr>
          <w:rFonts w:hint="eastAsia" w:ascii="宋体" w:hAnsi="宋体" w:cs="宋体"/>
          <w:sz w:val="32"/>
          <w:szCs w:val="32"/>
          <w:lang w:val="en-US" w:eastAsia="zh-CN"/>
        </w:rPr>
        <w:t>如有</w:t>
      </w:r>
      <w:r>
        <w:rPr>
          <w:rFonts w:hint="eastAsia" w:ascii="宋体" w:hAnsi="宋体" w:cs="宋体"/>
          <w:sz w:val="32"/>
          <w:szCs w:val="32"/>
        </w:rPr>
        <w:t>）</w:t>
      </w:r>
    </w:p>
    <w:p w14:paraId="20BA15D4">
      <w:pPr>
        <w:spacing w:line="360" w:lineRule="auto"/>
        <w:jc w:val="center"/>
        <w:rPr>
          <w:rFonts w:ascii="宋体" w:hAnsi="宋体" w:cs="宋体"/>
          <w:sz w:val="36"/>
          <w:szCs w:val="36"/>
        </w:rPr>
      </w:pPr>
    </w:p>
    <w:tbl>
      <w:tblPr>
        <w:tblStyle w:val="46"/>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06E7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ign w:val="center"/>
          </w:tcPr>
          <w:p w14:paraId="56A58A20">
            <w:pPr>
              <w:spacing w:line="360" w:lineRule="auto"/>
              <w:jc w:val="center"/>
              <w:rPr>
                <w:rFonts w:ascii="宋体" w:hAnsi="宋体" w:cs="宋体"/>
                <w:szCs w:val="21"/>
              </w:rPr>
            </w:pPr>
            <w:r>
              <w:rPr>
                <w:rFonts w:hint="eastAsia" w:ascii="宋体" w:hAnsi="宋体" w:cs="宋体"/>
                <w:szCs w:val="21"/>
              </w:rPr>
              <w:t>供</w:t>
            </w:r>
          </w:p>
          <w:p w14:paraId="20A7FD21">
            <w:pPr>
              <w:spacing w:line="360" w:lineRule="auto"/>
              <w:jc w:val="center"/>
              <w:rPr>
                <w:rFonts w:ascii="宋体" w:hAnsi="宋体" w:cs="宋体"/>
                <w:szCs w:val="21"/>
              </w:rPr>
            </w:pPr>
            <w:r>
              <w:rPr>
                <w:rFonts w:hint="eastAsia" w:ascii="宋体" w:hAnsi="宋体" w:cs="宋体"/>
                <w:szCs w:val="21"/>
              </w:rPr>
              <w:t>应</w:t>
            </w:r>
          </w:p>
          <w:p w14:paraId="750C42A0">
            <w:pPr>
              <w:spacing w:line="360" w:lineRule="auto"/>
              <w:jc w:val="center"/>
              <w:rPr>
                <w:rFonts w:ascii="宋体" w:hAnsi="宋体" w:cs="宋体"/>
                <w:szCs w:val="21"/>
              </w:rPr>
            </w:pPr>
            <w:r>
              <w:rPr>
                <w:rFonts w:hint="eastAsia" w:ascii="宋体" w:hAnsi="宋体" w:cs="宋体"/>
                <w:szCs w:val="21"/>
              </w:rPr>
              <w:t>商</w:t>
            </w:r>
          </w:p>
          <w:p w14:paraId="593D26D0">
            <w:pPr>
              <w:spacing w:line="360" w:lineRule="auto"/>
              <w:jc w:val="center"/>
              <w:rPr>
                <w:rFonts w:ascii="宋体" w:hAnsi="宋体" w:cs="宋体"/>
                <w:szCs w:val="21"/>
              </w:rPr>
            </w:pPr>
            <w:r>
              <w:rPr>
                <w:rFonts w:hint="eastAsia" w:ascii="宋体" w:hAnsi="宋体" w:cs="宋体"/>
                <w:szCs w:val="21"/>
              </w:rPr>
              <w:t>申</w:t>
            </w:r>
          </w:p>
          <w:p w14:paraId="5B8F25A8">
            <w:pPr>
              <w:spacing w:line="360" w:lineRule="auto"/>
              <w:jc w:val="center"/>
              <w:rPr>
                <w:rFonts w:ascii="宋体" w:hAnsi="宋体" w:cs="宋体"/>
                <w:szCs w:val="21"/>
              </w:rPr>
            </w:pPr>
            <w:r>
              <w:rPr>
                <w:rFonts w:hint="eastAsia" w:ascii="宋体" w:hAnsi="宋体" w:cs="宋体"/>
                <w:szCs w:val="21"/>
              </w:rPr>
              <w:t>请</w:t>
            </w:r>
          </w:p>
        </w:tc>
        <w:tc>
          <w:tcPr>
            <w:tcW w:w="8456" w:type="dxa"/>
            <w:noWrap/>
            <w:vAlign w:val="center"/>
          </w:tcPr>
          <w:p w14:paraId="644C4C19">
            <w:pPr>
              <w:spacing w:line="360" w:lineRule="auto"/>
              <w:rPr>
                <w:rFonts w:ascii="宋体" w:hAnsi="宋体" w:cs="宋体"/>
                <w:szCs w:val="21"/>
              </w:rPr>
            </w:pPr>
            <w:r>
              <w:rPr>
                <w:rFonts w:hint="eastAsia" w:ascii="宋体" w:hAnsi="宋体" w:cs="宋体"/>
                <w:szCs w:val="21"/>
              </w:rPr>
              <w:t>项目编号：</w:t>
            </w:r>
          </w:p>
        </w:tc>
      </w:tr>
      <w:tr w14:paraId="50F4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ign w:val="center"/>
          </w:tcPr>
          <w:p w14:paraId="421EB71E">
            <w:pPr>
              <w:spacing w:line="360" w:lineRule="auto"/>
              <w:rPr>
                <w:rFonts w:ascii="宋体" w:hAnsi="宋体" w:cs="宋体"/>
                <w:szCs w:val="21"/>
              </w:rPr>
            </w:pPr>
          </w:p>
        </w:tc>
        <w:tc>
          <w:tcPr>
            <w:tcW w:w="8456" w:type="dxa"/>
            <w:noWrap/>
            <w:vAlign w:val="center"/>
          </w:tcPr>
          <w:p w14:paraId="4BF999AD">
            <w:pPr>
              <w:spacing w:line="360" w:lineRule="auto"/>
              <w:rPr>
                <w:rFonts w:ascii="宋体" w:hAnsi="宋体" w:cs="宋体"/>
                <w:szCs w:val="21"/>
              </w:rPr>
            </w:pPr>
            <w:r>
              <w:rPr>
                <w:rFonts w:hint="eastAsia" w:ascii="宋体" w:hAnsi="宋体" w:cs="宋体"/>
                <w:szCs w:val="21"/>
              </w:rPr>
              <w:t>项目名称：</w:t>
            </w:r>
          </w:p>
        </w:tc>
      </w:tr>
      <w:tr w14:paraId="661C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14:paraId="0759B0AA">
            <w:pPr>
              <w:spacing w:line="360" w:lineRule="auto"/>
              <w:rPr>
                <w:rFonts w:ascii="宋体" w:hAnsi="宋体" w:cs="宋体"/>
                <w:szCs w:val="21"/>
              </w:rPr>
            </w:pPr>
          </w:p>
        </w:tc>
        <w:tc>
          <w:tcPr>
            <w:tcW w:w="8456" w:type="dxa"/>
            <w:noWrap/>
          </w:tcPr>
          <w:p w14:paraId="0FFE4136">
            <w:pPr>
              <w:spacing w:line="360" w:lineRule="auto"/>
              <w:rPr>
                <w:rFonts w:ascii="宋体" w:hAnsi="宋体" w:cs="宋体"/>
                <w:szCs w:val="21"/>
              </w:rPr>
            </w:pPr>
          </w:p>
          <w:p w14:paraId="386AC98A">
            <w:pPr>
              <w:spacing w:line="360" w:lineRule="auto"/>
              <w:ind w:firstLine="420" w:firstLineChars="200"/>
              <w:rPr>
                <w:rFonts w:ascii="宋体" w:hAnsi="宋体" w:cs="宋体"/>
                <w:szCs w:val="21"/>
              </w:rPr>
            </w:pPr>
            <w:r>
              <w:rPr>
                <w:rFonts w:hint="eastAsia" w:ascii="宋体" w:hAnsi="宋体" w:cs="宋体"/>
                <w:szCs w:val="21"/>
              </w:rPr>
              <w:t>该项目已于年月日验收并交付使用。根据合同规定，该项目的履约保证金期限于年月日已满，请将履约保证金</w:t>
            </w:r>
          </w:p>
          <w:p w14:paraId="0D7EFE08">
            <w:pPr>
              <w:spacing w:line="360" w:lineRule="auto"/>
              <w:rPr>
                <w:rFonts w:ascii="宋体" w:hAnsi="宋体" w:cs="宋体"/>
                <w:szCs w:val="21"/>
              </w:rPr>
            </w:pPr>
            <w:r>
              <w:rPr>
                <w:rFonts w:hint="eastAsia" w:ascii="宋体" w:hAnsi="宋体" w:cs="宋体"/>
                <w:szCs w:val="21"/>
              </w:rPr>
              <w:t>（大写）￥（小写）退付到达以下账户。</w:t>
            </w:r>
          </w:p>
          <w:p w14:paraId="62AF16D2">
            <w:pPr>
              <w:spacing w:line="360" w:lineRule="auto"/>
              <w:ind w:firstLine="705"/>
              <w:rPr>
                <w:rFonts w:ascii="宋体" w:hAnsi="宋体" w:cs="宋体"/>
                <w:szCs w:val="21"/>
              </w:rPr>
            </w:pPr>
            <w:r>
              <w:rPr>
                <w:rFonts w:hint="eastAsia" w:ascii="宋体" w:hAnsi="宋体" w:cs="宋体"/>
                <w:szCs w:val="21"/>
              </w:rPr>
              <w:t>单位名称：</w:t>
            </w:r>
          </w:p>
          <w:p w14:paraId="183AA612">
            <w:pPr>
              <w:spacing w:line="360" w:lineRule="auto"/>
              <w:ind w:firstLine="705"/>
              <w:rPr>
                <w:rFonts w:ascii="宋体" w:hAnsi="宋体" w:cs="宋体"/>
                <w:szCs w:val="21"/>
              </w:rPr>
            </w:pPr>
            <w:r>
              <w:rPr>
                <w:rFonts w:hint="eastAsia" w:ascii="宋体" w:hAnsi="宋体" w:cs="宋体"/>
                <w:szCs w:val="21"/>
              </w:rPr>
              <w:t>开户银行：</w:t>
            </w:r>
          </w:p>
          <w:p w14:paraId="3F0922C8">
            <w:pPr>
              <w:spacing w:line="360" w:lineRule="auto"/>
              <w:ind w:firstLine="705"/>
              <w:rPr>
                <w:rFonts w:ascii="宋体" w:hAnsi="宋体" w:cs="宋体"/>
                <w:szCs w:val="21"/>
              </w:rPr>
            </w:pPr>
            <w:r>
              <w:rPr>
                <w:rFonts w:hint="eastAsia" w:ascii="宋体" w:hAnsi="宋体" w:cs="宋体"/>
                <w:szCs w:val="21"/>
              </w:rPr>
              <w:t>账号：</w:t>
            </w:r>
          </w:p>
          <w:p w14:paraId="038AF4BE">
            <w:pPr>
              <w:spacing w:line="360" w:lineRule="auto"/>
              <w:rPr>
                <w:rFonts w:ascii="宋体" w:hAnsi="宋体" w:cs="宋体"/>
                <w:szCs w:val="21"/>
              </w:rPr>
            </w:pPr>
            <w:r>
              <w:rPr>
                <w:rFonts w:hint="eastAsia" w:ascii="宋体" w:hAnsi="宋体" w:cs="宋体"/>
                <w:szCs w:val="21"/>
              </w:rPr>
              <w:t>联系人及电话：</w:t>
            </w:r>
          </w:p>
          <w:p w14:paraId="45082FF0">
            <w:pPr>
              <w:spacing w:line="360" w:lineRule="auto"/>
              <w:rPr>
                <w:rFonts w:ascii="宋体" w:hAnsi="宋体" w:cs="宋体"/>
                <w:szCs w:val="21"/>
              </w:rPr>
            </w:pPr>
          </w:p>
          <w:p w14:paraId="16C0FC2E">
            <w:pPr>
              <w:spacing w:line="360" w:lineRule="auto"/>
              <w:jc w:val="center"/>
              <w:rPr>
                <w:rFonts w:ascii="宋体" w:hAnsi="宋体" w:cs="宋体"/>
                <w:szCs w:val="21"/>
              </w:rPr>
            </w:pPr>
            <w:r>
              <w:rPr>
                <w:rFonts w:hint="eastAsia" w:ascii="宋体" w:hAnsi="宋体" w:cs="宋体"/>
                <w:szCs w:val="21"/>
              </w:rPr>
              <w:t>投标人签章：</w:t>
            </w:r>
          </w:p>
          <w:p w14:paraId="11B24AF3">
            <w:pPr>
              <w:spacing w:line="360" w:lineRule="auto"/>
              <w:jc w:val="center"/>
              <w:rPr>
                <w:rFonts w:ascii="宋体" w:hAnsi="宋体" w:cs="宋体"/>
                <w:szCs w:val="21"/>
              </w:rPr>
            </w:pPr>
            <w:r>
              <w:rPr>
                <w:rFonts w:hint="eastAsia" w:ascii="宋体" w:hAnsi="宋体" w:cs="宋体"/>
                <w:szCs w:val="21"/>
              </w:rPr>
              <w:t>年月日</w:t>
            </w:r>
          </w:p>
        </w:tc>
      </w:tr>
      <w:tr w14:paraId="2B83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ign w:val="center"/>
          </w:tcPr>
          <w:p w14:paraId="2DDDC2D5">
            <w:pPr>
              <w:spacing w:line="360" w:lineRule="auto"/>
              <w:jc w:val="center"/>
              <w:rPr>
                <w:rFonts w:ascii="宋体" w:hAnsi="宋体" w:cs="宋体"/>
                <w:szCs w:val="21"/>
              </w:rPr>
            </w:pPr>
            <w:r>
              <w:rPr>
                <w:rFonts w:hint="eastAsia" w:ascii="宋体" w:hAnsi="宋体" w:cs="宋体"/>
                <w:szCs w:val="21"/>
              </w:rPr>
              <w:t>采</w:t>
            </w:r>
          </w:p>
          <w:p w14:paraId="1E0282B8">
            <w:pPr>
              <w:spacing w:line="360" w:lineRule="auto"/>
              <w:jc w:val="center"/>
              <w:rPr>
                <w:rFonts w:ascii="宋体" w:hAnsi="宋体" w:cs="宋体"/>
                <w:szCs w:val="21"/>
              </w:rPr>
            </w:pPr>
            <w:r>
              <w:rPr>
                <w:rFonts w:hint="eastAsia" w:ascii="宋体" w:hAnsi="宋体" w:cs="宋体"/>
                <w:szCs w:val="21"/>
              </w:rPr>
              <w:t>购</w:t>
            </w:r>
          </w:p>
          <w:p w14:paraId="61A3B5C2">
            <w:pPr>
              <w:spacing w:line="360" w:lineRule="auto"/>
              <w:jc w:val="center"/>
              <w:rPr>
                <w:rFonts w:ascii="宋体" w:hAnsi="宋体" w:cs="宋体"/>
                <w:szCs w:val="21"/>
              </w:rPr>
            </w:pPr>
            <w:r>
              <w:rPr>
                <w:rFonts w:hint="eastAsia" w:ascii="宋体" w:hAnsi="宋体" w:cs="宋体"/>
                <w:szCs w:val="21"/>
              </w:rPr>
              <w:t>人</w:t>
            </w:r>
          </w:p>
          <w:p w14:paraId="0D8248EF">
            <w:pPr>
              <w:spacing w:line="360" w:lineRule="auto"/>
              <w:jc w:val="center"/>
              <w:rPr>
                <w:rFonts w:ascii="宋体" w:hAnsi="宋体" w:cs="宋体"/>
                <w:szCs w:val="21"/>
              </w:rPr>
            </w:pPr>
            <w:r>
              <w:rPr>
                <w:rFonts w:hint="eastAsia" w:ascii="宋体" w:hAnsi="宋体" w:cs="宋体"/>
                <w:szCs w:val="21"/>
              </w:rPr>
              <w:t>意</w:t>
            </w:r>
          </w:p>
          <w:p w14:paraId="1E5D66DE">
            <w:pPr>
              <w:spacing w:line="360" w:lineRule="auto"/>
              <w:jc w:val="center"/>
              <w:rPr>
                <w:rFonts w:ascii="宋体" w:hAnsi="宋体" w:cs="宋体"/>
                <w:szCs w:val="21"/>
              </w:rPr>
            </w:pPr>
            <w:r>
              <w:rPr>
                <w:rFonts w:hint="eastAsia" w:ascii="宋体" w:hAnsi="宋体" w:cs="宋体"/>
                <w:szCs w:val="21"/>
              </w:rPr>
              <w:t>见</w:t>
            </w:r>
          </w:p>
        </w:tc>
        <w:tc>
          <w:tcPr>
            <w:tcW w:w="8456" w:type="dxa"/>
            <w:noWrap/>
          </w:tcPr>
          <w:p w14:paraId="6B0AD3E4">
            <w:pPr>
              <w:spacing w:line="360" w:lineRule="auto"/>
              <w:rPr>
                <w:rFonts w:ascii="宋体" w:hAnsi="宋体" w:cs="宋体"/>
                <w:szCs w:val="21"/>
              </w:rPr>
            </w:pPr>
          </w:p>
          <w:p w14:paraId="205843B7">
            <w:pPr>
              <w:spacing w:line="360" w:lineRule="auto"/>
              <w:rPr>
                <w:rFonts w:ascii="宋体" w:hAnsi="宋体" w:cs="宋体"/>
                <w:szCs w:val="21"/>
              </w:rPr>
            </w:pPr>
            <w:r>
              <w:rPr>
                <w:rFonts w:hint="eastAsia" w:ascii="宋体" w:hAnsi="宋体" w:cs="宋体"/>
                <w:szCs w:val="21"/>
              </w:rPr>
              <w:t>退付意见：（是否同意退付履约保证金及退付金额）</w:t>
            </w:r>
          </w:p>
          <w:p w14:paraId="0EAEC7B4">
            <w:pPr>
              <w:spacing w:line="360" w:lineRule="auto"/>
              <w:rPr>
                <w:rFonts w:ascii="宋体" w:hAnsi="宋体" w:cs="宋体"/>
                <w:szCs w:val="21"/>
              </w:rPr>
            </w:pPr>
          </w:p>
          <w:p w14:paraId="31FE844E">
            <w:pPr>
              <w:spacing w:line="360" w:lineRule="auto"/>
              <w:rPr>
                <w:rFonts w:ascii="宋体" w:hAnsi="宋体" w:cs="宋体"/>
                <w:szCs w:val="21"/>
              </w:rPr>
            </w:pPr>
          </w:p>
          <w:p w14:paraId="67E71988">
            <w:pPr>
              <w:spacing w:line="360" w:lineRule="auto"/>
              <w:rPr>
                <w:rFonts w:ascii="宋体" w:hAnsi="宋体" w:cs="宋体"/>
                <w:szCs w:val="21"/>
              </w:rPr>
            </w:pPr>
          </w:p>
          <w:p w14:paraId="4B21B8C8">
            <w:pPr>
              <w:spacing w:line="360" w:lineRule="auto"/>
              <w:rPr>
                <w:rFonts w:ascii="宋体" w:hAnsi="宋体" w:cs="宋体"/>
                <w:szCs w:val="21"/>
              </w:rPr>
            </w:pPr>
          </w:p>
          <w:p w14:paraId="64844FDD">
            <w:pPr>
              <w:spacing w:line="360" w:lineRule="auto"/>
              <w:rPr>
                <w:rFonts w:ascii="宋体" w:hAnsi="宋体" w:cs="宋体"/>
                <w:szCs w:val="21"/>
              </w:rPr>
            </w:pPr>
            <w:r>
              <w:rPr>
                <w:rFonts w:hint="eastAsia" w:ascii="宋体" w:hAnsi="宋体" w:cs="宋体"/>
                <w:szCs w:val="21"/>
              </w:rPr>
              <w:t>联系人及电话：采购人签章</w:t>
            </w:r>
          </w:p>
          <w:p w14:paraId="6474A8B7">
            <w:pPr>
              <w:spacing w:line="360" w:lineRule="auto"/>
              <w:jc w:val="center"/>
              <w:rPr>
                <w:rFonts w:ascii="宋体" w:hAnsi="宋体" w:cs="宋体"/>
                <w:szCs w:val="21"/>
              </w:rPr>
            </w:pPr>
            <w:r>
              <w:rPr>
                <w:rFonts w:hint="eastAsia" w:ascii="宋体" w:hAnsi="宋体" w:cs="宋体"/>
                <w:szCs w:val="21"/>
              </w:rPr>
              <w:t>年月日</w:t>
            </w:r>
          </w:p>
        </w:tc>
      </w:tr>
      <w:tr w14:paraId="32E8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ign w:val="center"/>
          </w:tcPr>
          <w:p w14:paraId="454DA1F4">
            <w:pPr>
              <w:spacing w:line="360" w:lineRule="auto"/>
              <w:jc w:val="center"/>
              <w:rPr>
                <w:rFonts w:ascii="宋体" w:hAnsi="宋体" w:cs="宋体"/>
                <w:szCs w:val="21"/>
              </w:rPr>
            </w:pPr>
            <w:r>
              <w:rPr>
                <w:rFonts w:hint="eastAsia" w:ascii="宋体" w:hAnsi="宋体" w:cs="宋体"/>
                <w:szCs w:val="21"/>
              </w:rPr>
              <w:t>备注</w:t>
            </w:r>
          </w:p>
        </w:tc>
        <w:tc>
          <w:tcPr>
            <w:tcW w:w="8456" w:type="dxa"/>
            <w:noWrap/>
          </w:tcPr>
          <w:p w14:paraId="4DB076DF">
            <w:pPr>
              <w:spacing w:line="360" w:lineRule="auto"/>
              <w:rPr>
                <w:rFonts w:ascii="宋体" w:hAnsi="宋体" w:cs="宋体"/>
                <w:szCs w:val="21"/>
              </w:rPr>
            </w:pPr>
          </w:p>
        </w:tc>
      </w:tr>
    </w:tbl>
    <w:p w14:paraId="7CA31845">
      <w:pPr>
        <w:pStyle w:val="18"/>
        <w:spacing w:line="360" w:lineRule="auto"/>
        <w:ind w:left="420" w:leftChars="114" w:hanging="181" w:hangingChars="100"/>
        <w:rPr>
          <w:rFonts w:ascii="宋体" w:hAnsi="宋体" w:cs="宋体"/>
          <w:b/>
          <w:bCs/>
          <w:sz w:val="18"/>
        </w:rPr>
      </w:pPr>
      <w:r>
        <w:rPr>
          <w:rFonts w:hint="eastAsia" w:ascii="宋体" w:hAnsi="宋体" w:cs="宋体"/>
          <w:b/>
          <w:bCs/>
          <w:sz w:val="18"/>
        </w:rPr>
        <w:t>注：投标人凭经采购人审批的退付意见书到保证金收取单位办理履约保证金退付事宜。</w:t>
      </w:r>
    </w:p>
    <w:p w14:paraId="2F013FAF">
      <w:pPr>
        <w:pStyle w:val="24"/>
        <w:snapToGrid w:val="0"/>
        <w:spacing w:before="120" w:after="120" w:line="360" w:lineRule="auto"/>
        <w:rPr>
          <w:rFonts w:hAnsi="宋体" w:cs="宋体"/>
        </w:rPr>
      </w:pPr>
    </w:p>
    <w:p w14:paraId="44D5216B">
      <w:pPr>
        <w:pStyle w:val="6"/>
        <w:rPr>
          <w:rFonts w:hAnsi="宋体" w:cs="宋体"/>
        </w:rPr>
      </w:pPr>
    </w:p>
    <w:p w14:paraId="4CA52746">
      <w:pPr>
        <w:rPr>
          <w:rFonts w:hAnsi="宋体" w:cs="宋体"/>
        </w:rPr>
      </w:pPr>
    </w:p>
    <w:p w14:paraId="397B3BC1">
      <w:pPr>
        <w:spacing w:line="360" w:lineRule="auto"/>
        <w:jc w:val="left"/>
        <w:rPr>
          <w:rFonts w:ascii="宋体" w:hAnsi="宋体" w:cs="宋体"/>
          <w:b/>
          <w:bCs/>
          <w:sz w:val="28"/>
          <w:szCs w:val="28"/>
        </w:rPr>
      </w:pPr>
      <w:r>
        <w:rPr>
          <w:rFonts w:hint="eastAsia" w:ascii="宋体" w:hAnsi="宋体" w:cs="宋体"/>
          <w:b/>
          <w:bCs/>
          <w:sz w:val="28"/>
          <w:szCs w:val="28"/>
          <w:lang w:val="zh-CN"/>
        </w:rPr>
        <w:t>附件</w:t>
      </w:r>
      <w:r>
        <w:rPr>
          <w:rFonts w:hint="eastAsia" w:ascii="宋体" w:hAnsi="宋体" w:cs="宋体"/>
          <w:b/>
          <w:bCs/>
          <w:sz w:val="28"/>
          <w:szCs w:val="28"/>
        </w:rPr>
        <w:t>3</w:t>
      </w:r>
    </w:p>
    <w:p w14:paraId="4D6E7F67">
      <w:pPr>
        <w:pStyle w:val="91"/>
        <w:ind w:firstLine="480"/>
      </w:pPr>
    </w:p>
    <w:p w14:paraId="6338777F">
      <w:pPr>
        <w:spacing w:line="360" w:lineRule="auto"/>
        <w:jc w:val="center"/>
        <w:rPr>
          <w:rFonts w:ascii="宋体" w:hAnsi="宋体" w:cs="宋体"/>
          <w:b/>
          <w:bCs/>
          <w:sz w:val="28"/>
          <w:szCs w:val="28"/>
        </w:rPr>
      </w:pPr>
      <w:r>
        <w:rPr>
          <w:rFonts w:hint="eastAsia" w:ascii="宋体" w:hAnsi="宋体" w:cs="宋体"/>
          <w:b/>
          <w:bCs/>
          <w:sz w:val="28"/>
          <w:szCs w:val="28"/>
        </w:rPr>
        <w:t>崇左市线上“政采贷”政策告知函</w:t>
      </w:r>
    </w:p>
    <w:p w14:paraId="7B88657C">
      <w:pPr>
        <w:spacing w:line="360" w:lineRule="auto"/>
        <w:ind w:firstLine="420" w:firstLineChars="200"/>
        <w:rPr>
          <w:rFonts w:ascii="宋体" w:hAnsi="宋体" w:cs="宋体"/>
          <w:szCs w:val="21"/>
        </w:rPr>
      </w:pPr>
    </w:p>
    <w:p w14:paraId="02BF8F76">
      <w:pPr>
        <w:spacing w:line="360" w:lineRule="auto"/>
        <w:rPr>
          <w:rFonts w:ascii="宋体" w:hAnsi="宋体" w:cs="宋体"/>
          <w:szCs w:val="21"/>
        </w:rPr>
      </w:pPr>
      <w:r>
        <w:rPr>
          <w:rFonts w:hint="eastAsia" w:ascii="宋体" w:hAnsi="宋体" w:cs="宋体"/>
          <w:szCs w:val="21"/>
        </w:rPr>
        <w:t>各供应商：</w:t>
      </w:r>
    </w:p>
    <w:p w14:paraId="65980870">
      <w:pPr>
        <w:spacing w:line="360" w:lineRule="auto"/>
        <w:ind w:firstLine="420" w:firstLineChars="200"/>
        <w:rPr>
          <w:rFonts w:ascii="宋体" w:hAnsi="宋体" w:cs="宋体"/>
          <w:szCs w:val="21"/>
        </w:rPr>
      </w:pPr>
      <w:r>
        <w:rPr>
          <w:rFonts w:hint="eastAsia" w:ascii="宋体" w:hAnsi="宋体" w:cs="宋体"/>
          <w:szCs w:val="21"/>
        </w:rPr>
        <w:t>欢迎贵公司参与崇左市政府采购活动！</w:t>
      </w:r>
    </w:p>
    <w:p w14:paraId="30FA1BB7">
      <w:pPr>
        <w:spacing w:line="360" w:lineRule="auto"/>
        <w:ind w:firstLine="420" w:firstLineChars="200"/>
        <w:rPr>
          <w:rFonts w:ascii="宋体" w:hAnsi="宋体" w:cs="宋体"/>
          <w:szCs w:val="21"/>
        </w:rPr>
      </w:pPr>
      <w:r>
        <w:rPr>
          <w:rFonts w:hint="eastAsia" w:ascii="宋体" w:hAns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76C287F8">
      <w:pPr>
        <w:spacing w:line="360" w:lineRule="auto"/>
        <w:ind w:firstLine="420" w:firstLineChars="200"/>
        <w:rPr>
          <w:rFonts w:ascii="宋体" w:hAnsi="宋体" w:cs="宋体"/>
          <w:szCs w:val="21"/>
        </w:rPr>
      </w:pPr>
      <w:r>
        <w:rPr>
          <w:rFonts w:hint="eastAsia" w:ascii="宋体" w:hAnsi="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52"/>
          <w:rFonts w:hint="eastAsia" w:ascii="宋体" w:hAnsi="宋体" w:cs="宋体"/>
          <w:color w:val="auto"/>
          <w:szCs w:val="21"/>
        </w:rPr>
        <w:t>https://www.crcrfsp.com/</w:t>
      </w:r>
      <w:r>
        <w:rPr>
          <w:rStyle w:val="52"/>
          <w:rFonts w:hint="eastAsia" w:ascii="宋体" w:hAnsi="宋体" w:cs="宋体"/>
          <w:color w:val="auto"/>
          <w:szCs w:val="21"/>
        </w:rPr>
        <w:fldChar w:fldCharType="end"/>
      </w:r>
      <w:r>
        <w:rPr>
          <w:rFonts w:hint="eastAsia" w:ascii="宋体" w:hAnsi="宋体" w:cs="宋体"/>
          <w:szCs w:val="21"/>
        </w:rPr>
        <w:t>，客服电话：400-009-0001）。</w:t>
      </w:r>
    </w:p>
    <w:p w14:paraId="473A69DA">
      <w:pPr>
        <w:pStyle w:val="91"/>
        <w:ind w:firstLine="420"/>
        <w:rPr>
          <w:rFonts w:ascii="宋体" w:hAnsi="宋体" w:cs="宋体"/>
          <w:sz w:val="21"/>
          <w:szCs w:val="21"/>
        </w:rPr>
      </w:pPr>
    </w:p>
    <w:p w14:paraId="30AEAD3E">
      <w:pPr>
        <w:spacing w:line="360" w:lineRule="auto"/>
        <w:rPr>
          <w:rFonts w:ascii="宋体" w:hAnsi="宋体" w:cs="宋体"/>
          <w:szCs w:val="21"/>
        </w:rPr>
      </w:pPr>
    </w:p>
    <w:p w14:paraId="39FFC585">
      <w:pPr>
        <w:pStyle w:val="91"/>
        <w:ind w:firstLine="420"/>
        <w:rPr>
          <w:rFonts w:ascii="宋体" w:hAnsi="宋体" w:cs="宋体"/>
          <w:sz w:val="21"/>
          <w:szCs w:val="21"/>
        </w:rPr>
      </w:pPr>
    </w:p>
    <w:p w14:paraId="303EC668">
      <w:pPr>
        <w:spacing w:line="360" w:lineRule="auto"/>
        <w:rPr>
          <w:rFonts w:ascii="宋体" w:hAnsi="宋体" w:cs="宋体"/>
          <w:szCs w:val="21"/>
        </w:rPr>
      </w:pPr>
    </w:p>
    <w:p w14:paraId="57FE4018">
      <w:pPr>
        <w:spacing w:line="360" w:lineRule="auto"/>
        <w:rPr>
          <w:rFonts w:ascii="宋体" w:hAnsi="宋体" w:cs="宋体"/>
          <w:szCs w:val="21"/>
        </w:rPr>
      </w:pPr>
    </w:p>
    <w:p w14:paraId="4C4ED3DF">
      <w:pPr>
        <w:pStyle w:val="91"/>
        <w:ind w:firstLine="420"/>
        <w:rPr>
          <w:rFonts w:ascii="宋体" w:hAnsi="宋体" w:cs="宋体"/>
          <w:sz w:val="21"/>
          <w:szCs w:val="21"/>
        </w:rPr>
      </w:pPr>
    </w:p>
    <w:p w14:paraId="42EBD678">
      <w:pPr>
        <w:spacing w:line="360" w:lineRule="auto"/>
        <w:rPr>
          <w:rFonts w:ascii="宋体" w:hAnsi="宋体" w:cs="宋体"/>
          <w:szCs w:val="21"/>
        </w:rPr>
      </w:pPr>
    </w:p>
    <w:p w14:paraId="218DBAB4">
      <w:pPr>
        <w:spacing w:line="360" w:lineRule="auto"/>
        <w:rPr>
          <w:rFonts w:ascii="宋体" w:hAnsi="宋体" w:cs="宋体"/>
          <w:szCs w:val="21"/>
        </w:rPr>
      </w:pPr>
    </w:p>
    <w:p w14:paraId="454E5BB5">
      <w:pPr>
        <w:pStyle w:val="91"/>
        <w:ind w:firstLine="420"/>
        <w:rPr>
          <w:rFonts w:ascii="宋体" w:hAnsi="宋体" w:cs="宋体"/>
          <w:sz w:val="21"/>
          <w:szCs w:val="21"/>
        </w:rPr>
      </w:pPr>
    </w:p>
    <w:p w14:paraId="5CC6E847">
      <w:pPr>
        <w:spacing w:line="360" w:lineRule="auto"/>
        <w:rPr>
          <w:rFonts w:ascii="宋体" w:hAnsi="宋体" w:cs="宋体"/>
          <w:szCs w:val="21"/>
        </w:rPr>
      </w:pPr>
    </w:p>
    <w:p w14:paraId="0E656233">
      <w:pPr>
        <w:pStyle w:val="91"/>
        <w:ind w:firstLine="420"/>
        <w:rPr>
          <w:rFonts w:ascii="宋体" w:hAnsi="宋体" w:cs="宋体"/>
          <w:sz w:val="21"/>
          <w:szCs w:val="21"/>
        </w:rPr>
      </w:pPr>
    </w:p>
    <w:p w14:paraId="1539F639">
      <w:pPr>
        <w:rPr>
          <w:rFonts w:ascii="黑体" w:hAnsi="黑体" w:eastAsia="黑体" w:cs="黑体"/>
          <w:szCs w:val="32"/>
        </w:rPr>
      </w:pPr>
    </w:p>
    <w:p w14:paraId="3AE48DA8">
      <w:pPr>
        <w:pStyle w:val="91"/>
        <w:ind w:firstLine="480"/>
        <w:rPr>
          <w:rFonts w:ascii="黑体" w:hAnsi="黑体" w:eastAsia="黑体" w:cs="黑体"/>
          <w:szCs w:val="32"/>
        </w:rPr>
      </w:pPr>
    </w:p>
    <w:p w14:paraId="6B3222E9">
      <w:pPr>
        <w:rPr>
          <w:rFonts w:ascii="黑体" w:hAnsi="黑体" w:eastAsia="黑体" w:cs="黑体"/>
          <w:szCs w:val="32"/>
        </w:rPr>
      </w:pPr>
    </w:p>
    <w:p w14:paraId="13415E9A">
      <w:pPr>
        <w:pStyle w:val="91"/>
        <w:ind w:firstLine="480"/>
        <w:rPr>
          <w:rFonts w:ascii="黑体" w:hAnsi="黑体" w:eastAsia="黑体" w:cs="黑体"/>
          <w:szCs w:val="32"/>
        </w:rPr>
      </w:pPr>
    </w:p>
    <w:p w14:paraId="3319544D">
      <w:pPr>
        <w:rPr>
          <w:rFonts w:ascii="黑体" w:hAnsi="黑体" w:eastAsia="黑体" w:cs="黑体"/>
          <w:szCs w:val="32"/>
        </w:rPr>
      </w:pPr>
    </w:p>
    <w:p w14:paraId="0619AB0E">
      <w:pPr>
        <w:pStyle w:val="91"/>
        <w:ind w:firstLine="480"/>
        <w:rPr>
          <w:rFonts w:ascii="黑体" w:hAnsi="黑体" w:eastAsia="黑体" w:cs="黑体"/>
          <w:szCs w:val="32"/>
        </w:rPr>
      </w:pPr>
    </w:p>
    <w:p w14:paraId="0199A563">
      <w:pPr>
        <w:rPr>
          <w:rFonts w:ascii="黑体" w:hAnsi="黑体" w:eastAsia="黑体" w:cs="黑体"/>
          <w:szCs w:val="32"/>
        </w:rPr>
      </w:pPr>
    </w:p>
    <w:p w14:paraId="1C2C330D">
      <w:pPr>
        <w:rPr>
          <w:rFonts w:ascii="黑体" w:hAnsi="黑体" w:eastAsia="黑体" w:cs="黑体"/>
          <w:szCs w:val="32"/>
        </w:rPr>
      </w:pPr>
    </w:p>
    <w:p w14:paraId="311DE3DB"/>
    <w:p w14:paraId="4E4F252A">
      <w:pPr>
        <w:spacing w:line="540" w:lineRule="exact"/>
        <w:rPr>
          <w:rFonts w:ascii="黑体" w:hAnsi="黑体" w:eastAsia="黑体" w:cs="黑体"/>
          <w:b/>
          <w:bCs/>
          <w:sz w:val="28"/>
          <w:szCs w:val="44"/>
        </w:rPr>
      </w:pPr>
      <w:r>
        <w:rPr>
          <w:rFonts w:hint="eastAsia" w:ascii="黑体" w:hAnsi="黑体" w:eastAsia="黑体" w:cs="黑体"/>
          <w:b/>
          <w:bCs/>
          <w:sz w:val="28"/>
          <w:szCs w:val="44"/>
        </w:rPr>
        <w:t>附件4</w:t>
      </w:r>
    </w:p>
    <w:p w14:paraId="31CDB4AD">
      <w:pPr>
        <w:pStyle w:val="91"/>
        <w:ind w:firstLine="480"/>
      </w:pPr>
    </w:p>
    <w:p w14:paraId="17A4D55D">
      <w:pPr>
        <w:spacing w:line="360" w:lineRule="auto"/>
        <w:jc w:val="center"/>
        <w:rPr>
          <w:rFonts w:ascii="宋体" w:hAnsi="宋体" w:cs="宋体"/>
          <w:b/>
          <w:bCs/>
          <w:sz w:val="28"/>
          <w:szCs w:val="28"/>
        </w:rPr>
      </w:pPr>
      <w:r>
        <w:rPr>
          <w:rFonts w:hint="eastAsia" w:ascii="宋体" w:hAnsi="宋体" w:cs="宋体"/>
          <w:b/>
          <w:bCs/>
          <w:sz w:val="28"/>
          <w:szCs w:val="28"/>
        </w:rPr>
        <w:t>崇左市线上“政采贷”业务流程图</w:t>
      </w:r>
    </w:p>
    <w:p w14:paraId="20D104BB">
      <w:r>
        <w:rPr>
          <w:rFonts w:eastAsia="仿宋_GB2312"/>
        </w:rPr>
        <w:drawing>
          <wp:inline distT="0" distB="0" distL="114300" distR="114300">
            <wp:extent cx="4954905" cy="7006590"/>
            <wp:effectExtent l="0" t="0" r="17145" b="3810"/>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pic:cNvPicPr>
                  </pic:nvPicPr>
                  <pic:blipFill>
                    <a:blip r:embed="rId17"/>
                    <a:stretch>
                      <a:fillRect/>
                    </a:stretch>
                  </pic:blipFill>
                  <pic:spPr>
                    <a:xfrm>
                      <a:off x="0" y="0"/>
                      <a:ext cx="4954905" cy="7006590"/>
                    </a:xfrm>
                    <a:prstGeom prst="rect">
                      <a:avLst/>
                    </a:prstGeom>
                    <a:noFill/>
                    <a:ln>
                      <a:noFill/>
                    </a:ln>
                  </pic:spPr>
                </pic:pic>
              </a:graphicData>
            </a:graphic>
          </wp:inline>
        </w:drawing>
      </w:r>
    </w:p>
    <w:p w14:paraId="2062C069">
      <w:pPr>
        <w:widowControl/>
        <w:ind w:firstLine="420" w:firstLineChars="200"/>
      </w:pPr>
    </w:p>
    <w:p w14:paraId="038B61F1">
      <w:pPr>
        <w:pStyle w:val="91"/>
        <w:ind w:firstLine="480"/>
      </w:pPr>
    </w:p>
    <w:p w14:paraId="0E18E037"/>
    <w:p w14:paraId="20745D38">
      <w:pPr>
        <w:pStyle w:val="91"/>
        <w:ind w:firstLine="480"/>
      </w:pPr>
    </w:p>
    <w:p w14:paraId="767629A7">
      <w:pPr>
        <w:widowControl/>
        <w:spacing w:line="720" w:lineRule="exact"/>
        <w:jc w:val="left"/>
        <w:rPr>
          <w:rFonts w:ascii="宋体" w:hAnsi="宋体" w:cs="宋体"/>
          <w:b/>
          <w:bCs/>
          <w:sz w:val="28"/>
          <w:szCs w:val="28"/>
        </w:rPr>
      </w:pPr>
      <w:r>
        <w:rPr>
          <w:rFonts w:hint="eastAsia" w:ascii="宋体" w:hAnsi="宋体" w:cs="宋体"/>
          <w:b/>
          <w:bCs/>
          <w:sz w:val="28"/>
          <w:szCs w:val="28"/>
          <w:lang w:val="zh-CN"/>
        </w:rPr>
        <w:t>附件</w:t>
      </w:r>
      <w:r>
        <w:rPr>
          <w:rFonts w:hint="eastAsia" w:ascii="宋体" w:hAnsi="宋体" w:cs="宋体"/>
          <w:b/>
          <w:bCs/>
          <w:sz w:val="28"/>
          <w:szCs w:val="28"/>
        </w:rPr>
        <w:t>5</w:t>
      </w:r>
    </w:p>
    <w:p w14:paraId="6B586448">
      <w:pPr>
        <w:pStyle w:val="91"/>
        <w:ind w:firstLine="480"/>
      </w:pPr>
    </w:p>
    <w:p w14:paraId="28E0DD14">
      <w:pPr>
        <w:pStyle w:val="91"/>
        <w:ind w:firstLine="562"/>
        <w:jc w:val="center"/>
        <w:rPr>
          <w:rFonts w:ascii="宋体" w:hAnsi="宋体" w:cs="宋体"/>
          <w:b/>
          <w:bCs/>
          <w:sz w:val="28"/>
          <w:szCs w:val="28"/>
        </w:rPr>
      </w:pPr>
      <w:r>
        <w:rPr>
          <w:rFonts w:hint="eastAsia" w:ascii="宋体" w:hAnsi="宋体" w:cs="宋体"/>
          <w:b/>
          <w:bCs/>
          <w:sz w:val="28"/>
          <w:szCs w:val="28"/>
        </w:rPr>
        <w:t>崇左市金融机构线上“政采贷”业务办理联络表</w:t>
      </w:r>
    </w:p>
    <w:tbl>
      <w:tblPr>
        <w:tblStyle w:val="46"/>
        <w:tblW w:w="8314" w:type="dxa"/>
        <w:tblInd w:w="96" w:type="dxa"/>
        <w:tblLayout w:type="fixed"/>
        <w:tblCellMar>
          <w:top w:w="0" w:type="dxa"/>
          <w:left w:w="108" w:type="dxa"/>
          <w:bottom w:w="0" w:type="dxa"/>
          <w:right w:w="108" w:type="dxa"/>
        </w:tblCellMar>
      </w:tblPr>
      <w:tblGrid>
        <w:gridCol w:w="2674"/>
        <w:gridCol w:w="3515"/>
        <w:gridCol w:w="2125"/>
      </w:tblGrid>
      <w:tr w14:paraId="2C0FDC7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1E58AA">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rPr>
              <w:t>金融机构名称</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496E132">
            <w:pPr>
              <w:widowControl/>
              <w:spacing w:line="400" w:lineRule="exact"/>
              <w:jc w:val="center"/>
              <w:textAlignment w:val="center"/>
              <w:rPr>
                <w:rFonts w:ascii="宋体" w:hAnsi="宋体" w:cs="宋体"/>
                <w:b/>
                <w:bCs/>
                <w:sz w:val="28"/>
                <w:szCs w:val="28"/>
              </w:rPr>
            </w:pPr>
            <w:r>
              <w:rPr>
                <w:rFonts w:hint="eastAsia" w:ascii="宋体" w:hAnsi="宋体" w:cs="宋体"/>
                <w:b/>
                <w:bCs/>
                <w:kern w:val="0"/>
                <w:sz w:val="28"/>
                <w:szCs w:val="28"/>
              </w:rPr>
              <w:t>地址</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60E58FAF">
            <w:pPr>
              <w:widowControl/>
              <w:spacing w:line="400" w:lineRule="exact"/>
              <w:jc w:val="center"/>
              <w:textAlignment w:val="center"/>
              <w:rPr>
                <w:rFonts w:ascii="宋体" w:hAnsi="宋体" w:cs="宋体"/>
                <w:b/>
                <w:bCs/>
                <w:sz w:val="28"/>
                <w:szCs w:val="28"/>
              </w:rPr>
            </w:pPr>
            <w:r>
              <w:rPr>
                <w:rFonts w:hint="eastAsia" w:cs="宋体"/>
                <w:b/>
                <w:bCs/>
                <w:kern w:val="0"/>
                <w:sz w:val="28"/>
                <w:szCs w:val="28"/>
              </w:rPr>
              <w:t>业务</w:t>
            </w:r>
            <w:r>
              <w:rPr>
                <w:rFonts w:hint="eastAsia" w:ascii="宋体" w:hAnsi="宋体" w:cs="宋体"/>
                <w:b/>
                <w:bCs/>
                <w:kern w:val="0"/>
                <w:sz w:val="28"/>
                <w:szCs w:val="28"/>
              </w:rPr>
              <w:t>咨询电话</w:t>
            </w:r>
          </w:p>
        </w:tc>
      </w:tr>
      <w:tr w14:paraId="4CF47940">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F5DC65E">
            <w:pPr>
              <w:widowControl/>
              <w:jc w:val="left"/>
              <w:textAlignment w:val="center"/>
              <w:rPr>
                <w:rFonts w:cs="宋体"/>
                <w:szCs w:val="21"/>
              </w:rPr>
            </w:pPr>
            <w:r>
              <w:rPr>
                <w:rFonts w:hint="eastAsia" w:cs="宋体"/>
                <w:b/>
                <w:bCs/>
                <w:szCs w:val="21"/>
              </w:rPr>
              <w:t>崇左市本级及江州区</w:t>
            </w:r>
          </w:p>
        </w:tc>
      </w:tr>
      <w:tr w14:paraId="1FDE2ADE">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2032E3">
            <w:pPr>
              <w:widowControl/>
              <w:jc w:val="left"/>
              <w:textAlignment w:val="center"/>
              <w:rPr>
                <w:rFonts w:ascii="宋体" w:hAnsi="宋体" w:cs="宋体"/>
                <w:szCs w:val="21"/>
              </w:rPr>
            </w:pPr>
            <w:r>
              <w:rPr>
                <w:rFonts w:hint="eastAsia" w:ascii="宋体" w:hAnsi="宋体" w:cs="宋体"/>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1E9B664">
            <w:pPr>
              <w:widowControl/>
              <w:jc w:val="left"/>
              <w:textAlignment w:val="center"/>
              <w:rPr>
                <w:rFonts w:ascii="宋体" w:hAnsi="宋体" w:cs="宋体"/>
                <w:szCs w:val="21"/>
              </w:rPr>
            </w:pPr>
            <w:r>
              <w:rPr>
                <w:rFonts w:hint="eastAsia" w:ascii="宋体" w:hAnsi="宋体" w:cs="宋体"/>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A80585F">
            <w:pPr>
              <w:widowControl/>
              <w:jc w:val="center"/>
              <w:textAlignment w:val="center"/>
              <w:rPr>
                <w:rFonts w:ascii="宋体" w:hAnsi="宋体" w:cs="宋体"/>
                <w:szCs w:val="21"/>
              </w:rPr>
            </w:pPr>
            <w:r>
              <w:rPr>
                <w:rFonts w:hint="eastAsia" w:ascii="宋体" w:hAnsi="宋体" w:cs="宋体"/>
                <w:szCs w:val="21"/>
              </w:rPr>
              <w:t>0771-78204360771-7820439</w:t>
            </w:r>
          </w:p>
        </w:tc>
      </w:tr>
      <w:tr w14:paraId="6AEF66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60B94A">
            <w:pPr>
              <w:widowControl/>
              <w:jc w:val="left"/>
              <w:textAlignment w:val="center"/>
              <w:rPr>
                <w:rFonts w:ascii="宋体" w:hAnsi="宋体" w:cs="宋体"/>
                <w:szCs w:val="21"/>
              </w:rPr>
            </w:pPr>
            <w:r>
              <w:rPr>
                <w:rFonts w:hint="eastAsia" w:ascii="宋体" w:hAnsi="宋体" w:cs="宋体"/>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777F5104">
            <w:pPr>
              <w:widowControl/>
              <w:jc w:val="left"/>
              <w:textAlignment w:val="center"/>
              <w:rPr>
                <w:rFonts w:ascii="宋体" w:hAnsi="宋体" w:cs="宋体"/>
                <w:szCs w:val="21"/>
              </w:rPr>
            </w:pPr>
            <w:r>
              <w:rPr>
                <w:rFonts w:hint="eastAsia" w:ascii="宋体" w:hAnsi="宋体" w:cs="宋体"/>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60EE9E35">
            <w:pPr>
              <w:widowControl/>
              <w:jc w:val="center"/>
              <w:textAlignment w:val="center"/>
              <w:rPr>
                <w:rFonts w:ascii="宋体" w:hAnsi="宋体" w:cs="宋体"/>
                <w:szCs w:val="21"/>
              </w:rPr>
            </w:pPr>
            <w:r>
              <w:rPr>
                <w:rFonts w:hint="eastAsia" w:ascii="宋体" w:hAnsi="宋体" w:cs="宋体"/>
                <w:szCs w:val="21"/>
              </w:rPr>
              <w:t>0771-7917212</w:t>
            </w:r>
          </w:p>
        </w:tc>
      </w:tr>
      <w:tr w14:paraId="3BF6597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21EF1B">
            <w:pPr>
              <w:widowControl/>
              <w:jc w:val="left"/>
              <w:textAlignment w:val="center"/>
              <w:rPr>
                <w:rFonts w:ascii="宋体" w:hAnsi="宋体" w:cs="宋体"/>
                <w:szCs w:val="21"/>
              </w:rPr>
            </w:pPr>
            <w:r>
              <w:rPr>
                <w:rFonts w:hint="eastAsia" w:ascii="宋体" w:hAnsi="宋体" w:cs="宋体"/>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5B314E1">
            <w:pPr>
              <w:widowControl/>
              <w:jc w:val="left"/>
              <w:textAlignment w:val="center"/>
              <w:rPr>
                <w:rFonts w:ascii="宋体" w:hAnsi="宋体" w:cs="宋体"/>
                <w:szCs w:val="21"/>
              </w:rPr>
            </w:pPr>
            <w:r>
              <w:rPr>
                <w:rFonts w:hint="eastAsia" w:ascii="宋体" w:hAnsi="宋体" w:cs="宋体"/>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1C3E60D5">
            <w:pPr>
              <w:widowControl/>
              <w:jc w:val="center"/>
              <w:textAlignment w:val="center"/>
              <w:rPr>
                <w:rFonts w:ascii="宋体" w:hAnsi="宋体" w:cs="宋体"/>
                <w:szCs w:val="21"/>
              </w:rPr>
            </w:pPr>
            <w:r>
              <w:rPr>
                <w:rFonts w:hint="eastAsia" w:ascii="宋体" w:hAnsi="宋体" w:cs="宋体"/>
                <w:szCs w:val="21"/>
              </w:rPr>
              <w:t>0771-7917054</w:t>
            </w:r>
          </w:p>
        </w:tc>
      </w:tr>
      <w:tr w14:paraId="632B68B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03BE93">
            <w:pPr>
              <w:widowControl/>
              <w:jc w:val="left"/>
              <w:textAlignment w:val="center"/>
              <w:rPr>
                <w:rFonts w:ascii="宋体" w:hAnsi="宋体" w:cs="宋体"/>
                <w:szCs w:val="21"/>
              </w:rPr>
            </w:pPr>
            <w:r>
              <w:rPr>
                <w:rFonts w:hint="eastAsia" w:ascii="宋体" w:hAnsi="宋体" w:cs="宋体"/>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45646BEB">
            <w:pPr>
              <w:widowControl/>
              <w:jc w:val="left"/>
              <w:textAlignment w:val="center"/>
              <w:rPr>
                <w:rFonts w:ascii="宋体" w:hAnsi="宋体" w:cs="宋体"/>
                <w:szCs w:val="21"/>
              </w:rPr>
            </w:pPr>
            <w:r>
              <w:rPr>
                <w:rFonts w:hint="eastAsia" w:ascii="宋体" w:hAnsi="宋体" w:cs="宋体"/>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E2F4EE9">
            <w:pPr>
              <w:widowControl/>
              <w:jc w:val="center"/>
              <w:textAlignment w:val="center"/>
              <w:rPr>
                <w:rFonts w:ascii="宋体" w:hAnsi="宋体" w:cs="宋体"/>
                <w:szCs w:val="21"/>
              </w:rPr>
            </w:pPr>
            <w:r>
              <w:rPr>
                <w:rFonts w:hint="eastAsia" w:ascii="宋体" w:hAnsi="宋体" w:cs="宋体"/>
                <w:szCs w:val="21"/>
              </w:rPr>
              <w:t>0771-7831103</w:t>
            </w:r>
          </w:p>
        </w:tc>
      </w:tr>
      <w:tr w14:paraId="3B74A05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6D46FF">
            <w:pPr>
              <w:widowControl/>
              <w:jc w:val="left"/>
              <w:textAlignment w:val="center"/>
              <w:rPr>
                <w:rFonts w:ascii="宋体" w:hAnsi="宋体" w:cs="宋体"/>
                <w:szCs w:val="21"/>
              </w:rPr>
            </w:pPr>
            <w:r>
              <w:rPr>
                <w:rFonts w:hint="eastAsia" w:ascii="宋体" w:hAnsi="宋体" w:cs="宋体"/>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04CD95CC">
            <w:pPr>
              <w:widowControl/>
              <w:jc w:val="left"/>
              <w:textAlignment w:val="center"/>
              <w:rPr>
                <w:rFonts w:ascii="宋体" w:hAnsi="宋体" w:cs="宋体"/>
                <w:szCs w:val="21"/>
              </w:rPr>
            </w:pPr>
            <w:r>
              <w:rPr>
                <w:rFonts w:hint="eastAsia" w:ascii="宋体" w:hAnsi="宋体" w:cs="宋体"/>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07941C32">
            <w:pPr>
              <w:widowControl/>
              <w:jc w:val="center"/>
              <w:textAlignment w:val="center"/>
              <w:rPr>
                <w:rFonts w:ascii="宋体" w:hAnsi="宋体" w:cs="宋体"/>
                <w:szCs w:val="21"/>
              </w:rPr>
            </w:pPr>
            <w:r>
              <w:rPr>
                <w:rFonts w:hint="eastAsia" w:ascii="宋体" w:hAnsi="宋体" w:cs="宋体"/>
                <w:szCs w:val="21"/>
              </w:rPr>
              <w:t>0771-79286500771-7920613</w:t>
            </w:r>
          </w:p>
        </w:tc>
      </w:tr>
      <w:tr w14:paraId="4E7BC59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1A078E">
            <w:pPr>
              <w:widowControl/>
              <w:jc w:val="left"/>
              <w:textAlignment w:val="center"/>
              <w:rPr>
                <w:rFonts w:ascii="宋体" w:hAnsi="宋体" w:cs="宋体"/>
                <w:szCs w:val="21"/>
              </w:rPr>
            </w:pPr>
            <w:r>
              <w:rPr>
                <w:rFonts w:hint="eastAsia" w:ascii="宋体" w:hAnsi="宋体" w:cs="宋体"/>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657D522E">
            <w:pPr>
              <w:widowControl/>
              <w:jc w:val="left"/>
              <w:textAlignment w:val="center"/>
              <w:rPr>
                <w:rFonts w:ascii="宋体" w:hAnsi="宋体" w:cs="宋体"/>
                <w:szCs w:val="21"/>
              </w:rPr>
            </w:pPr>
            <w:r>
              <w:rPr>
                <w:rFonts w:hint="eastAsia" w:ascii="宋体" w:hAnsi="宋体" w:cs="宋体"/>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30697D7A">
            <w:pPr>
              <w:widowControl/>
              <w:jc w:val="center"/>
              <w:textAlignment w:val="center"/>
              <w:rPr>
                <w:rFonts w:ascii="宋体" w:hAnsi="宋体" w:cs="宋体"/>
                <w:szCs w:val="21"/>
              </w:rPr>
            </w:pPr>
            <w:r>
              <w:rPr>
                <w:rFonts w:hint="eastAsia" w:ascii="宋体" w:hAnsi="宋体" w:cs="宋体"/>
                <w:szCs w:val="21"/>
              </w:rPr>
              <w:t>0771-7925660</w:t>
            </w:r>
          </w:p>
        </w:tc>
      </w:tr>
      <w:tr w14:paraId="35F1FED8">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E01A">
            <w:pPr>
              <w:widowControl/>
              <w:jc w:val="left"/>
              <w:textAlignment w:val="center"/>
              <w:rPr>
                <w:rFonts w:ascii="宋体" w:hAnsi="宋体" w:cs="宋体"/>
                <w:szCs w:val="21"/>
              </w:rPr>
            </w:pPr>
            <w:r>
              <w:rPr>
                <w:rFonts w:hint="eastAsia" w:ascii="宋体" w:hAnsi="宋体" w:cs="宋体"/>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6CC31EFA">
            <w:pPr>
              <w:widowControl/>
              <w:jc w:val="left"/>
              <w:textAlignment w:val="center"/>
              <w:rPr>
                <w:rFonts w:ascii="宋体" w:hAnsi="宋体" w:cs="宋体"/>
                <w:szCs w:val="21"/>
              </w:rPr>
            </w:pPr>
            <w:r>
              <w:rPr>
                <w:rFonts w:hint="eastAsia" w:ascii="宋体" w:hAnsi="宋体" w:cs="宋体"/>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ABE882A">
            <w:pPr>
              <w:widowControl/>
              <w:jc w:val="center"/>
              <w:textAlignment w:val="center"/>
              <w:rPr>
                <w:rFonts w:ascii="宋体" w:hAnsi="宋体" w:cs="宋体"/>
                <w:szCs w:val="21"/>
              </w:rPr>
            </w:pPr>
            <w:r>
              <w:rPr>
                <w:rFonts w:hint="eastAsia" w:ascii="宋体" w:hAnsi="宋体" w:cs="宋体"/>
                <w:szCs w:val="21"/>
              </w:rPr>
              <w:t>0771-7968699</w:t>
            </w:r>
          </w:p>
        </w:tc>
      </w:tr>
      <w:tr w14:paraId="73A565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07A85C">
            <w:pPr>
              <w:widowControl/>
              <w:jc w:val="left"/>
              <w:textAlignment w:val="center"/>
              <w:rPr>
                <w:rFonts w:ascii="宋体" w:hAnsi="宋体" w:cs="宋体"/>
                <w:szCs w:val="21"/>
              </w:rPr>
            </w:pPr>
            <w:r>
              <w:rPr>
                <w:rFonts w:hint="eastAsia" w:ascii="宋体" w:hAnsi="宋体" w:cs="宋体"/>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582D1004">
            <w:pPr>
              <w:widowControl/>
              <w:jc w:val="left"/>
              <w:textAlignment w:val="center"/>
              <w:rPr>
                <w:rFonts w:ascii="宋体" w:hAnsi="宋体" w:cs="宋体"/>
                <w:szCs w:val="21"/>
              </w:rPr>
            </w:pPr>
            <w:r>
              <w:rPr>
                <w:rFonts w:hint="eastAsia" w:ascii="宋体" w:hAnsi="宋体" w:cs="宋体"/>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C119DE4">
            <w:pPr>
              <w:widowControl/>
              <w:jc w:val="center"/>
              <w:textAlignment w:val="center"/>
              <w:rPr>
                <w:rFonts w:ascii="宋体" w:hAnsi="宋体" w:cs="宋体"/>
                <w:szCs w:val="21"/>
              </w:rPr>
            </w:pPr>
            <w:r>
              <w:rPr>
                <w:rFonts w:hint="eastAsia" w:ascii="宋体" w:hAnsi="宋体" w:cs="宋体"/>
                <w:szCs w:val="21"/>
              </w:rPr>
              <w:t>0771-7916636</w:t>
            </w:r>
          </w:p>
        </w:tc>
      </w:tr>
      <w:tr w14:paraId="0BBD2A0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D34075">
            <w:pPr>
              <w:widowControl/>
              <w:jc w:val="left"/>
              <w:textAlignment w:val="center"/>
              <w:rPr>
                <w:rFonts w:ascii="宋体" w:hAnsi="宋体" w:cs="宋体"/>
                <w:szCs w:val="21"/>
              </w:rPr>
            </w:pPr>
            <w:r>
              <w:rPr>
                <w:rFonts w:hint="eastAsia" w:ascii="宋体" w:hAnsi="宋体" w:cs="宋体"/>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63E380F8">
            <w:pPr>
              <w:widowControl/>
              <w:jc w:val="left"/>
              <w:textAlignment w:val="center"/>
              <w:rPr>
                <w:rFonts w:ascii="宋体" w:hAnsi="宋体" w:cs="宋体"/>
                <w:szCs w:val="21"/>
              </w:rPr>
            </w:pPr>
            <w:r>
              <w:rPr>
                <w:rFonts w:hint="eastAsia" w:ascii="宋体" w:hAnsi="宋体" w:cs="宋体"/>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EC3CE30">
            <w:pPr>
              <w:widowControl/>
              <w:jc w:val="center"/>
              <w:textAlignment w:val="center"/>
              <w:rPr>
                <w:rFonts w:ascii="宋体" w:hAnsi="宋体" w:cs="宋体"/>
                <w:szCs w:val="21"/>
              </w:rPr>
            </w:pPr>
            <w:r>
              <w:rPr>
                <w:rFonts w:hint="eastAsia" w:ascii="宋体" w:hAnsi="宋体" w:cs="宋体"/>
                <w:szCs w:val="21"/>
              </w:rPr>
              <w:t>0771-7988895</w:t>
            </w:r>
          </w:p>
        </w:tc>
      </w:tr>
      <w:tr w14:paraId="6CB80BA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4B4F1">
            <w:pPr>
              <w:widowControl/>
              <w:jc w:val="left"/>
              <w:textAlignment w:val="center"/>
              <w:rPr>
                <w:rFonts w:ascii="宋体" w:hAnsi="宋体" w:cs="宋体"/>
                <w:szCs w:val="21"/>
              </w:rPr>
            </w:pPr>
            <w:r>
              <w:rPr>
                <w:rFonts w:hint="eastAsia" w:ascii="宋体" w:hAnsi="宋体" w:cs="宋体"/>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695D4033">
            <w:pPr>
              <w:widowControl/>
              <w:jc w:val="left"/>
              <w:textAlignment w:val="center"/>
              <w:rPr>
                <w:rFonts w:ascii="宋体" w:hAnsi="宋体" w:cs="宋体"/>
                <w:szCs w:val="21"/>
              </w:rPr>
            </w:pPr>
            <w:r>
              <w:rPr>
                <w:rFonts w:hint="eastAsia" w:ascii="宋体" w:hAnsi="宋体" w:cs="宋体"/>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E11936C">
            <w:pPr>
              <w:widowControl/>
              <w:jc w:val="center"/>
              <w:textAlignment w:val="center"/>
              <w:rPr>
                <w:rFonts w:ascii="宋体" w:hAnsi="宋体" w:cs="宋体"/>
                <w:szCs w:val="21"/>
              </w:rPr>
            </w:pPr>
            <w:r>
              <w:rPr>
                <w:rFonts w:hint="eastAsia" w:ascii="宋体" w:hAnsi="宋体" w:cs="宋体"/>
                <w:szCs w:val="21"/>
              </w:rPr>
              <w:t>0771-7960855</w:t>
            </w:r>
          </w:p>
        </w:tc>
      </w:tr>
      <w:tr w14:paraId="2150AF2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52FAB5">
            <w:pPr>
              <w:widowControl/>
              <w:jc w:val="left"/>
              <w:textAlignment w:val="center"/>
              <w:rPr>
                <w:rFonts w:ascii="宋体" w:hAnsi="宋体" w:cs="宋体"/>
                <w:szCs w:val="21"/>
              </w:rPr>
            </w:pPr>
            <w:r>
              <w:rPr>
                <w:rFonts w:hint="eastAsia" w:ascii="宋体" w:hAnsi="宋体" w:cs="宋体"/>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53B02C3F">
            <w:pPr>
              <w:widowControl/>
              <w:jc w:val="left"/>
              <w:textAlignment w:val="center"/>
              <w:rPr>
                <w:rFonts w:ascii="宋体" w:hAnsi="宋体" w:cs="宋体"/>
                <w:szCs w:val="21"/>
              </w:rPr>
            </w:pPr>
            <w:r>
              <w:rPr>
                <w:rFonts w:hint="eastAsia" w:ascii="宋体" w:hAnsi="宋体" w:cs="宋体"/>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43A605B">
            <w:pPr>
              <w:widowControl/>
              <w:jc w:val="center"/>
              <w:textAlignment w:val="center"/>
              <w:rPr>
                <w:rFonts w:ascii="宋体" w:hAnsi="宋体" w:cs="宋体"/>
                <w:szCs w:val="21"/>
              </w:rPr>
            </w:pPr>
            <w:r>
              <w:rPr>
                <w:rFonts w:hint="eastAsia" w:ascii="宋体" w:hAnsi="宋体" w:cs="宋体"/>
                <w:szCs w:val="21"/>
              </w:rPr>
              <w:t>0771-7821126</w:t>
            </w:r>
          </w:p>
        </w:tc>
      </w:tr>
      <w:tr w14:paraId="1A2FB94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E3B829">
            <w:pPr>
              <w:widowControl/>
              <w:jc w:val="left"/>
              <w:textAlignment w:val="center"/>
              <w:rPr>
                <w:rFonts w:ascii="宋体" w:hAnsi="宋体" w:cs="宋体"/>
                <w:szCs w:val="21"/>
              </w:rPr>
            </w:pPr>
            <w:r>
              <w:rPr>
                <w:rFonts w:hint="eastAsia" w:ascii="宋体" w:hAnsi="宋体" w:cs="宋体"/>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BFEF267">
            <w:pPr>
              <w:widowControl/>
              <w:jc w:val="left"/>
              <w:textAlignment w:val="center"/>
              <w:rPr>
                <w:rFonts w:ascii="宋体" w:hAnsi="宋体" w:cs="宋体"/>
                <w:szCs w:val="21"/>
              </w:rPr>
            </w:pPr>
            <w:r>
              <w:rPr>
                <w:rFonts w:hint="eastAsia" w:ascii="宋体" w:hAnsi="宋体" w:cs="宋体"/>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3A5F4FBB">
            <w:pPr>
              <w:widowControl/>
              <w:jc w:val="center"/>
              <w:textAlignment w:val="center"/>
              <w:rPr>
                <w:rFonts w:ascii="宋体" w:hAnsi="宋体" w:cs="宋体"/>
                <w:szCs w:val="21"/>
              </w:rPr>
            </w:pPr>
            <w:r>
              <w:rPr>
                <w:rFonts w:hint="eastAsia" w:ascii="宋体" w:hAnsi="宋体" w:cs="宋体"/>
                <w:szCs w:val="21"/>
              </w:rPr>
              <w:t>0771-7831866</w:t>
            </w:r>
          </w:p>
        </w:tc>
      </w:tr>
      <w:tr w14:paraId="02406427">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475E3C0">
            <w:pPr>
              <w:widowControl/>
              <w:jc w:val="left"/>
              <w:textAlignment w:val="center"/>
              <w:rPr>
                <w:rFonts w:ascii="宋体" w:hAnsi="宋体" w:cs="宋体"/>
                <w:szCs w:val="21"/>
              </w:rPr>
            </w:pPr>
            <w:r>
              <w:rPr>
                <w:rFonts w:hint="eastAsia" w:ascii="宋体" w:hAnsi="宋体" w:cs="宋体"/>
                <w:b/>
                <w:bCs/>
                <w:szCs w:val="21"/>
              </w:rPr>
              <w:t>崇左市江州区</w:t>
            </w:r>
          </w:p>
        </w:tc>
      </w:tr>
      <w:tr w14:paraId="162B67D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081FDF">
            <w:pPr>
              <w:widowControl/>
              <w:jc w:val="left"/>
              <w:textAlignment w:val="center"/>
              <w:rPr>
                <w:rFonts w:ascii="宋体" w:hAnsi="宋体" w:cs="宋体"/>
                <w:szCs w:val="21"/>
              </w:rPr>
            </w:pPr>
            <w:r>
              <w:rPr>
                <w:rFonts w:hint="eastAsia" w:ascii="宋体" w:hAnsi="宋体" w:cs="宋体"/>
                <w:szCs w:val="21"/>
              </w:rPr>
              <w:t>工商银行崇左市江州区支行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1A3022E">
            <w:pPr>
              <w:widowControl/>
              <w:jc w:val="left"/>
              <w:textAlignment w:val="center"/>
              <w:rPr>
                <w:rFonts w:ascii="宋体" w:hAnsi="宋体" w:cs="宋体"/>
                <w:szCs w:val="21"/>
              </w:rPr>
            </w:pPr>
            <w:r>
              <w:rPr>
                <w:rFonts w:hint="eastAsia" w:ascii="宋体" w:hAnsi="宋体" w:cs="宋体"/>
                <w:szCs w:val="21"/>
              </w:rPr>
              <w:t>崇左市江州区新宁镇同正大道94号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FA1EEE4">
            <w:pPr>
              <w:widowControl/>
              <w:jc w:val="center"/>
              <w:textAlignment w:val="center"/>
              <w:rPr>
                <w:rFonts w:ascii="宋体" w:hAnsi="宋体" w:cs="宋体"/>
                <w:szCs w:val="21"/>
              </w:rPr>
            </w:pPr>
            <w:r>
              <w:rPr>
                <w:rFonts w:hint="eastAsia" w:ascii="宋体" w:hAnsi="宋体" w:cs="宋体"/>
                <w:szCs w:val="21"/>
              </w:rPr>
              <w:t>0771-7535612</w:t>
            </w:r>
          </w:p>
        </w:tc>
      </w:tr>
      <w:tr w14:paraId="0AA12DFF">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E6578">
            <w:pPr>
              <w:widowControl/>
              <w:jc w:val="left"/>
              <w:textAlignment w:val="center"/>
              <w:rPr>
                <w:rFonts w:ascii="宋体" w:hAnsi="宋体" w:cs="宋体"/>
                <w:szCs w:val="21"/>
              </w:rPr>
            </w:pPr>
            <w:r>
              <w:rPr>
                <w:rFonts w:hint="eastAsia" w:ascii="宋体" w:hAnsi="宋体" w:cs="宋体"/>
                <w:szCs w:val="21"/>
              </w:rPr>
              <w:t>农业银行崇左市江州区支行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0FFB4809">
            <w:pPr>
              <w:widowControl/>
              <w:jc w:val="left"/>
              <w:textAlignment w:val="center"/>
              <w:rPr>
                <w:rFonts w:ascii="宋体" w:hAnsi="宋体" w:cs="宋体"/>
                <w:szCs w:val="21"/>
              </w:rPr>
            </w:pPr>
            <w:r>
              <w:rPr>
                <w:rFonts w:hint="eastAsia" w:ascii="宋体" w:hAnsi="宋体" w:cs="宋体"/>
                <w:szCs w:val="21"/>
              </w:rPr>
              <w:t>崇左市江州区新宁镇新华路126号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26BBDF2">
            <w:pPr>
              <w:widowControl/>
              <w:jc w:val="center"/>
              <w:textAlignment w:val="center"/>
              <w:rPr>
                <w:rFonts w:ascii="宋体" w:hAnsi="宋体" w:cs="宋体"/>
                <w:szCs w:val="21"/>
              </w:rPr>
            </w:pPr>
            <w:r>
              <w:rPr>
                <w:rFonts w:hint="eastAsia" w:ascii="宋体" w:hAnsi="宋体" w:cs="宋体"/>
                <w:szCs w:val="21"/>
              </w:rPr>
              <w:t>0771-7917330</w:t>
            </w:r>
          </w:p>
        </w:tc>
      </w:tr>
      <w:tr w14:paraId="4B379E4C">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5CA9CF">
            <w:pPr>
              <w:widowControl/>
              <w:jc w:val="left"/>
              <w:textAlignment w:val="center"/>
              <w:rPr>
                <w:rFonts w:ascii="宋体" w:hAnsi="宋体" w:cs="宋体"/>
                <w:szCs w:val="21"/>
              </w:rPr>
            </w:pPr>
            <w:r>
              <w:rPr>
                <w:rFonts w:hint="eastAsia" w:ascii="宋体" w:hAnsi="宋体" w:cs="宋体"/>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349216FD">
            <w:pPr>
              <w:widowControl/>
              <w:jc w:val="left"/>
              <w:textAlignment w:val="center"/>
              <w:rPr>
                <w:rFonts w:ascii="宋体" w:hAnsi="宋体" w:cs="宋体"/>
                <w:szCs w:val="21"/>
              </w:rPr>
            </w:pPr>
            <w:r>
              <w:rPr>
                <w:rFonts w:hint="eastAsia" w:ascii="宋体" w:hAnsi="宋体" w:cs="宋体"/>
                <w:szCs w:val="21"/>
              </w:rPr>
              <w:t>崇左市江州区南密路6号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6C7EAC5C">
            <w:pPr>
              <w:widowControl/>
              <w:jc w:val="center"/>
              <w:textAlignment w:val="center"/>
              <w:rPr>
                <w:rFonts w:ascii="宋体" w:hAnsi="宋体" w:cs="宋体"/>
                <w:szCs w:val="21"/>
              </w:rPr>
            </w:pPr>
            <w:r>
              <w:rPr>
                <w:rFonts w:hint="eastAsia" w:ascii="宋体" w:hAnsi="宋体" w:cs="宋体"/>
                <w:szCs w:val="21"/>
              </w:rPr>
              <w:t>0771-75165110771-7531157</w:t>
            </w:r>
          </w:p>
        </w:tc>
      </w:tr>
      <w:tr w14:paraId="69A59E5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D3EFC">
            <w:pPr>
              <w:widowControl/>
              <w:jc w:val="left"/>
              <w:textAlignment w:val="center"/>
              <w:rPr>
                <w:rFonts w:ascii="宋体" w:hAnsi="宋体" w:cs="宋体"/>
                <w:szCs w:val="21"/>
              </w:rPr>
            </w:pPr>
            <w:r>
              <w:rPr>
                <w:rFonts w:hint="eastAsia" w:ascii="宋体" w:hAnsi="宋体" w:cs="宋体"/>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70242D13">
            <w:pPr>
              <w:widowControl/>
              <w:jc w:val="left"/>
              <w:textAlignment w:val="center"/>
              <w:rPr>
                <w:rFonts w:ascii="宋体" w:hAnsi="宋体" w:cs="宋体"/>
                <w:szCs w:val="21"/>
              </w:rPr>
            </w:pPr>
            <w:r>
              <w:rPr>
                <w:rFonts w:hint="eastAsia" w:ascii="宋体" w:hAnsi="宋体" w:cs="宋体"/>
                <w:szCs w:val="21"/>
              </w:rPr>
              <w:t>崇左市江州区双拥路3号东信华府18号楼一层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0CBABECB">
            <w:pPr>
              <w:widowControl/>
              <w:jc w:val="center"/>
              <w:textAlignment w:val="center"/>
              <w:rPr>
                <w:rFonts w:ascii="宋体" w:hAnsi="宋体" w:cs="宋体"/>
                <w:szCs w:val="21"/>
              </w:rPr>
            </w:pPr>
            <w:r>
              <w:rPr>
                <w:rFonts w:hint="eastAsia" w:ascii="宋体" w:hAnsi="宋体" w:cs="宋体"/>
                <w:szCs w:val="21"/>
              </w:rPr>
              <w:t>0771-7525822</w:t>
            </w:r>
          </w:p>
        </w:tc>
      </w:tr>
      <w:tr w14:paraId="2C556BE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2AA7D8">
            <w:pPr>
              <w:widowControl/>
              <w:jc w:val="left"/>
              <w:textAlignment w:val="center"/>
              <w:rPr>
                <w:rFonts w:ascii="宋体" w:hAnsi="宋体" w:cs="宋体"/>
                <w:szCs w:val="21"/>
              </w:rPr>
            </w:pPr>
            <w:r>
              <w:rPr>
                <w:rFonts w:hint="eastAsia" w:ascii="宋体" w:hAnsi="宋体" w:cs="宋体"/>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303AE6D6">
            <w:pPr>
              <w:widowControl/>
              <w:jc w:val="left"/>
              <w:textAlignment w:val="center"/>
              <w:rPr>
                <w:rFonts w:ascii="宋体" w:hAnsi="宋体" w:cs="宋体"/>
                <w:szCs w:val="21"/>
              </w:rPr>
            </w:pPr>
            <w:r>
              <w:rPr>
                <w:rFonts w:hint="eastAsia" w:ascii="宋体" w:hAnsi="宋体" w:cs="宋体"/>
                <w:szCs w:val="21"/>
              </w:rPr>
              <w:t>崇左市江州区－扶绥大道16号山水城市广场一层商铺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F6CBE05">
            <w:pPr>
              <w:widowControl/>
              <w:jc w:val="center"/>
              <w:textAlignment w:val="center"/>
              <w:rPr>
                <w:rFonts w:ascii="宋体" w:hAnsi="宋体" w:cs="宋体"/>
                <w:szCs w:val="21"/>
              </w:rPr>
            </w:pPr>
            <w:r>
              <w:rPr>
                <w:rFonts w:hint="eastAsia" w:ascii="宋体" w:hAnsi="宋体" w:cs="宋体"/>
                <w:szCs w:val="21"/>
              </w:rPr>
              <w:t>0771-5025887</w:t>
            </w:r>
          </w:p>
        </w:tc>
      </w:tr>
      <w:tr w14:paraId="53515C3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67BABE">
            <w:pPr>
              <w:widowControl/>
              <w:jc w:val="left"/>
              <w:textAlignment w:val="center"/>
              <w:rPr>
                <w:rFonts w:ascii="宋体" w:hAnsi="宋体" w:cs="宋体"/>
                <w:szCs w:val="21"/>
              </w:rPr>
            </w:pPr>
            <w:r>
              <w:rPr>
                <w:rFonts w:hint="eastAsia" w:ascii="宋体" w:hAnsi="宋体" w:cs="宋体"/>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71DCC653">
            <w:pPr>
              <w:widowControl/>
              <w:jc w:val="left"/>
              <w:textAlignment w:val="center"/>
              <w:rPr>
                <w:rFonts w:ascii="宋体" w:hAnsi="宋体" w:cs="宋体"/>
                <w:szCs w:val="21"/>
              </w:rPr>
            </w:pPr>
            <w:r>
              <w:rPr>
                <w:rFonts w:hint="eastAsia" w:ascii="宋体" w:hAnsi="宋体" w:cs="宋体"/>
                <w:szCs w:val="21"/>
              </w:rPr>
              <w:t>崇左市江州区新宁镇永宁路2-1号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37E9B29">
            <w:pPr>
              <w:widowControl/>
              <w:jc w:val="center"/>
              <w:textAlignment w:val="center"/>
              <w:rPr>
                <w:rFonts w:ascii="宋体" w:hAnsi="宋体" w:cs="宋体"/>
                <w:szCs w:val="21"/>
              </w:rPr>
            </w:pPr>
            <w:r>
              <w:rPr>
                <w:rFonts w:hint="eastAsia" w:ascii="宋体" w:hAnsi="宋体" w:cs="宋体"/>
                <w:szCs w:val="21"/>
              </w:rPr>
              <w:t>0771-7533041</w:t>
            </w:r>
          </w:p>
        </w:tc>
      </w:tr>
      <w:tr w14:paraId="39C7049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709A2">
            <w:pPr>
              <w:widowControl/>
              <w:jc w:val="left"/>
              <w:textAlignment w:val="center"/>
              <w:rPr>
                <w:rFonts w:ascii="宋体" w:hAnsi="宋体" w:cs="宋体"/>
                <w:szCs w:val="21"/>
              </w:rPr>
            </w:pPr>
            <w:r>
              <w:rPr>
                <w:rFonts w:hint="eastAsia" w:ascii="宋体" w:hAnsi="宋体" w:cs="宋体"/>
                <w:szCs w:val="21"/>
              </w:rPr>
              <w:t>中国邮政储蓄银行崇左市江州区支行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6FB6ECA">
            <w:pPr>
              <w:widowControl/>
              <w:jc w:val="left"/>
              <w:textAlignment w:val="center"/>
              <w:rPr>
                <w:rFonts w:ascii="宋体" w:hAnsi="宋体" w:cs="宋体"/>
                <w:szCs w:val="21"/>
              </w:rPr>
            </w:pPr>
            <w:r>
              <w:rPr>
                <w:rFonts w:hint="eastAsia" w:ascii="宋体" w:hAnsi="宋体" w:cs="宋体"/>
                <w:szCs w:val="21"/>
              </w:rPr>
              <w:t>崇左市江州区松江路138号中国邮政储蓄银行崇左市江州区支行</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35EF02A1">
            <w:pPr>
              <w:widowControl/>
              <w:jc w:val="center"/>
              <w:textAlignment w:val="center"/>
              <w:rPr>
                <w:rFonts w:ascii="宋体" w:hAnsi="宋体" w:cs="宋体"/>
                <w:szCs w:val="21"/>
              </w:rPr>
            </w:pPr>
            <w:r>
              <w:rPr>
                <w:rFonts w:hint="eastAsia" w:ascii="宋体" w:hAnsi="宋体" w:cs="宋体"/>
                <w:szCs w:val="21"/>
              </w:rPr>
              <w:t>0771-75361780771-7536177</w:t>
            </w:r>
          </w:p>
        </w:tc>
      </w:tr>
      <w:tr w14:paraId="156D7F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152E0A">
            <w:pPr>
              <w:widowControl/>
              <w:jc w:val="left"/>
              <w:textAlignment w:val="center"/>
              <w:rPr>
                <w:rFonts w:ascii="宋体" w:hAnsi="宋体" w:cs="宋体"/>
                <w:szCs w:val="21"/>
              </w:rPr>
            </w:pPr>
            <w:r>
              <w:rPr>
                <w:rFonts w:hint="eastAsia" w:ascii="宋体" w:hAnsi="宋体" w:cs="宋体"/>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55746908">
            <w:pPr>
              <w:widowControl/>
              <w:jc w:val="left"/>
              <w:textAlignment w:val="center"/>
              <w:rPr>
                <w:rFonts w:ascii="宋体" w:hAnsi="宋体" w:cs="宋体"/>
                <w:szCs w:val="21"/>
              </w:rPr>
            </w:pPr>
            <w:r>
              <w:rPr>
                <w:rFonts w:hint="eastAsia" w:ascii="宋体" w:hAnsi="宋体" w:cs="宋体"/>
                <w:szCs w:val="21"/>
              </w:rPr>
              <w:t>广西崇左市江州区新宁镇松江路20号（桂林银行崇左扶绥支行）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096C698">
            <w:pPr>
              <w:widowControl/>
              <w:jc w:val="center"/>
              <w:textAlignment w:val="center"/>
              <w:rPr>
                <w:rFonts w:ascii="宋体" w:hAnsi="宋体" w:cs="宋体"/>
                <w:szCs w:val="21"/>
              </w:rPr>
            </w:pPr>
            <w:r>
              <w:rPr>
                <w:rFonts w:hint="eastAsia" w:ascii="宋体" w:hAnsi="宋体" w:cs="宋体"/>
                <w:szCs w:val="21"/>
              </w:rPr>
              <w:t>0771-7661101</w:t>
            </w:r>
          </w:p>
        </w:tc>
      </w:tr>
      <w:tr w14:paraId="633EBA6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CABBA9">
            <w:pPr>
              <w:widowControl/>
              <w:jc w:val="left"/>
              <w:textAlignment w:val="center"/>
              <w:rPr>
                <w:rFonts w:ascii="宋体" w:hAnsi="宋体" w:cs="宋体"/>
                <w:szCs w:val="21"/>
              </w:rPr>
            </w:pPr>
            <w:r>
              <w:rPr>
                <w:rFonts w:hint="eastAsia" w:ascii="宋体" w:hAnsi="宋体" w:cs="宋体"/>
                <w:szCs w:val="21"/>
              </w:rPr>
              <w:t>广西北部湾银行崇左市江州区支行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7B33DDB8">
            <w:pPr>
              <w:widowControl/>
              <w:jc w:val="left"/>
              <w:textAlignment w:val="center"/>
              <w:rPr>
                <w:rFonts w:ascii="宋体" w:hAnsi="宋体" w:cs="宋体"/>
                <w:szCs w:val="21"/>
              </w:rPr>
            </w:pPr>
            <w:r>
              <w:rPr>
                <w:rFonts w:hint="eastAsia" w:ascii="宋体" w:hAnsi="宋体" w:cs="宋体"/>
                <w:szCs w:val="21"/>
              </w:rPr>
              <w:t>崇左市江州区新宁镇同正大道333号碧园·未来城商业综合体13号楼一楼1050、1051号商铺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0A75C185">
            <w:pPr>
              <w:widowControl/>
              <w:jc w:val="center"/>
              <w:textAlignment w:val="center"/>
              <w:rPr>
                <w:rFonts w:ascii="宋体" w:hAnsi="宋体" w:cs="宋体"/>
                <w:szCs w:val="21"/>
              </w:rPr>
            </w:pPr>
            <w:r>
              <w:rPr>
                <w:rFonts w:hint="eastAsia" w:ascii="宋体" w:hAnsi="宋体" w:cs="宋体"/>
                <w:szCs w:val="21"/>
              </w:rPr>
              <w:t>0771-7500768</w:t>
            </w:r>
          </w:p>
        </w:tc>
      </w:tr>
      <w:tr w14:paraId="576F5E1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45553">
            <w:pPr>
              <w:widowControl/>
              <w:jc w:val="left"/>
              <w:textAlignment w:val="center"/>
              <w:rPr>
                <w:rFonts w:ascii="宋体" w:hAnsi="宋体" w:cs="宋体"/>
                <w:szCs w:val="21"/>
              </w:rPr>
            </w:pPr>
            <w:r>
              <w:rPr>
                <w:rFonts w:hint="eastAsia" w:ascii="宋体" w:hAnsi="宋体" w:cs="宋体"/>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3708BACC">
            <w:pPr>
              <w:widowControl/>
              <w:jc w:val="left"/>
              <w:textAlignment w:val="center"/>
              <w:rPr>
                <w:rFonts w:ascii="宋体" w:hAnsi="宋体" w:cs="宋体"/>
                <w:szCs w:val="21"/>
              </w:rPr>
            </w:pPr>
            <w:r>
              <w:rPr>
                <w:rFonts w:hint="eastAsia" w:ascii="宋体" w:hAnsi="宋体" w:cs="宋体"/>
                <w:szCs w:val="21"/>
              </w:rPr>
              <w:t>崇左市江州区大景城1号楼正门旁</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A08C542">
            <w:pPr>
              <w:widowControl/>
              <w:jc w:val="center"/>
              <w:textAlignment w:val="center"/>
              <w:rPr>
                <w:rFonts w:ascii="宋体" w:hAnsi="宋体" w:cs="宋体"/>
                <w:szCs w:val="21"/>
              </w:rPr>
            </w:pPr>
            <w:r>
              <w:rPr>
                <w:rFonts w:hint="eastAsia" w:ascii="宋体" w:hAnsi="宋体" w:cs="宋体"/>
                <w:szCs w:val="21"/>
              </w:rPr>
              <w:t>0771-7525678</w:t>
            </w:r>
          </w:p>
        </w:tc>
      </w:tr>
      <w:tr w14:paraId="2C862C5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DEF74D">
            <w:pPr>
              <w:widowControl/>
              <w:jc w:val="left"/>
              <w:textAlignment w:val="center"/>
              <w:rPr>
                <w:rFonts w:ascii="宋体" w:hAnsi="宋体" w:cs="宋体"/>
                <w:szCs w:val="21"/>
              </w:rPr>
            </w:pPr>
            <w:r>
              <w:rPr>
                <w:rFonts w:hint="eastAsia" w:ascii="宋体" w:hAnsi="宋体" w:cs="宋体"/>
                <w:b/>
                <w:bCs/>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0871A319">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11370D27">
            <w:pPr>
              <w:widowControl/>
              <w:jc w:val="center"/>
              <w:textAlignment w:val="center"/>
              <w:rPr>
                <w:rFonts w:ascii="宋体" w:hAnsi="宋体" w:cs="宋体"/>
                <w:szCs w:val="21"/>
              </w:rPr>
            </w:pPr>
          </w:p>
        </w:tc>
      </w:tr>
      <w:tr w14:paraId="74F742BB">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002B96">
            <w:pPr>
              <w:widowControl/>
              <w:jc w:val="left"/>
              <w:textAlignment w:val="center"/>
              <w:rPr>
                <w:rFonts w:ascii="宋体" w:hAnsi="宋体" w:cs="宋体"/>
                <w:szCs w:val="21"/>
              </w:rPr>
            </w:pPr>
            <w:r>
              <w:rPr>
                <w:rFonts w:hint="eastAsia" w:ascii="宋体" w:hAnsi="宋体" w:cs="宋体"/>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51DB0F84">
            <w:pPr>
              <w:widowControl/>
              <w:jc w:val="left"/>
              <w:textAlignment w:val="center"/>
              <w:rPr>
                <w:rFonts w:ascii="宋体" w:hAnsi="宋体" w:cs="宋体"/>
                <w:szCs w:val="21"/>
              </w:rPr>
            </w:pPr>
            <w:r>
              <w:rPr>
                <w:rFonts w:hint="eastAsia" w:ascii="宋体" w:hAnsi="宋体" w:cs="宋体"/>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3836341D">
            <w:pPr>
              <w:widowControl/>
              <w:jc w:val="center"/>
              <w:textAlignment w:val="center"/>
              <w:rPr>
                <w:rFonts w:ascii="宋体" w:hAnsi="宋体" w:cs="宋体"/>
                <w:szCs w:val="21"/>
              </w:rPr>
            </w:pPr>
            <w:r>
              <w:rPr>
                <w:rFonts w:hint="eastAsia" w:ascii="宋体" w:hAnsi="宋体" w:cs="宋体"/>
                <w:szCs w:val="21"/>
              </w:rPr>
              <w:t>0771-8620729</w:t>
            </w:r>
          </w:p>
        </w:tc>
      </w:tr>
      <w:tr w14:paraId="56F44EB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062827">
            <w:pPr>
              <w:widowControl/>
              <w:jc w:val="left"/>
              <w:textAlignment w:val="center"/>
              <w:rPr>
                <w:rFonts w:ascii="宋体" w:hAnsi="宋体" w:cs="宋体"/>
                <w:szCs w:val="21"/>
              </w:rPr>
            </w:pPr>
            <w:r>
              <w:rPr>
                <w:rFonts w:hint="eastAsia" w:ascii="宋体" w:hAnsi="宋体" w:cs="宋体"/>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083B929D">
            <w:pPr>
              <w:widowControl/>
              <w:jc w:val="left"/>
              <w:textAlignment w:val="center"/>
              <w:rPr>
                <w:rFonts w:ascii="宋体" w:hAnsi="宋体" w:cs="宋体"/>
                <w:szCs w:val="21"/>
              </w:rPr>
            </w:pPr>
            <w:r>
              <w:rPr>
                <w:rFonts w:hint="eastAsia" w:ascii="宋体" w:hAnsi="宋体" w:cs="宋体"/>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13862748">
            <w:pPr>
              <w:widowControl/>
              <w:jc w:val="center"/>
              <w:textAlignment w:val="center"/>
              <w:rPr>
                <w:rFonts w:ascii="宋体" w:hAnsi="宋体" w:cs="宋体"/>
                <w:szCs w:val="21"/>
              </w:rPr>
            </w:pPr>
            <w:r>
              <w:rPr>
                <w:rFonts w:hint="eastAsia" w:ascii="宋体" w:hAnsi="宋体" w:cs="宋体"/>
                <w:szCs w:val="21"/>
              </w:rPr>
              <w:t>0771-7917093</w:t>
            </w:r>
          </w:p>
        </w:tc>
      </w:tr>
      <w:tr w14:paraId="493E0B7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C7CF34">
            <w:pPr>
              <w:widowControl/>
              <w:jc w:val="left"/>
              <w:textAlignment w:val="center"/>
              <w:rPr>
                <w:rFonts w:ascii="宋体" w:hAnsi="宋体" w:cs="宋体"/>
                <w:szCs w:val="21"/>
              </w:rPr>
            </w:pPr>
            <w:r>
              <w:rPr>
                <w:rFonts w:hint="eastAsia" w:ascii="宋体" w:hAnsi="宋体" w:cs="宋体"/>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41B63504">
            <w:pPr>
              <w:widowControl/>
              <w:spacing w:after="90" w:line="23" w:lineRule="atLeast"/>
              <w:jc w:val="left"/>
              <w:rPr>
                <w:rFonts w:ascii="宋体" w:hAnsi="宋体" w:cs="宋体"/>
                <w:szCs w:val="21"/>
              </w:rPr>
            </w:pPr>
            <w:r>
              <w:rPr>
                <w:rFonts w:hint="eastAsia" w:ascii="宋体" w:hAnsi="宋体" w:cs="宋体"/>
                <w:kern w:val="0"/>
                <w:szCs w:val="21"/>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5DAB11C">
            <w:pPr>
              <w:widowControl/>
              <w:jc w:val="center"/>
              <w:textAlignment w:val="center"/>
              <w:rPr>
                <w:rFonts w:ascii="宋体" w:hAnsi="宋体" w:cs="宋体"/>
                <w:szCs w:val="21"/>
              </w:rPr>
            </w:pPr>
            <w:r>
              <w:rPr>
                <w:rFonts w:hint="eastAsia" w:ascii="宋体" w:hAnsi="宋体" w:cs="宋体"/>
                <w:szCs w:val="21"/>
              </w:rPr>
              <w:t>0771-8629006</w:t>
            </w:r>
          </w:p>
        </w:tc>
      </w:tr>
      <w:tr w14:paraId="3CA7532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8130CE">
            <w:pPr>
              <w:widowControl/>
              <w:jc w:val="left"/>
              <w:textAlignment w:val="center"/>
              <w:rPr>
                <w:rFonts w:ascii="宋体" w:hAnsi="宋体" w:cs="宋体"/>
                <w:szCs w:val="21"/>
              </w:rPr>
            </w:pPr>
            <w:r>
              <w:rPr>
                <w:rFonts w:hint="eastAsia" w:ascii="宋体" w:hAnsi="宋体" w:cs="宋体"/>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41757093">
            <w:pPr>
              <w:widowControl/>
              <w:jc w:val="left"/>
              <w:textAlignment w:val="center"/>
              <w:rPr>
                <w:rFonts w:ascii="宋体" w:hAnsi="宋体" w:cs="宋体"/>
                <w:szCs w:val="21"/>
              </w:rPr>
            </w:pPr>
            <w:r>
              <w:rPr>
                <w:rFonts w:hint="eastAsia" w:ascii="宋体" w:hAnsi="宋体" w:cs="宋体"/>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6F57BEC7">
            <w:pPr>
              <w:widowControl/>
              <w:jc w:val="center"/>
              <w:textAlignment w:val="center"/>
              <w:rPr>
                <w:rFonts w:ascii="宋体" w:hAnsi="宋体" w:cs="宋体"/>
                <w:szCs w:val="21"/>
              </w:rPr>
            </w:pPr>
            <w:r>
              <w:rPr>
                <w:rFonts w:hint="eastAsia" w:ascii="宋体" w:hAnsi="宋体" w:cs="宋体"/>
                <w:szCs w:val="21"/>
              </w:rPr>
              <w:t>0771-8628166</w:t>
            </w:r>
          </w:p>
        </w:tc>
      </w:tr>
      <w:tr w14:paraId="1F6E3073">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98683C">
            <w:pPr>
              <w:widowControl/>
              <w:jc w:val="left"/>
              <w:textAlignment w:val="center"/>
              <w:rPr>
                <w:rFonts w:ascii="宋体" w:hAnsi="宋体" w:cs="宋体"/>
                <w:szCs w:val="21"/>
              </w:rPr>
            </w:pPr>
            <w:r>
              <w:rPr>
                <w:rFonts w:hint="eastAsia" w:ascii="宋体" w:hAnsi="宋体" w:cs="宋体"/>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767EBD3F">
            <w:pPr>
              <w:widowControl/>
              <w:jc w:val="left"/>
              <w:textAlignment w:val="center"/>
              <w:rPr>
                <w:rFonts w:ascii="宋体" w:hAnsi="宋体" w:cs="宋体"/>
                <w:szCs w:val="21"/>
              </w:rPr>
            </w:pPr>
            <w:r>
              <w:rPr>
                <w:rFonts w:hint="eastAsia" w:ascii="宋体" w:hAnsi="宋体" w:cs="宋体"/>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C39F9B1">
            <w:pPr>
              <w:widowControl/>
              <w:jc w:val="center"/>
              <w:textAlignment w:val="center"/>
              <w:rPr>
                <w:rFonts w:ascii="宋体" w:hAnsi="宋体" w:cs="宋体"/>
                <w:szCs w:val="21"/>
              </w:rPr>
            </w:pPr>
            <w:r>
              <w:rPr>
                <w:rFonts w:hint="eastAsia" w:ascii="宋体" w:hAnsi="宋体" w:cs="宋体"/>
                <w:szCs w:val="21"/>
              </w:rPr>
              <w:t>0771-8630787</w:t>
            </w:r>
          </w:p>
        </w:tc>
      </w:tr>
      <w:tr w14:paraId="49D49ED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8E2B0B">
            <w:pPr>
              <w:widowControl/>
              <w:jc w:val="left"/>
              <w:textAlignment w:val="center"/>
              <w:rPr>
                <w:rFonts w:ascii="宋体" w:hAnsi="宋体" w:cs="宋体"/>
                <w:szCs w:val="21"/>
              </w:rPr>
            </w:pPr>
            <w:r>
              <w:rPr>
                <w:rFonts w:hint="eastAsia" w:ascii="宋体" w:hAnsi="宋体" w:cs="宋体"/>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75A7297B">
            <w:pPr>
              <w:widowControl/>
              <w:jc w:val="left"/>
              <w:textAlignment w:val="center"/>
              <w:rPr>
                <w:rFonts w:ascii="宋体" w:hAnsi="宋体" w:cs="宋体"/>
                <w:szCs w:val="21"/>
              </w:rPr>
            </w:pPr>
            <w:r>
              <w:rPr>
                <w:rFonts w:hint="eastAsia" w:ascii="宋体" w:hAnsi="宋体" w:cs="宋体"/>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F16C4AD">
            <w:pPr>
              <w:widowControl/>
              <w:jc w:val="center"/>
              <w:textAlignment w:val="center"/>
              <w:rPr>
                <w:rFonts w:ascii="宋体" w:hAnsi="宋体" w:cs="宋体"/>
                <w:szCs w:val="21"/>
              </w:rPr>
            </w:pPr>
            <w:r>
              <w:rPr>
                <w:rFonts w:hint="eastAsia" w:ascii="宋体" w:hAnsi="宋体" w:cs="宋体"/>
                <w:szCs w:val="21"/>
              </w:rPr>
              <w:t>0771-8622237</w:t>
            </w:r>
          </w:p>
        </w:tc>
      </w:tr>
      <w:tr w14:paraId="6CF4D881">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BFE03C4">
            <w:pPr>
              <w:widowControl/>
              <w:jc w:val="left"/>
              <w:textAlignment w:val="center"/>
              <w:rPr>
                <w:rFonts w:ascii="宋体" w:hAnsi="宋体" w:cs="宋体"/>
                <w:szCs w:val="21"/>
              </w:rPr>
            </w:pPr>
            <w:r>
              <w:rPr>
                <w:rFonts w:hint="eastAsia" w:ascii="宋体" w:hAnsi="宋体" w:cs="宋体"/>
                <w:b/>
                <w:bCs/>
                <w:szCs w:val="21"/>
              </w:rPr>
              <w:t>大新县</w:t>
            </w:r>
          </w:p>
        </w:tc>
      </w:tr>
      <w:tr w14:paraId="3CB00BA3">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C477E">
            <w:pPr>
              <w:widowControl/>
              <w:jc w:val="left"/>
              <w:textAlignment w:val="center"/>
              <w:rPr>
                <w:rFonts w:ascii="宋体" w:hAnsi="宋体" w:cs="宋体"/>
                <w:kern w:val="0"/>
                <w:szCs w:val="21"/>
              </w:rPr>
            </w:pPr>
            <w:r>
              <w:rPr>
                <w:rFonts w:hint="eastAsia" w:ascii="宋体" w:hAnsi="宋体" w:cs="宋体"/>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99EB0EB">
            <w:pPr>
              <w:widowControl/>
              <w:jc w:val="left"/>
              <w:textAlignment w:val="center"/>
              <w:rPr>
                <w:rFonts w:ascii="宋体" w:hAnsi="宋体" w:cs="宋体"/>
                <w:kern w:val="0"/>
                <w:szCs w:val="21"/>
              </w:rPr>
            </w:pPr>
            <w:r>
              <w:rPr>
                <w:rFonts w:hint="eastAsia" w:ascii="宋体" w:hAnsi="宋体" w:cs="宋体"/>
                <w:kern w:val="0"/>
                <w:szCs w:val="21"/>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4D58F48">
            <w:pPr>
              <w:widowControl/>
              <w:jc w:val="center"/>
              <w:textAlignment w:val="center"/>
              <w:rPr>
                <w:rFonts w:ascii="宋体" w:hAnsi="宋体" w:cs="宋体"/>
                <w:kern w:val="0"/>
                <w:szCs w:val="21"/>
              </w:rPr>
            </w:pPr>
            <w:r>
              <w:rPr>
                <w:rFonts w:hint="eastAsia" w:ascii="宋体" w:hAnsi="宋体" w:cs="宋体"/>
                <w:kern w:val="0"/>
                <w:szCs w:val="21"/>
              </w:rPr>
              <w:t>0771-3628078</w:t>
            </w:r>
          </w:p>
        </w:tc>
      </w:tr>
      <w:tr w14:paraId="57BDBAD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8E109E">
            <w:pPr>
              <w:widowControl/>
              <w:jc w:val="left"/>
              <w:textAlignment w:val="center"/>
              <w:rPr>
                <w:rFonts w:ascii="宋体" w:hAnsi="宋体" w:cs="宋体"/>
                <w:kern w:val="0"/>
                <w:szCs w:val="21"/>
              </w:rPr>
            </w:pPr>
            <w:r>
              <w:rPr>
                <w:rFonts w:hint="eastAsia" w:ascii="宋体" w:hAnsi="宋体" w:cs="宋体"/>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6322D626">
            <w:pPr>
              <w:widowControl/>
              <w:jc w:val="left"/>
              <w:textAlignment w:val="center"/>
              <w:rPr>
                <w:rFonts w:ascii="宋体" w:hAnsi="宋体" w:cs="宋体"/>
                <w:kern w:val="0"/>
                <w:szCs w:val="21"/>
              </w:rPr>
            </w:pPr>
            <w:r>
              <w:rPr>
                <w:rFonts w:hint="eastAsia" w:ascii="宋体" w:hAnsi="宋体" w:cs="宋体"/>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775BEBA">
            <w:pPr>
              <w:widowControl/>
              <w:jc w:val="center"/>
              <w:textAlignment w:val="center"/>
              <w:rPr>
                <w:rFonts w:ascii="宋体" w:hAnsi="宋体" w:cs="宋体"/>
                <w:kern w:val="0"/>
                <w:szCs w:val="21"/>
              </w:rPr>
            </w:pPr>
            <w:r>
              <w:rPr>
                <w:rFonts w:hint="eastAsia" w:ascii="宋体" w:hAnsi="宋体" w:cs="宋体"/>
                <w:kern w:val="0"/>
                <w:szCs w:val="21"/>
              </w:rPr>
              <w:t>0771-</w:t>
            </w:r>
            <w:r>
              <w:rPr>
                <w:rFonts w:hint="eastAsia" w:ascii="宋体" w:hAnsi="宋体" w:cs="宋体"/>
                <w:szCs w:val="21"/>
              </w:rPr>
              <w:t>7917015</w:t>
            </w:r>
          </w:p>
        </w:tc>
      </w:tr>
      <w:tr w14:paraId="4B48527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2C8D97">
            <w:pPr>
              <w:widowControl/>
              <w:jc w:val="left"/>
              <w:textAlignment w:val="center"/>
              <w:rPr>
                <w:rFonts w:ascii="宋体" w:hAnsi="宋体" w:cs="宋体"/>
                <w:kern w:val="0"/>
                <w:szCs w:val="21"/>
              </w:rPr>
            </w:pPr>
            <w:r>
              <w:rPr>
                <w:rFonts w:hint="eastAsia" w:ascii="宋体" w:hAnsi="宋体" w:cs="宋体"/>
                <w:kern w:val="0"/>
                <w:szCs w:val="21"/>
              </w:rPr>
              <w:t>建行大新支行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0DB7F57C">
            <w:pPr>
              <w:widowControl/>
              <w:jc w:val="left"/>
              <w:textAlignment w:val="center"/>
              <w:rPr>
                <w:rFonts w:ascii="宋体" w:hAnsi="宋体" w:cs="宋体"/>
                <w:kern w:val="0"/>
                <w:szCs w:val="21"/>
              </w:rPr>
            </w:pPr>
            <w:r>
              <w:rPr>
                <w:rFonts w:hint="eastAsia" w:ascii="宋体" w:hAnsi="宋体" w:cs="宋体"/>
                <w:kern w:val="0"/>
                <w:szCs w:val="21"/>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5F4C580">
            <w:pPr>
              <w:widowControl/>
              <w:jc w:val="center"/>
              <w:textAlignment w:val="center"/>
              <w:rPr>
                <w:rFonts w:ascii="宋体" w:hAnsi="宋体" w:cs="宋体"/>
                <w:kern w:val="0"/>
                <w:szCs w:val="21"/>
              </w:rPr>
            </w:pPr>
            <w:r>
              <w:rPr>
                <w:rFonts w:hint="eastAsia" w:ascii="宋体" w:hAnsi="宋体" w:cs="宋体"/>
                <w:kern w:val="0"/>
                <w:szCs w:val="21"/>
              </w:rPr>
              <w:t>0771-3689766</w:t>
            </w:r>
          </w:p>
        </w:tc>
      </w:tr>
      <w:tr w14:paraId="28B5C14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23A07F">
            <w:pPr>
              <w:widowControl/>
              <w:jc w:val="left"/>
              <w:textAlignment w:val="center"/>
              <w:rPr>
                <w:rFonts w:ascii="宋体" w:hAnsi="宋体" w:cs="宋体"/>
                <w:kern w:val="0"/>
                <w:szCs w:val="21"/>
              </w:rPr>
            </w:pPr>
            <w:r>
              <w:rPr>
                <w:rFonts w:hint="eastAsia" w:ascii="宋体" w:hAnsi="宋体" w:cs="宋体"/>
                <w:kern w:val="0"/>
                <w:szCs w:val="21"/>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037A501A">
            <w:pPr>
              <w:widowControl/>
              <w:jc w:val="left"/>
              <w:textAlignment w:val="center"/>
              <w:rPr>
                <w:rFonts w:ascii="宋体" w:hAnsi="宋体" w:cs="宋体"/>
                <w:kern w:val="0"/>
                <w:szCs w:val="21"/>
              </w:rPr>
            </w:pPr>
            <w:r>
              <w:rPr>
                <w:rFonts w:hint="eastAsia" w:ascii="宋体" w:hAnsi="宋体" w:cs="宋体"/>
                <w:kern w:val="0"/>
                <w:szCs w:val="21"/>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1E596EBF">
            <w:pPr>
              <w:widowControl/>
              <w:jc w:val="center"/>
              <w:textAlignment w:val="center"/>
              <w:rPr>
                <w:rFonts w:ascii="宋体" w:hAnsi="宋体" w:cs="宋体"/>
                <w:kern w:val="0"/>
                <w:szCs w:val="21"/>
              </w:rPr>
            </w:pPr>
            <w:r>
              <w:rPr>
                <w:rFonts w:hint="eastAsia" w:ascii="宋体" w:hAnsi="宋体" w:cs="宋体"/>
                <w:kern w:val="0"/>
                <w:szCs w:val="21"/>
              </w:rPr>
              <w:t>0771-3623887</w:t>
            </w:r>
          </w:p>
        </w:tc>
      </w:tr>
      <w:tr w14:paraId="7B9BB1C4">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DEB23E">
            <w:pPr>
              <w:widowControl/>
              <w:jc w:val="left"/>
              <w:textAlignment w:val="center"/>
              <w:rPr>
                <w:rFonts w:ascii="宋体" w:hAnsi="宋体" w:cs="宋体"/>
                <w:kern w:val="0"/>
                <w:szCs w:val="21"/>
              </w:rPr>
            </w:pPr>
            <w:r>
              <w:rPr>
                <w:rFonts w:hint="eastAsia" w:ascii="宋体" w:hAnsi="宋体" w:cs="宋体"/>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E953796">
            <w:pPr>
              <w:widowControl/>
              <w:jc w:val="left"/>
              <w:textAlignment w:val="center"/>
              <w:rPr>
                <w:rFonts w:ascii="宋体" w:hAnsi="宋体" w:cs="宋体"/>
                <w:kern w:val="0"/>
                <w:szCs w:val="21"/>
              </w:rPr>
            </w:pPr>
            <w:r>
              <w:rPr>
                <w:rFonts w:hint="eastAsia" w:ascii="宋体" w:hAnsi="宋体" w:cs="宋体"/>
                <w:kern w:val="0"/>
                <w:szCs w:val="21"/>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56E0DB6">
            <w:pPr>
              <w:widowControl/>
              <w:jc w:val="center"/>
              <w:textAlignment w:val="center"/>
              <w:rPr>
                <w:rFonts w:ascii="宋体" w:hAnsi="宋体" w:cs="宋体"/>
                <w:kern w:val="0"/>
                <w:szCs w:val="21"/>
              </w:rPr>
            </w:pPr>
            <w:r>
              <w:rPr>
                <w:rFonts w:hint="eastAsia" w:ascii="宋体" w:hAnsi="宋体" w:cs="宋体"/>
                <w:kern w:val="0"/>
                <w:szCs w:val="21"/>
              </w:rPr>
              <w:t>0771-3621996</w:t>
            </w:r>
          </w:p>
        </w:tc>
      </w:tr>
      <w:tr w14:paraId="223F977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8AD6E">
            <w:pPr>
              <w:widowControl/>
              <w:jc w:val="left"/>
              <w:textAlignment w:val="center"/>
              <w:rPr>
                <w:rFonts w:ascii="宋体" w:hAnsi="宋体" w:cs="宋体"/>
                <w:kern w:val="0"/>
                <w:szCs w:val="21"/>
              </w:rPr>
            </w:pPr>
            <w:r>
              <w:rPr>
                <w:rFonts w:hint="eastAsia" w:ascii="宋体" w:hAnsi="宋体" w:cs="宋体"/>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3A0F7953">
            <w:pPr>
              <w:widowControl/>
              <w:jc w:val="left"/>
              <w:textAlignment w:val="center"/>
              <w:rPr>
                <w:rFonts w:ascii="宋体" w:hAnsi="宋体" w:cs="宋体"/>
                <w:kern w:val="0"/>
                <w:szCs w:val="21"/>
              </w:rPr>
            </w:pPr>
            <w:r>
              <w:rPr>
                <w:rFonts w:hint="eastAsia" w:ascii="宋体" w:hAnsi="宋体" w:cs="宋体"/>
                <w:kern w:val="0"/>
                <w:szCs w:val="21"/>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C2B6C63">
            <w:pPr>
              <w:widowControl/>
              <w:jc w:val="center"/>
              <w:textAlignment w:val="center"/>
              <w:rPr>
                <w:rFonts w:ascii="宋体" w:hAnsi="宋体" w:cs="宋体"/>
                <w:kern w:val="0"/>
                <w:szCs w:val="21"/>
              </w:rPr>
            </w:pPr>
            <w:r>
              <w:rPr>
                <w:rFonts w:hint="eastAsia" w:ascii="宋体" w:hAnsi="宋体" w:cs="宋体"/>
                <w:szCs w:val="21"/>
              </w:rPr>
              <w:t>0771-3628366</w:t>
            </w:r>
          </w:p>
        </w:tc>
      </w:tr>
      <w:tr w14:paraId="30F9831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A9C15C">
            <w:pPr>
              <w:widowControl/>
              <w:jc w:val="left"/>
              <w:textAlignment w:val="center"/>
              <w:rPr>
                <w:rFonts w:ascii="宋体" w:hAnsi="宋体" w:cs="宋体"/>
                <w:kern w:val="0"/>
                <w:szCs w:val="21"/>
              </w:rPr>
            </w:pPr>
            <w:r>
              <w:rPr>
                <w:rFonts w:hint="eastAsia" w:ascii="宋体" w:hAnsi="宋体" w:cs="宋体"/>
                <w:kern w:val="0"/>
                <w:szCs w:val="21"/>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34B5516A">
            <w:pPr>
              <w:widowControl/>
              <w:jc w:val="left"/>
              <w:textAlignment w:val="center"/>
              <w:rPr>
                <w:rFonts w:ascii="宋体" w:hAnsi="宋体" w:cs="宋体"/>
                <w:kern w:val="0"/>
                <w:szCs w:val="21"/>
              </w:rPr>
            </w:pPr>
            <w:r>
              <w:rPr>
                <w:rFonts w:hint="eastAsia" w:ascii="宋体" w:hAnsi="宋体" w:cs="宋体"/>
                <w:kern w:val="0"/>
                <w:szCs w:val="21"/>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3E814AFA">
            <w:pPr>
              <w:widowControl/>
              <w:jc w:val="center"/>
              <w:textAlignment w:val="center"/>
              <w:rPr>
                <w:rFonts w:ascii="宋体" w:hAnsi="宋体" w:cs="宋体"/>
                <w:kern w:val="0"/>
                <w:szCs w:val="21"/>
              </w:rPr>
            </w:pPr>
            <w:r>
              <w:rPr>
                <w:rFonts w:hint="eastAsia" w:ascii="宋体" w:hAnsi="宋体" w:cs="宋体"/>
                <w:kern w:val="0"/>
                <w:szCs w:val="21"/>
              </w:rPr>
              <w:t>0771-3698002</w:t>
            </w:r>
          </w:p>
        </w:tc>
      </w:tr>
      <w:tr w14:paraId="266A23D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2C024C">
            <w:pPr>
              <w:widowControl/>
              <w:jc w:val="left"/>
              <w:textAlignment w:val="center"/>
              <w:rPr>
                <w:rFonts w:ascii="宋体" w:hAnsi="宋体" w:cs="宋体"/>
                <w:kern w:val="0"/>
                <w:szCs w:val="21"/>
              </w:rPr>
            </w:pPr>
            <w:r>
              <w:rPr>
                <w:rFonts w:hint="eastAsia" w:ascii="宋体" w:hAnsi="宋体" w:cs="宋体"/>
                <w:kern w:val="0"/>
                <w:szCs w:val="21"/>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2A725B28">
            <w:pPr>
              <w:widowControl/>
              <w:jc w:val="left"/>
              <w:textAlignment w:val="center"/>
              <w:rPr>
                <w:rFonts w:ascii="宋体" w:hAnsi="宋体" w:cs="宋体"/>
                <w:kern w:val="0"/>
                <w:szCs w:val="21"/>
              </w:rPr>
            </w:pPr>
            <w:r>
              <w:rPr>
                <w:rFonts w:hint="eastAsia" w:ascii="宋体" w:hAnsi="宋体" w:cs="宋体"/>
                <w:kern w:val="0"/>
                <w:szCs w:val="21"/>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1480DB0A">
            <w:pPr>
              <w:widowControl/>
              <w:jc w:val="center"/>
              <w:textAlignment w:val="center"/>
              <w:rPr>
                <w:rFonts w:ascii="宋体" w:hAnsi="宋体" w:cs="宋体"/>
                <w:szCs w:val="21"/>
              </w:rPr>
            </w:pPr>
            <w:r>
              <w:rPr>
                <w:rFonts w:hint="eastAsia" w:ascii="宋体" w:hAnsi="宋体" w:cs="宋体"/>
                <w:kern w:val="0"/>
                <w:szCs w:val="21"/>
              </w:rPr>
              <w:t>0771-3626199</w:t>
            </w:r>
          </w:p>
        </w:tc>
      </w:tr>
      <w:tr w14:paraId="4B917A2C">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01EF3B">
            <w:pPr>
              <w:widowControl/>
              <w:jc w:val="left"/>
              <w:textAlignment w:val="center"/>
              <w:rPr>
                <w:rFonts w:ascii="宋体" w:hAnsi="宋体" w:cs="宋体"/>
                <w:szCs w:val="21"/>
              </w:rPr>
            </w:pPr>
            <w:r>
              <w:rPr>
                <w:rFonts w:hint="eastAsia" w:ascii="宋体" w:hAnsi="宋体" w:cs="宋体"/>
                <w:b/>
                <w:bCs/>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6A8270E0">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64F68B62">
            <w:pPr>
              <w:widowControl/>
              <w:jc w:val="center"/>
              <w:textAlignment w:val="center"/>
              <w:rPr>
                <w:rFonts w:ascii="宋体" w:hAnsi="宋体" w:cs="宋体"/>
                <w:szCs w:val="21"/>
              </w:rPr>
            </w:pPr>
          </w:p>
        </w:tc>
      </w:tr>
      <w:tr w14:paraId="21EA692C">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7DD477">
            <w:pPr>
              <w:widowControl/>
              <w:jc w:val="left"/>
              <w:textAlignment w:val="center"/>
              <w:rPr>
                <w:rFonts w:ascii="宋体" w:hAnsi="宋体" w:cs="宋体"/>
                <w:szCs w:val="21"/>
              </w:rPr>
            </w:pPr>
            <w:r>
              <w:rPr>
                <w:rFonts w:hint="eastAsia" w:ascii="宋体" w:hAnsi="宋体" w:cs="宋体"/>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5C4F1F53">
            <w:pPr>
              <w:widowControl/>
              <w:jc w:val="left"/>
              <w:textAlignment w:val="center"/>
              <w:rPr>
                <w:rFonts w:ascii="宋体" w:hAnsi="宋体" w:cs="宋体"/>
                <w:szCs w:val="21"/>
              </w:rPr>
            </w:pPr>
            <w:r>
              <w:rPr>
                <w:rFonts w:hint="eastAsia" w:ascii="宋体" w:hAnsi="宋体" w:cs="宋体"/>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D447BA1">
            <w:pPr>
              <w:widowControl/>
              <w:jc w:val="center"/>
              <w:textAlignment w:val="center"/>
              <w:rPr>
                <w:rFonts w:ascii="宋体" w:hAnsi="宋体" w:cs="宋体"/>
                <w:szCs w:val="21"/>
              </w:rPr>
            </w:pPr>
            <w:r>
              <w:rPr>
                <w:rFonts w:hint="eastAsia" w:ascii="宋体" w:hAnsi="宋体" w:cs="宋体"/>
                <w:szCs w:val="21"/>
              </w:rPr>
              <w:t>0771-8868619</w:t>
            </w:r>
          </w:p>
        </w:tc>
      </w:tr>
      <w:tr w14:paraId="7174A8F0">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1C2CD">
            <w:pPr>
              <w:widowControl/>
              <w:jc w:val="left"/>
              <w:textAlignment w:val="center"/>
              <w:rPr>
                <w:rFonts w:ascii="宋体" w:hAnsi="宋体" w:cs="宋体"/>
                <w:szCs w:val="21"/>
              </w:rPr>
            </w:pPr>
            <w:r>
              <w:rPr>
                <w:rFonts w:hint="eastAsia" w:ascii="宋体" w:hAnsi="宋体" w:cs="宋体"/>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B46755B">
            <w:pPr>
              <w:widowControl/>
              <w:jc w:val="left"/>
              <w:textAlignment w:val="center"/>
              <w:rPr>
                <w:rFonts w:ascii="宋体" w:hAnsi="宋体" w:cs="宋体"/>
                <w:szCs w:val="21"/>
              </w:rPr>
            </w:pPr>
            <w:r>
              <w:rPr>
                <w:rFonts w:hint="eastAsia" w:ascii="宋体" w:hAnsi="宋体" w:cs="宋体"/>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16F21B08">
            <w:pPr>
              <w:widowControl/>
              <w:jc w:val="center"/>
              <w:textAlignment w:val="center"/>
              <w:rPr>
                <w:rFonts w:ascii="宋体" w:hAnsi="宋体" w:cs="宋体"/>
                <w:szCs w:val="21"/>
              </w:rPr>
            </w:pPr>
            <w:r>
              <w:rPr>
                <w:rFonts w:hint="eastAsia" w:ascii="宋体" w:hAnsi="宋体" w:cs="宋体"/>
                <w:szCs w:val="21"/>
              </w:rPr>
              <w:t>0771-8812504</w:t>
            </w:r>
          </w:p>
        </w:tc>
      </w:tr>
      <w:tr w14:paraId="42F506E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8EC7F1">
            <w:pPr>
              <w:widowControl/>
              <w:jc w:val="left"/>
              <w:textAlignment w:val="center"/>
              <w:rPr>
                <w:rFonts w:ascii="宋体" w:hAnsi="宋体" w:cs="宋体"/>
                <w:szCs w:val="21"/>
              </w:rPr>
            </w:pPr>
            <w:r>
              <w:rPr>
                <w:rFonts w:hint="eastAsia" w:ascii="宋体" w:hAnsi="宋体" w:cs="宋体"/>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41B7BB8C">
            <w:pPr>
              <w:widowControl/>
              <w:jc w:val="left"/>
              <w:textAlignment w:val="center"/>
              <w:rPr>
                <w:rFonts w:ascii="宋体" w:hAnsi="宋体" w:cs="宋体"/>
                <w:szCs w:val="21"/>
              </w:rPr>
            </w:pPr>
            <w:r>
              <w:rPr>
                <w:rFonts w:hint="eastAsia" w:ascii="宋体" w:hAnsi="宋体" w:cs="宋体"/>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3D0EA63A">
            <w:pPr>
              <w:widowControl/>
              <w:jc w:val="center"/>
              <w:textAlignment w:val="center"/>
              <w:rPr>
                <w:rFonts w:ascii="宋体" w:hAnsi="宋体" w:cs="宋体"/>
                <w:szCs w:val="21"/>
              </w:rPr>
            </w:pPr>
            <w:r>
              <w:rPr>
                <w:rFonts w:hint="eastAsia" w:ascii="宋体" w:hAnsi="宋体" w:cs="宋体"/>
                <w:szCs w:val="21"/>
              </w:rPr>
              <w:t>0771-8820525</w:t>
            </w:r>
          </w:p>
        </w:tc>
      </w:tr>
      <w:tr w14:paraId="2E863FE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7434A3">
            <w:pPr>
              <w:widowControl/>
              <w:jc w:val="left"/>
              <w:textAlignment w:val="center"/>
              <w:rPr>
                <w:rFonts w:ascii="宋体" w:hAnsi="宋体" w:cs="宋体"/>
                <w:szCs w:val="21"/>
              </w:rPr>
            </w:pPr>
            <w:r>
              <w:rPr>
                <w:rFonts w:hint="eastAsia" w:ascii="宋体" w:hAnsi="宋体" w:cs="宋体"/>
                <w:szCs w:val="21"/>
              </w:rPr>
              <w:t>龙州农商行公司机构金融</w:t>
            </w:r>
            <w:r>
              <w:rPr>
                <w:rFonts w:hint="eastAsia" w:cs="宋体"/>
                <w:szCs w:val="21"/>
              </w:rPr>
              <w:t>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363A0501">
            <w:pPr>
              <w:widowControl/>
              <w:jc w:val="left"/>
              <w:textAlignment w:val="center"/>
              <w:rPr>
                <w:rFonts w:ascii="宋体" w:hAnsi="宋体" w:cs="宋体"/>
                <w:szCs w:val="21"/>
              </w:rPr>
            </w:pPr>
            <w:r>
              <w:rPr>
                <w:rFonts w:hint="eastAsia" w:ascii="宋体" w:hAnsi="宋体" w:cs="宋体"/>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0970E604">
            <w:pPr>
              <w:widowControl/>
              <w:jc w:val="center"/>
              <w:textAlignment w:val="center"/>
              <w:rPr>
                <w:rFonts w:ascii="宋体" w:hAnsi="宋体" w:cs="宋体"/>
                <w:szCs w:val="21"/>
              </w:rPr>
            </w:pPr>
            <w:r>
              <w:rPr>
                <w:rFonts w:hint="eastAsia" w:ascii="宋体" w:hAnsi="宋体" w:cs="宋体"/>
                <w:szCs w:val="21"/>
              </w:rPr>
              <w:t>0771-8813013</w:t>
            </w:r>
          </w:p>
        </w:tc>
      </w:tr>
      <w:tr w14:paraId="49C7CF6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EA3EA">
            <w:pPr>
              <w:widowControl/>
              <w:jc w:val="left"/>
              <w:textAlignment w:val="center"/>
              <w:rPr>
                <w:rFonts w:ascii="宋体" w:hAnsi="宋体" w:cs="宋体"/>
                <w:szCs w:val="21"/>
              </w:rPr>
            </w:pPr>
            <w:r>
              <w:rPr>
                <w:rFonts w:hint="eastAsia" w:ascii="宋体" w:hAnsi="宋体" w:cs="宋体"/>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F577516">
            <w:pPr>
              <w:widowControl/>
              <w:jc w:val="left"/>
              <w:textAlignment w:val="center"/>
              <w:rPr>
                <w:rFonts w:ascii="宋体" w:hAnsi="宋体" w:cs="宋体"/>
                <w:szCs w:val="21"/>
              </w:rPr>
            </w:pPr>
            <w:r>
              <w:rPr>
                <w:rFonts w:hint="eastAsia" w:ascii="宋体" w:hAnsi="宋体" w:cs="宋体"/>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BE0EAB3">
            <w:pPr>
              <w:widowControl/>
              <w:jc w:val="center"/>
              <w:textAlignment w:val="center"/>
              <w:rPr>
                <w:rFonts w:ascii="宋体" w:hAnsi="宋体" w:cs="宋体"/>
                <w:szCs w:val="21"/>
              </w:rPr>
            </w:pPr>
            <w:r>
              <w:rPr>
                <w:rFonts w:hint="eastAsia" w:ascii="宋体" w:hAnsi="宋体" w:cs="宋体"/>
                <w:szCs w:val="21"/>
              </w:rPr>
              <w:t>0771-8871021</w:t>
            </w:r>
          </w:p>
        </w:tc>
      </w:tr>
      <w:tr w14:paraId="14E745F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A6126B">
            <w:pPr>
              <w:widowControl/>
              <w:jc w:val="left"/>
              <w:textAlignment w:val="center"/>
              <w:rPr>
                <w:rFonts w:ascii="宋体" w:hAnsi="宋体" w:cs="宋体"/>
                <w:szCs w:val="21"/>
              </w:rPr>
            </w:pPr>
            <w:r>
              <w:rPr>
                <w:rFonts w:hint="eastAsia" w:ascii="宋体" w:hAnsi="宋体" w:cs="宋体"/>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0E9356A3">
            <w:pPr>
              <w:widowControl/>
              <w:jc w:val="left"/>
              <w:textAlignment w:val="center"/>
              <w:rPr>
                <w:rFonts w:ascii="宋体" w:hAnsi="宋体" w:cs="宋体"/>
                <w:szCs w:val="21"/>
              </w:rPr>
            </w:pPr>
            <w:r>
              <w:rPr>
                <w:rFonts w:hint="eastAsia" w:ascii="宋体" w:hAnsi="宋体" w:cs="宋体"/>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4C9902D2">
            <w:pPr>
              <w:widowControl/>
              <w:jc w:val="center"/>
              <w:textAlignment w:val="center"/>
              <w:rPr>
                <w:rFonts w:ascii="宋体" w:hAnsi="宋体" w:cs="宋体"/>
                <w:szCs w:val="21"/>
              </w:rPr>
            </w:pPr>
            <w:r>
              <w:rPr>
                <w:rFonts w:hint="eastAsia" w:ascii="宋体" w:hAnsi="宋体" w:cs="宋体"/>
                <w:szCs w:val="21"/>
              </w:rPr>
              <w:t>0771-8811533</w:t>
            </w:r>
          </w:p>
        </w:tc>
      </w:tr>
      <w:tr w14:paraId="693A1A0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B1579B">
            <w:pPr>
              <w:widowControl/>
              <w:textAlignment w:val="center"/>
              <w:rPr>
                <w:rFonts w:ascii="宋体" w:hAnsi="宋体" w:cs="宋体"/>
                <w:szCs w:val="21"/>
              </w:rPr>
            </w:pPr>
            <w:r>
              <w:rPr>
                <w:rFonts w:hint="eastAsia" w:ascii="宋体" w:hAnsi="宋体" w:cs="宋体"/>
                <w:b/>
                <w:bCs/>
                <w:szCs w:val="21"/>
              </w:rPr>
              <w:t>崇左市江州区</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008BCF0E">
            <w:pPr>
              <w:widowControl/>
              <w:jc w:val="left"/>
              <w:textAlignment w:val="center"/>
              <w:rPr>
                <w:rFonts w:ascii="宋体" w:hAnsi="宋体" w:cs="宋体"/>
                <w:szCs w:val="21"/>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1C0AEF6">
            <w:pPr>
              <w:widowControl/>
              <w:jc w:val="center"/>
              <w:textAlignment w:val="center"/>
              <w:rPr>
                <w:rFonts w:ascii="宋体" w:hAnsi="宋体" w:cs="宋体"/>
                <w:szCs w:val="21"/>
              </w:rPr>
            </w:pPr>
          </w:p>
        </w:tc>
      </w:tr>
      <w:tr w14:paraId="3A2D926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2C3EB5">
            <w:pPr>
              <w:widowControl/>
              <w:jc w:val="left"/>
              <w:textAlignment w:val="center"/>
              <w:rPr>
                <w:rFonts w:ascii="宋体" w:hAnsi="宋体" w:cs="宋体"/>
                <w:szCs w:val="21"/>
              </w:rPr>
            </w:pPr>
            <w:r>
              <w:rPr>
                <w:rFonts w:hint="eastAsia" w:ascii="宋体" w:hAnsi="宋体" w:cs="宋体"/>
                <w:szCs w:val="21"/>
              </w:rPr>
              <w:t>工商银行崇左市江州区支行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68510F6B">
            <w:pPr>
              <w:widowControl/>
              <w:jc w:val="left"/>
              <w:textAlignment w:val="center"/>
              <w:rPr>
                <w:rFonts w:ascii="宋体" w:hAnsi="宋体" w:cs="宋体"/>
                <w:szCs w:val="21"/>
              </w:rPr>
            </w:pPr>
            <w:r>
              <w:rPr>
                <w:rFonts w:hint="eastAsia" w:ascii="宋体" w:hAnsi="宋体" w:cs="宋体"/>
                <w:szCs w:val="21"/>
              </w:rPr>
              <w:t>崇左市江州区天等镇朝阳东路054号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00B32EEB">
            <w:pPr>
              <w:widowControl/>
              <w:jc w:val="center"/>
              <w:textAlignment w:val="center"/>
              <w:rPr>
                <w:rFonts w:ascii="宋体" w:hAnsi="宋体" w:cs="宋体"/>
                <w:szCs w:val="21"/>
              </w:rPr>
            </w:pPr>
            <w:r>
              <w:rPr>
                <w:rFonts w:hint="eastAsia" w:ascii="宋体" w:hAnsi="宋体" w:cs="宋体"/>
                <w:szCs w:val="21"/>
              </w:rPr>
              <w:t>0771-3532211</w:t>
            </w:r>
          </w:p>
        </w:tc>
      </w:tr>
      <w:tr w14:paraId="13CFFC3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02A63">
            <w:pPr>
              <w:widowControl/>
              <w:jc w:val="left"/>
              <w:textAlignment w:val="center"/>
              <w:rPr>
                <w:rFonts w:ascii="宋体" w:hAnsi="宋体" w:cs="宋体"/>
                <w:szCs w:val="21"/>
              </w:rPr>
            </w:pPr>
            <w:r>
              <w:rPr>
                <w:rFonts w:hint="eastAsia" w:ascii="宋体" w:hAnsi="宋体" w:cs="宋体"/>
                <w:szCs w:val="21"/>
              </w:rPr>
              <w:t>农业银行崇左市江州区支行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51CABA8">
            <w:pPr>
              <w:widowControl/>
              <w:jc w:val="left"/>
              <w:textAlignment w:val="center"/>
              <w:rPr>
                <w:rFonts w:ascii="宋体" w:hAnsi="宋体" w:cs="宋体"/>
                <w:szCs w:val="21"/>
              </w:rPr>
            </w:pPr>
            <w:r>
              <w:rPr>
                <w:rFonts w:hint="eastAsia" w:ascii="宋体" w:hAnsi="宋体" w:cs="宋体"/>
                <w:szCs w:val="21"/>
              </w:rPr>
              <w:t>崇左市江州区天等镇天宝北路007号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BF12381">
            <w:pPr>
              <w:widowControl/>
              <w:jc w:val="center"/>
              <w:textAlignment w:val="center"/>
              <w:rPr>
                <w:rFonts w:ascii="宋体" w:hAnsi="宋体" w:cs="宋体"/>
                <w:szCs w:val="21"/>
              </w:rPr>
            </w:pPr>
            <w:r>
              <w:rPr>
                <w:rFonts w:hint="eastAsia" w:ascii="宋体" w:hAnsi="宋体" w:cs="宋体"/>
                <w:szCs w:val="21"/>
              </w:rPr>
              <w:t>0771-7917046</w:t>
            </w:r>
          </w:p>
        </w:tc>
      </w:tr>
      <w:tr w14:paraId="0B0F9D9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3781EA">
            <w:pPr>
              <w:widowControl/>
              <w:jc w:val="left"/>
              <w:textAlignment w:val="center"/>
              <w:rPr>
                <w:rFonts w:ascii="宋体" w:hAnsi="宋体" w:cs="宋体"/>
                <w:szCs w:val="21"/>
              </w:rPr>
            </w:pPr>
            <w:r>
              <w:rPr>
                <w:rFonts w:hint="eastAsia" w:ascii="宋体" w:hAnsi="宋体" w:cs="宋体"/>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39206DF7">
            <w:pPr>
              <w:widowControl/>
              <w:jc w:val="left"/>
              <w:textAlignment w:val="center"/>
              <w:rPr>
                <w:rFonts w:ascii="宋体" w:hAnsi="宋体" w:cs="宋体"/>
                <w:szCs w:val="21"/>
              </w:rPr>
            </w:pPr>
            <w:r>
              <w:rPr>
                <w:rFonts w:hint="eastAsia" w:ascii="宋体" w:hAnsi="宋体" w:cs="宋体"/>
                <w:szCs w:val="21"/>
              </w:rPr>
              <w:t>崇左市江州区天等镇仕民路48号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1DA17027">
            <w:pPr>
              <w:widowControl/>
              <w:jc w:val="center"/>
              <w:textAlignment w:val="center"/>
              <w:rPr>
                <w:rFonts w:ascii="宋体" w:hAnsi="宋体" w:cs="宋体"/>
                <w:szCs w:val="21"/>
              </w:rPr>
            </w:pPr>
            <w:r>
              <w:rPr>
                <w:rFonts w:hint="eastAsia" w:ascii="宋体" w:hAnsi="宋体" w:cs="宋体"/>
                <w:szCs w:val="21"/>
              </w:rPr>
              <w:t>0771-3521361</w:t>
            </w:r>
          </w:p>
        </w:tc>
      </w:tr>
      <w:tr w14:paraId="2F74419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56EDAB">
            <w:pPr>
              <w:widowControl/>
              <w:jc w:val="left"/>
              <w:textAlignment w:val="center"/>
              <w:rPr>
                <w:rFonts w:ascii="宋体" w:hAnsi="宋体" w:cs="宋体"/>
                <w:szCs w:val="21"/>
              </w:rPr>
            </w:pPr>
            <w:r>
              <w:rPr>
                <w:rFonts w:hint="eastAsia" w:ascii="宋体" w:hAnsi="宋体" w:cs="宋体"/>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049A5097">
            <w:pPr>
              <w:widowControl/>
              <w:jc w:val="left"/>
              <w:textAlignment w:val="center"/>
              <w:rPr>
                <w:rFonts w:ascii="宋体" w:hAnsi="宋体" w:cs="宋体"/>
                <w:szCs w:val="21"/>
              </w:rPr>
            </w:pPr>
            <w:r>
              <w:rPr>
                <w:rFonts w:hint="eastAsia" w:ascii="宋体" w:hAnsi="宋体" w:cs="宋体"/>
                <w:szCs w:val="21"/>
              </w:rPr>
              <w:t>广西崇左市江州区天等镇天宝北路天府中央城5号楼115号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632F8F2A">
            <w:pPr>
              <w:widowControl/>
              <w:jc w:val="center"/>
              <w:textAlignment w:val="center"/>
              <w:rPr>
                <w:rFonts w:ascii="宋体" w:hAnsi="宋体" w:cs="宋体"/>
                <w:szCs w:val="21"/>
              </w:rPr>
            </w:pPr>
            <w:r>
              <w:rPr>
                <w:rFonts w:hint="eastAsia" w:ascii="宋体" w:hAnsi="宋体" w:cs="宋体"/>
                <w:szCs w:val="21"/>
              </w:rPr>
              <w:t>0771-3522157</w:t>
            </w:r>
          </w:p>
        </w:tc>
      </w:tr>
      <w:tr w14:paraId="3CEAA7F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B66018">
            <w:pPr>
              <w:widowControl/>
              <w:jc w:val="left"/>
              <w:textAlignment w:val="center"/>
              <w:rPr>
                <w:rFonts w:ascii="宋体" w:hAnsi="宋体" w:cs="宋体"/>
                <w:szCs w:val="21"/>
              </w:rPr>
            </w:pPr>
            <w:r>
              <w:rPr>
                <w:rFonts w:hint="eastAsia" w:ascii="宋体" w:hAnsi="宋体" w:cs="宋体"/>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3F44B692">
            <w:pPr>
              <w:widowControl/>
              <w:jc w:val="left"/>
              <w:textAlignment w:val="center"/>
              <w:rPr>
                <w:rFonts w:ascii="宋体" w:hAnsi="宋体" w:cs="宋体"/>
                <w:szCs w:val="21"/>
              </w:rPr>
            </w:pPr>
            <w:r>
              <w:rPr>
                <w:rFonts w:hint="eastAsia" w:ascii="宋体" w:hAnsi="宋体" w:cs="宋体"/>
                <w:szCs w:val="21"/>
              </w:rPr>
              <w:t>崇左市江州区天宝南路002号天富商业广场28栋一层商铺6-17号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3BAD5E6">
            <w:pPr>
              <w:widowControl/>
              <w:jc w:val="center"/>
              <w:textAlignment w:val="center"/>
              <w:rPr>
                <w:rFonts w:ascii="宋体" w:hAnsi="宋体" w:cs="宋体"/>
                <w:szCs w:val="21"/>
              </w:rPr>
            </w:pPr>
            <w:r>
              <w:rPr>
                <w:rFonts w:hint="eastAsia" w:ascii="宋体" w:hAnsi="宋体" w:cs="宋体"/>
                <w:szCs w:val="21"/>
              </w:rPr>
              <w:t>0771-3528688</w:t>
            </w:r>
          </w:p>
        </w:tc>
      </w:tr>
      <w:tr w14:paraId="6547589F">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317A78D">
            <w:pPr>
              <w:widowControl/>
              <w:jc w:val="left"/>
              <w:textAlignment w:val="center"/>
              <w:rPr>
                <w:rFonts w:ascii="宋体" w:hAnsi="宋体" w:cs="宋体"/>
                <w:szCs w:val="21"/>
              </w:rPr>
            </w:pPr>
            <w:r>
              <w:rPr>
                <w:rFonts w:hint="eastAsia" w:ascii="宋体" w:hAnsi="宋体" w:cs="宋体"/>
                <w:b/>
                <w:bCs/>
                <w:szCs w:val="21"/>
              </w:rPr>
              <w:t>凭祥市</w:t>
            </w:r>
          </w:p>
        </w:tc>
      </w:tr>
      <w:tr w14:paraId="6EC8D946">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7F2801">
            <w:pPr>
              <w:widowControl/>
              <w:jc w:val="left"/>
              <w:textAlignment w:val="center"/>
              <w:rPr>
                <w:rFonts w:ascii="宋体" w:hAnsi="宋体" w:cs="宋体"/>
                <w:szCs w:val="21"/>
              </w:rPr>
            </w:pPr>
            <w:r>
              <w:rPr>
                <w:rFonts w:hint="eastAsia" w:ascii="宋体" w:hAnsi="宋体" w:cs="宋体"/>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0D486062">
            <w:pPr>
              <w:widowControl/>
              <w:jc w:val="left"/>
              <w:textAlignment w:val="center"/>
              <w:rPr>
                <w:rFonts w:ascii="宋体" w:hAnsi="宋体" w:cs="宋体"/>
                <w:szCs w:val="21"/>
              </w:rPr>
            </w:pPr>
            <w:r>
              <w:rPr>
                <w:rFonts w:hint="eastAsia" w:ascii="宋体" w:hAnsi="宋体" w:cs="宋体"/>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6FA5286">
            <w:pPr>
              <w:widowControl/>
              <w:jc w:val="center"/>
              <w:textAlignment w:val="center"/>
              <w:rPr>
                <w:rFonts w:ascii="宋体" w:hAnsi="宋体" w:cs="宋体"/>
                <w:szCs w:val="21"/>
              </w:rPr>
            </w:pPr>
            <w:r>
              <w:rPr>
                <w:rFonts w:hint="eastAsia" w:ascii="宋体" w:hAnsi="宋体" w:cs="宋体"/>
                <w:szCs w:val="21"/>
              </w:rPr>
              <w:t>0771-8529259</w:t>
            </w:r>
          </w:p>
        </w:tc>
      </w:tr>
      <w:tr w14:paraId="28E9B56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459C2D">
            <w:pPr>
              <w:widowControl/>
              <w:jc w:val="left"/>
              <w:textAlignment w:val="center"/>
              <w:rPr>
                <w:rFonts w:ascii="宋体" w:hAnsi="宋体" w:cs="宋体"/>
                <w:szCs w:val="21"/>
              </w:rPr>
            </w:pPr>
            <w:r>
              <w:rPr>
                <w:rFonts w:hint="eastAsia" w:ascii="宋体" w:hAnsi="宋体" w:cs="宋体"/>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7964DD4">
            <w:pPr>
              <w:widowControl/>
              <w:jc w:val="left"/>
              <w:textAlignment w:val="center"/>
              <w:rPr>
                <w:rFonts w:ascii="宋体" w:hAnsi="宋体" w:cs="宋体"/>
                <w:szCs w:val="21"/>
              </w:rPr>
            </w:pPr>
            <w:r>
              <w:rPr>
                <w:rFonts w:hint="eastAsia" w:ascii="宋体" w:hAnsi="宋体" w:cs="宋体"/>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07D29FE">
            <w:pPr>
              <w:widowControl/>
              <w:jc w:val="center"/>
              <w:textAlignment w:val="center"/>
              <w:rPr>
                <w:rFonts w:ascii="宋体" w:hAnsi="宋体" w:cs="宋体"/>
                <w:szCs w:val="21"/>
              </w:rPr>
            </w:pPr>
            <w:r>
              <w:rPr>
                <w:rFonts w:hint="eastAsia" w:ascii="宋体" w:hAnsi="宋体" w:cs="宋体"/>
                <w:szCs w:val="21"/>
              </w:rPr>
              <w:t>0771-7917258</w:t>
            </w:r>
          </w:p>
        </w:tc>
      </w:tr>
      <w:tr w14:paraId="55E987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C67296">
            <w:pPr>
              <w:widowControl/>
              <w:jc w:val="left"/>
              <w:textAlignment w:val="center"/>
              <w:rPr>
                <w:rFonts w:ascii="宋体" w:hAnsi="宋体" w:cs="宋体"/>
                <w:szCs w:val="21"/>
              </w:rPr>
            </w:pPr>
            <w:r>
              <w:rPr>
                <w:rFonts w:hint="eastAsia" w:ascii="宋体" w:hAnsi="宋体" w:cs="宋体"/>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4A394B29">
            <w:pPr>
              <w:widowControl/>
              <w:jc w:val="left"/>
              <w:textAlignment w:val="center"/>
              <w:rPr>
                <w:rFonts w:ascii="宋体" w:hAnsi="宋体" w:cs="宋体"/>
                <w:szCs w:val="21"/>
              </w:rPr>
            </w:pPr>
            <w:r>
              <w:rPr>
                <w:rFonts w:hint="eastAsia" w:ascii="宋体" w:hAnsi="宋体" w:cs="宋体"/>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7C8FAF72">
            <w:pPr>
              <w:widowControl/>
              <w:jc w:val="center"/>
              <w:textAlignment w:val="center"/>
              <w:rPr>
                <w:rFonts w:ascii="宋体" w:hAnsi="宋体" w:cs="宋体"/>
                <w:szCs w:val="21"/>
              </w:rPr>
            </w:pPr>
            <w:r>
              <w:rPr>
                <w:rFonts w:hint="eastAsia" w:ascii="宋体" w:hAnsi="宋体" w:cs="宋体"/>
                <w:szCs w:val="21"/>
              </w:rPr>
              <w:t>0771-85250680771-8536852</w:t>
            </w:r>
          </w:p>
        </w:tc>
      </w:tr>
      <w:tr w14:paraId="370FD2B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6CD8EE">
            <w:pPr>
              <w:widowControl/>
              <w:jc w:val="left"/>
              <w:textAlignment w:val="center"/>
              <w:rPr>
                <w:rFonts w:ascii="宋体" w:hAnsi="宋体" w:cs="宋体"/>
                <w:szCs w:val="21"/>
              </w:rPr>
            </w:pPr>
            <w:r>
              <w:rPr>
                <w:rFonts w:hint="eastAsia" w:ascii="宋体" w:hAnsi="宋体" w:cs="宋体"/>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FECCC5C">
            <w:pPr>
              <w:widowControl/>
              <w:jc w:val="left"/>
              <w:textAlignment w:val="center"/>
              <w:rPr>
                <w:rFonts w:ascii="宋体" w:hAnsi="宋体" w:cs="宋体"/>
                <w:szCs w:val="21"/>
              </w:rPr>
            </w:pPr>
            <w:r>
              <w:rPr>
                <w:rFonts w:hint="eastAsia" w:ascii="宋体" w:hAnsi="宋体" w:cs="宋体"/>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233FDA74">
            <w:pPr>
              <w:widowControl/>
              <w:jc w:val="center"/>
              <w:textAlignment w:val="center"/>
              <w:rPr>
                <w:rFonts w:ascii="宋体" w:hAnsi="宋体" w:cs="宋体"/>
                <w:szCs w:val="21"/>
              </w:rPr>
            </w:pPr>
            <w:r>
              <w:rPr>
                <w:rFonts w:hint="eastAsia" w:ascii="宋体" w:hAnsi="宋体" w:cs="宋体"/>
                <w:szCs w:val="21"/>
              </w:rPr>
              <w:t>0771-8551161</w:t>
            </w:r>
          </w:p>
        </w:tc>
      </w:tr>
      <w:tr w14:paraId="724C8A0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E72237">
            <w:pPr>
              <w:widowControl/>
              <w:jc w:val="left"/>
              <w:textAlignment w:val="center"/>
              <w:rPr>
                <w:rFonts w:ascii="宋体" w:hAnsi="宋体" w:cs="宋体"/>
                <w:szCs w:val="21"/>
              </w:rPr>
            </w:pPr>
            <w:r>
              <w:rPr>
                <w:rFonts w:hint="eastAsia" w:ascii="宋体" w:hAnsi="宋体" w:cs="宋体"/>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5051373C">
            <w:pPr>
              <w:widowControl/>
              <w:jc w:val="left"/>
              <w:textAlignment w:val="center"/>
              <w:rPr>
                <w:rFonts w:ascii="宋体" w:hAnsi="宋体" w:cs="宋体"/>
                <w:szCs w:val="21"/>
              </w:rPr>
            </w:pPr>
            <w:r>
              <w:rPr>
                <w:rFonts w:hint="eastAsia" w:ascii="宋体" w:hAnsi="宋体" w:cs="宋体"/>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685F5B85">
            <w:pPr>
              <w:widowControl/>
              <w:jc w:val="center"/>
              <w:textAlignment w:val="center"/>
              <w:rPr>
                <w:rFonts w:ascii="宋体" w:hAnsi="宋体" w:cs="宋体"/>
                <w:szCs w:val="21"/>
              </w:rPr>
            </w:pPr>
            <w:r>
              <w:rPr>
                <w:rFonts w:hint="eastAsia" w:ascii="宋体" w:hAnsi="宋体" w:cs="宋体"/>
                <w:szCs w:val="21"/>
              </w:rPr>
              <w:t>0771-8561665</w:t>
            </w:r>
          </w:p>
        </w:tc>
      </w:tr>
      <w:tr w14:paraId="37BF3C8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32135C">
            <w:pPr>
              <w:widowControl/>
              <w:jc w:val="left"/>
              <w:textAlignment w:val="center"/>
              <w:rPr>
                <w:rFonts w:ascii="宋体" w:hAnsi="宋体" w:cs="宋体"/>
                <w:szCs w:val="21"/>
              </w:rPr>
            </w:pPr>
            <w:r>
              <w:rPr>
                <w:rFonts w:hint="eastAsia" w:ascii="宋体" w:hAnsi="宋体" w:cs="宋体"/>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7F2288DD">
            <w:pPr>
              <w:widowControl/>
              <w:jc w:val="left"/>
              <w:textAlignment w:val="center"/>
              <w:rPr>
                <w:rFonts w:ascii="宋体" w:hAnsi="宋体" w:cs="宋体"/>
                <w:szCs w:val="21"/>
              </w:rPr>
            </w:pPr>
            <w:r>
              <w:rPr>
                <w:rFonts w:hint="eastAsia" w:ascii="宋体" w:hAnsi="宋体" w:cs="宋体"/>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F6880DD">
            <w:pPr>
              <w:widowControl/>
              <w:jc w:val="center"/>
              <w:textAlignment w:val="center"/>
              <w:rPr>
                <w:rFonts w:ascii="宋体" w:hAnsi="宋体" w:cs="宋体"/>
                <w:szCs w:val="21"/>
              </w:rPr>
            </w:pPr>
            <w:r>
              <w:rPr>
                <w:rFonts w:hint="eastAsia" w:ascii="宋体" w:hAnsi="宋体" w:cs="宋体"/>
                <w:szCs w:val="21"/>
              </w:rPr>
              <w:t>0771-8520356</w:t>
            </w:r>
          </w:p>
        </w:tc>
      </w:tr>
      <w:tr w14:paraId="10B1329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FDE492">
            <w:pPr>
              <w:widowControl/>
              <w:jc w:val="left"/>
              <w:textAlignment w:val="center"/>
              <w:rPr>
                <w:rFonts w:ascii="宋体" w:hAnsi="宋体" w:cs="宋体"/>
                <w:szCs w:val="21"/>
              </w:rPr>
            </w:pPr>
            <w:r>
              <w:rPr>
                <w:rFonts w:hint="eastAsia" w:ascii="宋体" w:hAnsi="宋体" w:cs="宋体"/>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1342EDFF">
            <w:pPr>
              <w:widowControl/>
              <w:jc w:val="left"/>
              <w:textAlignment w:val="center"/>
              <w:rPr>
                <w:rFonts w:ascii="宋体" w:hAnsi="宋体" w:cs="宋体"/>
                <w:szCs w:val="21"/>
              </w:rPr>
            </w:pPr>
            <w:r>
              <w:rPr>
                <w:rFonts w:hint="eastAsia" w:ascii="宋体" w:hAnsi="宋体" w:cs="宋体"/>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0B14C06D">
            <w:pPr>
              <w:widowControl/>
              <w:jc w:val="center"/>
              <w:textAlignment w:val="center"/>
              <w:rPr>
                <w:rFonts w:ascii="宋体" w:hAnsi="宋体" w:cs="宋体"/>
                <w:szCs w:val="21"/>
              </w:rPr>
            </w:pPr>
            <w:r>
              <w:rPr>
                <w:rFonts w:hint="eastAsia" w:ascii="宋体" w:hAnsi="宋体" w:cs="宋体"/>
                <w:szCs w:val="21"/>
              </w:rPr>
              <w:t>0771-8535667</w:t>
            </w:r>
          </w:p>
        </w:tc>
      </w:tr>
      <w:tr w14:paraId="767C47B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69569C">
            <w:pPr>
              <w:widowControl/>
              <w:jc w:val="left"/>
              <w:textAlignment w:val="center"/>
              <w:rPr>
                <w:rFonts w:ascii="宋体" w:hAnsi="宋体" w:cs="宋体"/>
                <w:szCs w:val="21"/>
              </w:rPr>
            </w:pPr>
            <w:r>
              <w:rPr>
                <w:rFonts w:hint="eastAsia" w:ascii="宋体" w:hAnsi="宋体" w:cs="宋体"/>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7BA0CBE0">
            <w:pPr>
              <w:widowControl/>
              <w:jc w:val="left"/>
              <w:textAlignment w:val="center"/>
              <w:rPr>
                <w:rFonts w:ascii="宋体" w:hAnsi="宋体" w:cs="宋体"/>
                <w:szCs w:val="21"/>
              </w:rPr>
            </w:pPr>
            <w:r>
              <w:rPr>
                <w:rFonts w:hint="eastAsia" w:ascii="宋体" w:hAnsi="宋体" w:cs="宋体"/>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176EE02E">
            <w:pPr>
              <w:widowControl/>
              <w:jc w:val="center"/>
              <w:textAlignment w:val="center"/>
              <w:rPr>
                <w:rFonts w:ascii="宋体" w:hAnsi="宋体" w:cs="宋体"/>
                <w:szCs w:val="21"/>
              </w:rPr>
            </w:pPr>
            <w:r>
              <w:rPr>
                <w:rFonts w:hint="eastAsia" w:ascii="宋体" w:hAnsi="宋体" w:cs="宋体"/>
                <w:szCs w:val="21"/>
              </w:rPr>
              <w:t>0771-8520550</w:t>
            </w:r>
          </w:p>
        </w:tc>
      </w:tr>
      <w:tr w14:paraId="2CE4ED3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C4F9BB">
            <w:pPr>
              <w:widowControl/>
              <w:jc w:val="left"/>
              <w:textAlignment w:val="center"/>
              <w:rPr>
                <w:rFonts w:ascii="宋体" w:hAnsi="宋体" w:cs="宋体"/>
                <w:szCs w:val="21"/>
              </w:rPr>
            </w:pPr>
            <w:r>
              <w:rPr>
                <w:rFonts w:hint="eastAsia" w:ascii="宋体" w:hAnsi="宋体" w:cs="宋体"/>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ign w:val="center"/>
          </w:tcPr>
          <w:p w14:paraId="34D7E0DF">
            <w:pPr>
              <w:widowControl/>
              <w:jc w:val="left"/>
              <w:textAlignment w:val="center"/>
              <w:rPr>
                <w:rFonts w:ascii="宋体" w:hAnsi="宋体" w:cs="宋体"/>
                <w:szCs w:val="21"/>
              </w:rPr>
            </w:pPr>
            <w:r>
              <w:rPr>
                <w:rFonts w:hint="eastAsia" w:ascii="宋体" w:hAnsi="宋体" w:cs="宋体"/>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14:paraId="55D1FA01">
            <w:pPr>
              <w:widowControl/>
              <w:jc w:val="center"/>
              <w:textAlignment w:val="center"/>
              <w:rPr>
                <w:rFonts w:ascii="宋体" w:hAnsi="宋体" w:cs="宋体"/>
                <w:szCs w:val="21"/>
              </w:rPr>
            </w:pPr>
            <w:r>
              <w:rPr>
                <w:rFonts w:hint="eastAsia" w:ascii="宋体" w:hAnsi="宋体" w:cs="宋体"/>
                <w:szCs w:val="21"/>
              </w:rPr>
              <w:t>0771-8556667</w:t>
            </w:r>
          </w:p>
        </w:tc>
      </w:tr>
    </w:tbl>
    <w:p w14:paraId="7411C19A">
      <w:pPr>
        <w:jc w:val="left"/>
        <w:rPr>
          <w:rFonts w:ascii="宋体" w:hAnsi="宋体" w:cs="宋体"/>
          <w:szCs w:val="21"/>
        </w:rPr>
      </w:pPr>
    </w:p>
    <w:p w14:paraId="576D0F0D">
      <w:pPr>
        <w:jc w:val="left"/>
        <w:rPr>
          <w:rFonts w:ascii="宋体" w:hAnsi="宋体" w:cs="宋体"/>
          <w:szCs w:val="21"/>
        </w:rPr>
      </w:pPr>
    </w:p>
    <w:p w14:paraId="728681EE">
      <w:pPr>
        <w:pStyle w:val="4"/>
        <w:sectPr>
          <w:pgSz w:w="11906" w:h="16838"/>
          <w:pgMar w:top="1134" w:right="1247" w:bottom="1560" w:left="1247" w:header="851" w:footer="992" w:gutter="0"/>
          <w:cols w:space="720" w:num="1"/>
          <w:titlePg/>
          <w:docGrid w:linePitch="312" w:charSpace="0"/>
        </w:sectPr>
      </w:pPr>
    </w:p>
    <w:p w14:paraId="32EFBCBF">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169" w:name="_Toc11537"/>
      <w:bookmarkStart w:id="170" w:name="_Toc254970548"/>
      <w:bookmarkStart w:id="171" w:name="_Toc31034"/>
      <w:bookmarkStart w:id="172" w:name="_Toc330456896"/>
      <w:bookmarkStart w:id="173" w:name="_Toc254970689"/>
      <w:bookmarkStart w:id="174" w:name="_Toc29088"/>
      <w:bookmarkStart w:id="175" w:name="_Toc19686832"/>
      <w:r>
        <w:rPr>
          <w:rFonts w:hint="eastAsia" w:ascii="宋体" w:hAnsi="宋体" w:cs="宋体"/>
        </w:rPr>
        <w:t>第四章评标方法及评标标准</w:t>
      </w:r>
      <w:bookmarkEnd w:id="169"/>
      <w:bookmarkEnd w:id="170"/>
      <w:bookmarkEnd w:id="171"/>
      <w:bookmarkEnd w:id="172"/>
      <w:bookmarkEnd w:id="173"/>
      <w:bookmarkEnd w:id="174"/>
      <w:bookmarkEnd w:id="175"/>
    </w:p>
    <w:p w14:paraId="48609B28">
      <w:pPr>
        <w:pStyle w:val="4"/>
        <w:spacing w:before="0" w:after="0" w:line="360" w:lineRule="auto"/>
        <w:rPr>
          <w:rFonts w:ascii="宋体" w:hAnsi="宋体" w:eastAsia="宋体"/>
        </w:rPr>
      </w:pPr>
      <w:bookmarkStart w:id="176" w:name="_Toc20246"/>
      <w:bookmarkStart w:id="177" w:name="_Toc22768"/>
      <w:bookmarkStart w:id="178" w:name="_Toc8752"/>
      <w:r>
        <w:rPr>
          <w:rFonts w:hint="eastAsia" w:ascii="宋体" w:hAnsi="宋体" w:eastAsia="宋体"/>
        </w:rPr>
        <w:t>一、评标方法</w:t>
      </w:r>
      <w:bookmarkEnd w:id="176"/>
      <w:bookmarkEnd w:id="177"/>
      <w:bookmarkEnd w:id="178"/>
    </w:p>
    <w:p w14:paraId="161E136C">
      <w:pPr>
        <w:pStyle w:val="24"/>
        <w:spacing w:line="360" w:lineRule="auto"/>
        <w:ind w:firstLine="420"/>
        <w:rPr>
          <w:rFonts w:hAnsi="宋体" w:cs="宋体"/>
          <w:sz w:val="21"/>
        </w:rPr>
      </w:pPr>
      <w:r>
        <w:rPr>
          <w:rFonts w:hint="eastAsia" w:hAnsi="宋体" w:cs="宋体"/>
          <w:sz w:val="21"/>
        </w:rPr>
        <w:t>综合评分法，是指投标文件满足招标文件全部实质性要求，且按照评审因素的量化指标评审得分最高的投标人为中标候选人的评标方法。</w:t>
      </w:r>
    </w:p>
    <w:p w14:paraId="51BC7236">
      <w:pPr>
        <w:pStyle w:val="24"/>
        <w:spacing w:line="360" w:lineRule="auto"/>
        <w:ind w:firstLine="420"/>
        <w:rPr>
          <w:rFonts w:hAnsi="宋体" w:cs="宋体"/>
          <w:sz w:val="21"/>
        </w:rPr>
      </w:pPr>
      <w:r>
        <w:rPr>
          <w:rFonts w:hint="eastAsia" w:hAnsi="宋体" w:cs="宋体"/>
          <w:sz w:val="21"/>
        </w:rPr>
        <w:t>最低评标价法，是指投标文件满足招标文件全部实质性要求，且投标报价最低的投标人为中标候选人的评标方法。</w:t>
      </w:r>
    </w:p>
    <w:p w14:paraId="6C199767">
      <w:pPr>
        <w:pStyle w:val="4"/>
        <w:spacing w:before="0" w:after="0" w:line="360" w:lineRule="auto"/>
        <w:jc w:val="center"/>
        <w:rPr>
          <w:rFonts w:ascii="宋体" w:hAnsi="宋体" w:eastAsia="宋体"/>
        </w:rPr>
      </w:pPr>
      <w:bookmarkStart w:id="179" w:name="_Toc25462"/>
      <w:bookmarkStart w:id="180" w:name="_Toc3300"/>
      <w:bookmarkStart w:id="181" w:name="_Toc29608"/>
      <w:r>
        <w:rPr>
          <w:rFonts w:hint="eastAsia" w:ascii="宋体" w:hAnsi="宋体" w:eastAsia="宋体"/>
        </w:rPr>
        <w:t>二、评标程序</w:t>
      </w:r>
      <w:bookmarkEnd w:id="179"/>
      <w:bookmarkEnd w:id="180"/>
      <w:bookmarkEnd w:id="181"/>
    </w:p>
    <w:p w14:paraId="2DF59B73">
      <w:pPr>
        <w:pStyle w:val="24"/>
        <w:spacing w:line="360" w:lineRule="auto"/>
        <w:ind w:firstLine="420"/>
        <w:rPr>
          <w:rFonts w:hAnsi="宋体" w:cs="宋体"/>
          <w:b/>
          <w:sz w:val="21"/>
        </w:rPr>
      </w:pPr>
      <w:r>
        <w:rPr>
          <w:rFonts w:hint="eastAsia" w:hAnsi="宋体" w:cs="宋体"/>
          <w:b/>
          <w:sz w:val="21"/>
        </w:rPr>
        <w:t>1.符合性审查</w:t>
      </w:r>
    </w:p>
    <w:p w14:paraId="37BC9F02">
      <w:pPr>
        <w:pStyle w:val="24"/>
        <w:spacing w:line="360" w:lineRule="auto"/>
        <w:ind w:firstLine="420"/>
        <w:rPr>
          <w:rFonts w:hAnsi="宋体" w:cs="宋体"/>
          <w:sz w:val="21"/>
        </w:rPr>
      </w:pPr>
      <w:r>
        <w:rPr>
          <w:rFonts w:hint="eastAsia" w:hAnsi="宋体" w:cs="宋体"/>
          <w:sz w:val="21"/>
        </w:rPr>
        <w:t>评标委员会应当对符合资格的投标人的投标文件进行投标报价、商务、技术等实质性内容符合性审查，以确定其是否满足招标文件的实质性要求。</w:t>
      </w:r>
    </w:p>
    <w:p w14:paraId="5F730C97">
      <w:pPr>
        <w:pStyle w:val="24"/>
        <w:spacing w:line="360" w:lineRule="auto"/>
        <w:ind w:firstLine="420"/>
        <w:rPr>
          <w:rFonts w:hAnsi="宋体" w:cs="宋体"/>
          <w:b/>
          <w:sz w:val="21"/>
        </w:rPr>
      </w:pPr>
      <w:r>
        <w:rPr>
          <w:rFonts w:hint="eastAsia" w:hAnsi="宋体" w:cs="宋体"/>
          <w:b/>
          <w:sz w:val="21"/>
        </w:rPr>
        <w:t>2.符合性审查不通过而导致投标无效的情形</w:t>
      </w:r>
    </w:p>
    <w:p w14:paraId="7510C346">
      <w:pPr>
        <w:pStyle w:val="24"/>
        <w:spacing w:line="360" w:lineRule="auto"/>
        <w:ind w:firstLine="420"/>
        <w:rPr>
          <w:rFonts w:hAnsi="宋体" w:cs="宋体"/>
          <w:sz w:val="21"/>
        </w:rPr>
      </w:pPr>
      <w:r>
        <w:rPr>
          <w:rFonts w:hint="eastAsia" w:hAnsi="宋体" w:cs="宋体"/>
          <w:sz w:val="21"/>
        </w:rPr>
        <w:t>投标人的投标文件中存在对招标文件的任何实质性要求和条件的负偏离，将被视为投标无效。</w:t>
      </w:r>
    </w:p>
    <w:p w14:paraId="3FEA5CD1">
      <w:pPr>
        <w:pStyle w:val="24"/>
        <w:spacing w:line="360" w:lineRule="auto"/>
        <w:ind w:firstLine="420"/>
        <w:rPr>
          <w:rFonts w:hAnsi="宋体" w:cs="宋体"/>
          <w:sz w:val="21"/>
        </w:rPr>
      </w:pPr>
      <w:r>
        <w:rPr>
          <w:rFonts w:hint="eastAsia" w:hAnsi="宋体" w:cs="宋体"/>
          <w:sz w:val="21"/>
        </w:rPr>
        <w:t>2.1在报价评审时，如发现下列情形之一的，将被视为投标无效：</w:t>
      </w:r>
    </w:p>
    <w:p w14:paraId="1553347B">
      <w:pPr>
        <w:pStyle w:val="24"/>
        <w:spacing w:line="360" w:lineRule="auto"/>
        <w:ind w:firstLine="420"/>
        <w:rPr>
          <w:rFonts w:hAnsi="宋体" w:cs="宋体"/>
          <w:kern w:val="2"/>
          <w:sz w:val="21"/>
        </w:rPr>
      </w:pPr>
      <w:r>
        <w:rPr>
          <w:rFonts w:hint="eastAsia" w:hAnsi="宋体" w:cs="宋体"/>
          <w:kern w:val="2"/>
          <w:sz w:val="21"/>
        </w:rPr>
        <w:t>（1）投标文件未提供“投标人须知前附表”第13.1条规定中“必须提供”的文件资料的；</w:t>
      </w:r>
    </w:p>
    <w:p w14:paraId="259F082D">
      <w:pPr>
        <w:pStyle w:val="24"/>
        <w:spacing w:line="360" w:lineRule="auto"/>
        <w:ind w:firstLine="420"/>
        <w:rPr>
          <w:rFonts w:hAnsi="宋体" w:cs="宋体"/>
          <w:kern w:val="2"/>
          <w:sz w:val="21"/>
        </w:rPr>
      </w:pPr>
      <w:r>
        <w:rPr>
          <w:rFonts w:hint="eastAsia" w:hAnsi="宋体" w:cs="宋体"/>
          <w:kern w:val="2"/>
          <w:sz w:val="21"/>
        </w:rPr>
        <w:t>（2）未采用人民币报价或者未按照招标文件标明的币种报价的；</w:t>
      </w:r>
    </w:p>
    <w:p w14:paraId="774A42E8">
      <w:pPr>
        <w:pStyle w:val="24"/>
        <w:spacing w:line="360" w:lineRule="auto"/>
        <w:ind w:firstLine="420"/>
        <w:rPr>
          <w:rFonts w:hAnsi="宋体" w:cs="宋体"/>
          <w:kern w:val="2"/>
          <w:sz w:val="21"/>
        </w:rPr>
      </w:pPr>
      <w:r>
        <w:rPr>
          <w:rFonts w:hint="eastAsia" w:hAnsi="宋体" w:cs="宋体"/>
          <w:kern w:val="2"/>
          <w:sz w:val="21"/>
        </w:rPr>
        <w:t>（3）报价超出招标文件规定最高限价，或者超出采购预算金额的；</w:t>
      </w:r>
    </w:p>
    <w:p w14:paraId="1FA4D5A0">
      <w:pPr>
        <w:pStyle w:val="24"/>
        <w:spacing w:line="360" w:lineRule="auto"/>
        <w:ind w:firstLine="420"/>
        <w:rPr>
          <w:rFonts w:hAnsi="宋体" w:cs="宋体"/>
          <w:kern w:val="2"/>
          <w:sz w:val="21"/>
        </w:rPr>
      </w:pPr>
      <w:r>
        <w:rPr>
          <w:rFonts w:hint="eastAsia" w:hAnsi="宋体" w:cs="宋体"/>
          <w:kern w:val="2"/>
          <w:sz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3FB6268">
      <w:pPr>
        <w:pStyle w:val="24"/>
        <w:spacing w:line="360" w:lineRule="auto"/>
        <w:ind w:firstLine="420"/>
        <w:rPr>
          <w:rFonts w:hAnsi="宋体" w:cs="宋体"/>
          <w:kern w:val="2"/>
          <w:sz w:val="21"/>
        </w:rPr>
      </w:pPr>
      <w:r>
        <w:rPr>
          <w:rFonts w:hint="eastAsia" w:hAnsi="宋体" w:cs="宋体"/>
          <w:kern w:val="2"/>
          <w:sz w:val="21"/>
        </w:rPr>
        <w:t>（5）修正后的报价，投标人不确认的；</w:t>
      </w:r>
    </w:p>
    <w:p w14:paraId="1B794536">
      <w:pPr>
        <w:pStyle w:val="24"/>
        <w:spacing w:line="360" w:lineRule="auto"/>
        <w:ind w:firstLine="420"/>
        <w:rPr>
          <w:rFonts w:hAnsi="宋体" w:cs="宋体"/>
          <w:kern w:val="2"/>
          <w:sz w:val="21"/>
        </w:rPr>
      </w:pPr>
      <w:r>
        <w:rPr>
          <w:rFonts w:hint="eastAsia" w:hAnsi="宋体" w:cs="宋体"/>
          <w:kern w:val="2"/>
          <w:sz w:val="21"/>
        </w:rPr>
        <w:t>（6）投标人属于本章第5条第（2）项情形的。</w:t>
      </w:r>
    </w:p>
    <w:p w14:paraId="50AED672">
      <w:pPr>
        <w:pStyle w:val="24"/>
        <w:spacing w:line="360" w:lineRule="auto"/>
        <w:ind w:firstLine="420"/>
        <w:rPr>
          <w:rFonts w:hAnsi="宋体" w:cs="宋体"/>
          <w:kern w:val="2"/>
          <w:sz w:val="21"/>
        </w:rPr>
      </w:pPr>
      <w:r>
        <w:rPr>
          <w:rFonts w:hint="eastAsia" w:hAnsi="宋体" w:cs="宋体"/>
          <w:kern w:val="2"/>
          <w:sz w:val="21"/>
        </w:rPr>
        <w:t>（7）投标文件未提供“投标人须知前附表”第13.1条规定中“必须提供”的文件资料的；</w:t>
      </w:r>
    </w:p>
    <w:p w14:paraId="7E764CA2">
      <w:pPr>
        <w:pStyle w:val="24"/>
        <w:spacing w:line="360" w:lineRule="auto"/>
        <w:ind w:firstLine="420"/>
        <w:rPr>
          <w:rFonts w:hAnsi="宋体" w:cs="宋体"/>
          <w:kern w:val="2"/>
          <w:sz w:val="21"/>
        </w:rPr>
      </w:pPr>
      <w:r>
        <w:rPr>
          <w:rFonts w:hint="eastAsia" w:hAnsi="宋体" w:cs="宋体"/>
          <w:kern w:val="2"/>
          <w:sz w:val="21"/>
        </w:rPr>
        <w:t>（8）未采用人民币报价或者未按照招标文件标明的币种报价的；</w:t>
      </w:r>
    </w:p>
    <w:p w14:paraId="69F9B67B">
      <w:pPr>
        <w:pStyle w:val="24"/>
        <w:spacing w:line="360" w:lineRule="auto"/>
        <w:ind w:firstLine="420"/>
        <w:rPr>
          <w:rFonts w:hAnsi="宋体" w:cs="宋体"/>
          <w:kern w:val="2"/>
          <w:sz w:val="21"/>
        </w:rPr>
      </w:pPr>
      <w:r>
        <w:rPr>
          <w:rFonts w:hint="eastAsia" w:hAnsi="宋体" w:cs="宋体"/>
          <w:kern w:val="2"/>
          <w:sz w:val="21"/>
        </w:rPr>
        <w:t>（9）报价超出招标文件规定最高限价，或者超出采购预算金额的；</w:t>
      </w:r>
    </w:p>
    <w:p w14:paraId="3704E5DD">
      <w:pPr>
        <w:pStyle w:val="24"/>
        <w:spacing w:line="360" w:lineRule="auto"/>
        <w:ind w:firstLine="420"/>
        <w:rPr>
          <w:rFonts w:hAnsi="宋体" w:cs="宋体"/>
          <w:kern w:val="2"/>
          <w:sz w:val="21"/>
        </w:rPr>
      </w:pPr>
      <w:r>
        <w:rPr>
          <w:rFonts w:hint="eastAsia" w:hAnsi="宋体" w:cs="宋体"/>
          <w:kern w:val="2"/>
          <w:sz w:val="21"/>
        </w:rPr>
        <w:t>（10）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AFBF460">
      <w:pPr>
        <w:pStyle w:val="24"/>
        <w:spacing w:line="360" w:lineRule="auto"/>
        <w:ind w:firstLine="420"/>
        <w:rPr>
          <w:rFonts w:hAnsi="宋体" w:cs="宋体"/>
          <w:kern w:val="2"/>
          <w:sz w:val="21"/>
        </w:rPr>
      </w:pPr>
      <w:r>
        <w:rPr>
          <w:rFonts w:hint="eastAsia" w:hAnsi="宋体" w:cs="宋体"/>
          <w:kern w:val="2"/>
          <w:sz w:val="21"/>
        </w:rPr>
        <w:t>（11）修正后的报价，投标人不确认的；</w:t>
      </w:r>
    </w:p>
    <w:p w14:paraId="7C642F47">
      <w:pPr>
        <w:pStyle w:val="24"/>
        <w:spacing w:line="360" w:lineRule="auto"/>
        <w:ind w:firstLine="420"/>
        <w:rPr>
          <w:rFonts w:hAnsi="宋体" w:cs="宋体"/>
          <w:kern w:val="2"/>
          <w:sz w:val="21"/>
        </w:rPr>
      </w:pPr>
      <w:r>
        <w:rPr>
          <w:rFonts w:hint="eastAsia" w:hAnsi="宋体" w:cs="宋体"/>
          <w:kern w:val="2"/>
          <w:sz w:val="21"/>
        </w:rPr>
        <w:t>（12）投标人属于本章第5条第（2）项情形的。</w:t>
      </w:r>
    </w:p>
    <w:p w14:paraId="01217036">
      <w:pPr>
        <w:pStyle w:val="24"/>
        <w:spacing w:line="360" w:lineRule="auto"/>
        <w:ind w:firstLine="420"/>
        <w:rPr>
          <w:rFonts w:hAnsi="宋体" w:cs="宋体"/>
          <w:kern w:val="2"/>
          <w:sz w:val="21"/>
        </w:rPr>
      </w:pPr>
      <w:r>
        <w:rPr>
          <w:rFonts w:hint="eastAsia" w:hAnsi="宋体" w:cs="宋体"/>
          <w:kern w:val="2"/>
          <w:sz w:val="21"/>
        </w:rPr>
        <w:t>2.2在商务评审时，如发现下列情形之一的，将被视为投标无效：</w:t>
      </w:r>
    </w:p>
    <w:p w14:paraId="3596F163">
      <w:pPr>
        <w:pStyle w:val="24"/>
        <w:spacing w:line="360" w:lineRule="auto"/>
        <w:ind w:firstLine="420"/>
        <w:rPr>
          <w:sz w:val="21"/>
        </w:rPr>
      </w:pPr>
      <w:r>
        <w:rPr>
          <w:rFonts w:hint="eastAsia"/>
          <w:sz w:val="21"/>
        </w:rPr>
        <w:t>（1）投标文件未按招标文件要求签署、盖章的；</w:t>
      </w:r>
    </w:p>
    <w:p w14:paraId="7835FA97">
      <w:pPr>
        <w:pStyle w:val="24"/>
        <w:spacing w:line="360" w:lineRule="auto"/>
        <w:ind w:firstLine="420"/>
        <w:rPr>
          <w:sz w:val="21"/>
        </w:rPr>
      </w:pPr>
      <w:r>
        <w:rPr>
          <w:rFonts w:hint="eastAsia"/>
          <w:sz w:val="21"/>
        </w:rPr>
        <w:t>（2）委托代理人未能出具有效身份证明或者出具的身份证明与授权委托书中的信息不符的；</w:t>
      </w:r>
    </w:p>
    <w:p w14:paraId="1E410716">
      <w:pPr>
        <w:pStyle w:val="24"/>
        <w:spacing w:line="360" w:lineRule="auto"/>
        <w:ind w:firstLine="420"/>
        <w:rPr>
          <w:sz w:val="21"/>
        </w:rPr>
      </w:pPr>
      <w:r>
        <w:rPr>
          <w:rFonts w:hint="eastAsia"/>
          <w:sz w:val="21"/>
        </w:rPr>
        <w:t>（3）为无效投标保证金的或者未按照招标文件的规定提交投标保证金的；</w:t>
      </w:r>
    </w:p>
    <w:p w14:paraId="1DCAF3EB">
      <w:pPr>
        <w:pStyle w:val="13"/>
        <w:spacing w:line="360" w:lineRule="auto"/>
        <w:ind w:left="0" w:firstLine="420" w:firstLineChars="200"/>
      </w:pPr>
      <w:r>
        <w:rPr>
          <w:rFonts w:hint="eastAsia"/>
        </w:rPr>
        <w:t>（4）投标文件未提供“投标人须知前附表”第13.1条规定中“必须提供”，或者“委托时必须提供”文件资料；</w:t>
      </w:r>
    </w:p>
    <w:p w14:paraId="7251B40C">
      <w:pPr>
        <w:pStyle w:val="13"/>
        <w:spacing w:line="360" w:lineRule="auto"/>
        <w:ind w:left="0" w:firstLine="420" w:firstLineChars="200"/>
      </w:pPr>
      <w:r>
        <w:rPr>
          <w:rFonts w:hint="eastAsia"/>
        </w:rPr>
        <w:t>文件资料；</w:t>
      </w:r>
    </w:p>
    <w:p w14:paraId="4019DD30">
      <w:pPr>
        <w:pStyle w:val="13"/>
        <w:spacing w:line="360" w:lineRule="auto"/>
        <w:ind w:left="0" w:firstLine="420" w:firstLineChars="200"/>
      </w:pPr>
      <w:r>
        <w:rPr>
          <w:rFonts w:hint="eastAsia"/>
        </w:rPr>
        <w:t>（5）投标有效期、项目完成时间（交货时间、服务完成时间或者服务期等）、质保期、后续服务等招标文件中标“▲”的商务条款发生负偏离的；</w:t>
      </w:r>
    </w:p>
    <w:p w14:paraId="6FA340A0">
      <w:pPr>
        <w:pStyle w:val="13"/>
        <w:spacing w:line="360" w:lineRule="auto"/>
        <w:ind w:left="0" w:firstLine="420" w:firstLineChars="200"/>
      </w:pPr>
      <w:r>
        <w:rPr>
          <w:rFonts w:hint="eastAsia"/>
        </w:rPr>
        <w:t>（6）商务条款评审允许负偏离的条款数超过“投标人须知前附表”规定项数的。</w:t>
      </w:r>
    </w:p>
    <w:p w14:paraId="21D89B07">
      <w:pPr>
        <w:pStyle w:val="13"/>
        <w:spacing w:line="360" w:lineRule="auto"/>
        <w:ind w:left="0" w:firstLine="420" w:firstLineChars="200"/>
      </w:pPr>
      <w:r>
        <w:rPr>
          <w:rFonts w:hint="eastAsia"/>
        </w:rPr>
        <w:t>（7）投标文件的实质性内容未使用中文表述、使用计量单位不符合招标文件要求的；</w:t>
      </w:r>
    </w:p>
    <w:p w14:paraId="63003330">
      <w:pPr>
        <w:pStyle w:val="13"/>
        <w:spacing w:line="360" w:lineRule="auto"/>
        <w:ind w:left="0" w:firstLine="420" w:firstLineChars="200"/>
      </w:pPr>
      <w:r>
        <w:rPr>
          <w:rFonts w:hint="eastAsia"/>
        </w:rPr>
        <w:t>（8）投标文件中的文件资料因填写不齐全或者内容虚假或者出现其他情形而导致被评标委员会认定无效的；</w:t>
      </w:r>
    </w:p>
    <w:p w14:paraId="0C80325C">
      <w:pPr>
        <w:pStyle w:val="13"/>
        <w:spacing w:line="360" w:lineRule="auto"/>
        <w:ind w:left="0" w:firstLine="420" w:firstLineChars="200"/>
      </w:pPr>
      <w:r>
        <w:rPr>
          <w:rFonts w:hint="eastAsia"/>
        </w:rPr>
        <w:t>（9）投标文件含有采购人不能接受的附加条件的；</w:t>
      </w:r>
    </w:p>
    <w:p w14:paraId="3A3B160C">
      <w:pPr>
        <w:pStyle w:val="13"/>
        <w:spacing w:line="360" w:lineRule="auto"/>
        <w:ind w:left="0" w:firstLine="420" w:firstLineChars="200"/>
      </w:pPr>
      <w:r>
        <w:rPr>
          <w:rFonts w:hint="eastAsia"/>
        </w:rPr>
        <w:t>（10）未响应招标文件实质性要求的；</w:t>
      </w:r>
    </w:p>
    <w:p w14:paraId="14AD1327">
      <w:pPr>
        <w:pStyle w:val="13"/>
        <w:spacing w:line="360" w:lineRule="auto"/>
        <w:ind w:left="0" w:firstLine="420" w:firstLineChars="200"/>
      </w:pPr>
      <w:r>
        <w:rPr>
          <w:rFonts w:hint="eastAsia"/>
        </w:rPr>
        <w:t>（11）属于投标人须知正文第9.2条情形的；</w:t>
      </w:r>
    </w:p>
    <w:p w14:paraId="546345FA">
      <w:pPr>
        <w:pStyle w:val="13"/>
        <w:spacing w:line="360" w:lineRule="auto"/>
        <w:ind w:left="0" w:firstLine="420" w:firstLineChars="200"/>
      </w:pPr>
      <w:r>
        <w:rPr>
          <w:rFonts w:hint="eastAsia"/>
        </w:rPr>
        <w:t>（12）法律、法规和招标文件规定的其他无效情形。</w:t>
      </w:r>
    </w:p>
    <w:p w14:paraId="2BB71DE9">
      <w:pPr>
        <w:pStyle w:val="13"/>
        <w:spacing w:line="360" w:lineRule="auto"/>
        <w:ind w:left="0" w:firstLine="420" w:firstLineChars="200"/>
      </w:pPr>
      <w:r>
        <w:rPr>
          <w:rFonts w:hint="eastAsia"/>
        </w:rPr>
        <w:t>2.3在技术评审时，如发现下列情形之一的，将被视为投标无效：</w:t>
      </w:r>
    </w:p>
    <w:p w14:paraId="57843E68">
      <w:pPr>
        <w:pStyle w:val="13"/>
        <w:spacing w:line="360" w:lineRule="auto"/>
        <w:ind w:left="0" w:firstLine="420" w:firstLineChars="200"/>
      </w:pPr>
      <w:r>
        <w:rPr>
          <w:rFonts w:hint="eastAsia"/>
        </w:rPr>
        <w:t>（1）明显不满足招标文件要求的服务内容、技术要求、安全、质量标准，或者与招标文件中标“▲”的技术需求发生负偏离的；</w:t>
      </w:r>
    </w:p>
    <w:p w14:paraId="0641A2D0">
      <w:pPr>
        <w:pStyle w:val="13"/>
        <w:spacing w:line="360" w:lineRule="auto"/>
        <w:ind w:left="0" w:firstLine="420" w:firstLineChars="200"/>
      </w:pPr>
      <w:r>
        <w:rPr>
          <w:rFonts w:hint="eastAsia"/>
        </w:rPr>
        <w:t>（2）技术需求评审允许负偏离的条款数超过“投标人须知前附表”规定项数的；</w:t>
      </w:r>
    </w:p>
    <w:p w14:paraId="5DC2113E">
      <w:pPr>
        <w:pStyle w:val="13"/>
        <w:spacing w:line="360" w:lineRule="auto"/>
        <w:ind w:left="0" w:firstLine="420" w:firstLineChars="200"/>
      </w:pPr>
      <w:r>
        <w:rPr>
          <w:rFonts w:hint="eastAsia"/>
        </w:rPr>
        <w:t>（3）投标文件未提供“投标人须知前附表”第13.1条规定中“必须提供”的文件资料的；</w:t>
      </w:r>
    </w:p>
    <w:p w14:paraId="5CD33FB4">
      <w:pPr>
        <w:pStyle w:val="13"/>
        <w:spacing w:line="360" w:lineRule="auto"/>
        <w:ind w:left="0" w:firstLine="420" w:firstLineChars="200"/>
      </w:pPr>
      <w:r>
        <w:rPr>
          <w:rFonts w:hint="eastAsia"/>
        </w:rPr>
        <w:t>（4）虚假投标，或者出现其他情形而导致被评标委员会认定无效的；</w:t>
      </w:r>
    </w:p>
    <w:p w14:paraId="58801273">
      <w:pPr>
        <w:pStyle w:val="13"/>
        <w:spacing w:line="360" w:lineRule="auto"/>
        <w:ind w:left="0" w:firstLine="420" w:firstLineChars="200"/>
      </w:pPr>
      <w:r>
        <w:rPr>
          <w:rFonts w:hint="eastAsia"/>
        </w:rPr>
        <w:t>（5）投标技术方案不明确，招标文件未允许但存在一个或者一个以上备选（替代）投标方案的。</w:t>
      </w:r>
    </w:p>
    <w:p w14:paraId="47B52228">
      <w:pPr>
        <w:pStyle w:val="13"/>
        <w:spacing w:line="360" w:lineRule="auto"/>
        <w:ind w:left="0" w:firstLine="422" w:firstLineChars="200"/>
        <w:rPr>
          <w:b/>
        </w:rPr>
      </w:pPr>
      <w:r>
        <w:rPr>
          <w:rFonts w:hint="eastAsia"/>
          <w:b/>
        </w:rPr>
        <w:t>3.澄清补正</w:t>
      </w:r>
    </w:p>
    <w:p w14:paraId="3ECA5AD6">
      <w:pPr>
        <w:pStyle w:val="13"/>
        <w:spacing w:line="360" w:lineRule="auto"/>
        <w:ind w:left="0" w:firstLine="420" w:firstLineChars="200"/>
      </w:pPr>
      <w:r>
        <w:rPr>
          <w:rFonts w:hint="eastAsia"/>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09403573">
      <w:pPr>
        <w:pStyle w:val="13"/>
        <w:spacing w:line="360" w:lineRule="auto"/>
        <w:ind w:left="0" w:firstLine="422" w:firstLineChars="200"/>
        <w:rPr>
          <w:b/>
        </w:rPr>
      </w:pPr>
      <w:r>
        <w:rPr>
          <w:rFonts w:hint="eastAsia"/>
          <w:b/>
        </w:rPr>
        <w:t>4.投标文件修正</w:t>
      </w:r>
    </w:p>
    <w:p w14:paraId="745FF620">
      <w:pPr>
        <w:pStyle w:val="13"/>
        <w:spacing w:line="360" w:lineRule="auto"/>
        <w:ind w:left="0" w:firstLine="420" w:firstLineChars="200"/>
      </w:pPr>
      <w:r>
        <w:rPr>
          <w:rFonts w:hint="eastAsia"/>
        </w:rPr>
        <w:t>4.1投标文件报价出现前后不一致的，按照下列规定修正：</w:t>
      </w:r>
    </w:p>
    <w:p w14:paraId="46320B3D">
      <w:pPr>
        <w:pStyle w:val="13"/>
        <w:spacing w:line="360" w:lineRule="auto"/>
        <w:ind w:left="0" w:firstLine="420" w:firstLineChars="200"/>
      </w:pPr>
      <w:r>
        <w:rPr>
          <w:rFonts w:hint="eastAsia"/>
        </w:rPr>
        <w:t>（1）投标文件中开标一览表（报价表）内容与投标文件中相应内容不一致的，以开标一览表（报价表）为准；</w:t>
      </w:r>
    </w:p>
    <w:p w14:paraId="01039AC2">
      <w:pPr>
        <w:pStyle w:val="13"/>
        <w:spacing w:line="360" w:lineRule="auto"/>
        <w:ind w:left="0" w:firstLine="420" w:firstLineChars="200"/>
        <w:rPr>
          <w:szCs w:val="21"/>
        </w:rPr>
      </w:pPr>
      <w:r>
        <w:rPr>
          <w:rFonts w:hint="eastAsia"/>
        </w:rPr>
        <w:t>（1）、投标文件中开标一览表（报价表）内容与投标文件中相应内容不一致的，以开标一览表（报价表）</w:t>
      </w:r>
      <w:r>
        <w:rPr>
          <w:rFonts w:hint="eastAsia"/>
          <w:szCs w:val="21"/>
        </w:rPr>
        <w:t>为准；</w:t>
      </w:r>
    </w:p>
    <w:p w14:paraId="10EC85D9">
      <w:pPr>
        <w:pStyle w:val="13"/>
        <w:spacing w:line="360" w:lineRule="auto"/>
        <w:ind w:left="0" w:firstLine="420" w:firstLineChars="200"/>
        <w:rPr>
          <w:szCs w:val="21"/>
        </w:rPr>
      </w:pPr>
      <w:r>
        <w:rPr>
          <w:rFonts w:hint="eastAsia"/>
          <w:szCs w:val="21"/>
        </w:rPr>
        <w:t>（2）、大写金额和小写金额不一致的，以大写金额为准；</w:t>
      </w:r>
    </w:p>
    <w:p w14:paraId="1BA3BB7F">
      <w:pPr>
        <w:pStyle w:val="13"/>
        <w:spacing w:line="360" w:lineRule="auto"/>
        <w:ind w:left="0" w:firstLine="420" w:firstLineChars="200"/>
        <w:rPr>
          <w:szCs w:val="21"/>
        </w:rPr>
      </w:pPr>
      <w:r>
        <w:rPr>
          <w:rFonts w:hint="eastAsia"/>
          <w:szCs w:val="21"/>
        </w:rPr>
        <w:t>（3）、单价金额小数点或者百分比有明显错位的，以开标一览表的总价为准，并修改单价；</w:t>
      </w:r>
    </w:p>
    <w:p w14:paraId="2534930B">
      <w:pPr>
        <w:pStyle w:val="24"/>
        <w:snapToGrid w:val="0"/>
        <w:spacing w:line="360" w:lineRule="auto"/>
        <w:ind w:firstLine="420" w:firstLineChars="200"/>
        <w:rPr>
          <w:sz w:val="21"/>
        </w:rPr>
      </w:pPr>
      <w:r>
        <w:rPr>
          <w:rFonts w:hint="eastAsia"/>
          <w:sz w:val="21"/>
        </w:rPr>
        <w:t>（4）、总价金额与按单价汇总金额不一致的，以单价金额计算结果为准。</w:t>
      </w:r>
    </w:p>
    <w:p w14:paraId="1D7A2436">
      <w:pPr>
        <w:pStyle w:val="24"/>
        <w:snapToGrid w:val="0"/>
        <w:spacing w:line="360" w:lineRule="auto"/>
        <w:ind w:firstLine="420" w:firstLineChars="200"/>
        <w:rPr>
          <w:rFonts w:hAnsi="宋体" w:cs="宋体"/>
          <w:sz w:val="21"/>
        </w:rPr>
      </w:pPr>
      <w:r>
        <w:rPr>
          <w:rFonts w:hint="eastAsia" w:hAnsi="宋体" w:cs="宋体"/>
          <w:sz w:val="21"/>
        </w:rPr>
        <w:t>4.2经投标人确认修正后的报价若超过采购预算金额或者最高限价，投标人的投标文件作无效投标处理。</w:t>
      </w:r>
    </w:p>
    <w:p w14:paraId="25495543">
      <w:pPr>
        <w:snapToGrid w:val="0"/>
        <w:spacing w:line="360" w:lineRule="auto"/>
        <w:ind w:firstLine="420" w:firstLineChars="200"/>
        <w:rPr>
          <w:rFonts w:ascii="宋体" w:hAnsi="宋体" w:cs="宋体"/>
          <w:kern w:val="0"/>
          <w:szCs w:val="21"/>
        </w:rPr>
      </w:pPr>
      <w:r>
        <w:rPr>
          <w:rFonts w:hint="eastAsia" w:ascii="宋体" w:hAnsi="宋体" w:cs="宋体"/>
          <w:kern w:val="0"/>
          <w:szCs w:val="21"/>
        </w:rPr>
        <w:t>4.3经投标人确认修正后的报价作为签订合同的依据，并以此报价计算价格分。</w:t>
      </w:r>
    </w:p>
    <w:p w14:paraId="3EA8A1B8">
      <w:pPr>
        <w:pStyle w:val="13"/>
        <w:spacing w:line="360" w:lineRule="auto"/>
        <w:ind w:left="0" w:firstLine="420" w:firstLineChars="200"/>
      </w:pPr>
      <w:r>
        <w:rPr>
          <w:rFonts w:hint="eastAsia"/>
        </w:rPr>
        <w:t>5.比较与评价</w:t>
      </w:r>
    </w:p>
    <w:p w14:paraId="37815F01">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5.1异常低价投标（响应）审查程序根据《关于推动解决政府采购异常低价问题的通知》（财库〔2026〕2号）要求，评审委员会在评审过程中需对异常低价投标进行专项审查，具体如下：</w:t>
      </w:r>
    </w:p>
    <w:p w14:paraId="5AB79F4B">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（1）审查触发条件：出现下列情形之一的，评审委员会必须启动异常低价审查程序：①投标报价＜全部通过符合性审查供应商投标报价平均值×50%；</w:t>
      </w:r>
    </w:p>
    <w:p w14:paraId="018A8A8C">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②投标报价＜通过符合性审查的次低报价供应商投标报价×50%；</w:t>
      </w:r>
    </w:p>
    <w:p w14:paraId="6E3B1834">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③投标报价＜本项目最高限价×45%；</w:t>
      </w:r>
    </w:p>
    <w:p w14:paraId="5D3B9327">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④评审委员会基于专业判断，认为报价过低可能影响服务质量或无法诚信履约的其他情形（如报价与成本测算严重不符、技术方案与报价不匹配等）。</w:t>
      </w:r>
    </w:p>
    <w:p w14:paraId="5D29BE6E">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注：本项目不提高上述①-③项的阈值标准（若需提高，需补充“阈值提高合理性说明”，且最高不得超过65%）。</w:t>
      </w:r>
    </w:p>
    <w:p w14:paraId="35043F1A">
      <w:pPr>
        <w:keepNext w:val="0"/>
        <w:keepLines w:val="0"/>
        <w:pageBreakBefore w:val="0"/>
        <w:widowControl w:val="0"/>
        <w:numPr>
          <w:ilvl w:val="0"/>
          <w:numId w:val="8"/>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审查流程：</w:t>
      </w:r>
    </w:p>
    <w:p w14:paraId="6DCDF3E1">
      <w:pPr>
        <w:keepNext w:val="0"/>
        <w:keepLines w:val="0"/>
        <w:pageBreakBefore w:val="0"/>
        <w:widowControl w:val="0"/>
        <w:numPr>
          <w:ilvl w:val="0"/>
          <w:numId w:val="9"/>
        </w:numPr>
        <w:kinsoku/>
        <w:wordWrap/>
        <w:overflowPunct/>
        <w:topLinePunct w:val="0"/>
        <w:autoSpaceDE/>
        <w:autoSpaceDN/>
        <w:bidi w:val="0"/>
        <w:adjustRightInd/>
        <w:spacing w:line="360" w:lineRule="auto"/>
        <w:ind w:left="12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评审委员会启动审查后，应要求相关供应商在评审现场不少于30分钟的合理时间内，提交书面说明及证明材料；</w:t>
      </w:r>
    </w:p>
    <w:p w14:paraId="33D482B4">
      <w:pPr>
        <w:keepNext w:val="0"/>
        <w:keepLines w:val="0"/>
        <w:pageBreakBefore w:val="0"/>
        <w:widowControl w:val="0"/>
        <w:numPr>
          <w:ilvl w:val="0"/>
          <w:numId w:val="9"/>
        </w:numPr>
        <w:kinsoku/>
        <w:wordWrap/>
        <w:overflowPunct/>
        <w:topLinePunct w:val="0"/>
        <w:autoSpaceDE/>
        <w:autoSpaceDN/>
        <w:bidi w:val="0"/>
        <w:adjustRightInd/>
        <w:spacing w:line="360" w:lineRule="auto"/>
        <w:ind w:left="12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需提供的材料包括（但不限于）：项目成本测算明细（含劳务费、设备租赁费、税费、外业调查费等分项成本）、拟投入人员社保缴纳证明、设备购置/租赁协议、同类项目历史成本数据、行业人工费用标准（如测绘专业技术人员日均薪酬）等；</w:t>
      </w:r>
    </w:p>
    <w:p w14:paraId="582E96E3">
      <w:pPr>
        <w:keepNext w:val="0"/>
        <w:keepLines w:val="0"/>
        <w:pageBreakBefore w:val="0"/>
        <w:widowControl w:val="0"/>
        <w:numPr>
          <w:ilvl w:val="0"/>
          <w:numId w:val="9"/>
        </w:numPr>
        <w:kinsoku/>
        <w:wordWrap/>
        <w:overflowPunct/>
        <w:topLinePunct w:val="0"/>
        <w:autoSpaceDE/>
        <w:autoSpaceDN/>
        <w:bidi w:val="0"/>
        <w:adjustRightInd/>
        <w:spacing w:line="360" w:lineRule="auto"/>
        <w:ind w:left="12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若供应商已在投标文件中提交过与</w:t>
      </w: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触发条件第③项（低于最高限价45%）相关的成本证明材料，可不再重复提交。</w:t>
      </w:r>
    </w:p>
    <w:p w14:paraId="546D1945">
      <w:pPr>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合理性判定与处理：</w:t>
      </w:r>
    </w:p>
    <w:p w14:paraId="00FA2CFC">
      <w:pPr>
        <w:keepNext w:val="0"/>
        <w:keepLines w:val="0"/>
        <w:pageBreakBefore w:val="0"/>
        <w:widowControl w:val="0"/>
        <w:numPr>
          <w:ilvl w:val="0"/>
          <w:numId w:val="10"/>
        </w:numPr>
        <w:kinsoku/>
        <w:wordWrap/>
        <w:overflowPunct/>
        <w:topLinePunct w:val="0"/>
        <w:autoSpaceDE/>
        <w:autoSpaceDN/>
        <w:bidi w:val="0"/>
        <w:adjustRightIn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评审委员会需参考以下依据判定报价合理性：同类技术服务项目中标（成交）价格；</w:t>
      </w:r>
      <w:r>
        <w:rPr>
          <w:rFonts w:hint="eastAsia" w:ascii="宋体" w:hAnsi="宋体" w:eastAsia="宋体" w:cs="宋体"/>
          <w:color w:val="auto"/>
          <w:sz w:val="21"/>
          <w:szCs w:val="21"/>
          <w:highlight w:val="none"/>
          <w:lang w:val="en-US" w:eastAsia="zh-CN"/>
        </w:rPr>
        <w:t>本项目所属</w:t>
      </w:r>
      <w:r>
        <w:rPr>
          <w:rFonts w:hint="eastAsia" w:ascii="宋体" w:hAnsi="宋体" w:eastAsia="宋体" w:cs="宋体"/>
          <w:color w:val="auto"/>
          <w:sz w:val="21"/>
          <w:szCs w:val="21"/>
          <w:highlight w:val="none"/>
        </w:rPr>
        <w:t>行业人工费用标准；国家/自治区发布的行业平均成本；供应商提供的成本测算与证明材料的真实性、完整性。</w:t>
      </w:r>
    </w:p>
    <w:p w14:paraId="5976A1F1">
      <w:pPr>
        <w:keepNext w:val="0"/>
        <w:keepLines w:val="0"/>
        <w:pageBreakBefore w:val="0"/>
        <w:widowControl w:val="0"/>
        <w:numPr>
          <w:ilvl w:val="0"/>
          <w:numId w:val="10"/>
        </w:numPr>
        <w:kinsoku/>
        <w:wordWrap/>
        <w:overflowPunct/>
        <w:topLinePunct w:val="0"/>
        <w:autoSpaceDE/>
        <w:autoSpaceDN/>
        <w:bidi w:val="0"/>
        <w:adjustRightIn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若供应商未按要求提供材料，或材料无法证明报价合理性的，评审委员会应将其投标按无效响应处理。</w:t>
      </w:r>
    </w:p>
    <w:p w14:paraId="36D2148E">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审查记录与归档：异常低价审查的启动原因、供应商说明材料、评审委员会意见、审查结果需完整记录于《评标报告》，并与供应商提交的证明材料、评审现场查询的行业成本数据（如截图）一并归档，保存期限不少于15年。</w:t>
      </w:r>
    </w:p>
    <w:p w14:paraId="034F64D4">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rPr>
        <w:t>评标委员会按照招标文件中规定的评标方法和评标标准，对符合性审查合格的投标文件进行商务和技术评估，综合比较与评价。</w:t>
      </w:r>
    </w:p>
    <w:p w14:paraId="184388F3">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评标委员会独立对每个投标人的投标文件进行评价，并汇总每个投标人的得分。</w:t>
      </w:r>
    </w:p>
    <w:p w14:paraId="279F8996">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评标委员会按照招标文件中规定的评标方法和标准计算各投标人的报价得分。在计算过程中，不得去掉最高报价或者最低报价。</w:t>
      </w:r>
    </w:p>
    <w:p w14:paraId="796EABAD">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5.5</w:t>
      </w:r>
      <w:r>
        <w:rPr>
          <w:rFonts w:hint="eastAsia" w:ascii="宋体" w:hAnsi="宋体" w:eastAsia="宋体" w:cs="宋体"/>
          <w:sz w:val="21"/>
          <w:szCs w:val="21"/>
        </w:rPr>
        <w:t>各投标人的得分为所有评委的有效评分的算术平均数。</w:t>
      </w:r>
    </w:p>
    <w:p w14:paraId="4432B813">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5.6</w:t>
      </w:r>
      <w:r>
        <w:rPr>
          <w:rFonts w:hint="eastAsia" w:ascii="宋体" w:hAnsi="宋体" w:eastAsia="宋体" w:cs="宋体"/>
          <w:sz w:val="21"/>
          <w:szCs w:val="21"/>
        </w:rPr>
        <w:t>评标委员会按照招标文件中的规定推荐中标候选人。</w:t>
      </w:r>
    </w:p>
    <w:p w14:paraId="22FFCE15">
      <w:pPr>
        <w:pStyle w:val="13"/>
        <w:keepNext w:val="0"/>
        <w:keepLines w:val="0"/>
        <w:pageBreakBefore w:val="0"/>
        <w:widowControl w:val="0"/>
        <w:kinsoku/>
        <w:wordWrap/>
        <w:overflowPunct/>
        <w:topLinePunct w:val="0"/>
        <w:autoSpaceDE/>
        <w:autoSpaceDN/>
        <w:bidi w:val="0"/>
        <w:adjustRightIn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5.7</w:t>
      </w:r>
      <w:r>
        <w:rPr>
          <w:rFonts w:hint="eastAsia" w:ascii="宋体" w:hAnsi="宋体" w:eastAsia="宋体" w:cs="宋体"/>
          <w:sz w:val="21"/>
          <w:szCs w:val="21"/>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应当在评标报告上签署不同意见及理由，否则视为同意评标报告。</w:t>
      </w:r>
    </w:p>
    <w:p w14:paraId="39C7AFC2">
      <w:pPr>
        <w:pStyle w:val="30"/>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文件的衍生权利</w:t>
      </w:r>
    </w:p>
    <w:p w14:paraId="230C3279">
      <w:pPr>
        <w:pStyle w:val="4"/>
        <w:spacing w:before="0" w:after="0" w:line="360" w:lineRule="auto"/>
        <w:jc w:val="center"/>
        <w:rPr>
          <w:rFonts w:ascii="宋体" w:hAnsi="宋体" w:eastAsia="宋体"/>
        </w:rPr>
      </w:pPr>
      <w:bookmarkStart w:id="182" w:name="_Toc13373"/>
      <w:bookmarkStart w:id="183" w:name="_Toc584"/>
      <w:bookmarkStart w:id="184" w:name="_Toc2736"/>
      <w:r>
        <w:rPr>
          <w:rFonts w:hint="eastAsia" w:ascii="宋体" w:hAnsi="宋体" w:eastAsia="宋体"/>
        </w:rPr>
        <w:t>三、评标标准</w:t>
      </w:r>
      <w:bookmarkEnd w:id="182"/>
      <w:bookmarkEnd w:id="183"/>
    </w:p>
    <w:p w14:paraId="1CB4F2BB">
      <w:pPr>
        <w:pStyle w:val="4"/>
        <w:spacing w:before="0" w:after="0" w:line="360" w:lineRule="auto"/>
        <w:jc w:val="center"/>
        <w:rPr>
          <w:rFonts w:ascii="宋体" w:hAnsi="宋体" w:eastAsia="宋体"/>
        </w:rPr>
      </w:pPr>
      <w:bookmarkStart w:id="185" w:name="_Toc2002"/>
      <w:bookmarkStart w:id="186" w:name="_Toc6411"/>
      <w:r>
        <w:rPr>
          <w:rFonts w:hint="eastAsia" w:ascii="宋体" w:hAnsi="宋体" w:eastAsia="宋体"/>
        </w:rPr>
        <w:t>3.1评标标准（综合评分法，计分方法按四舍五入取至百分位）</w:t>
      </w:r>
      <w:bookmarkEnd w:id="184"/>
      <w:bookmarkEnd w:id="185"/>
      <w:bookmarkEnd w:id="186"/>
    </w:p>
    <w:p w14:paraId="7AB8C274">
      <w:pPr>
        <w:pStyle w:val="88"/>
        <w:ind w:firstLine="241" w:firstLineChars="100"/>
        <w:jc w:val="both"/>
        <w:rPr>
          <w:rFonts w:hint="default" w:eastAsia="宋体"/>
          <w:b/>
          <w:bCs/>
          <w:color w:val="auto"/>
        </w:rPr>
      </w:pPr>
      <w:r>
        <w:rPr>
          <w:rFonts w:eastAsia="宋体"/>
          <w:b/>
          <w:bCs/>
          <w:color w:val="auto"/>
        </w:rPr>
        <w:t>3.1.1价格分（满分10分）</w:t>
      </w:r>
    </w:p>
    <w:tbl>
      <w:tblPr>
        <w:tblStyle w:val="4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144"/>
        <w:gridCol w:w="1395"/>
        <w:gridCol w:w="5700"/>
      </w:tblGrid>
      <w:tr w14:paraId="567C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8" w:type="dxa"/>
            <w:noWrap/>
            <w:vAlign w:val="center"/>
          </w:tcPr>
          <w:p w14:paraId="23F68A1F">
            <w:pPr>
              <w:adjustRightInd w:val="0"/>
              <w:snapToGrid w:val="0"/>
              <w:spacing w:line="360" w:lineRule="atLeast"/>
              <w:jc w:val="center"/>
              <w:textAlignment w:val="baseline"/>
              <w:rPr>
                <w:rFonts w:ascii="宋体" w:hAnsi="宋体" w:cs="宋体"/>
                <w:bCs/>
                <w:szCs w:val="21"/>
              </w:rPr>
            </w:pPr>
            <w:r>
              <w:rPr>
                <w:rFonts w:hint="eastAsia" w:ascii="宋体" w:hAnsi="宋体" w:cs="宋体"/>
                <w:bCs/>
                <w:szCs w:val="21"/>
              </w:rPr>
              <w:t>序号</w:t>
            </w:r>
          </w:p>
        </w:tc>
        <w:tc>
          <w:tcPr>
            <w:tcW w:w="1144" w:type="dxa"/>
            <w:noWrap/>
            <w:vAlign w:val="center"/>
          </w:tcPr>
          <w:p w14:paraId="33375F01">
            <w:pPr>
              <w:adjustRightInd w:val="0"/>
              <w:snapToGrid w:val="0"/>
              <w:spacing w:line="360" w:lineRule="auto"/>
              <w:jc w:val="center"/>
              <w:textAlignment w:val="baseline"/>
              <w:rPr>
                <w:rFonts w:ascii="宋体" w:hAnsi="宋体" w:cs="宋体"/>
                <w:bCs/>
                <w:szCs w:val="21"/>
              </w:rPr>
            </w:pPr>
            <w:r>
              <w:rPr>
                <w:rFonts w:hint="eastAsia" w:ascii="宋体" w:hAnsi="宋体" w:cs="宋体"/>
                <w:bCs/>
                <w:szCs w:val="21"/>
              </w:rPr>
              <w:t>内容</w:t>
            </w:r>
          </w:p>
        </w:tc>
        <w:tc>
          <w:tcPr>
            <w:tcW w:w="1395" w:type="dxa"/>
            <w:noWrap/>
            <w:vAlign w:val="center"/>
          </w:tcPr>
          <w:p w14:paraId="61E814CE">
            <w:pPr>
              <w:adjustRightInd w:val="0"/>
              <w:snapToGrid w:val="0"/>
              <w:spacing w:line="360" w:lineRule="auto"/>
              <w:jc w:val="center"/>
              <w:textAlignment w:val="baseline"/>
              <w:rPr>
                <w:rFonts w:ascii="宋体" w:hAnsi="宋体" w:cs="宋体"/>
                <w:bCs/>
                <w:szCs w:val="21"/>
              </w:rPr>
            </w:pPr>
            <w:r>
              <w:rPr>
                <w:rFonts w:hint="eastAsia" w:ascii="宋体" w:hAnsi="宋体" w:cs="宋体"/>
                <w:bCs/>
                <w:szCs w:val="21"/>
              </w:rPr>
              <w:t>分值</w:t>
            </w:r>
          </w:p>
        </w:tc>
        <w:tc>
          <w:tcPr>
            <w:tcW w:w="5700" w:type="dxa"/>
            <w:noWrap/>
            <w:vAlign w:val="center"/>
          </w:tcPr>
          <w:p w14:paraId="3C9D1A61">
            <w:pPr>
              <w:adjustRightInd w:val="0"/>
              <w:snapToGrid w:val="0"/>
              <w:spacing w:line="360" w:lineRule="auto"/>
              <w:jc w:val="center"/>
              <w:textAlignment w:val="baseline"/>
              <w:rPr>
                <w:rFonts w:ascii="宋体" w:hAnsi="宋体" w:cs="宋体"/>
                <w:bCs/>
                <w:szCs w:val="21"/>
              </w:rPr>
            </w:pPr>
            <w:r>
              <w:rPr>
                <w:rFonts w:hint="eastAsia" w:ascii="宋体" w:hAnsi="宋体" w:cs="宋体"/>
                <w:bCs/>
                <w:szCs w:val="21"/>
              </w:rPr>
              <w:t>评审标准和要求</w:t>
            </w:r>
          </w:p>
        </w:tc>
      </w:tr>
      <w:tr w14:paraId="2FE6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658" w:type="dxa"/>
            <w:noWrap/>
            <w:vAlign w:val="center"/>
          </w:tcPr>
          <w:p w14:paraId="3BAB22C5">
            <w:pPr>
              <w:adjustRightInd w:val="0"/>
              <w:spacing w:line="360" w:lineRule="exact"/>
              <w:jc w:val="center"/>
              <w:textAlignment w:val="baseline"/>
              <w:rPr>
                <w:rFonts w:ascii="宋体" w:hAnsi="宋体" w:cs="宋体"/>
                <w:bCs/>
                <w:szCs w:val="21"/>
              </w:rPr>
            </w:pPr>
            <w:r>
              <w:rPr>
                <w:rFonts w:hint="eastAsia" w:ascii="宋体" w:hAnsi="宋体" w:cs="宋体"/>
                <w:bCs/>
                <w:szCs w:val="21"/>
              </w:rPr>
              <w:t>1</w:t>
            </w:r>
          </w:p>
        </w:tc>
        <w:tc>
          <w:tcPr>
            <w:tcW w:w="1144" w:type="dxa"/>
            <w:noWrap/>
            <w:vAlign w:val="center"/>
          </w:tcPr>
          <w:p w14:paraId="643575B3">
            <w:pPr>
              <w:adjustRightInd w:val="0"/>
              <w:spacing w:line="360" w:lineRule="auto"/>
              <w:jc w:val="center"/>
              <w:textAlignment w:val="baseline"/>
              <w:rPr>
                <w:rFonts w:ascii="宋体" w:hAnsi="宋体" w:cs="宋体"/>
                <w:bCs/>
                <w:szCs w:val="21"/>
              </w:rPr>
            </w:pPr>
            <w:r>
              <w:rPr>
                <w:rFonts w:hint="eastAsia" w:ascii="宋体" w:hAnsi="宋体" w:cs="宋体"/>
                <w:bCs/>
                <w:szCs w:val="21"/>
              </w:rPr>
              <w:t>价格分</w:t>
            </w:r>
          </w:p>
          <w:p w14:paraId="348E5CD4">
            <w:pPr>
              <w:adjustRightInd w:val="0"/>
              <w:spacing w:line="360" w:lineRule="auto"/>
              <w:jc w:val="center"/>
              <w:textAlignment w:val="baseline"/>
              <w:rPr>
                <w:rFonts w:ascii="宋体" w:hAnsi="宋体" w:cs="宋体"/>
                <w:bCs/>
                <w:szCs w:val="21"/>
              </w:rPr>
            </w:pPr>
          </w:p>
        </w:tc>
        <w:tc>
          <w:tcPr>
            <w:tcW w:w="1395" w:type="dxa"/>
            <w:noWrap/>
            <w:vAlign w:val="center"/>
          </w:tcPr>
          <w:p w14:paraId="1FDA119D">
            <w:pPr>
              <w:adjustRightInd w:val="0"/>
              <w:spacing w:line="360" w:lineRule="auto"/>
              <w:jc w:val="center"/>
              <w:textAlignment w:val="baseline"/>
              <w:rPr>
                <w:rFonts w:ascii="宋体" w:hAnsi="宋体" w:cs="宋体"/>
                <w:bCs/>
                <w:szCs w:val="21"/>
              </w:rPr>
            </w:pPr>
            <w:r>
              <w:rPr>
                <w:rFonts w:hint="eastAsia" w:ascii="宋体" w:hAnsi="宋体" w:cs="宋体"/>
                <w:bCs/>
                <w:szCs w:val="21"/>
              </w:rPr>
              <w:t>满分10分</w:t>
            </w:r>
          </w:p>
        </w:tc>
        <w:tc>
          <w:tcPr>
            <w:tcW w:w="5700" w:type="dxa"/>
            <w:noWrap/>
            <w:vAlign w:val="center"/>
          </w:tcPr>
          <w:p w14:paraId="58D8963C">
            <w:pPr>
              <w:snapToGrid w:val="0"/>
              <w:spacing w:line="360" w:lineRule="auto"/>
              <w:ind w:firstLine="420"/>
              <w:rPr>
                <w:rFonts w:ascii="宋体" w:hAnsi="宋体" w:cs="宋体"/>
                <w:szCs w:val="21"/>
              </w:rPr>
            </w:pPr>
            <w:r>
              <w:rPr>
                <w:rFonts w:hint="eastAsia" w:ascii="宋体" w:hAnsi="宋体" w:cs="宋体"/>
                <w:szCs w:val="21"/>
              </w:rPr>
              <w:t>（1）以进入综合评分环节的最低的评标报价为基准价，基准价报价得分为1</w:t>
            </w:r>
            <w:r>
              <w:rPr>
                <w:rFonts w:hint="eastAsia" w:ascii="宋体" w:hAnsi="宋体" w:cs="宋体"/>
                <w:szCs w:val="21"/>
                <w:lang w:val="en-US" w:eastAsia="zh-CN"/>
              </w:rPr>
              <w:t>0</w:t>
            </w:r>
            <w:r>
              <w:rPr>
                <w:rFonts w:hint="eastAsia" w:ascii="宋体" w:hAnsi="宋体" w:cs="宋体"/>
                <w:szCs w:val="21"/>
              </w:rPr>
              <w:t>分。</w:t>
            </w:r>
          </w:p>
          <w:p w14:paraId="6D921BA4">
            <w:pPr>
              <w:snapToGrid w:val="0"/>
              <w:spacing w:line="360" w:lineRule="auto"/>
              <w:ind w:firstLine="420"/>
              <w:rPr>
                <w:rFonts w:ascii="宋体" w:hAnsi="宋体" w:cs="宋体"/>
                <w:szCs w:val="21"/>
              </w:rPr>
            </w:pPr>
            <w:r>
              <w:rPr>
                <w:rFonts w:hint="eastAsia" w:ascii="宋体" w:hAnsi="宋体" w:cs="宋体"/>
                <w:szCs w:val="21"/>
              </w:rPr>
              <w:t>（2）价格分计算公式：</w:t>
            </w:r>
          </w:p>
          <w:p w14:paraId="52AFAA5D">
            <w:pPr>
              <w:spacing w:line="360" w:lineRule="auto"/>
              <w:ind w:firstLine="420" w:firstLineChars="200"/>
            </w:pPr>
            <w:r>
              <w:rPr>
                <w:rFonts w:hint="eastAsia" w:ascii="宋体" w:hAnsi="宋体" w:cs="宋体"/>
                <w:szCs w:val="21"/>
              </w:rPr>
              <w:t>某投标人价格分=基准价/某投标人评标报价金额×10分</w:t>
            </w:r>
          </w:p>
        </w:tc>
      </w:tr>
    </w:tbl>
    <w:p w14:paraId="2D8E7DD6">
      <w:pPr>
        <w:ind w:firstLine="221" w:firstLineChars="100"/>
        <w:rPr>
          <w:b/>
          <w:bCs/>
          <w:sz w:val="22"/>
          <w:szCs w:val="28"/>
        </w:rPr>
      </w:pPr>
      <w:r>
        <w:rPr>
          <w:rFonts w:hint="eastAsia"/>
          <w:b/>
          <w:bCs/>
          <w:sz w:val="22"/>
          <w:szCs w:val="28"/>
        </w:rPr>
        <w:t>3.1.2技术分：满分</w:t>
      </w:r>
      <w:r>
        <w:rPr>
          <w:rFonts w:hint="eastAsia"/>
          <w:b/>
          <w:bCs/>
          <w:sz w:val="22"/>
          <w:szCs w:val="28"/>
          <w:lang w:val="en-US" w:eastAsia="zh-CN"/>
        </w:rPr>
        <w:t>70</w:t>
      </w:r>
      <w:r>
        <w:rPr>
          <w:rFonts w:hint="eastAsia"/>
          <w:b/>
          <w:bCs/>
          <w:sz w:val="22"/>
          <w:szCs w:val="28"/>
        </w:rPr>
        <w:t>分</w:t>
      </w:r>
    </w:p>
    <w:tbl>
      <w:tblPr>
        <w:tblStyle w:val="46"/>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67"/>
        <w:gridCol w:w="1350"/>
        <w:gridCol w:w="5735"/>
      </w:tblGrid>
      <w:tr w14:paraId="204B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5" w:type="dxa"/>
            <w:noWrap/>
            <w:vAlign w:val="center"/>
          </w:tcPr>
          <w:p w14:paraId="29032E50">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序号</w:t>
            </w:r>
          </w:p>
        </w:tc>
        <w:tc>
          <w:tcPr>
            <w:tcW w:w="1067" w:type="dxa"/>
            <w:noWrap/>
            <w:vAlign w:val="center"/>
          </w:tcPr>
          <w:p w14:paraId="03E69A58">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内容</w:t>
            </w:r>
          </w:p>
        </w:tc>
        <w:tc>
          <w:tcPr>
            <w:tcW w:w="1350" w:type="dxa"/>
            <w:noWrap/>
            <w:tcMar>
              <w:left w:w="57" w:type="dxa"/>
              <w:right w:w="57" w:type="dxa"/>
            </w:tcMar>
            <w:vAlign w:val="center"/>
          </w:tcPr>
          <w:p w14:paraId="768D0779">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分值</w:t>
            </w:r>
          </w:p>
        </w:tc>
        <w:tc>
          <w:tcPr>
            <w:tcW w:w="5735" w:type="dxa"/>
            <w:noWrap/>
            <w:vAlign w:val="center"/>
          </w:tcPr>
          <w:p w14:paraId="248A8358">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评审标准和要求</w:t>
            </w:r>
          </w:p>
        </w:tc>
      </w:tr>
      <w:tr w14:paraId="7FA6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5" w:type="dxa"/>
            <w:noWrap/>
            <w:vAlign w:val="center"/>
          </w:tcPr>
          <w:p w14:paraId="74F20E46">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1</w:t>
            </w:r>
          </w:p>
        </w:tc>
        <w:tc>
          <w:tcPr>
            <w:tcW w:w="1067" w:type="dxa"/>
            <w:noWrap/>
            <w:vAlign w:val="center"/>
          </w:tcPr>
          <w:p w14:paraId="06813713">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项目理解与实施方案</w:t>
            </w:r>
          </w:p>
        </w:tc>
        <w:tc>
          <w:tcPr>
            <w:tcW w:w="1350" w:type="dxa"/>
            <w:noWrap/>
            <w:tcMar>
              <w:left w:w="57" w:type="dxa"/>
              <w:right w:w="57" w:type="dxa"/>
            </w:tcMar>
            <w:vAlign w:val="center"/>
          </w:tcPr>
          <w:p w14:paraId="384A1BA2">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满分</w:t>
            </w:r>
            <w:r>
              <w:rPr>
                <w:rFonts w:hint="eastAsia" w:ascii="宋体" w:hAnsi="宋体" w:cs="宋体"/>
                <w:b w:val="0"/>
                <w:bCs/>
                <w:sz w:val="21"/>
                <w:szCs w:val="21"/>
                <w:lang w:val="en-US" w:eastAsia="zh-CN"/>
              </w:rPr>
              <w:t>18</w:t>
            </w:r>
            <w:r>
              <w:rPr>
                <w:rFonts w:hint="eastAsia" w:ascii="宋体" w:hAnsi="宋体" w:cs="宋体"/>
                <w:b w:val="0"/>
                <w:bCs/>
                <w:sz w:val="21"/>
                <w:szCs w:val="21"/>
              </w:rPr>
              <w:t>分</w:t>
            </w:r>
          </w:p>
        </w:tc>
        <w:tc>
          <w:tcPr>
            <w:tcW w:w="5735" w:type="dxa"/>
            <w:noWrap/>
            <w:vAlign w:val="center"/>
          </w:tcPr>
          <w:p w14:paraId="6BCF59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eastAsia="宋体"/>
                <w:b w:val="0"/>
                <w:bCs/>
                <w:color w:val="000000"/>
                <w:sz w:val="21"/>
                <w:szCs w:val="21"/>
                <w:lang w:eastAsia="zh-CN"/>
              </w:rPr>
            </w:pPr>
            <w:r>
              <w:rPr>
                <w:b w:val="0"/>
                <w:bCs/>
                <w:color w:val="000000"/>
                <w:sz w:val="21"/>
                <w:szCs w:val="21"/>
              </w:rPr>
              <w:t>一档（</w:t>
            </w:r>
            <w:r>
              <w:rPr>
                <w:rFonts w:hint="eastAsia"/>
                <w:b w:val="0"/>
                <w:bCs/>
                <w:color w:val="000000"/>
                <w:sz w:val="21"/>
                <w:szCs w:val="21"/>
                <w:lang w:val="en-US" w:eastAsia="zh-CN"/>
              </w:rPr>
              <w:t>18</w:t>
            </w:r>
            <w:r>
              <w:rPr>
                <w:b w:val="0"/>
                <w:bCs/>
                <w:color w:val="000000"/>
                <w:sz w:val="21"/>
                <w:szCs w:val="21"/>
              </w:rPr>
              <w:t>分，最优）</w:t>
            </w:r>
            <w:r>
              <w:rPr>
                <w:rFonts w:hint="eastAsia"/>
                <w:b w:val="0"/>
                <w:bCs/>
                <w:color w:val="000000"/>
                <w:sz w:val="21"/>
                <w:szCs w:val="21"/>
                <w:lang w:eastAsia="zh-CN"/>
              </w:rPr>
              <w:t>：</w:t>
            </w:r>
          </w:p>
          <w:p w14:paraId="235CD261">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对项目</w:t>
            </w:r>
            <w:r>
              <w:rPr>
                <w:rFonts w:hint="eastAsia"/>
                <w:b w:val="0"/>
                <w:bCs/>
                <w:color w:val="000000"/>
                <w:sz w:val="21"/>
                <w:szCs w:val="21"/>
                <w:lang w:val="en-US" w:eastAsia="zh-CN"/>
              </w:rPr>
              <w:t>所有项</w:t>
            </w:r>
            <w:r>
              <w:rPr>
                <w:b w:val="0"/>
                <w:bCs/>
                <w:color w:val="000000"/>
                <w:sz w:val="21"/>
                <w:szCs w:val="21"/>
              </w:rPr>
              <w:t>技术服务的核心工作边界、服务内容、政策依据识别</w:t>
            </w:r>
            <w:r>
              <w:rPr>
                <w:rStyle w:val="49"/>
                <w:b w:val="0"/>
                <w:bCs/>
                <w:color w:val="000000"/>
                <w:sz w:val="21"/>
                <w:szCs w:val="21"/>
              </w:rPr>
              <w:t>100%精准</w:t>
            </w:r>
            <w:r>
              <w:rPr>
                <w:b w:val="0"/>
                <w:bCs/>
                <w:color w:val="000000"/>
                <w:sz w:val="21"/>
                <w:szCs w:val="21"/>
              </w:rPr>
              <w:t>，无任何遗漏、误判，能准确区分耕地保护、国土空间监测、矿业权管理等不同类别服务的核心要求，对各子项工作依据的适用场景界定清晰；</w:t>
            </w:r>
          </w:p>
          <w:p w14:paraId="211906B0">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实施方案完全贴合</w:t>
            </w:r>
            <w:r>
              <w:rPr>
                <w:rFonts w:hint="eastAsia"/>
                <w:b w:val="0"/>
                <w:bCs/>
                <w:color w:val="000000"/>
                <w:sz w:val="21"/>
                <w:szCs w:val="21"/>
                <w:lang w:val="en-US" w:eastAsia="zh-CN"/>
              </w:rPr>
              <w:t>合同</w:t>
            </w:r>
            <w:r>
              <w:rPr>
                <w:b w:val="0"/>
                <w:bCs/>
                <w:color w:val="000000"/>
                <w:sz w:val="21"/>
                <w:szCs w:val="21"/>
              </w:rPr>
              <w:t>履约要求，按</w:t>
            </w:r>
            <w:r>
              <w:rPr>
                <w:rStyle w:val="49"/>
                <w:b w:val="0"/>
                <w:bCs/>
                <w:color w:val="000000"/>
                <w:sz w:val="21"/>
                <w:szCs w:val="21"/>
              </w:rPr>
              <w:t>子项分阶段</w:t>
            </w:r>
            <w:r>
              <w:rPr>
                <w:b w:val="0"/>
                <w:bCs/>
                <w:color w:val="000000"/>
                <w:sz w:val="21"/>
                <w:szCs w:val="21"/>
              </w:rPr>
              <w:t>制定实施计划，每个阶段的服务内容、交付成果、时间节点明确且可落地，与采购需求中各子项工作内容一一对应，阶段衔接逻辑严密；</w:t>
            </w:r>
          </w:p>
          <w:p w14:paraId="12834F4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资料收集、外业测绘/举证、内业数据处理、成果编制/评审、数据建库等核心环节衔接</w:t>
            </w:r>
            <w:r>
              <w:rPr>
                <w:rStyle w:val="49"/>
                <w:b w:val="0"/>
                <w:bCs/>
                <w:color w:val="000000"/>
                <w:sz w:val="21"/>
                <w:szCs w:val="21"/>
              </w:rPr>
              <w:t>无缝顺畅</w:t>
            </w:r>
            <w:r>
              <w:rPr>
                <w:b w:val="0"/>
                <w:bCs/>
                <w:color w:val="000000"/>
                <w:sz w:val="21"/>
                <w:szCs w:val="21"/>
              </w:rPr>
              <w:t>，针对跨子项交叉服务（如耕地资源数据在卫片执法、占补平衡核查中的复用）制定</w:t>
            </w:r>
            <w:r>
              <w:rPr>
                <w:rStyle w:val="49"/>
                <w:b w:val="0"/>
                <w:bCs/>
                <w:color w:val="000000"/>
                <w:sz w:val="21"/>
                <w:szCs w:val="21"/>
              </w:rPr>
              <w:t>完善的协同机制</w:t>
            </w:r>
            <w:r>
              <w:rPr>
                <w:b w:val="0"/>
                <w:bCs/>
                <w:color w:val="000000"/>
                <w:sz w:val="21"/>
                <w:szCs w:val="21"/>
              </w:rPr>
              <w:t>，明确各环节衔接责任人、衔接时限及数据共享标准；</w:t>
            </w:r>
          </w:p>
          <w:p w14:paraId="30D4A912">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针对</w:t>
            </w:r>
            <w:r>
              <w:rPr>
                <w:rFonts w:hint="eastAsia"/>
                <w:b w:val="0"/>
                <w:bCs/>
                <w:color w:val="000000"/>
                <w:sz w:val="21"/>
                <w:szCs w:val="21"/>
                <w:lang w:val="en-US" w:eastAsia="zh-CN"/>
              </w:rPr>
              <w:t>所有</w:t>
            </w:r>
            <w:r>
              <w:rPr>
                <w:b w:val="0"/>
                <w:bCs/>
                <w:color w:val="000000"/>
                <w:sz w:val="21"/>
                <w:szCs w:val="21"/>
              </w:rPr>
              <w:t>项服务全部制定</w:t>
            </w:r>
            <w:r>
              <w:rPr>
                <w:rStyle w:val="49"/>
                <w:b w:val="0"/>
                <w:bCs/>
                <w:color w:val="000000"/>
                <w:sz w:val="21"/>
                <w:szCs w:val="21"/>
              </w:rPr>
              <w:t>专项子方案</w:t>
            </w:r>
            <w:r>
              <w:rPr>
                <w:b w:val="0"/>
                <w:bCs/>
                <w:color w:val="000000"/>
                <w:sz w:val="21"/>
                <w:szCs w:val="21"/>
              </w:rPr>
              <w:t>，明确无人机航测、GPS测绘、GIS数据处理等技术工具的</w:t>
            </w:r>
            <w:r>
              <w:rPr>
                <w:rStyle w:val="49"/>
                <w:b w:val="0"/>
                <w:bCs/>
                <w:color w:val="000000"/>
                <w:sz w:val="21"/>
                <w:szCs w:val="21"/>
              </w:rPr>
              <w:t>具体使用场景、操作规范及成果标准</w:t>
            </w:r>
            <w:r>
              <w:rPr>
                <w:b w:val="0"/>
                <w:bCs/>
                <w:color w:val="000000"/>
                <w:sz w:val="21"/>
                <w:szCs w:val="21"/>
              </w:rPr>
              <w:t>，工具使用规划与各子项工作依据（如GB/T24356-2009、桂自然资规系列文件）高度契合，可直接指导现场实施。</w:t>
            </w:r>
          </w:p>
          <w:p w14:paraId="00FEA9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b w:val="0"/>
                <w:bCs/>
                <w:color w:val="000000"/>
                <w:sz w:val="21"/>
                <w:szCs w:val="21"/>
              </w:rPr>
            </w:pPr>
            <w:r>
              <w:rPr>
                <w:b w:val="0"/>
                <w:bCs/>
                <w:color w:val="000000"/>
                <w:sz w:val="21"/>
                <w:szCs w:val="21"/>
              </w:rPr>
              <w:t>二档（1</w:t>
            </w:r>
            <w:r>
              <w:rPr>
                <w:rFonts w:hint="eastAsia"/>
                <w:b w:val="0"/>
                <w:bCs/>
                <w:color w:val="000000"/>
                <w:sz w:val="21"/>
                <w:szCs w:val="21"/>
                <w:lang w:val="en-US" w:eastAsia="zh-CN"/>
              </w:rPr>
              <w:t>4</w:t>
            </w:r>
            <w:r>
              <w:rPr>
                <w:b w:val="0"/>
                <w:bCs/>
                <w:color w:val="000000"/>
                <w:sz w:val="21"/>
                <w:szCs w:val="21"/>
              </w:rPr>
              <w:t>分，良好）</w:t>
            </w:r>
          </w:p>
          <w:p w14:paraId="45832DAA">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对项目</w:t>
            </w:r>
            <w:r>
              <w:rPr>
                <w:rStyle w:val="49"/>
                <w:b w:val="0"/>
                <w:bCs/>
                <w:color w:val="000000"/>
                <w:sz w:val="21"/>
                <w:szCs w:val="21"/>
              </w:rPr>
              <w:t>90%及以上</w:t>
            </w:r>
            <w:r>
              <w:rPr>
                <w:b w:val="0"/>
                <w:bCs/>
                <w:color w:val="000000"/>
                <w:sz w:val="21"/>
                <w:szCs w:val="21"/>
              </w:rPr>
              <w:t>核心技术服务的工作边界、服务内容识别准确，无重大遗漏或误判，次要服务的边界识别无原则性错误，政策依据引用全部正确，对核心子项工作依据的适用场景界定清晰；</w:t>
            </w:r>
          </w:p>
          <w:p w14:paraId="18A5E947">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实施方案符合履约时间要求，核心服务的分阶段实施计划清晰，交付成果、时间节点明确，次要服务的阶段划分合理，无明显逻辑漏洞，整体计划可支撑项目按期完成；</w:t>
            </w:r>
          </w:p>
          <w:p w14:paraId="1085BE6B">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主要工作环节衔接顺畅，针对</w:t>
            </w:r>
            <w:r>
              <w:rPr>
                <w:rStyle w:val="49"/>
                <w:b w:val="0"/>
                <w:bCs/>
                <w:color w:val="000000"/>
                <w:sz w:val="21"/>
                <w:szCs w:val="21"/>
              </w:rPr>
              <w:t>核心跨子项交叉服务</w:t>
            </w:r>
            <w:r>
              <w:rPr>
                <w:b w:val="0"/>
                <w:bCs/>
                <w:color w:val="000000"/>
                <w:sz w:val="21"/>
                <w:szCs w:val="21"/>
              </w:rPr>
              <w:t>制定了基本协同机制，明确了核心环节的衔接要求，能保障整体服务推进，无关键环节脱节问题；</w:t>
            </w:r>
          </w:p>
          <w:p w14:paraId="27FB351B">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针对</w:t>
            </w:r>
            <w:r>
              <w:rPr>
                <w:rStyle w:val="49"/>
                <w:b w:val="0"/>
                <w:bCs/>
                <w:color w:val="000000"/>
                <w:sz w:val="21"/>
                <w:szCs w:val="21"/>
              </w:rPr>
              <w:t>80%及以上</w:t>
            </w:r>
            <w:r>
              <w:rPr>
                <w:b w:val="0"/>
                <w:bCs/>
                <w:color w:val="000000"/>
                <w:sz w:val="21"/>
                <w:szCs w:val="21"/>
              </w:rPr>
              <w:t>核心服务制定专项子方案，明确主要技术工具的使用规划，工具选型与核心服务需求适配，操作规范基本符合采购需求要求，可满足项目实施需要。</w:t>
            </w:r>
          </w:p>
          <w:p w14:paraId="23E367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b w:val="0"/>
                <w:bCs/>
                <w:color w:val="000000"/>
                <w:sz w:val="21"/>
                <w:szCs w:val="21"/>
              </w:rPr>
            </w:pPr>
            <w:r>
              <w:rPr>
                <w:b w:val="0"/>
                <w:bCs/>
                <w:color w:val="000000"/>
                <w:sz w:val="21"/>
                <w:szCs w:val="21"/>
              </w:rPr>
              <w:t>三档（10分，合格）</w:t>
            </w:r>
          </w:p>
          <w:p w14:paraId="498188D5">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对项目</w:t>
            </w:r>
            <w:r>
              <w:rPr>
                <w:rStyle w:val="49"/>
                <w:b w:val="0"/>
                <w:bCs/>
                <w:color w:val="000000"/>
                <w:sz w:val="21"/>
                <w:szCs w:val="21"/>
              </w:rPr>
              <w:t>70%-90%</w:t>
            </w:r>
            <w:r>
              <w:rPr>
                <w:b w:val="0"/>
                <w:bCs/>
                <w:color w:val="000000"/>
                <w:sz w:val="21"/>
                <w:szCs w:val="21"/>
              </w:rPr>
              <w:t>核心技术服务的工作边界识别准确，主要政策依据无错误，但部分次要服务存在边界模糊、内容理解不细致的问题，无核心服务理解偏差，核心子项工作推进无认知障碍；</w:t>
            </w:r>
          </w:p>
          <w:p w14:paraId="21E19ECC">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实施方案基本符合分阶段履约要求，整体时间分配基本合理，但部分次要服务的交付成果清单不完整、时间节点未明确，无核心服务阶段安排偏差，不影响整体履约进度；</w:t>
            </w:r>
          </w:p>
          <w:p w14:paraId="763CB63D">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主要工作环节无明显脱节，跨子项交叉服务未制定明确协同机制，但通过常规工作协调可保障服务推进，无整体流程卡顿风险；</w:t>
            </w:r>
          </w:p>
          <w:p w14:paraId="3B2E522E">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针对核心服务制定了初步专项子方案，列出了主要技术工具清单，未明确工具具体使用场景和操作标准，工具选型基本适配核心服务需求，可满足基本实施要求。</w:t>
            </w:r>
          </w:p>
          <w:p w14:paraId="44F2B9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b w:val="0"/>
                <w:bCs/>
                <w:color w:val="000000"/>
                <w:sz w:val="21"/>
                <w:szCs w:val="21"/>
              </w:rPr>
            </w:pPr>
            <w:r>
              <w:rPr>
                <w:b w:val="0"/>
                <w:bCs/>
                <w:color w:val="000000"/>
                <w:sz w:val="21"/>
                <w:szCs w:val="21"/>
              </w:rPr>
              <w:t>四档（5分，基本符合）</w:t>
            </w:r>
          </w:p>
          <w:p w14:paraId="2945C6B0">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对项目</w:t>
            </w:r>
            <w:r>
              <w:rPr>
                <w:rStyle w:val="49"/>
                <w:b w:val="0"/>
                <w:bCs/>
                <w:color w:val="000000"/>
                <w:sz w:val="21"/>
                <w:szCs w:val="21"/>
              </w:rPr>
              <w:t>50%-70%</w:t>
            </w:r>
            <w:r>
              <w:rPr>
                <w:b w:val="0"/>
                <w:bCs/>
                <w:color w:val="000000"/>
                <w:sz w:val="21"/>
                <w:szCs w:val="21"/>
              </w:rPr>
              <w:t>核心技术服务的工作边界识别准确，存在部分次要服务遗漏，无重大核心服务理解错误，政策依据引用无原则性偏差，核心子项工作可正常推进；</w:t>
            </w:r>
          </w:p>
          <w:p w14:paraId="2390DC38">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实施方案整体符合履约时间要求，但部分核心服务的阶段划分不够清晰，交付成果仅明确核心内容，次要成果未列明，时间节点存在轻微不合理，经简单调整后可满足履约要求；</w:t>
            </w:r>
          </w:p>
          <w:p w14:paraId="7D2FA6D5">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b w:val="0"/>
                <w:bCs/>
                <w:color w:val="000000"/>
                <w:sz w:val="21"/>
                <w:szCs w:val="21"/>
              </w:rPr>
            </w:pPr>
            <w:r>
              <w:rPr>
                <w:b w:val="0"/>
                <w:bCs/>
                <w:color w:val="000000"/>
                <w:sz w:val="21"/>
                <w:szCs w:val="21"/>
              </w:rPr>
              <w:t>各工作环节基本衔接，仅针对个别核心交叉服务有简单衔接说明，整体协同性一般，存在轻微的流程衔接滞后风险，无核心环节衔接断裂问题；</w:t>
            </w:r>
          </w:p>
          <w:p w14:paraId="200EA05A">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20" w:firstLineChars="200"/>
              <w:jc w:val="left"/>
              <w:rPr>
                <w:rFonts w:ascii="宋体" w:hAnsi="宋体" w:cs="宋体"/>
                <w:b w:val="0"/>
                <w:bCs/>
                <w:sz w:val="21"/>
                <w:szCs w:val="21"/>
                <w:lang w:val="zh-CN"/>
              </w:rPr>
            </w:pPr>
            <w:r>
              <w:rPr>
                <w:b w:val="0"/>
                <w:bCs/>
                <w:color w:val="000000"/>
                <w:sz w:val="21"/>
                <w:szCs w:val="21"/>
              </w:rPr>
              <w:t>仅对核心服务制定了整体技术方案，未细分专项子方案，技术工具仅明确品类，未制定使用规划，工具选型可满足核心服务基本实施需求。</w:t>
            </w:r>
          </w:p>
        </w:tc>
      </w:tr>
      <w:tr w14:paraId="71FF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ign w:val="center"/>
          </w:tcPr>
          <w:p w14:paraId="071F93C1">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2</w:t>
            </w:r>
          </w:p>
        </w:tc>
        <w:tc>
          <w:tcPr>
            <w:tcW w:w="1067" w:type="dxa"/>
            <w:noWrap/>
            <w:vAlign w:val="center"/>
          </w:tcPr>
          <w:p w14:paraId="6F142A4C">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关键技术与难点应对</w:t>
            </w:r>
          </w:p>
        </w:tc>
        <w:tc>
          <w:tcPr>
            <w:tcW w:w="1350" w:type="dxa"/>
            <w:noWrap/>
            <w:tcMar>
              <w:left w:w="57" w:type="dxa"/>
              <w:right w:w="57" w:type="dxa"/>
            </w:tcMar>
            <w:vAlign w:val="center"/>
          </w:tcPr>
          <w:p w14:paraId="3C4395D9">
            <w:pPr>
              <w:keepNext w:val="0"/>
              <w:keepLines w:val="0"/>
              <w:pageBreakBefore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z w:val="21"/>
                <w:szCs w:val="21"/>
              </w:rPr>
            </w:pPr>
            <w:r>
              <w:rPr>
                <w:rFonts w:hint="eastAsia" w:ascii="宋体" w:hAnsi="宋体" w:eastAsia="宋体" w:cs="宋体"/>
                <w:b w:val="0"/>
                <w:bCs/>
                <w:sz w:val="21"/>
                <w:szCs w:val="21"/>
              </w:rPr>
              <w:t>满分</w:t>
            </w:r>
            <w:r>
              <w:rPr>
                <w:rFonts w:hint="eastAsia" w:ascii="宋体" w:hAnsi="宋体" w:eastAsia="宋体" w:cs="宋体"/>
                <w:b w:val="0"/>
                <w:bCs/>
                <w:sz w:val="21"/>
                <w:szCs w:val="21"/>
                <w:lang w:val="en-US" w:eastAsia="zh-CN"/>
              </w:rPr>
              <w:t>16</w:t>
            </w:r>
            <w:r>
              <w:rPr>
                <w:rFonts w:hint="eastAsia" w:ascii="宋体" w:hAnsi="宋体" w:eastAsia="宋体" w:cs="宋体"/>
                <w:b w:val="0"/>
                <w:bCs/>
                <w:sz w:val="21"/>
                <w:szCs w:val="21"/>
              </w:rPr>
              <w:t>分</w:t>
            </w:r>
          </w:p>
        </w:tc>
        <w:tc>
          <w:tcPr>
            <w:tcW w:w="5735" w:type="dxa"/>
            <w:noWrap/>
            <w:vAlign w:val="center"/>
          </w:tcPr>
          <w:p w14:paraId="0F2E25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right="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一档（</w:t>
            </w:r>
            <w:r>
              <w:rPr>
                <w:rFonts w:hint="eastAsia" w:ascii="宋体" w:hAnsi="宋体" w:eastAsia="宋体" w:cs="宋体"/>
                <w:b w:val="0"/>
                <w:bCs/>
                <w:color w:val="000000"/>
                <w:sz w:val="21"/>
                <w:szCs w:val="21"/>
                <w:lang w:val="en-US" w:eastAsia="zh-CN"/>
              </w:rPr>
              <w:t>16</w:t>
            </w:r>
            <w:r>
              <w:rPr>
                <w:rFonts w:hint="eastAsia" w:ascii="宋体" w:hAnsi="宋体" w:eastAsia="宋体" w:cs="宋体"/>
                <w:b w:val="0"/>
                <w:bCs/>
                <w:color w:val="000000"/>
                <w:sz w:val="21"/>
                <w:szCs w:val="21"/>
              </w:rPr>
              <w:t>分，最优）</w:t>
            </w:r>
          </w:p>
          <w:p w14:paraId="021714E1">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精准识别项目</w:t>
            </w:r>
            <w:r>
              <w:rPr>
                <w:rFonts w:hint="eastAsia" w:ascii="宋体" w:hAnsi="宋体" w:eastAsia="宋体" w:cs="宋体"/>
                <w:b w:val="0"/>
                <w:bCs/>
                <w:color w:val="000000"/>
                <w:sz w:val="21"/>
                <w:szCs w:val="21"/>
                <w:lang w:val="en-US" w:eastAsia="zh-CN"/>
              </w:rPr>
              <w:t>所有</w:t>
            </w:r>
            <w:r>
              <w:rPr>
                <w:rFonts w:hint="eastAsia" w:ascii="宋体" w:hAnsi="宋体" w:eastAsia="宋体" w:cs="宋体"/>
                <w:b w:val="0"/>
                <w:bCs/>
                <w:color w:val="000000"/>
                <w:sz w:val="21"/>
                <w:szCs w:val="21"/>
              </w:rPr>
              <w:t>项服务中</w:t>
            </w:r>
            <w:r>
              <w:rPr>
                <w:rStyle w:val="49"/>
                <w:rFonts w:hint="eastAsia" w:ascii="宋体" w:hAnsi="宋体" w:eastAsia="宋体" w:cs="宋体"/>
                <w:b w:val="0"/>
                <w:bCs/>
                <w:color w:val="000000"/>
                <w:sz w:val="21"/>
                <w:szCs w:val="21"/>
              </w:rPr>
              <w:t>全部核心技术</w:t>
            </w:r>
            <w:r>
              <w:rPr>
                <w:rFonts w:hint="eastAsia" w:ascii="宋体" w:hAnsi="宋体" w:eastAsia="宋体" w:cs="宋体"/>
                <w:b w:val="0"/>
                <w:bCs/>
                <w:color w:val="000000"/>
                <w:sz w:val="21"/>
                <w:szCs w:val="21"/>
              </w:rPr>
              <w:t>（如无人机航测正射影像生成、耕地破坏土层数据测量、国土空间监测数据建库、矿业权勘查方案评审技术等）及</w:t>
            </w:r>
            <w:r>
              <w:rPr>
                <w:rStyle w:val="49"/>
                <w:rFonts w:hint="eastAsia" w:ascii="宋体" w:hAnsi="宋体" w:eastAsia="宋体" w:cs="宋体"/>
                <w:b w:val="0"/>
                <w:bCs/>
                <w:color w:val="000000"/>
                <w:sz w:val="21"/>
                <w:szCs w:val="21"/>
              </w:rPr>
              <w:t>各子项实施难点</w:t>
            </w:r>
            <w:r>
              <w:rPr>
                <w:rFonts w:hint="eastAsia" w:ascii="宋体" w:hAnsi="宋体" w:eastAsia="宋体" w:cs="宋体"/>
                <w:b w:val="0"/>
                <w:bCs/>
                <w:color w:val="000000"/>
                <w:sz w:val="21"/>
                <w:szCs w:val="21"/>
              </w:rPr>
              <w:t>（如偏远区域外业举证、跨部门数据整合、涉密数据处理等），无任何遗漏，对技术难点的成因分析精准；</w:t>
            </w:r>
          </w:p>
          <w:p w14:paraId="6CF89B0F">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针对每个核心技术和实施难点制定</w:t>
            </w:r>
            <w:r>
              <w:rPr>
                <w:rStyle w:val="49"/>
                <w:rFonts w:hint="eastAsia" w:ascii="宋体" w:hAnsi="宋体" w:eastAsia="宋体" w:cs="宋体"/>
                <w:b w:val="0"/>
                <w:bCs/>
                <w:color w:val="000000"/>
                <w:sz w:val="21"/>
                <w:szCs w:val="21"/>
              </w:rPr>
              <w:t>具体、可落地的应对措施</w:t>
            </w:r>
            <w:r>
              <w:rPr>
                <w:rFonts w:hint="eastAsia" w:ascii="宋体" w:hAnsi="宋体" w:eastAsia="宋体" w:cs="宋体"/>
                <w:b w:val="0"/>
                <w:bCs/>
                <w:color w:val="000000"/>
                <w:sz w:val="21"/>
                <w:szCs w:val="21"/>
              </w:rPr>
              <w:t>，措施完全贴合各子项工作依据（如桂自然资办〔2024〕28号、国土资发〔2014〕117号等），步骤明确、责任到人，可直接指导现场实施，无空泛表述；</w:t>
            </w:r>
          </w:p>
          <w:p w14:paraId="2259964B">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明确列明所有技术工具的</w:t>
            </w:r>
            <w:r>
              <w:rPr>
                <w:rStyle w:val="49"/>
                <w:rFonts w:hint="eastAsia" w:ascii="宋体" w:hAnsi="宋体" w:eastAsia="宋体" w:cs="宋体"/>
                <w:b w:val="0"/>
                <w:bCs/>
                <w:color w:val="000000"/>
                <w:sz w:val="21"/>
                <w:szCs w:val="21"/>
              </w:rPr>
              <w:t>具体型号、核心参数、精度标准</w:t>
            </w:r>
            <w:r>
              <w:rPr>
                <w:rFonts w:hint="eastAsia" w:ascii="宋体" w:hAnsi="宋体" w:eastAsia="宋体" w:cs="宋体"/>
                <w:b w:val="0"/>
                <w:bCs/>
                <w:color w:val="000000"/>
                <w:sz w:val="21"/>
                <w:szCs w:val="21"/>
              </w:rPr>
              <w:t>（如GPS接收机平面精度≤±5cm、全站仪测角精度≤2″、GIS软件支持SHP/GDB/影像多格式处理、无人机航测分辨率≥5cm），工具参数与采购需求中“两级检查一级验收”“关键数据误差在规范限差内”的要求高度适配，工具配置可完全满足技术需求；</w:t>
            </w:r>
          </w:p>
          <w:p w14:paraId="5E527BF6">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全面预判外业作业安全（如山区、矿区外业风险）、数据保密（如土地利用现状涉密数据）、成果整改（如专家评审意见整改）、设备故障等</w:t>
            </w:r>
            <w:r>
              <w:rPr>
                <w:rStyle w:val="49"/>
                <w:rFonts w:hint="eastAsia" w:ascii="宋体" w:hAnsi="宋体" w:eastAsia="宋体" w:cs="宋体"/>
                <w:b w:val="0"/>
                <w:bCs/>
                <w:color w:val="000000"/>
                <w:sz w:val="21"/>
                <w:szCs w:val="21"/>
              </w:rPr>
              <w:t>所有潜在风险</w:t>
            </w:r>
            <w:r>
              <w:rPr>
                <w:rFonts w:hint="eastAsia" w:ascii="宋体" w:hAnsi="宋体" w:eastAsia="宋体" w:cs="宋体"/>
                <w:b w:val="0"/>
                <w:bCs/>
                <w:color w:val="000000"/>
                <w:sz w:val="21"/>
                <w:szCs w:val="21"/>
              </w:rPr>
              <w:t>，针对每种风险制定</w:t>
            </w:r>
            <w:r>
              <w:rPr>
                <w:rStyle w:val="49"/>
                <w:rFonts w:hint="eastAsia" w:ascii="宋体" w:hAnsi="宋体" w:eastAsia="宋体" w:cs="宋体"/>
                <w:b w:val="0"/>
                <w:bCs/>
                <w:color w:val="000000"/>
                <w:sz w:val="21"/>
                <w:szCs w:val="21"/>
              </w:rPr>
              <w:t>可操作的应急预案</w:t>
            </w:r>
            <w:r>
              <w:rPr>
                <w:rFonts w:hint="eastAsia" w:ascii="宋体" w:hAnsi="宋体" w:eastAsia="宋体" w:cs="宋体"/>
                <w:b w:val="0"/>
                <w:bCs/>
                <w:color w:val="000000"/>
                <w:sz w:val="21"/>
                <w:szCs w:val="21"/>
              </w:rPr>
              <w:t>，明确应急处置流程、责任人、备用资源（如备用测绘设备、应急作业人员），应急预案可快速响应各类突发情况。</w:t>
            </w:r>
          </w:p>
          <w:p w14:paraId="67198D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right="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二档（1</w:t>
            </w:r>
            <w:r>
              <w:rPr>
                <w:rFonts w:hint="eastAsia" w:ascii="宋体" w:hAnsi="宋体" w:eastAsia="宋体" w:cs="宋体"/>
                <w:b w:val="0"/>
                <w:bCs/>
                <w:color w:val="000000"/>
                <w:sz w:val="21"/>
                <w:szCs w:val="21"/>
                <w:lang w:val="en-US" w:eastAsia="zh-CN"/>
              </w:rPr>
              <w:t>2</w:t>
            </w:r>
            <w:r>
              <w:rPr>
                <w:rFonts w:hint="eastAsia" w:ascii="宋体" w:hAnsi="宋体" w:eastAsia="宋体" w:cs="宋体"/>
                <w:b w:val="0"/>
                <w:bCs/>
                <w:color w:val="000000"/>
                <w:sz w:val="21"/>
                <w:szCs w:val="21"/>
              </w:rPr>
              <w:t>分，良好）</w:t>
            </w:r>
          </w:p>
          <w:p w14:paraId="6A3EC74E">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准确识别项目</w:t>
            </w:r>
            <w:r>
              <w:rPr>
                <w:rStyle w:val="49"/>
                <w:rFonts w:hint="eastAsia" w:ascii="宋体" w:hAnsi="宋体" w:eastAsia="宋体" w:cs="宋体"/>
                <w:b w:val="0"/>
                <w:bCs/>
                <w:color w:val="000000"/>
                <w:sz w:val="21"/>
                <w:szCs w:val="21"/>
              </w:rPr>
              <w:t>90%及以上</w:t>
            </w:r>
            <w:r>
              <w:rPr>
                <w:rFonts w:hint="eastAsia" w:ascii="宋体" w:hAnsi="宋体" w:eastAsia="宋体" w:cs="宋体"/>
                <w:b w:val="0"/>
                <w:bCs/>
                <w:color w:val="000000"/>
                <w:sz w:val="21"/>
                <w:szCs w:val="21"/>
              </w:rPr>
              <w:t>核心技术和</w:t>
            </w:r>
            <w:r>
              <w:rPr>
                <w:rStyle w:val="49"/>
                <w:rFonts w:hint="eastAsia" w:ascii="宋体" w:hAnsi="宋体" w:eastAsia="宋体" w:cs="宋体"/>
                <w:b w:val="0"/>
                <w:bCs/>
                <w:color w:val="000000"/>
                <w:sz w:val="21"/>
                <w:szCs w:val="21"/>
              </w:rPr>
              <w:t>全部主要实施难点</w:t>
            </w:r>
            <w:r>
              <w:rPr>
                <w:rFonts w:hint="eastAsia" w:ascii="宋体" w:hAnsi="宋体" w:eastAsia="宋体" w:cs="宋体"/>
                <w:b w:val="0"/>
                <w:bCs/>
                <w:color w:val="000000"/>
                <w:sz w:val="21"/>
                <w:szCs w:val="21"/>
              </w:rPr>
              <w:t>，无核心技术/难点遗漏，次要服务的技术/难点识别无原则性错误，对核心技术难点的成因分析清晰；</w:t>
            </w:r>
          </w:p>
          <w:p w14:paraId="58B8B865">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针对核心技术和主要难点制定的应对措施</w:t>
            </w:r>
            <w:r>
              <w:rPr>
                <w:rStyle w:val="49"/>
                <w:rFonts w:hint="eastAsia" w:ascii="宋体" w:hAnsi="宋体" w:eastAsia="宋体" w:cs="宋体"/>
                <w:b w:val="0"/>
                <w:bCs/>
                <w:color w:val="000000"/>
                <w:sz w:val="21"/>
                <w:szCs w:val="21"/>
              </w:rPr>
              <w:t>符合工作依据要求，具备可操作性</w:t>
            </w:r>
            <w:r>
              <w:rPr>
                <w:rFonts w:hint="eastAsia" w:ascii="宋体" w:hAnsi="宋体" w:eastAsia="宋体" w:cs="宋体"/>
                <w:b w:val="0"/>
                <w:bCs/>
                <w:color w:val="000000"/>
                <w:sz w:val="21"/>
                <w:szCs w:val="21"/>
              </w:rPr>
              <w:t>，仅少量次要服务的应对措施需补充细化，可直接指导核心服务实施，核心环节无实施障碍；</w:t>
            </w:r>
          </w:p>
          <w:p w14:paraId="2134C077">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明确列明主要技术工具的</w:t>
            </w:r>
            <w:r>
              <w:rPr>
                <w:rStyle w:val="49"/>
                <w:rFonts w:hint="eastAsia" w:ascii="宋体" w:hAnsi="宋体" w:eastAsia="宋体" w:cs="宋体"/>
                <w:b w:val="0"/>
                <w:bCs/>
                <w:color w:val="000000"/>
                <w:sz w:val="21"/>
                <w:szCs w:val="21"/>
              </w:rPr>
              <w:t>品类及核心参数</w:t>
            </w:r>
            <w:r>
              <w:rPr>
                <w:rFonts w:hint="eastAsia" w:ascii="宋体" w:hAnsi="宋体" w:eastAsia="宋体" w:cs="宋体"/>
                <w:b w:val="0"/>
                <w:bCs/>
                <w:color w:val="000000"/>
                <w:sz w:val="21"/>
                <w:szCs w:val="21"/>
              </w:rPr>
              <w:t>，核心参数（如测绘精度、软件功能）满足</w:t>
            </w:r>
            <w:r>
              <w:rPr>
                <w:rStyle w:val="49"/>
                <w:rFonts w:hint="eastAsia" w:ascii="宋体" w:hAnsi="宋体" w:eastAsia="宋体" w:cs="宋体"/>
                <w:b w:val="0"/>
                <w:bCs/>
                <w:color w:val="000000"/>
                <w:sz w:val="21"/>
                <w:szCs w:val="21"/>
              </w:rPr>
              <w:t>80%及以上</w:t>
            </w:r>
            <w:r>
              <w:rPr>
                <w:rFonts w:hint="eastAsia" w:ascii="宋体" w:hAnsi="宋体" w:eastAsia="宋体" w:cs="宋体"/>
                <w:b w:val="0"/>
                <w:bCs/>
                <w:color w:val="000000"/>
                <w:sz w:val="21"/>
                <w:szCs w:val="21"/>
              </w:rPr>
              <w:t>核心服务需求，工具选型与项目技术要求适配，可支撑核心服务技术落地；</w:t>
            </w:r>
          </w:p>
          <w:p w14:paraId="24D8704D">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预判了</w:t>
            </w:r>
            <w:r>
              <w:rPr>
                <w:rStyle w:val="49"/>
                <w:rFonts w:hint="eastAsia" w:ascii="宋体" w:hAnsi="宋体" w:eastAsia="宋体" w:cs="宋体"/>
                <w:b w:val="0"/>
                <w:bCs/>
                <w:color w:val="000000"/>
                <w:sz w:val="21"/>
                <w:szCs w:val="21"/>
              </w:rPr>
              <w:t>所有主要潜在风险</w:t>
            </w:r>
            <w:r>
              <w:rPr>
                <w:rFonts w:hint="eastAsia" w:ascii="宋体" w:hAnsi="宋体" w:eastAsia="宋体" w:cs="宋体"/>
                <w:b w:val="0"/>
                <w:bCs/>
                <w:color w:val="000000"/>
                <w:sz w:val="21"/>
                <w:szCs w:val="21"/>
              </w:rPr>
              <w:t>（外业安全、数据保密、成果整改），应急预案基本完善，明确了核心风险的处置流程和责任人，可覆盖项目核心服务的风险应对需求，次要风险有基本应对说明。</w:t>
            </w:r>
          </w:p>
          <w:p w14:paraId="337707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right="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三档（</w:t>
            </w:r>
            <w:r>
              <w:rPr>
                <w:rFonts w:hint="eastAsia" w:ascii="宋体" w:hAnsi="宋体" w:eastAsia="宋体" w:cs="宋体"/>
                <w:b w:val="0"/>
                <w:bCs/>
                <w:color w:val="000000"/>
                <w:sz w:val="21"/>
                <w:szCs w:val="21"/>
                <w:lang w:val="en-US" w:eastAsia="zh-CN"/>
              </w:rPr>
              <w:t>8</w:t>
            </w:r>
            <w:r>
              <w:rPr>
                <w:rFonts w:hint="eastAsia" w:ascii="宋体" w:hAnsi="宋体" w:eastAsia="宋体" w:cs="宋体"/>
                <w:b w:val="0"/>
                <w:bCs/>
                <w:color w:val="000000"/>
                <w:sz w:val="21"/>
                <w:szCs w:val="21"/>
              </w:rPr>
              <w:t>分，合格）</w:t>
            </w:r>
          </w:p>
          <w:p w14:paraId="4251E31A">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识别项目</w:t>
            </w:r>
            <w:r>
              <w:rPr>
                <w:rStyle w:val="49"/>
                <w:rFonts w:hint="eastAsia" w:ascii="宋体" w:hAnsi="宋体" w:eastAsia="宋体" w:cs="宋体"/>
                <w:b w:val="0"/>
                <w:bCs/>
                <w:color w:val="000000"/>
                <w:sz w:val="21"/>
                <w:szCs w:val="21"/>
                <w:lang w:val="en-US" w:eastAsia="zh-CN"/>
              </w:rPr>
              <w:t>70</w:t>
            </w:r>
            <w:r>
              <w:rPr>
                <w:rStyle w:val="49"/>
                <w:rFonts w:hint="eastAsia" w:ascii="宋体" w:hAnsi="宋体" w:eastAsia="宋体" w:cs="宋体"/>
                <w:b w:val="0"/>
                <w:bCs/>
                <w:color w:val="000000"/>
                <w:sz w:val="21"/>
                <w:szCs w:val="21"/>
              </w:rPr>
              <w:t>%</w:t>
            </w:r>
            <w:r>
              <w:rPr>
                <w:rStyle w:val="49"/>
                <w:rFonts w:hint="eastAsia" w:ascii="宋体" w:hAnsi="宋体" w:eastAsia="宋体" w:cs="宋体"/>
                <w:b w:val="0"/>
                <w:bCs/>
                <w:color w:val="000000"/>
                <w:sz w:val="21"/>
                <w:szCs w:val="21"/>
                <w:lang w:val="en-US" w:eastAsia="zh-CN"/>
              </w:rPr>
              <w:t>及以上</w:t>
            </w:r>
            <w:r>
              <w:rPr>
                <w:rFonts w:hint="eastAsia" w:ascii="宋体" w:hAnsi="宋体" w:eastAsia="宋体" w:cs="宋体"/>
                <w:b w:val="0"/>
                <w:bCs/>
                <w:color w:val="000000"/>
                <w:sz w:val="21"/>
                <w:szCs w:val="21"/>
              </w:rPr>
              <w:t>核心技术和全部主要实施难点，无主要难点遗漏，部分次要服务的技术边界识别模糊，无核心技术识别偏差，核心技术环节实施无认知障碍；</w:t>
            </w:r>
          </w:p>
          <w:p w14:paraId="6DB2DDC6">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针对核心技术和难点制定的应对措施</w:t>
            </w:r>
            <w:r>
              <w:rPr>
                <w:rStyle w:val="49"/>
                <w:rFonts w:hint="eastAsia" w:ascii="宋体" w:hAnsi="宋体" w:eastAsia="宋体" w:cs="宋体"/>
                <w:b w:val="0"/>
                <w:bCs/>
                <w:color w:val="000000"/>
                <w:sz w:val="21"/>
                <w:szCs w:val="21"/>
              </w:rPr>
              <w:t>基本符合工作依据</w:t>
            </w:r>
            <w:r>
              <w:rPr>
                <w:rFonts w:hint="eastAsia" w:ascii="宋体" w:hAnsi="宋体" w:eastAsia="宋体" w:cs="宋体"/>
                <w:b w:val="0"/>
                <w:bCs/>
                <w:color w:val="000000"/>
                <w:sz w:val="21"/>
                <w:szCs w:val="21"/>
              </w:rPr>
              <w:t>，但部分措施针对性不足、表述较笼统，需进一步细化后可落地实施，核心服务措施无原则性问题，不影响核心工作推进；</w:t>
            </w:r>
          </w:p>
          <w:p w14:paraId="333BBFD3">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列出了所有主要技术工具的</w:t>
            </w:r>
            <w:r>
              <w:rPr>
                <w:rStyle w:val="49"/>
                <w:rFonts w:hint="eastAsia" w:ascii="宋体" w:hAnsi="宋体" w:eastAsia="宋体" w:cs="宋体"/>
                <w:b w:val="0"/>
                <w:bCs/>
                <w:color w:val="000000"/>
                <w:sz w:val="21"/>
                <w:szCs w:val="21"/>
              </w:rPr>
              <w:t>品类清单</w:t>
            </w:r>
            <w:r>
              <w:rPr>
                <w:rFonts w:hint="eastAsia" w:ascii="宋体" w:hAnsi="宋体" w:eastAsia="宋体" w:cs="宋体"/>
                <w:b w:val="0"/>
                <w:bCs/>
                <w:color w:val="000000"/>
                <w:sz w:val="21"/>
                <w:szCs w:val="21"/>
              </w:rPr>
              <w:t>，未明确核心参数，部分工具的精度/功能与次要服务需求适配性一般，核心服务的工具参数可满足基本要求，核心技术实施无设备障碍；</w:t>
            </w:r>
          </w:p>
          <w:p w14:paraId="57CC41F0">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预判了</w:t>
            </w:r>
            <w:r>
              <w:rPr>
                <w:rStyle w:val="49"/>
                <w:rFonts w:hint="eastAsia" w:ascii="宋体" w:hAnsi="宋体" w:eastAsia="宋体" w:cs="宋体"/>
                <w:b w:val="0"/>
                <w:bCs/>
                <w:color w:val="000000"/>
                <w:sz w:val="21"/>
                <w:szCs w:val="21"/>
              </w:rPr>
              <w:t>主要潜在风险</w:t>
            </w:r>
            <w:r>
              <w:rPr>
                <w:rFonts w:hint="eastAsia" w:ascii="宋体" w:hAnsi="宋体" w:eastAsia="宋体" w:cs="宋体"/>
                <w:b w:val="0"/>
                <w:bCs/>
                <w:color w:val="000000"/>
                <w:sz w:val="21"/>
                <w:szCs w:val="21"/>
              </w:rPr>
              <w:t>，但应急预案不够完整，仅明确了核心风险的处置流程，未明确责任人及备用资源，存在少量次要风险漏洞，无核心风险应对缺失，核心服务风险可有效管控。</w:t>
            </w:r>
          </w:p>
          <w:p w14:paraId="2DFDA3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right="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四档（</w:t>
            </w:r>
            <w:r>
              <w:rPr>
                <w:rFonts w:hint="eastAsia" w:ascii="宋体" w:hAnsi="宋体" w:eastAsia="宋体" w:cs="宋体"/>
                <w:b w:val="0"/>
                <w:bCs/>
                <w:color w:val="000000"/>
                <w:sz w:val="21"/>
                <w:szCs w:val="21"/>
                <w:lang w:val="en-US" w:eastAsia="zh-CN"/>
              </w:rPr>
              <w:t>3</w:t>
            </w:r>
            <w:r>
              <w:rPr>
                <w:rFonts w:hint="eastAsia" w:ascii="宋体" w:hAnsi="宋体" w:eastAsia="宋体" w:cs="宋体"/>
                <w:b w:val="0"/>
                <w:bCs/>
                <w:color w:val="000000"/>
                <w:sz w:val="21"/>
                <w:szCs w:val="21"/>
              </w:rPr>
              <w:t>分，基本符合）</w:t>
            </w:r>
          </w:p>
          <w:p w14:paraId="777856EC">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识别项目</w:t>
            </w:r>
            <w:r>
              <w:rPr>
                <w:rStyle w:val="49"/>
                <w:rFonts w:hint="eastAsia" w:ascii="宋体" w:hAnsi="宋体" w:eastAsia="宋体" w:cs="宋体"/>
                <w:b w:val="0"/>
                <w:bCs/>
                <w:color w:val="000000"/>
                <w:sz w:val="21"/>
                <w:szCs w:val="21"/>
              </w:rPr>
              <w:t>50%</w:t>
            </w:r>
            <w:r>
              <w:rPr>
                <w:rStyle w:val="49"/>
                <w:rFonts w:hint="eastAsia" w:ascii="宋体" w:hAnsi="宋体" w:eastAsia="宋体" w:cs="宋体"/>
                <w:b w:val="0"/>
                <w:bCs/>
                <w:color w:val="000000"/>
                <w:sz w:val="21"/>
                <w:szCs w:val="21"/>
                <w:lang w:val="en-US" w:eastAsia="zh-CN"/>
              </w:rPr>
              <w:t>及以上</w:t>
            </w:r>
            <w:r>
              <w:rPr>
                <w:rFonts w:hint="eastAsia" w:ascii="宋体" w:hAnsi="宋体" w:eastAsia="宋体" w:cs="宋体"/>
                <w:b w:val="0"/>
                <w:bCs/>
                <w:color w:val="000000"/>
                <w:sz w:val="21"/>
                <w:szCs w:val="21"/>
              </w:rPr>
              <w:t>核心技术和</w:t>
            </w:r>
            <w:r>
              <w:rPr>
                <w:rStyle w:val="49"/>
                <w:rFonts w:hint="eastAsia" w:ascii="宋体" w:hAnsi="宋体" w:eastAsia="宋体" w:cs="宋体"/>
                <w:b w:val="0"/>
                <w:bCs/>
                <w:color w:val="000000"/>
                <w:sz w:val="21"/>
                <w:szCs w:val="21"/>
              </w:rPr>
              <w:t>主要实施难点</w:t>
            </w:r>
            <w:r>
              <w:rPr>
                <w:rFonts w:hint="eastAsia" w:ascii="宋体" w:hAnsi="宋体" w:eastAsia="宋体" w:cs="宋体"/>
                <w:b w:val="0"/>
                <w:bCs/>
                <w:color w:val="000000"/>
                <w:sz w:val="21"/>
                <w:szCs w:val="21"/>
              </w:rPr>
              <w:t>，无核心难点遗漏，部分核心技术的边界识别不够清晰，次要服务的技术/难点识别存在少量遗漏，核心技术环节实施无重大障碍；</w:t>
            </w:r>
          </w:p>
          <w:p w14:paraId="6B65C7EF">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针对核心技术和难点制定的应对措施</w:t>
            </w:r>
            <w:r>
              <w:rPr>
                <w:rStyle w:val="49"/>
                <w:rFonts w:hint="eastAsia" w:ascii="宋体" w:hAnsi="宋体" w:eastAsia="宋体" w:cs="宋体"/>
                <w:b w:val="0"/>
                <w:bCs/>
                <w:color w:val="000000"/>
                <w:sz w:val="21"/>
                <w:szCs w:val="21"/>
              </w:rPr>
              <w:t>未完全贴合工作依据</w:t>
            </w:r>
            <w:r>
              <w:rPr>
                <w:rFonts w:hint="eastAsia" w:ascii="宋体" w:hAnsi="宋体" w:eastAsia="宋体" w:cs="宋体"/>
                <w:b w:val="0"/>
                <w:bCs/>
                <w:color w:val="000000"/>
                <w:sz w:val="21"/>
                <w:szCs w:val="21"/>
              </w:rPr>
              <w:t>，但无原则性偏差，部分措施缺乏可操作性，需大幅细化后才能指导实施，核心服务措施可满足基本实施需求；</w:t>
            </w:r>
          </w:p>
          <w:p w14:paraId="0566885A">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仅列出了</w:t>
            </w:r>
            <w:r>
              <w:rPr>
                <w:rStyle w:val="49"/>
                <w:rFonts w:hint="eastAsia" w:ascii="宋体" w:hAnsi="宋体" w:eastAsia="宋体" w:cs="宋体"/>
                <w:b w:val="0"/>
                <w:bCs/>
                <w:color w:val="000000"/>
                <w:sz w:val="21"/>
                <w:szCs w:val="21"/>
              </w:rPr>
              <w:t>核心技术工具品类</w:t>
            </w:r>
            <w:r>
              <w:rPr>
                <w:rFonts w:hint="eastAsia" w:ascii="宋体" w:hAnsi="宋体" w:eastAsia="宋体" w:cs="宋体"/>
                <w:b w:val="0"/>
                <w:bCs/>
                <w:color w:val="000000"/>
                <w:sz w:val="21"/>
                <w:szCs w:val="21"/>
              </w:rPr>
              <w:t>，未明确参数标准，部分核心工具的精度/功能仅能满足基本实施要求，次要服务的工具选型未明确，无核心工具缺失，核心技术实施可正常推进；</w:t>
            </w:r>
          </w:p>
          <w:p w14:paraId="4DAD0C96">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color w:val="000000"/>
                <w:sz w:val="21"/>
                <w:szCs w:val="21"/>
              </w:rPr>
              <w:t>仅预判了</w:t>
            </w:r>
            <w:r>
              <w:rPr>
                <w:rStyle w:val="49"/>
                <w:rFonts w:hint="eastAsia" w:ascii="宋体" w:hAnsi="宋体" w:eastAsia="宋体" w:cs="宋体"/>
                <w:b w:val="0"/>
                <w:bCs/>
                <w:color w:val="000000"/>
                <w:sz w:val="21"/>
                <w:szCs w:val="21"/>
              </w:rPr>
              <w:t>核心潜在风险</w:t>
            </w:r>
            <w:r>
              <w:rPr>
                <w:rFonts w:hint="eastAsia" w:ascii="宋体" w:hAnsi="宋体" w:eastAsia="宋体" w:cs="宋体"/>
                <w:b w:val="0"/>
                <w:bCs/>
                <w:color w:val="000000"/>
                <w:sz w:val="21"/>
                <w:szCs w:val="21"/>
              </w:rPr>
              <w:t>（如数据保密、外业安全），未制定系统应急预案，仅对核心风险有简单应对说明，无应急处置流程和资源保障，次要风险未预判，核心服务风险可通过常规措施管控。</w:t>
            </w:r>
          </w:p>
        </w:tc>
      </w:tr>
      <w:tr w14:paraId="1387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ign w:val="center"/>
          </w:tcPr>
          <w:p w14:paraId="297AFE90">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3</w:t>
            </w:r>
          </w:p>
        </w:tc>
        <w:tc>
          <w:tcPr>
            <w:tcW w:w="1067" w:type="dxa"/>
            <w:noWrap/>
            <w:vAlign w:val="center"/>
          </w:tcPr>
          <w:p w14:paraId="6902B8CF">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工作量测算与进度保障</w:t>
            </w:r>
          </w:p>
        </w:tc>
        <w:tc>
          <w:tcPr>
            <w:tcW w:w="1350" w:type="dxa"/>
            <w:noWrap/>
            <w:tcMar>
              <w:left w:w="57" w:type="dxa"/>
              <w:right w:w="57" w:type="dxa"/>
            </w:tcMar>
            <w:vAlign w:val="center"/>
          </w:tcPr>
          <w:p w14:paraId="5090F830">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满分1</w:t>
            </w:r>
            <w:r>
              <w:rPr>
                <w:rFonts w:hint="eastAsia" w:ascii="宋体" w:hAnsi="宋体" w:cs="宋体"/>
                <w:b w:val="0"/>
                <w:bCs/>
                <w:sz w:val="21"/>
                <w:szCs w:val="21"/>
                <w:lang w:val="en-US" w:eastAsia="zh-CN"/>
              </w:rPr>
              <w:t>5</w:t>
            </w:r>
            <w:r>
              <w:rPr>
                <w:rFonts w:hint="eastAsia" w:ascii="宋体" w:hAnsi="宋体" w:cs="宋体"/>
                <w:b w:val="0"/>
                <w:bCs/>
                <w:sz w:val="21"/>
                <w:szCs w:val="21"/>
              </w:rPr>
              <w:t>分</w:t>
            </w:r>
          </w:p>
        </w:tc>
        <w:tc>
          <w:tcPr>
            <w:tcW w:w="5735" w:type="dxa"/>
            <w:noWrap/>
            <w:vAlign w:val="center"/>
          </w:tcPr>
          <w:p w14:paraId="3DF5A99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outlineLvl w:val="2"/>
              <w:rPr>
                <w:b w:val="0"/>
                <w:bCs/>
                <w:color w:val="000000"/>
                <w:sz w:val="21"/>
                <w:szCs w:val="21"/>
              </w:rPr>
            </w:pPr>
            <w:r>
              <w:rPr>
                <w:b w:val="0"/>
                <w:bCs/>
                <w:color w:val="000000"/>
                <w:sz w:val="21"/>
                <w:szCs w:val="21"/>
              </w:rPr>
              <w:t>一档（1</w:t>
            </w:r>
            <w:r>
              <w:rPr>
                <w:rFonts w:hint="eastAsia"/>
                <w:b w:val="0"/>
                <w:bCs/>
                <w:color w:val="000000"/>
                <w:sz w:val="21"/>
                <w:szCs w:val="21"/>
                <w:lang w:val="en-US" w:eastAsia="zh-CN"/>
              </w:rPr>
              <w:t>5</w:t>
            </w:r>
            <w:r>
              <w:rPr>
                <w:b w:val="0"/>
                <w:bCs/>
                <w:color w:val="000000"/>
                <w:sz w:val="21"/>
                <w:szCs w:val="21"/>
              </w:rPr>
              <w:t>分，最优）</w:t>
            </w:r>
          </w:p>
          <w:p w14:paraId="1DD71C04">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工作量测算</w:t>
            </w:r>
            <w:r>
              <w:rPr>
                <w:rStyle w:val="49"/>
                <w:b w:val="0"/>
                <w:bCs/>
                <w:color w:val="000000"/>
                <w:sz w:val="21"/>
                <w:szCs w:val="21"/>
              </w:rPr>
              <w:t>全面覆盖项目</w:t>
            </w:r>
            <w:r>
              <w:rPr>
                <w:rStyle w:val="49"/>
                <w:rFonts w:hint="eastAsia"/>
                <w:b w:val="0"/>
                <w:bCs/>
                <w:color w:val="000000"/>
                <w:sz w:val="21"/>
                <w:szCs w:val="21"/>
                <w:lang w:val="en-US" w:eastAsia="zh-CN"/>
              </w:rPr>
              <w:t>所有</w:t>
            </w:r>
            <w:r>
              <w:rPr>
                <w:rStyle w:val="49"/>
                <w:b w:val="0"/>
                <w:bCs/>
                <w:color w:val="000000"/>
                <w:sz w:val="21"/>
                <w:szCs w:val="21"/>
              </w:rPr>
              <w:t>项技术服务</w:t>
            </w:r>
            <w:r>
              <w:rPr>
                <w:b w:val="0"/>
                <w:bCs/>
                <w:color w:val="000000"/>
                <w:sz w:val="21"/>
                <w:szCs w:val="21"/>
              </w:rPr>
              <w:t>，无任何漏项、错算，针对每个子项明确</w:t>
            </w:r>
            <w:r>
              <w:rPr>
                <w:rStyle w:val="49"/>
                <w:b w:val="0"/>
                <w:bCs/>
                <w:color w:val="000000"/>
                <w:sz w:val="21"/>
                <w:szCs w:val="21"/>
              </w:rPr>
              <w:t>人天投入、设备台时投入</w:t>
            </w:r>
            <w:r>
              <w:rPr>
                <w:b w:val="0"/>
                <w:bCs/>
                <w:color w:val="000000"/>
                <w:sz w:val="21"/>
                <w:szCs w:val="21"/>
              </w:rPr>
              <w:t>，测算依据清晰（如行业人工定额、测绘设备使用成本、技术服务行业收费标准）；</w:t>
            </w:r>
          </w:p>
          <w:p w14:paraId="52E0BE30">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资源配置</w:t>
            </w:r>
            <w:r>
              <w:rPr>
                <w:rStyle w:val="49"/>
                <w:b w:val="0"/>
                <w:bCs/>
                <w:color w:val="000000"/>
                <w:sz w:val="21"/>
                <w:szCs w:val="21"/>
              </w:rPr>
              <w:t>完全满足项目全流程需求</w:t>
            </w:r>
            <w:r>
              <w:rPr>
                <w:b w:val="0"/>
                <w:bCs/>
                <w:color w:val="000000"/>
                <w:sz w:val="21"/>
                <w:szCs w:val="21"/>
              </w:rPr>
              <w:t>，拟投入专业技术人员**≥20人**，专业覆盖测绘与地理信息、矿业工程、土木工程、土地工程与技术、地质资源与地质工程、国土空间规划、建筑工程测量等</w:t>
            </w:r>
            <w:r>
              <w:rPr>
                <w:rStyle w:val="49"/>
                <w:b w:val="0"/>
                <w:bCs/>
                <w:color w:val="000000"/>
                <w:sz w:val="21"/>
                <w:szCs w:val="21"/>
              </w:rPr>
              <w:t>采购需求全部相关专业</w:t>
            </w:r>
            <w:r>
              <w:rPr>
                <w:b w:val="0"/>
                <w:bCs/>
                <w:color w:val="000000"/>
                <w:sz w:val="21"/>
                <w:szCs w:val="21"/>
              </w:rPr>
              <w:t>，人员专业配比合理，可满足各子项专业技术要求；拟投入设备**≥4套**（每套含无人机、GPS接收机、全站仪、GIS工作站等），明确所有设备的</w:t>
            </w:r>
            <w:r>
              <w:rPr>
                <w:rStyle w:val="49"/>
                <w:b w:val="0"/>
                <w:bCs/>
                <w:color w:val="000000"/>
                <w:sz w:val="21"/>
                <w:szCs w:val="21"/>
              </w:rPr>
              <w:t>使用频次、分配方案及设备责任人</w:t>
            </w:r>
            <w:r>
              <w:rPr>
                <w:b w:val="0"/>
                <w:bCs/>
                <w:color w:val="000000"/>
                <w:sz w:val="21"/>
                <w:szCs w:val="21"/>
              </w:rPr>
              <w:t>，设备配置可实现各子项并行推进；</w:t>
            </w:r>
          </w:p>
          <w:p w14:paraId="2885FFDC">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进度安排按</w:t>
            </w:r>
            <w:r>
              <w:rPr>
                <w:rStyle w:val="49"/>
                <w:b w:val="0"/>
                <w:bCs/>
                <w:color w:val="000000"/>
                <w:sz w:val="21"/>
                <w:szCs w:val="21"/>
              </w:rPr>
              <w:t>子项+阶段</w:t>
            </w:r>
            <w:r>
              <w:rPr>
                <w:b w:val="0"/>
                <w:bCs/>
                <w:color w:val="000000"/>
                <w:sz w:val="21"/>
                <w:szCs w:val="21"/>
              </w:rPr>
              <w:t>制定，明确每个阶段各子项的</w:t>
            </w:r>
            <w:r>
              <w:rPr>
                <w:rStyle w:val="49"/>
                <w:b w:val="0"/>
                <w:bCs/>
                <w:color w:val="000000"/>
                <w:sz w:val="21"/>
                <w:szCs w:val="21"/>
              </w:rPr>
              <w:t>完成比例、交付成果节点</w:t>
            </w:r>
            <w:r>
              <w:rPr>
                <w:b w:val="0"/>
                <w:bCs/>
                <w:color w:val="000000"/>
                <w:sz w:val="21"/>
                <w:szCs w:val="21"/>
              </w:rPr>
              <w:t>，进度计划与合同履行期限高度契合，预留了政策调整、成果整改的合理缓冲时间，节点设置可有效管控项目进度；</w:t>
            </w:r>
          </w:p>
          <w:p w14:paraId="35229794">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进度保障措施</w:t>
            </w:r>
            <w:r>
              <w:rPr>
                <w:rStyle w:val="49"/>
                <w:b w:val="0"/>
                <w:bCs/>
                <w:color w:val="000000"/>
                <w:sz w:val="21"/>
                <w:szCs w:val="21"/>
              </w:rPr>
              <w:t>完善且可落地</w:t>
            </w:r>
            <w:r>
              <w:rPr>
                <w:b w:val="0"/>
                <w:bCs/>
                <w:color w:val="000000"/>
                <w:sz w:val="21"/>
                <w:szCs w:val="21"/>
              </w:rPr>
              <w:t>，建立了</w:t>
            </w:r>
            <w:r>
              <w:rPr>
                <w:rStyle w:val="49"/>
                <w:b w:val="0"/>
                <w:bCs/>
                <w:color w:val="000000"/>
                <w:sz w:val="21"/>
                <w:szCs w:val="21"/>
              </w:rPr>
              <w:t>内业审核与外业举证的数据同步流程</w:t>
            </w:r>
            <w:r>
              <w:rPr>
                <w:b w:val="0"/>
                <w:bCs/>
                <w:color w:val="000000"/>
                <w:sz w:val="21"/>
                <w:szCs w:val="21"/>
              </w:rPr>
              <w:t>、</w:t>
            </w:r>
            <w:r>
              <w:rPr>
                <w:rStyle w:val="49"/>
                <w:b w:val="0"/>
                <w:bCs/>
                <w:color w:val="000000"/>
                <w:sz w:val="21"/>
                <w:szCs w:val="21"/>
              </w:rPr>
              <w:t>跨子项工作进度协同机制</w:t>
            </w:r>
            <w:r>
              <w:rPr>
                <w:b w:val="0"/>
                <w:bCs/>
                <w:color w:val="000000"/>
                <w:sz w:val="21"/>
                <w:szCs w:val="21"/>
              </w:rPr>
              <w:t>，设置</w:t>
            </w:r>
            <w:r>
              <w:rPr>
                <w:rStyle w:val="49"/>
                <w:b w:val="0"/>
                <w:bCs/>
                <w:color w:val="000000"/>
                <w:sz w:val="21"/>
                <w:szCs w:val="21"/>
              </w:rPr>
              <w:t>提前3天的进度预警机制</w:t>
            </w:r>
            <w:r>
              <w:rPr>
                <w:b w:val="0"/>
                <w:bCs/>
                <w:color w:val="000000"/>
                <w:sz w:val="21"/>
                <w:szCs w:val="21"/>
              </w:rPr>
              <w:t>，配备</w:t>
            </w:r>
            <w:r>
              <w:rPr>
                <w:rStyle w:val="49"/>
                <w:b w:val="0"/>
                <w:bCs/>
                <w:color w:val="000000"/>
                <w:sz w:val="21"/>
                <w:szCs w:val="21"/>
              </w:rPr>
              <w:t>专职进度管理员</w:t>
            </w:r>
            <w:r>
              <w:rPr>
                <w:b w:val="0"/>
                <w:bCs/>
                <w:color w:val="000000"/>
                <w:sz w:val="21"/>
                <w:szCs w:val="21"/>
              </w:rPr>
              <w:t>，制定了进度滞后的补救措施，可确保所有服务按时完成。</w:t>
            </w:r>
          </w:p>
          <w:p w14:paraId="3C576E2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outlineLvl w:val="2"/>
              <w:rPr>
                <w:b w:val="0"/>
                <w:bCs/>
                <w:color w:val="000000"/>
                <w:sz w:val="21"/>
                <w:szCs w:val="21"/>
              </w:rPr>
            </w:pPr>
            <w:r>
              <w:rPr>
                <w:b w:val="0"/>
                <w:bCs/>
                <w:color w:val="000000"/>
                <w:sz w:val="21"/>
                <w:szCs w:val="21"/>
              </w:rPr>
              <w:t>二档（1</w:t>
            </w:r>
            <w:r>
              <w:rPr>
                <w:rFonts w:hint="eastAsia"/>
                <w:b w:val="0"/>
                <w:bCs/>
                <w:color w:val="000000"/>
                <w:sz w:val="21"/>
                <w:szCs w:val="21"/>
                <w:lang w:val="en-US" w:eastAsia="zh-CN"/>
              </w:rPr>
              <w:t>2</w:t>
            </w:r>
            <w:r>
              <w:rPr>
                <w:b w:val="0"/>
                <w:bCs/>
                <w:color w:val="000000"/>
                <w:sz w:val="21"/>
                <w:szCs w:val="21"/>
              </w:rPr>
              <w:t>分，良好）</w:t>
            </w:r>
          </w:p>
          <w:p w14:paraId="1D00E189">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工作量测算</w:t>
            </w:r>
            <w:r>
              <w:rPr>
                <w:rStyle w:val="49"/>
                <w:b w:val="0"/>
                <w:bCs/>
                <w:color w:val="000000"/>
                <w:sz w:val="21"/>
                <w:szCs w:val="21"/>
              </w:rPr>
              <w:t>覆盖90%及以上核心服务</w:t>
            </w:r>
            <w:r>
              <w:rPr>
                <w:b w:val="0"/>
                <w:bCs/>
                <w:color w:val="000000"/>
                <w:sz w:val="21"/>
                <w:szCs w:val="21"/>
              </w:rPr>
              <w:t>，无重大漏项、错算，核心子项的人天/设备台时投入明确，次要服务的测算基本准确，测算依据清晰；</w:t>
            </w:r>
          </w:p>
          <w:p w14:paraId="7DC69473">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资源配置</w:t>
            </w:r>
            <w:r>
              <w:rPr>
                <w:rStyle w:val="49"/>
                <w:b w:val="0"/>
                <w:bCs/>
                <w:color w:val="000000"/>
                <w:sz w:val="21"/>
                <w:szCs w:val="21"/>
              </w:rPr>
              <w:t>较充足</w:t>
            </w:r>
            <w:r>
              <w:rPr>
                <w:b w:val="0"/>
                <w:bCs/>
                <w:color w:val="000000"/>
                <w:sz w:val="21"/>
                <w:szCs w:val="21"/>
              </w:rPr>
              <w:t>，拟投入专业技术人员**≥15人**，核心专业（测绘与地理信息、土地工程与技术、测绘工程、国土空间规划）人员配置齐全，次要相关专业人员基本满足，人员专业配比可支撑项目整体推进；拟投入设备**≥3套**，核心设备（无人机、GPS、全站仪）齐全，明确了核心设备的使用规划和责任人，次要设备分配合理，可满足核心子项并行推进需求；</w:t>
            </w:r>
          </w:p>
          <w:p w14:paraId="084302D9">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进度安排按核心服务分阶段制定，</w:t>
            </w:r>
            <w:r>
              <w:rPr>
                <w:rStyle w:val="49"/>
                <w:b w:val="0"/>
                <w:bCs/>
                <w:color w:val="000000"/>
                <w:sz w:val="21"/>
                <w:szCs w:val="21"/>
              </w:rPr>
              <w:t>核心子项的完成比例、交付成果节点明确</w:t>
            </w:r>
            <w:r>
              <w:rPr>
                <w:b w:val="0"/>
                <w:bCs/>
                <w:color w:val="000000"/>
                <w:sz w:val="21"/>
                <w:szCs w:val="21"/>
              </w:rPr>
              <w:t>，次要服务的进度安排合理，进度计划与合同履行期限契合，预留了核心成果整改的缓冲时间，节点设置可有效管控核心服务进度；</w:t>
            </w:r>
          </w:p>
          <w:p w14:paraId="55B3EC68">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进度保障措施</w:t>
            </w:r>
            <w:r>
              <w:rPr>
                <w:rStyle w:val="49"/>
                <w:b w:val="0"/>
                <w:bCs/>
                <w:color w:val="000000"/>
                <w:sz w:val="21"/>
                <w:szCs w:val="21"/>
              </w:rPr>
              <w:t>较完善</w:t>
            </w:r>
            <w:r>
              <w:rPr>
                <w:b w:val="0"/>
                <w:bCs/>
                <w:color w:val="000000"/>
                <w:sz w:val="21"/>
                <w:szCs w:val="21"/>
              </w:rPr>
              <w:t>，建立了</w:t>
            </w:r>
            <w:r>
              <w:rPr>
                <w:rStyle w:val="49"/>
                <w:b w:val="0"/>
                <w:bCs/>
                <w:color w:val="000000"/>
                <w:sz w:val="21"/>
                <w:szCs w:val="21"/>
              </w:rPr>
              <w:t>核心工作的数据同步流程和基本进度协同机制</w:t>
            </w:r>
            <w:r>
              <w:rPr>
                <w:b w:val="0"/>
                <w:bCs/>
                <w:color w:val="000000"/>
                <w:sz w:val="21"/>
                <w:szCs w:val="21"/>
              </w:rPr>
              <w:t>，设置了进度预警机制，有明确的进度管理流程，配备兼职进度管理员，可保障所有核心服务按时完成，次要服务无明显进度滞后风险。</w:t>
            </w:r>
          </w:p>
          <w:p w14:paraId="44E0BEA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outlineLvl w:val="2"/>
              <w:rPr>
                <w:b w:val="0"/>
                <w:bCs/>
                <w:color w:val="000000"/>
                <w:sz w:val="21"/>
                <w:szCs w:val="21"/>
              </w:rPr>
            </w:pPr>
            <w:r>
              <w:rPr>
                <w:b w:val="0"/>
                <w:bCs/>
                <w:color w:val="000000"/>
                <w:sz w:val="21"/>
                <w:szCs w:val="21"/>
              </w:rPr>
              <w:t>三档（</w:t>
            </w:r>
            <w:r>
              <w:rPr>
                <w:rFonts w:hint="eastAsia"/>
                <w:b w:val="0"/>
                <w:bCs/>
                <w:color w:val="000000"/>
                <w:sz w:val="21"/>
                <w:szCs w:val="21"/>
                <w:lang w:val="en-US" w:eastAsia="zh-CN"/>
              </w:rPr>
              <w:t>6</w:t>
            </w:r>
            <w:r>
              <w:rPr>
                <w:b w:val="0"/>
                <w:bCs/>
                <w:color w:val="000000"/>
                <w:sz w:val="21"/>
                <w:szCs w:val="21"/>
              </w:rPr>
              <w:t>分，合格）</w:t>
            </w:r>
          </w:p>
          <w:p w14:paraId="343F1972">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工作量测算</w:t>
            </w:r>
            <w:r>
              <w:rPr>
                <w:rStyle w:val="49"/>
                <w:b w:val="0"/>
                <w:bCs/>
                <w:color w:val="000000"/>
                <w:sz w:val="21"/>
                <w:szCs w:val="21"/>
              </w:rPr>
              <w:t>覆盖70%</w:t>
            </w:r>
            <w:r>
              <w:rPr>
                <w:rStyle w:val="49"/>
                <w:rFonts w:hint="eastAsia"/>
                <w:b w:val="0"/>
                <w:bCs/>
                <w:color w:val="000000"/>
                <w:sz w:val="21"/>
                <w:szCs w:val="21"/>
                <w:lang w:val="en-US" w:eastAsia="zh-CN"/>
              </w:rPr>
              <w:t>及以上</w:t>
            </w:r>
            <w:r>
              <w:rPr>
                <w:rStyle w:val="49"/>
                <w:b w:val="0"/>
                <w:bCs/>
                <w:color w:val="000000"/>
                <w:sz w:val="21"/>
                <w:szCs w:val="21"/>
              </w:rPr>
              <w:t>核心服务</w:t>
            </w:r>
            <w:r>
              <w:rPr>
                <w:b w:val="0"/>
                <w:bCs/>
                <w:color w:val="000000"/>
                <w:sz w:val="21"/>
                <w:szCs w:val="21"/>
              </w:rPr>
              <w:t>，无重大错算，核心子项测算准确，存在少量次要服务漏项，测算数据与项目预算金额匹配度</w:t>
            </w:r>
            <w:r>
              <w:rPr>
                <w:rFonts w:hint="eastAsia"/>
                <w:b w:val="0"/>
                <w:bCs/>
                <w:color w:val="000000"/>
                <w:sz w:val="21"/>
                <w:szCs w:val="21"/>
                <w:lang w:val="en-US" w:eastAsia="zh-CN"/>
              </w:rPr>
              <w:t>基本符合</w:t>
            </w:r>
            <w:r>
              <w:rPr>
                <w:b w:val="0"/>
                <w:bCs/>
                <w:color w:val="000000"/>
                <w:sz w:val="21"/>
                <w:szCs w:val="21"/>
              </w:rPr>
              <w:t>，有基本测算依据，测算结果可支撑核心服务资源配置；</w:t>
            </w:r>
          </w:p>
          <w:p w14:paraId="006F85E9">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资源配置</w:t>
            </w:r>
            <w:r>
              <w:rPr>
                <w:rStyle w:val="49"/>
                <w:b w:val="0"/>
                <w:bCs/>
                <w:color w:val="000000"/>
                <w:sz w:val="21"/>
                <w:szCs w:val="21"/>
              </w:rPr>
              <w:t>基本满足项目需求</w:t>
            </w:r>
            <w:r>
              <w:rPr>
                <w:b w:val="0"/>
                <w:bCs/>
                <w:color w:val="000000"/>
                <w:sz w:val="21"/>
                <w:szCs w:val="21"/>
              </w:rPr>
              <w:t>，拟投入专业技术人员**≥10人**，核心专业人员配置齐全，测绘与地理信息等辅助专业人员略有不足，但可通过内部调配满足需求；拟投入设备**≥2套**，核心设备齐全，次要设备可通过调配满足需求，设备使用规划基本清晰，可保障核心服务正常推进；</w:t>
            </w:r>
          </w:p>
          <w:p w14:paraId="1AB1E25E">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进度安排基本符合合同履行要求，核心子项的完成节点明确，但</w:t>
            </w:r>
            <w:r>
              <w:rPr>
                <w:rStyle w:val="49"/>
                <w:b w:val="0"/>
                <w:bCs/>
                <w:color w:val="000000"/>
                <w:sz w:val="21"/>
                <w:szCs w:val="21"/>
              </w:rPr>
              <w:t>时间分配略有不合理</w:t>
            </w:r>
            <w:r>
              <w:rPr>
                <w:b w:val="0"/>
                <w:bCs/>
                <w:color w:val="000000"/>
                <w:sz w:val="21"/>
                <w:szCs w:val="21"/>
              </w:rPr>
              <w:t>，次要服务的交付成果清单不完整，仅预留了核心成果的少量整改缓冲时间，经简单优化后可满足履约要求；</w:t>
            </w:r>
          </w:p>
          <w:p w14:paraId="6F8FBB65">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进度保障措施</w:t>
            </w:r>
            <w:r>
              <w:rPr>
                <w:rStyle w:val="49"/>
                <w:b w:val="0"/>
                <w:bCs/>
                <w:color w:val="000000"/>
                <w:sz w:val="21"/>
                <w:szCs w:val="21"/>
              </w:rPr>
              <w:t>基本可行</w:t>
            </w:r>
            <w:r>
              <w:rPr>
                <w:b w:val="0"/>
                <w:bCs/>
                <w:color w:val="000000"/>
                <w:sz w:val="21"/>
                <w:szCs w:val="21"/>
              </w:rPr>
              <w:t>，有核心工作的简单协同机制，未设置正式进度预警机制，但明确了项目负责人为进度第一责任人，制定了简单的进度滞后补救措施，核心服务无明显进度风险，次要服务存在轻微滞后可能。</w:t>
            </w:r>
          </w:p>
          <w:p w14:paraId="3AC8173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outlineLvl w:val="2"/>
              <w:rPr>
                <w:b w:val="0"/>
                <w:bCs/>
                <w:color w:val="000000"/>
                <w:sz w:val="21"/>
                <w:szCs w:val="21"/>
              </w:rPr>
            </w:pPr>
            <w:r>
              <w:rPr>
                <w:b w:val="0"/>
                <w:bCs/>
                <w:color w:val="000000"/>
                <w:sz w:val="21"/>
                <w:szCs w:val="21"/>
              </w:rPr>
              <w:t>四档（3分，基本符合）</w:t>
            </w:r>
          </w:p>
          <w:p w14:paraId="514E5924">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工作量测算</w:t>
            </w:r>
            <w:r>
              <w:rPr>
                <w:rStyle w:val="49"/>
                <w:b w:val="0"/>
                <w:bCs/>
                <w:color w:val="000000"/>
                <w:sz w:val="21"/>
                <w:szCs w:val="21"/>
              </w:rPr>
              <w:t>覆盖50%</w:t>
            </w:r>
            <w:r>
              <w:rPr>
                <w:rStyle w:val="49"/>
                <w:rFonts w:hint="eastAsia"/>
                <w:b w:val="0"/>
                <w:bCs/>
                <w:color w:val="000000"/>
                <w:sz w:val="21"/>
                <w:szCs w:val="21"/>
                <w:lang w:val="en-US" w:eastAsia="zh-CN"/>
              </w:rPr>
              <w:t>及以上</w:t>
            </w:r>
            <w:r>
              <w:rPr>
                <w:rStyle w:val="49"/>
                <w:b w:val="0"/>
                <w:bCs/>
                <w:color w:val="000000"/>
                <w:sz w:val="21"/>
                <w:szCs w:val="21"/>
              </w:rPr>
              <w:t>核心服务</w:t>
            </w:r>
            <w:r>
              <w:rPr>
                <w:b w:val="0"/>
                <w:bCs/>
                <w:color w:val="000000"/>
                <w:sz w:val="21"/>
                <w:szCs w:val="21"/>
              </w:rPr>
              <w:t>，无核心子项错算，存在少量次要服务漏项，测算数据与项目预算金额匹配度**≥80%**，有简单测算依据，测算结果可支撑核心服务基本资源配置；</w:t>
            </w:r>
          </w:p>
          <w:p w14:paraId="0743BF16">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资源配置</w:t>
            </w:r>
            <w:r>
              <w:rPr>
                <w:rStyle w:val="49"/>
                <w:b w:val="0"/>
                <w:bCs/>
                <w:color w:val="000000"/>
                <w:sz w:val="21"/>
                <w:szCs w:val="21"/>
              </w:rPr>
              <w:t>基本满足核心服务需求</w:t>
            </w:r>
            <w:r>
              <w:rPr>
                <w:b w:val="0"/>
                <w:bCs/>
                <w:color w:val="000000"/>
                <w:sz w:val="21"/>
                <w:szCs w:val="21"/>
              </w:rPr>
              <w:t>，拟投入专业技术人员**≥6人**，核心专业（测绘工程、土地工程与技术）人员配置齐全，其他相关专业人员仅能满足基本需求，可保障核心服务技术实施；拟投入设备**≥2套**，核心设备齐全，设备使用规划仅明确核心环节，次要环节可协调调配，可支撑核心服务正常推进；</w:t>
            </w:r>
          </w:p>
          <w:p w14:paraId="03B461B9">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b w:val="0"/>
                <w:bCs/>
                <w:color w:val="000000"/>
                <w:sz w:val="21"/>
                <w:szCs w:val="21"/>
              </w:rPr>
            </w:pPr>
            <w:r>
              <w:rPr>
                <w:b w:val="0"/>
                <w:bCs/>
                <w:color w:val="000000"/>
                <w:sz w:val="21"/>
                <w:szCs w:val="21"/>
              </w:rPr>
              <w:t>进度安排整体符合合同履行期限，</w:t>
            </w:r>
            <w:r>
              <w:rPr>
                <w:rStyle w:val="49"/>
                <w:b w:val="0"/>
                <w:bCs/>
                <w:color w:val="000000"/>
                <w:sz w:val="21"/>
                <w:szCs w:val="21"/>
              </w:rPr>
              <w:t>核心子项的完成节点明确</w:t>
            </w:r>
            <w:r>
              <w:rPr>
                <w:b w:val="0"/>
                <w:bCs/>
                <w:color w:val="000000"/>
                <w:sz w:val="21"/>
                <w:szCs w:val="21"/>
              </w:rPr>
              <w:t>，但次要服务的进度安排较粗糙，交付成果仅明确核心内容，未预留明显的整改缓冲时间，无政策调整的时间预留，经调整后可满足基本履约要求；</w:t>
            </w:r>
          </w:p>
          <w:p w14:paraId="5DBBDF03">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420" w:firstLineChars="200"/>
              <w:jc w:val="left"/>
              <w:rPr>
                <w:rFonts w:ascii="宋体" w:hAnsi="宋体" w:cs="宋体"/>
                <w:b w:val="0"/>
                <w:bCs/>
                <w:sz w:val="21"/>
                <w:szCs w:val="21"/>
              </w:rPr>
            </w:pPr>
            <w:r>
              <w:rPr>
                <w:b w:val="0"/>
                <w:bCs/>
                <w:color w:val="000000"/>
                <w:sz w:val="21"/>
                <w:szCs w:val="21"/>
              </w:rPr>
              <w:t>进度保障措施</w:t>
            </w:r>
            <w:r>
              <w:rPr>
                <w:rStyle w:val="49"/>
                <w:b w:val="0"/>
                <w:bCs/>
                <w:color w:val="000000"/>
                <w:sz w:val="21"/>
                <w:szCs w:val="21"/>
              </w:rPr>
              <w:t>简单可行</w:t>
            </w:r>
            <w:r>
              <w:rPr>
                <w:b w:val="0"/>
                <w:bCs/>
                <w:color w:val="000000"/>
                <w:sz w:val="21"/>
                <w:szCs w:val="21"/>
              </w:rPr>
              <w:t>，仅明确了项目负责人的进度管理职责，无专门的协同机制和预警机制，制定了核心服务进度滞后的基本补救措施，可保障核心服务按时完成，次要服务存在一定进度滞后风险。</w:t>
            </w:r>
          </w:p>
        </w:tc>
      </w:tr>
      <w:tr w14:paraId="453C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ign w:val="center"/>
          </w:tcPr>
          <w:p w14:paraId="4A14E0FB">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4</w:t>
            </w:r>
          </w:p>
        </w:tc>
        <w:tc>
          <w:tcPr>
            <w:tcW w:w="1067" w:type="dxa"/>
            <w:noWrap/>
            <w:vAlign w:val="center"/>
          </w:tcPr>
          <w:p w14:paraId="388C75D7">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质量与安全保障措施</w:t>
            </w:r>
          </w:p>
        </w:tc>
        <w:tc>
          <w:tcPr>
            <w:tcW w:w="1350" w:type="dxa"/>
            <w:noWrap/>
            <w:tcMar>
              <w:left w:w="57" w:type="dxa"/>
              <w:right w:w="57" w:type="dxa"/>
            </w:tcMar>
            <w:vAlign w:val="center"/>
          </w:tcPr>
          <w:p w14:paraId="7929F10D">
            <w:pPr>
              <w:keepNext w:val="0"/>
              <w:keepLines w:val="0"/>
              <w:pageBreakBefore w:val="0"/>
              <w:kinsoku/>
              <w:wordWrap/>
              <w:overflowPunct/>
              <w:topLinePunct w:val="0"/>
              <w:autoSpaceDE/>
              <w:autoSpaceDN/>
              <w:bidi w:val="0"/>
              <w:adjustRightInd w:val="0"/>
              <w:snapToGrid w:val="0"/>
              <w:spacing w:line="240" w:lineRule="auto"/>
              <w:jc w:val="both"/>
              <w:textAlignment w:val="baseline"/>
              <w:rPr>
                <w:rFonts w:ascii="宋体" w:hAnsi="宋体" w:cs="宋体"/>
                <w:b w:val="0"/>
                <w:bCs/>
                <w:sz w:val="21"/>
                <w:szCs w:val="21"/>
              </w:rPr>
            </w:pPr>
            <w:r>
              <w:rPr>
                <w:rFonts w:hint="eastAsia" w:ascii="宋体" w:hAnsi="宋体" w:cs="宋体"/>
                <w:b w:val="0"/>
                <w:bCs/>
                <w:sz w:val="21"/>
                <w:szCs w:val="21"/>
              </w:rPr>
              <w:t>满分1</w:t>
            </w:r>
            <w:r>
              <w:rPr>
                <w:rFonts w:hint="eastAsia" w:ascii="宋体" w:hAnsi="宋体" w:cs="宋体"/>
                <w:b w:val="0"/>
                <w:bCs/>
                <w:sz w:val="21"/>
                <w:szCs w:val="21"/>
                <w:lang w:val="en-US" w:eastAsia="zh-CN"/>
              </w:rPr>
              <w:t>2</w:t>
            </w:r>
            <w:r>
              <w:rPr>
                <w:rFonts w:hint="eastAsia" w:ascii="宋体" w:hAnsi="宋体" w:cs="宋体"/>
                <w:b w:val="0"/>
                <w:bCs/>
                <w:sz w:val="21"/>
                <w:szCs w:val="21"/>
              </w:rPr>
              <w:t>分</w:t>
            </w:r>
          </w:p>
        </w:tc>
        <w:tc>
          <w:tcPr>
            <w:tcW w:w="5735" w:type="dxa"/>
            <w:noWrap/>
            <w:vAlign w:val="center"/>
          </w:tcPr>
          <w:p w14:paraId="0C4C85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right="0"/>
              <w:rPr>
                <w:b w:val="0"/>
                <w:bCs/>
                <w:color w:val="000000"/>
                <w:sz w:val="21"/>
                <w:szCs w:val="21"/>
              </w:rPr>
            </w:pPr>
            <w:r>
              <w:rPr>
                <w:b w:val="0"/>
                <w:bCs/>
                <w:color w:val="000000"/>
                <w:sz w:val="21"/>
                <w:szCs w:val="21"/>
              </w:rPr>
              <w:t>一档（1</w:t>
            </w:r>
            <w:r>
              <w:rPr>
                <w:rFonts w:hint="eastAsia"/>
                <w:b w:val="0"/>
                <w:bCs/>
                <w:color w:val="000000"/>
                <w:sz w:val="21"/>
                <w:szCs w:val="21"/>
                <w:lang w:val="en-US" w:eastAsia="zh-CN"/>
              </w:rPr>
              <w:t>2</w:t>
            </w:r>
            <w:r>
              <w:rPr>
                <w:b w:val="0"/>
                <w:bCs/>
                <w:color w:val="000000"/>
                <w:sz w:val="21"/>
                <w:szCs w:val="21"/>
              </w:rPr>
              <w:t>分，最优）</w:t>
            </w:r>
          </w:p>
          <w:p w14:paraId="7B9BCC7C">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建立</w:t>
            </w:r>
            <w:r>
              <w:rPr>
                <w:rStyle w:val="49"/>
                <w:b w:val="0"/>
                <w:bCs/>
                <w:color w:val="000000"/>
                <w:sz w:val="21"/>
                <w:szCs w:val="21"/>
              </w:rPr>
              <w:t>专门的</w:t>
            </w:r>
            <w:r>
              <w:rPr>
                <w:b w:val="0"/>
                <w:bCs/>
                <w:color w:val="000000"/>
                <w:sz w:val="21"/>
                <w:szCs w:val="21"/>
              </w:rPr>
              <w:t>质检</w:t>
            </w:r>
            <w:r>
              <w:rPr>
                <w:rFonts w:hint="eastAsia"/>
                <w:b w:val="0"/>
                <w:bCs/>
                <w:color w:val="000000"/>
                <w:sz w:val="21"/>
                <w:szCs w:val="21"/>
                <w:lang w:val="en-US" w:eastAsia="zh-CN"/>
              </w:rPr>
              <w:t>小组不少于5人</w:t>
            </w:r>
            <w:r>
              <w:rPr>
                <w:b w:val="0"/>
                <w:bCs/>
                <w:color w:val="000000"/>
                <w:sz w:val="21"/>
                <w:szCs w:val="21"/>
              </w:rPr>
              <w:t>，制定</w:t>
            </w:r>
            <w:r>
              <w:rPr>
                <w:rStyle w:val="49"/>
                <w:b w:val="0"/>
                <w:bCs/>
                <w:color w:val="000000"/>
                <w:sz w:val="21"/>
                <w:szCs w:val="21"/>
              </w:rPr>
              <w:t>明确的内部质量管理奖罚制度</w:t>
            </w:r>
            <w:r>
              <w:rPr>
                <w:b w:val="0"/>
                <w:bCs/>
                <w:color w:val="000000"/>
                <w:sz w:val="21"/>
                <w:szCs w:val="21"/>
              </w:rPr>
              <w:t>，将质量责任落实到每个工作环节、每个岗位，质量考核与工作绩效挂钩；</w:t>
            </w:r>
          </w:p>
          <w:p w14:paraId="02D172F7">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质量管理制度</w:t>
            </w:r>
            <w:r>
              <w:rPr>
                <w:rStyle w:val="49"/>
                <w:b w:val="0"/>
                <w:bCs/>
                <w:color w:val="000000"/>
                <w:sz w:val="21"/>
                <w:szCs w:val="21"/>
              </w:rPr>
              <w:t>完善且贴合采购需求</w:t>
            </w:r>
            <w:r>
              <w:rPr>
                <w:b w:val="0"/>
                <w:bCs/>
                <w:color w:val="000000"/>
                <w:sz w:val="21"/>
                <w:szCs w:val="21"/>
              </w:rPr>
              <w:t>，严格执行**《测绘成果质量检查与验收》GB/T24356-2009</w:t>
            </w:r>
            <w:r>
              <w:rPr>
                <w:rStyle w:val="49"/>
                <w:b w:val="0"/>
                <w:bCs/>
                <w:color w:val="000000"/>
                <w:sz w:val="21"/>
                <w:szCs w:val="21"/>
              </w:rPr>
              <w:t>规定的“两级检查一级验收”制度，同时制定</w:t>
            </w:r>
            <w:r>
              <w:rPr>
                <w:b w:val="0"/>
                <w:bCs/>
                <w:color w:val="000000"/>
                <w:sz w:val="21"/>
                <w:szCs w:val="21"/>
              </w:rPr>
              <w:t>过程全节点检查制度**（资料收集、外业作业、内业处理、成果编制各节点均设置检查环节），明确各环节检查标准、验收要求，与</w:t>
            </w:r>
            <w:r>
              <w:rPr>
                <w:rFonts w:hint="eastAsia"/>
                <w:b w:val="0"/>
                <w:bCs/>
                <w:color w:val="000000"/>
                <w:sz w:val="21"/>
                <w:szCs w:val="21"/>
                <w:lang w:val="en-US" w:eastAsia="zh-CN"/>
              </w:rPr>
              <w:t>所有</w:t>
            </w:r>
            <w:r>
              <w:rPr>
                <w:b w:val="0"/>
                <w:bCs/>
                <w:color w:val="000000"/>
                <w:sz w:val="21"/>
                <w:szCs w:val="21"/>
              </w:rPr>
              <w:t>项服务的质量要求一一对应，检查记录可追溯；</w:t>
            </w:r>
          </w:p>
          <w:p w14:paraId="1953DE41">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保密管理制度</w:t>
            </w:r>
            <w:r>
              <w:rPr>
                <w:rStyle w:val="49"/>
                <w:b w:val="0"/>
                <w:bCs/>
                <w:color w:val="000000"/>
                <w:sz w:val="21"/>
                <w:szCs w:val="21"/>
              </w:rPr>
              <w:t>全面且可落地</w:t>
            </w:r>
            <w:r>
              <w:rPr>
                <w:b w:val="0"/>
                <w:bCs/>
                <w:color w:val="000000"/>
                <w:sz w:val="21"/>
                <w:szCs w:val="21"/>
              </w:rPr>
              <w:t>，针对项目涉密数据（土地利用现状、权属登记、矿产资源勘查数据等）制定</w:t>
            </w:r>
            <w:r>
              <w:rPr>
                <w:rStyle w:val="49"/>
                <w:b w:val="0"/>
                <w:bCs/>
                <w:color w:val="000000"/>
                <w:sz w:val="21"/>
                <w:szCs w:val="21"/>
              </w:rPr>
              <w:t>专项保密管理措施</w:t>
            </w:r>
            <w:r>
              <w:rPr>
                <w:b w:val="0"/>
                <w:bCs/>
                <w:color w:val="000000"/>
                <w:sz w:val="21"/>
                <w:szCs w:val="21"/>
              </w:rPr>
              <w:t>，包括办公局域网独立部署、数据处理计算机物理断网、涉密数据加密存储、成果专人管理、数据流转全程留痕等，建立常态化的保密意识教育和培训机制，明确涉密人员保密责任及追责条款；</w:t>
            </w:r>
          </w:p>
          <w:p w14:paraId="5E1BA337">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质量保证及质量承诺</w:t>
            </w:r>
            <w:r>
              <w:rPr>
                <w:rStyle w:val="49"/>
                <w:b w:val="0"/>
                <w:bCs/>
                <w:color w:val="000000"/>
                <w:sz w:val="21"/>
                <w:szCs w:val="21"/>
              </w:rPr>
              <w:t>完全满足采购需求</w:t>
            </w:r>
            <w:r>
              <w:rPr>
                <w:b w:val="0"/>
                <w:bCs/>
                <w:color w:val="000000"/>
                <w:sz w:val="21"/>
                <w:szCs w:val="21"/>
              </w:rPr>
              <w:t>，明确成果验收标准与采购需求、国家及行业规范保持一致，承诺按采购人及上级主管部门要求完成成果整改，明确整改响应时限、整改质量要求，承诺内容具体且有履约保障措施。</w:t>
            </w:r>
          </w:p>
          <w:p w14:paraId="37FB2D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right="0"/>
              <w:rPr>
                <w:b w:val="0"/>
                <w:bCs/>
                <w:color w:val="000000"/>
                <w:sz w:val="21"/>
                <w:szCs w:val="21"/>
              </w:rPr>
            </w:pPr>
            <w:r>
              <w:rPr>
                <w:b w:val="0"/>
                <w:bCs/>
                <w:color w:val="000000"/>
                <w:sz w:val="21"/>
                <w:szCs w:val="21"/>
              </w:rPr>
              <w:t>二档（8分，良好）</w:t>
            </w:r>
          </w:p>
          <w:p w14:paraId="2879959E">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设立</w:t>
            </w:r>
            <w:r>
              <w:rPr>
                <w:rStyle w:val="49"/>
                <w:b w:val="0"/>
                <w:bCs/>
                <w:color w:val="000000"/>
                <w:sz w:val="21"/>
                <w:szCs w:val="21"/>
              </w:rPr>
              <w:t>专职质检岗位</w:t>
            </w:r>
            <w:r>
              <w:rPr>
                <w:b w:val="0"/>
                <w:bCs/>
                <w:color w:val="000000"/>
                <w:sz w:val="21"/>
                <w:szCs w:val="21"/>
              </w:rPr>
              <w:t>，建立</w:t>
            </w:r>
            <w:r>
              <w:rPr>
                <w:rStyle w:val="49"/>
                <w:b w:val="0"/>
                <w:bCs/>
                <w:color w:val="000000"/>
                <w:sz w:val="21"/>
                <w:szCs w:val="21"/>
              </w:rPr>
              <w:t>专门的</w:t>
            </w:r>
            <w:r>
              <w:rPr>
                <w:b w:val="0"/>
                <w:bCs/>
                <w:color w:val="000000"/>
                <w:sz w:val="21"/>
                <w:szCs w:val="21"/>
              </w:rPr>
              <w:t>质检</w:t>
            </w:r>
            <w:r>
              <w:rPr>
                <w:rFonts w:hint="eastAsia"/>
                <w:b w:val="0"/>
                <w:bCs/>
                <w:color w:val="000000"/>
                <w:sz w:val="21"/>
                <w:szCs w:val="21"/>
                <w:lang w:val="en-US" w:eastAsia="zh-CN"/>
              </w:rPr>
              <w:t>小组不少于3人</w:t>
            </w:r>
            <w:r>
              <w:rPr>
                <w:b w:val="0"/>
                <w:bCs/>
                <w:color w:val="000000"/>
                <w:sz w:val="21"/>
                <w:szCs w:val="21"/>
              </w:rPr>
              <w:t>，制定了内部质量管理奖罚措施，质量责任明确到主要工作环节和岗位，质量考核有具体依据；</w:t>
            </w:r>
          </w:p>
          <w:p w14:paraId="1A711A29">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质量管理制度</w:t>
            </w:r>
            <w:r>
              <w:rPr>
                <w:rStyle w:val="49"/>
                <w:b w:val="0"/>
                <w:bCs/>
                <w:color w:val="000000"/>
                <w:sz w:val="21"/>
                <w:szCs w:val="21"/>
              </w:rPr>
              <w:t>完善</w:t>
            </w:r>
            <w:r>
              <w:rPr>
                <w:b w:val="0"/>
                <w:bCs/>
                <w:color w:val="000000"/>
                <w:sz w:val="21"/>
                <w:szCs w:val="21"/>
              </w:rPr>
              <w:t>，严格执行“两级检查一级验收”制度，制定了主要工作环节的过程检查制度，检查标准、验收要求符合GB/T24356-2009及项目各子项工作依据，检查记录完整，可保障所有核心服务的质量；</w:t>
            </w:r>
          </w:p>
          <w:p w14:paraId="68F84332">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保密管理制度</w:t>
            </w:r>
            <w:r>
              <w:rPr>
                <w:rStyle w:val="49"/>
                <w:b w:val="0"/>
                <w:bCs/>
                <w:color w:val="000000"/>
                <w:sz w:val="21"/>
                <w:szCs w:val="21"/>
              </w:rPr>
              <w:t>完善</w:t>
            </w:r>
            <w:r>
              <w:rPr>
                <w:b w:val="0"/>
                <w:bCs/>
                <w:color w:val="000000"/>
                <w:sz w:val="21"/>
                <w:szCs w:val="21"/>
              </w:rPr>
              <w:t>，制定了项目数据保密管理措施，包括涉密数据专机处理、加密存储、专人管理、数据流转登记等，建立定期的保密意识教育机制，明确涉密人员保密责任，无保密措施漏洞；</w:t>
            </w:r>
          </w:p>
          <w:p w14:paraId="06F5A4D3">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质量保证及质量承诺</w:t>
            </w:r>
            <w:r>
              <w:rPr>
                <w:rStyle w:val="49"/>
                <w:b w:val="0"/>
                <w:bCs/>
                <w:color w:val="000000"/>
                <w:sz w:val="21"/>
                <w:szCs w:val="21"/>
              </w:rPr>
              <w:t>满足采购需求</w:t>
            </w:r>
            <w:r>
              <w:rPr>
                <w:b w:val="0"/>
                <w:bCs/>
                <w:color w:val="000000"/>
                <w:sz w:val="21"/>
                <w:szCs w:val="21"/>
              </w:rPr>
              <w:t>，明确成果验收标准符合采购需求及行业规范，承诺按采购人要求完成成果整改，明确整改响应时限，承诺内容具体，有基本履约保障措施。</w:t>
            </w:r>
          </w:p>
          <w:p w14:paraId="35ACC6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right="0"/>
              <w:rPr>
                <w:b w:val="0"/>
                <w:bCs/>
                <w:color w:val="000000"/>
                <w:sz w:val="21"/>
                <w:szCs w:val="21"/>
              </w:rPr>
            </w:pPr>
            <w:r>
              <w:rPr>
                <w:b w:val="0"/>
                <w:bCs/>
                <w:color w:val="000000"/>
                <w:sz w:val="21"/>
                <w:szCs w:val="21"/>
              </w:rPr>
              <w:t>三档（</w:t>
            </w:r>
            <w:r>
              <w:rPr>
                <w:rFonts w:hint="eastAsia"/>
                <w:b w:val="0"/>
                <w:bCs/>
                <w:color w:val="000000"/>
                <w:sz w:val="21"/>
                <w:szCs w:val="21"/>
                <w:lang w:val="en-US" w:eastAsia="zh-CN"/>
              </w:rPr>
              <w:t>6</w:t>
            </w:r>
            <w:r>
              <w:rPr>
                <w:b w:val="0"/>
                <w:bCs/>
                <w:color w:val="000000"/>
                <w:sz w:val="21"/>
                <w:szCs w:val="21"/>
              </w:rPr>
              <w:t>分，合格）</w:t>
            </w:r>
          </w:p>
          <w:p w14:paraId="5954394F">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建立</w:t>
            </w:r>
            <w:r>
              <w:rPr>
                <w:rStyle w:val="49"/>
                <w:b w:val="0"/>
                <w:bCs/>
                <w:color w:val="000000"/>
                <w:sz w:val="21"/>
                <w:szCs w:val="21"/>
              </w:rPr>
              <w:t>专门的</w:t>
            </w:r>
            <w:r>
              <w:rPr>
                <w:b w:val="0"/>
                <w:bCs/>
                <w:color w:val="000000"/>
                <w:sz w:val="21"/>
                <w:szCs w:val="21"/>
              </w:rPr>
              <w:t>质检</w:t>
            </w:r>
            <w:r>
              <w:rPr>
                <w:rFonts w:hint="eastAsia"/>
                <w:b w:val="0"/>
                <w:bCs/>
                <w:color w:val="000000"/>
                <w:sz w:val="21"/>
                <w:szCs w:val="21"/>
                <w:lang w:val="en-US" w:eastAsia="zh-CN"/>
              </w:rPr>
              <w:t>小组不少于2人</w:t>
            </w:r>
            <w:r>
              <w:rPr>
                <w:b w:val="0"/>
                <w:bCs/>
                <w:color w:val="000000"/>
                <w:sz w:val="21"/>
                <w:szCs w:val="21"/>
              </w:rPr>
              <w:t>，制定了</w:t>
            </w:r>
            <w:r>
              <w:rPr>
                <w:rStyle w:val="49"/>
                <w:b w:val="0"/>
                <w:bCs/>
                <w:color w:val="000000"/>
                <w:sz w:val="21"/>
                <w:szCs w:val="21"/>
              </w:rPr>
              <w:t>基本的质量管理规定</w:t>
            </w:r>
            <w:r>
              <w:rPr>
                <w:b w:val="0"/>
                <w:bCs/>
                <w:color w:val="000000"/>
                <w:sz w:val="21"/>
                <w:szCs w:val="21"/>
              </w:rPr>
              <w:t>，明确了主要工作环节的质量责任，无专门的质量奖罚措施，但有明确的质量问题整改要求，质量责任可追溯；</w:t>
            </w:r>
          </w:p>
          <w:p w14:paraId="2BB9CF51">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质量管理制度</w:t>
            </w:r>
            <w:r>
              <w:rPr>
                <w:rStyle w:val="49"/>
                <w:b w:val="0"/>
                <w:bCs/>
                <w:color w:val="000000"/>
                <w:sz w:val="21"/>
                <w:szCs w:val="21"/>
              </w:rPr>
              <w:t>基本完善</w:t>
            </w:r>
            <w:r>
              <w:rPr>
                <w:b w:val="0"/>
                <w:bCs/>
                <w:color w:val="000000"/>
                <w:sz w:val="21"/>
                <w:szCs w:val="21"/>
              </w:rPr>
              <w:t>，严格执行“两级检查一级验收”制度，仅针对核心服务制定了过程检查制度，检查标准、验收要求符合GB/T24356-2009核心要求，检查记录基本完整，可保障核心服务的质量；</w:t>
            </w:r>
          </w:p>
          <w:p w14:paraId="6F75C2FE">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保密管理制度</w:t>
            </w:r>
            <w:r>
              <w:rPr>
                <w:rStyle w:val="49"/>
                <w:b w:val="0"/>
                <w:bCs/>
                <w:color w:val="000000"/>
                <w:sz w:val="21"/>
                <w:szCs w:val="21"/>
              </w:rPr>
              <w:t>基本完善</w:t>
            </w:r>
            <w:r>
              <w:rPr>
                <w:b w:val="0"/>
                <w:bCs/>
                <w:color w:val="000000"/>
                <w:sz w:val="21"/>
                <w:szCs w:val="21"/>
              </w:rPr>
              <w:t>，制定了项目数据保密的基本要求，包括涉密数据专人管理、专机存储、数据流转备案等，开展过保密意识教育，明确了基本的保密责任，无核心保密措施缺失；</w:t>
            </w:r>
          </w:p>
          <w:p w14:paraId="63231FDA">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质量保证及质量承诺</w:t>
            </w:r>
            <w:r>
              <w:rPr>
                <w:rStyle w:val="49"/>
                <w:b w:val="0"/>
                <w:bCs/>
                <w:color w:val="000000"/>
                <w:sz w:val="21"/>
                <w:szCs w:val="21"/>
              </w:rPr>
              <w:t>基本满足采购需求</w:t>
            </w:r>
            <w:r>
              <w:rPr>
                <w:b w:val="0"/>
                <w:bCs/>
                <w:color w:val="000000"/>
                <w:sz w:val="21"/>
                <w:szCs w:val="21"/>
              </w:rPr>
              <w:t>，明确成果验收标准符合采购需求核心要求，承诺按采购人要求完成成果整改，明确了整改的基本要求，无明显不合理的承诺条款。</w:t>
            </w:r>
          </w:p>
          <w:p w14:paraId="24A159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right="0"/>
              <w:rPr>
                <w:b w:val="0"/>
                <w:bCs/>
                <w:color w:val="000000"/>
                <w:sz w:val="21"/>
                <w:szCs w:val="21"/>
              </w:rPr>
            </w:pPr>
            <w:r>
              <w:rPr>
                <w:b w:val="0"/>
                <w:bCs/>
                <w:color w:val="000000"/>
                <w:sz w:val="21"/>
                <w:szCs w:val="21"/>
              </w:rPr>
              <w:t>四档（</w:t>
            </w:r>
            <w:r>
              <w:rPr>
                <w:rFonts w:hint="eastAsia"/>
                <w:b w:val="0"/>
                <w:bCs/>
                <w:color w:val="000000"/>
                <w:sz w:val="21"/>
                <w:szCs w:val="21"/>
                <w:lang w:val="en-US" w:eastAsia="zh-CN"/>
              </w:rPr>
              <w:t>2</w:t>
            </w:r>
            <w:r>
              <w:rPr>
                <w:b w:val="0"/>
                <w:bCs/>
                <w:color w:val="000000"/>
                <w:sz w:val="21"/>
                <w:szCs w:val="21"/>
              </w:rPr>
              <w:t>分，基本符合）</w:t>
            </w:r>
          </w:p>
          <w:p w14:paraId="2C9DBD83">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明确了</w:t>
            </w:r>
            <w:r>
              <w:rPr>
                <w:rStyle w:val="49"/>
                <w:b w:val="0"/>
                <w:bCs/>
                <w:color w:val="000000"/>
                <w:sz w:val="21"/>
                <w:szCs w:val="21"/>
              </w:rPr>
              <w:t>项目负责人为质量第一责任人</w:t>
            </w:r>
            <w:r>
              <w:rPr>
                <w:b w:val="0"/>
                <w:bCs/>
                <w:color w:val="000000"/>
                <w:sz w:val="21"/>
                <w:szCs w:val="21"/>
              </w:rPr>
              <w:t>，配备质检人员，制定了简单的质量管理要求，仅明确核心服务的质量责任，无专门的质检制度和奖罚措施，但有核心质量问题的整改要求；</w:t>
            </w:r>
          </w:p>
          <w:p w14:paraId="5FEC0295">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质量管理制度</w:t>
            </w:r>
            <w:r>
              <w:rPr>
                <w:rStyle w:val="49"/>
                <w:b w:val="0"/>
                <w:bCs/>
                <w:color w:val="000000"/>
                <w:sz w:val="21"/>
                <w:szCs w:val="21"/>
              </w:rPr>
              <w:t>基本符合要求</w:t>
            </w:r>
            <w:r>
              <w:rPr>
                <w:b w:val="0"/>
                <w:bCs/>
                <w:color w:val="000000"/>
                <w:sz w:val="21"/>
                <w:szCs w:val="21"/>
              </w:rPr>
              <w:t>，执行“两级检查一级验收”制度，未制定专门的过程检查制度，但在核心工作环节有质量检查要求，检查标准参照GB/T24356-2009基本要求，有简单的检查记录，可保障核心服务的基本质量；</w:t>
            </w:r>
          </w:p>
          <w:p w14:paraId="20F80230">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b w:val="0"/>
                <w:bCs/>
                <w:color w:val="000000"/>
                <w:sz w:val="21"/>
                <w:szCs w:val="21"/>
              </w:rPr>
            </w:pPr>
            <w:r>
              <w:rPr>
                <w:b w:val="0"/>
                <w:bCs/>
                <w:color w:val="000000"/>
                <w:sz w:val="21"/>
                <w:szCs w:val="21"/>
              </w:rPr>
              <w:t>保密管理制度</w:t>
            </w:r>
            <w:r>
              <w:rPr>
                <w:rStyle w:val="49"/>
                <w:b w:val="0"/>
                <w:bCs/>
                <w:color w:val="000000"/>
                <w:sz w:val="21"/>
                <w:szCs w:val="21"/>
              </w:rPr>
              <w:t>基本符合要求</w:t>
            </w:r>
            <w:r>
              <w:rPr>
                <w:b w:val="0"/>
                <w:bCs/>
                <w:color w:val="000000"/>
                <w:sz w:val="21"/>
                <w:szCs w:val="21"/>
              </w:rPr>
              <w:t>，制定了涉密数据管理的简单规定，明确了涉密数据的保管、使用基本要求，未开展专门的保密意识教育，但有员工保密基本要求，无核心涉密数据管理漏洞；</w:t>
            </w:r>
          </w:p>
          <w:p w14:paraId="48A95AEA">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tLeast"/>
              <w:ind w:left="0" w:right="0" w:firstLine="420" w:firstLineChars="200"/>
              <w:jc w:val="left"/>
              <w:rPr>
                <w:rFonts w:ascii="宋体" w:hAnsi="宋体" w:cs="宋体"/>
                <w:b w:val="0"/>
                <w:bCs/>
                <w:sz w:val="21"/>
                <w:szCs w:val="21"/>
              </w:rPr>
            </w:pPr>
            <w:r>
              <w:rPr>
                <w:b w:val="0"/>
                <w:bCs/>
                <w:color w:val="000000"/>
                <w:sz w:val="21"/>
                <w:szCs w:val="21"/>
              </w:rPr>
              <w:t>质量保证及质量承诺</w:t>
            </w:r>
            <w:r>
              <w:rPr>
                <w:rStyle w:val="49"/>
                <w:b w:val="0"/>
                <w:bCs/>
                <w:color w:val="000000"/>
                <w:sz w:val="21"/>
                <w:szCs w:val="21"/>
              </w:rPr>
              <w:t>基本符合采购需求</w:t>
            </w:r>
            <w:r>
              <w:rPr>
                <w:b w:val="0"/>
                <w:bCs/>
                <w:color w:val="000000"/>
                <w:sz w:val="21"/>
                <w:szCs w:val="21"/>
              </w:rPr>
              <w:t>，明确成果符合招标文件要求，承诺成果不合格按要求完成整改，无具体整改时限，但无拒绝整改的条款，可满足基本履约要求。</w:t>
            </w:r>
          </w:p>
        </w:tc>
      </w:tr>
      <w:tr w14:paraId="0408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ign w:val="center"/>
          </w:tcPr>
          <w:p w14:paraId="16225F26">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5</w:t>
            </w:r>
          </w:p>
        </w:tc>
        <w:tc>
          <w:tcPr>
            <w:tcW w:w="1067" w:type="dxa"/>
            <w:noWrap/>
            <w:vAlign w:val="center"/>
          </w:tcPr>
          <w:p w14:paraId="535FAEFC">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后续服务安排</w:t>
            </w:r>
          </w:p>
        </w:tc>
        <w:tc>
          <w:tcPr>
            <w:tcW w:w="1350" w:type="dxa"/>
            <w:noWrap/>
            <w:tcMar>
              <w:left w:w="57" w:type="dxa"/>
              <w:right w:w="57" w:type="dxa"/>
            </w:tcMar>
            <w:vAlign w:val="center"/>
          </w:tcPr>
          <w:p w14:paraId="38502425">
            <w:pPr>
              <w:adjustRightInd w:val="0"/>
              <w:snapToGrid w:val="0"/>
              <w:spacing w:line="240" w:lineRule="auto"/>
              <w:jc w:val="center"/>
              <w:textAlignment w:val="baseline"/>
              <w:rPr>
                <w:rFonts w:ascii="宋体" w:hAnsi="宋体" w:cs="宋体"/>
                <w:b w:val="0"/>
                <w:bCs/>
                <w:sz w:val="21"/>
                <w:szCs w:val="21"/>
              </w:rPr>
            </w:pPr>
            <w:r>
              <w:rPr>
                <w:rFonts w:hint="eastAsia" w:ascii="宋体" w:hAnsi="宋体" w:cs="宋体"/>
                <w:b w:val="0"/>
                <w:bCs/>
                <w:sz w:val="21"/>
                <w:szCs w:val="21"/>
              </w:rPr>
              <w:t>满分</w:t>
            </w:r>
            <w:r>
              <w:rPr>
                <w:rFonts w:hint="eastAsia" w:ascii="宋体" w:hAnsi="宋体" w:cs="宋体"/>
                <w:b w:val="0"/>
                <w:bCs/>
                <w:sz w:val="21"/>
                <w:szCs w:val="21"/>
                <w:lang w:val="en-US" w:eastAsia="zh-CN"/>
              </w:rPr>
              <w:t>9</w:t>
            </w:r>
            <w:r>
              <w:rPr>
                <w:rFonts w:hint="eastAsia" w:ascii="宋体" w:hAnsi="宋体" w:cs="宋体"/>
                <w:b w:val="0"/>
                <w:bCs/>
                <w:sz w:val="21"/>
                <w:szCs w:val="21"/>
              </w:rPr>
              <w:t>分</w:t>
            </w:r>
          </w:p>
        </w:tc>
        <w:tc>
          <w:tcPr>
            <w:tcW w:w="5735" w:type="dxa"/>
            <w:noWrap/>
            <w:vAlign w:val="center"/>
          </w:tcPr>
          <w:p w14:paraId="1D1F78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一档（</w:t>
            </w:r>
            <w:r>
              <w:rPr>
                <w:rFonts w:hint="eastAsia" w:ascii="Times New Roman" w:hAnsi="Times New Roman" w:eastAsia="宋体" w:cs="Times New Roman"/>
                <w:b w:val="0"/>
                <w:bCs w:val="0"/>
                <w:color w:val="000000"/>
                <w:kern w:val="2"/>
                <w:sz w:val="21"/>
                <w:szCs w:val="21"/>
                <w:lang w:val="en-US" w:eastAsia="zh-CN" w:bidi="ar-SA"/>
              </w:rPr>
              <w:t>9</w:t>
            </w:r>
            <w:r>
              <w:rPr>
                <w:rFonts w:hint="default" w:ascii="Times New Roman" w:hAnsi="Times New Roman" w:eastAsia="宋体" w:cs="Times New Roman"/>
                <w:b w:val="0"/>
                <w:bCs w:val="0"/>
                <w:color w:val="000000"/>
                <w:kern w:val="2"/>
                <w:sz w:val="21"/>
                <w:szCs w:val="21"/>
                <w:lang w:val="en-US" w:eastAsia="zh-CN" w:bidi="ar-SA"/>
              </w:rPr>
              <w:t>分，最优）</w:t>
            </w:r>
          </w:p>
          <w:p w14:paraId="2FA48541">
            <w:pPr>
              <w:keepNext w:val="0"/>
              <w:keepLines w:val="0"/>
              <w:pageBreakBefore w:val="0"/>
              <w:widowControl/>
              <w:numPr>
                <w:ilvl w:val="0"/>
                <w:numId w:val="2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承诺在全部成果最终验收通过后，提供12个月及以上的技术咨询服务，服务周期满足并优于采购需求，明确技术咨询的服务范围、对接方式、响应流程，可全方位支撑采购人成果使用；</w:t>
            </w:r>
          </w:p>
          <w:p w14:paraId="6B05984D">
            <w:pPr>
              <w:keepNext w:val="0"/>
              <w:keepLines w:val="0"/>
              <w:pageBreakBefore w:val="0"/>
              <w:widowControl/>
              <w:numPr>
                <w:ilvl w:val="0"/>
                <w:numId w:val="2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服务期内承诺提供所有与项目成果使用相关的技术服务，包括成果数据解读、数据格式转换、GIS系统操作指导、非实质性成果修改、基础数据更新等，服务范围全覆盖采购需求要求，明确各类型服务的实施标准；</w:t>
            </w:r>
          </w:p>
          <w:p w14:paraId="09BD05E2">
            <w:pPr>
              <w:keepNext w:val="0"/>
              <w:keepLines w:val="0"/>
              <w:pageBreakBefore w:val="0"/>
              <w:widowControl/>
              <w:numPr>
                <w:ilvl w:val="0"/>
                <w:numId w:val="2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建立多层级的服务团队配置，明确后续服务的项目负责人、技术负责人及专职对接人员，人员均具备测绘、地理信息、国土空间规划等相关专业资质，团队专业能力可满足各类技术服务需求；</w:t>
            </w:r>
          </w:p>
          <w:p w14:paraId="46F6DE8E">
            <w:pPr>
              <w:keepNext w:val="0"/>
              <w:keepLines w:val="0"/>
              <w:pageBreakBefore w:val="0"/>
              <w:widowControl/>
              <w:numPr>
                <w:ilvl w:val="0"/>
                <w:numId w:val="2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建立高效的服务响应机制，承诺接到采购人需求通知后：1小时内通过电话/邮件提供初步解决方案；一般问题24小时内完成解决或提供替代方案；重大问题1小时内响应并制定现场处置计划，响应时效优于采购需求；</w:t>
            </w:r>
          </w:p>
          <w:p w14:paraId="51865569">
            <w:pPr>
              <w:keepNext w:val="0"/>
              <w:keepLines w:val="0"/>
              <w:pageBreakBefore w:val="0"/>
              <w:widowControl/>
              <w:numPr>
                <w:ilvl w:val="0"/>
                <w:numId w:val="2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提交完整、详细的后续服务方案，明确后续服务的内容、流程、责任人、响应时限、服务保障措施（如技术人员储备、远程服务系统、技术资料存档），方案可直接落地执行，无任何漏洞。</w:t>
            </w:r>
          </w:p>
          <w:p w14:paraId="0BC4D0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二档（6分，良好）</w:t>
            </w:r>
          </w:p>
          <w:p w14:paraId="5131B964">
            <w:pPr>
              <w:keepNext w:val="0"/>
              <w:keepLines w:val="0"/>
              <w:pageBreakBefore w:val="0"/>
              <w:widowControl/>
              <w:numPr>
                <w:ilvl w:val="0"/>
                <w:numId w:val="2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承诺在全部成果最终验收通过后，提供12个月的技术咨询服务，服务周期完全满足采购需求，明确技术咨询的服务范围、专职对接人员及联系方式，可支撑采购人日常成果使用需求；</w:t>
            </w:r>
          </w:p>
          <w:p w14:paraId="67A4F05E">
            <w:pPr>
              <w:keepNext w:val="0"/>
              <w:keepLines w:val="0"/>
              <w:pageBreakBefore w:val="0"/>
              <w:widowControl/>
              <w:numPr>
                <w:ilvl w:val="0"/>
                <w:numId w:val="2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服务期内承诺提供采购需求要求的全部技术服务，包括成果数据解读、操作指导、非实质性成果修改、基础数据更新等，服务范围无遗漏，明确各类型服务的基本实施标准；</w:t>
            </w:r>
          </w:p>
          <w:p w14:paraId="2E132017">
            <w:pPr>
              <w:keepNext w:val="0"/>
              <w:keepLines w:val="0"/>
              <w:pageBreakBefore w:val="0"/>
              <w:widowControl/>
              <w:numPr>
                <w:ilvl w:val="0"/>
                <w:numId w:val="2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建立完善的服务团队配置，明确后续服务的专职对接人员及技术支持人员，人员具备相关专业资质，可满足采购人常规技术服务需求；</w:t>
            </w:r>
          </w:p>
          <w:p w14:paraId="7D1E119A">
            <w:pPr>
              <w:keepNext w:val="0"/>
              <w:keepLines w:val="0"/>
              <w:pageBreakBefore w:val="0"/>
              <w:widowControl/>
              <w:numPr>
                <w:ilvl w:val="0"/>
                <w:numId w:val="2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建立完善的服务响应机制，承诺接到采购人需求通知后：1小时内初步响应；一般问题24小时内解决；重大问题4小时内响应并制定处置计划，响应时效符合采购需求；</w:t>
            </w:r>
          </w:p>
          <w:p w14:paraId="7FAD4C61">
            <w:pPr>
              <w:keepNext w:val="0"/>
              <w:keepLines w:val="0"/>
              <w:pageBreakBefore w:val="0"/>
              <w:widowControl/>
              <w:numPr>
                <w:ilvl w:val="0"/>
                <w:numId w:val="2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提交完整的后续服务方案，明确后续服务的内容、流程、响应时限、对接方式，方案可落地执行，无明显漏洞。</w:t>
            </w:r>
          </w:p>
          <w:p w14:paraId="2E41C2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三档（4分，合格）</w:t>
            </w:r>
          </w:p>
          <w:p w14:paraId="4D838B6A">
            <w:pPr>
              <w:keepNext w:val="0"/>
              <w:keepLines w:val="0"/>
              <w:pageBreakBefore w:val="0"/>
              <w:widowControl/>
              <w:numPr>
                <w:ilvl w:val="0"/>
                <w:numId w:val="2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承诺在全部成果最终验收通过后，提供12个月的技术咨询服务，服务周期满足采购需求，明确技术咨询的专职对接人员及联系方式，可支撑采购人核心成果使用需求；</w:t>
            </w:r>
          </w:p>
          <w:p w14:paraId="7A145CF5">
            <w:pPr>
              <w:keepNext w:val="0"/>
              <w:keepLines w:val="0"/>
              <w:pageBreakBefore w:val="0"/>
              <w:widowControl/>
              <w:numPr>
                <w:ilvl w:val="0"/>
                <w:numId w:val="2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服务期内承诺提供采购需求核心后续服务，包括成果数据解读、远程操作指导、非实质性成果修改等，服务范围无核心内容遗漏，明确核心服务的实施标准；</w:t>
            </w:r>
          </w:p>
          <w:p w14:paraId="39C3B57C">
            <w:pPr>
              <w:keepNext w:val="0"/>
              <w:keepLines w:val="0"/>
              <w:pageBreakBefore w:val="0"/>
              <w:widowControl/>
              <w:numPr>
                <w:ilvl w:val="0"/>
                <w:numId w:val="2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明确了后续服务的专职对接人员，人员具备相关专业基础，可满足采购人常规核心技术服务需求，有技术支持人员储备机制；</w:t>
            </w:r>
          </w:p>
          <w:p w14:paraId="3BFCBCE3">
            <w:pPr>
              <w:keepNext w:val="0"/>
              <w:keepLines w:val="0"/>
              <w:pageBreakBefore w:val="0"/>
              <w:widowControl/>
              <w:numPr>
                <w:ilvl w:val="0"/>
                <w:numId w:val="2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建立基本的服务响应机制，承诺接到采购人需求通知后：2小时内初步响应；一般问题48小时内解决；重大问题及时响应并协调技术人员处理，响应时效基本满足采购需求；</w:t>
            </w:r>
          </w:p>
          <w:p w14:paraId="77E7F9F4">
            <w:pPr>
              <w:keepNext w:val="0"/>
              <w:keepLines w:val="0"/>
              <w:pageBreakBefore w:val="0"/>
              <w:widowControl/>
              <w:numPr>
                <w:ilvl w:val="0"/>
                <w:numId w:val="2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提交基本的后续服务方案，明确了后续服务的核心内容、对接方式、基本响应要求，方案框架完整，需少量细化后可执行。</w:t>
            </w:r>
          </w:p>
          <w:p w14:paraId="6D2735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四档（2分，基本符合）</w:t>
            </w:r>
          </w:p>
          <w:p w14:paraId="5BF5BF81">
            <w:pPr>
              <w:keepNext w:val="0"/>
              <w:keepLines w:val="0"/>
              <w:pageBreakBefore w:val="0"/>
              <w:widowControl/>
              <w:numPr>
                <w:ilvl w:val="0"/>
                <w:numId w:val="3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承诺在全部成果最终验收通过后，提供12个月的技术咨询服务，服务周期满足采购需求，明确技术咨询的对接人员及联系方式，可支撑采购人基础成果使用需求；</w:t>
            </w:r>
          </w:p>
          <w:p w14:paraId="08AC50DF">
            <w:pPr>
              <w:keepNext w:val="0"/>
              <w:keepLines w:val="0"/>
              <w:pageBreakBefore w:val="0"/>
              <w:widowControl/>
              <w:numPr>
                <w:ilvl w:val="0"/>
                <w:numId w:val="3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服务期内承诺提供采购需求核心后续服务，仅包括成果数据解读、简单的非实质性成果修改（如文字纠错、格式调整）等基础服务，可满足采购人日常基础使用需求；</w:t>
            </w:r>
          </w:p>
          <w:p w14:paraId="7EAA4AF2">
            <w:pPr>
              <w:keepNext w:val="0"/>
              <w:keepLines w:val="0"/>
              <w:pageBreakBefore w:val="0"/>
              <w:widowControl/>
              <w:numPr>
                <w:ilvl w:val="0"/>
                <w:numId w:val="3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明确了后续服务的唯一对接人员，人员具备相关专业基础，可保障采购人基础技术服务需求的对接与处理；</w:t>
            </w:r>
          </w:p>
          <w:p w14:paraId="64B4DF41">
            <w:pPr>
              <w:keepNext w:val="0"/>
              <w:keepLines w:val="0"/>
              <w:pageBreakBefore w:val="0"/>
              <w:widowControl/>
              <w:numPr>
                <w:ilvl w:val="0"/>
                <w:numId w:val="3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建立简单的服务响应机制，承诺接到采购人需求通知后：2小时内初步响应；一般问题72小时内解决；重大问题经沟通后及时安排技术人员处理，响应时效基本满足项目使用需求；</w:t>
            </w:r>
          </w:p>
          <w:p w14:paraId="731E11D9">
            <w:pPr>
              <w:keepNext w:val="0"/>
              <w:keepLines w:val="0"/>
              <w:pageBreakBefore w:val="0"/>
              <w:widowControl/>
              <w:numPr>
                <w:ilvl w:val="0"/>
                <w:numId w:val="3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提交后续服务说明，明确了后续服务的基本内容、响应方式、对接流程，无正式方案，但核心服务承诺清晰，无拒绝服务的条款，可满足基本履约要求。</w:t>
            </w:r>
          </w:p>
        </w:tc>
      </w:tr>
    </w:tbl>
    <w:p w14:paraId="1A1489BB">
      <w:pPr>
        <w:jc w:val="center"/>
        <w:rPr>
          <w:b/>
          <w:bCs/>
          <w:sz w:val="24"/>
          <w:szCs w:val="32"/>
        </w:rPr>
      </w:pPr>
      <w:r>
        <w:rPr>
          <w:rFonts w:hint="eastAsia"/>
          <w:b/>
          <w:bCs/>
          <w:sz w:val="24"/>
          <w:szCs w:val="32"/>
        </w:rPr>
        <w:t>商务分：满分</w:t>
      </w:r>
      <w:r>
        <w:rPr>
          <w:rFonts w:hint="eastAsia"/>
          <w:b/>
          <w:bCs/>
          <w:sz w:val="24"/>
          <w:szCs w:val="32"/>
          <w:lang w:val="en-US" w:eastAsia="zh-CN"/>
        </w:rPr>
        <w:t>20</w:t>
      </w:r>
      <w:r>
        <w:rPr>
          <w:rFonts w:hint="eastAsia"/>
          <w:b/>
          <w:bCs/>
          <w:sz w:val="24"/>
          <w:szCs w:val="32"/>
        </w:rPr>
        <w:t>分</w:t>
      </w:r>
    </w:p>
    <w:tbl>
      <w:tblPr>
        <w:tblStyle w:val="46"/>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48"/>
        <w:gridCol w:w="1012"/>
        <w:gridCol w:w="6350"/>
      </w:tblGrid>
      <w:tr w14:paraId="7BEC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ign w:val="center"/>
          </w:tcPr>
          <w:p w14:paraId="2CD96E18">
            <w:pPr>
              <w:adjustRightInd w:val="0"/>
              <w:snapToGrid w:val="0"/>
              <w:spacing w:line="360" w:lineRule="atLeast"/>
              <w:jc w:val="center"/>
              <w:textAlignment w:val="baseline"/>
              <w:rPr>
                <w:rFonts w:ascii="宋体" w:hAnsi="宋体" w:cs="宋体"/>
                <w:bCs/>
                <w:color w:val="auto"/>
                <w:szCs w:val="21"/>
              </w:rPr>
            </w:pPr>
            <w:r>
              <w:rPr>
                <w:rFonts w:hint="eastAsia" w:ascii="宋体" w:hAnsi="宋体" w:cs="宋体"/>
                <w:bCs/>
                <w:color w:val="auto"/>
                <w:szCs w:val="21"/>
              </w:rPr>
              <w:t>序号</w:t>
            </w:r>
          </w:p>
        </w:tc>
        <w:tc>
          <w:tcPr>
            <w:tcW w:w="848" w:type="dxa"/>
            <w:noWrap/>
            <w:vAlign w:val="center"/>
          </w:tcPr>
          <w:p w14:paraId="0E536FAA">
            <w:pPr>
              <w:adjustRightInd w:val="0"/>
              <w:snapToGrid w:val="0"/>
              <w:spacing w:line="360" w:lineRule="auto"/>
              <w:jc w:val="center"/>
              <w:textAlignment w:val="baseline"/>
              <w:rPr>
                <w:rFonts w:ascii="宋体" w:hAnsi="宋体" w:cs="宋体"/>
                <w:bCs/>
                <w:color w:val="auto"/>
                <w:szCs w:val="21"/>
              </w:rPr>
            </w:pPr>
            <w:r>
              <w:rPr>
                <w:rFonts w:hint="eastAsia" w:ascii="宋体" w:hAnsi="宋体" w:cs="宋体"/>
                <w:bCs/>
                <w:color w:val="auto"/>
                <w:szCs w:val="21"/>
              </w:rPr>
              <w:t>内容</w:t>
            </w:r>
          </w:p>
        </w:tc>
        <w:tc>
          <w:tcPr>
            <w:tcW w:w="1012" w:type="dxa"/>
            <w:noWrap/>
            <w:vAlign w:val="center"/>
          </w:tcPr>
          <w:p w14:paraId="4C6EDDB8">
            <w:pPr>
              <w:adjustRightInd w:val="0"/>
              <w:snapToGrid w:val="0"/>
              <w:spacing w:line="360" w:lineRule="auto"/>
              <w:jc w:val="center"/>
              <w:textAlignment w:val="baseline"/>
              <w:rPr>
                <w:rFonts w:ascii="宋体" w:hAnsi="宋体" w:cs="宋体"/>
                <w:bCs/>
                <w:color w:val="auto"/>
                <w:szCs w:val="21"/>
              </w:rPr>
            </w:pPr>
            <w:r>
              <w:rPr>
                <w:rFonts w:hint="eastAsia" w:ascii="宋体" w:hAnsi="宋体" w:cs="宋体"/>
                <w:bCs/>
                <w:color w:val="auto"/>
                <w:szCs w:val="21"/>
              </w:rPr>
              <w:t>分值</w:t>
            </w:r>
          </w:p>
        </w:tc>
        <w:tc>
          <w:tcPr>
            <w:tcW w:w="6350" w:type="dxa"/>
            <w:noWrap/>
            <w:vAlign w:val="center"/>
          </w:tcPr>
          <w:p w14:paraId="5C4F5FC6">
            <w:pPr>
              <w:adjustRightInd w:val="0"/>
              <w:snapToGrid w:val="0"/>
              <w:spacing w:line="360" w:lineRule="auto"/>
              <w:jc w:val="center"/>
              <w:textAlignment w:val="baseline"/>
              <w:rPr>
                <w:rFonts w:ascii="宋体" w:hAnsi="宋体" w:cs="宋体"/>
                <w:bCs/>
                <w:color w:val="auto"/>
                <w:szCs w:val="21"/>
              </w:rPr>
            </w:pPr>
            <w:r>
              <w:rPr>
                <w:rFonts w:hint="eastAsia" w:ascii="宋体" w:hAnsi="宋体" w:cs="宋体"/>
                <w:bCs/>
                <w:color w:val="auto"/>
                <w:szCs w:val="21"/>
              </w:rPr>
              <w:t>评审标准和要求</w:t>
            </w:r>
          </w:p>
        </w:tc>
      </w:tr>
      <w:tr w14:paraId="437A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ign w:val="center"/>
          </w:tcPr>
          <w:p w14:paraId="3C811B83">
            <w:pPr>
              <w:adjustRightInd w:val="0"/>
              <w:snapToGrid w:val="0"/>
              <w:spacing w:line="360" w:lineRule="auto"/>
              <w:jc w:val="center"/>
              <w:textAlignment w:val="baseline"/>
              <w:rPr>
                <w:rFonts w:ascii="宋体" w:hAnsi="宋体" w:cs="宋体"/>
                <w:bCs/>
                <w:color w:val="auto"/>
                <w:szCs w:val="21"/>
              </w:rPr>
            </w:pPr>
            <w:r>
              <w:rPr>
                <w:rFonts w:hint="eastAsia" w:ascii="宋体" w:hAnsi="宋体" w:cs="宋体"/>
                <w:bCs/>
                <w:color w:val="auto"/>
                <w:szCs w:val="21"/>
              </w:rPr>
              <w:t>1</w:t>
            </w:r>
          </w:p>
        </w:tc>
        <w:tc>
          <w:tcPr>
            <w:tcW w:w="848" w:type="dxa"/>
            <w:noWrap/>
            <w:vAlign w:val="center"/>
          </w:tcPr>
          <w:p w14:paraId="38D2AC32">
            <w:pPr>
              <w:adjustRightInd w:val="0"/>
              <w:snapToGrid w:val="0"/>
              <w:spacing w:line="360" w:lineRule="auto"/>
              <w:jc w:val="center"/>
              <w:textAlignment w:val="baseline"/>
              <w:rPr>
                <w:rFonts w:ascii="宋体" w:hAnsi="宋体" w:cs="宋体"/>
                <w:bCs/>
                <w:color w:val="auto"/>
                <w:szCs w:val="21"/>
              </w:rPr>
            </w:pPr>
            <w:r>
              <w:rPr>
                <w:rFonts w:hint="eastAsia" w:ascii="宋体" w:hAnsi="宋体" w:cs="宋体"/>
                <w:bCs/>
                <w:color w:val="auto"/>
                <w:szCs w:val="21"/>
              </w:rPr>
              <w:t>业绩分</w:t>
            </w:r>
          </w:p>
        </w:tc>
        <w:tc>
          <w:tcPr>
            <w:tcW w:w="1012" w:type="dxa"/>
            <w:noWrap/>
            <w:vAlign w:val="center"/>
          </w:tcPr>
          <w:p w14:paraId="785C7001">
            <w:pPr>
              <w:adjustRightInd w:val="0"/>
              <w:snapToGrid w:val="0"/>
              <w:spacing w:line="360" w:lineRule="auto"/>
              <w:jc w:val="center"/>
              <w:textAlignment w:val="baseline"/>
              <w:rPr>
                <w:rFonts w:ascii="宋体" w:hAnsi="宋体" w:cs="宋体"/>
                <w:bCs/>
                <w:color w:val="auto"/>
                <w:sz w:val="21"/>
                <w:szCs w:val="21"/>
              </w:rPr>
            </w:pPr>
            <w:r>
              <w:rPr>
                <w:rFonts w:hint="eastAsia" w:ascii="宋体" w:hAnsi="宋体" w:cs="宋体"/>
                <w:bCs/>
                <w:color w:val="auto"/>
                <w:sz w:val="21"/>
                <w:szCs w:val="21"/>
              </w:rPr>
              <w:t>满分10分</w:t>
            </w:r>
          </w:p>
        </w:tc>
        <w:tc>
          <w:tcPr>
            <w:tcW w:w="6350" w:type="dxa"/>
            <w:noWrap/>
            <w:vAlign w:val="center"/>
          </w:tcPr>
          <w:p w14:paraId="2AE11C27">
            <w:pPr>
              <w:adjustRightInd w:val="0"/>
              <w:snapToGrid w:val="0"/>
              <w:spacing w:line="360" w:lineRule="auto"/>
              <w:ind w:firstLine="420" w:firstLineChars="200"/>
              <w:jc w:val="left"/>
              <w:textAlignment w:val="baseline"/>
              <w:rPr>
                <w:color w:val="auto"/>
                <w:sz w:val="21"/>
                <w:szCs w:val="21"/>
              </w:rPr>
            </w:pPr>
            <w:r>
              <w:rPr>
                <w:rFonts w:ascii="宋体" w:hAnsi="宋体" w:eastAsia="宋体" w:cs="宋体"/>
                <w:color w:val="auto"/>
                <w:sz w:val="21"/>
                <w:szCs w:val="21"/>
              </w:rPr>
              <w:t>投标人自投标截止日前 3 年内（以合同签订时间为准）承接过自然资源领域同类专业技术服务项目（如卫片执法、耕地保护、国土空间监测、测绘、土地整治、矿产资源管理相关服务等），每提供 1 个有效业绩得 0.5 分，满分 10 分。有效业绩证明材料：需提供合同关键页（含服务内容、签订时间、金额、双方签章）或验收报告或业主评价函（三者任选其一），未按要求提供或材料不全的不得分。</w:t>
            </w:r>
          </w:p>
        </w:tc>
      </w:tr>
      <w:tr w14:paraId="2691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noWrap/>
            <w:vAlign w:val="center"/>
          </w:tcPr>
          <w:p w14:paraId="17D7D057">
            <w:pPr>
              <w:adjustRightInd w:val="0"/>
              <w:snapToGrid w:val="0"/>
              <w:spacing w:line="360" w:lineRule="auto"/>
              <w:jc w:val="center"/>
              <w:textAlignment w:val="baseline"/>
              <w:rPr>
                <w:rFonts w:ascii="宋体" w:hAnsi="宋体" w:cs="宋体"/>
                <w:bCs/>
                <w:color w:val="auto"/>
                <w:szCs w:val="21"/>
              </w:rPr>
            </w:pPr>
            <w:r>
              <w:rPr>
                <w:rFonts w:hint="eastAsia" w:ascii="宋体" w:hAnsi="宋体" w:cs="宋体"/>
                <w:bCs/>
                <w:color w:val="auto"/>
                <w:szCs w:val="21"/>
              </w:rPr>
              <w:t>2</w:t>
            </w:r>
          </w:p>
        </w:tc>
        <w:tc>
          <w:tcPr>
            <w:tcW w:w="848" w:type="dxa"/>
            <w:noWrap/>
            <w:vAlign w:val="center"/>
          </w:tcPr>
          <w:p w14:paraId="2A8039A1">
            <w:pPr>
              <w:adjustRightInd w:val="0"/>
              <w:snapToGrid w:val="0"/>
              <w:spacing w:line="360" w:lineRule="auto"/>
              <w:jc w:val="center"/>
              <w:textAlignment w:val="baseline"/>
              <w:rPr>
                <w:rFonts w:ascii="宋体" w:hAnsi="宋体" w:cs="宋体"/>
                <w:bCs/>
                <w:color w:val="auto"/>
                <w:szCs w:val="21"/>
              </w:rPr>
            </w:pPr>
            <w:r>
              <w:rPr>
                <w:rFonts w:hint="eastAsia" w:ascii="宋体" w:hAnsi="宋体" w:cs="宋体"/>
                <w:bCs/>
                <w:color w:val="auto"/>
                <w:szCs w:val="21"/>
              </w:rPr>
              <w:t>人员实力分</w:t>
            </w:r>
          </w:p>
        </w:tc>
        <w:tc>
          <w:tcPr>
            <w:tcW w:w="1012" w:type="dxa"/>
            <w:noWrap/>
            <w:vAlign w:val="center"/>
          </w:tcPr>
          <w:p w14:paraId="02F54827">
            <w:pPr>
              <w:adjustRightInd w:val="0"/>
              <w:snapToGrid w:val="0"/>
              <w:spacing w:line="360" w:lineRule="auto"/>
              <w:jc w:val="center"/>
              <w:textAlignment w:val="baseline"/>
              <w:rPr>
                <w:rFonts w:ascii="宋体" w:hAnsi="宋体" w:cs="宋体"/>
                <w:bCs/>
                <w:color w:val="auto"/>
                <w:szCs w:val="21"/>
              </w:rPr>
            </w:pPr>
            <w:r>
              <w:rPr>
                <w:rFonts w:hint="eastAsia" w:ascii="宋体" w:hAnsi="宋体" w:cs="宋体"/>
                <w:bCs/>
                <w:color w:val="auto"/>
                <w:szCs w:val="21"/>
              </w:rPr>
              <w:t>满分10分</w:t>
            </w:r>
          </w:p>
        </w:tc>
        <w:tc>
          <w:tcPr>
            <w:tcW w:w="6350" w:type="dxa"/>
            <w:noWrap/>
            <w:vAlign w:val="center"/>
          </w:tcPr>
          <w:p w14:paraId="79A37D06">
            <w:pPr>
              <w:pStyle w:val="136"/>
              <w:spacing w:before="31" w:line="360" w:lineRule="auto"/>
              <w:ind w:left="15" w:firstLine="3"/>
              <w:rPr>
                <w:color w:val="auto"/>
              </w:rPr>
            </w:pPr>
            <w:r>
              <w:rPr>
                <w:color w:val="auto"/>
                <w:spacing w:val="-3"/>
              </w:rPr>
              <w:t>（1）</w:t>
            </w:r>
            <w:r>
              <w:rPr>
                <w:rFonts w:hint="eastAsia"/>
                <w:color w:val="auto"/>
                <w:spacing w:val="-3"/>
              </w:rPr>
              <w:t>投入人员具有测绘专业、矿业工程、土地工程与技术专业高级职称的</w:t>
            </w:r>
            <w:r>
              <w:rPr>
                <w:color w:val="auto"/>
                <w:spacing w:val="-3"/>
              </w:rPr>
              <w:t>，</w:t>
            </w:r>
            <w:r>
              <w:rPr>
                <w:color w:val="auto"/>
                <w:spacing w:val="-4"/>
              </w:rPr>
              <w:t>每</w:t>
            </w:r>
            <w:r>
              <w:rPr>
                <w:rFonts w:hint="eastAsia"/>
                <w:color w:val="auto"/>
                <w:spacing w:val="-4"/>
              </w:rPr>
              <w:t>投入1</w:t>
            </w:r>
            <w:r>
              <w:rPr>
                <w:color w:val="auto"/>
                <w:spacing w:val="-4"/>
              </w:rPr>
              <w:t>人得1</w:t>
            </w:r>
            <w:r>
              <w:rPr>
                <w:color w:val="auto"/>
                <w:spacing w:val="-8"/>
              </w:rPr>
              <w:t>分，满分5分；</w:t>
            </w:r>
          </w:p>
          <w:p w14:paraId="2EBC65A5">
            <w:pPr>
              <w:pStyle w:val="136"/>
              <w:spacing w:before="150" w:line="360" w:lineRule="auto"/>
              <w:ind w:left="14" w:right="8" w:firstLine="4"/>
              <w:rPr>
                <w:rFonts w:hint="eastAsia"/>
                <w:color w:val="auto"/>
                <w:spacing w:val="3"/>
              </w:rPr>
            </w:pPr>
            <w:r>
              <w:rPr>
                <w:color w:val="auto"/>
                <w:spacing w:val="3"/>
              </w:rPr>
              <w:t>（2）</w:t>
            </w:r>
            <w:r>
              <w:rPr>
                <w:rFonts w:hint="eastAsia"/>
                <w:color w:val="auto"/>
                <w:spacing w:val="3"/>
              </w:rPr>
              <w:t>投入人员具有专业中级职称的（专业包含：测绘与地理信息、测绘工程、国土空间规划、土地工程与技术、建筑工程测量与测绘、地质矿产、地质资源与地质工程、矿业工程、土木工程、地理信息科学），每投入1人得0.25分，满分5分；</w:t>
            </w:r>
          </w:p>
          <w:p w14:paraId="4FE67835">
            <w:pPr>
              <w:adjustRightInd w:val="0"/>
              <w:snapToGrid w:val="0"/>
              <w:spacing w:line="360" w:lineRule="auto"/>
              <w:ind w:firstLine="432" w:firstLineChars="200"/>
              <w:jc w:val="left"/>
              <w:textAlignment w:val="baseline"/>
              <w:rPr>
                <w:rFonts w:ascii="宋体" w:hAnsi="宋体" w:cs="宋体"/>
                <w:bCs/>
                <w:color w:val="auto"/>
                <w:szCs w:val="21"/>
              </w:rPr>
            </w:pPr>
            <w:r>
              <w:rPr>
                <w:color w:val="auto"/>
                <w:spacing w:val="3"/>
              </w:rPr>
              <w:t>注：以上拟投入技术人员须提供职称证书复印件,否则不记分。以</w:t>
            </w:r>
            <w:r>
              <w:rPr>
                <w:color w:val="auto"/>
                <w:spacing w:val="-3"/>
              </w:rPr>
              <w:t>上拟投入人员须提供投标人为其缴纳的投标截止期</w:t>
            </w:r>
            <w:r>
              <w:rPr>
                <w:color w:val="auto"/>
                <w:spacing w:val="7"/>
              </w:rPr>
              <w:t>间</w:t>
            </w:r>
            <w:r>
              <w:rPr>
                <w:rFonts w:hint="eastAsia"/>
                <w:color w:val="auto"/>
                <w:spacing w:val="7"/>
                <w:lang w:val="en-US" w:eastAsia="zh-CN"/>
              </w:rPr>
              <w:t>半年内任意</w:t>
            </w:r>
            <w:r>
              <w:rPr>
                <w:color w:val="auto"/>
                <w:spacing w:val="7"/>
              </w:rPr>
              <w:t>三个月的社保缴纳证明复印件</w:t>
            </w:r>
            <w:r>
              <w:rPr>
                <w:color w:val="auto"/>
                <w:spacing w:val="-2"/>
              </w:rPr>
              <w:t>，未按要求提供的不得分。</w:t>
            </w:r>
          </w:p>
        </w:tc>
      </w:tr>
      <w:tr w14:paraId="4A1E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908" w:type="dxa"/>
            <w:gridSpan w:val="4"/>
            <w:noWrap/>
            <w:vAlign w:val="center"/>
          </w:tcPr>
          <w:p w14:paraId="756BC1AA">
            <w:pPr>
              <w:pStyle w:val="24"/>
              <w:snapToGrid w:val="0"/>
              <w:spacing w:line="360" w:lineRule="auto"/>
              <w:rPr>
                <w:rFonts w:hAnsi="宋体" w:cs="宋体"/>
                <w:bCs/>
                <w:color w:val="auto"/>
                <w:sz w:val="21"/>
              </w:rPr>
            </w:pPr>
            <w:r>
              <w:rPr>
                <w:rFonts w:hint="eastAsia" w:hAnsi="宋体" w:cs="宋体"/>
                <w:bCs/>
                <w:color w:val="auto"/>
                <w:sz w:val="21"/>
              </w:rPr>
              <w:t>总得分=1+2+3</w:t>
            </w:r>
          </w:p>
        </w:tc>
      </w:tr>
    </w:tbl>
    <w:p w14:paraId="3AC9BF92">
      <w:pPr>
        <w:pStyle w:val="92"/>
        <w:ind w:firstLine="0" w:firstLineChars="0"/>
      </w:pPr>
    </w:p>
    <w:p w14:paraId="16FDDAFC"/>
    <w:p w14:paraId="13459B71">
      <w:pPr>
        <w:pStyle w:val="24"/>
        <w:spacing w:line="360" w:lineRule="auto"/>
        <w:ind w:firstLine="420" w:firstLineChars="200"/>
        <w:rPr>
          <w:rFonts w:hAnsi="宋体" w:cs="宋体"/>
          <w:sz w:val="21"/>
        </w:rPr>
        <w:sectPr>
          <w:pgSz w:w="11906" w:h="16838"/>
          <w:pgMar w:top="1134" w:right="1247" w:bottom="1560" w:left="1247" w:header="851" w:footer="992" w:gutter="0"/>
          <w:cols w:space="720" w:num="1"/>
          <w:titlePg/>
          <w:docGrid w:linePitch="312" w:charSpace="0"/>
        </w:sectPr>
      </w:pPr>
      <w:r>
        <w:rPr>
          <w:rFonts w:hint="eastAsia" w:hAnsi="宋体" w:cs="宋体"/>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A423EAC">
      <w:pPr>
        <w:pStyle w:val="4"/>
        <w:spacing w:line="360" w:lineRule="auto"/>
        <w:jc w:val="center"/>
        <w:rPr>
          <w:rFonts w:ascii="宋体" w:hAnsi="宋体" w:eastAsia="宋体" w:cs="宋体"/>
          <w:kern w:val="44"/>
          <w:sz w:val="30"/>
          <w:szCs w:val="44"/>
        </w:rPr>
      </w:pPr>
      <w:bookmarkStart w:id="187" w:name="_Toc12195"/>
      <w:bookmarkStart w:id="188" w:name="_Toc2513"/>
      <w:bookmarkStart w:id="189" w:name="_Toc19686834"/>
      <w:bookmarkStart w:id="190" w:name="_Toc22700"/>
      <w:r>
        <w:rPr>
          <w:rFonts w:hint="eastAsia" w:ascii="宋体" w:hAnsi="宋体" w:eastAsia="宋体" w:cs="宋体"/>
          <w:kern w:val="44"/>
          <w:sz w:val="30"/>
          <w:szCs w:val="44"/>
        </w:rPr>
        <w:t>第五章合同文本</w:t>
      </w:r>
      <w:bookmarkEnd w:id="187"/>
    </w:p>
    <w:p w14:paraId="71092CE0">
      <w:pPr>
        <w:widowControl/>
        <w:spacing w:line="360" w:lineRule="auto"/>
        <w:ind w:firstLine="420" w:firstLineChars="200"/>
        <w:jc w:val="left"/>
        <w:rPr>
          <w:rFonts w:hint="eastAsia" w:ascii="宋体" w:hAnsi="宋体" w:cs="宋体"/>
          <w:color w:val="1F2329"/>
          <w:kern w:val="0"/>
          <w:szCs w:val="21"/>
        </w:rPr>
      </w:pPr>
      <w:r>
        <w:rPr>
          <w:rFonts w:hint="eastAsia" w:ascii="宋体" w:hAnsi="宋体" w:cs="宋体"/>
          <w:color w:val="1F2329"/>
          <w:kern w:val="0"/>
          <w:szCs w:val="21"/>
        </w:rPr>
        <w:t>合同编号：</w:t>
      </w:r>
    </w:p>
    <w:p w14:paraId="7189610A">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采购计划号：____________________</w:t>
      </w:r>
    </w:p>
    <w:p w14:paraId="11B4D861">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签订地点：崇左市</w:t>
      </w:r>
    </w:p>
    <w:p w14:paraId="1BE04A47">
      <w:pPr>
        <w:widowControl/>
        <w:spacing w:line="360" w:lineRule="auto"/>
        <w:ind w:firstLine="420" w:firstLineChars="200"/>
        <w:jc w:val="left"/>
        <w:rPr>
          <w:rFonts w:ascii="宋体" w:hAnsi="宋体" w:cs="宋体"/>
          <w:color w:val="1F2329"/>
          <w:szCs w:val="21"/>
        </w:rPr>
      </w:pPr>
      <w:r>
        <w:rPr>
          <w:rFonts w:hint="eastAsia" w:ascii="宋体" w:hAnsi="宋体" w:cs="宋体"/>
          <w:color w:val="1F2329"/>
          <w:kern w:val="0"/>
          <w:szCs w:val="21"/>
        </w:rPr>
        <w:t>签订时间：______年____月____日</w:t>
      </w:r>
    </w:p>
    <w:p w14:paraId="6F9951B4">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采购人（甲方）：崇左市自然资源局</w:t>
      </w:r>
    </w:p>
    <w:p w14:paraId="6E000CB3">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地址：崇左市江州区友谊大道</w:t>
      </w:r>
    </w:p>
    <w:p w14:paraId="6DFCF528">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法定代表人/负责人：________________</w:t>
      </w:r>
    </w:p>
    <w:p w14:paraId="6CF22100">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联系电话：________________</w:t>
      </w:r>
    </w:p>
    <w:p w14:paraId="7A33523B">
      <w:pPr>
        <w:widowControl/>
        <w:spacing w:line="360" w:lineRule="auto"/>
        <w:ind w:firstLine="420" w:firstLineChars="200"/>
        <w:jc w:val="left"/>
        <w:rPr>
          <w:rFonts w:ascii="宋体" w:hAnsi="宋体" w:cs="宋体"/>
          <w:color w:val="1F2329"/>
          <w:kern w:val="0"/>
          <w:szCs w:val="21"/>
        </w:rPr>
      </w:pPr>
    </w:p>
    <w:p w14:paraId="74F7F2A6">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供应商（乙方）：____________________</w:t>
      </w:r>
    </w:p>
    <w:p w14:paraId="1859B31D">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统一社会信用代码：________________</w:t>
      </w:r>
    </w:p>
    <w:p w14:paraId="5592AF4F">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地址：____________________________</w:t>
      </w:r>
    </w:p>
    <w:p w14:paraId="7F1AEA94">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法定代表人/负责人：________________</w:t>
      </w:r>
    </w:p>
    <w:p w14:paraId="423D5F97">
      <w:pPr>
        <w:widowControl/>
        <w:spacing w:line="360" w:lineRule="auto"/>
        <w:ind w:firstLine="420" w:firstLineChars="200"/>
        <w:jc w:val="left"/>
        <w:rPr>
          <w:rFonts w:ascii="宋体" w:hAnsi="宋体" w:cs="宋体"/>
          <w:color w:val="1F2329"/>
          <w:kern w:val="0"/>
          <w:szCs w:val="21"/>
        </w:rPr>
      </w:pPr>
      <w:r>
        <w:rPr>
          <w:rFonts w:hint="eastAsia" w:ascii="宋体" w:hAnsi="宋体" w:cs="宋体"/>
          <w:color w:val="1F2329"/>
          <w:kern w:val="0"/>
          <w:szCs w:val="21"/>
        </w:rPr>
        <w:t>联系电话：________________</w:t>
      </w:r>
    </w:p>
    <w:p w14:paraId="667AEADB">
      <w:pPr>
        <w:widowControl/>
        <w:spacing w:line="360" w:lineRule="auto"/>
        <w:ind w:firstLine="420" w:firstLineChars="200"/>
        <w:jc w:val="left"/>
        <w:rPr>
          <w:rFonts w:ascii="宋体" w:hAnsi="宋体" w:cs="宋体"/>
          <w:color w:val="1F2329"/>
          <w:szCs w:val="21"/>
        </w:rPr>
      </w:pPr>
      <w:r>
        <w:rPr>
          <w:rFonts w:hint="eastAsia" w:ascii="宋体" w:hAnsi="宋体" w:cs="宋体"/>
          <w:color w:val="1F2329"/>
          <w:kern w:val="0"/>
          <w:szCs w:val="21"/>
        </w:rPr>
        <w:t>根据《中华人民共和国民法典》《中华人民共和国政府采购法》《中华人民共和国政府采购法实施条例》等法律法规及本项目招标文件（项目编号：CZZC2026-G3-990039-JWJS）、乙方投标文件及中标通知书，甲乙双方本着平等自愿、公平诚信的原则，签订本合同，以资共同遵守。</w:t>
      </w:r>
    </w:p>
    <w:p w14:paraId="479F1415">
      <w:pPr>
        <w:widowControl/>
        <w:spacing w:line="360" w:lineRule="auto"/>
        <w:ind w:firstLine="422" w:firstLineChars="200"/>
        <w:rPr>
          <w:rFonts w:ascii="宋体" w:hAnsi="宋体" w:cs="宋体"/>
          <w:b/>
          <w:bCs/>
          <w:color w:val="1F2329"/>
          <w:szCs w:val="21"/>
        </w:rPr>
      </w:pPr>
      <w:r>
        <w:rPr>
          <w:rFonts w:hint="eastAsia" w:ascii="宋体" w:hAnsi="宋体" w:cs="宋体"/>
          <w:b/>
          <w:bCs/>
          <w:color w:val="1F2329"/>
          <w:szCs w:val="21"/>
        </w:rPr>
        <w:t>第一条合同标的及服务内容</w:t>
      </w:r>
    </w:p>
    <w:p w14:paraId="720B5EC1">
      <w:pPr>
        <w:widowControl/>
        <w:numPr>
          <w:ilvl w:val="0"/>
          <w:numId w:val="31"/>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服务名称：2025年度自然资源领域重点业务专业技术服务</w:t>
      </w:r>
    </w:p>
    <w:p w14:paraId="0DB6067F">
      <w:pPr>
        <w:widowControl/>
        <w:numPr>
          <w:ilvl w:val="0"/>
          <w:numId w:val="31"/>
        </w:numPr>
        <w:spacing w:line="360" w:lineRule="auto"/>
        <w:ind w:left="0" w:firstLine="420" w:firstLineChars="200"/>
        <w:jc w:val="left"/>
        <w:rPr>
          <w:rFonts w:ascii="宋体" w:hAnsi="宋体" w:cs="宋体"/>
          <w:color w:val="auto"/>
          <w:szCs w:val="21"/>
        </w:rPr>
      </w:pPr>
      <w:r>
        <w:rPr>
          <w:rFonts w:hint="eastAsia" w:ascii="宋体" w:hAnsi="宋体" w:cs="宋体"/>
          <w:color w:val="1F2329"/>
          <w:szCs w:val="21"/>
        </w:rPr>
        <w:t>服务范围及具体内容：乙方为甲方提供41项专业技术服务，</w:t>
      </w:r>
      <w:r>
        <w:rPr>
          <w:rFonts w:hint="eastAsia" w:ascii="宋体" w:hAnsi="宋体" w:cs="宋体"/>
          <w:color w:val="1F2329"/>
          <w:szCs w:val="21"/>
          <w:highlight w:val="none"/>
        </w:rPr>
        <w:t>包括但不限于耕地保护卫片监测执法、违法用地线索核查、耕地破坏鉴定、补充耕地指标核查、国土空间监测、土地征收社会稳定风险评估、矿山</w:t>
      </w:r>
      <w:r>
        <w:rPr>
          <w:rFonts w:hint="eastAsia" w:ascii="宋体" w:hAnsi="宋体" w:cs="宋体"/>
          <w:color w:val="auto"/>
          <w:szCs w:val="21"/>
          <w:highlight w:val="none"/>
        </w:rPr>
        <w:t>生态修复方案审查、权属纠纷调处测绘等（</w:t>
      </w:r>
      <w:r>
        <w:rPr>
          <w:rFonts w:hint="eastAsia" w:ascii="宋体" w:hAnsi="宋体" w:cs="宋体"/>
          <w:color w:val="auto"/>
          <w:szCs w:val="21"/>
        </w:rPr>
        <w:t>具体服务明细及工作要求详见附件1《服务内容及技术要求清单》）。</w:t>
      </w:r>
    </w:p>
    <w:p w14:paraId="007ED96A">
      <w:pPr>
        <w:widowControl/>
        <w:numPr>
          <w:ilvl w:val="0"/>
          <w:numId w:val="31"/>
        </w:numPr>
        <w:spacing w:line="360" w:lineRule="auto"/>
        <w:ind w:left="0" w:firstLine="420" w:firstLineChars="200"/>
        <w:jc w:val="left"/>
        <w:rPr>
          <w:rFonts w:ascii="宋体" w:hAnsi="宋体" w:cs="宋体"/>
          <w:color w:val="auto"/>
          <w:szCs w:val="21"/>
        </w:rPr>
      </w:pPr>
      <w:r>
        <w:rPr>
          <w:rFonts w:hint="eastAsia" w:ascii="宋体" w:hAnsi="宋体" w:cs="宋体"/>
          <w:color w:val="auto"/>
          <w:szCs w:val="21"/>
        </w:rPr>
        <w:t>服务依据：所有服务内容的实施需符合国家、自治区相关法律法规及技术标准</w:t>
      </w:r>
      <w:r>
        <w:rPr>
          <w:rFonts w:hint="eastAsia" w:ascii="宋体" w:hAnsi="宋体" w:cs="宋体"/>
          <w:color w:val="auto"/>
          <w:szCs w:val="21"/>
          <w:highlight w:val="none"/>
        </w:rPr>
        <w:t>（</w:t>
      </w:r>
      <w:r>
        <w:rPr>
          <w:rFonts w:hint="eastAsia" w:ascii="宋体" w:hAnsi="宋体" w:cs="宋体"/>
          <w:color w:val="auto"/>
          <w:szCs w:val="21"/>
        </w:rPr>
        <w:t>详见采购需求）。</w:t>
      </w:r>
    </w:p>
    <w:p w14:paraId="4DB9C9F0">
      <w:pPr>
        <w:widowControl/>
        <w:spacing w:line="360" w:lineRule="auto"/>
        <w:ind w:firstLine="422" w:firstLineChars="200"/>
        <w:rPr>
          <w:rFonts w:ascii="宋体" w:hAnsi="宋体" w:cs="宋体"/>
          <w:b/>
          <w:bCs/>
          <w:color w:val="auto"/>
          <w:szCs w:val="21"/>
        </w:rPr>
      </w:pPr>
      <w:r>
        <w:rPr>
          <w:rFonts w:hint="eastAsia" w:ascii="宋体" w:hAnsi="宋体" w:cs="宋体"/>
          <w:b/>
          <w:bCs/>
          <w:color w:val="auto"/>
          <w:szCs w:val="21"/>
        </w:rPr>
        <w:t>第二条合同履行期限</w:t>
      </w:r>
    </w:p>
    <w:p w14:paraId="27FE72B7">
      <w:pPr>
        <w:widowControl/>
        <w:numPr>
          <w:ilvl w:val="0"/>
          <w:numId w:val="0"/>
        </w:numPr>
        <w:spacing w:line="360" w:lineRule="auto"/>
        <w:ind w:leftChars="200"/>
        <w:jc w:val="left"/>
        <w:rPr>
          <w:rFonts w:ascii="宋体" w:hAnsi="宋体" w:cs="宋体"/>
          <w:color w:val="auto"/>
          <w:szCs w:val="21"/>
        </w:rPr>
      </w:pPr>
      <w:r>
        <w:rPr>
          <w:rFonts w:hint="eastAsia" w:ascii="宋体" w:hAnsi="宋体" w:cs="宋体"/>
          <w:color w:val="auto"/>
          <w:szCs w:val="21"/>
        </w:rPr>
        <w:t>总履行期限：</w:t>
      </w:r>
      <w:r>
        <w:rPr>
          <w:rFonts w:hint="eastAsia" w:ascii="宋体" w:hAnsi="宋体" w:eastAsia="宋体" w:cs="宋体"/>
          <w:color w:val="auto"/>
          <w:spacing w:val="6"/>
          <w:sz w:val="21"/>
          <w:szCs w:val="21"/>
        </w:rPr>
        <w:t>自合同签订之日起12个</w:t>
      </w:r>
      <w:r>
        <w:rPr>
          <w:rFonts w:hint="eastAsia" w:ascii="宋体" w:hAnsi="宋体" w:cs="宋体"/>
          <w:color w:val="auto"/>
          <w:spacing w:val="6"/>
          <w:sz w:val="21"/>
          <w:szCs w:val="21"/>
          <w:lang w:eastAsia="zh-CN"/>
        </w:rPr>
        <w:t>月内</w:t>
      </w:r>
      <w:r>
        <w:rPr>
          <w:rFonts w:hint="eastAsia" w:ascii="宋体" w:hAnsi="宋体" w:eastAsia="宋体" w:cs="宋体"/>
          <w:color w:val="auto"/>
          <w:spacing w:val="6"/>
          <w:sz w:val="21"/>
          <w:szCs w:val="21"/>
        </w:rPr>
        <w:t>完成所有服务工作内容，在履行期间</w:t>
      </w:r>
      <w:r>
        <w:rPr>
          <w:rFonts w:hint="eastAsia" w:ascii="宋体" w:hAnsi="宋体" w:cs="宋体"/>
          <w:color w:val="auto"/>
          <w:spacing w:val="6"/>
          <w:sz w:val="21"/>
          <w:szCs w:val="21"/>
          <w:lang w:eastAsia="zh-CN"/>
        </w:rPr>
        <w:t>如</w:t>
      </w:r>
      <w:r>
        <w:rPr>
          <w:rFonts w:hint="eastAsia" w:ascii="宋体" w:hAnsi="宋体" w:eastAsia="宋体" w:cs="宋体"/>
          <w:color w:val="auto"/>
          <w:spacing w:val="6"/>
          <w:sz w:val="21"/>
          <w:szCs w:val="21"/>
        </w:rPr>
        <w:t>遇国家或广西壮族自治区自然资源领域政策调整（如耕地保护、卫片执法、国土空间监测新规），按最新政策执行，期限可根据政策要求相应顺延（顺延时间不超过30个工作日，需双方书面确认）。</w:t>
      </w:r>
    </w:p>
    <w:p w14:paraId="345505E1">
      <w:pPr>
        <w:widowControl/>
        <w:spacing w:line="360" w:lineRule="auto"/>
        <w:ind w:firstLine="422" w:firstLineChars="200"/>
        <w:rPr>
          <w:rFonts w:ascii="宋体" w:hAnsi="宋体" w:cs="宋体"/>
          <w:b/>
          <w:bCs/>
          <w:color w:val="auto"/>
          <w:szCs w:val="21"/>
        </w:rPr>
      </w:pPr>
      <w:r>
        <w:rPr>
          <w:rFonts w:hint="eastAsia" w:ascii="宋体" w:hAnsi="宋体" w:cs="宋体"/>
          <w:b/>
          <w:bCs/>
          <w:color w:val="auto"/>
          <w:szCs w:val="21"/>
        </w:rPr>
        <w:t>第三条服务成果要求</w:t>
      </w:r>
    </w:p>
    <w:p w14:paraId="75C34169">
      <w:pPr>
        <w:widowControl/>
        <w:numPr>
          <w:ilvl w:val="0"/>
          <w:numId w:val="32"/>
        </w:numPr>
        <w:spacing w:line="360" w:lineRule="auto"/>
        <w:ind w:left="0" w:firstLine="420" w:firstLineChars="200"/>
        <w:jc w:val="left"/>
        <w:rPr>
          <w:rFonts w:ascii="宋体" w:hAnsi="宋体" w:cs="宋体"/>
          <w:color w:val="auto"/>
          <w:szCs w:val="21"/>
        </w:rPr>
      </w:pPr>
      <w:r>
        <w:rPr>
          <w:rFonts w:hint="eastAsia" w:ascii="宋体" w:hAnsi="宋体" w:cs="宋体"/>
          <w:color w:val="auto"/>
          <w:szCs w:val="21"/>
        </w:rPr>
        <w:t>成果形式：根据各子项成果要求，提供包括纸质报告、图纸、电子成果等。</w:t>
      </w:r>
    </w:p>
    <w:p w14:paraId="608F13F7">
      <w:pPr>
        <w:widowControl/>
        <w:numPr>
          <w:ilvl w:val="0"/>
          <w:numId w:val="32"/>
        </w:numPr>
        <w:spacing w:line="360" w:lineRule="auto"/>
        <w:ind w:left="0" w:firstLine="420" w:firstLineChars="200"/>
        <w:jc w:val="left"/>
        <w:rPr>
          <w:rFonts w:ascii="宋体" w:hAnsi="宋体" w:cs="宋体"/>
          <w:color w:val="auto"/>
          <w:szCs w:val="21"/>
        </w:rPr>
      </w:pPr>
      <w:r>
        <w:rPr>
          <w:rFonts w:hint="eastAsia" w:ascii="宋体" w:hAnsi="宋体" w:cs="宋体"/>
          <w:color w:val="auto"/>
          <w:szCs w:val="21"/>
        </w:rPr>
        <w:t>质量标准：（1）</w:t>
      </w:r>
      <w:r>
        <w:rPr>
          <w:rFonts w:hint="eastAsia"/>
          <w:color w:val="auto"/>
        </w:rPr>
        <w:t>需按照</w:t>
      </w:r>
      <w:r>
        <w:rPr>
          <w:rFonts w:hint="eastAsia" w:ascii="宋体" w:hAnsi="宋体"/>
          <w:color w:val="auto"/>
          <w:szCs w:val="21"/>
        </w:rPr>
        <w:t>《测绘成果质量检查与验收》GB/T24356-2009)规定，</w:t>
      </w:r>
      <w:r>
        <w:rPr>
          <w:rFonts w:hint="eastAsia"/>
          <w:color w:val="auto"/>
        </w:rPr>
        <w:t>成果文件需通过“两级检查一级验收”的方式进行质量控制，成果文件文字</w:t>
      </w:r>
      <w:r>
        <w:rPr>
          <w:rFonts w:hint="eastAsia" w:ascii="宋体" w:hAnsi="宋体"/>
          <w:color w:val="auto"/>
          <w:szCs w:val="21"/>
        </w:rPr>
        <w:t>清晰无错别字，关键数据（如面积、坐标、技术参数）误差在有关规范限差范围内；</w:t>
      </w: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成果内容需</w:t>
      </w:r>
      <w:r>
        <w:rPr>
          <w:rFonts w:hint="eastAsia" w:ascii="宋体" w:hAnsi="宋体"/>
          <w:color w:val="auto"/>
          <w:szCs w:val="21"/>
          <w:lang w:val="en-US" w:eastAsia="zh-CN"/>
        </w:rPr>
        <w:t>按照各子项工作的具体要求进行提供，做到无缺项、漏项</w:t>
      </w:r>
      <w:r>
        <w:rPr>
          <w:rFonts w:hint="eastAsia" w:ascii="宋体" w:hAnsi="宋体"/>
          <w:color w:val="auto"/>
          <w:szCs w:val="21"/>
        </w:rPr>
        <w:t>。</w:t>
      </w:r>
    </w:p>
    <w:p w14:paraId="61C5FF02">
      <w:pPr>
        <w:widowControl/>
        <w:numPr>
          <w:ilvl w:val="0"/>
          <w:numId w:val="32"/>
        </w:numPr>
        <w:spacing w:line="360" w:lineRule="auto"/>
        <w:ind w:left="0" w:firstLine="420" w:firstLineChars="200"/>
        <w:jc w:val="left"/>
        <w:rPr>
          <w:rFonts w:ascii="宋体" w:hAnsi="宋体" w:cs="宋体"/>
          <w:color w:val="auto"/>
          <w:szCs w:val="21"/>
        </w:rPr>
      </w:pPr>
      <w:r>
        <w:rPr>
          <w:rFonts w:hint="eastAsia" w:ascii="宋体" w:hAnsi="宋体" w:cs="宋体"/>
          <w:color w:val="auto"/>
          <w:szCs w:val="21"/>
        </w:rPr>
        <w:t>知识产权：服务成果的署名权归乙方所有，版权、使用权及修改权归甲方所有。甲方有权公开展示、传播、应用成果文件，无需另行支付费用。乙方不得擅自将成果用于本合同外其他项目，未经甲方书面同意，不得向第三方转让或许可使用。</w:t>
      </w:r>
    </w:p>
    <w:p w14:paraId="273D0E91">
      <w:pPr>
        <w:widowControl/>
        <w:spacing w:line="360" w:lineRule="auto"/>
        <w:ind w:firstLine="422" w:firstLineChars="200"/>
        <w:rPr>
          <w:rFonts w:ascii="宋体" w:hAnsi="宋体" w:cs="宋体"/>
          <w:b/>
          <w:bCs/>
          <w:color w:val="1F2329"/>
          <w:szCs w:val="21"/>
        </w:rPr>
      </w:pPr>
      <w:r>
        <w:rPr>
          <w:rFonts w:hint="eastAsia" w:ascii="宋体" w:hAnsi="宋体" w:cs="宋体"/>
          <w:b/>
          <w:bCs/>
          <w:color w:val="1F2329"/>
          <w:szCs w:val="21"/>
        </w:rPr>
        <w:t>第四条合同价款及支付方式</w:t>
      </w:r>
    </w:p>
    <w:p w14:paraId="30141E03">
      <w:pPr>
        <w:widowControl/>
        <w:numPr>
          <w:ilvl w:val="0"/>
          <w:numId w:val="33"/>
        </w:numPr>
        <w:spacing w:line="360" w:lineRule="auto"/>
        <w:ind w:left="0" w:firstLine="420" w:firstLineChars="200"/>
        <w:jc w:val="left"/>
        <w:rPr>
          <w:rFonts w:ascii="宋体" w:hAnsi="宋体" w:cs="宋体"/>
          <w:color w:val="auto"/>
          <w:szCs w:val="21"/>
        </w:rPr>
      </w:pPr>
      <w:r>
        <w:rPr>
          <w:rFonts w:hint="eastAsia" w:ascii="宋体" w:hAnsi="宋体" w:cs="宋体"/>
          <w:color w:val="1F2329"/>
          <w:szCs w:val="21"/>
        </w:rPr>
        <w:t>合同总价款：人民币________元（大写：________________________），此价格为固定总价，包含劳务费、技术服务费、交通、通讯、税费、成果编制及后续服务等全部费用，除本合同约定的调整情</w:t>
      </w:r>
      <w:r>
        <w:rPr>
          <w:rFonts w:hint="eastAsia" w:ascii="宋体" w:hAnsi="宋体" w:cs="宋体"/>
          <w:color w:val="auto"/>
          <w:szCs w:val="21"/>
        </w:rPr>
        <w:t>形外，不作调整。</w:t>
      </w:r>
    </w:p>
    <w:p w14:paraId="1E748CC8">
      <w:pPr>
        <w:widowControl/>
        <w:numPr>
          <w:ilvl w:val="0"/>
          <w:numId w:val="33"/>
        </w:numPr>
        <w:spacing w:line="360" w:lineRule="auto"/>
        <w:ind w:left="0" w:firstLine="420" w:firstLineChars="200"/>
        <w:jc w:val="left"/>
        <w:rPr>
          <w:rFonts w:ascii="宋体" w:hAnsi="宋体" w:cs="宋体"/>
          <w:color w:val="auto"/>
          <w:szCs w:val="21"/>
        </w:rPr>
      </w:pPr>
      <w:r>
        <w:rPr>
          <w:rFonts w:hint="eastAsia" w:ascii="宋体" w:hAnsi="宋体" w:cs="宋体"/>
          <w:color w:val="auto"/>
          <w:szCs w:val="21"/>
        </w:rPr>
        <w:t>支付方式：（1）预付款：合同签订后，乙方人员、设备进场并完成基础材料收集，乙方开具等额发票后10个工作日内，甲方支付</w:t>
      </w:r>
      <w:r>
        <w:rPr>
          <w:rFonts w:hint="eastAsia" w:ascii="宋体" w:hAnsi="宋体" w:cs="宋体"/>
          <w:color w:val="auto"/>
          <w:szCs w:val="21"/>
          <w:lang w:val="en-US" w:eastAsia="zh-CN"/>
        </w:rPr>
        <w:t>子项</w:t>
      </w:r>
      <w:r>
        <w:rPr>
          <w:rFonts w:hint="eastAsia" w:ascii="宋体" w:hAnsi="宋体" w:cs="宋体"/>
          <w:color w:val="auto"/>
          <w:szCs w:val="21"/>
        </w:rPr>
        <w:t>合同总价的10%。（2）进度款：乙方提交每个子项目的成果文件并经甲方确认后，乙方开具等额发票，甲方在10个工作日内支付该子项目金额的80%。（3）尾款：全部成果文件通过最终验收（以《最终验收报告》为准），乙方开具全额发票后10个工作日内，甲方支付至</w:t>
      </w:r>
      <w:r>
        <w:rPr>
          <w:rFonts w:hint="eastAsia" w:ascii="宋体" w:hAnsi="宋体" w:cs="宋体"/>
          <w:color w:val="auto"/>
          <w:szCs w:val="21"/>
          <w:lang w:val="en-US" w:eastAsia="zh-CN"/>
        </w:rPr>
        <w:t>子项</w:t>
      </w:r>
      <w:r>
        <w:rPr>
          <w:rFonts w:hint="eastAsia" w:ascii="宋体" w:hAnsi="宋体" w:cs="宋体"/>
          <w:color w:val="auto"/>
          <w:szCs w:val="21"/>
        </w:rPr>
        <w:t>合同总价款的100%。</w:t>
      </w:r>
    </w:p>
    <w:p w14:paraId="117B3214">
      <w:pPr>
        <w:widowControl/>
        <w:spacing w:line="360" w:lineRule="auto"/>
        <w:ind w:firstLine="422" w:firstLineChars="200"/>
        <w:rPr>
          <w:rFonts w:ascii="宋体" w:hAnsi="宋体" w:cs="宋体"/>
          <w:b/>
          <w:bCs/>
          <w:color w:val="1F2329"/>
          <w:szCs w:val="21"/>
        </w:rPr>
      </w:pPr>
      <w:r>
        <w:rPr>
          <w:rFonts w:hint="eastAsia" w:ascii="宋体" w:hAnsi="宋体" w:cs="宋体"/>
          <w:b/>
          <w:bCs/>
          <w:color w:val="1F2329"/>
          <w:szCs w:val="21"/>
        </w:rPr>
        <w:t>第五条双方责任</w:t>
      </w:r>
    </w:p>
    <w:p w14:paraId="720A1285">
      <w:pPr>
        <w:widowControl/>
        <w:spacing w:line="360" w:lineRule="auto"/>
        <w:ind w:firstLine="420" w:firstLineChars="200"/>
        <w:rPr>
          <w:rFonts w:ascii="宋体" w:hAnsi="宋体" w:cs="宋体"/>
          <w:color w:val="1F2329"/>
          <w:szCs w:val="21"/>
        </w:rPr>
      </w:pPr>
      <w:r>
        <w:rPr>
          <w:rFonts w:hint="eastAsia" w:ascii="宋体" w:hAnsi="宋体" w:cs="宋体"/>
          <w:color w:val="1F2329"/>
          <w:szCs w:val="21"/>
        </w:rPr>
        <w:t>（一）甲方责任</w:t>
      </w:r>
    </w:p>
    <w:p w14:paraId="53B7BDC0">
      <w:pPr>
        <w:widowControl/>
        <w:numPr>
          <w:ilvl w:val="0"/>
          <w:numId w:val="34"/>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按</w:t>
      </w:r>
      <w:r>
        <w:rPr>
          <w:rFonts w:hint="eastAsia" w:ascii="宋体" w:hAnsi="宋体" w:cs="宋体"/>
          <w:color w:val="1F2329"/>
          <w:szCs w:val="21"/>
          <w:lang w:val="en-US" w:eastAsia="zh-CN"/>
        </w:rPr>
        <w:t>子项</w:t>
      </w:r>
      <w:r>
        <w:rPr>
          <w:rFonts w:hint="eastAsia" w:ascii="宋体" w:hAnsi="宋体" w:cs="宋体"/>
          <w:color w:val="1F2329"/>
          <w:szCs w:val="21"/>
        </w:rPr>
        <w:t>合同约定向乙方提供开展服务所需的基础资料，对资料的完整性、正确性负责，并及时补充相关资料。</w:t>
      </w:r>
    </w:p>
    <w:p w14:paraId="536C1280">
      <w:pPr>
        <w:widowControl/>
        <w:numPr>
          <w:ilvl w:val="0"/>
          <w:numId w:val="34"/>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按</w:t>
      </w:r>
      <w:r>
        <w:rPr>
          <w:rFonts w:hint="eastAsia" w:ascii="宋体" w:hAnsi="宋体" w:cs="宋体"/>
          <w:color w:val="1F2329"/>
          <w:szCs w:val="21"/>
          <w:lang w:val="en-US" w:eastAsia="zh-CN"/>
        </w:rPr>
        <w:t>子项</w:t>
      </w:r>
      <w:r>
        <w:rPr>
          <w:rFonts w:hint="eastAsia" w:ascii="宋体" w:hAnsi="宋体" w:cs="宋体"/>
          <w:color w:val="1F2329"/>
          <w:szCs w:val="21"/>
        </w:rPr>
        <w:t>合同约定支付合同价款。</w:t>
      </w:r>
    </w:p>
    <w:p w14:paraId="5CD05EDF">
      <w:pPr>
        <w:widowControl/>
        <w:numPr>
          <w:ilvl w:val="0"/>
          <w:numId w:val="34"/>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及时对乙方提交的阶段性成果进行审核反馈，反馈意见需在收到成果后7个工作日内出具。</w:t>
      </w:r>
    </w:p>
    <w:p w14:paraId="2D0B8F33">
      <w:pPr>
        <w:widowControl/>
        <w:numPr>
          <w:ilvl w:val="0"/>
          <w:numId w:val="34"/>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组织成果验收，协调相关部门配合乙方开展外业工作。</w:t>
      </w:r>
    </w:p>
    <w:p w14:paraId="61D71AE8">
      <w:pPr>
        <w:widowControl/>
        <w:numPr>
          <w:ilvl w:val="0"/>
          <w:numId w:val="34"/>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为乙方派驻现场的工作人员提供必要的工作便利条件。</w:t>
      </w:r>
    </w:p>
    <w:p w14:paraId="5A915428">
      <w:pPr>
        <w:widowControl/>
        <w:spacing w:line="360" w:lineRule="auto"/>
        <w:ind w:firstLine="420" w:firstLineChars="200"/>
        <w:rPr>
          <w:rFonts w:ascii="宋体" w:hAnsi="宋体" w:cs="宋体"/>
          <w:color w:val="1F2329"/>
          <w:szCs w:val="21"/>
        </w:rPr>
      </w:pPr>
      <w:r>
        <w:rPr>
          <w:rFonts w:hint="eastAsia" w:ascii="宋体" w:hAnsi="宋体" w:cs="宋体"/>
          <w:color w:val="1F2329"/>
          <w:szCs w:val="21"/>
        </w:rPr>
        <w:t>（二）乙方责任</w:t>
      </w:r>
    </w:p>
    <w:p w14:paraId="215F35BF">
      <w:pPr>
        <w:widowControl/>
        <w:numPr>
          <w:ilvl w:val="0"/>
          <w:numId w:val="35"/>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严格按照合同约定的服务内容、期限及质量标准提供服务，确保成果符合要求。</w:t>
      </w:r>
    </w:p>
    <w:p w14:paraId="558F2639">
      <w:pPr>
        <w:widowControl/>
        <w:numPr>
          <w:ilvl w:val="0"/>
          <w:numId w:val="35"/>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投入充足的专业技术人员（不少于6人）及设备（不少于4套，含无人机、GPS接收机、全站仪、质检软件等），并明确项目负责人及核心技术人员，未经甲方书面同意不得更换。</w:t>
      </w:r>
    </w:p>
    <w:p w14:paraId="5C3650E5">
      <w:pPr>
        <w:widowControl/>
        <w:numPr>
          <w:ilvl w:val="0"/>
          <w:numId w:val="35"/>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建立数据保密制度，对甲方提供的原始数据、业务信息及服务过程中获取的涉密信息承担保密责任，保密期限为永久（涉及国家秘密的按相关规定执行）。</w:t>
      </w:r>
    </w:p>
    <w:p w14:paraId="65E57468">
      <w:pPr>
        <w:widowControl/>
        <w:numPr>
          <w:ilvl w:val="0"/>
          <w:numId w:val="35"/>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按时提交成果文件，逾期提交的按本合同第六条约定承担违约责任。</w:t>
      </w:r>
    </w:p>
    <w:p w14:paraId="67885A74">
      <w:pPr>
        <w:widowControl/>
        <w:numPr>
          <w:ilvl w:val="0"/>
          <w:numId w:val="35"/>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配合甲方完成阶段性验收及最终验收。</w:t>
      </w:r>
    </w:p>
    <w:p w14:paraId="1B0594F4">
      <w:pPr>
        <w:widowControl/>
        <w:numPr>
          <w:ilvl w:val="0"/>
          <w:numId w:val="35"/>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承担服务过程中因自身原因造成的人身、财产损失及第三方索赔责任。</w:t>
      </w:r>
    </w:p>
    <w:p w14:paraId="359042A4">
      <w:pPr>
        <w:widowControl/>
        <w:spacing w:line="360" w:lineRule="auto"/>
        <w:ind w:firstLine="422" w:firstLineChars="200"/>
        <w:rPr>
          <w:rFonts w:ascii="宋体" w:hAnsi="宋体" w:cs="宋体"/>
          <w:b/>
          <w:bCs/>
          <w:color w:val="1F2329"/>
          <w:szCs w:val="21"/>
        </w:rPr>
      </w:pPr>
      <w:r>
        <w:rPr>
          <w:rFonts w:hint="eastAsia" w:ascii="宋体" w:hAnsi="宋体" w:cs="宋体"/>
          <w:b/>
          <w:bCs/>
          <w:color w:val="1F2329"/>
          <w:szCs w:val="21"/>
        </w:rPr>
        <w:t>第六条违约责任</w:t>
      </w:r>
    </w:p>
    <w:p w14:paraId="645CC95A">
      <w:pPr>
        <w:widowControl/>
        <w:numPr>
          <w:ilvl w:val="0"/>
          <w:numId w:val="36"/>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乙方逾期提交成果文件的：（1）逾期≤15天：每逾期1天，按子项合同总价的0.2%支付违约金；（2）逾期＞15天且≤30天：按子项合同总价的10%支付违约金，同时需加速交付；（3）逾期＞30天：甲方有权终止合同，乙方需退还甲方已支付的全部款项，并赔偿子项合同总价20%的违约金。</w:t>
      </w:r>
    </w:p>
    <w:p w14:paraId="23106841">
      <w:pPr>
        <w:widowControl/>
        <w:numPr>
          <w:ilvl w:val="0"/>
          <w:numId w:val="36"/>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乙方提交的成果不符合质量标准的，甲方有权要求乙方限期整改，整改费用由乙方承担；整改后仍不符合要求或无法整改的，甲方有权解除合同，乙方需退还已支付款项，并赔偿子项合同总价15%的违约金。</w:t>
      </w:r>
    </w:p>
    <w:p w14:paraId="7284FD72">
      <w:pPr>
        <w:widowControl/>
        <w:numPr>
          <w:ilvl w:val="0"/>
          <w:numId w:val="36"/>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乙方违反保密义务的，需支付子项合同总价10%的违约金，造成甲方损失的，按实际损失金额赔偿（包括直接损失和间接损失），甲方有权解除合同。</w:t>
      </w:r>
    </w:p>
    <w:p w14:paraId="1086781E">
      <w:pPr>
        <w:widowControl/>
        <w:numPr>
          <w:ilvl w:val="0"/>
          <w:numId w:val="36"/>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乙方未经甲方书面同意擅自更换项目核心人员或转包、分包服务的，甲方有权要求乙方限期整改，并处</w:t>
      </w:r>
      <w:r>
        <w:rPr>
          <w:rFonts w:hint="eastAsia" w:ascii="宋体" w:hAnsi="宋体" w:cs="宋体"/>
          <w:color w:val="1F2329"/>
          <w:szCs w:val="21"/>
          <w:lang w:eastAsia="zh-CN"/>
        </w:rPr>
        <w:t>子项合</w:t>
      </w:r>
      <w:r>
        <w:rPr>
          <w:rFonts w:hint="eastAsia" w:ascii="宋体" w:hAnsi="宋体" w:cs="宋体"/>
          <w:color w:val="1F2329"/>
          <w:szCs w:val="21"/>
        </w:rPr>
        <w:t>同总价5%的违约金；逾期未整改的，甲方有权解除合同。</w:t>
      </w:r>
    </w:p>
    <w:p w14:paraId="133BB536">
      <w:pPr>
        <w:widowControl/>
        <w:numPr>
          <w:ilvl w:val="0"/>
          <w:numId w:val="36"/>
        </w:numPr>
        <w:spacing w:line="360" w:lineRule="auto"/>
        <w:ind w:left="0" w:firstLine="420" w:firstLineChars="200"/>
        <w:jc w:val="left"/>
        <w:rPr>
          <w:rFonts w:hint="eastAsia" w:ascii="宋体" w:hAnsi="宋体" w:cs="宋体"/>
          <w:color w:val="1F2329"/>
          <w:szCs w:val="21"/>
        </w:rPr>
      </w:pPr>
      <w:r>
        <w:rPr>
          <w:rFonts w:hint="eastAsia" w:ascii="宋体" w:hAnsi="宋体" w:cs="宋体"/>
          <w:color w:val="1F2329"/>
          <w:szCs w:val="21"/>
        </w:rPr>
        <w:t>乙方擅自修改服务方案或成果文件的，需在甲方要求的5个工作日内恢复原方案，支付子项合同总价5%的违约金；若修改导致成果不符合要求的，甲方有权解除子项合同并追究损失。</w:t>
      </w:r>
    </w:p>
    <w:p w14:paraId="5EFE69C6">
      <w:pPr>
        <w:widowControl/>
        <w:numPr>
          <w:ilvl w:val="0"/>
          <w:numId w:val="36"/>
        </w:numPr>
        <w:spacing w:line="360" w:lineRule="auto"/>
        <w:ind w:left="0" w:firstLine="420" w:firstLineChars="200"/>
        <w:jc w:val="left"/>
        <w:rPr>
          <w:rFonts w:hint="eastAsia" w:ascii="宋体" w:hAnsi="宋体" w:cs="宋体"/>
          <w:color w:val="1F2329"/>
          <w:szCs w:val="21"/>
          <w:highlight w:val="none"/>
        </w:rPr>
      </w:pPr>
      <w:r>
        <w:rPr>
          <w:rFonts w:hint="eastAsia" w:ascii="宋体" w:hAnsi="宋体" w:cs="宋体"/>
          <w:color w:val="1F2329"/>
          <w:szCs w:val="21"/>
          <w:highlight w:val="none"/>
        </w:rPr>
        <w:t>异常低价中标项目的履约要求：若中标人投标报价触发过异常低价审查程序（无论是否通过审查），采购人将对其履约过程进行专项监管：①实行“分期验收+分期支付”：按服务子项（如耕地保护卫片监测、违法图斑勘测等）分阶段验收，每阶段验收合格后支付对应子项80%进度款，全部成果验收合格后支付尾款；②履约过程中若发现服务质量不达标（如外业核查遗漏、数据误差超规范、报告不符合政策要求），采购人有权暂停付款，要求限期整改，整改费用由中标人承担；若整改后仍不达标，采购人可解除合同，并要求中标人支付子项合同价20%的违约金，同时赔偿直接损失（如重新采购的费用）；③中标人无正当理由拒不履约或履约进度严重滞后（逾期超30天）的，采购人将其列入政府采购不良行为记录名单，并按《政府采购法》追究法律责任。</w:t>
      </w:r>
    </w:p>
    <w:p w14:paraId="7EC67142">
      <w:pPr>
        <w:widowControl/>
        <w:spacing w:line="360" w:lineRule="auto"/>
        <w:ind w:firstLine="422" w:firstLineChars="200"/>
        <w:rPr>
          <w:rFonts w:ascii="宋体" w:hAnsi="宋体" w:cs="宋体"/>
          <w:b/>
          <w:bCs/>
          <w:color w:val="1F2329"/>
          <w:szCs w:val="21"/>
        </w:rPr>
      </w:pPr>
      <w:r>
        <w:rPr>
          <w:rFonts w:hint="eastAsia" w:ascii="宋体" w:hAnsi="宋体" w:cs="宋体"/>
          <w:b/>
          <w:bCs/>
          <w:color w:val="1F2329"/>
          <w:szCs w:val="21"/>
        </w:rPr>
        <w:t>第七条后续服务</w:t>
      </w:r>
    </w:p>
    <w:p w14:paraId="2B1919FB">
      <w:pPr>
        <w:widowControl/>
        <w:numPr>
          <w:ilvl w:val="0"/>
          <w:numId w:val="37"/>
        </w:numPr>
        <w:spacing w:line="360" w:lineRule="auto"/>
        <w:ind w:left="0" w:firstLine="420" w:firstLineChars="200"/>
        <w:jc w:val="left"/>
        <w:rPr>
          <w:rFonts w:ascii="宋体" w:hAnsi="宋体" w:cs="宋体"/>
          <w:color w:val="auto"/>
          <w:szCs w:val="21"/>
          <w:highlight w:val="none"/>
        </w:rPr>
      </w:pPr>
      <w:r>
        <w:rPr>
          <w:rFonts w:hint="eastAsia" w:ascii="宋体" w:hAnsi="宋体" w:cs="宋体"/>
          <w:color w:val="1F2329"/>
          <w:szCs w:val="21"/>
        </w:rPr>
        <w:t>乙方在全部成果最终验收通过后，</w:t>
      </w:r>
      <w:r>
        <w:rPr>
          <w:rFonts w:hint="eastAsia" w:ascii="宋体" w:hAnsi="宋体" w:cs="宋体"/>
          <w:color w:val="auto"/>
          <w:szCs w:val="21"/>
          <w:highlight w:val="none"/>
        </w:rPr>
        <w:t>提供12个月的技术咨询服务，服务范围包括：成果数据解读、系统操作指导、非实质性成果修改（累计修改次数≤5次，单次修改内容不超过原成果的10%）、每年免费更新1次基础数据。</w:t>
      </w:r>
    </w:p>
    <w:p w14:paraId="15CEA624">
      <w:pPr>
        <w:widowControl/>
        <w:numPr>
          <w:ilvl w:val="0"/>
          <w:numId w:val="37"/>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乙方建立服务响应机制：接到甲方需求通知后，1小时内通过电话/邮件提供初步解决方案；一般问题24小时内完成或提供替代方案；崇左市内重大问题</w:t>
      </w:r>
      <w:r>
        <w:rPr>
          <w:rFonts w:hint="eastAsia" w:ascii="宋体" w:hAnsi="宋体" w:cs="宋体"/>
          <w:color w:val="1F2329"/>
          <w:szCs w:val="21"/>
          <w:lang w:val="en-US" w:eastAsia="zh-CN"/>
        </w:rPr>
        <w:t>1</w:t>
      </w:r>
      <w:r>
        <w:rPr>
          <w:rFonts w:hint="eastAsia" w:ascii="宋体" w:hAnsi="宋体" w:cs="宋体"/>
          <w:color w:val="1F2329"/>
          <w:szCs w:val="21"/>
        </w:rPr>
        <w:t>小时内到场处理。逾期未解决的，按每日子项合同总价0.1%支付违约金，累计违约金不超过</w:t>
      </w:r>
      <w:r>
        <w:rPr>
          <w:rFonts w:hint="eastAsia" w:ascii="宋体" w:hAnsi="宋体" w:cs="宋体"/>
          <w:color w:val="1F2329"/>
          <w:szCs w:val="21"/>
          <w:lang w:eastAsia="zh-CN"/>
        </w:rPr>
        <w:t>子项合</w:t>
      </w:r>
      <w:r>
        <w:rPr>
          <w:rFonts w:hint="eastAsia" w:ascii="宋体" w:hAnsi="宋体" w:cs="宋体"/>
          <w:color w:val="1F2329"/>
          <w:szCs w:val="21"/>
        </w:rPr>
        <w:t>同总价的5%。</w:t>
      </w:r>
    </w:p>
    <w:p w14:paraId="1C39F43E">
      <w:pPr>
        <w:widowControl/>
        <w:spacing w:line="360" w:lineRule="auto"/>
        <w:ind w:firstLine="422" w:firstLineChars="200"/>
        <w:rPr>
          <w:rFonts w:hint="eastAsia" w:ascii="宋体" w:hAnsi="宋体" w:eastAsia="宋体" w:cs="宋体"/>
          <w:b/>
          <w:bCs/>
          <w:color w:val="1F2329"/>
          <w:szCs w:val="21"/>
          <w:highlight w:val="none"/>
          <w:lang w:val="en-US" w:eastAsia="zh-CN"/>
        </w:rPr>
      </w:pPr>
      <w:r>
        <w:rPr>
          <w:rFonts w:hint="eastAsia" w:ascii="宋体" w:hAnsi="宋体" w:cs="宋体"/>
          <w:b/>
          <w:bCs/>
          <w:color w:val="1F2329"/>
          <w:szCs w:val="21"/>
          <w:highlight w:val="none"/>
        </w:rPr>
        <w:t>第八条验收</w:t>
      </w:r>
      <w:r>
        <w:rPr>
          <w:rFonts w:hint="eastAsia" w:ascii="宋体" w:hAnsi="宋体" w:cs="宋体"/>
          <w:b/>
          <w:bCs/>
          <w:color w:val="1F2329"/>
          <w:szCs w:val="21"/>
          <w:highlight w:val="none"/>
          <w:lang w:val="en-US" w:eastAsia="zh-CN"/>
        </w:rPr>
        <w:t>要求</w:t>
      </w:r>
    </w:p>
    <w:p w14:paraId="5BA4A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（1）验收标准</w:t>
      </w:r>
    </w:p>
    <w:p w14:paraId="3133A864">
      <w:pPr>
        <w:keepNext w:val="0"/>
        <w:keepLines w:val="0"/>
        <w:pageBreakBefore w:val="0"/>
        <w:widowControl/>
        <w:numPr>
          <w:ilvl w:val="0"/>
          <w:numId w:val="3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成果质量要求：需通过“两级检查一级验收”，符合《测绘成果质量检查与验收》GB/T24356-2009，关键数据误差在规范限差内，无错别字。</w:t>
      </w:r>
    </w:p>
    <w:p w14:paraId="2CBEF98D">
      <w:pPr>
        <w:keepNext w:val="0"/>
        <w:keepLines w:val="0"/>
        <w:pageBreakBefore w:val="0"/>
        <w:widowControl/>
        <w:numPr>
          <w:ilvl w:val="0"/>
          <w:numId w:val="3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合规性要求：服务行为和成果需符合国家、广西相关政策、技术规范及招标文件要求。</w:t>
      </w:r>
    </w:p>
    <w:p w14:paraId="70CCED00">
      <w:pPr>
        <w:keepNext w:val="0"/>
        <w:keepLines w:val="0"/>
        <w:pageBreakBefore w:val="0"/>
        <w:widowControl/>
        <w:numPr>
          <w:ilvl w:val="0"/>
          <w:numId w:val="3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完整性要求：成果无缺项漏项，需涵盖各子项规定的报告、图纸、数据库等全部内容。</w:t>
      </w:r>
    </w:p>
    <w:p w14:paraId="102A8B05">
      <w:pPr>
        <w:keepNext w:val="0"/>
        <w:keepLines w:val="0"/>
        <w:pageBreakBefore w:val="0"/>
        <w:widowControl/>
        <w:numPr>
          <w:ilvl w:val="0"/>
          <w:numId w:val="3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知识产权要求：成果署名权归中标人，版权、使用权等归采购人，无侵权风险。</w:t>
      </w:r>
    </w:p>
    <w:p w14:paraId="03143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（2）验收流程</w:t>
      </w:r>
    </w:p>
    <w:p w14:paraId="39CC0F9A">
      <w:pPr>
        <w:keepNext w:val="0"/>
        <w:keepLines w:val="0"/>
        <w:pageBreakBefore w:val="0"/>
        <w:widowControl/>
        <w:numPr>
          <w:ilvl w:val="0"/>
          <w:numId w:val="3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成果提交：中标人按合同约定提交纸质、电子等形式的成果文件。</w:t>
      </w:r>
    </w:p>
    <w:p w14:paraId="6E514126">
      <w:pPr>
        <w:keepNext w:val="0"/>
        <w:keepLines w:val="0"/>
        <w:pageBreakBefore w:val="0"/>
        <w:widowControl/>
        <w:numPr>
          <w:ilvl w:val="0"/>
          <w:numId w:val="3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阶段性验收：采购人收到阶段成果后7个工作日内反馈审核意见，10个工作日内组织验收，合格出具《阶段性验收报告》，不合格书面通知整改。</w:t>
      </w:r>
    </w:p>
    <w:p w14:paraId="045BADE7">
      <w:pPr>
        <w:keepNext w:val="0"/>
        <w:keepLines w:val="0"/>
        <w:pageBreakBefore w:val="0"/>
        <w:widowControl/>
        <w:numPr>
          <w:ilvl w:val="0"/>
          <w:numId w:val="3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最终验收：收到全套最终成果后</w:t>
      </w:r>
      <w:r>
        <w:rPr>
          <w:rFonts w:hint="eastAsia" w:cs="Times New Roman"/>
          <w:color w:val="auto"/>
          <w:kern w:val="2"/>
          <w:sz w:val="21"/>
          <w:szCs w:val="24"/>
          <w:highlight w:val="none"/>
          <w:lang w:val="en-US" w:eastAsia="zh-CN" w:bidi="ar-SA"/>
        </w:rPr>
        <w:t>15</w:t>
      </w:r>
      <w:r>
        <w:rPr>
          <w:rFonts w:hint="eastAsia" w:ascii="Times New Roman" w:hAnsi="Times New Roman" w:eastAsia="宋体" w:cs="Times New Roman"/>
          <w:color w:val="auto"/>
          <w:kern w:val="2"/>
          <w:sz w:val="21"/>
          <w:szCs w:val="24"/>
          <w:highlight w:val="none"/>
          <w:lang w:val="en-US" w:eastAsia="zh-CN" w:bidi="ar-SA"/>
        </w:rPr>
        <w:t>个工作日内组织专家评审，合格出具《最终验收报告》；不合格需在</w:t>
      </w:r>
      <w:r>
        <w:rPr>
          <w:rFonts w:hint="eastAsia" w:cs="Times New Roman"/>
          <w:color w:val="auto"/>
          <w:kern w:val="2"/>
          <w:sz w:val="21"/>
          <w:szCs w:val="24"/>
          <w:highlight w:val="none"/>
          <w:lang w:val="en-US" w:eastAsia="zh-CN" w:bidi="ar-SA"/>
        </w:rPr>
        <w:t>15</w:t>
      </w:r>
      <w:r>
        <w:rPr>
          <w:rFonts w:hint="eastAsia" w:ascii="Times New Roman" w:hAnsi="Times New Roman" w:eastAsia="宋体" w:cs="Times New Roman"/>
          <w:color w:val="auto"/>
          <w:kern w:val="2"/>
          <w:sz w:val="21"/>
          <w:szCs w:val="24"/>
          <w:highlight w:val="none"/>
          <w:lang w:val="en-US" w:eastAsia="zh-CN" w:bidi="ar-SA"/>
        </w:rPr>
        <w:t>个工作日内整改并重新申请验收。</w:t>
      </w:r>
    </w:p>
    <w:p w14:paraId="076E70D4">
      <w:pPr>
        <w:keepNext w:val="0"/>
        <w:keepLines w:val="0"/>
        <w:pageBreakBefore w:val="0"/>
        <w:widowControl/>
        <w:numPr>
          <w:ilvl w:val="0"/>
          <w:numId w:val="3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整改要求：阶段性验收整改期限≤</w:t>
      </w:r>
      <w:r>
        <w:rPr>
          <w:rFonts w:hint="eastAsia" w:cs="Times New Roman"/>
          <w:color w:val="auto"/>
          <w:kern w:val="2"/>
          <w:sz w:val="21"/>
          <w:szCs w:val="24"/>
          <w:highlight w:val="none"/>
          <w:lang w:val="en-US" w:eastAsia="zh-CN" w:bidi="ar-SA"/>
        </w:rPr>
        <w:t>10</w:t>
      </w:r>
      <w:r>
        <w:rPr>
          <w:rFonts w:hint="eastAsia" w:ascii="Times New Roman" w:hAnsi="Times New Roman" w:eastAsia="宋体" w:cs="Times New Roman"/>
          <w:color w:val="auto"/>
          <w:kern w:val="2"/>
          <w:sz w:val="21"/>
          <w:szCs w:val="24"/>
          <w:highlight w:val="none"/>
          <w:lang w:val="en-US" w:eastAsia="zh-CN" w:bidi="ar-SA"/>
        </w:rPr>
        <w:t>个工作日，最终验收整改期限≤15个工作日，逾期按逾期提交成果处理。</w:t>
      </w:r>
    </w:p>
    <w:p w14:paraId="5BC06858">
      <w:pPr>
        <w:pStyle w:val="2"/>
        <w:jc w:val="center"/>
        <w:rPr>
          <w:rFonts w:hint="eastAsia"/>
          <w:highlight w:val="none"/>
          <w:lang w:val="en-US" w:eastAsia="zh-CN"/>
        </w:rPr>
      </w:pPr>
      <w:r>
        <w:rPr>
          <w:rFonts w:ascii="宋体" w:hAnsi="宋体" w:eastAsia="宋体" w:cs="宋体"/>
          <w:sz w:val="24"/>
          <w:szCs w:val="24"/>
          <w:highlight w:val="none"/>
        </w:rPr>
        <w:t>验收标准与流程对照表</w:t>
      </w:r>
      <w:r>
        <w:rPr>
          <w:rFonts w:hint="eastAsia" w:ascii="宋体" w:hAnsi="宋体" w:eastAsia="宋体" w:cs="宋体"/>
          <w:sz w:val="24"/>
          <w:szCs w:val="24"/>
          <w:highlight w:val="none"/>
          <w:lang w:eastAsia="zh-CN"/>
        </w:rPr>
        <w:t>：</w:t>
      </w:r>
    </w:p>
    <w:tbl>
      <w:tblPr>
        <w:tblStyle w:val="46"/>
        <w:tblW w:w="4854"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10"/>
        <w:gridCol w:w="4764"/>
        <w:gridCol w:w="2248"/>
        <w:gridCol w:w="6"/>
        <w:gridCol w:w="913"/>
        <w:gridCol w:w="6"/>
      </w:tblGrid>
      <w:tr w14:paraId="35FD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54" w:type="pct"/>
            <w:shd w:val="clear" w:color="auto" w:fill="auto"/>
            <w:vAlign w:val="center"/>
          </w:tcPr>
          <w:p w14:paraId="3ECC3B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验收环节</w:t>
            </w:r>
          </w:p>
        </w:tc>
        <w:tc>
          <w:tcPr>
            <w:tcW w:w="2547" w:type="pct"/>
            <w:shd w:val="clear" w:color="auto" w:fill="auto"/>
            <w:vAlign w:val="center"/>
          </w:tcPr>
          <w:p w14:paraId="4A7B05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具体要求</w:t>
            </w:r>
          </w:p>
        </w:tc>
        <w:tc>
          <w:tcPr>
            <w:tcW w:w="1205" w:type="pct"/>
            <w:gridSpan w:val="2"/>
            <w:shd w:val="clear" w:color="auto" w:fill="auto"/>
            <w:vAlign w:val="center"/>
          </w:tcPr>
          <w:p w14:paraId="0DBCEB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时间节点</w:t>
            </w:r>
          </w:p>
        </w:tc>
        <w:tc>
          <w:tcPr>
            <w:tcW w:w="491" w:type="pct"/>
            <w:gridSpan w:val="2"/>
            <w:shd w:val="clear" w:color="auto" w:fill="auto"/>
            <w:vAlign w:val="center"/>
          </w:tcPr>
          <w:p w14:paraId="1D15EF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42BE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55" w:hRule="atLeast"/>
        </w:trPr>
        <w:tc>
          <w:tcPr>
            <w:tcW w:w="754" w:type="pct"/>
            <w:shd w:val="clear" w:color="auto" w:fill="auto"/>
            <w:vAlign w:val="center"/>
          </w:tcPr>
          <w:p w14:paraId="5950CA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成果提交要求</w:t>
            </w:r>
          </w:p>
        </w:tc>
        <w:tc>
          <w:tcPr>
            <w:tcW w:w="2547" w:type="pct"/>
            <w:shd w:val="clear" w:color="auto" w:fill="auto"/>
            <w:vAlign w:val="center"/>
          </w:tcPr>
          <w:p w14:paraId="155344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1.成果形式：含纸质报告、图纸、电子成果（如数据库、SHP格式文件等），按各子项要求完整提供；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2.成果完整性：无缺项、漏项，覆盖41项服务对应的全部报告、图件、数据等；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3.质量合规性：通过“两级检查一级验收”，符合《测绘成果质量检查与验收》GB/T24356-2009，关键数据误差在规范限差内，无错别字；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4.知识产权：署名权归中标人，版权、使用权等归采购人，无侵权风险；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5.保密要求：涉密成果加密并标注“涉密”，无信息泄露。</w:t>
            </w:r>
          </w:p>
        </w:tc>
        <w:tc>
          <w:tcPr>
            <w:tcW w:w="1202" w:type="pct"/>
            <w:shd w:val="clear" w:color="auto" w:fill="auto"/>
            <w:vAlign w:val="center"/>
          </w:tcPr>
          <w:p w14:paraId="7916F6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合同履行期内（自签订之日起12个月，政策调整可顺延超过30个工作日）</w:t>
            </w:r>
          </w:p>
        </w:tc>
        <w:tc>
          <w:tcPr>
            <w:tcW w:w="491" w:type="pct"/>
            <w:gridSpan w:val="2"/>
            <w:shd w:val="clear" w:color="auto" w:fill="auto"/>
            <w:vAlign w:val="center"/>
          </w:tcPr>
          <w:p w14:paraId="1AC784A7">
            <w:pPr>
              <w:rPr>
                <w:rFonts w:hint="eastAsia" w:ascii="宋体" w:hAnsi="宋体" w:eastAsia="宋体" w:cs="宋体"/>
                <w:i w:val="0"/>
                <w:iCs w:val="0"/>
                <w:color w:val="000000"/>
                <w:sz w:val="22"/>
                <w:szCs w:val="22"/>
                <w:highlight w:val="none"/>
                <w:u w:val="none"/>
              </w:rPr>
            </w:pPr>
          </w:p>
        </w:tc>
      </w:tr>
      <w:tr w14:paraId="6783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080" w:hRule="atLeast"/>
        </w:trPr>
        <w:tc>
          <w:tcPr>
            <w:tcW w:w="754" w:type="pct"/>
            <w:shd w:val="clear" w:color="auto" w:fill="auto"/>
            <w:vAlign w:val="center"/>
          </w:tcPr>
          <w:p w14:paraId="26DED6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阶段性验收</w:t>
            </w:r>
          </w:p>
        </w:tc>
        <w:tc>
          <w:tcPr>
            <w:tcW w:w="2547" w:type="pct"/>
            <w:shd w:val="clear" w:color="auto" w:fill="auto"/>
            <w:vAlign w:val="center"/>
          </w:tcPr>
          <w:p w14:paraId="6C60CB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1.中标人提交阶段成果后，采购人组织验收；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2.验收合格：出具《阶段性验收报告》；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3.验收不合格：书面通知中标人整改，整改内容需针对性回应验收意见。</w:t>
            </w:r>
          </w:p>
        </w:tc>
        <w:tc>
          <w:tcPr>
            <w:tcW w:w="1202" w:type="pct"/>
            <w:shd w:val="clear" w:color="auto" w:fill="auto"/>
            <w:vAlign w:val="center"/>
          </w:tcPr>
          <w:p w14:paraId="68F54D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1.采购人收到阶段成果后7个工作日内出具审核反馈；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2.收到成果后10个工作日内组织验收；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3.整改时限≤7个工作日。</w:t>
            </w:r>
          </w:p>
        </w:tc>
        <w:tc>
          <w:tcPr>
            <w:tcW w:w="491" w:type="pct"/>
            <w:gridSpan w:val="2"/>
            <w:shd w:val="clear" w:color="auto" w:fill="auto"/>
            <w:vAlign w:val="center"/>
          </w:tcPr>
          <w:p w14:paraId="2E902D7D">
            <w:pPr>
              <w:rPr>
                <w:rFonts w:hint="eastAsia" w:ascii="宋体" w:hAnsi="宋体" w:eastAsia="宋体" w:cs="宋体"/>
                <w:i w:val="0"/>
                <w:iCs w:val="0"/>
                <w:color w:val="000000"/>
                <w:sz w:val="22"/>
                <w:szCs w:val="22"/>
                <w:highlight w:val="none"/>
                <w:u w:val="none"/>
              </w:rPr>
            </w:pPr>
          </w:p>
        </w:tc>
      </w:tr>
      <w:tr w14:paraId="0EFC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350" w:hRule="atLeast"/>
        </w:trPr>
        <w:tc>
          <w:tcPr>
            <w:tcW w:w="754" w:type="pct"/>
            <w:shd w:val="clear" w:color="auto" w:fill="auto"/>
            <w:vAlign w:val="center"/>
          </w:tcPr>
          <w:p w14:paraId="562E3D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最终验收</w:t>
            </w:r>
          </w:p>
        </w:tc>
        <w:tc>
          <w:tcPr>
            <w:tcW w:w="2547" w:type="pct"/>
            <w:shd w:val="clear" w:color="auto" w:fill="auto"/>
            <w:vAlign w:val="center"/>
          </w:tcPr>
          <w:p w14:paraId="2B16D4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1.中标人提交全套最终成果后，采购人组织专家评审；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2.验收合格：出具《最终验收报告》；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3.验收不合格：中标人需按要求整改后重新申请验收。</w:t>
            </w:r>
          </w:p>
        </w:tc>
        <w:tc>
          <w:tcPr>
            <w:tcW w:w="1202" w:type="pct"/>
            <w:shd w:val="clear" w:color="auto" w:fill="auto"/>
            <w:vAlign w:val="center"/>
          </w:tcPr>
          <w:p w14:paraId="5269F8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1.收到全套最终成果后15个工作日内组织专家评审；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2.整改时限≤15个工作日。</w:t>
            </w:r>
          </w:p>
        </w:tc>
        <w:tc>
          <w:tcPr>
            <w:tcW w:w="491" w:type="pct"/>
            <w:gridSpan w:val="2"/>
            <w:shd w:val="clear" w:color="auto" w:fill="auto"/>
            <w:vAlign w:val="center"/>
          </w:tcPr>
          <w:p w14:paraId="06EAB084">
            <w:pPr>
              <w:rPr>
                <w:rFonts w:hint="eastAsia" w:ascii="宋体" w:hAnsi="宋体" w:eastAsia="宋体" w:cs="宋体"/>
                <w:i w:val="0"/>
                <w:iCs w:val="0"/>
                <w:color w:val="000000"/>
                <w:sz w:val="22"/>
                <w:szCs w:val="22"/>
                <w:highlight w:val="none"/>
                <w:u w:val="none"/>
              </w:rPr>
            </w:pPr>
          </w:p>
        </w:tc>
      </w:tr>
      <w:tr w14:paraId="7791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160" w:hRule="atLeast"/>
        </w:trPr>
        <w:tc>
          <w:tcPr>
            <w:tcW w:w="754" w:type="pct"/>
            <w:shd w:val="clear" w:color="auto" w:fill="auto"/>
            <w:vAlign w:val="center"/>
          </w:tcPr>
          <w:p w14:paraId="5ECDC6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异常低价项目专项验收</w:t>
            </w:r>
          </w:p>
        </w:tc>
        <w:tc>
          <w:tcPr>
            <w:tcW w:w="2547" w:type="pct"/>
            <w:shd w:val="clear" w:color="auto" w:fill="auto"/>
            <w:vAlign w:val="center"/>
          </w:tcPr>
          <w:p w14:paraId="072E18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1.按服务子项分阶段验收，每阶段验收合格后支付对应子项80%进度款；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2.履约中发现质量不达标（如外业核查遗漏、数据误差超规范），采购人暂停付款并要求限期整改；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3.整改后仍不达标：采购人可解除合同，要求中标人支付子项合同价20%违约金并赔偿直接损失。</w:t>
            </w:r>
          </w:p>
        </w:tc>
        <w:tc>
          <w:tcPr>
            <w:tcW w:w="1202" w:type="pct"/>
            <w:shd w:val="clear" w:color="auto" w:fill="auto"/>
            <w:vAlign w:val="center"/>
          </w:tcPr>
          <w:p w14:paraId="35B0B8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与阶段性验收、最终验收同步，整改时限同对应验收阶段要求</w:t>
            </w:r>
          </w:p>
        </w:tc>
        <w:tc>
          <w:tcPr>
            <w:tcW w:w="491" w:type="pct"/>
            <w:gridSpan w:val="2"/>
            <w:shd w:val="clear" w:color="auto" w:fill="auto"/>
            <w:vAlign w:val="center"/>
          </w:tcPr>
          <w:p w14:paraId="65F275B7">
            <w:pPr>
              <w:rPr>
                <w:rFonts w:hint="eastAsia" w:ascii="宋体" w:hAnsi="宋体" w:eastAsia="宋体" w:cs="宋体"/>
                <w:i w:val="0"/>
                <w:iCs w:val="0"/>
                <w:color w:val="000000"/>
                <w:sz w:val="22"/>
                <w:szCs w:val="22"/>
                <w:highlight w:val="none"/>
                <w:u w:val="none"/>
              </w:rPr>
            </w:pPr>
          </w:p>
        </w:tc>
      </w:tr>
      <w:tr w14:paraId="5FB3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620" w:hRule="atLeast"/>
        </w:trPr>
        <w:tc>
          <w:tcPr>
            <w:tcW w:w="754" w:type="pct"/>
            <w:shd w:val="clear" w:color="auto" w:fill="auto"/>
            <w:vAlign w:val="center"/>
          </w:tcPr>
          <w:p w14:paraId="63CE93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验收结果应用</w:t>
            </w:r>
          </w:p>
        </w:tc>
        <w:tc>
          <w:tcPr>
            <w:tcW w:w="2547" w:type="pct"/>
            <w:shd w:val="clear" w:color="auto" w:fill="auto"/>
            <w:vAlign w:val="center"/>
          </w:tcPr>
          <w:p w14:paraId="6FF274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1.阶段性验收合格：支付对应子项80%进度款；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2.最终验收合格：支付至子项合同价款100%；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3.逾期未完成整改：按逾期提交成果处理（逾期≤15天按子项合同价0.2%/天付违约金，逾期＞30天采购人可终止合同）。</w:t>
            </w:r>
          </w:p>
        </w:tc>
        <w:tc>
          <w:tcPr>
            <w:tcW w:w="1202" w:type="pct"/>
            <w:shd w:val="clear" w:color="auto" w:fill="auto"/>
            <w:vAlign w:val="center"/>
          </w:tcPr>
          <w:p w14:paraId="4B9C12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1.阶段性验收合格后，中标人开具等额发票，采购人10个工作日内付款；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2.最终验收合格后，中标人开具全额发票，采购人10个工作日内付款。</w:t>
            </w:r>
          </w:p>
        </w:tc>
        <w:tc>
          <w:tcPr>
            <w:tcW w:w="491" w:type="pct"/>
            <w:gridSpan w:val="2"/>
            <w:shd w:val="clear" w:color="auto" w:fill="auto"/>
            <w:vAlign w:val="center"/>
          </w:tcPr>
          <w:p w14:paraId="583A3230">
            <w:pPr>
              <w:rPr>
                <w:rFonts w:hint="eastAsia" w:ascii="宋体" w:hAnsi="宋体" w:eastAsia="宋体" w:cs="宋体"/>
                <w:i w:val="0"/>
                <w:iCs w:val="0"/>
                <w:color w:val="000000"/>
                <w:sz w:val="22"/>
                <w:szCs w:val="22"/>
                <w:highlight w:val="none"/>
                <w:u w:val="none"/>
              </w:rPr>
            </w:pPr>
          </w:p>
        </w:tc>
      </w:tr>
    </w:tbl>
    <w:p w14:paraId="200A3F3B">
      <w:pPr>
        <w:widowControl/>
        <w:spacing w:line="360" w:lineRule="auto"/>
        <w:ind w:firstLine="422" w:firstLineChars="200"/>
        <w:rPr>
          <w:rFonts w:ascii="宋体" w:hAnsi="宋体" w:cs="宋体"/>
          <w:b/>
          <w:bCs/>
          <w:color w:val="1F2329"/>
          <w:szCs w:val="21"/>
        </w:rPr>
      </w:pPr>
      <w:r>
        <w:rPr>
          <w:rFonts w:hint="eastAsia" w:ascii="宋体" w:hAnsi="宋体" w:cs="宋体"/>
          <w:b/>
          <w:bCs/>
          <w:color w:val="1F2329"/>
          <w:szCs w:val="21"/>
        </w:rPr>
        <w:t>第九条争议解决</w:t>
      </w:r>
    </w:p>
    <w:p w14:paraId="6AB21AD5">
      <w:pPr>
        <w:widowControl/>
        <w:spacing w:line="360" w:lineRule="auto"/>
        <w:ind w:firstLine="420" w:firstLineChars="200"/>
        <w:jc w:val="left"/>
        <w:rPr>
          <w:rFonts w:ascii="宋体" w:hAnsi="宋体" w:cs="宋体"/>
          <w:color w:val="1F2329"/>
          <w:szCs w:val="21"/>
        </w:rPr>
      </w:pPr>
      <w:r>
        <w:rPr>
          <w:rFonts w:hint="eastAsia" w:ascii="宋体" w:hAnsi="宋体" w:cs="宋体"/>
          <w:color w:val="1F2329"/>
          <w:kern w:val="0"/>
          <w:szCs w:val="21"/>
        </w:rPr>
        <w:t>本合同履行过程中发生的争议，由双方协商解决；协商不成的，依法向崇左市人民法院提起诉讼，。</w:t>
      </w:r>
    </w:p>
    <w:p w14:paraId="4BA459B1">
      <w:pPr>
        <w:widowControl/>
        <w:spacing w:line="360" w:lineRule="auto"/>
        <w:ind w:firstLine="422" w:firstLineChars="200"/>
        <w:rPr>
          <w:rFonts w:ascii="宋体" w:hAnsi="宋体" w:cs="宋体"/>
          <w:color w:val="1F2329"/>
          <w:szCs w:val="21"/>
        </w:rPr>
      </w:pPr>
      <w:r>
        <w:rPr>
          <w:rFonts w:hint="eastAsia" w:ascii="宋体" w:hAnsi="宋体" w:cs="宋体"/>
          <w:b/>
          <w:bCs/>
          <w:color w:val="1F2329"/>
          <w:szCs w:val="21"/>
        </w:rPr>
        <w:t>第十条其他约定</w:t>
      </w:r>
    </w:p>
    <w:p w14:paraId="267C52E0">
      <w:pPr>
        <w:widowControl/>
        <w:numPr>
          <w:ilvl w:val="0"/>
          <w:numId w:val="40"/>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本项目专门面向中小企业采购，乙方承诺为符合《中小企业划型标准规定》（工信部联企业〔2011〕300号）的中小企业（行业类别：其他未列明行业），并提交《中小企业声明函》作为本合同附件。</w:t>
      </w:r>
    </w:p>
    <w:p w14:paraId="41857472">
      <w:pPr>
        <w:widowControl/>
        <w:numPr>
          <w:ilvl w:val="0"/>
          <w:numId w:val="40"/>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乙方若需办理线上“政采贷”融资，甲方应配合提供相关合同备案材料，具体融资事宜由乙方与金融机构协商。</w:t>
      </w:r>
    </w:p>
    <w:p w14:paraId="0D29428F">
      <w:pPr>
        <w:widowControl/>
        <w:numPr>
          <w:ilvl w:val="0"/>
          <w:numId w:val="40"/>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本合同的附件是本合同不可分割的组成部分，与本合同具有同等法律效力。</w:t>
      </w:r>
    </w:p>
    <w:p w14:paraId="6C14830C">
      <w:pPr>
        <w:widowControl/>
        <w:numPr>
          <w:ilvl w:val="0"/>
          <w:numId w:val="40"/>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本合同未尽事宜，双方可签订补充协议，补充协议与本合同具有同等法律效力。</w:t>
      </w:r>
    </w:p>
    <w:p w14:paraId="06A9E6A8">
      <w:pPr>
        <w:widowControl/>
        <w:numPr>
          <w:ilvl w:val="0"/>
          <w:numId w:val="40"/>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本合同一式肆份，甲乙双方各执贰份，自双方签字盖章之日起生效。</w:t>
      </w:r>
    </w:p>
    <w:tbl>
      <w:tblPr>
        <w:tblStyle w:val="46"/>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693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022D864C">
            <w:pPr>
              <w:snapToGrid w:val="0"/>
              <w:spacing w:line="360" w:lineRule="auto"/>
              <w:rPr>
                <w:rFonts w:ascii="宋体" w:hAnsi="宋体" w:cs="宋体"/>
                <w:szCs w:val="21"/>
              </w:rPr>
            </w:pPr>
            <w:r>
              <w:rPr>
                <w:rFonts w:hint="eastAsia" w:ascii="宋体" w:hAnsi="宋体" w:cs="宋体"/>
                <w:szCs w:val="21"/>
              </w:rPr>
              <w:t>甲方：（章）</w:t>
            </w:r>
          </w:p>
          <w:p w14:paraId="32939E7C">
            <w:pPr>
              <w:snapToGrid w:val="0"/>
              <w:spacing w:line="360" w:lineRule="auto"/>
              <w:rPr>
                <w:rFonts w:ascii="宋体" w:hAnsi="宋体" w:cs="宋体"/>
                <w:szCs w:val="21"/>
              </w:rPr>
            </w:pPr>
          </w:p>
          <w:p w14:paraId="2C7B128D">
            <w:pPr>
              <w:snapToGrid w:val="0"/>
              <w:spacing w:line="360" w:lineRule="auto"/>
              <w:rPr>
                <w:rFonts w:ascii="宋体" w:hAnsi="宋体" w:cs="宋体"/>
                <w:szCs w:val="21"/>
              </w:rPr>
            </w:pPr>
          </w:p>
          <w:p w14:paraId="554AA775">
            <w:pPr>
              <w:snapToGrid w:val="0"/>
              <w:spacing w:line="360" w:lineRule="auto"/>
              <w:ind w:firstLine="945" w:firstLineChars="450"/>
              <w:jc w:val="right"/>
              <w:rPr>
                <w:rFonts w:ascii="宋体" w:hAnsi="宋体" w:cs="宋体"/>
                <w:szCs w:val="21"/>
              </w:rPr>
            </w:pPr>
          </w:p>
          <w:p w14:paraId="6DEB54FF">
            <w:pPr>
              <w:snapToGrid w:val="0"/>
              <w:spacing w:line="360" w:lineRule="auto"/>
              <w:ind w:firstLine="945" w:firstLineChars="450"/>
              <w:jc w:val="right"/>
              <w:rPr>
                <w:rFonts w:ascii="宋体" w:hAnsi="宋体" w:cs="宋体"/>
                <w:szCs w:val="21"/>
              </w:rPr>
            </w:pPr>
            <w:r>
              <w:rPr>
                <w:rFonts w:hint="eastAsia" w:ascii="宋体" w:hAnsi="宋体" w:cs="宋体"/>
                <w:szCs w:val="21"/>
              </w:rPr>
              <w:t>年月日</w:t>
            </w:r>
          </w:p>
        </w:tc>
        <w:tc>
          <w:tcPr>
            <w:tcW w:w="4583" w:type="dxa"/>
            <w:tcBorders>
              <w:top w:val="single" w:color="auto" w:sz="4" w:space="0"/>
              <w:left w:val="single" w:color="auto" w:sz="4" w:space="0"/>
              <w:bottom w:val="single" w:color="auto" w:sz="4" w:space="0"/>
              <w:right w:val="single" w:color="auto" w:sz="4" w:space="0"/>
            </w:tcBorders>
            <w:noWrap/>
            <w:vAlign w:val="center"/>
          </w:tcPr>
          <w:p w14:paraId="35AFBBA0">
            <w:pPr>
              <w:snapToGrid w:val="0"/>
              <w:spacing w:line="360" w:lineRule="auto"/>
              <w:rPr>
                <w:rFonts w:ascii="宋体" w:hAnsi="宋体" w:cs="宋体"/>
                <w:szCs w:val="21"/>
              </w:rPr>
            </w:pPr>
            <w:r>
              <w:rPr>
                <w:rFonts w:hint="eastAsia" w:ascii="宋体" w:hAnsi="宋体" w:cs="宋体"/>
                <w:szCs w:val="21"/>
              </w:rPr>
              <w:t>乙方：（章）</w:t>
            </w:r>
          </w:p>
          <w:p w14:paraId="6E0A693F">
            <w:pPr>
              <w:snapToGrid w:val="0"/>
              <w:spacing w:line="360" w:lineRule="auto"/>
              <w:rPr>
                <w:rFonts w:ascii="宋体" w:hAnsi="宋体" w:cs="宋体"/>
                <w:szCs w:val="21"/>
              </w:rPr>
            </w:pPr>
          </w:p>
          <w:p w14:paraId="04ADD59D">
            <w:pPr>
              <w:snapToGrid w:val="0"/>
              <w:spacing w:line="360" w:lineRule="auto"/>
              <w:rPr>
                <w:rFonts w:ascii="宋体" w:hAnsi="宋体" w:cs="宋体"/>
                <w:szCs w:val="21"/>
              </w:rPr>
            </w:pPr>
          </w:p>
          <w:p w14:paraId="3FD39A0D">
            <w:pPr>
              <w:snapToGrid w:val="0"/>
              <w:spacing w:line="360" w:lineRule="auto"/>
              <w:jc w:val="right"/>
              <w:rPr>
                <w:rFonts w:ascii="宋体" w:hAnsi="宋体" w:cs="宋体"/>
                <w:szCs w:val="21"/>
              </w:rPr>
            </w:pPr>
          </w:p>
          <w:p w14:paraId="3AA10AF3">
            <w:pPr>
              <w:snapToGrid w:val="0"/>
              <w:spacing w:line="360" w:lineRule="auto"/>
              <w:jc w:val="right"/>
              <w:rPr>
                <w:rFonts w:ascii="宋体" w:hAnsi="宋体" w:cs="宋体"/>
                <w:szCs w:val="21"/>
              </w:rPr>
            </w:pPr>
            <w:r>
              <w:rPr>
                <w:rFonts w:hint="eastAsia" w:ascii="宋体" w:hAnsi="宋体" w:cs="宋体"/>
                <w:szCs w:val="21"/>
              </w:rPr>
              <w:t>年月日</w:t>
            </w:r>
          </w:p>
        </w:tc>
      </w:tr>
      <w:tr w14:paraId="4304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2C47EF46">
            <w:pPr>
              <w:snapToGrid w:val="0"/>
              <w:spacing w:line="360" w:lineRule="auto"/>
              <w:rPr>
                <w:rFonts w:ascii="宋体" w:hAnsi="宋体" w:cs="宋体"/>
                <w:szCs w:val="21"/>
              </w:rPr>
            </w:pPr>
            <w:r>
              <w:rPr>
                <w:rFonts w:hint="eastAsia" w:ascii="宋体" w:hAnsi="宋体" w:cs="宋体"/>
                <w:szCs w:val="21"/>
              </w:rPr>
              <w:t>单位地址：</w:t>
            </w:r>
          </w:p>
        </w:tc>
        <w:tc>
          <w:tcPr>
            <w:tcW w:w="4583" w:type="dxa"/>
            <w:tcBorders>
              <w:top w:val="single" w:color="auto" w:sz="4" w:space="0"/>
              <w:left w:val="single" w:color="auto" w:sz="4" w:space="0"/>
              <w:bottom w:val="single" w:color="auto" w:sz="4" w:space="0"/>
              <w:right w:val="single" w:color="auto" w:sz="4" w:space="0"/>
            </w:tcBorders>
            <w:noWrap/>
            <w:vAlign w:val="center"/>
          </w:tcPr>
          <w:p w14:paraId="3A18C6B3">
            <w:pPr>
              <w:snapToGrid w:val="0"/>
              <w:spacing w:line="360" w:lineRule="auto"/>
              <w:rPr>
                <w:rFonts w:ascii="宋体" w:hAnsi="宋体" w:cs="宋体"/>
                <w:szCs w:val="21"/>
              </w:rPr>
            </w:pPr>
            <w:r>
              <w:rPr>
                <w:rFonts w:hint="eastAsia" w:ascii="宋体" w:hAnsi="宋体" w:cs="宋体"/>
                <w:szCs w:val="21"/>
              </w:rPr>
              <w:t>单位地址：</w:t>
            </w:r>
          </w:p>
        </w:tc>
      </w:tr>
      <w:tr w14:paraId="312A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26668744">
            <w:pPr>
              <w:snapToGrid w:val="0"/>
              <w:spacing w:line="360" w:lineRule="auto"/>
              <w:rPr>
                <w:rFonts w:ascii="宋体" w:hAnsi="宋体" w:cs="宋体"/>
                <w:szCs w:val="21"/>
              </w:rPr>
            </w:pPr>
            <w:r>
              <w:rPr>
                <w:rFonts w:hint="eastAsia" w:ascii="宋体" w:hAnsi="宋体" w:cs="宋体"/>
                <w:szCs w:val="21"/>
              </w:rPr>
              <w:t>法定代表人：</w:t>
            </w:r>
          </w:p>
        </w:tc>
        <w:tc>
          <w:tcPr>
            <w:tcW w:w="4583" w:type="dxa"/>
            <w:tcBorders>
              <w:top w:val="single" w:color="auto" w:sz="4" w:space="0"/>
              <w:left w:val="single" w:color="auto" w:sz="4" w:space="0"/>
              <w:bottom w:val="single" w:color="auto" w:sz="4" w:space="0"/>
              <w:right w:val="single" w:color="auto" w:sz="4" w:space="0"/>
            </w:tcBorders>
            <w:noWrap/>
            <w:vAlign w:val="center"/>
          </w:tcPr>
          <w:p w14:paraId="72ACF706">
            <w:pPr>
              <w:snapToGrid w:val="0"/>
              <w:spacing w:line="360" w:lineRule="auto"/>
              <w:rPr>
                <w:rFonts w:ascii="宋体" w:hAnsi="宋体" w:cs="宋体"/>
                <w:szCs w:val="21"/>
              </w:rPr>
            </w:pPr>
            <w:r>
              <w:rPr>
                <w:rFonts w:hint="eastAsia" w:ascii="宋体" w:hAnsi="宋体" w:cs="宋体"/>
                <w:szCs w:val="21"/>
              </w:rPr>
              <w:t>法定代表人：</w:t>
            </w:r>
          </w:p>
        </w:tc>
      </w:tr>
      <w:tr w14:paraId="579B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7D389114">
            <w:pPr>
              <w:snapToGrid w:val="0"/>
              <w:spacing w:line="360" w:lineRule="auto"/>
              <w:rPr>
                <w:rFonts w:ascii="宋体" w:hAnsi="宋体" w:cs="宋体"/>
                <w:szCs w:val="21"/>
              </w:rPr>
            </w:pPr>
            <w:r>
              <w:rPr>
                <w:rFonts w:hint="eastAsia" w:ascii="宋体" w:hAnsi="宋体" w:cs="宋体"/>
                <w:szCs w:val="21"/>
              </w:rPr>
              <w:t>委托代理人：</w:t>
            </w:r>
          </w:p>
        </w:tc>
        <w:tc>
          <w:tcPr>
            <w:tcW w:w="4583" w:type="dxa"/>
            <w:tcBorders>
              <w:top w:val="single" w:color="auto" w:sz="4" w:space="0"/>
              <w:left w:val="single" w:color="auto" w:sz="4" w:space="0"/>
              <w:bottom w:val="single" w:color="auto" w:sz="4" w:space="0"/>
              <w:right w:val="single" w:color="auto" w:sz="4" w:space="0"/>
            </w:tcBorders>
            <w:noWrap/>
            <w:vAlign w:val="center"/>
          </w:tcPr>
          <w:p w14:paraId="510C5490">
            <w:pPr>
              <w:snapToGrid w:val="0"/>
              <w:spacing w:line="360" w:lineRule="auto"/>
              <w:rPr>
                <w:rFonts w:ascii="宋体" w:hAnsi="宋体" w:cs="宋体"/>
                <w:szCs w:val="21"/>
              </w:rPr>
            </w:pPr>
            <w:r>
              <w:rPr>
                <w:rFonts w:hint="eastAsia" w:ascii="宋体" w:hAnsi="宋体" w:cs="宋体"/>
                <w:szCs w:val="21"/>
              </w:rPr>
              <w:t>委托代理人：</w:t>
            </w:r>
          </w:p>
        </w:tc>
      </w:tr>
      <w:tr w14:paraId="6F13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3605B099">
            <w:pPr>
              <w:snapToGrid w:val="0"/>
              <w:spacing w:line="360" w:lineRule="auto"/>
              <w:rPr>
                <w:rFonts w:ascii="宋体" w:hAnsi="宋体" w:cs="宋体"/>
                <w:szCs w:val="21"/>
              </w:rPr>
            </w:pPr>
            <w:r>
              <w:rPr>
                <w:rFonts w:hint="eastAsia" w:ascii="宋体" w:hAnsi="宋体" w:cs="宋体"/>
                <w:szCs w:val="21"/>
              </w:rPr>
              <w:t>电话：</w:t>
            </w:r>
          </w:p>
        </w:tc>
        <w:tc>
          <w:tcPr>
            <w:tcW w:w="4583" w:type="dxa"/>
            <w:tcBorders>
              <w:top w:val="single" w:color="auto" w:sz="4" w:space="0"/>
              <w:left w:val="single" w:color="auto" w:sz="4" w:space="0"/>
              <w:bottom w:val="single" w:color="auto" w:sz="4" w:space="0"/>
              <w:right w:val="single" w:color="auto" w:sz="4" w:space="0"/>
            </w:tcBorders>
            <w:noWrap/>
            <w:vAlign w:val="center"/>
          </w:tcPr>
          <w:p w14:paraId="4BCB47C2">
            <w:pPr>
              <w:snapToGrid w:val="0"/>
              <w:spacing w:line="360" w:lineRule="auto"/>
              <w:rPr>
                <w:rFonts w:ascii="宋体" w:hAnsi="宋体" w:cs="宋体"/>
                <w:szCs w:val="21"/>
              </w:rPr>
            </w:pPr>
            <w:r>
              <w:rPr>
                <w:rFonts w:hint="eastAsia" w:ascii="宋体" w:hAnsi="宋体" w:cs="宋体"/>
                <w:szCs w:val="21"/>
              </w:rPr>
              <w:t>电话：</w:t>
            </w:r>
          </w:p>
        </w:tc>
      </w:tr>
      <w:tr w14:paraId="11AC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6B2E7A62">
            <w:pPr>
              <w:snapToGrid w:val="0"/>
              <w:spacing w:line="360" w:lineRule="auto"/>
              <w:rPr>
                <w:rFonts w:ascii="宋体" w:hAnsi="宋体" w:cs="宋体"/>
                <w:szCs w:val="21"/>
              </w:rPr>
            </w:pPr>
            <w:r>
              <w:rPr>
                <w:rFonts w:hint="eastAsia" w:ascii="宋体" w:hAnsi="宋体" w:cs="宋体"/>
                <w:szCs w:val="21"/>
              </w:rPr>
              <w:t>开户银行：</w:t>
            </w:r>
          </w:p>
        </w:tc>
        <w:tc>
          <w:tcPr>
            <w:tcW w:w="4583" w:type="dxa"/>
            <w:tcBorders>
              <w:top w:val="single" w:color="auto" w:sz="4" w:space="0"/>
              <w:left w:val="single" w:color="auto" w:sz="4" w:space="0"/>
              <w:bottom w:val="single" w:color="auto" w:sz="4" w:space="0"/>
              <w:right w:val="single" w:color="auto" w:sz="4" w:space="0"/>
            </w:tcBorders>
            <w:noWrap/>
            <w:vAlign w:val="center"/>
          </w:tcPr>
          <w:p w14:paraId="4C365301">
            <w:pPr>
              <w:snapToGrid w:val="0"/>
              <w:spacing w:line="360" w:lineRule="auto"/>
              <w:rPr>
                <w:rFonts w:ascii="宋体" w:hAnsi="宋体" w:cs="宋体"/>
                <w:szCs w:val="21"/>
              </w:rPr>
            </w:pPr>
            <w:r>
              <w:rPr>
                <w:rFonts w:hint="eastAsia" w:ascii="宋体" w:hAnsi="宋体" w:cs="宋体"/>
                <w:szCs w:val="21"/>
              </w:rPr>
              <w:t>开户银行：</w:t>
            </w:r>
          </w:p>
        </w:tc>
      </w:tr>
      <w:tr w14:paraId="5CE3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1966F2EB">
            <w:pPr>
              <w:snapToGrid w:val="0"/>
              <w:spacing w:line="360" w:lineRule="auto"/>
              <w:rPr>
                <w:rFonts w:ascii="宋体" w:hAnsi="宋体" w:cs="宋体"/>
                <w:szCs w:val="21"/>
              </w:rPr>
            </w:pPr>
            <w:r>
              <w:rPr>
                <w:rFonts w:hint="eastAsia" w:ascii="宋体" w:hAnsi="宋体" w:cs="宋体"/>
                <w:szCs w:val="21"/>
              </w:rPr>
              <w:t>账号：</w:t>
            </w:r>
          </w:p>
        </w:tc>
        <w:tc>
          <w:tcPr>
            <w:tcW w:w="4583" w:type="dxa"/>
            <w:tcBorders>
              <w:top w:val="single" w:color="auto" w:sz="4" w:space="0"/>
              <w:left w:val="single" w:color="auto" w:sz="4" w:space="0"/>
              <w:bottom w:val="single" w:color="auto" w:sz="4" w:space="0"/>
              <w:right w:val="single" w:color="auto" w:sz="4" w:space="0"/>
            </w:tcBorders>
            <w:noWrap/>
            <w:vAlign w:val="center"/>
          </w:tcPr>
          <w:p w14:paraId="07B1B15A">
            <w:pPr>
              <w:snapToGrid w:val="0"/>
              <w:spacing w:line="360" w:lineRule="auto"/>
              <w:rPr>
                <w:rFonts w:ascii="宋体" w:hAnsi="宋体" w:cs="宋体"/>
                <w:szCs w:val="21"/>
              </w:rPr>
            </w:pPr>
            <w:r>
              <w:rPr>
                <w:rFonts w:hint="eastAsia" w:ascii="宋体" w:hAnsi="宋体" w:cs="宋体"/>
                <w:szCs w:val="21"/>
              </w:rPr>
              <w:t>账号：</w:t>
            </w:r>
          </w:p>
        </w:tc>
      </w:tr>
      <w:tr w14:paraId="603F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509D47AF">
            <w:pPr>
              <w:snapToGrid w:val="0"/>
              <w:spacing w:line="360" w:lineRule="auto"/>
              <w:rPr>
                <w:rFonts w:ascii="宋体" w:hAnsi="宋体" w:cs="宋体"/>
                <w:szCs w:val="21"/>
              </w:rPr>
            </w:pPr>
            <w:r>
              <w:rPr>
                <w:rFonts w:hint="eastAsia" w:ascii="宋体" w:hAnsi="宋体" w:cs="宋体"/>
                <w:szCs w:val="21"/>
              </w:rPr>
              <w:t>邮政编码：</w:t>
            </w:r>
          </w:p>
        </w:tc>
        <w:tc>
          <w:tcPr>
            <w:tcW w:w="4583" w:type="dxa"/>
            <w:tcBorders>
              <w:top w:val="single" w:color="auto" w:sz="4" w:space="0"/>
              <w:left w:val="single" w:color="auto" w:sz="4" w:space="0"/>
              <w:bottom w:val="single" w:color="auto" w:sz="4" w:space="0"/>
              <w:right w:val="single" w:color="auto" w:sz="4" w:space="0"/>
            </w:tcBorders>
            <w:noWrap/>
            <w:vAlign w:val="center"/>
          </w:tcPr>
          <w:p w14:paraId="774BE2D1">
            <w:pPr>
              <w:snapToGrid w:val="0"/>
              <w:spacing w:line="360" w:lineRule="auto"/>
              <w:rPr>
                <w:rFonts w:ascii="宋体" w:hAnsi="宋体" w:cs="宋体"/>
                <w:szCs w:val="21"/>
              </w:rPr>
            </w:pPr>
            <w:r>
              <w:rPr>
                <w:rFonts w:hint="eastAsia" w:ascii="宋体" w:hAnsi="宋体" w:cs="宋体"/>
                <w:szCs w:val="21"/>
              </w:rPr>
              <w:t>邮政编码：</w:t>
            </w:r>
          </w:p>
        </w:tc>
      </w:tr>
    </w:tbl>
    <w:p w14:paraId="64B0FBC3">
      <w:pPr>
        <w:spacing w:line="480" w:lineRule="exact"/>
        <w:ind w:firstLine="420" w:firstLineChars="200"/>
        <w:jc w:val="left"/>
        <w:rPr>
          <w:rFonts w:ascii="宋体" w:hAnsi="宋体" w:cs="宋体"/>
          <w:szCs w:val="21"/>
        </w:rPr>
      </w:pPr>
    </w:p>
    <w:p w14:paraId="7D4FAAD0">
      <w:pPr>
        <w:spacing w:line="480" w:lineRule="exact"/>
        <w:ind w:firstLine="420" w:firstLineChars="200"/>
        <w:jc w:val="left"/>
        <w:rPr>
          <w:rFonts w:ascii="宋体" w:hAnsi="宋体" w:cs="宋体"/>
        </w:rPr>
        <w:sectPr>
          <w:headerReference r:id="rId9" w:type="default"/>
          <w:footerReference r:id="rId10" w:type="default"/>
          <w:pgSz w:w="11906" w:h="16838"/>
          <w:pgMar w:top="1134" w:right="1247" w:bottom="1560" w:left="1247" w:header="851" w:footer="992" w:gutter="0"/>
          <w:cols w:space="720" w:num="1"/>
          <w:titlePg/>
          <w:docGrid w:linePitch="312" w:charSpace="0"/>
        </w:sectPr>
      </w:pPr>
      <w:r>
        <w:rPr>
          <w:rFonts w:hint="eastAsia" w:ascii="宋体" w:hAnsi="宋体" w:cs="宋体"/>
          <w:szCs w:val="21"/>
        </w:rPr>
        <w:t>未尽事宜由中标人与招标人另行协商在合同中签订。</w:t>
      </w:r>
    </w:p>
    <w:p w14:paraId="169A5F3E">
      <w:pPr>
        <w:widowControl/>
        <w:spacing w:line="360" w:lineRule="atLeast"/>
        <w:jc w:val="left"/>
        <w:rPr>
          <w:b/>
          <w:bCs/>
          <w:color w:val="1F2329"/>
          <w:sz w:val="24"/>
        </w:rPr>
      </w:pPr>
      <w:r>
        <w:rPr>
          <w:b/>
          <w:bCs/>
          <w:color w:val="1F2329"/>
          <w:sz w:val="24"/>
        </w:rPr>
        <w:t>附件1：服务内容及技术要求清单</w:t>
      </w:r>
    </w:p>
    <w:p w14:paraId="70605281">
      <w:pPr>
        <w:widowControl/>
        <w:spacing w:line="360" w:lineRule="auto"/>
        <w:ind w:firstLine="420" w:firstLineChars="200"/>
        <w:rPr>
          <w:rFonts w:ascii="宋体" w:hAnsi="宋体" w:cs="宋体"/>
          <w:color w:val="1F2329"/>
          <w:szCs w:val="21"/>
        </w:rPr>
      </w:pPr>
      <w:r>
        <w:rPr>
          <w:rFonts w:hint="eastAsia" w:ascii="宋体" w:hAnsi="宋体" w:cs="宋体"/>
          <w:color w:val="1F2329"/>
          <w:szCs w:val="21"/>
        </w:rPr>
        <w:t>一、说明</w:t>
      </w:r>
    </w:p>
    <w:p w14:paraId="0E3F7539">
      <w:pPr>
        <w:widowControl/>
        <w:numPr>
          <w:ilvl w:val="0"/>
          <w:numId w:val="41"/>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本清单涵盖本项目41项专业技术服务，明确每项服务的核心要求，作为合同履行及验收的唯一依据。</w:t>
      </w:r>
    </w:p>
    <w:p w14:paraId="0F482155">
      <w:pPr>
        <w:widowControl/>
        <w:numPr>
          <w:ilvl w:val="0"/>
          <w:numId w:val="41"/>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所有服务需遵守国家、自治区相关法律法规及技术标准，涉及的保密义务需严格按照本清单及合同约定执行。</w:t>
      </w:r>
    </w:p>
    <w:p w14:paraId="5848F1AD">
      <w:pPr>
        <w:widowControl/>
        <w:numPr>
          <w:ilvl w:val="0"/>
          <w:numId w:val="41"/>
        </w:numPr>
        <w:spacing w:line="360" w:lineRule="auto"/>
        <w:ind w:left="0" w:firstLine="420" w:firstLineChars="200"/>
        <w:jc w:val="left"/>
        <w:rPr>
          <w:rFonts w:ascii="宋体" w:hAnsi="宋体" w:cs="宋体"/>
          <w:color w:val="1F2329"/>
          <w:szCs w:val="21"/>
        </w:rPr>
      </w:pPr>
      <w:r>
        <w:rPr>
          <w:rFonts w:hint="eastAsia" w:ascii="宋体" w:hAnsi="宋体" w:cs="宋体"/>
          <w:color w:val="1F2329"/>
          <w:szCs w:val="21"/>
        </w:rPr>
        <w:t>成果形式根据各子项成果要求，提供包括纸质报告、图纸、电子成果等。</w:t>
      </w:r>
    </w:p>
    <w:p w14:paraId="3E337C67">
      <w:pPr>
        <w:widowControl/>
        <w:spacing w:line="360" w:lineRule="auto"/>
        <w:ind w:firstLine="420" w:firstLineChars="200"/>
        <w:rPr>
          <w:rFonts w:ascii="宋体" w:hAnsi="宋体" w:cs="宋体"/>
          <w:color w:val="1F2329"/>
          <w:szCs w:val="21"/>
        </w:rPr>
      </w:pPr>
      <w:r>
        <w:rPr>
          <w:rFonts w:hint="eastAsia" w:ascii="宋体" w:hAnsi="宋体" w:cs="宋体"/>
          <w:color w:val="1F2329"/>
          <w:szCs w:val="21"/>
        </w:rPr>
        <w:t>二、详细服务清单</w:t>
      </w:r>
    </w:p>
    <w:tbl>
      <w:tblPr>
        <w:tblStyle w:val="46"/>
        <w:tblW w:w="0" w:type="auto"/>
        <w:tblInd w:w="0" w:type="dxa"/>
        <w:tblLayout w:type="autofit"/>
        <w:tblCellMar>
          <w:top w:w="0" w:type="dxa"/>
          <w:left w:w="108" w:type="dxa"/>
          <w:bottom w:w="0" w:type="dxa"/>
          <w:right w:w="108" w:type="dxa"/>
        </w:tblCellMar>
      </w:tblPr>
      <w:tblGrid>
        <w:gridCol w:w="449"/>
        <w:gridCol w:w="1154"/>
        <w:gridCol w:w="1221"/>
        <w:gridCol w:w="4455"/>
        <w:gridCol w:w="2349"/>
      </w:tblGrid>
      <w:tr w14:paraId="1C46078F">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CCCCCC"/>
            <w:vAlign w:val="center"/>
          </w:tcPr>
          <w:p w14:paraId="383F7E23">
            <w:pPr>
              <w:widowControl/>
              <w:textAlignment w:val="center"/>
              <w:rPr>
                <w:rFonts w:ascii="宋体" w:hAnsi="宋体" w:cs="宋体"/>
                <w:color w:val="000000"/>
                <w:szCs w:val="21"/>
              </w:rPr>
            </w:pPr>
            <w:r>
              <w:rPr>
                <w:rFonts w:hint="eastAsia" w:ascii="宋体" w:hAnsi="宋体" w:cs="宋体"/>
                <w:color w:val="000000"/>
                <w:kern w:val="0"/>
                <w:szCs w:val="21"/>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CCCCCC"/>
            <w:vAlign w:val="center"/>
          </w:tcPr>
          <w:p w14:paraId="3FA9C89B">
            <w:pPr>
              <w:widowControl/>
              <w:textAlignment w:val="center"/>
              <w:rPr>
                <w:rFonts w:ascii="宋体" w:hAnsi="宋体" w:cs="宋体"/>
                <w:color w:val="000000"/>
                <w:szCs w:val="21"/>
              </w:rPr>
            </w:pPr>
            <w:r>
              <w:rPr>
                <w:rFonts w:hint="eastAsia" w:ascii="宋体" w:hAnsi="宋体" w:cs="宋体"/>
                <w:color w:val="000000"/>
                <w:kern w:val="0"/>
                <w:szCs w:val="21"/>
              </w:rPr>
              <w:t>技术类名称</w:t>
            </w:r>
          </w:p>
        </w:tc>
        <w:tc>
          <w:tcPr>
            <w:tcW w:w="0" w:type="auto"/>
            <w:tcBorders>
              <w:top w:val="single" w:color="000000" w:sz="4" w:space="0"/>
              <w:left w:val="single" w:color="000000" w:sz="4" w:space="0"/>
              <w:bottom w:val="single" w:color="000000" w:sz="4" w:space="0"/>
              <w:right w:val="single" w:color="000000" w:sz="4" w:space="0"/>
            </w:tcBorders>
            <w:shd w:val="clear" w:color="auto" w:fill="CCCCCC"/>
            <w:vAlign w:val="center"/>
          </w:tcPr>
          <w:p w14:paraId="168C9150">
            <w:pPr>
              <w:widowControl/>
              <w:textAlignment w:val="center"/>
              <w:rPr>
                <w:rFonts w:ascii="宋体" w:hAnsi="宋体" w:cs="宋体"/>
                <w:color w:val="000000"/>
                <w:szCs w:val="21"/>
              </w:rPr>
            </w:pPr>
            <w:r>
              <w:rPr>
                <w:rFonts w:hint="eastAsia" w:ascii="宋体" w:hAnsi="宋体" w:cs="宋体"/>
                <w:color w:val="000000"/>
                <w:kern w:val="0"/>
                <w:szCs w:val="21"/>
              </w:rPr>
              <w:t>标的名称</w:t>
            </w:r>
          </w:p>
        </w:tc>
        <w:tc>
          <w:tcPr>
            <w:tcW w:w="0" w:type="auto"/>
            <w:tcBorders>
              <w:top w:val="single" w:color="000000" w:sz="4" w:space="0"/>
              <w:left w:val="single" w:color="000000" w:sz="4" w:space="0"/>
              <w:bottom w:val="single" w:color="000000" w:sz="4" w:space="0"/>
              <w:right w:val="single" w:color="000000" w:sz="4" w:space="0"/>
            </w:tcBorders>
            <w:shd w:val="clear" w:color="auto" w:fill="CCCCCC"/>
            <w:vAlign w:val="center"/>
          </w:tcPr>
          <w:p w14:paraId="4D1B3086">
            <w:pPr>
              <w:widowControl/>
              <w:textAlignment w:val="center"/>
              <w:rPr>
                <w:rFonts w:ascii="宋体" w:hAnsi="宋体" w:cs="宋体"/>
                <w:color w:val="000000"/>
                <w:szCs w:val="21"/>
              </w:rPr>
            </w:pPr>
            <w:r>
              <w:rPr>
                <w:rFonts w:hint="eastAsia" w:ascii="宋体" w:hAnsi="宋体" w:cs="宋体"/>
                <w:color w:val="000000"/>
                <w:kern w:val="0"/>
                <w:szCs w:val="21"/>
              </w:rPr>
              <w:t>具体工作内容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CCCCCC"/>
            <w:vAlign w:val="center"/>
          </w:tcPr>
          <w:p w14:paraId="0C2CD382">
            <w:pPr>
              <w:widowControl/>
              <w:textAlignment w:val="center"/>
              <w:rPr>
                <w:rFonts w:ascii="宋体" w:hAnsi="宋体" w:cs="宋体"/>
                <w:color w:val="000000"/>
                <w:szCs w:val="21"/>
              </w:rPr>
            </w:pPr>
            <w:r>
              <w:rPr>
                <w:rFonts w:hint="eastAsia" w:ascii="宋体" w:hAnsi="宋体" w:cs="宋体"/>
                <w:color w:val="000000"/>
                <w:kern w:val="0"/>
                <w:szCs w:val="21"/>
              </w:rPr>
              <w:t>成果内容</w:t>
            </w:r>
          </w:p>
        </w:tc>
      </w:tr>
      <w:tr w14:paraId="2E2A5798">
        <w:tblPrEx>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AB7210">
            <w:pPr>
              <w:widowControl/>
              <w:textAlignment w:val="center"/>
              <w:rPr>
                <w:color w:val="000000"/>
                <w:szCs w:val="21"/>
              </w:rPr>
            </w:pPr>
            <w:r>
              <w:rPr>
                <w:color w:val="000000"/>
                <w:kern w:val="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4E7C9D">
            <w:pPr>
              <w:widowControl/>
              <w:textAlignment w:val="center"/>
              <w:rPr>
                <w:rFonts w:ascii="宋体" w:hAnsi="宋体" w:cs="宋体"/>
                <w:color w:val="000000"/>
                <w:szCs w:val="21"/>
              </w:rPr>
            </w:pPr>
            <w:r>
              <w:rPr>
                <w:rFonts w:hint="eastAsia" w:ascii="宋体" w:hAnsi="宋体" w:cs="宋体"/>
                <w:color w:val="000000"/>
                <w:kern w:val="0"/>
                <w:szCs w:val="21"/>
              </w:rPr>
              <w:t>耕地保护</w:t>
            </w:r>
            <w:r>
              <w:rPr>
                <w:rFonts w:hint="eastAsia" w:ascii="宋体" w:hAnsi="宋体" w:cs="宋体"/>
                <w:color w:val="000000"/>
                <w:kern w:val="0"/>
                <w:szCs w:val="21"/>
                <w:highlight w:val="none"/>
              </w:rPr>
              <w:t>卫片</w:t>
            </w:r>
            <w:r>
              <w:rPr>
                <w:rFonts w:hint="eastAsia" w:ascii="宋体" w:hAnsi="宋体" w:cs="宋体"/>
                <w:color w:val="000000"/>
                <w:kern w:val="0"/>
                <w:szCs w:val="21"/>
              </w:rPr>
              <w:t>监测执法督察技术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1D0FFD">
            <w:pPr>
              <w:widowControl/>
              <w:textAlignment w:val="center"/>
              <w:rPr>
                <w:rFonts w:ascii="宋体" w:hAnsi="宋体" w:cs="宋体"/>
                <w:color w:val="000000"/>
                <w:szCs w:val="21"/>
              </w:rPr>
            </w:pPr>
            <w:r>
              <w:rPr>
                <w:rFonts w:hint="eastAsia" w:ascii="宋体" w:hAnsi="宋体" w:cs="宋体"/>
                <w:color w:val="000000"/>
                <w:kern w:val="0"/>
                <w:szCs w:val="21"/>
              </w:rPr>
              <w:t>卫片监测执法技术服务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DC861C">
            <w:pPr>
              <w:widowControl/>
              <w:textAlignment w:val="center"/>
              <w:rPr>
                <w:color w:val="000000"/>
                <w:szCs w:val="21"/>
              </w:rPr>
            </w:pPr>
            <w:r>
              <w:rPr>
                <w:color w:val="000000"/>
                <w:kern w:val="0"/>
                <w:szCs w:val="21"/>
              </w:rPr>
              <w:t>1.</w:t>
            </w:r>
            <w:r>
              <w:rPr>
                <w:rStyle w:val="134"/>
                <w:rFonts w:hint="default"/>
              </w:rPr>
              <w:t>收集土地利用现状、规划、基本农田保护等基础资料并整理核实；</w:t>
            </w:r>
            <w:r>
              <w:rPr>
                <w:rStyle w:val="135"/>
              </w:rPr>
              <w:t>2.</w:t>
            </w:r>
            <w:r>
              <w:rPr>
                <w:rStyle w:val="134"/>
                <w:rFonts w:hint="default"/>
              </w:rPr>
              <w:t>实地核查县级申请验收图斑及卫片系统图斑，记录范围、面积、种植作物等信息，拍摄现场照片；</w:t>
            </w:r>
            <w:r>
              <w:rPr>
                <w:rStyle w:val="135"/>
              </w:rPr>
              <w:t>3.</w:t>
            </w:r>
            <w:r>
              <w:rPr>
                <w:rStyle w:val="134"/>
                <w:rFonts w:hint="default"/>
              </w:rPr>
              <w:t>审核图斑地类、规划、占用基本农田等情况。</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1E6BD5">
            <w:pPr>
              <w:widowControl/>
              <w:textAlignment w:val="center"/>
              <w:rPr>
                <w:color w:val="000000"/>
                <w:szCs w:val="21"/>
              </w:rPr>
            </w:pPr>
            <w:r>
              <w:rPr>
                <w:color w:val="000000"/>
                <w:kern w:val="0"/>
                <w:szCs w:val="21"/>
              </w:rPr>
              <w:t>1.</w:t>
            </w:r>
            <w:r>
              <w:rPr>
                <w:rStyle w:val="134"/>
                <w:rFonts w:hint="default"/>
              </w:rPr>
              <w:t>外业核查意见表；</w:t>
            </w:r>
            <w:r>
              <w:rPr>
                <w:rStyle w:val="135"/>
                <w:rFonts w:hint="eastAsia"/>
              </w:rPr>
              <w:t>2</w:t>
            </w:r>
            <w:r>
              <w:rPr>
                <w:rStyle w:val="135"/>
              </w:rPr>
              <w:t>.</w:t>
            </w:r>
            <w:r>
              <w:rPr>
                <w:rStyle w:val="134"/>
                <w:rFonts w:hint="default"/>
              </w:rPr>
              <w:t>现场照片集；</w:t>
            </w:r>
            <w:r>
              <w:rPr>
                <w:rStyle w:val="135"/>
                <w:rFonts w:hint="eastAsia"/>
              </w:rPr>
              <w:t>3</w:t>
            </w:r>
            <w:r>
              <w:rPr>
                <w:rStyle w:val="135"/>
              </w:rPr>
              <w:t>.</w:t>
            </w:r>
            <w:r>
              <w:rPr>
                <w:rStyle w:val="134"/>
                <w:rFonts w:hint="default"/>
              </w:rPr>
              <w:t>卫片监测执法报告。</w:t>
            </w:r>
          </w:p>
        </w:tc>
      </w:tr>
      <w:tr w14:paraId="45991C2C">
        <w:tblPrEx>
          <w:tblCellMar>
            <w:top w:w="0" w:type="dxa"/>
            <w:left w:w="108" w:type="dxa"/>
            <w:bottom w:w="0" w:type="dxa"/>
            <w:right w:w="108" w:type="dxa"/>
          </w:tblCellMar>
        </w:tblPrEx>
        <w:trPr>
          <w:trHeight w:val="1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34245D">
            <w:pPr>
              <w:widowControl/>
              <w:textAlignment w:val="center"/>
              <w:rPr>
                <w:color w:val="000000"/>
                <w:szCs w:val="21"/>
              </w:rPr>
            </w:pPr>
            <w:r>
              <w:rPr>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3CA2C0">
            <w:pPr>
              <w:widowControl/>
              <w:textAlignment w:val="center"/>
              <w:rPr>
                <w:rFonts w:ascii="宋体" w:hAnsi="宋体" w:cs="宋体"/>
                <w:color w:val="000000"/>
                <w:szCs w:val="21"/>
              </w:rPr>
            </w:pPr>
            <w:r>
              <w:rPr>
                <w:rFonts w:hint="eastAsia" w:ascii="宋体" w:hAnsi="宋体" w:cs="宋体"/>
                <w:color w:val="000000"/>
                <w:kern w:val="0"/>
                <w:szCs w:val="21"/>
              </w:rPr>
              <w:t>耕地保护卫片监测执法督察技术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A753BB">
            <w:pPr>
              <w:widowControl/>
              <w:textAlignment w:val="center"/>
              <w:rPr>
                <w:rFonts w:ascii="宋体" w:hAnsi="宋体" w:cs="宋体"/>
                <w:color w:val="000000"/>
                <w:szCs w:val="21"/>
              </w:rPr>
            </w:pPr>
            <w:r>
              <w:rPr>
                <w:rFonts w:hint="eastAsia" w:ascii="宋体" w:hAnsi="宋体" w:cs="宋体"/>
                <w:color w:val="000000"/>
                <w:kern w:val="0"/>
                <w:szCs w:val="21"/>
              </w:rPr>
              <w:t>崇左市综合监测－违法用地线索核查技术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929064">
            <w:pPr>
              <w:widowControl/>
              <w:textAlignment w:val="center"/>
              <w:rPr>
                <w:rFonts w:ascii="宋体" w:hAnsi="宋体" w:cs="宋体"/>
                <w:color w:val="000000"/>
                <w:szCs w:val="21"/>
              </w:rPr>
            </w:pPr>
            <w:r>
              <w:rPr>
                <w:rFonts w:hint="eastAsia" w:ascii="宋体" w:hAnsi="宋体" w:cs="宋体"/>
                <w:color w:val="000000"/>
                <w:kern w:val="0"/>
                <w:szCs w:val="21"/>
              </w:rPr>
              <w:t>内业审核监测系统中县级上报图斑的地类、规划、占用基本农田、获批建设及发证情况。</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826F9D">
            <w:pPr>
              <w:widowControl/>
              <w:textAlignment w:val="center"/>
              <w:rPr>
                <w:color w:val="000000"/>
                <w:szCs w:val="21"/>
              </w:rPr>
            </w:pPr>
            <w:r>
              <w:rPr>
                <w:rStyle w:val="134"/>
                <w:rFonts w:hint="default"/>
              </w:rPr>
              <w:t>内业审核报告。</w:t>
            </w:r>
          </w:p>
        </w:tc>
      </w:tr>
      <w:tr w14:paraId="337C93AB">
        <w:tblPrEx>
          <w:tblCellMar>
            <w:top w:w="0" w:type="dxa"/>
            <w:left w:w="108" w:type="dxa"/>
            <w:bottom w:w="0" w:type="dxa"/>
            <w:right w:w="108" w:type="dxa"/>
          </w:tblCellMar>
        </w:tblPrEx>
        <w:trPr>
          <w:trHeight w:val="241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281D89">
            <w:pPr>
              <w:widowControl/>
              <w:textAlignment w:val="center"/>
              <w:rPr>
                <w:color w:val="000000"/>
                <w:szCs w:val="21"/>
              </w:rPr>
            </w:pPr>
            <w:r>
              <w:rPr>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178B48">
            <w:pPr>
              <w:widowControl/>
              <w:textAlignment w:val="center"/>
              <w:rPr>
                <w:rFonts w:ascii="宋体" w:hAnsi="宋体" w:cs="宋体"/>
                <w:color w:val="000000"/>
                <w:szCs w:val="21"/>
              </w:rPr>
            </w:pPr>
            <w:r>
              <w:rPr>
                <w:rFonts w:hint="eastAsia" w:ascii="宋体" w:hAnsi="宋体" w:cs="宋体"/>
                <w:color w:val="000000"/>
                <w:kern w:val="0"/>
                <w:szCs w:val="21"/>
              </w:rPr>
              <w:t>耕地保护卫片监测执法督察技术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258272">
            <w:pPr>
              <w:widowControl/>
              <w:textAlignment w:val="center"/>
              <w:rPr>
                <w:rFonts w:ascii="宋体" w:hAnsi="宋体" w:cs="宋体"/>
                <w:color w:val="000000"/>
                <w:szCs w:val="21"/>
              </w:rPr>
            </w:pPr>
            <w:r>
              <w:rPr>
                <w:rFonts w:hint="eastAsia" w:ascii="宋体" w:hAnsi="宋体" w:cs="宋体"/>
                <w:color w:val="000000"/>
                <w:kern w:val="0"/>
                <w:szCs w:val="21"/>
              </w:rPr>
              <w:t>违法图斑出具现场勘测技术报告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4F0797">
            <w:pPr>
              <w:widowControl/>
              <w:textAlignment w:val="center"/>
              <w:rPr>
                <w:color w:val="000000"/>
                <w:szCs w:val="21"/>
              </w:rPr>
            </w:pPr>
            <w:r>
              <w:rPr>
                <w:color w:val="000000"/>
                <w:kern w:val="0"/>
                <w:szCs w:val="21"/>
              </w:rPr>
              <w:t>1.</w:t>
            </w:r>
            <w:r>
              <w:rPr>
                <w:rStyle w:val="134"/>
                <w:rFonts w:hint="default"/>
              </w:rPr>
              <w:t>收集土地利用现状、耕地资源质量等基础资料并整理核实；</w:t>
            </w:r>
            <w:r>
              <w:rPr>
                <w:rStyle w:val="135"/>
              </w:rPr>
              <w:t>2.</w:t>
            </w:r>
            <w:r>
              <w:rPr>
                <w:rStyle w:val="134"/>
                <w:rFonts w:hint="default"/>
              </w:rPr>
              <w:t>采用无人机航空摄影测量，现场拍照、录像，进行正射影像或三维模型测量；</w:t>
            </w:r>
            <w:r>
              <w:rPr>
                <w:rStyle w:val="135"/>
              </w:rPr>
              <w:t>3.</w:t>
            </w:r>
            <w:r>
              <w:rPr>
                <w:rStyle w:val="134"/>
                <w:rFonts w:hint="default"/>
              </w:rPr>
              <w:t>生成正射影像，量取土层数据，查询图斑相关信息，编写耕地破坏报告。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8D70E2">
            <w:pPr>
              <w:widowControl/>
              <w:textAlignment w:val="center"/>
              <w:rPr>
                <w:color w:val="000000"/>
                <w:szCs w:val="21"/>
              </w:rPr>
            </w:pPr>
            <w:r>
              <w:rPr>
                <w:color w:val="000000"/>
                <w:kern w:val="0"/>
                <w:szCs w:val="21"/>
              </w:rPr>
              <w:t>1.</w:t>
            </w:r>
            <w:r>
              <w:rPr>
                <w:rStyle w:val="134"/>
                <w:rFonts w:hint="default"/>
              </w:rPr>
              <w:t>正射影像图、三维模型（如有）；</w:t>
            </w:r>
            <w:r>
              <w:rPr>
                <w:rStyle w:val="135"/>
                <w:rFonts w:hint="eastAsia"/>
              </w:rPr>
              <w:t>2</w:t>
            </w:r>
            <w:r>
              <w:rPr>
                <w:rStyle w:val="135"/>
              </w:rPr>
              <w:t>.</w:t>
            </w:r>
            <w:r>
              <w:rPr>
                <w:rStyle w:val="134"/>
                <w:rFonts w:hint="default"/>
              </w:rPr>
              <w:t>现场照片或录像；</w:t>
            </w:r>
            <w:r>
              <w:rPr>
                <w:rStyle w:val="135"/>
                <w:rFonts w:hint="eastAsia"/>
              </w:rPr>
              <w:t>3</w:t>
            </w:r>
            <w:r>
              <w:rPr>
                <w:rStyle w:val="135"/>
              </w:rPr>
              <w:t>.</w:t>
            </w:r>
            <w:r>
              <w:rPr>
                <w:rStyle w:val="134"/>
                <w:rFonts w:hint="default"/>
              </w:rPr>
              <w:t>耕地破坏现场勘测技术报告。</w:t>
            </w:r>
          </w:p>
        </w:tc>
      </w:tr>
      <w:tr w14:paraId="1A5C2D9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C7919E">
            <w:pPr>
              <w:widowControl/>
              <w:textAlignment w:val="center"/>
              <w:rPr>
                <w:color w:val="000000"/>
                <w:szCs w:val="21"/>
              </w:rPr>
            </w:pPr>
            <w:r>
              <w:rPr>
                <w:color w:val="000000"/>
                <w:kern w:val="0"/>
                <w:szCs w:val="21"/>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6B09B0">
            <w:pPr>
              <w:widowControl/>
              <w:textAlignment w:val="center"/>
              <w:rPr>
                <w:rFonts w:ascii="宋体" w:hAnsi="宋体" w:cs="宋体"/>
                <w:color w:val="000000"/>
                <w:szCs w:val="21"/>
              </w:rPr>
            </w:pPr>
            <w:r>
              <w:rPr>
                <w:rFonts w:hint="eastAsia" w:ascii="宋体" w:hAnsi="宋体" w:cs="宋体"/>
                <w:color w:val="000000"/>
                <w:kern w:val="0"/>
                <w:szCs w:val="21"/>
              </w:rPr>
              <w:t>耕地保护卫片监测执法督察技术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248BA6">
            <w:pPr>
              <w:widowControl/>
              <w:textAlignment w:val="center"/>
              <w:rPr>
                <w:rFonts w:ascii="宋体" w:hAnsi="宋体" w:cs="宋体"/>
                <w:color w:val="000000"/>
                <w:szCs w:val="21"/>
              </w:rPr>
            </w:pPr>
            <w:r>
              <w:rPr>
                <w:rFonts w:hint="eastAsia" w:ascii="宋体" w:hAnsi="宋体" w:cs="宋体"/>
                <w:color w:val="000000"/>
                <w:kern w:val="0"/>
                <w:szCs w:val="21"/>
              </w:rPr>
              <w:t>被占用耕地破坏鉴定技术服务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CA34A3">
            <w:pPr>
              <w:widowControl/>
              <w:textAlignment w:val="center"/>
              <w:rPr>
                <w:color w:val="000000"/>
                <w:szCs w:val="21"/>
              </w:rPr>
            </w:pPr>
            <w:r>
              <w:rPr>
                <w:color w:val="000000"/>
                <w:kern w:val="0"/>
                <w:szCs w:val="21"/>
              </w:rPr>
              <w:t>1.</w:t>
            </w:r>
            <w:r>
              <w:rPr>
                <w:rStyle w:val="134"/>
                <w:rFonts w:hint="default"/>
              </w:rPr>
              <w:t>收集土地利用现状、耕地资源质量等基础资料并整理核实；</w:t>
            </w:r>
            <w:r>
              <w:rPr>
                <w:rStyle w:val="135"/>
              </w:rPr>
              <w:t>2.</w:t>
            </w:r>
            <w:r>
              <w:rPr>
                <w:rStyle w:val="134"/>
                <w:rFonts w:hint="default"/>
              </w:rPr>
              <w:t>采用无人机航空摄影测量，现场拍照、录像，进行正射影像或三维模型测量；</w:t>
            </w:r>
            <w:r>
              <w:rPr>
                <w:rStyle w:val="135"/>
              </w:rPr>
              <w:t>3.</w:t>
            </w:r>
            <w:r>
              <w:rPr>
                <w:rStyle w:val="134"/>
                <w:rFonts w:hint="default"/>
              </w:rPr>
              <w:t>生成正射影像，量取土层数据，查询图斑相关信息，编写耕地破坏分析报告。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ACF73A">
            <w:pPr>
              <w:widowControl/>
              <w:textAlignment w:val="center"/>
              <w:rPr>
                <w:color w:val="000000"/>
                <w:szCs w:val="21"/>
              </w:rPr>
            </w:pPr>
            <w:r>
              <w:rPr>
                <w:color w:val="000000"/>
                <w:kern w:val="0"/>
                <w:szCs w:val="21"/>
              </w:rPr>
              <w:t>1.</w:t>
            </w:r>
            <w:r>
              <w:rPr>
                <w:rStyle w:val="134"/>
                <w:rFonts w:hint="default"/>
              </w:rPr>
              <w:t>正射影像图、三维模型（如有）；</w:t>
            </w:r>
            <w:r>
              <w:rPr>
                <w:rStyle w:val="135"/>
                <w:rFonts w:hint="eastAsia"/>
              </w:rPr>
              <w:t>2</w:t>
            </w:r>
            <w:r>
              <w:rPr>
                <w:rStyle w:val="135"/>
              </w:rPr>
              <w:t>.</w:t>
            </w:r>
            <w:r>
              <w:rPr>
                <w:rStyle w:val="134"/>
                <w:rFonts w:hint="default"/>
              </w:rPr>
              <w:t>现场照片或录像；</w:t>
            </w:r>
            <w:r>
              <w:rPr>
                <w:rStyle w:val="135"/>
                <w:rFonts w:hint="eastAsia"/>
              </w:rPr>
              <w:t>3</w:t>
            </w:r>
            <w:r>
              <w:rPr>
                <w:rStyle w:val="135"/>
              </w:rPr>
              <w:t>.</w:t>
            </w:r>
            <w:r>
              <w:rPr>
                <w:rStyle w:val="134"/>
                <w:rFonts w:hint="default"/>
              </w:rPr>
              <w:t>耕地破坏分析报告。</w:t>
            </w:r>
          </w:p>
        </w:tc>
      </w:tr>
      <w:tr w14:paraId="675A0B6E">
        <w:tblPrEx>
          <w:tblCellMar>
            <w:top w:w="0" w:type="dxa"/>
            <w:left w:w="108" w:type="dxa"/>
            <w:bottom w:w="0" w:type="dxa"/>
            <w:right w:w="108" w:type="dxa"/>
          </w:tblCellMar>
        </w:tblPrEx>
        <w:trPr>
          <w:trHeight w:val="20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99ED33">
            <w:pPr>
              <w:widowControl/>
              <w:textAlignment w:val="center"/>
              <w:rPr>
                <w:color w:val="000000"/>
                <w:szCs w:val="21"/>
              </w:rPr>
            </w:pPr>
            <w:r>
              <w:rPr>
                <w:color w:val="000000"/>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D6B648">
            <w:pPr>
              <w:widowControl/>
              <w:textAlignment w:val="center"/>
              <w:rPr>
                <w:rFonts w:ascii="宋体" w:hAnsi="宋体" w:cs="宋体"/>
                <w:color w:val="000000"/>
                <w:szCs w:val="21"/>
              </w:rPr>
            </w:pPr>
            <w:r>
              <w:rPr>
                <w:rFonts w:hint="eastAsia" w:ascii="宋体" w:hAnsi="宋体" w:cs="宋体"/>
                <w:color w:val="000000"/>
                <w:kern w:val="0"/>
                <w:szCs w:val="21"/>
              </w:rPr>
              <w:t>耕地占补平衡管理、征收、质量分类认定技术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7D61B1">
            <w:pPr>
              <w:widowControl/>
              <w:textAlignment w:val="center"/>
              <w:rPr>
                <w:rFonts w:ascii="宋体" w:hAnsi="宋体" w:cs="宋体"/>
                <w:color w:val="000000"/>
                <w:szCs w:val="21"/>
              </w:rPr>
            </w:pPr>
            <w:r>
              <w:rPr>
                <w:rFonts w:hint="eastAsia" w:ascii="宋体" w:hAnsi="宋体" w:cs="宋体"/>
                <w:color w:val="000000"/>
                <w:kern w:val="0"/>
                <w:szCs w:val="21"/>
              </w:rPr>
              <w:t>补充耕地指标核查工作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A7231C">
            <w:pPr>
              <w:widowControl/>
              <w:textAlignment w:val="center"/>
              <w:rPr>
                <w:color w:val="000000"/>
                <w:szCs w:val="21"/>
              </w:rPr>
            </w:pPr>
            <w:r>
              <w:rPr>
                <w:color w:val="000000"/>
                <w:kern w:val="0"/>
                <w:szCs w:val="21"/>
              </w:rPr>
              <w:t>1.</w:t>
            </w:r>
            <w:r>
              <w:rPr>
                <w:rStyle w:val="134"/>
                <w:rFonts w:hint="default"/>
              </w:rPr>
              <w:t>收集最新国土变更调查耕地成果、耕地等别库、前三年影像等材料；</w:t>
            </w:r>
            <w:r>
              <w:rPr>
                <w:rStyle w:val="135"/>
              </w:rPr>
              <w:t>2.</w:t>
            </w:r>
            <w:r>
              <w:rPr>
                <w:rStyle w:val="134"/>
                <w:rFonts w:hint="default"/>
              </w:rPr>
              <w:t>内业核查新增耕地范围线准确性，套合前三年影像核查耕地痕迹，编写核查报告；</w:t>
            </w:r>
            <w:r>
              <w:rPr>
                <w:rStyle w:val="135"/>
              </w:rPr>
              <w:t>3.</w:t>
            </w:r>
            <w:r>
              <w:rPr>
                <w:rStyle w:val="134"/>
                <w:rFonts w:hint="default"/>
              </w:rPr>
              <w:t>外业核查每个地块是否达到耕地标准、是否种植作物，随机抽选</w:t>
            </w:r>
            <w:r>
              <w:rPr>
                <w:rStyle w:val="135"/>
                <w:rFonts w:hint="eastAsia"/>
              </w:rPr>
              <w:t>1</w:t>
            </w:r>
            <w:r>
              <w:rPr>
                <w:rStyle w:val="135"/>
              </w:rPr>
              <w:t>0%</w:t>
            </w:r>
            <w:r>
              <w:rPr>
                <w:rStyle w:val="134"/>
                <w:rFonts w:hint="default"/>
              </w:rPr>
              <w:t>地块检测土壤，核查耕地评价结果合理性。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196E15">
            <w:pPr>
              <w:widowControl/>
              <w:textAlignment w:val="center"/>
              <w:rPr>
                <w:color w:val="000000"/>
                <w:szCs w:val="21"/>
              </w:rPr>
            </w:pPr>
            <w:r>
              <w:rPr>
                <w:color w:val="000000"/>
                <w:kern w:val="0"/>
                <w:szCs w:val="21"/>
              </w:rPr>
              <w:t>1.</w:t>
            </w:r>
            <w:r>
              <w:rPr>
                <w:rStyle w:val="134"/>
                <w:rFonts w:hint="default"/>
              </w:rPr>
              <w:t>核查报告；</w:t>
            </w:r>
            <w:r>
              <w:rPr>
                <w:rStyle w:val="135"/>
              </w:rPr>
              <w:t>2.</w:t>
            </w:r>
            <w:r>
              <w:rPr>
                <w:rStyle w:val="134"/>
                <w:rFonts w:hint="default"/>
              </w:rPr>
              <w:t>土壤检测报告（如有）；</w:t>
            </w:r>
            <w:r>
              <w:rPr>
                <w:rStyle w:val="135"/>
              </w:rPr>
              <w:t>3.</w:t>
            </w:r>
            <w:r>
              <w:rPr>
                <w:rStyle w:val="134"/>
                <w:rFonts w:hint="default"/>
              </w:rPr>
              <w:t>外业核查记录表。</w:t>
            </w:r>
          </w:p>
        </w:tc>
      </w:tr>
      <w:tr w14:paraId="3DF9A875">
        <w:tblPrEx>
          <w:tblCellMar>
            <w:top w:w="0" w:type="dxa"/>
            <w:left w:w="108" w:type="dxa"/>
            <w:bottom w:w="0" w:type="dxa"/>
            <w:right w:w="108" w:type="dxa"/>
          </w:tblCellMar>
        </w:tblPrEx>
        <w:trPr>
          <w:trHeight w:val="2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6E9439">
            <w:pPr>
              <w:widowControl/>
              <w:textAlignment w:val="center"/>
              <w:rPr>
                <w:color w:val="000000"/>
                <w:szCs w:val="21"/>
              </w:rPr>
            </w:pPr>
            <w:r>
              <w:rPr>
                <w:color w:val="000000"/>
                <w:kern w:val="0"/>
                <w:szCs w:val="21"/>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F8034F">
            <w:pPr>
              <w:widowControl/>
              <w:textAlignment w:val="center"/>
              <w:rPr>
                <w:rFonts w:ascii="宋体" w:hAnsi="宋体" w:cs="宋体"/>
                <w:color w:val="000000"/>
                <w:szCs w:val="21"/>
              </w:rPr>
            </w:pPr>
            <w:r>
              <w:rPr>
                <w:rFonts w:hint="eastAsia" w:ascii="宋体" w:hAnsi="宋体" w:cs="宋体"/>
                <w:color w:val="000000"/>
                <w:kern w:val="0"/>
                <w:szCs w:val="21"/>
              </w:rPr>
              <w:t>耕地占补平衡管理、征收、质量分类认定技术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5F0225">
            <w:pPr>
              <w:widowControl/>
              <w:textAlignment w:val="center"/>
              <w:rPr>
                <w:rFonts w:ascii="宋体" w:hAnsi="宋体" w:cs="宋体"/>
                <w:color w:val="000000"/>
                <w:szCs w:val="21"/>
              </w:rPr>
            </w:pPr>
            <w:r>
              <w:rPr>
                <w:rFonts w:hint="eastAsia" w:ascii="宋体" w:hAnsi="宋体" w:cs="宋体"/>
                <w:color w:val="000000"/>
                <w:kern w:val="0"/>
                <w:szCs w:val="21"/>
              </w:rPr>
              <w:t>市级耕地资源质量分类监测</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F3DF83">
            <w:pPr>
              <w:widowControl/>
              <w:textAlignment w:val="center"/>
              <w:rPr>
                <w:color w:val="000000"/>
                <w:szCs w:val="21"/>
              </w:rPr>
            </w:pPr>
            <w:r>
              <w:rPr>
                <w:color w:val="000000"/>
                <w:kern w:val="0"/>
                <w:szCs w:val="21"/>
              </w:rPr>
              <w:t>1.</w:t>
            </w:r>
            <w:r>
              <w:rPr>
                <w:rStyle w:val="134"/>
                <w:rFonts w:hint="default"/>
              </w:rPr>
              <w:t>按年度实施方案及技术手册，对</w:t>
            </w:r>
            <w:r>
              <w:rPr>
                <w:rStyle w:val="135"/>
              </w:rPr>
              <w:t>7</w:t>
            </w:r>
            <w:r>
              <w:rPr>
                <w:rStyle w:val="134"/>
                <w:rFonts w:hint="default"/>
              </w:rPr>
              <w:t>个县（市、区）县级成果进行齐全性、有效性等质量检查；</w:t>
            </w:r>
            <w:r>
              <w:rPr>
                <w:rStyle w:val="135"/>
              </w:rPr>
              <w:t>2.</w:t>
            </w:r>
            <w:r>
              <w:rPr>
                <w:rStyle w:val="134"/>
                <w:rFonts w:hint="default"/>
              </w:rPr>
              <w:t>汇总县级数据，编制市级成果（分析报告、面积汇总表、监测样点汇总表、县级报告审查意见、土壤条件指标分布图），提交自治区自然资源厅。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73EAD4">
            <w:pPr>
              <w:widowControl/>
              <w:textAlignment w:val="center"/>
              <w:rPr>
                <w:color w:val="000000"/>
                <w:szCs w:val="21"/>
              </w:rPr>
            </w:pPr>
            <w:r>
              <w:rPr>
                <w:color w:val="000000"/>
                <w:kern w:val="0"/>
                <w:szCs w:val="21"/>
              </w:rPr>
              <w:t>1.</w:t>
            </w:r>
            <w:r>
              <w:rPr>
                <w:rStyle w:val="134"/>
                <w:rFonts w:hint="default"/>
              </w:rPr>
              <w:t>县级成果审查意见表；</w:t>
            </w:r>
            <w:r>
              <w:rPr>
                <w:rStyle w:val="135"/>
              </w:rPr>
              <w:t>2.</w:t>
            </w:r>
            <w:r>
              <w:rPr>
                <w:rStyle w:val="134"/>
                <w:rFonts w:hint="default"/>
              </w:rPr>
              <w:t>市级耕地资源质量分类年度更新与监测分析报告；</w:t>
            </w:r>
            <w:r>
              <w:rPr>
                <w:rStyle w:val="135"/>
              </w:rPr>
              <w:t>3.</w:t>
            </w:r>
            <w:r>
              <w:rPr>
                <w:rStyle w:val="134"/>
                <w:rFonts w:hint="default"/>
              </w:rPr>
              <w:t>相关汇总表及分布图。</w:t>
            </w:r>
          </w:p>
        </w:tc>
      </w:tr>
      <w:tr w14:paraId="2C5EE4AF">
        <w:tblPrEx>
          <w:tblCellMar>
            <w:top w:w="0" w:type="dxa"/>
            <w:left w:w="108" w:type="dxa"/>
            <w:bottom w:w="0" w:type="dxa"/>
            <w:right w:w="108" w:type="dxa"/>
          </w:tblCellMar>
        </w:tblPrEx>
        <w:trPr>
          <w:trHeight w:val="1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579E43">
            <w:pPr>
              <w:widowControl/>
              <w:textAlignment w:val="center"/>
              <w:rPr>
                <w:color w:val="000000"/>
                <w:szCs w:val="21"/>
              </w:rPr>
            </w:pPr>
            <w:r>
              <w:rPr>
                <w:color w:val="000000"/>
                <w:kern w:val="0"/>
                <w:szCs w:val="21"/>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CAFA89">
            <w:pPr>
              <w:widowControl/>
              <w:textAlignment w:val="center"/>
              <w:rPr>
                <w:rFonts w:ascii="宋体" w:hAnsi="宋体" w:cs="宋体"/>
                <w:color w:val="000000"/>
                <w:szCs w:val="21"/>
              </w:rPr>
            </w:pPr>
            <w:r>
              <w:rPr>
                <w:rFonts w:hint="eastAsia" w:ascii="宋体" w:hAnsi="宋体" w:cs="宋体"/>
                <w:color w:val="000000"/>
                <w:kern w:val="0"/>
                <w:szCs w:val="21"/>
              </w:rPr>
              <w:t>耕地占补平衡管理、征收、质量分类认定技术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FA7112">
            <w:pPr>
              <w:widowControl/>
              <w:textAlignment w:val="center"/>
              <w:rPr>
                <w:rFonts w:ascii="宋体" w:hAnsi="宋体" w:cs="宋体"/>
                <w:color w:val="000000"/>
                <w:szCs w:val="21"/>
              </w:rPr>
            </w:pPr>
            <w:r>
              <w:rPr>
                <w:rFonts w:hint="eastAsia" w:ascii="宋体" w:hAnsi="宋体" w:cs="宋体"/>
                <w:color w:val="000000"/>
                <w:kern w:val="0"/>
                <w:szCs w:val="21"/>
              </w:rPr>
              <w:t>土地征收社会稳定风险评估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C6FFDF">
            <w:pPr>
              <w:widowControl/>
              <w:textAlignment w:val="center"/>
              <w:rPr>
                <w:color w:val="000000"/>
                <w:szCs w:val="21"/>
              </w:rPr>
            </w:pPr>
            <w:r>
              <w:rPr>
                <w:color w:val="000000"/>
                <w:kern w:val="0"/>
                <w:szCs w:val="21"/>
              </w:rPr>
              <w:t>1.</w:t>
            </w:r>
            <w:r>
              <w:rPr>
                <w:rStyle w:val="134"/>
                <w:rFonts w:hint="default"/>
              </w:rPr>
              <w:t>收集项目可研报告、规划方案、征地补偿标准等材料；</w:t>
            </w:r>
            <w:r>
              <w:rPr>
                <w:rStyle w:val="135"/>
              </w:rPr>
              <w:t>2.</w:t>
            </w:r>
            <w:r>
              <w:rPr>
                <w:rStyle w:val="134"/>
                <w:rFonts w:hint="default"/>
              </w:rPr>
              <w:t>采用实地踏勘、问卷调查、走访座谈等方式开展风险调查；</w:t>
            </w:r>
            <w:r>
              <w:rPr>
                <w:rStyle w:val="135"/>
              </w:rPr>
              <w:t>3.</w:t>
            </w:r>
            <w:r>
              <w:rPr>
                <w:rStyle w:val="134"/>
                <w:rFonts w:hint="default"/>
              </w:rPr>
              <w:t>编写风险评估报告，组织上会评审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42BAE7">
            <w:pPr>
              <w:widowControl/>
              <w:textAlignment w:val="center"/>
              <w:rPr>
                <w:color w:val="000000"/>
                <w:szCs w:val="21"/>
              </w:rPr>
            </w:pPr>
            <w:r>
              <w:rPr>
                <w:color w:val="000000"/>
                <w:kern w:val="0"/>
                <w:szCs w:val="21"/>
              </w:rPr>
              <w:t>1.</w:t>
            </w:r>
            <w:r>
              <w:rPr>
                <w:rStyle w:val="134"/>
                <w:rFonts w:hint="default"/>
              </w:rPr>
              <w:t>风险调查资料汇编；</w:t>
            </w:r>
            <w:r>
              <w:rPr>
                <w:rStyle w:val="135"/>
              </w:rPr>
              <w:t>2.</w:t>
            </w:r>
            <w:r>
              <w:rPr>
                <w:rStyle w:val="134"/>
                <w:rFonts w:hint="default"/>
              </w:rPr>
              <w:t>社会稳定风险评估报告；</w:t>
            </w:r>
            <w:r>
              <w:rPr>
                <w:rStyle w:val="135"/>
              </w:rPr>
              <w:t>3.</w:t>
            </w:r>
            <w:r>
              <w:rPr>
                <w:rStyle w:val="134"/>
                <w:rFonts w:hint="default"/>
              </w:rPr>
              <w:t>审查意见</w:t>
            </w:r>
          </w:p>
        </w:tc>
      </w:tr>
      <w:tr w14:paraId="34EDAD0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FD0F91">
            <w:pPr>
              <w:widowControl/>
              <w:textAlignment w:val="center"/>
              <w:rPr>
                <w:color w:val="000000"/>
                <w:szCs w:val="21"/>
              </w:rPr>
            </w:pPr>
            <w:r>
              <w:rPr>
                <w:color w:val="000000"/>
                <w:kern w:val="0"/>
                <w:szCs w:val="21"/>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1B245E">
            <w:pPr>
              <w:widowControl/>
              <w:textAlignment w:val="center"/>
              <w:rPr>
                <w:rFonts w:ascii="宋体" w:hAnsi="宋体" w:cs="宋体"/>
                <w:color w:val="000000"/>
                <w:szCs w:val="21"/>
              </w:rPr>
            </w:pPr>
            <w:r>
              <w:rPr>
                <w:rFonts w:hint="eastAsia" w:ascii="宋体" w:hAnsi="宋体" w:cs="宋体"/>
                <w:color w:val="000000"/>
                <w:kern w:val="0"/>
                <w:szCs w:val="21"/>
              </w:rPr>
              <w:t>耕地占补平衡管理、征收、质量分类认定技术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19B894">
            <w:pPr>
              <w:widowControl/>
              <w:textAlignment w:val="center"/>
              <w:rPr>
                <w:rFonts w:ascii="宋体" w:hAnsi="宋体" w:cs="宋体"/>
                <w:color w:val="000000"/>
                <w:szCs w:val="21"/>
              </w:rPr>
            </w:pPr>
            <w:r>
              <w:rPr>
                <w:rFonts w:hint="eastAsia" w:ascii="宋体" w:hAnsi="宋体" w:cs="宋体"/>
                <w:color w:val="000000"/>
                <w:kern w:val="0"/>
                <w:szCs w:val="21"/>
              </w:rPr>
              <w:t>新增耕地图斑市级地类认定及数据审核</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5A0E18">
            <w:pPr>
              <w:widowControl/>
              <w:textAlignment w:val="center"/>
              <w:rPr>
                <w:color w:val="000000"/>
                <w:szCs w:val="21"/>
              </w:rPr>
            </w:pPr>
            <w:r>
              <w:rPr>
                <w:color w:val="000000"/>
                <w:kern w:val="0"/>
                <w:szCs w:val="21"/>
              </w:rPr>
              <w:t>1.</w:t>
            </w:r>
            <w:r>
              <w:rPr>
                <w:rStyle w:val="134"/>
                <w:rFonts w:hint="default"/>
              </w:rPr>
              <w:t>收集最新国土变更调查成果、坡度库、生态保护红线等材料；</w:t>
            </w:r>
            <w:r>
              <w:rPr>
                <w:rStyle w:val="135"/>
              </w:rPr>
              <w:t>2.</w:t>
            </w:r>
            <w:r>
              <w:rPr>
                <w:rStyle w:val="134"/>
                <w:rFonts w:hint="default"/>
              </w:rPr>
              <w:t>提取非耕地及非建设用地图斑，进行擦除分析，形成补充耕地潜力数据；</w:t>
            </w:r>
            <w:r>
              <w:rPr>
                <w:rStyle w:val="135"/>
              </w:rPr>
              <w:t>3.</w:t>
            </w:r>
            <w:r>
              <w:rPr>
                <w:rStyle w:val="134"/>
                <w:rFonts w:hint="default"/>
              </w:rPr>
              <w:t>拆分多部件、删除微小面（单地块＞</w:t>
            </w:r>
            <w:r>
              <w:rPr>
                <w:rStyle w:val="135"/>
              </w:rPr>
              <w:t>400</w:t>
            </w:r>
            <w:r>
              <w:rPr>
                <w:rStyle w:val="134"/>
                <w:rFonts w:hint="default"/>
              </w:rPr>
              <w:t>㎡），选取意向区域，转换数据格式并通过占补平衡系统核查。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9549AA">
            <w:pPr>
              <w:widowControl/>
              <w:textAlignment w:val="center"/>
              <w:rPr>
                <w:color w:val="000000"/>
                <w:szCs w:val="21"/>
              </w:rPr>
            </w:pPr>
            <w:r>
              <w:rPr>
                <w:color w:val="000000"/>
                <w:kern w:val="0"/>
                <w:szCs w:val="21"/>
              </w:rPr>
              <w:t>1.</w:t>
            </w:r>
            <w:r>
              <w:rPr>
                <w:rStyle w:val="134"/>
                <w:rFonts w:hint="default"/>
              </w:rPr>
              <w:t>补充耕地潜力数据集；</w:t>
            </w:r>
            <w:r>
              <w:rPr>
                <w:rStyle w:val="135"/>
              </w:rPr>
              <w:t>2.</w:t>
            </w:r>
            <w:r>
              <w:rPr>
                <w:rStyle w:val="134"/>
                <w:rFonts w:hint="default"/>
              </w:rPr>
              <w:t>地类认定报告；</w:t>
            </w:r>
            <w:r>
              <w:rPr>
                <w:rStyle w:val="135"/>
              </w:rPr>
              <w:t>3.</w:t>
            </w:r>
            <w:r>
              <w:rPr>
                <w:rStyle w:val="134"/>
                <w:rFonts w:hint="default"/>
              </w:rPr>
              <w:t>系统核查通过截图。</w:t>
            </w:r>
          </w:p>
        </w:tc>
      </w:tr>
      <w:tr w14:paraId="4A51B9BB">
        <w:tblPrEx>
          <w:tblCellMar>
            <w:top w:w="0" w:type="dxa"/>
            <w:left w:w="108" w:type="dxa"/>
            <w:bottom w:w="0" w:type="dxa"/>
            <w:right w:w="108" w:type="dxa"/>
          </w:tblCellMar>
        </w:tblPrEx>
        <w:trPr>
          <w:trHeight w:val="2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B9C2C9">
            <w:pPr>
              <w:widowControl/>
              <w:textAlignment w:val="center"/>
              <w:rPr>
                <w:color w:val="000000"/>
                <w:szCs w:val="21"/>
              </w:rPr>
            </w:pPr>
            <w:r>
              <w:rPr>
                <w:color w:val="000000"/>
                <w:kern w:val="0"/>
                <w:szCs w:val="21"/>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8345C2">
            <w:pPr>
              <w:widowControl/>
              <w:textAlignment w:val="center"/>
              <w:rPr>
                <w:rFonts w:ascii="宋体" w:hAnsi="宋体" w:cs="宋体"/>
                <w:color w:val="000000"/>
                <w:szCs w:val="21"/>
              </w:rPr>
            </w:pPr>
            <w:r>
              <w:rPr>
                <w:rFonts w:hint="eastAsia" w:ascii="宋体" w:hAnsi="宋体" w:cs="宋体"/>
                <w:color w:val="000000"/>
                <w:kern w:val="0"/>
                <w:szCs w:val="21"/>
              </w:rPr>
              <w:t>自然资源基础测绘、调查监测分析技术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6A44FA">
            <w:pPr>
              <w:widowControl/>
              <w:textAlignment w:val="center"/>
              <w:rPr>
                <w:rFonts w:ascii="宋体" w:hAnsi="宋体" w:cs="宋体"/>
                <w:color w:val="000000"/>
                <w:szCs w:val="21"/>
              </w:rPr>
            </w:pPr>
            <w:r>
              <w:rPr>
                <w:rFonts w:hint="eastAsia" w:ascii="宋体" w:hAnsi="宋体" w:cs="宋体"/>
                <w:color w:val="000000"/>
                <w:kern w:val="0"/>
                <w:szCs w:val="21"/>
              </w:rPr>
              <w:t>日常变更及年度变更图斑市级审核</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854E96">
            <w:pPr>
              <w:widowControl/>
              <w:textAlignment w:val="center"/>
              <w:rPr>
                <w:color w:val="000000"/>
                <w:szCs w:val="21"/>
              </w:rPr>
            </w:pPr>
            <w:r>
              <w:rPr>
                <w:color w:val="000000"/>
                <w:kern w:val="0"/>
                <w:szCs w:val="21"/>
              </w:rPr>
              <w:t>1.</w:t>
            </w:r>
            <w:r>
              <w:rPr>
                <w:rStyle w:val="134"/>
                <w:rFonts w:hint="default"/>
              </w:rPr>
              <w:t>收集最新变更调查成果、历年耕地成果、不动产登记数据等</w:t>
            </w:r>
            <w:r>
              <w:rPr>
                <w:rStyle w:val="135"/>
              </w:rPr>
              <w:t>14</w:t>
            </w:r>
            <w:r>
              <w:rPr>
                <w:rStyle w:val="134"/>
                <w:rFonts w:hint="default"/>
              </w:rPr>
              <w:t>类材料；</w:t>
            </w:r>
            <w:r>
              <w:rPr>
                <w:rStyle w:val="135"/>
              </w:rPr>
              <w:t>2.</w:t>
            </w:r>
            <w:r>
              <w:rPr>
                <w:rStyle w:val="134"/>
                <w:rFonts w:hint="default"/>
              </w:rPr>
              <w:t>内业审核作业单位举证提交的图斑。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CF8F75">
            <w:pPr>
              <w:widowControl/>
              <w:textAlignment w:val="center"/>
              <w:rPr>
                <w:color w:val="000000"/>
                <w:szCs w:val="21"/>
              </w:rPr>
            </w:pPr>
            <w:r>
              <w:rPr>
                <w:rStyle w:val="134"/>
                <w:rFonts w:hint="default"/>
              </w:rPr>
              <w:t>1.图斑审核意见表；</w:t>
            </w:r>
            <w:r>
              <w:rPr>
                <w:rStyle w:val="135"/>
                <w:rFonts w:hint="eastAsia"/>
              </w:rPr>
              <w:t>2</w:t>
            </w:r>
            <w:r>
              <w:rPr>
                <w:rStyle w:val="135"/>
              </w:rPr>
              <w:t>.</w:t>
            </w:r>
            <w:r>
              <w:rPr>
                <w:rStyle w:val="134"/>
                <w:rFonts w:hint="default"/>
              </w:rPr>
              <w:t>审核报告。</w:t>
            </w:r>
          </w:p>
        </w:tc>
      </w:tr>
      <w:tr w14:paraId="4435A8C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5C4F29">
            <w:pPr>
              <w:widowControl/>
              <w:textAlignment w:val="center"/>
              <w:rPr>
                <w:color w:val="000000"/>
                <w:szCs w:val="21"/>
              </w:rPr>
            </w:pPr>
            <w:r>
              <w:rPr>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C2D648">
            <w:pPr>
              <w:widowControl/>
              <w:textAlignment w:val="center"/>
              <w:rPr>
                <w:rFonts w:ascii="宋体" w:hAnsi="宋体" w:cs="宋体"/>
                <w:color w:val="000000"/>
                <w:szCs w:val="21"/>
              </w:rPr>
            </w:pPr>
            <w:r>
              <w:rPr>
                <w:rFonts w:hint="eastAsia" w:ascii="宋体" w:hAnsi="宋体" w:cs="宋体"/>
                <w:color w:val="000000"/>
                <w:kern w:val="0"/>
                <w:szCs w:val="21"/>
              </w:rPr>
              <w:t>自然资源基础测绘、调查监测分析技术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C9EF21">
            <w:pPr>
              <w:widowControl/>
              <w:textAlignment w:val="center"/>
              <w:rPr>
                <w:rFonts w:ascii="宋体" w:hAnsi="宋体" w:cs="宋体"/>
                <w:color w:val="000000"/>
                <w:szCs w:val="21"/>
              </w:rPr>
            </w:pPr>
            <w:r>
              <w:rPr>
                <w:rFonts w:hint="eastAsia" w:ascii="宋体" w:hAnsi="宋体" w:cs="宋体"/>
                <w:color w:val="000000"/>
                <w:kern w:val="0"/>
                <w:szCs w:val="21"/>
              </w:rPr>
              <w:t>城市国土空间监测技术服务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2A5573">
            <w:pPr>
              <w:widowControl/>
              <w:textAlignment w:val="center"/>
              <w:rPr>
                <w:color w:val="000000"/>
                <w:szCs w:val="21"/>
              </w:rPr>
            </w:pPr>
            <w:r>
              <w:rPr>
                <w:color w:val="000000"/>
                <w:kern w:val="0"/>
                <w:szCs w:val="21"/>
              </w:rPr>
              <w:t>1.</w:t>
            </w:r>
            <w:r>
              <w:rPr>
                <w:rStyle w:val="134"/>
                <w:rFonts w:hint="default"/>
              </w:rPr>
              <w:t>收集地籍调查、地理国情监测等数据及民政、交通等专题资料，整理分析并转换为</w:t>
            </w:r>
            <w:r>
              <w:rPr>
                <w:rStyle w:val="135"/>
              </w:rPr>
              <w:t>CGCS2000</w:t>
            </w:r>
            <w:r>
              <w:rPr>
                <w:rStyle w:val="134"/>
                <w:rFonts w:hint="default"/>
              </w:rPr>
              <w:t>坐标系</w:t>
            </w:r>
            <w:r>
              <w:rPr>
                <w:rStyle w:val="135"/>
              </w:rPr>
              <w:t>SHP</w:t>
            </w:r>
            <w:r>
              <w:rPr>
                <w:rStyle w:val="134"/>
                <w:rFonts w:hint="default"/>
              </w:rPr>
              <w:t>格式；</w:t>
            </w:r>
            <w:r>
              <w:rPr>
                <w:rStyle w:val="135"/>
              </w:rPr>
              <w:t>2.</w:t>
            </w:r>
            <w:r>
              <w:rPr>
                <w:rStyle w:val="134"/>
                <w:rFonts w:hint="default"/>
              </w:rPr>
              <w:t>以</w:t>
            </w:r>
            <w:r>
              <w:rPr>
                <w:rStyle w:val="135"/>
              </w:rPr>
              <w:t>2022</w:t>
            </w:r>
            <w:r>
              <w:rPr>
                <w:rStyle w:val="134"/>
                <w:rFonts w:hint="default"/>
              </w:rPr>
              <w:t>年国土变更调查成果为底图，套合</w:t>
            </w:r>
            <w:r>
              <w:rPr>
                <w:rStyle w:val="135"/>
              </w:rPr>
              <w:t>2023</w:t>
            </w:r>
            <w:r>
              <w:rPr>
                <w:rStyle w:val="134"/>
                <w:rFonts w:hint="default"/>
              </w:rPr>
              <w:t>年遥感影像，细化补充公共管理与公共服务用地等空间信息，更新水网及交通网络数据集；</w:t>
            </w:r>
            <w:r>
              <w:rPr>
                <w:rStyle w:val="135"/>
              </w:rPr>
              <w:t>3.</w:t>
            </w:r>
            <w:r>
              <w:rPr>
                <w:rStyle w:val="134"/>
                <w:rFonts w:hint="default"/>
              </w:rPr>
              <w:t>实地调查获取矢量数据，细化图斑边界并记录属性，矢量化编辑成果；</w:t>
            </w:r>
            <w:r>
              <w:rPr>
                <w:rStyle w:val="135"/>
              </w:rPr>
              <w:t>4.</w:t>
            </w:r>
            <w:r>
              <w:rPr>
                <w:rStyle w:val="134"/>
                <w:rFonts w:hint="default"/>
              </w:rPr>
              <w:t>编辑调查成果、分层处理数据、建库并质量检查，汇总整理监测数据及报告。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0CC30E">
            <w:pPr>
              <w:widowControl/>
              <w:textAlignment w:val="center"/>
              <w:rPr>
                <w:color w:val="000000"/>
                <w:szCs w:val="21"/>
              </w:rPr>
            </w:pPr>
            <w:r>
              <w:rPr>
                <w:color w:val="000000"/>
                <w:kern w:val="0"/>
                <w:szCs w:val="21"/>
              </w:rPr>
              <w:t>1.</w:t>
            </w:r>
            <w:r>
              <w:rPr>
                <w:rStyle w:val="134"/>
                <w:rFonts w:hint="default"/>
              </w:rPr>
              <w:t>基础资料汇编；</w:t>
            </w:r>
            <w:r>
              <w:rPr>
                <w:rStyle w:val="135"/>
              </w:rPr>
              <w:t>2.</w:t>
            </w:r>
            <w:r>
              <w:rPr>
                <w:rStyle w:val="134"/>
                <w:rFonts w:hint="default"/>
              </w:rPr>
              <w:t>空间细化补充数据集、水域及交通网络数据集；</w:t>
            </w:r>
            <w:r>
              <w:rPr>
                <w:rStyle w:val="135"/>
              </w:rPr>
              <w:t>3.</w:t>
            </w:r>
            <w:r>
              <w:rPr>
                <w:rStyle w:val="134"/>
                <w:rFonts w:hint="default"/>
              </w:rPr>
              <w:t>外业调查记录表及矢量化成果；</w:t>
            </w:r>
            <w:r>
              <w:rPr>
                <w:rStyle w:val="135"/>
              </w:rPr>
              <w:t>4.</w:t>
            </w:r>
            <w:r>
              <w:rPr>
                <w:rStyle w:val="134"/>
                <w:rFonts w:hint="default"/>
              </w:rPr>
              <w:t>城市国土空间监测数据库；</w:t>
            </w:r>
            <w:r>
              <w:rPr>
                <w:rStyle w:val="135"/>
              </w:rPr>
              <w:t>5.</w:t>
            </w:r>
            <w:r>
              <w:rPr>
                <w:rStyle w:val="134"/>
                <w:rFonts w:hint="default"/>
              </w:rPr>
              <w:t>工作报告及数据分析报告。</w:t>
            </w:r>
          </w:p>
        </w:tc>
      </w:tr>
      <w:tr w14:paraId="076F042F">
        <w:tblPrEx>
          <w:tblCellMar>
            <w:top w:w="0" w:type="dxa"/>
            <w:left w:w="108" w:type="dxa"/>
            <w:bottom w:w="0" w:type="dxa"/>
            <w:right w:w="108" w:type="dxa"/>
          </w:tblCellMar>
        </w:tblPrEx>
        <w:trPr>
          <w:trHeight w:val="172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E6280C">
            <w:pPr>
              <w:widowControl/>
              <w:textAlignment w:val="center"/>
              <w:rPr>
                <w:color w:val="000000"/>
                <w:szCs w:val="21"/>
              </w:rPr>
            </w:pPr>
            <w:r>
              <w:rPr>
                <w:color w:val="000000"/>
                <w:kern w:val="0"/>
                <w:szCs w:val="21"/>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D8AEE9">
            <w:pPr>
              <w:widowControl/>
              <w:textAlignment w:val="center"/>
              <w:rPr>
                <w:rFonts w:ascii="宋体" w:hAnsi="宋体" w:cs="宋体"/>
                <w:color w:val="000000"/>
                <w:szCs w:val="21"/>
              </w:rPr>
            </w:pPr>
            <w:r>
              <w:rPr>
                <w:rFonts w:hint="eastAsia" w:ascii="宋体" w:hAnsi="宋体" w:cs="宋体"/>
                <w:color w:val="000000"/>
                <w:kern w:val="0"/>
                <w:szCs w:val="21"/>
              </w:rPr>
              <w:t>土地整理复垦评审技术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7331CD">
            <w:pPr>
              <w:widowControl/>
              <w:textAlignment w:val="center"/>
              <w:rPr>
                <w:rFonts w:ascii="宋体" w:hAnsi="宋体" w:cs="宋体"/>
                <w:color w:val="000000"/>
                <w:szCs w:val="21"/>
              </w:rPr>
            </w:pPr>
            <w:r>
              <w:rPr>
                <w:rFonts w:hint="eastAsia" w:ascii="宋体" w:hAnsi="宋体" w:cs="宋体"/>
                <w:color w:val="000000"/>
                <w:kern w:val="0"/>
                <w:szCs w:val="21"/>
              </w:rPr>
              <w:t>组织评审（土地复垦可研报告、设计和施工图纸、项目验收）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748AFA">
            <w:pPr>
              <w:widowControl/>
              <w:textAlignment w:val="center"/>
              <w:rPr>
                <w:color w:val="000000"/>
                <w:szCs w:val="21"/>
              </w:rPr>
            </w:pPr>
            <w:r>
              <w:rPr>
                <w:color w:val="000000"/>
                <w:kern w:val="0"/>
                <w:szCs w:val="21"/>
              </w:rPr>
              <w:t>1.</w:t>
            </w:r>
            <w:r>
              <w:rPr>
                <w:rStyle w:val="134"/>
                <w:rFonts w:hint="default"/>
              </w:rPr>
              <w:t>完成项目地形核查；</w:t>
            </w:r>
            <w:r>
              <w:rPr>
                <w:rStyle w:val="135"/>
              </w:rPr>
              <w:t>2.</w:t>
            </w:r>
            <w:r>
              <w:rPr>
                <w:rStyle w:val="134"/>
                <w:rFonts w:hint="default"/>
              </w:rPr>
              <w:t>实地查看项目，组织专家及有关单位现场核查；</w:t>
            </w:r>
            <w:r>
              <w:rPr>
                <w:rStyle w:val="135"/>
              </w:rPr>
              <w:t>3.</w:t>
            </w:r>
            <w:r>
              <w:rPr>
                <w:rStyle w:val="134"/>
                <w:rFonts w:hint="default"/>
              </w:rPr>
              <w:t>审查方案材料及修改情况，结合现场核查出具评审意见书。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130292">
            <w:pPr>
              <w:widowControl/>
              <w:textAlignment w:val="center"/>
              <w:rPr>
                <w:color w:val="000000"/>
                <w:szCs w:val="21"/>
              </w:rPr>
            </w:pPr>
            <w:r>
              <w:rPr>
                <w:color w:val="000000"/>
                <w:kern w:val="0"/>
                <w:szCs w:val="21"/>
              </w:rPr>
              <w:t>1.</w:t>
            </w:r>
            <w:r>
              <w:rPr>
                <w:rStyle w:val="134"/>
                <w:rFonts w:hint="default"/>
              </w:rPr>
              <w:t>专家评审意见；</w:t>
            </w:r>
            <w:r>
              <w:rPr>
                <w:rStyle w:val="135"/>
                <w:rFonts w:hint="eastAsia"/>
              </w:rPr>
              <w:t>2</w:t>
            </w:r>
            <w:r>
              <w:rPr>
                <w:rStyle w:val="135"/>
              </w:rPr>
              <w:t>.</w:t>
            </w:r>
            <w:r>
              <w:rPr>
                <w:rStyle w:val="134"/>
                <w:rFonts w:hint="default"/>
              </w:rPr>
              <w:t>评审意见书。</w:t>
            </w:r>
          </w:p>
        </w:tc>
      </w:tr>
      <w:tr w14:paraId="61717077">
        <w:tblPrEx>
          <w:tblCellMar>
            <w:top w:w="0" w:type="dxa"/>
            <w:left w:w="108" w:type="dxa"/>
            <w:bottom w:w="0" w:type="dxa"/>
            <w:right w:w="108" w:type="dxa"/>
          </w:tblCellMar>
        </w:tblPrEx>
        <w:trPr>
          <w:trHeight w:val="206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C9185F">
            <w:pPr>
              <w:widowControl/>
              <w:textAlignment w:val="center"/>
              <w:rPr>
                <w:color w:val="000000"/>
                <w:szCs w:val="21"/>
              </w:rPr>
            </w:pPr>
            <w:r>
              <w:rPr>
                <w:color w:val="000000"/>
                <w:kern w:val="0"/>
                <w:szCs w:val="21"/>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C2012C">
            <w:pPr>
              <w:widowControl/>
              <w:textAlignment w:val="center"/>
              <w:rPr>
                <w:rFonts w:ascii="宋体" w:hAnsi="宋体" w:cs="宋体"/>
                <w:color w:val="000000"/>
                <w:szCs w:val="21"/>
              </w:rPr>
            </w:pPr>
            <w:r>
              <w:rPr>
                <w:rFonts w:hint="eastAsia" w:ascii="宋体" w:hAnsi="宋体" w:cs="宋体"/>
                <w:color w:val="000000"/>
                <w:kern w:val="0"/>
                <w:szCs w:val="21"/>
              </w:rPr>
              <w:t>土地资源资产价值有偿使用（出让前期）工作技术服务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8A1636">
            <w:pPr>
              <w:widowControl/>
              <w:textAlignment w:val="center"/>
              <w:rPr>
                <w:rFonts w:ascii="宋体" w:hAnsi="宋体" w:cs="宋体"/>
                <w:color w:val="000000"/>
                <w:szCs w:val="21"/>
              </w:rPr>
            </w:pPr>
            <w:r>
              <w:rPr>
                <w:rFonts w:hint="eastAsia" w:ascii="宋体" w:hAnsi="宋体" w:cs="宋体"/>
                <w:color w:val="000000"/>
                <w:kern w:val="0"/>
                <w:szCs w:val="21"/>
              </w:rPr>
              <w:t>历史遗留批而未供土地核实后出具供地红线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CCD83A">
            <w:pPr>
              <w:widowControl/>
              <w:textAlignment w:val="center"/>
              <w:rPr>
                <w:color w:val="000000"/>
                <w:szCs w:val="21"/>
              </w:rPr>
            </w:pPr>
            <w:r>
              <w:rPr>
                <w:color w:val="000000"/>
                <w:kern w:val="0"/>
                <w:szCs w:val="21"/>
              </w:rPr>
              <w:t>1.</w:t>
            </w:r>
            <w:r>
              <w:rPr>
                <w:rStyle w:val="134"/>
                <w:rFonts w:hint="default"/>
              </w:rPr>
              <w:t>收集历年供地材料、土地利用总体规划等基础资料；</w:t>
            </w:r>
            <w:r>
              <w:rPr>
                <w:rStyle w:val="135"/>
              </w:rPr>
              <w:t>2.</w:t>
            </w:r>
            <w:r>
              <w:rPr>
                <w:rStyle w:val="134"/>
                <w:rFonts w:hint="default"/>
              </w:rPr>
              <w:t>实测历史遗留批而未供土地范围；</w:t>
            </w:r>
            <w:r>
              <w:rPr>
                <w:rStyle w:val="135"/>
              </w:rPr>
              <w:t>3.</w:t>
            </w:r>
            <w:r>
              <w:rPr>
                <w:rStyle w:val="134"/>
                <w:rFonts w:hint="default"/>
              </w:rPr>
              <w:t>综合实测范围及周边地块规划、供地等情况，重新出具供地红线图。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99087F">
            <w:pPr>
              <w:widowControl/>
              <w:textAlignment w:val="center"/>
              <w:rPr>
                <w:color w:val="000000"/>
                <w:szCs w:val="21"/>
              </w:rPr>
            </w:pPr>
            <w:r>
              <w:rPr>
                <w:color w:val="000000"/>
                <w:kern w:val="0"/>
                <w:szCs w:val="21"/>
              </w:rPr>
              <w:t>1.</w:t>
            </w:r>
            <w:r>
              <w:rPr>
                <w:rStyle w:val="134"/>
                <w:rFonts w:hint="default"/>
              </w:rPr>
              <w:t>实测报告；</w:t>
            </w:r>
            <w:r>
              <w:rPr>
                <w:rStyle w:val="135"/>
                <w:rFonts w:hint="eastAsia"/>
              </w:rPr>
              <w:t>2</w:t>
            </w:r>
            <w:r>
              <w:rPr>
                <w:rStyle w:val="135"/>
              </w:rPr>
              <w:t>.</w:t>
            </w:r>
            <w:r>
              <w:rPr>
                <w:rStyle w:val="134"/>
                <w:rFonts w:hint="default"/>
              </w:rPr>
              <w:t>供地红线图（纸质</w:t>
            </w:r>
            <w:r>
              <w:rPr>
                <w:rStyle w:val="135"/>
              </w:rPr>
              <w:t>+</w:t>
            </w:r>
            <w:r>
              <w:rPr>
                <w:rStyle w:val="134"/>
                <w:rFonts w:hint="default"/>
              </w:rPr>
              <w:t>电子）。</w:t>
            </w:r>
          </w:p>
        </w:tc>
      </w:tr>
      <w:tr w14:paraId="7E27A70C">
        <w:tblPrEx>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5397C4">
            <w:pPr>
              <w:widowControl/>
              <w:textAlignment w:val="center"/>
              <w:rPr>
                <w:color w:val="000000"/>
                <w:szCs w:val="21"/>
              </w:rPr>
            </w:pPr>
            <w:r>
              <w:rPr>
                <w:color w:val="000000"/>
                <w:kern w:val="0"/>
                <w:szCs w:val="21"/>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7D6670">
            <w:pPr>
              <w:widowControl/>
              <w:textAlignment w:val="center"/>
              <w:rPr>
                <w:rFonts w:ascii="宋体" w:hAnsi="宋体" w:cs="宋体"/>
                <w:color w:val="000000"/>
                <w:szCs w:val="21"/>
              </w:rPr>
            </w:pPr>
            <w:r>
              <w:rPr>
                <w:rFonts w:hint="eastAsia" w:ascii="宋体" w:hAnsi="宋体" w:cs="宋体"/>
                <w:color w:val="000000"/>
                <w:kern w:val="0"/>
                <w:szCs w:val="21"/>
              </w:rPr>
              <w:t>土地资源资产价值有偿使用（出让前期）工作技术服务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422ACD">
            <w:pPr>
              <w:widowControl/>
              <w:textAlignment w:val="center"/>
              <w:rPr>
                <w:rFonts w:ascii="宋体" w:hAnsi="宋体" w:cs="宋体"/>
                <w:color w:val="000000"/>
                <w:szCs w:val="21"/>
              </w:rPr>
            </w:pPr>
            <w:r>
              <w:rPr>
                <w:rFonts w:hint="eastAsia" w:ascii="宋体" w:hAnsi="宋体" w:cs="宋体"/>
                <w:color w:val="000000"/>
                <w:kern w:val="0"/>
                <w:szCs w:val="21"/>
              </w:rPr>
              <w:t>城区安置点供地技术服务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037166">
            <w:pPr>
              <w:widowControl/>
              <w:textAlignment w:val="center"/>
              <w:rPr>
                <w:color w:val="000000"/>
                <w:szCs w:val="21"/>
              </w:rPr>
            </w:pPr>
            <w:r>
              <w:rPr>
                <w:color w:val="000000"/>
                <w:kern w:val="0"/>
                <w:szCs w:val="21"/>
              </w:rPr>
              <w:t>1.</w:t>
            </w:r>
            <w:r>
              <w:rPr>
                <w:rStyle w:val="134"/>
                <w:rFonts w:hint="default"/>
              </w:rPr>
              <w:t>收集土地利用总体规划等基础资料并整理核实；</w:t>
            </w:r>
            <w:r>
              <w:rPr>
                <w:rStyle w:val="135"/>
              </w:rPr>
              <w:t>2.</w:t>
            </w:r>
            <w:r>
              <w:rPr>
                <w:rStyle w:val="134"/>
                <w:rFonts w:hint="default"/>
              </w:rPr>
              <w:t>逐户测绘安置点界址坐标，采集地籍要素；</w:t>
            </w:r>
            <w:r>
              <w:rPr>
                <w:rStyle w:val="135"/>
              </w:rPr>
              <w:t>3.</w:t>
            </w:r>
            <w:r>
              <w:rPr>
                <w:rStyle w:val="134"/>
                <w:rFonts w:hint="default"/>
              </w:rPr>
              <w:t>绘制安置点用地平面图。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117C92">
            <w:pPr>
              <w:widowControl/>
              <w:textAlignment w:val="center"/>
              <w:rPr>
                <w:color w:val="000000"/>
                <w:szCs w:val="21"/>
              </w:rPr>
            </w:pPr>
            <w:r>
              <w:rPr>
                <w:color w:val="000000"/>
                <w:kern w:val="0"/>
                <w:szCs w:val="21"/>
              </w:rPr>
              <w:t>1.</w:t>
            </w:r>
            <w:r>
              <w:rPr>
                <w:rStyle w:val="134"/>
                <w:rFonts w:hint="default"/>
              </w:rPr>
              <w:t>界址坐标成果表；</w:t>
            </w:r>
            <w:r>
              <w:rPr>
                <w:rStyle w:val="135"/>
                <w:rFonts w:hint="eastAsia"/>
              </w:rPr>
              <w:t>2</w:t>
            </w:r>
            <w:r>
              <w:rPr>
                <w:rStyle w:val="135"/>
              </w:rPr>
              <w:t>.</w:t>
            </w:r>
            <w:r>
              <w:rPr>
                <w:rStyle w:val="135"/>
                <w:rFonts w:hint="eastAsia"/>
              </w:rPr>
              <w:t>测量报告</w:t>
            </w:r>
            <w:r>
              <w:rPr>
                <w:rStyle w:val="134"/>
                <w:rFonts w:hint="default"/>
              </w:rPr>
              <w:t>；</w:t>
            </w:r>
            <w:r>
              <w:rPr>
                <w:rStyle w:val="135"/>
                <w:rFonts w:hint="eastAsia"/>
              </w:rPr>
              <w:t>3</w:t>
            </w:r>
            <w:r>
              <w:rPr>
                <w:rStyle w:val="135"/>
              </w:rPr>
              <w:t>.</w:t>
            </w:r>
            <w:r>
              <w:rPr>
                <w:rStyle w:val="134"/>
                <w:rFonts w:hint="default"/>
              </w:rPr>
              <w:t>安置点用地平面图（纸质</w:t>
            </w:r>
            <w:r>
              <w:rPr>
                <w:rStyle w:val="135"/>
              </w:rPr>
              <w:t>+</w:t>
            </w:r>
            <w:r>
              <w:rPr>
                <w:rStyle w:val="134"/>
                <w:rFonts w:hint="default"/>
              </w:rPr>
              <w:t>电子）。</w:t>
            </w:r>
          </w:p>
        </w:tc>
      </w:tr>
      <w:tr w14:paraId="1B8EC24E">
        <w:tblPrEx>
          <w:tblCellMar>
            <w:top w:w="0" w:type="dxa"/>
            <w:left w:w="108" w:type="dxa"/>
            <w:bottom w:w="0" w:type="dxa"/>
            <w:right w:w="108" w:type="dxa"/>
          </w:tblCellMar>
        </w:tblPrEx>
        <w:trPr>
          <w:trHeight w:val="13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467CD5">
            <w:pPr>
              <w:widowControl/>
              <w:textAlignment w:val="center"/>
              <w:rPr>
                <w:color w:val="000000"/>
                <w:szCs w:val="21"/>
              </w:rPr>
            </w:pPr>
            <w:r>
              <w:rPr>
                <w:color w:val="000000"/>
                <w:kern w:val="0"/>
                <w:szCs w:val="21"/>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687396">
            <w:pPr>
              <w:widowControl/>
              <w:textAlignment w:val="center"/>
              <w:rPr>
                <w:rFonts w:ascii="宋体" w:hAnsi="宋体" w:cs="宋体"/>
                <w:color w:val="000000"/>
                <w:szCs w:val="21"/>
              </w:rPr>
            </w:pPr>
            <w:r>
              <w:rPr>
                <w:rFonts w:hint="eastAsia" w:ascii="宋体" w:hAnsi="宋体" w:cs="宋体"/>
                <w:color w:val="000000"/>
                <w:kern w:val="0"/>
                <w:szCs w:val="21"/>
              </w:rPr>
              <w:t>土地资源资产价值有偿使用（出让前期）工作技术服务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CA68B7">
            <w:pPr>
              <w:widowControl/>
              <w:textAlignment w:val="center"/>
              <w:rPr>
                <w:rFonts w:ascii="宋体" w:hAnsi="宋体" w:cs="宋体"/>
                <w:color w:val="000000"/>
                <w:szCs w:val="21"/>
              </w:rPr>
            </w:pPr>
            <w:r>
              <w:rPr>
                <w:rFonts w:hint="eastAsia" w:ascii="宋体" w:hAnsi="宋体" w:cs="宋体"/>
                <w:color w:val="000000"/>
                <w:kern w:val="0"/>
                <w:szCs w:val="21"/>
              </w:rPr>
              <w:t>供地红线图（出让）技术服务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17CA5B">
            <w:pPr>
              <w:widowControl/>
              <w:textAlignment w:val="center"/>
              <w:rPr>
                <w:color w:val="000000"/>
                <w:szCs w:val="21"/>
              </w:rPr>
            </w:pPr>
            <w:r>
              <w:rPr>
                <w:color w:val="000000"/>
                <w:kern w:val="0"/>
                <w:szCs w:val="21"/>
              </w:rPr>
              <w:t>1.</w:t>
            </w:r>
            <w:r>
              <w:rPr>
                <w:rStyle w:val="134"/>
                <w:rFonts w:hint="default"/>
              </w:rPr>
              <w:t>收集历年供地范围等基础资料并整理核实；</w:t>
            </w:r>
            <w:r>
              <w:rPr>
                <w:rStyle w:val="135"/>
              </w:rPr>
              <w:t>2.</w:t>
            </w:r>
            <w:r>
              <w:rPr>
                <w:rStyle w:val="134"/>
                <w:rFonts w:hint="default"/>
              </w:rPr>
              <w:t>内业数据生产，绘制供地红线图。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5B230E">
            <w:pPr>
              <w:widowControl/>
              <w:textAlignment w:val="center"/>
              <w:rPr>
                <w:color w:val="000000"/>
                <w:szCs w:val="21"/>
              </w:rPr>
            </w:pPr>
            <w:r>
              <w:rPr>
                <w:rStyle w:val="134"/>
                <w:rFonts w:hint="default"/>
              </w:rPr>
              <w:t>1.供地红线图（纸质</w:t>
            </w:r>
            <w:r>
              <w:rPr>
                <w:rStyle w:val="135"/>
              </w:rPr>
              <w:t>+</w:t>
            </w:r>
            <w:r>
              <w:rPr>
                <w:rStyle w:val="134"/>
                <w:rFonts w:hint="default"/>
              </w:rPr>
              <w:t>电子）。</w:t>
            </w:r>
          </w:p>
        </w:tc>
      </w:tr>
      <w:tr w14:paraId="6910EAFF">
        <w:tblPrEx>
          <w:tblCellMar>
            <w:top w:w="0" w:type="dxa"/>
            <w:left w:w="108" w:type="dxa"/>
            <w:bottom w:w="0" w:type="dxa"/>
            <w:right w:w="108" w:type="dxa"/>
          </w:tblCellMar>
        </w:tblPrEx>
        <w:trPr>
          <w:trHeight w:val="206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132D26">
            <w:pPr>
              <w:widowControl/>
              <w:textAlignment w:val="center"/>
              <w:rPr>
                <w:color w:val="000000"/>
                <w:szCs w:val="21"/>
              </w:rPr>
            </w:pPr>
            <w:r>
              <w:rPr>
                <w:color w:val="000000"/>
                <w:kern w:val="0"/>
                <w:szCs w:val="21"/>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624797">
            <w:pPr>
              <w:widowControl/>
              <w:textAlignment w:val="center"/>
              <w:rPr>
                <w:rFonts w:ascii="宋体" w:hAnsi="宋体" w:cs="宋体"/>
                <w:color w:val="000000"/>
                <w:szCs w:val="21"/>
              </w:rPr>
            </w:pPr>
            <w:r>
              <w:rPr>
                <w:rFonts w:hint="eastAsia" w:ascii="宋体" w:hAnsi="宋体" w:cs="宋体"/>
                <w:color w:val="000000"/>
                <w:kern w:val="0"/>
                <w:szCs w:val="21"/>
              </w:rPr>
              <w:t>土地资源资产价值有偿使用（出让前期）工作技术服务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78BC2A">
            <w:pPr>
              <w:widowControl/>
              <w:textAlignment w:val="center"/>
              <w:rPr>
                <w:rFonts w:ascii="宋体" w:hAnsi="宋体" w:cs="宋体"/>
                <w:color w:val="000000"/>
                <w:szCs w:val="21"/>
              </w:rPr>
            </w:pPr>
            <w:r>
              <w:rPr>
                <w:rFonts w:hint="eastAsia" w:ascii="宋体" w:hAnsi="宋体" w:cs="宋体"/>
                <w:color w:val="000000"/>
                <w:kern w:val="0"/>
                <w:szCs w:val="21"/>
              </w:rPr>
              <w:t>产业园区土地集约利用监测统计更新数据技术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835AD5">
            <w:pPr>
              <w:widowControl/>
              <w:textAlignment w:val="center"/>
              <w:rPr>
                <w:rFonts w:ascii="宋体" w:hAnsi="宋体" w:cs="宋体"/>
                <w:color w:val="000000"/>
                <w:szCs w:val="21"/>
              </w:rPr>
            </w:pPr>
            <w:r>
              <w:rPr>
                <w:rFonts w:hint="eastAsia" w:ascii="宋体" w:hAnsi="宋体" w:cs="宋体"/>
                <w:color w:val="000000"/>
                <w:kern w:val="0"/>
                <w:szCs w:val="21"/>
              </w:rPr>
              <w:t>按照国家、自治区要求，开展</w:t>
            </w:r>
            <w:r>
              <w:rPr>
                <w:rStyle w:val="134"/>
                <w:rFonts w:hint="default"/>
              </w:rPr>
              <w:t>年度产业园土地集约利用监测统计，涵盖开发区依法审批及实际管理范围内的土地、人口、经济及管理状况。</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D2D85A">
            <w:pPr>
              <w:widowControl/>
              <w:textAlignment w:val="center"/>
              <w:rPr>
                <w:color w:val="EE0000"/>
                <w:szCs w:val="21"/>
              </w:rPr>
            </w:pPr>
            <w:r>
              <w:rPr>
                <w:color w:val="auto"/>
                <w:kern w:val="0"/>
                <w:szCs w:val="21"/>
              </w:rPr>
              <w:t>1.</w:t>
            </w:r>
            <w:r>
              <w:rPr>
                <w:rStyle w:val="134"/>
                <w:rFonts w:hint="default"/>
                <w:color w:val="auto"/>
              </w:rPr>
              <w:t>监测统计报表；</w:t>
            </w:r>
            <w:r>
              <w:rPr>
                <w:rStyle w:val="135"/>
                <w:color w:val="auto"/>
              </w:rPr>
              <w:t>2.</w:t>
            </w:r>
            <w:r>
              <w:rPr>
                <w:rStyle w:val="134"/>
                <w:rFonts w:hint="default"/>
                <w:color w:val="auto"/>
              </w:rPr>
              <w:t>监测统计报告。</w:t>
            </w:r>
          </w:p>
        </w:tc>
      </w:tr>
      <w:tr w14:paraId="3D1F8F91">
        <w:tblPrEx>
          <w:tblCellMar>
            <w:top w:w="0" w:type="dxa"/>
            <w:left w:w="108" w:type="dxa"/>
            <w:bottom w:w="0" w:type="dxa"/>
            <w:right w:w="108" w:type="dxa"/>
          </w:tblCellMar>
        </w:tblPrEx>
        <w:trPr>
          <w:trHeight w:val="17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E43C45">
            <w:pPr>
              <w:widowControl/>
              <w:textAlignment w:val="center"/>
              <w:rPr>
                <w:color w:val="000000"/>
                <w:szCs w:val="21"/>
              </w:rPr>
            </w:pPr>
            <w:r>
              <w:rPr>
                <w:color w:val="000000"/>
                <w:kern w:val="0"/>
                <w:szCs w:val="21"/>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E7479C">
            <w:pPr>
              <w:widowControl/>
              <w:textAlignment w:val="center"/>
              <w:rPr>
                <w:rFonts w:ascii="宋体" w:hAnsi="宋体" w:cs="宋体"/>
                <w:color w:val="000000"/>
                <w:szCs w:val="21"/>
              </w:rPr>
            </w:pPr>
            <w:r>
              <w:rPr>
                <w:rFonts w:hint="eastAsia" w:ascii="宋体" w:hAnsi="宋体" w:cs="宋体"/>
                <w:color w:val="000000"/>
                <w:kern w:val="0"/>
                <w:szCs w:val="21"/>
              </w:rPr>
              <w:t>土地资源资产价值有偿使用（出让前期）工作技术服务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87A116">
            <w:pPr>
              <w:widowControl/>
              <w:textAlignment w:val="center"/>
              <w:rPr>
                <w:rFonts w:ascii="宋体" w:hAnsi="宋体" w:cs="宋体"/>
                <w:color w:val="000000"/>
                <w:szCs w:val="21"/>
              </w:rPr>
            </w:pPr>
            <w:r>
              <w:rPr>
                <w:rFonts w:hint="eastAsia" w:ascii="宋体" w:hAnsi="宋体" w:cs="宋体"/>
                <w:color w:val="000000"/>
                <w:kern w:val="0"/>
                <w:szCs w:val="21"/>
              </w:rPr>
              <w:t>供地一张图数据更新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480B8C">
            <w:pPr>
              <w:widowControl/>
              <w:textAlignment w:val="center"/>
              <w:rPr>
                <w:color w:val="000000"/>
                <w:szCs w:val="21"/>
              </w:rPr>
            </w:pPr>
            <w:r>
              <w:rPr>
                <w:color w:val="000000"/>
                <w:kern w:val="0"/>
                <w:szCs w:val="21"/>
              </w:rPr>
              <w:t>1.</w:t>
            </w:r>
            <w:r>
              <w:rPr>
                <w:rStyle w:val="134"/>
                <w:rFonts w:hint="default"/>
              </w:rPr>
              <w:t>收集最新供地数据；</w:t>
            </w:r>
            <w:r>
              <w:rPr>
                <w:rStyle w:val="135"/>
              </w:rPr>
              <w:t>2.</w:t>
            </w:r>
            <w:r>
              <w:rPr>
                <w:rStyle w:val="134"/>
                <w:rFonts w:hint="default"/>
              </w:rPr>
              <w:t>分析处理数据；</w:t>
            </w:r>
            <w:r>
              <w:rPr>
                <w:rStyle w:val="135"/>
              </w:rPr>
              <w:t>3.</w:t>
            </w:r>
            <w:r>
              <w:rPr>
                <w:rStyle w:val="134"/>
                <w:rFonts w:hint="default"/>
              </w:rPr>
              <w:t>建库并完成对应上报备案格式。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A6BDD9">
            <w:pPr>
              <w:widowControl/>
              <w:textAlignment w:val="center"/>
              <w:rPr>
                <w:color w:val="000000"/>
                <w:szCs w:val="21"/>
              </w:rPr>
            </w:pPr>
            <w:r>
              <w:rPr>
                <w:color w:val="000000"/>
                <w:kern w:val="0"/>
                <w:szCs w:val="21"/>
              </w:rPr>
              <w:t>1.</w:t>
            </w:r>
            <w:r>
              <w:rPr>
                <w:rStyle w:val="134"/>
                <w:rFonts w:hint="default"/>
              </w:rPr>
              <w:t>供地数据更新记录表；</w:t>
            </w:r>
            <w:r>
              <w:rPr>
                <w:rStyle w:val="135"/>
              </w:rPr>
              <w:t>2.</w:t>
            </w:r>
            <w:r>
              <w:rPr>
                <w:rStyle w:val="134"/>
                <w:rFonts w:hint="default"/>
              </w:rPr>
              <w:t>供地一张图数据库。</w:t>
            </w:r>
          </w:p>
        </w:tc>
      </w:tr>
      <w:tr w14:paraId="0A6A08B5">
        <w:tblPrEx>
          <w:tblCellMar>
            <w:top w:w="0" w:type="dxa"/>
            <w:left w:w="108" w:type="dxa"/>
            <w:bottom w:w="0" w:type="dxa"/>
            <w:right w:w="108" w:type="dxa"/>
          </w:tblCellMar>
        </w:tblPrEx>
        <w:trPr>
          <w:trHeight w:val="19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3D9A8B">
            <w:pPr>
              <w:widowControl/>
              <w:textAlignment w:val="center"/>
              <w:rPr>
                <w:color w:val="000000"/>
                <w:szCs w:val="21"/>
              </w:rPr>
            </w:pPr>
            <w:r>
              <w:rPr>
                <w:color w:val="000000"/>
                <w:kern w:val="0"/>
                <w:szCs w:val="21"/>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0C56E4">
            <w:pPr>
              <w:widowControl/>
              <w:textAlignment w:val="center"/>
              <w:rPr>
                <w:rFonts w:ascii="宋体" w:hAnsi="宋体" w:cs="宋体"/>
                <w:color w:val="000000"/>
                <w:szCs w:val="21"/>
              </w:rPr>
            </w:pPr>
            <w:r>
              <w:rPr>
                <w:rFonts w:hint="eastAsia" w:ascii="宋体" w:hAnsi="宋体" w:cs="宋体"/>
                <w:color w:val="000000"/>
                <w:kern w:val="0"/>
                <w:szCs w:val="21"/>
              </w:rPr>
              <w:t>国土空间规划类技术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2A5C5A">
            <w:pPr>
              <w:widowControl/>
              <w:textAlignment w:val="center"/>
              <w:rPr>
                <w:rFonts w:ascii="宋体" w:hAnsi="宋体" w:cs="宋体"/>
                <w:color w:val="000000"/>
                <w:szCs w:val="21"/>
              </w:rPr>
            </w:pPr>
            <w:r>
              <w:rPr>
                <w:rFonts w:hint="eastAsia" w:ascii="宋体" w:hAnsi="宋体" w:cs="宋体"/>
                <w:color w:val="000000"/>
                <w:kern w:val="0"/>
                <w:szCs w:val="21"/>
              </w:rPr>
              <w:t>用地报批红线图技术服务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65ED6C">
            <w:pPr>
              <w:widowControl/>
              <w:textAlignment w:val="center"/>
              <w:rPr>
                <w:color w:val="000000"/>
                <w:szCs w:val="21"/>
              </w:rPr>
            </w:pPr>
            <w:r>
              <w:rPr>
                <w:color w:val="000000"/>
                <w:kern w:val="0"/>
                <w:szCs w:val="21"/>
              </w:rPr>
              <w:t>1.</w:t>
            </w:r>
            <w:r>
              <w:rPr>
                <w:rStyle w:val="134"/>
                <w:rFonts w:hint="default"/>
              </w:rPr>
              <w:t>收集土地利用现状、规划等基础资料并整理核实；</w:t>
            </w:r>
            <w:r>
              <w:rPr>
                <w:rStyle w:val="135"/>
              </w:rPr>
              <w:t>2.</w:t>
            </w:r>
            <w:r>
              <w:rPr>
                <w:rStyle w:val="134"/>
                <w:rFonts w:hint="default"/>
              </w:rPr>
              <w:t>实地测定红线界址，核实现场地类情况；</w:t>
            </w:r>
            <w:r>
              <w:rPr>
                <w:rStyle w:val="135"/>
              </w:rPr>
              <w:t>3.</w:t>
            </w:r>
            <w:r>
              <w:rPr>
                <w:rStyle w:val="134"/>
                <w:rFonts w:hint="default"/>
              </w:rPr>
              <w:t>根据采集数据及内业资料绘制用地报批红线图。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6C810A">
            <w:pPr>
              <w:widowControl/>
              <w:textAlignment w:val="center"/>
              <w:rPr>
                <w:color w:val="000000"/>
                <w:szCs w:val="21"/>
              </w:rPr>
            </w:pPr>
            <w:r>
              <w:rPr>
                <w:color w:val="000000"/>
                <w:kern w:val="0"/>
                <w:szCs w:val="21"/>
              </w:rPr>
              <w:t>1.</w:t>
            </w:r>
            <w:r>
              <w:rPr>
                <w:rStyle w:val="134"/>
                <w:rFonts w:hint="default"/>
              </w:rPr>
              <w:t>界址测定报告；</w:t>
            </w:r>
            <w:r>
              <w:rPr>
                <w:rStyle w:val="135"/>
                <w:rFonts w:hint="eastAsia"/>
              </w:rPr>
              <w:t>2</w:t>
            </w:r>
            <w:r>
              <w:rPr>
                <w:rStyle w:val="135"/>
              </w:rPr>
              <w:t>.</w:t>
            </w:r>
            <w:r>
              <w:rPr>
                <w:rStyle w:val="134"/>
                <w:rFonts w:hint="default"/>
              </w:rPr>
              <w:t>用地报批红线图（纸质</w:t>
            </w:r>
            <w:r>
              <w:rPr>
                <w:rStyle w:val="135"/>
              </w:rPr>
              <w:t>+</w:t>
            </w:r>
            <w:r>
              <w:rPr>
                <w:rStyle w:val="134"/>
                <w:rFonts w:hint="default"/>
              </w:rPr>
              <w:t>电子）。</w:t>
            </w:r>
          </w:p>
        </w:tc>
      </w:tr>
      <w:tr w14:paraId="13C0F31D">
        <w:tblPrEx>
          <w:tblCellMar>
            <w:top w:w="0" w:type="dxa"/>
            <w:left w:w="108" w:type="dxa"/>
            <w:bottom w:w="0" w:type="dxa"/>
            <w:right w:w="108" w:type="dxa"/>
          </w:tblCellMar>
        </w:tblPrEx>
        <w:trPr>
          <w:trHeight w:val="20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5A7E8A">
            <w:pPr>
              <w:widowControl/>
              <w:textAlignment w:val="center"/>
              <w:rPr>
                <w:color w:val="000000"/>
                <w:szCs w:val="21"/>
              </w:rPr>
            </w:pPr>
            <w:r>
              <w:rPr>
                <w:color w:val="000000"/>
                <w:kern w:val="0"/>
                <w:szCs w:val="21"/>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B22D08">
            <w:pPr>
              <w:widowControl/>
              <w:textAlignment w:val="center"/>
              <w:rPr>
                <w:rFonts w:ascii="宋体" w:hAnsi="宋体" w:cs="宋体"/>
                <w:color w:val="000000"/>
                <w:szCs w:val="21"/>
              </w:rPr>
            </w:pPr>
            <w:r>
              <w:rPr>
                <w:rFonts w:hint="eastAsia" w:ascii="宋体" w:hAnsi="宋体" w:cs="宋体"/>
                <w:color w:val="000000"/>
                <w:kern w:val="0"/>
                <w:szCs w:val="21"/>
              </w:rPr>
              <w:t>国土空间规划类技术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324E38">
            <w:pPr>
              <w:widowControl/>
              <w:textAlignment w:val="center"/>
              <w:rPr>
                <w:rFonts w:ascii="宋体" w:hAnsi="宋体" w:cs="宋体"/>
                <w:color w:val="000000"/>
                <w:szCs w:val="21"/>
              </w:rPr>
            </w:pPr>
            <w:r>
              <w:rPr>
                <w:rFonts w:hint="eastAsia" w:ascii="宋体" w:hAnsi="宋体" w:cs="宋体"/>
                <w:color w:val="000000"/>
                <w:kern w:val="0"/>
                <w:szCs w:val="21"/>
              </w:rPr>
              <w:t>节地专章踏勘论证</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6E2B52">
            <w:pPr>
              <w:widowControl/>
              <w:textAlignment w:val="center"/>
              <w:rPr>
                <w:color w:val="000000"/>
                <w:szCs w:val="21"/>
              </w:rPr>
            </w:pPr>
            <w:r>
              <w:rPr>
                <w:color w:val="000000"/>
                <w:kern w:val="0"/>
                <w:szCs w:val="21"/>
              </w:rPr>
              <w:t>1.</w:t>
            </w:r>
            <w:r>
              <w:rPr>
                <w:rStyle w:val="134"/>
                <w:rFonts w:hint="default"/>
              </w:rPr>
              <w:t>收集踏勘论证报告，完成项目初审；</w:t>
            </w:r>
            <w:r>
              <w:rPr>
                <w:rStyle w:val="135"/>
              </w:rPr>
              <w:t>2.</w:t>
            </w:r>
            <w:r>
              <w:rPr>
                <w:rStyle w:val="134"/>
                <w:rFonts w:hint="default"/>
              </w:rPr>
              <w:t>组织专家及有关单位进行项目实地踏勘；</w:t>
            </w:r>
            <w:r>
              <w:rPr>
                <w:rStyle w:val="135"/>
              </w:rPr>
              <w:t>3.</w:t>
            </w:r>
            <w:r>
              <w:rPr>
                <w:rStyle w:val="134"/>
                <w:rFonts w:hint="default"/>
              </w:rPr>
              <w:t>督促报审单位按意见修改，复核修改后的报告并出具审查报告。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D402A8">
            <w:pPr>
              <w:widowControl/>
              <w:textAlignment w:val="center"/>
              <w:rPr>
                <w:color w:val="000000"/>
                <w:szCs w:val="21"/>
              </w:rPr>
            </w:pPr>
            <w:r>
              <w:rPr>
                <w:color w:val="000000"/>
                <w:kern w:val="0"/>
                <w:szCs w:val="21"/>
              </w:rPr>
              <w:t>1.</w:t>
            </w:r>
            <w:r>
              <w:rPr>
                <w:rStyle w:val="134"/>
                <w:rFonts w:hint="default"/>
              </w:rPr>
              <w:t>初审意见表；</w:t>
            </w:r>
            <w:r>
              <w:rPr>
                <w:rStyle w:val="135"/>
              </w:rPr>
              <w:t>2.</w:t>
            </w:r>
            <w:r>
              <w:rPr>
                <w:rStyle w:val="134"/>
                <w:rFonts w:hint="default"/>
              </w:rPr>
              <w:t>现场踏勘记录；</w:t>
            </w:r>
            <w:r>
              <w:rPr>
                <w:rStyle w:val="135"/>
              </w:rPr>
              <w:t>3.</w:t>
            </w:r>
            <w:r>
              <w:rPr>
                <w:rStyle w:val="134"/>
                <w:rFonts w:hint="default"/>
              </w:rPr>
              <w:t>修改说明及复核记录；</w:t>
            </w:r>
            <w:r>
              <w:rPr>
                <w:rStyle w:val="135"/>
              </w:rPr>
              <w:t>4.</w:t>
            </w:r>
            <w:r>
              <w:rPr>
                <w:rStyle w:val="134"/>
                <w:rFonts w:hint="default"/>
              </w:rPr>
              <w:t>审查报告。</w:t>
            </w:r>
          </w:p>
        </w:tc>
      </w:tr>
      <w:tr w14:paraId="5D4B3805">
        <w:tblPrEx>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A3CCA4">
            <w:pPr>
              <w:widowControl/>
              <w:textAlignment w:val="center"/>
              <w:rPr>
                <w:color w:val="000000"/>
                <w:szCs w:val="21"/>
              </w:rPr>
            </w:pPr>
            <w:r>
              <w:rPr>
                <w:color w:val="000000"/>
                <w:kern w:val="0"/>
                <w:szCs w:val="21"/>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D02632">
            <w:pPr>
              <w:widowControl/>
              <w:textAlignment w:val="center"/>
              <w:rPr>
                <w:rFonts w:ascii="宋体" w:hAnsi="宋体" w:cs="宋体"/>
                <w:color w:val="000000"/>
                <w:szCs w:val="21"/>
              </w:rPr>
            </w:pPr>
            <w:r>
              <w:rPr>
                <w:rFonts w:hint="eastAsia" w:ascii="宋体" w:hAnsi="宋体" w:cs="宋体"/>
                <w:color w:val="000000"/>
                <w:kern w:val="0"/>
                <w:szCs w:val="21"/>
              </w:rPr>
              <w:t>国土空间规划类技术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4EC633">
            <w:pPr>
              <w:widowControl/>
              <w:textAlignment w:val="center"/>
              <w:rPr>
                <w:rFonts w:ascii="宋体" w:hAnsi="宋体" w:cs="宋体"/>
                <w:color w:val="000000"/>
                <w:szCs w:val="21"/>
              </w:rPr>
            </w:pPr>
            <w:r>
              <w:rPr>
                <w:rFonts w:hint="eastAsia" w:ascii="宋体" w:hAnsi="宋体" w:cs="宋体"/>
                <w:color w:val="000000"/>
                <w:kern w:val="0"/>
                <w:szCs w:val="21"/>
              </w:rPr>
              <w:t>永久基本农田踏勘论证</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F03092">
            <w:pPr>
              <w:widowControl/>
              <w:textAlignment w:val="center"/>
              <w:rPr>
                <w:color w:val="000000"/>
                <w:szCs w:val="21"/>
              </w:rPr>
            </w:pPr>
            <w:r>
              <w:rPr>
                <w:color w:val="000000"/>
                <w:kern w:val="0"/>
                <w:szCs w:val="21"/>
              </w:rPr>
              <w:t>1.</w:t>
            </w:r>
            <w:r>
              <w:rPr>
                <w:rStyle w:val="134"/>
                <w:rFonts w:hint="default"/>
              </w:rPr>
              <w:t>收集踏勘论证报告，完成项目初审；</w:t>
            </w:r>
            <w:r>
              <w:rPr>
                <w:rStyle w:val="135"/>
              </w:rPr>
              <w:t>2.</w:t>
            </w:r>
            <w:r>
              <w:rPr>
                <w:rStyle w:val="134"/>
                <w:rFonts w:hint="default"/>
              </w:rPr>
              <w:t>组织专家及有关单位进行项目实地踏勘；</w:t>
            </w:r>
            <w:r>
              <w:rPr>
                <w:rStyle w:val="135"/>
              </w:rPr>
              <w:t>3.</w:t>
            </w:r>
            <w:r>
              <w:rPr>
                <w:rStyle w:val="134"/>
                <w:rFonts w:hint="default"/>
              </w:rPr>
              <w:t>督促报审单位按意见修改，复核修改后的报告并出具审查报告。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653E0E">
            <w:pPr>
              <w:widowControl/>
              <w:textAlignment w:val="center"/>
              <w:rPr>
                <w:color w:val="000000"/>
                <w:szCs w:val="21"/>
              </w:rPr>
            </w:pPr>
            <w:r>
              <w:rPr>
                <w:color w:val="000000"/>
                <w:kern w:val="0"/>
                <w:szCs w:val="21"/>
              </w:rPr>
              <w:t>1.</w:t>
            </w:r>
            <w:r>
              <w:rPr>
                <w:rStyle w:val="134"/>
                <w:rFonts w:hint="default"/>
              </w:rPr>
              <w:t>初审意见表；</w:t>
            </w:r>
            <w:r>
              <w:rPr>
                <w:rStyle w:val="135"/>
              </w:rPr>
              <w:t>2.</w:t>
            </w:r>
            <w:r>
              <w:rPr>
                <w:rStyle w:val="134"/>
                <w:rFonts w:hint="default"/>
              </w:rPr>
              <w:t>现场踏勘记录；</w:t>
            </w:r>
            <w:r>
              <w:rPr>
                <w:rStyle w:val="135"/>
              </w:rPr>
              <w:t>3.</w:t>
            </w:r>
            <w:r>
              <w:rPr>
                <w:rStyle w:val="134"/>
                <w:rFonts w:hint="default"/>
              </w:rPr>
              <w:t>修改说明及复核记录；</w:t>
            </w:r>
            <w:r>
              <w:rPr>
                <w:rStyle w:val="135"/>
              </w:rPr>
              <w:t>4.</w:t>
            </w:r>
            <w:r>
              <w:rPr>
                <w:rStyle w:val="134"/>
                <w:rFonts w:hint="default"/>
              </w:rPr>
              <w:t>审查报告。</w:t>
            </w:r>
          </w:p>
        </w:tc>
      </w:tr>
      <w:tr w14:paraId="19EAAF74">
        <w:tblPrEx>
          <w:tblCellMar>
            <w:top w:w="0" w:type="dxa"/>
            <w:left w:w="108" w:type="dxa"/>
            <w:bottom w:w="0" w:type="dxa"/>
            <w:right w:w="108" w:type="dxa"/>
          </w:tblCellMar>
        </w:tblPrEx>
        <w:trPr>
          <w:trHeight w:val="18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2E32FA">
            <w:pPr>
              <w:widowControl/>
              <w:textAlignment w:val="center"/>
              <w:rPr>
                <w:color w:val="000000"/>
                <w:szCs w:val="21"/>
              </w:rPr>
            </w:pPr>
            <w:r>
              <w:rPr>
                <w:color w:val="000000"/>
                <w:kern w:val="0"/>
                <w:szCs w:val="21"/>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66AF40">
            <w:pPr>
              <w:widowControl/>
              <w:textAlignment w:val="center"/>
              <w:rPr>
                <w:rFonts w:ascii="宋体" w:hAnsi="宋体" w:cs="宋体"/>
                <w:color w:val="000000"/>
                <w:szCs w:val="21"/>
                <w:highlight w:val="red"/>
              </w:rPr>
            </w:pPr>
            <w:r>
              <w:rPr>
                <w:rFonts w:hint="eastAsia" w:ascii="宋体" w:hAnsi="宋体" w:cs="宋体"/>
                <w:color w:val="000000"/>
                <w:kern w:val="0"/>
                <w:szCs w:val="21"/>
                <w:highlight w:val="none"/>
              </w:rPr>
              <w:t>国土空间规划类技术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72CBBF">
            <w:pPr>
              <w:widowControl/>
              <w:textAlignment w:val="center"/>
              <w:rPr>
                <w:rFonts w:ascii="宋体" w:hAnsi="宋体" w:cs="宋体"/>
                <w:color w:val="000000"/>
                <w:szCs w:val="21"/>
                <w:highlight w:val="red"/>
              </w:rPr>
            </w:pPr>
            <w:r>
              <w:rPr>
                <w:rFonts w:hint="eastAsia" w:ascii="宋体" w:hAnsi="宋体" w:cs="宋体"/>
                <w:color w:val="000000"/>
                <w:kern w:val="0"/>
                <w:szCs w:val="21"/>
                <w:highlight w:val="none"/>
              </w:rPr>
              <w:t>国土空间规划一张图系统数据更新（细化）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073097">
            <w:pPr>
              <w:widowControl/>
              <w:textAlignment w:val="center"/>
              <w:rPr>
                <w:color w:val="000000"/>
                <w:szCs w:val="21"/>
              </w:rPr>
            </w:pPr>
            <w:r>
              <w:rPr>
                <w:color w:val="000000"/>
                <w:kern w:val="0"/>
                <w:szCs w:val="21"/>
              </w:rPr>
              <w:t>1.</w:t>
            </w:r>
            <w:r>
              <w:rPr>
                <w:rStyle w:val="134"/>
                <w:rFonts w:hint="default"/>
              </w:rPr>
              <w:t>收集最新“一张图”国土变更、影像、预审等数据；</w:t>
            </w:r>
            <w:r>
              <w:rPr>
                <w:rStyle w:val="135"/>
              </w:rPr>
              <w:t>2.</w:t>
            </w:r>
            <w:r>
              <w:rPr>
                <w:rStyle w:val="134"/>
                <w:rFonts w:hint="default"/>
              </w:rPr>
              <w:t>分析处理数据、建库并完成对应上报备案格式。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AC2DFB">
            <w:pPr>
              <w:widowControl/>
              <w:textAlignment w:val="center"/>
              <w:rPr>
                <w:color w:val="000000"/>
                <w:szCs w:val="21"/>
              </w:rPr>
            </w:pPr>
            <w:r>
              <w:rPr>
                <w:color w:val="000000"/>
                <w:kern w:val="0"/>
                <w:szCs w:val="21"/>
              </w:rPr>
              <w:t>1.</w:t>
            </w:r>
            <w:r>
              <w:rPr>
                <w:rStyle w:val="134"/>
                <w:rFonts w:hint="default"/>
              </w:rPr>
              <w:t>数据处理报告；</w:t>
            </w:r>
            <w:r>
              <w:rPr>
                <w:rStyle w:val="135"/>
                <w:rFonts w:hint="eastAsia"/>
              </w:rPr>
              <w:t>2</w:t>
            </w:r>
            <w:r>
              <w:rPr>
                <w:rStyle w:val="135"/>
              </w:rPr>
              <w:t>.</w:t>
            </w:r>
            <w:r>
              <w:rPr>
                <w:rStyle w:val="134"/>
                <w:rFonts w:hint="default"/>
              </w:rPr>
              <w:t>国土空间规划一张图数据库.</w:t>
            </w:r>
          </w:p>
        </w:tc>
      </w:tr>
      <w:tr w14:paraId="1327F715">
        <w:tblPrEx>
          <w:tblCellMar>
            <w:top w:w="0" w:type="dxa"/>
            <w:left w:w="108" w:type="dxa"/>
            <w:bottom w:w="0" w:type="dxa"/>
            <w:right w:w="108" w:type="dxa"/>
          </w:tblCellMar>
        </w:tblPrEx>
        <w:trPr>
          <w:trHeight w:val="1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C1A114">
            <w:pPr>
              <w:widowControl/>
              <w:textAlignment w:val="center"/>
              <w:rPr>
                <w:color w:val="000000"/>
                <w:szCs w:val="21"/>
              </w:rPr>
            </w:pPr>
            <w:r>
              <w:rPr>
                <w:color w:val="000000"/>
                <w:kern w:val="0"/>
                <w:szCs w:val="21"/>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D40B2C">
            <w:pPr>
              <w:widowControl/>
              <w:textAlignment w:val="center"/>
              <w:rPr>
                <w:rFonts w:ascii="宋体" w:hAnsi="宋体" w:cs="宋体"/>
                <w:color w:val="000000"/>
                <w:szCs w:val="21"/>
              </w:rPr>
            </w:pPr>
            <w:r>
              <w:rPr>
                <w:rFonts w:hint="eastAsia" w:ascii="宋体" w:hAnsi="宋体" w:cs="宋体"/>
                <w:color w:val="000000"/>
                <w:kern w:val="0"/>
                <w:szCs w:val="21"/>
              </w:rPr>
              <w:t>城市规划区内各类建设项目用地规划前期技术服务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E3A581">
            <w:pPr>
              <w:widowControl/>
              <w:textAlignment w:val="center"/>
              <w:rPr>
                <w:rFonts w:ascii="宋体" w:hAnsi="宋体" w:cs="宋体"/>
                <w:color w:val="000000"/>
                <w:szCs w:val="21"/>
              </w:rPr>
            </w:pPr>
            <w:r>
              <w:rPr>
                <w:rFonts w:hint="eastAsia" w:ascii="宋体" w:hAnsi="宋体" w:cs="宋体"/>
                <w:color w:val="000000"/>
                <w:kern w:val="0"/>
                <w:szCs w:val="21"/>
              </w:rPr>
              <w:t>规划红线图技术服务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A8044B">
            <w:pPr>
              <w:widowControl/>
              <w:textAlignment w:val="center"/>
              <w:rPr>
                <w:color w:val="000000"/>
                <w:szCs w:val="21"/>
              </w:rPr>
            </w:pPr>
            <w:r>
              <w:rPr>
                <w:color w:val="000000"/>
                <w:kern w:val="0"/>
                <w:szCs w:val="21"/>
              </w:rPr>
              <w:t>1.</w:t>
            </w:r>
            <w:r>
              <w:rPr>
                <w:rStyle w:val="134"/>
                <w:rFonts w:hint="default"/>
              </w:rPr>
              <w:t>收集历年规划范围等基础资料并整理核实；</w:t>
            </w:r>
            <w:r>
              <w:rPr>
                <w:rStyle w:val="135"/>
              </w:rPr>
              <w:t>2.</w:t>
            </w:r>
            <w:r>
              <w:rPr>
                <w:rStyle w:val="134"/>
                <w:rFonts w:hint="default"/>
              </w:rPr>
              <w:t>根据规划设计条件，绘制规划红线图。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05471E">
            <w:pPr>
              <w:widowControl/>
              <w:textAlignment w:val="center"/>
              <w:rPr>
                <w:color w:val="000000"/>
                <w:szCs w:val="21"/>
              </w:rPr>
            </w:pPr>
            <w:r>
              <w:rPr>
                <w:color w:val="000000"/>
                <w:kern w:val="0"/>
                <w:szCs w:val="21"/>
              </w:rPr>
              <w:t>1.</w:t>
            </w:r>
            <w:r>
              <w:rPr>
                <w:rStyle w:val="134"/>
                <w:rFonts w:hint="default"/>
              </w:rPr>
              <w:t>规划红线图（纸质</w:t>
            </w:r>
            <w:r>
              <w:rPr>
                <w:rStyle w:val="135"/>
              </w:rPr>
              <w:t>+</w:t>
            </w:r>
            <w:r>
              <w:rPr>
                <w:rStyle w:val="134"/>
                <w:rFonts w:hint="default"/>
              </w:rPr>
              <w:t>电子）。</w:t>
            </w:r>
          </w:p>
        </w:tc>
      </w:tr>
      <w:tr w14:paraId="759D8AFA">
        <w:tblPrEx>
          <w:tblCellMar>
            <w:top w:w="0" w:type="dxa"/>
            <w:left w:w="108" w:type="dxa"/>
            <w:bottom w:w="0" w:type="dxa"/>
            <w:right w:w="108" w:type="dxa"/>
          </w:tblCellMar>
        </w:tblPrEx>
        <w:trPr>
          <w:trHeight w:val="2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FB77AF">
            <w:pPr>
              <w:widowControl/>
              <w:textAlignment w:val="center"/>
              <w:rPr>
                <w:color w:val="000000"/>
                <w:szCs w:val="21"/>
              </w:rPr>
            </w:pPr>
            <w:r>
              <w:rPr>
                <w:color w:val="000000"/>
                <w:kern w:val="0"/>
                <w:szCs w:val="21"/>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8655A0">
            <w:pPr>
              <w:widowControl/>
              <w:textAlignment w:val="center"/>
              <w:rPr>
                <w:rFonts w:ascii="宋体" w:hAnsi="宋体" w:cs="宋体"/>
                <w:color w:val="000000"/>
                <w:szCs w:val="21"/>
              </w:rPr>
            </w:pPr>
            <w:r>
              <w:rPr>
                <w:rFonts w:hint="eastAsia" w:ascii="宋体" w:hAnsi="宋体" w:cs="宋体"/>
                <w:color w:val="000000"/>
                <w:kern w:val="0"/>
                <w:szCs w:val="21"/>
              </w:rPr>
              <w:t>城市规划区内各类建设项目用地规划前期技术服务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819937">
            <w:pPr>
              <w:widowControl/>
              <w:textAlignment w:val="center"/>
              <w:rPr>
                <w:rFonts w:ascii="宋体" w:hAnsi="宋体" w:cs="宋体"/>
                <w:color w:val="000000"/>
                <w:szCs w:val="21"/>
              </w:rPr>
            </w:pPr>
            <w:r>
              <w:rPr>
                <w:rFonts w:hint="eastAsia" w:ascii="宋体" w:hAnsi="宋体" w:cs="宋体"/>
                <w:color w:val="000000"/>
                <w:kern w:val="0"/>
                <w:szCs w:val="21"/>
              </w:rPr>
              <w:t>建筑设计方案技术审查服务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B7EBF9">
            <w:pPr>
              <w:widowControl/>
              <w:textAlignment w:val="center"/>
              <w:rPr>
                <w:color w:val="000000"/>
                <w:szCs w:val="21"/>
              </w:rPr>
            </w:pPr>
            <w:r>
              <w:rPr>
                <w:color w:val="000000"/>
                <w:kern w:val="0"/>
                <w:szCs w:val="21"/>
              </w:rPr>
              <w:t>1.</w:t>
            </w:r>
            <w:r>
              <w:rPr>
                <w:rStyle w:val="134"/>
                <w:rFonts w:hint="default"/>
              </w:rPr>
              <w:t>收集项目基本情况、设计文件、施工方案等材料；</w:t>
            </w:r>
            <w:r>
              <w:rPr>
                <w:rStyle w:val="135"/>
              </w:rPr>
              <w:t>2.</w:t>
            </w:r>
            <w:r>
              <w:rPr>
                <w:rStyle w:val="134"/>
                <w:rFonts w:hint="default"/>
              </w:rPr>
              <w:t>审查项目立项阶段工程技术方案及可研报告、工程设计文件、施工技术措施、验收报告及竣工图纸；</w:t>
            </w:r>
            <w:r>
              <w:rPr>
                <w:rStyle w:val="135"/>
              </w:rPr>
              <w:t>3.</w:t>
            </w:r>
            <w:r>
              <w:rPr>
                <w:rStyle w:val="134"/>
                <w:rFonts w:hint="default"/>
              </w:rPr>
              <w:t>根据审查结果编制审查报告。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3722CC">
            <w:pPr>
              <w:widowControl/>
              <w:textAlignment w:val="center"/>
              <w:rPr>
                <w:color w:val="000000"/>
                <w:szCs w:val="21"/>
              </w:rPr>
            </w:pPr>
            <w:r>
              <w:rPr>
                <w:color w:val="000000"/>
                <w:kern w:val="0"/>
                <w:szCs w:val="21"/>
              </w:rPr>
              <w:t>1.</w:t>
            </w:r>
            <w:r>
              <w:rPr>
                <w:rStyle w:val="134"/>
                <w:rFonts w:hint="default"/>
              </w:rPr>
              <w:t>分项审查意见表；</w:t>
            </w:r>
            <w:r>
              <w:rPr>
                <w:rStyle w:val="135"/>
                <w:rFonts w:hint="eastAsia"/>
              </w:rPr>
              <w:t>2</w:t>
            </w:r>
            <w:r>
              <w:rPr>
                <w:rStyle w:val="135"/>
              </w:rPr>
              <w:t>.</w:t>
            </w:r>
            <w:r>
              <w:rPr>
                <w:rStyle w:val="134"/>
                <w:rFonts w:hint="default"/>
              </w:rPr>
              <w:t>综合审查报告。</w:t>
            </w:r>
          </w:p>
        </w:tc>
      </w:tr>
      <w:tr w14:paraId="3D9E519F">
        <w:tblPrEx>
          <w:tblCellMar>
            <w:top w:w="0" w:type="dxa"/>
            <w:left w:w="108" w:type="dxa"/>
            <w:bottom w:w="0" w:type="dxa"/>
            <w:right w:w="108" w:type="dxa"/>
          </w:tblCellMar>
        </w:tblPrEx>
        <w:trPr>
          <w:trHeight w:val="22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632835">
            <w:pPr>
              <w:widowControl/>
              <w:textAlignment w:val="center"/>
              <w:rPr>
                <w:color w:val="000000"/>
                <w:szCs w:val="21"/>
              </w:rPr>
            </w:pPr>
            <w:r>
              <w:rPr>
                <w:color w:val="000000"/>
                <w:kern w:val="0"/>
                <w:szCs w:val="21"/>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BA365B">
            <w:pPr>
              <w:widowControl/>
              <w:textAlignment w:val="center"/>
              <w:rPr>
                <w:rFonts w:ascii="宋体" w:hAnsi="宋体" w:cs="宋体"/>
                <w:color w:val="000000"/>
                <w:szCs w:val="21"/>
              </w:rPr>
            </w:pPr>
            <w:r>
              <w:rPr>
                <w:rFonts w:hint="eastAsia" w:ascii="宋体" w:hAnsi="宋体" w:cs="宋体"/>
                <w:color w:val="000000"/>
                <w:kern w:val="0"/>
                <w:szCs w:val="21"/>
              </w:rPr>
              <w:t>城市规划区内各类建设项目用地规划前期技术服务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6112AA">
            <w:pPr>
              <w:widowControl/>
              <w:textAlignment w:val="center"/>
              <w:rPr>
                <w:rFonts w:ascii="宋体" w:hAnsi="宋体" w:cs="宋体"/>
                <w:color w:val="000000"/>
                <w:szCs w:val="21"/>
              </w:rPr>
            </w:pPr>
            <w:r>
              <w:rPr>
                <w:rFonts w:hint="eastAsia" w:ascii="宋体" w:hAnsi="宋体" w:cs="宋体"/>
                <w:color w:val="000000"/>
                <w:kern w:val="0"/>
                <w:szCs w:val="21"/>
              </w:rPr>
              <w:t>建设项目规划验线复核技术服务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1383DE">
            <w:pPr>
              <w:widowControl/>
              <w:textAlignment w:val="center"/>
              <w:rPr>
                <w:color w:val="000000"/>
                <w:szCs w:val="21"/>
              </w:rPr>
            </w:pPr>
            <w:r>
              <w:rPr>
                <w:color w:val="000000"/>
                <w:kern w:val="0"/>
                <w:szCs w:val="21"/>
              </w:rPr>
              <w:t>1.</w:t>
            </w:r>
            <w:r>
              <w:rPr>
                <w:rStyle w:val="134"/>
                <w:rFonts w:hint="default"/>
              </w:rPr>
              <w:t>收集放线成果报告、工程规划许可证等相关资料；</w:t>
            </w:r>
            <w:r>
              <w:rPr>
                <w:rStyle w:val="135"/>
              </w:rPr>
              <w:t>2.</w:t>
            </w:r>
            <w:r>
              <w:rPr>
                <w:rStyle w:val="134"/>
                <w:rFonts w:hint="default"/>
              </w:rPr>
              <w:t>利用</w:t>
            </w:r>
            <w:r>
              <w:rPr>
                <w:rStyle w:val="135"/>
              </w:rPr>
              <w:t>GPS</w:t>
            </w:r>
            <w:r>
              <w:rPr>
                <w:rStyle w:val="134"/>
                <w:rFonts w:hint="default"/>
              </w:rPr>
              <w:t>接收机、全站仪等工具对建设工程施工放线、建筑物位置及±</w:t>
            </w:r>
            <w:r>
              <w:rPr>
                <w:rStyle w:val="135"/>
              </w:rPr>
              <w:t>0</w:t>
            </w:r>
            <w:r>
              <w:rPr>
                <w:rStyle w:val="134"/>
                <w:rFonts w:hint="default"/>
              </w:rPr>
              <w:t>标高进行定点核验。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9C3E01">
            <w:pPr>
              <w:widowControl/>
              <w:textAlignment w:val="center"/>
              <w:rPr>
                <w:color w:val="000000"/>
                <w:szCs w:val="21"/>
              </w:rPr>
            </w:pPr>
            <w:r>
              <w:rPr>
                <w:color w:val="000000"/>
                <w:kern w:val="0"/>
                <w:szCs w:val="21"/>
              </w:rPr>
              <w:t>1.</w:t>
            </w:r>
            <w:r>
              <w:rPr>
                <w:rStyle w:val="134"/>
                <w:rFonts w:hint="default"/>
              </w:rPr>
              <w:t>验线复核记录；</w:t>
            </w:r>
            <w:r>
              <w:rPr>
                <w:rStyle w:val="135"/>
                <w:rFonts w:hint="eastAsia"/>
              </w:rPr>
              <w:t>2</w:t>
            </w:r>
            <w:r>
              <w:rPr>
                <w:rStyle w:val="135"/>
              </w:rPr>
              <w:t>.</w:t>
            </w:r>
            <w:r>
              <w:rPr>
                <w:rStyle w:val="134"/>
                <w:rFonts w:hint="default"/>
              </w:rPr>
              <w:t>验线复核报告。</w:t>
            </w:r>
          </w:p>
        </w:tc>
      </w:tr>
      <w:tr w14:paraId="1CFBA62F">
        <w:tblPrEx>
          <w:tblCellMar>
            <w:top w:w="0" w:type="dxa"/>
            <w:left w:w="108" w:type="dxa"/>
            <w:bottom w:w="0" w:type="dxa"/>
            <w:right w:w="108" w:type="dxa"/>
          </w:tblCellMar>
        </w:tblPrEx>
        <w:trPr>
          <w:trHeight w:val="2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DBBAEA">
            <w:pPr>
              <w:widowControl/>
              <w:textAlignment w:val="center"/>
              <w:rPr>
                <w:color w:val="000000"/>
                <w:szCs w:val="21"/>
              </w:rPr>
            </w:pPr>
            <w:r>
              <w:rPr>
                <w:color w:val="000000"/>
                <w:kern w:val="0"/>
                <w:szCs w:val="21"/>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FEA8A1">
            <w:pPr>
              <w:widowControl/>
              <w:textAlignment w:val="center"/>
              <w:rPr>
                <w:rFonts w:ascii="宋体" w:hAnsi="宋体" w:cs="宋体"/>
                <w:color w:val="000000"/>
                <w:szCs w:val="21"/>
              </w:rPr>
            </w:pPr>
            <w:r>
              <w:rPr>
                <w:rFonts w:hint="eastAsia" w:ascii="宋体" w:hAnsi="宋体" w:cs="宋体"/>
                <w:color w:val="000000"/>
                <w:kern w:val="0"/>
                <w:szCs w:val="21"/>
              </w:rPr>
              <w:t>城市规划区内各类建设项目用地规划前期技术服务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34A339">
            <w:pPr>
              <w:widowControl/>
              <w:textAlignment w:val="center"/>
              <w:rPr>
                <w:rFonts w:ascii="宋体" w:hAnsi="宋体" w:cs="宋体"/>
                <w:color w:val="000000"/>
                <w:szCs w:val="21"/>
              </w:rPr>
            </w:pPr>
            <w:r>
              <w:rPr>
                <w:rFonts w:hint="eastAsia" w:ascii="宋体" w:hAnsi="宋体" w:cs="宋体"/>
                <w:color w:val="000000"/>
                <w:kern w:val="0"/>
                <w:szCs w:val="21"/>
              </w:rPr>
              <w:t>建设项目规划核实复核服务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328208">
            <w:pPr>
              <w:widowControl/>
              <w:textAlignment w:val="center"/>
              <w:rPr>
                <w:color w:val="000000"/>
                <w:szCs w:val="21"/>
              </w:rPr>
            </w:pPr>
            <w:r>
              <w:rPr>
                <w:color w:val="000000"/>
                <w:kern w:val="0"/>
                <w:szCs w:val="21"/>
              </w:rPr>
              <w:t>1.</w:t>
            </w:r>
            <w:r>
              <w:rPr>
                <w:rStyle w:val="134"/>
                <w:rFonts w:hint="default"/>
              </w:rPr>
              <w:t>收集规划条件、建设用地批准文件等资料；</w:t>
            </w:r>
            <w:r>
              <w:rPr>
                <w:rStyle w:val="135"/>
              </w:rPr>
              <w:t>2.</w:t>
            </w:r>
            <w:r>
              <w:rPr>
                <w:rStyle w:val="134"/>
                <w:rFonts w:hint="default"/>
              </w:rPr>
              <w:t>利用</w:t>
            </w:r>
            <w:r>
              <w:rPr>
                <w:rStyle w:val="135"/>
              </w:rPr>
              <w:t>GPS</w:t>
            </w:r>
            <w:r>
              <w:rPr>
                <w:rStyle w:val="134"/>
                <w:rFonts w:hint="default"/>
              </w:rPr>
              <w:t>接收机、全站仪等工具测量建（构）筑物平面位置、高度等技术经济指标；</w:t>
            </w:r>
            <w:r>
              <w:rPr>
                <w:rStyle w:val="135"/>
              </w:rPr>
              <w:t>3.</w:t>
            </w:r>
            <w:r>
              <w:rPr>
                <w:rStyle w:val="134"/>
                <w:rFonts w:hint="default"/>
              </w:rPr>
              <w:t>计算对比外业测量数据，出具报告。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53D096">
            <w:pPr>
              <w:widowControl/>
              <w:textAlignment w:val="center"/>
              <w:rPr>
                <w:color w:val="000000"/>
                <w:szCs w:val="21"/>
              </w:rPr>
            </w:pPr>
            <w:r>
              <w:rPr>
                <w:color w:val="000000"/>
                <w:kern w:val="0"/>
                <w:szCs w:val="21"/>
              </w:rPr>
              <w:t>1.</w:t>
            </w:r>
            <w:r>
              <w:rPr>
                <w:rStyle w:val="134"/>
                <w:rFonts w:hint="default"/>
              </w:rPr>
              <w:t>外业测量记录；</w:t>
            </w:r>
            <w:r>
              <w:rPr>
                <w:rStyle w:val="135"/>
                <w:rFonts w:hint="eastAsia"/>
              </w:rPr>
              <w:t>2</w:t>
            </w:r>
            <w:r>
              <w:rPr>
                <w:rStyle w:val="135"/>
              </w:rPr>
              <w:t>.</w:t>
            </w:r>
            <w:r>
              <w:rPr>
                <w:rStyle w:val="134"/>
                <w:rFonts w:hint="default"/>
              </w:rPr>
              <w:t>规划核实复核报告。</w:t>
            </w:r>
          </w:p>
        </w:tc>
      </w:tr>
      <w:tr w14:paraId="52F26534">
        <w:tblPrEx>
          <w:tblCellMar>
            <w:top w:w="0" w:type="dxa"/>
            <w:left w:w="108" w:type="dxa"/>
            <w:bottom w:w="0" w:type="dxa"/>
            <w:right w:w="108" w:type="dxa"/>
          </w:tblCellMar>
        </w:tblPrEx>
        <w:trPr>
          <w:trHeight w:val="1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3995E7">
            <w:pPr>
              <w:widowControl/>
              <w:textAlignment w:val="center"/>
              <w:rPr>
                <w:color w:val="000000"/>
                <w:szCs w:val="21"/>
              </w:rPr>
            </w:pPr>
            <w:r>
              <w:rPr>
                <w:color w:val="000000"/>
                <w:kern w:val="0"/>
                <w:szCs w:val="21"/>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67FE7A">
            <w:pPr>
              <w:widowControl/>
              <w:textAlignment w:val="center"/>
              <w:rPr>
                <w:rFonts w:ascii="宋体" w:hAnsi="宋体" w:cs="宋体"/>
                <w:color w:val="000000"/>
                <w:szCs w:val="21"/>
              </w:rPr>
            </w:pPr>
            <w:r>
              <w:rPr>
                <w:rFonts w:hint="eastAsia" w:ascii="宋体" w:hAnsi="宋体" w:cs="宋体"/>
                <w:color w:val="000000"/>
                <w:kern w:val="0"/>
                <w:szCs w:val="21"/>
              </w:rPr>
              <w:t>城市规划区内各类建设项目用地规划前期技术服务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F0389C">
            <w:pPr>
              <w:widowControl/>
              <w:textAlignment w:val="center"/>
              <w:rPr>
                <w:rFonts w:ascii="宋体" w:hAnsi="宋体" w:cs="宋体"/>
                <w:color w:val="000000"/>
                <w:szCs w:val="21"/>
              </w:rPr>
            </w:pPr>
            <w:r>
              <w:rPr>
                <w:rFonts w:hint="eastAsia" w:ascii="宋体" w:hAnsi="宋体" w:cs="宋体"/>
                <w:color w:val="000000"/>
                <w:kern w:val="0"/>
                <w:szCs w:val="21"/>
              </w:rPr>
              <w:t>全市建设工程规划许可“双随机、一公开”检查技术服务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909319">
            <w:pPr>
              <w:widowControl/>
              <w:textAlignment w:val="center"/>
              <w:rPr>
                <w:color w:val="EE0000"/>
                <w:szCs w:val="21"/>
              </w:rPr>
            </w:pPr>
            <w:r>
              <w:rPr>
                <w:color w:val="auto"/>
                <w:kern w:val="0"/>
                <w:szCs w:val="21"/>
              </w:rPr>
              <w:t>1.</w:t>
            </w:r>
            <w:r>
              <w:rPr>
                <w:rStyle w:val="134"/>
                <w:rFonts w:hint="default"/>
                <w:color w:val="auto"/>
              </w:rPr>
              <w:t>收集建设用地规划许可证、施工设计图纸等材料；</w:t>
            </w:r>
            <w:r>
              <w:rPr>
                <w:rStyle w:val="135"/>
                <w:color w:val="auto"/>
              </w:rPr>
              <w:t>2.</w:t>
            </w:r>
            <w:r>
              <w:rPr>
                <w:rStyle w:val="134"/>
                <w:rFonts w:hint="default"/>
                <w:color w:val="auto"/>
              </w:rPr>
              <w:t>利用</w:t>
            </w:r>
            <w:r>
              <w:rPr>
                <w:rStyle w:val="135"/>
                <w:color w:val="auto"/>
              </w:rPr>
              <w:t>GPS</w:t>
            </w:r>
            <w:r>
              <w:rPr>
                <w:rStyle w:val="134"/>
                <w:rFonts w:hint="default"/>
                <w:color w:val="auto"/>
              </w:rPr>
              <w:t>接收机、全站仪等工具测量地块位置、容积率等指标；</w:t>
            </w:r>
            <w:r>
              <w:rPr>
                <w:rStyle w:val="135"/>
                <w:color w:val="auto"/>
              </w:rPr>
              <w:t>3.</w:t>
            </w:r>
            <w:r>
              <w:rPr>
                <w:rStyle w:val="134"/>
                <w:rFonts w:hint="default"/>
                <w:color w:val="auto"/>
              </w:rPr>
              <w:t>整理分析测量数据，编制技术报告。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1DAFB3">
            <w:pPr>
              <w:widowControl/>
              <w:textAlignment w:val="center"/>
              <w:rPr>
                <w:color w:val="EE0000"/>
                <w:szCs w:val="21"/>
              </w:rPr>
            </w:pPr>
            <w:r>
              <w:rPr>
                <w:rStyle w:val="134"/>
                <w:rFonts w:hint="default"/>
                <w:color w:val="auto"/>
              </w:rPr>
              <w:t>1.测量技术报告。</w:t>
            </w:r>
          </w:p>
        </w:tc>
      </w:tr>
      <w:tr w14:paraId="42E51DB4">
        <w:tblPrEx>
          <w:tblCellMar>
            <w:top w:w="0" w:type="dxa"/>
            <w:left w:w="108" w:type="dxa"/>
            <w:bottom w:w="0" w:type="dxa"/>
            <w:right w:w="108" w:type="dxa"/>
          </w:tblCellMar>
        </w:tblPrEx>
        <w:trPr>
          <w:trHeight w:val="22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137A65">
            <w:pPr>
              <w:widowControl/>
              <w:textAlignment w:val="center"/>
              <w:rPr>
                <w:color w:val="000000"/>
                <w:szCs w:val="21"/>
              </w:rPr>
            </w:pPr>
            <w:r>
              <w:rPr>
                <w:color w:val="000000"/>
                <w:kern w:val="0"/>
                <w:szCs w:val="21"/>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BF2087">
            <w:pPr>
              <w:widowControl/>
              <w:textAlignment w:val="center"/>
              <w:rPr>
                <w:rFonts w:ascii="宋体" w:hAnsi="宋体" w:cs="宋体"/>
                <w:color w:val="000000"/>
                <w:szCs w:val="21"/>
              </w:rPr>
            </w:pPr>
            <w:r>
              <w:rPr>
                <w:rFonts w:hint="eastAsia" w:ascii="宋体" w:hAnsi="宋体" w:cs="宋体"/>
                <w:color w:val="000000"/>
                <w:kern w:val="0"/>
                <w:szCs w:val="21"/>
              </w:rPr>
              <w:t>城市规划区内各类建设项目用地规划前期技术服务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1DDB7A">
            <w:pPr>
              <w:widowControl/>
              <w:textAlignment w:val="center"/>
              <w:rPr>
                <w:rFonts w:ascii="宋体" w:hAnsi="宋体" w:cs="宋体"/>
                <w:color w:val="000000"/>
                <w:szCs w:val="21"/>
              </w:rPr>
            </w:pPr>
            <w:r>
              <w:rPr>
                <w:rFonts w:hint="eastAsia" w:ascii="宋体" w:hAnsi="宋体" w:cs="宋体"/>
                <w:color w:val="000000"/>
                <w:kern w:val="0"/>
                <w:szCs w:val="21"/>
              </w:rPr>
              <w:t>拟建工程定点技术服务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60B656">
            <w:pPr>
              <w:widowControl/>
              <w:textAlignment w:val="center"/>
              <w:rPr>
                <w:color w:val="000000"/>
                <w:szCs w:val="21"/>
              </w:rPr>
            </w:pPr>
            <w:r>
              <w:rPr>
                <w:color w:val="000000"/>
                <w:kern w:val="0"/>
                <w:szCs w:val="21"/>
              </w:rPr>
              <w:t>1.</w:t>
            </w:r>
            <w:r>
              <w:rPr>
                <w:rStyle w:val="134"/>
                <w:rFonts w:hint="default"/>
              </w:rPr>
              <w:t>收集建筑设计图、建设用地红线图等资料；</w:t>
            </w:r>
            <w:r>
              <w:rPr>
                <w:rStyle w:val="135"/>
              </w:rPr>
              <w:t>2.</w:t>
            </w:r>
            <w:r>
              <w:rPr>
                <w:rStyle w:val="134"/>
                <w:rFonts w:hint="default"/>
              </w:rPr>
              <w:t>根据红线图坐标数据实地定点放样，打木桩固定并喷红漆，精确至厘米级；</w:t>
            </w:r>
            <w:r>
              <w:rPr>
                <w:rStyle w:val="135"/>
              </w:rPr>
              <w:t>3.</w:t>
            </w:r>
            <w:r>
              <w:rPr>
                <w:rStyle w:val="134"/>
                <w:rFonts w:hint="default"/>
              </w:rPr>
              <w:t>根据</w:t>
            </w:r>
            <w:r>
              <w:rPr>
                <w:rStyle w:val="135"/>
              </w:rPr>
              <w:t>GPS</w:t>
            </w:r>
            <w:r>
              <w:rPr>
                <w:rStyle w:val="134"/>
                <w:rFonts w:hint="default"/>
              </w:rPr>
              <w:t>定点放样数据出具报告。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0CC59C">
            <w:pPr>
              <w:widowControl/>
              <w:textAlignment w:val="center"/>
              <w:rPr>
                <w:color w:val="000000"/>
                <w:szCs w:val="21"/>
              </w:rPr>
            </w:pPr>
            <w:r>
              <w:rPr>
                <w:color w:val="000000"/>
                <w:kern w:val="0"/>
                <w:szCs w:val="21"/>
              </w:rPr>
              <w:t>1.</w:t>
            </w:r>
            <w:r>
              <w:rPr>
                <w:rStyle w:val="134"/>
                <w:rFonts w:hint="default"/>
              </w:rPr>
              <w:t>测量技术报告。</w:t>
            </w:r>
          </w:p>
        </w:tc>
      </w:tr>
      <w:tr w14:paraId="467064B6">
        <w:tblPrEx>
          <w:tblCellMar>
            <w:top w:w="0" w:type="dxa"/>
            <w:left w:w="108" w:type="dxa"/>
            <w:bottom w:w="0" w:type="dxa"/>
            <w:right w:w="108" w:type="dxa"/>
          </w:tblCellMar>
        </w:tblPrEx>
        <w:trPr>
          <w:trHeight w:val="2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18D61A">
            <w:pPr>
              <w:widowControl/>
              <w:textAlignment w:val="center"/>
              <w:rPr>
                <w:color w:val="000000"/>
                <w:szCs w:val="21"/>
              </w:rPr>
            </w:pPr>
            <w:r>
              <w:rPr>
                <w:color w:val="000000"/>
                <w:kern w:val="0"/>
                <w:szCs w:val="21"/>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291EBF">
            <w:pPr>
              <w:widowControl/>
              <w:textAlignment w:val="center"/>
              <w:rPr>
                <w:rFonts w:ascii="宋体" w:hAnsi="宋体" w:cs="宋体"/>
                <w:color w:val="000000"/>
                <w:szCs w:val="21"/>
              </w:rPr>
            </w:pPr>
            <w:r>
              <w:rPr>
                <w:rFonts w:hint="eastAsia" w:ascii="宋体" w:hAnsi="宋体" w:cs="宋体"/>
                <w:color w:val="000000"/>
                <w:kern w:val="0"/>
                <w:szCs w:val="21"/>
              </w:rPr>
              <w:t>国土空间生态修复和矿山地质环境恢复治理审查技术服务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679F92">
            <w:pPr>
              <w:widowControl/>
              <w:textAlignment w:val="center"/>
              <w:rPr>
                <w:rFonts w:ascii="宋体" w:hAnsi="宋体" w:cs="宋体"/>
                <w:color w:val="000000"/>
                <w:szCs w:val="21"/>
              </w:rPr>
            </w:pPr>
            <w:r>
              <w:rPr>
                <w:rFonts w:hint="eastAsia" w:ascii="宋体" w:hAnsi="宋体" w:cs="宋体"/>
                <w:color w:val="000000"/>
                <w:kern w:val="0"/>
                <w:szCs w:val="21"/>
              </w:rPr>
              <w:t>组织评审历史遗留矿山生态修复实施方案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D19E16">
            <w:pPr>
              <w:widowControl/>
              <w:textAlignment w:val="center"/>
              <w:rPr>
                <w:color w:val="000000"/>
                <w:szCs w:val="21"/>
              </w:rPr>
            </w:pPr>
            <w:r>
              <w:rPr>
                <w:color w:val="000000"/>
                <w:kern w:val="0"/>
                <w:szCs w:val="21"/>
              </w:rPr>
              <w:t>1.</w:t>
            </w:r>
            <w:r>
              <w:rPr>
                <w:rStyle w:val="134"/>
                <w:rFonts w:hint="default"/>
              </w:rPr>
              <w:t>实地查看项目，组织专家及有关单位现场核查；</w:t>
            </w:r>
            <w:r>
              <w:rPr>
                <w:rStyle w:val="135"/>
              </w:rPr>
              <w:t>2.</w:t>
            </w:r>
            <w:r>
              <w:rPr>
                <w:rStyle w:val="134"/>
                <w:rFonts w:hint="default"/>
              </w:rPr>
              <w:t>审查方案材料及修改情况，结合现场核查出具评审意见书。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14132F">
            <w:pPr>
              <w:widowControl/>
              <w:textAlignment w:val="center"/>
              <w:rPr>
                <w:color w:val="000000"/>
                <w:szCs w:val="21"/>
              </w:rPr>
            </w:pPr>
            <w:r>
              <w:rPr>
                <w:color w:val="000000"/>
                <w:kern w:val="0"/>
                <w:szCs w:val="21"/>
              </w:rPr>
              <w:t>1.</w:t>
            </w:r>
            <w:r>
              <w:rPr>
                <w:rStyle w:val="134"/>
                <w:rFonts w:hint="default"/>
              </w:rPr>
              <w:t>评审意见书。</w:t>
            </w:r>
          </w:p>
        </w:tc>
      </w:tr>
      <w:tr w14:paraId="77510845">
        <w:tblPrEx>
          <w:tblCellMar>
            <w:top w:w="0" w:type="dxa"/>
            <w:left w:w="108" w:type="dxa"/>
            <w:bottom w:w="0" w:type="dxa"/>
            <w:right w:w="108" w:type="dxa"/>
          </w:tblCellMar>
        </w:tblPrEx>
        <w:trPr>
          <w:trHeight w:val="291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970612">
            <w:pPr>
              <w:widowControl/>
              <w:textAlignment w:val="center"/>
              <w:rPr>
                <w:color w:val="000000"/>
                <w:szCs w:val="21"/>
              </w:rPr>
            </w:pPr>
            <w:r>
              <w:rPr>
                <w:color w:val="000000"/>
                <w:kern w:val="0"/>
                <w:szCs w:val="21"/>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9D46C3">
            <w:pPr>
              <w:widowControl/>
              <w:textAlignment w:val="center"/>
              <w:rPr>
                <w:rFonts w:ascii="宋体" w:hAnsi="宋体" w:cs="宋体"/>
                <w:color w:val="000000"/>
                <w:szCs w:val="21"/>
              </w:rPr>
            </w:pPr>
            <w:r>
              <w:rPr>
                <w:rFonts w:hint="eastAsia" w:ascii="宋体" w:hAnsi="宋体" w:cs="宋体"/>
                <w:color w:val="000000"/>
                <w:kern w:val="0"/>
                <w:szCs w:val="21"/>
              </w:rPr>
              <w:t>国土空间生态修复和矿山地质环境恢复治理审查技术服务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D67BEC">
            <w:pPr>
              <w:widowControl/>
              <w:textAlignment w:val="center"/>
              <w:rPr>
                <w:rFonts w:ascii="宋体" w:hAnsi="宋体" w:cs="宋体"/>
                <w:color w:val="000000"/>
                <w:szCs w:val="21"/>
              </w:rPr>
            </w:pPr>
            <w:r>
              <w:rPr>
                <w:rFonts w:hint="eastAsia" w:ascii="宋体" w:hAnsi="宋体" w:cs="宋体"/>
                <w:color w:val="000000"/>
                <w:kern w:val="0"/>
                <w:szCs w:val="21"/>
              </w:rPr>
              <w:t>组织崇左市历史遗留矿山自然恢复市级审核认定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394EE9">
            <w:pPr>
              <w:widowControl/>
              <w:textAlignment w:val="center"/>
              <w:rPr>
                <w:color w:val="000000"/>
                <w:szCs w:val="21"/>
              </w:rPr>
            </w:pPr>
            <w:r>
              <w:rPr>
                <w:color w:val="000000"/>
                <w:kern w:val="0"/>
                <w:szCs w:val="21"/>
              </w:rPr>
              <w:t>1.</w:t>
            </w:r>
            <w:r>
              <w:rPr>
                <w:rStyle w:val="134"/>
                <w:rFonts w:hint="default"/>
              </w:rPr>
              <w:t>核查</w:t>
            </w:r>
            <w:r>
              <w:rPr>
                <w:rStyle w:val="135"/>
              </w:rPr>
              <w:t>7</w:t>
            </w:r>
            <w:r>
              <w:rPr>
                <w:rStyle w:val="134"/>
                <w:rFonts w:hint="default"/>
              </w:rPr>
              <w:t>个县（市、区）图斑信息及现状情况；</w:t>
            </w:r>
            <w:r>
              <w:rPr>
                <w:rStyle w:val="135"/>
              </w:rPr>
              <w:t>2.</w:t>
            </w:r>
            <w:r>
              <w:rPr>
                <w:rStyle w:val="134"/>
                <w:rFonts w:hint="default"/>
              </w:rPr>
              <w:t>实地查看图斑，组织专家评估审核；</w:t>
            </w:r>
            <w:r>
              <w:rPr>
                <w:rStyle w:val="135"/>
              </w:rPr>
              <w:t>3.</w:t>
            </w:r>
            <w:r>
              <w:rPr>
                <w:rStyle w:val="134"/>
                <w:rFonts w:hint="default"/>
              </w:rPr>
              <w:t>对比图斑生态修复成效影像，审核成果材料，出具审核意见。</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EBE502">
            <w:pPr>
              <w:widowControl/>
              <w:textAlignment w:val="center"/>
              <w:rPr>
                <w:color w:val="000000"/>
                <w:szCs w:val="21"/>
              </w:rPr>
            </w:pPr>
            <w:r>
              <w:rPr>
                <w:color w:val="000000"/>
                <w:kern w:val="0"/>
                <w:szCs w:val="21"/>
              </w:rPr>
              <w:t>1.</w:t>
            </w:r>
            <w:r>
              <w:rPr>
                <w:rStyle w:val="134"/>
                <w:rFonts w:hint="default"/>
              </w:rPr>
              <w:t>验收意见书。</w:t>
            </w:r>
          </w:p>
        </w:tc>
      </w:tr>
      <w:tr w14:paraId="0870425C">
        <w:tblPrEx>
          <w:tblCellMar>
            <w:top w:w="0" w:type="dxa"/>
            <w:left w:w="108" w:type="dxa"/>
            <w:bottom w:w="0" w:type="dxa"/>
            <w:right w:w="108" w:type="dxa"/>
          </w:tblCellMar>
        </w:tblPrEx>
        <w:trPr>
          <w:trHeight w:val="2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E5C5A9">
            <w:pPr>
              <w:widowControl/>
              <w:textAlignment w:val="center"/>
              <w:rPr>
                <w:color w:val="000000"/>
                <w:szCs w:val="21"/>
              </w:rPr>
            </w:pPr>
            <w:r>
              <w:rPr>
                <w:color w:val="000000"/>
                <w:kern w:val="0"/>
                <w:szCs w:val="21"/>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0019E6">
            <w:pPr>
              <w:widowControl/>
              <w:textAlignment w:val="center"/>
              <w:rPr>
                <w:rFonts w:ascii="宋体" w:hAnsi="宋体" w:cs="宋体"/>
                <w:color w:val="000000"/>
                <w:szCs w:val="21"/>
              </w:rPr>
            </w:pPr>
            <w:r>
              <w:rPr>
                <w:rFonts w:hint="eastAsia" w:ascii="宋体" w:hAnsi="宋体" w:cs="宋体"/>
                <w:color w:val="000000"/>
                <w:kern w:val="0"/>
                <w:szCs w:val="21"/>
              </w:rPr>
              <w:t>国土空间生态修复和矿山地质环境恢复治理审查技术服务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CF056F">
            <w:pPr>
              <w:widowControl/>
              <w:textAlignment w:val="center"/>
              <w:rPr>
                <w:rFonts w:ascii="宋体" w:hAnsi="宋体" w:cs="宋体"/>
                <w:color w:val="000000"/>
                <w:szCs w:val="21"/>
              </w:rPr>
            </w:pPr>
            <w:r>
              <w:rPr>
                <w:rFonts w:hint="eastAsia" w:ascii="宋体" w:hAnsi="宋体" w:cs="宋体"/>
                <w:color w:val="000000"/>
                <w:kern w:val="0"/>
                <w:szCs w:val="21"/>
              </w:rPr>
              <w:t>组织评审临时用地土地复垦方案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D65402">
            <w:pPr>
              <w:widowControl/>
              <w:textAlignment w:val="center"/>
              <w:rPr>
                <w:color w:val="000000"/>
                <w:szCs w:val="21"/>
              </w:rPr>
            </w:pPr>
            <w:r>
              <w:rPr>
                <w:color w:val="000000"/>
                <w:kern w:val="0"/>
                <w:szCs w:val="21"/>
              </w:rPr>
              <w:t>1.</w:t>
            </w:r>
            <w:r>
              <w:rPr>
                <w:rStyle w:val="134"/>
                <w:rFonts w:hint="default"/>
              </w:rPr>
              <w:t>完成项目地形核查；</w:t>
            </w:r>
            <w:r>
              <w:rPr>
                <w:rStyle w:val="135"/>
              </w:rPr>
              <w:t>2.</w:t>
            </w:r>
            <w:r>
              <w:rPr>
                <w:rStyle w:val="134"/>
                <w:rFonts w:hint="default"/>
              </w:rPr>
              <w:t>实地查看项目，组织专家及有关单位现场核查；</w:t>
            </w:r>
            <w:r>
              <w:rPr>
                <w:rStyle w:val="135"/>
              </w:rPr>
              <w:t>3.</w:t>
            </w:r>
            <w:r>
              <w:rPr>
                <w:rStyle w:val="134"/>
                <w:rFonts w:hint="default"/>
              </w:rPr>
              <w:t>审查方案材料及修改情况，结合现场核查出具评审意见书。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2A4230">
            <w:pPr>
              <w:widowControl/>
              <w:textAlignment w:val="center"/>
              <w:rPr>
                <w:color w:val="000000"/>
                <w:szCs w:val="21"/>
              </w:rPr>
            </w:pPr>
            <w:r>
              <w:rPr>
                <w:rFonts w:hint="eastAsia"/>
                <w:color w:val="000000"/>
                <w:kern w:val="0"/>
                <w:szCs w:val="21"/>
                <w:lang w:eastAsia="zh-CN"/>
              </w:rPr>
              <w:t>1.</w:t>
            </w:r>
            <w:r>
              <w:rPr>
                <w:rStyle w:val="134"/>
                <w:rFonts w:hint="default"/>
              </w:rPr>
              <w:t>评审意见书。</w:t>
            </w:r>
          </w:p>
        </w:tc>
      </w:tr>
      <w:tr w14:paraId="570256D0">
        <w:tblPrEx>
          <w:tblCellMar>
            <w:top w:w="0" w:type="dxa"/>
            <w:left w:w="108" w:type="dxa"/>
            <w:bottom w:w="0" w:type="dxa"/>
            <w:right w:w="108" w:type="dxa"/>
          </w:tblCellMar>
        </w:tblPrEx>
        <w:trPr>
          <w:trHeight w:val="2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3C17D2">
            <w:pPr>
              <w:widowControl/>
              <w:textAlignment w:val="center"/>
              <w:rPr>
                <w:color w:val="000000"/>
                <w:szCs w:val="21"/>
              </w:rPr>
            </w:pPr>
            <w:r>
              <w:rPr>
                <w:color w:val="000000"/>
                <w:kern w:val="0"/>
                <w:szCs w:val="21"/>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CB9AC7">
            <w:pPr>
              <w:widowControl/>
              <w:textAlignment w:val="center"/>
              <w:rPr>
                <w:rFonts w:ascii="宋体" w:hAnsi="宋体" w:cs="宋体"/>
                <w:color w:val="000000"/>
                <w:szCs w:val="21"/>
              </w:rPr>
            </w:pPr>
            <w:r>
              <w:rPr>
                <w:rFonts w:hint="eastAsia" w:ascii="宋体" w:hAnsi="宋体" w:cs="宋体"/>
                <w:color w:val="000000"/>
                <w:kern w:val="0"/>
                <w:szCs w:val="21"/>
              </w:rPr>
              <w:t>国土空间生态修复和矿山地质环境恢复治理审查技术服务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793E69">
            <w:pPr>
              <w:widowControl/>
              <w:textAlignment w:val="center"/>
              <w:rPr>
                <w:rFonts w:ascii="宋体" w:hAnsi="宋体" w:cs="宋体"/>
                <w:color w:val="000000"/>
                <w:szCs w:val="21"/>
              </w:rPr>
            </w:pPr>
            <w:r>
              <w:rPr>
                <w:rFonts w:hint="eastAsia" w:ascii="宋体" w:hAnsi="宋体" w:cs="宋体"/>
                <w:color w:val="000000"/>
                <w:kern w:val="0"/>
                <w:szCs w:val="21"/>
              </w:rPr>
              <w:t>组织矿山生态修复工程验收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B7FECB">
            <w:pPr>
              <w:widowControl/>
              <w:textAlignment w:val="center"/>
              <w:rPr>
                <w:color w:val="000000"/>
                <w:szCs w:val="21"/>
              </w:rPr>
            </w:pPr>
            <w:r>
              <w:rPr>
                <w:color w:val="000000"/>
                <w:kern w:val="0"/>
                <w:szCs w:val="21"/>
              </w:rPr>
              <w:t>1.</w:t>
            </w:r>
            <w:r>
              <w:rPr>
                <w:rStyle w:val="134"/>
                <w:rFonts w:hint="default"/>
              </w:rPr>
              <w:t>完成项目地形核查；</w:t>
            </w:r>
            <w:r>
              <w:rPr>
                <w:rStyle w:val="135"/>
              </w:rPr>
              <w:t>2.</w:t>
            </w:r>
            <w:r>
              <w:rPr>
                <w:rStyle w:val="134"/>
                <w:rFonts w:hint="default"/>
              </w:rPr>
              <w:t>实地查看项目，组织专家及有关单位现场核查；</w:t>
            </w:r>
            <w:r>
              <w:rPr>
                <w:rStyle w:val="135"/>
              </w:rPr>
              <w:t>3.</w:t>
            </w:r>
            <w:r>
              <w:rPr>
                <w:rStyle w:val="134"/>
                <w:rFonts w:hint="default"/>
              </w:rPr>
              <w:t>审查工程验收材料及修改情况，结合现场核查出具验收意见书。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DD3742">
            <w:pPr>
              <w:widowControl/>
              <w:textAlignment w:val="center"/>
              <w:rPr>
                <w:color w:val="000000"/>
                <w:szCs w:val="21"/>
              </w:rPr>
            </w:pPr>
            <w:r>
              <w:rPr>
                <w:color w:val="000000"/>
                <w:kern w:val="0"/>
                <w:szCs w:val="21"/>
              </w:rPr>
              <w:t>1.</w:t>
            </w:r>
            <w:r>
              <w:rPr>
                <w:rStyle w:val="134"/>
                <w:rFonts w:hint="default"/>
              </w:rPr>
              <w:t>验收意见书。</w:t>
            </w:r>
          </w:p>
        </w:tc>
      </w:tr>
      <w:tr w14:paraId="154BA540">
        <w:tblPrEx>
          <w:tblCellMar>
            <w:top w:w="0" w:type="dxa"/>
            <w:left w:w="108" w:type="dxa"/>
            <w:bottom w:w="0" w:type="dxa"/>
            <w:right w:w="108" w:type="dxa"/>
          </w:tblCellMar>
        </w:tblPrEx>
        <w:trPr>
          <w:trHeight w:val="2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BCD73A">
            <w:pPr>
              <w:widowControl/>
              <w:textAlignment w:val="center"/>
              <w:rPr>
                <w:color w:val="000000"/>
                <w:szCs w:val="21"/>
              </w:rPr>
            </w:pPr>
            <w:r>
              <w:rPr>
                <w:color w:val="000000"/>
                <w:kern w:val="0"/>
                <w:szCs w:val="21"/>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0E6EC5">
            <w:pPr>
              <w:widowControl/>
              <w:textAlignment w:val="center"/>
              <w:rPr>
                <w:rFonts w:ascii="宋体" w:hAnsi="宋体" w:cs="宋体"/>
                <w:color w:val="000000"/>
                <w:szCs w:val="21"/>
              </w:rPr>
            </w:pPr>
            <w:r>
              <w:rPr>
                <w:rFonts w:hint="eastAsia" w:ascii="宋体" w:hAnsi="宋体" w:cs="宋体"/>
                <w:color w:val="000000"/>
                <w:kern w:val="0"/>
                <w:szCs w:val="21"/>
              </w:rPr>
              <w:t>矿业权管理市级审查技术服务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504CA2">
            <w:pPr>
              <w:widowControl/>
              <w:textAlignment w:val="center"/>
              <w:rPr>
                <w:rFonts w:ascii="宋体" w:hAnsi="宋体" w:cs="宋体"/>
                <w:color w:val="000000"/>
                <w:szCs w:val="21"/>
              </w:rPr>
            </w:pPr>
            <w:r>
              <w:rPr>
                <w:rFonts w:hint="eastAsia" w:ascii="宋体" w:hAnsi="宋体" w:cs="宋体"/>
                <w:color w:val="000000"/>
                <w:kern w:val="0"/>
                <w:szCs w:val="21"/>
              </w:rPr>
              <w:t>组织评审矿产资源勘查实施方案（矿产勘查设计）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6254E8">
            <w:pPr>
              <w:widowControl/>
              <w:textAlignment w:val="center"/>
              <w:rPr>
                <w:color w:val="000000"/>
                <w:szCs w:val="21"/>
              </w:rPr>
            </w:pPr>
            <w:r>
              <w:rPr>
                <w:color w:val="000000"/>
                <w:kern w:val="0"/>
                <w:szCs w:val="21"/>
              </w:rPr>
              <w:t>1.</w:t>
            </w:r>
            <w:r>
              <w:rPr>
                <w:rStyle w:val="134"/>
                <w:rFonts w:hint="default"/>
              </w:rPr>
              <w:t>实地查看项目，组织专家及有关单位现场核查；</w:t>
            </w:r>
            <w:r>
              <w:rPr>
                <w:rStyle w:val="135"/>
              </w:rPr>
              <w:t>2.</w:t>
            </w:r>
            <w:r>
              <w:rPr>
                <w:rStyle w:val="134"/>
                <w:rFonts w:hint="default"/>
              </w:rPr>
              <w:t>审查方案材料及修改情况，结合现场核查出具评审意见书。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D59A8E">
            <w:pPr>
              <w:widowControl/>
              <w:textAlignment w:val="center"/>
              <w:rPr>
                <w:color w:val="000000"/>
                <w:szCs w:val="21"/>
              </w:rPr>
            </w:pPr>
            <w:r>
              <w:rPr>
                <w:color w:val="000000"/>
                <w:kern w:val="0"/>
                <w:szCs w:val="21"/>
              </w:rPr>
              <w:t>1.</w:t>
            </w:r>
            <w:r>
              <w:rPr>
                <w:rStyle w:val="134"/>
                <w:rFonts w:hint="default"/>
              </w:rPr>
              <w:t>评审意见书。</w:t>
            </w:r>
          </w:p>
        </w:tc>
      </w:tr>
      <w:tr w14:paraId="19BF21A5">
        <w:tblPrEx>
          <w:tblCellMar>
            <w:top w:w="0" w:type="dxa"/>
            <w:left w:w="108" w:type="dxa"/>
            <w:bottom w:w="0" w:type="dxa"/>
            <w:right w:w="108" w:type="dxa"/>
          </w:tblCellMar>
        </w:tblPrEx>
        <w:trPr>
          <w:trHeight w:val="2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D33C6B">
            <w:pPr>
              <w:widowControl/>
              <w:textAlignment w:val="center"/>
              <w:rPr>
                <w:color w:val="000000"/>
                <w:szCs w:val="21"/>
              </w:rPr>
            </w:pPr>
            <w:r>
              <w:rPr>
                <w:color w:val="000000"/>
                <w:kern w:val="0"/>
                <w:szCs w:val="21"/>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B7D0A7">
            <w:pPr>
              <w:widowControl/>
              <w:textAlignment w:val="center"/>
              <w:rPr>
                <w:rFonts w:ascii="宋体" w:hAnsi="宋体" w:cs="宋体"/>
                <w:color w:val="000000"/>
                <w:szCs w:val="21"/>
              </w:rPr>
            </w:pPr>
            <w:r>
              <w:rPr>
                <w:rFonts w:hint="eastAsia" w:ascii="宋体" w:hAnsi="宋体" w:cs="宋体"/>
                <w:color w:val="000000"/>
                <w:kern w:val="0"/>
                <w:szCs w:val="21"/>
              </w:rPr>
              <w:t>矿业权管理市级审查技术服务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B1B576">
            <w:pPr>
              <w:widowControl/>
              <w:textAlignment w:val="center"/>
              <w:rPr>
                <w:rFonts w:ascii="宋体" w:hAnsi="宋体" w:cs="宋体"/>
                <w:color w:val="000000"/>
                <w:szCs w:val="21"/>
              </w:rPr>
            </w:pPr>
            <w:r>
              <w:rPr>
                <w:rFonts w:hint="eastAsia" w:ascii="宋体" w:hAnsi="宋体" w:cs="宋体"/>
                <w:color w:val="000000"/>
                <w:kern w:val="0"/>
                <w:szCs w:val="21"/>
              </w:rPr>
              <w:t>组织评审地质矿产勘查项目野外验收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741524">
            <w:pPr>
              <w:widowControl/>
              <w:textAlignment w:val="center"/>
              <w:rPr>
                <w:color w:val="000000"/>
                <w:szCs w:val="21"/>
              </w:rPr>
            </w:pPr>
            <w:r>
              <w:rPr>
                <w:color w:val="000000"/>
                <w:kern w:val="0"/>
                <w:szCs w:val="21"/>
              </w:rPr>
              <w:t>1.</w:t>
            </w:r>
            <w:r>
              <w:rPr>
                <w:rStyle w:val="134"/>
                <w:rFonts w:hint="default"/>
              </w:rPr>
              <w:t>完成项目地形核查；</w:t>
            </w:r>
            <w:r>
              <w:rPr>
                <w:rStyle w:val="135"/>
              </w:rPr>
              <w:t>2.</w:t>
            </w:r>
            <w:r>
              <w:rPr>
                <w:rStyle w:val="134"/>
                <w:rFonts w:hint="default"/>
              </w:rPr>
              <w:t>实地查看项目，组织专家及有关单位现场核查；</w:t>
            </w:r>
            <w:r>
              <w:rPr>
                <w:rStyle w:val="135"/>
              </w:rPr>
              <w:t>3.</w:t>
            </w:r>
            <w:r>
              <w:rPr>
                <w:rStyle w:val="134"/>
                <w:rFonts w:hint="default"/>
              </w:rPr>
              <w:t>审查工程验收材料及修改情况，结合现场核查出具验收意见书。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A5005C">
            <w:pPr>
              <w:widowControl/>
              <w:textAlignment w:val="center"/>
              <w:rPr>
                <w:color w:val="000000"/>
                <w:szCs w:val="21"/>
              </w:rPr>
            </w:pPr>
            <w:r>
              <w:rPr>
                <w:color w:val="000000"/>
                <w:kern w:val="0"/>
                <w:szCs w:val="21"/>
              </w:rPr>
              <w:t>1.</w:t>
            </w:r>
            <w:r>
              <w:rPr>
                <w:rStyle w:val="134"/>
                <w:rFonts w:hint="default"/>
              </w:rPr>
              <w:t>验收意见书。</w:t>
            </w:r>
          </w:p>
        </w:tc>
      </w:tr>
      <w:tr w14:paraId="09F55F23">
        <w:tblPrEx>
          <w:tblCellMar>
            <w:top w:w="0" w:type="dxa"/>
            <w:left w:w="108" w:type="dxa"/>
            <w:bottom w:w="0" w:type="dxa"/>
            <w:right w:w="108" w:type="dxa"/>
          </w:tblCellMar>
        </w:tblPrEx>
        <w:trPr>
          <w:trHeight w:val="2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3C7CA6">
            <w:pPr>
              <w:widowControl/>
              <w:textAlignment w:val="center"/>
              <w:rPr>
                <w:color w:val="000000"/>
                <w:szCs w:val="21"/>
              </w:rPr>
            </w:pPr>
            <w:r>
              <w:rPr>
                <w:color w:val="000000"/>
                <w:kern w:val="0"/>
                <w:szCs w:val="21"/>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BA06D7">
            <w:pPr>
              <w:widowControl/>
              <w:textAlignment w:val="center"/>
              <w:rPr>
                <w:rFonts w:ascii="宋体" w:hAnsi="宋体" w:cs="宋体"/>
                <w:color w:val="000000"/>
                <w:szCs w:val="21"/>
              </w:rPr>
            </w:pPr>
            <w:r>
              <w:rPr>
                <w:rFonts w:hint="eastAsia" w:ascii="宋体" w:hAnsi="宋体" w:cs="宋体"/>
                <w:color w:val="000000"/>
                <w:kern w:val="0"/>
                <w:szCs w:val="21"/>
              </w:rPr>
              <w:t>矿业权管理市级审查技术服务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6B1439">
            <w:pPr>
              <w:widowControl/>
              <w:textAlignment w:val="center"/>
              <w:rPr>
                <w:rFonts w:ascii="宋体" w:hAnsi="宋体" w:cs="宋体"/>
                <w:color w:val="000000"/>
                <w:szCs w:val="21"/>
              </w:rPr>
            </w:pPr>
            <w:r>
              <w:rPr>
                <w:rFonts w:hint="eastAsia" w:ascii="宋体" w:hAnsi="宋体" w:cs="宋体"/>
                <w:color w:val="000000"/>
                <w:kern w:val="0"/>
                <w:szCs w:val="21"/>
              </w:rPr>
              <w:t>组织评审地质勘查报告、资源储量核实报告等矿产资源储量报告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277AE8">
            <w:pPr>
              <w:widowControl/>
              <w:textAlignment w:val="center"/>
              <w:rPr>
                <w:color w:val="000000"/>
                <w:szCs w:val="21"/>
              </w:rPr>
            </w:pPr>
            <w:r>
              <w:rPr>
                <w:color w:val="000000"/>
                <w:kern w:val="0"/>
                <w:szCs w:val="21"/>
              </w:rPr>
              <w:t>1.</w:t>
            </w:r>
            <w:r>
              <w:rPr>
                <w:rStyle w:val="134"/>
                <w:rFonts w:hint="default"/>
              </w:rPr>
              <w:t>实地查看项目，组织专家及有关单位现场核查；</w:t>
            </w:r>
            <w:r>
              <w:rPr>
                <w:rStyle w:val="135"/>
              </w:rPr>
              <w:t>2.</w:t>
            </w:r>
            <w:r>
              <w:rPr>
                <w:rStyle w:val="134"/>
                <w:rFonts w:hint="default"/>
              </w:rPr>
              <w:t>审查报告材料及修改情况，结合现场核查出具评审意见书。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99A23B">
            <w:pPr>
              <w:widowControl/>
              <w:textAlignment w:val="center"/>
              <w:rPr>
                <w:color w:val="000000"/>
                <w:szCs w:val="21"/>
              </w:rPr>
            </w:pPr>
            <w:r>
              <w:rPr>
                <w:color w:val="000000"/>
                <w:kern w:val="0"/>
                <w:szCs w:val="21"/>
              </w:rPr>
              <w:t>1.</w:t>
            </w:r>
            <w:r>
              <w:rPr>
                <w:rStyle w:val="134"/>
                <w:rFonts w:hint="default"/>
              </w:rPr>
              <w:t>评审意见书。</w:t>
            </w:r>
          </w:p>
        </w:tc>
      </w:tr>
      <w:tr w14:paraId="5B3A9203">
        <w:tblPrEx>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F6AB23">
            <w:pPr>
              <w:widowControl/>
              <w:textAlignment w:val="center"/>
              <w:rPr>
                <w:color w:val="000000"/>
                <w:szCs w:val="21"/>
              </w:rPr>
            </w:pPr>
            <w:r>
              <w:rPr>
                <w:color w:val="000000"/>
                <w:kern w:val="0"/>
                <w:szCs w:val="21"/>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A3A831">
            <w:pPr>
              <w:widowControl/>
              <w:textAlignment w:val="center"/>
              <w:rPr>
                <w:rFonts w:ascii="宋体" w:hAnsi="宋体" w:cs="宋体"/>
                <w:color w:val="000000"/>
                <w:szCs w:val="21"/>
              </w:rPr>
            </w:pPr>
            <w:r>
              <w:rPr>
                <w:rFonts w:hint="eastAsia" w:ascii="宋体" w:hAnsi="宋体" w:cs="宋体"/>
                <w:color w:val="000000"/>
                <w:kern w:val="0"/>
                <w:szCs w:val="21"/>
              </w:rPr>
              <w:t>矿业权管理市级审查技术服务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AA0D4B">
            <w:pPr>
              <w:widowControl/>
              <w:textAlignment w:val="center"/>
              <w:rPr>
                <w:rFonts w:ascii="宋体" w:hAnsi="宋体" w:cs="宋体"/>
                <w:color w:val="000000"/>
                <w:szCs w:val="21"/>
              </w:rPr>
            </w:pPr>
            <w:r>
              <w:rPr>
                <w:rFonts w:hint="eastAsia" w:ascii="宋体" w:hAnsi="宋体" w:cs="宋体"/>
                <w:color w:val="000000"/>
                <w:kern w:val="0"/>
                <w:szCs w:val="21"/>
              </w:rPr>
              <w:t>组织评审矿产资源开发利用方案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8A4170">
            <w:pPr>
              <w:widowControl/>
              <w:textAlignment w:val="center"/>
              <w:rPr>
                <w:color w:val="000000"/>
                <w:szCs w:val="21"/>
              </w:rPr>
            </w:pPr>
            <w:r>
              <w:rPr>
                <w:color w:val="000000"/>
                <w:kern w:val="0"/>
                <w:szCs w:val="21"/>
              </w:rPr>
              <w:t>1.</w:t>
            </w:r>
            <w:r>
              <w:rPr>
                <w:rStyle w:val="134"/>
                <w:rFonts w:hint="default"/>
              </w:rPr>
              <w:t>实地查看项目，组织专家及有关单位现场核查；</w:t>
            </w:r>
            <w:r>
              <w:rPr>
                <w:rStyle w:val="135"/>
              </w:rPr>
              <w:t>2.</w:t>
            </w:r>
            <w:r>
              <w:rPr>
                <w:rStyle w:val="134"/>
                <w:rFonts w:hint="default"/>
              </w:rPr>
              <w:t>审查方案材料及修改情况，结合现场核查出具评审意见书。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A9A6EE">
            <w:pPr>
              <w:widowControl/>
              <w:textAlignment w:val="center"/>
              <w:rPr>
                <w:color w:val="000000"/>
                <w:szCs w:val="21"/>
              </w:rPr>
            </w:pPr>
            <w:r>
              <w:rPr>
                <w:color w:val="000000"/>
                <w:kern w:val="0"/>
                <w:szCs w:val="21"/>
              </w:rPr>
              <w:t>1</w:t>
            </w:r>
            <w:r>
              <w:rPr>
                <w:rStyle w:val="134"/>
                <w:rFonts w:hint="default"/>
              </w:rPr>
              <w:t>评审意见书。</w:t>
            </w:r>
          </w:p>
        </w:tc>
      </w:tr>
      <w:tr w14:paraId="79F3D1E1">
        <w:tblPrEx>
          <w:tblCellMar>
            <w:top w:w="0" w:type="dxa"/>
            <w:left w:w="108" w:type="dxa"/>
            <w:bottom w:w="0" w:type="dxa"/>
            <w:right w:w="108" w:type="dxa"/>
          </w:tblCellMar>
        </w:tblPrEx>
        <w:trPr>
          <w:trHeight w:val="162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A090E1">
            <w:pPr>
              <w:widowControl/>
              <w:textAlignment w:val="center"/>
              <w:rPr>
                <w:color w:val="000000"/>
                <w:szCs w:val="21"/>
              </w:rPr>
            </w:pPr>
            <w:r>
              <w:rPr>
                <w:color w:val="000000"/>
                <w:kern w:val="0"/>
                <w:szCs w:val="21"/>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7607B2">
            <w:pPr>
              <w:widowControl/>
              <w:textAlignment w:val="center"/>
              <w:rPr>
                <w:rFonts w:ascii="宋体" w:hAnsi="宋体" w:cs="宋体"/>
                <w:color w:val="000000"/>
                <w:szCs w:val="21"/>
              </w:rPr>
            </w:pPr>
            <w:r>
              <w:rPr>
                <w:rFonts w:hint="eastAsia" w:ascii="宋体" w:hAnsi="宋体" w:cs="宋体"/>
                <w:color w:val="000000"/>
                <w:kern w:val="0"/>
                <w:szCs w:val="21"/>
              </w:rPr>
              <w:t>矿业权管理市级审查技术服务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E8E423">
            <w:pPr>
              <w:widowControl/>
              <w:textAlignment w:val="center"/>
              <w:rPr>
                <w:rFonts w:ascii="宋体" w:hAnsi="宋体" w:cs="宋体"/>
                <w:color w:val="000000"/>
                <w:szCs w:val="21"/>
              </w:rPr>
            </w:pPr>
            <w:r>
              <w:rPr>
                <w:rFonts w:hint="eastAsia" w:ascii="宋体" w:hAnsi="宋体" w:cs="宋体"/>
                <w:color w:val="000000"/>
                <w:kern w:val="0"/>
                <w:szCs w:val="21"/>
              </w:rPr>
              <w:t>组织评审矿山地质环境保护与土地复垦方案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587E70">
            <w:pPr>
              <w:widowControl/>
              <w:textAlignment w:val="center"/>
              <w:rPr>
                <w:color w:val="000000"/>
                <w:szCs w:val="21"/>
              </w:rPr>
            </w:pPr>
            <w:r>
              <w:rPr>
                <w:color w:val="000000"/>
                <w:kern w:val="0"/>
                <w:szCs w:val="21"/>
              </w:rPr>
              <w:t>1.</w:t>
            </w:r>
            <w:r>
              <w:rPr>
                <w:rStyle w:val="134"/>
                <w:rFonts w:hint="default"/>
              </w:rPr>
              <w:t>实地查看项目，组织专家及有关单位现场核查；</w:t>
            </w:r>
            <w:r>
              <w:rPr>
                <w:rStyle w:val="135"/>
              </w:rPr>
              <w:t>2.</w:t>
            </w:r>
            <w:r>
              <w:rPr>
                <w:rStyle w:val="134"/>
                <w:rFonts w:hint="default"/>
              </w:rPr>
              <w:t>审查方案材料及修改情况，结合现场核查出具评审意见书。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3AA302">
            <w:pPr>
              <w:widowControl/>
              <w:textAlignment w:val="center"/>
              <w:rPr>
                <w:color w:val="000000"/>
                <w:szCs w:val="21"/>
              </w:rPr>
            </w:pPr>
            <w:r>
              <w:rPr>
                <w:color w:val="000000"/>
                <w:kern w:val="0"/>
                <w:szCs w:val="21"/>
              </w:rPr>
              <w:t>1.</w:t>
            </w:r>
            <w:r>
              <w:rPr>
                <w:rStyle w:val="134"/>
                <w:rFonts w:hint="default"/>
              </w:rPr>
              <w:t>评审意见书。</w:t>
            </w:r>
          </w:p>
        </w:tc>
      </w:tr>
      <w:tr w14:paraId="3EFCEB63">
        <w:tblPrEx>
          <w:tblCellMar>
            <w:top w:w="0" w:type="dxa"/>
            <w:left w:w="108" w:type="dxa"/>
            <w:bottom w:w="0" w:type="dxa"/>
            <w:right w:w="108" w:type="dxa"/>
          </w:tblCellMar>
        </w:tblPrEx>
        <w:trPr>
          <w:trHeight w:val="1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76BEBE">
            <w:pPr>
              <w:widowControl/>
              <w:textAlignment w:val="center"/>
              <w:rPr>
                <w:color w:val="000000"/>
                <w:szCs w:val="21"/>
              </w:rPr>
            </w:pPr>
            <w:r>
              <w:rPr>
                <w:color w:val="000000"/>
                <w:kern w:val="0"/>
                <w:szCs w:val="21"/>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B3CCF7">
            <w:pPr>
              <w:widowControl/>
              <w:textAlignment w:val="center"/>
              <w:rPr>
                <w:rFonts w:ascii="宋体" w:hAnsi="宋体" w:cs="宋体"/>
                <w:color w:val="000000"/>
                <w:szCs w:val="21"/>
              </w:rPr>
            </w:pPr>
            <w:r>
              <w:rPr>
                <w:rFonts w:hint="eastAsia" w:ascii="宋体" w:hAnsi="宋体" w:cs="宋体"/>
                <w:color w:val="000000"/>
                <w:kern w:val="0"/>
                <w:szCs w:val="21"/>
              </w:rPr>
              <w:t>矿业权管理市级审查技术服务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D1589E">
            <w:pPr>
              <w:widowControl/>
              <w:textAlignment w:val="center"/>
              <w:rPr>
                <w:rFonts w:ascii="宋体" w:hAnsi="宋体" w:cs="宋体"/>
                <w:color w:val="000000"/>
                <w:szCs w:val="21"/>
              </w:rPr>
            </w:pPr>
            <w:r>
              <w:rPr>
                <w:rFonts w:hint="eastAsia" w:ascii="宋体" w:hAnsi="宋体" w:cs="宋体"/>
                <w:color w:val="000000"/>
                <w:kern w:val="0"/>
                <w:szCs w:val="21"/>
              </w:rPr>
              <w:t>组织评审矿产资源开发利用与保护总体方案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53251F">
            <w:pPr>
              <w:widowControl/>
              <w:textAlignment w:val="center"/>
              <w:rPr>
                <w:color w:val="000000"/>
                <w:szCs w:val="21"/>
              </w:rPr>
            </w:pPr>
            <w:r>
              <w:rPr>
                <w:color w:val="000000"/>
                <w:kern w:val="0"/>
                <w:szCs w:val="21"/>
              </w:rPr>
              <w:t>1.</w:t>
            </w:r>
            <w:r>
              <w:rPr>
                <w:rStyle w:val="134"/>
                <w:rFonts w:hint="default"/>
              </w:rPr>
              <w:t>实地查看项目，组织专家及有关单位现场核查；</w:t>
            </w:r>
            <w:r>
              <w:rPr>
                <w:rStyle w:val="135"/>
              </w:rPr>
              <w:t>2.</w:t>
            </w:r>
            <w:r>
              <w:rPr>
                <w:rStyle w:val="134"/>
                <w:rFonts w:hint="default"/>
              </w:rPr>
              <w:t>审查方案材料及修改情况，结合现场核查出具评审意见书。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8DB6C6">
            <w:pPr>
              <w:widowControl/>
              <w:textAlignment w:val="center"/>
              <w:rPr>
                <w:color w:val="000000"/>
                <w:szCs w:val="21"/>
              </w:rPr>
            </w:pPr>
            <w:r>
              <w:rPr>
                <w:rFonts w:hint="eastAsia"/>
                <w:color w:val="000000"/>
                <w:kern w:val="0"/>
                <w:szCs w:val="21"/>
                <w:lang w:eastAsia="zh-CN"/>
              </w:rPr>
              <w:t>1.</w:t>
            </w:r>
            <w:r>
              <w:rPr>
                <w:rStyle w:val="134"/>
                <w:rFonts w:hint="default"/>
              </w:rPr>
              <w:t>评审意见书。</w:t>
            </w:r>
          </w:p>
        </w:tc>
      </w:tr>
      <w:tr w14:paraId="6DC25122">
        <w:tblPrEx>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C2BC70">
            <w:pPr>
              <w:widowControl/>
              <w:textAlignment w:val="center"/>
              <w:rPr>
                <w:color w:val="000000"/>
                <w:szCs w:val="21"/>
              </w:rPr>
            </w:pPr>
            <w:r>
              <w:rPr>
                <w:color w:val="000000"/>
                <w:kern w:val="0"/>
                <w:szCs w:val="21"/>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9AA2A3">
            <w:pPr>
              <w:widowControl/>
              <w:textAlignment w:val="center"/>
              <w:rPr>
                <w:rFonts w:ascii="宋体" w:hAnsi="宋体" w:cs="宋体"/>
                <w:color w:val="000000"/>
                <w:szCs w:val="21"/>
              </w:rPr>
            </w:pPr>
            <w:r>
              <w:rPr>
                <w:rFonts w:hint="eastAsia" w:ascii="宋体" w:hAnsi="宋体" w:cs="宋体"/>
                <w:color w:val="000000"/>
                <w:kern w:val="0"/>
                <w:szCs w:val="21"/>
              </w:rPr>
              <w:t>不动产确权登记权籍调查测绘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E62D5F">
            <w:pPr>
              <w:widowControl/>
              <w:textAlignment w:val="center"/>
              <w:rPr>
                <w:rFonts w:ascii="宋体" w:hAnsi="宋体" w:cs="宋体"/>
                <w:color w:val="000000"/>
                <w:szCs w:val="21"/>
              </w:rPr>
            </w:pPr>
            <w:r>
              <w:rPr>
                <w:rFonts w:hint="eastAsia" w:ascii="宋体" w:hAnsi="宋体" w:cs="宋体"/>
                <w:color w:val="000000"/>
                <w:kern w:val="0"/>
                <w:szCs w:val="21"/>
              </w:rPr>
              <w:t>权籍调查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DD0C73">
            <w:pPr>
              <w:widowControl/>
              <w:textAlignment w:val="center"/>
              <w:rPr>
                <w:color w:val="000000"/>
                <w:szCs w:val="21"/>
              </w:rPr>
            </w:pPr>
            <w:r>
              <w:rPr>
                <w:color w:val="000000"/>
                <w:kern w:val="0"/>
                <w:szCs w:val="21"/>
              </w:rPr>
              <w:t>1.</w:t>
            </w:r>
            <w:r>
              <w:rPr>
                <w:rStyle w:val="134"/>
                <w:rFonts w:hint="default"/>
              </w:rPr>
              <w:t>收集土地出让合同、不动产所有权证等权属来源资料；</w:t>
            </w:r>
            <w:r>
              <w:rPr>
                <w:rStyle w:val="135"/>
              </w:rPr>
              <w:t>2.</w:t>
            </w:r>
            <w:r>
              <w:rPr>
                <w:rStyle w:val="134"/>
                <w:rFonts w:hint="default"/>
              </w:rPr>
              <w:t>现场勘查，利用</w:t>
            </w:r>
            <w:r>
              <w:rPr>
                <w:rStyle w:val="135"/>
              </w:rPr>
              <w:t>GPS</w:t>
            </w:r>
            <w:r>
              <w:rPr>
                <w:rStyle w:val="134"/>
                <w:rFonts w:hint="default"/>
              </w:rPr>
              <w:t>接收机、全站仪等确定不动产界址、面积，核实用途及现状；</w:t>
            </w:r>
            <w:r>
              <w:rPr>
                <w:rStyle w:val="135"/>
              </w:rPr>
              <w:t>3.</w:t>
            </w:r>
            <w:r>
              <w:rPr>
                <w:rStyle w:val="134"/>
                <w:rFonts w:hint="default"/>
              </w:rPr>
              <w:t>整理实地测量数据，绘制权籍图，编制权籍调查报告。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2E1F5D">
            <w:pPr>
              <w:widowControl/>
              <w:textAlignment w:val="center"/>
              <w:rPr>
                <w:color w:val="000000"/>
                <w:szCs w:val="21"/>
              </w:rPr>
            </w:pPr>
            <w:r>
              <w:rPr>
                <w:color w:val="000000"/>
                <w:kern w:val="0"/>
                <w:szCs w:val="21"/>
              </w:rPr>
              <w:t>1.</w:t>
            </w:r>
            <w:r>
              <w:rPr>
                <w:rStyle w:val="134"/>
                <w:rFonts w:hint="default"/>
              </w:rPr>
              <w:t>权属来源资料；</w:t>
            </w:r>
            <w:r>
              <w:rPr>
                <w:rStyle w:val="135"/>
              </w:rPr>
              <w:t>2.</w:t>
            </w:r>
            <w:r>
              <w:rPr>
                <w:rStyle w:val="134"/>
                <w:rFonts w:hint="default"/>
              </w:rPr>
              <w:t>界址测量记录；</w:t>
            </w:r>
            <w:r>
              <w:rPr>
                <w:rStyle w:val="135"/>
              </w:rPr>
              <w:t>3.</w:t>
            </w:r>
            <w:r>
              <w:rPr>
                <w:rStyle w:val="134"/>
                <w:rFonts w:hint="default"/>
              </w:rPr>
              <w:t>图件（纸质</w:t>
            </w:r>
            <w:r>
              <w:rPr>
                <w:rStyle w:val="135"/>
              </w:rPr>
              <w:t>+</w:t>
            </w:r>
            <w:r>
              <w:rPr>
                <w:rStyle w:val="134"/>
                <w:rFonts w:hint="default"/>
              </w:rPr>
              <w:t>电子）；</w:t>
            </w:r>
            <w:r>
              <w:rPr>
                <w:rStyle w:val="135"/>
              </w:rPr>
              <w:t>4.</w:t>
            </w:r>
            <w:r>
              <w:rPr>
                <w:rStyle w:val="134"/>
                <w:rFonts w:hint="default"/>
              </w:rPr>
              <w:t>权籍调查报告。</w:t>
            </w:r>
          </w:p>
        </w:tc>
      </w:tr>
      <w:tr w14:paraId="44C24BC4">
        <w:tblPrEx>
          <w:tblCellMar>
            <w:top w:w="0" w:type="dxa"/>
            <w:left w:w="108" w:type="dxa"/>
            <w:bottom w:w="0" w:type="dxa"/>
            <w:right w:w="108" w:type="dxa"/>
          </w:tblCellMar>
        </w:tblPrEx>
        <w:trPr>
          <w:trHeight w:val="17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B69C52">
            <w:pPr>
              <w:widowControl/>
              <w:textAlignment w:val="center"/>
              <w:rPr>
                <w:color w:val="000000"/>
                <w:szCs w:val="21"/>
              </w:rPr>
            </w:pPr>
            <w:r>
              <w:rPr>
                <w:color w:val="000000"/>
                <w:kern w:val="0"/>
                <w:szCs w:val="21"/>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90EE6C">
            <w:pPr>
              <w:widowControl/>
              <w:textAlignment w:val="center"/>
              <w:rPr>
                <w:rFonts w:ascii="宋体" w:hAnsi="宋体" w:cs="宋体"/>
                <w:color w:val="000000"/>
                <w:szCs w:val="21"/>
              </w:rPr>
            </w:pPr>
            <w:r>
              <w:rPr>
                <w:rFonts w:hint="eastAsia" w:ascii="宋体" w:hAnsi="宋体" w:cs="宋体"/>
                <w:color w:val="000000"/>
                <w:kern w:val="0"/>
                <w:szCs w:val="21"/>
              </w:rPr>
              <w:t>土地山林水利等自然资源权属纠纷核查技术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FCB286">
            <w:pPr>
              <w:widowControl/>
              <w:textAlignment w:val="center"/>
              <w:rPr>
                <w:rFonts w:ascii="宋体" w:hAnsi="宋体" w:cs="宋体"/>
                <w:color w:val="000000"/>
                <w:szCs w:val="21"/>
              </w:rPr>
            </w:pPr>
            <w:r>
              <w:rPr>
                <w:rFonts w:hint="eastAsia" w:ascii="宋体" w:hAnsi="宋体" w:cs="宋体"/>
                <w:color w:val="000000"/>
                <w:kern w:val="0"/>
                <w:szCs w:val="21"/>
              </w:rPr>
              <w:t>纠纷调处测绘技术服务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88481A">
            <w:pPr>
              <w:widowControl/>
              <w:textAlignment w:val="center"/>
              <w:rPr>
                <w:color w:val="000000"/>
                <w:szCs w:val="21"/>
              </w:rPr>
            </w:pPr>
            <w:r>
              <w:rPr>
                <w:color w:val="000000"/>
                <w:kern w:val="0"/>
                <w:szCs w:val="21"/>
              </w:rPr>
              <w:t>1.</w:t>
            </w:r>
            <w:r>
              <w:rPr>
                <w:rStyle w:val="134"/>
                <w:rFonts w:hint="default"/>
              </w:rPr>
              <w:t>收集地形图、规划图、历史测绘数据等资料；</w:t>
            </w:r>
            <w:r>
              <w:rPr>
                <w:rStyle w:val="135"/>
              </w:rPr>
              <w:t>2.</w:t>
            </w:r>
            <w:r>
              <w:rPr>
                <w:rStyle w:val="134"/>
                <w:rFonts w:hint="default"/>
              </w:rPr>
              <w:t>利用</w:t>
            </w:r>
            <w:r>
              <w:rPr>
                <w:rStyle w:val="135"/>
              </w:rPr>
              <w:t>GPS</w:t>
            </w:r>
            <w:r>
              <w:rPr>
                <w:rStyle w:val="134"/>
                <w:rFonts w:hint="default"/>
              </w:rPr>
              <w:t>接收机、全站仪等测量土地、林地边界，用全站仪、无人机测绘地形地貌，调查林木资源；</w:t>
            </w:r>
            <w:r>
              <w:rPr>
                <w:rStyle w:val="135"/>
              </w:rPr>
              <w:t>3.</w:t>
            </w:r>
            <w:r>
              <w:rPr>
                <w:rStyle w:val="134"/>
                <w:rFonts w:hint="default"/>
              </w:rPr>
              <w:t>整理测绘数据，利用</w:t>
            </w:r>
            <w:r>
              <w:rPr>
                <w:rStyle w:val="135"/>
              </w:rPr>
              <w:t>GIS</w:t>
            </w:r>
            <w:r>
              <w:rPr>
                <w:rStyle w:val="134"/>
                <w:rFonts w:hint="default"/>
              </w:rPr>
              <w:t>处理分析，计算相关指标，出具测绘报告。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176320">
            <w:pPr>
              <w:widowControl/>
              <w:textAlignment w:val="center"/>
              <w:rPr>
                <w:color w:val="000000"/>
                <w:szCs w:val="21"/>
              </w:rPr>
            </w:pPr>
            <w:r>
              <w:rPr>
                <w:color w:val="000000"/>
                <w:kern w:val="0"/>
                <w:szCs w:val="21"/>
              </w:rPr>
              <w:t>1.</w:t>
            </w:r>
            <w:r>
              <w:rPr>
                <w:rStyle w:val="134"/>
                <w:rFonts w:hint="default"/>
              </w:rPr>
              <w:t>测绘报告。</w:t>
            </w:r>
          </w:p>
        </w:tc>
      </w:tr>
      <w:tr w14:paraId="3361A713">
        <w:tblPrEx>
          <w:tblCellMar>
            <w:top w:w="0" w:type="dxa"/>
            <w:left w:w="108" w:type="dxa"/>
            <w:bottom w:w="0" w:type="dxa"/>
            <w:right w:w="108" w:type="dxa"/>
          </w:tblCellMar>
        </w:tblPrEx>
        <w:trPr>
          <w:trHeight w:val="1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F238F6">
            <w:pPr>
              <w:widowControl/>
              <w:textAlignment w:val="center"/>
              <w:rPr>
                <w:color w:val="000000"/>
                <w:szCs w:val="21"/>
              </w:rPr>
            </w:pPr>
            <w:r>
              <w:rPr>
                <w:color w:val="000000"/>
                <w:kern w:val="0"/>
                <w:szCs w:val="21"/>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07EFE9">
            <w:pPr>
              <w:widowControl/>
              <w:textAlignment w:val="center"/>
              <w:rPr>
                <w:rFonts w:ascii="宋体" w:hAnsi="宋体" w:cs="宋体"/>
                <w:color w:val="000000"/>
                <w:szCs w:val="21"/>
              </w:rPr>
            </w:pPr>
            <w:r>
              <w:rPr>
                <w:rFonts w:hint="eastAsia" w:ascii="宋体" w:hAnsi="宋体" w:cs="宋体"/>
                <w:color w:val="000000"/>
                <w:kern w:val="0"/>
                <w:szCs w:val="21"/>
              </w:rPr>
              <w:t>行政审批技术审查及出图服务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1752FF">
            <w:pPr>
              <w:widowControl/>
              <w:textAlignment w:val="center"/>
              <w:rPr>
                <w:rFonts w:ascii="宋体" w:hAnsi="宋体" w:cs="宋体"/>
                <w:color w:val="000000"/>
                <w:szCs w:val="21"/>
              </w:rPr>
            </w:pPr>
            <w:r>
              <w:rPr>
                <w:rFonts w:hint="eastAsia" w:ascii="宋体" w:hAnsi="宋体" w:cs="宋体"/>
                <w:color w:val="000000"/>
                <w:kern w:val="0"/>
                <w:szCs w:val="21"/>
              </w:rPr>
              <w:t>权属调查审核</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6E9FCA">
            <w:pPr>
              <w:widowControl/>
              <w:textAlignment w:val="center"/>
              <w:rPr>
                <w:color w:val="000000"/>
                <w:szCs w:val="21"/>
              </w:rPr>
            </w:pPr>
            <w:r>
              <w:rPr>
                <w:color w:val="000000"/>
                <w:kern w:val="0"/>
                <w:szCs w:val="21"/>
              </w:rPr>
              <w:t>1.</w:t>
            </w:r>
            <w:r>
              <w:rPr>
                <w:rStyle w:val="134"/>
                <w:rFonts w:hint="default"/>
              </w:rPr>
              <w:t>根据甲方提供的项目红线，套合供地、报批、征地等成果数据分析；</w:t>
            </w:r>
            <w:r>
              <w:rPr>
                <w:rStyle w:val="135"/>
              </w:rPr>
              <w:t>2.</w:t>
            </w:r>
            <w:r>
              <w:rPr>
                <w:rStyle w:val="134"/>
                <w:rFonts w:hint="default"/>
              </w:rPr>
              <w:t>外业实地核查现状；</w:t>
            </w:r>
            <w:r>
              <w:rPr>
                <w:rStyle w:val="135"/>
              </w:rPr>
              <w:t>3.</w:t>
            </w:r>
            <w:r>
              <w:rPr>
                <w:rStyle w:val="134"/>
                <w:rFonts w:hint="default"/>
              </w:rPr>
              <w:t>综合内外业成果，出具权属面积审查图。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DBF922">
            <w:pPr>
              <w:widowControl/>
              <w:textAlignment w:val="center"/>
              <w:rPr>
                <w:color w:val="000000"/>
                <w:szCs w:val="21"/>
              </w:rPr>
            </w:pPr>
            <w:r>
              <w:rPr>
                <w:color w:val="000000"/>
                <w:kern w:val="0"/>
                <w:szCs w:val="21"/>
              </w:rPr>
              <w:t>1.</w:t>
            </w:r>
            <w:r>
              <w:rPr>
                <w:rStyle w:val="134"/>
                <w:rFonts w:hint="default"/>
              </w:rPr>
              <w:t>测绘报告及图件。</w:t>
            </w:r>
          </w:p>
        </w:tc>
      </w:tr>
      <w:tr w14:paraId="1A34D72B">
        <w:tblPrEx>
          <w:tblCellMar>
            <w:top w:w="0" w:type="dxa"/>
            <w:left w:w="108" w:type="dxa"/>
            <w:bottom w:w="0" w:type="dxa"/>
            <w:right w:w="108" w:type="dxa"/>
          </w:tblCellMar>
        </w:tblPrEx>
        <w:trPr>
          <w:trHeight w:val="16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04A7FB">
            <w:pPr>
              <w:widowControl/>
              <w:textAlignment w:val="center"/>
              <w:rPr>
                <w:color w:val="000000"/>
                <w:szCs w:val="21"/>
              </w:rPr>
            </w:pPr>
            <w:r>
              <w:rPr>
                <w:color w:val="000000"/>
                <w:kern w:val="0"/>
                <w:szCs w:val="21"/>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FFFCD9">
            <w:pPr>
              <w:widowControl/>
              <w:textAlignment w:val="center"/>
              <w:rPr>
                <w:rFonts w:ascii="宋体" w:hAnsi="宋体" w:cs="宋体"/>
                <w:color w:val="000000"/>
                <w:szCs w:val="21"/>
              </w:rPr>
            </w:pPr>
            <w:r>
              <w:rPr>
                <w:rFonts w:hint="eastAsia" w:ascii="宋体" w:hAnsi="宋体" w:cs="宋体"/>
                <w:color w:val="000000"/>
                <w:kern w:val="0"/>
                <w:szCs w:val="21"/>
              </w:rPr>
              <w:t>行政审批技术审查及出图服务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FF3D19">
            <w:pPr>
              <w:widowControl/>
              <w:textAlignment w:val="center"/>
              <w:rPr>
                <w:rFonts w:ascii="宋体" w:hAnsi="宋体" w:cs="宋体"/>
                <w:color w:val="000000"/>
                <w:szCs w:val="21"/>
              </w:rPr>
            </w:pPr>
            <w:r>
              <w:rPr>
                <w:rFonts w:hint="eastAsia" w:ascii="宋体" w:hAnsi="宋体" w:cs="宋体"/>
                <w:color w:val="000000"/>
                <w:kern w:val="0"/>
                <w:szCs w:val="21"/>
              </w:rPr>
              <w:t>供地红线图（划拨）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148EC6">
            <w:pPr>
              <w:widowControl/>
              <w:textAlignment w:val="center"/>
              <w:rPr>
                <w:color w:val="000000"/>
                <w:szCs w:val="21"/>
              </w:rPr>
            </w:pPr>
            <w:r>
              <w:rPr>
                <w:color w:val="000000"/>
                <w:kern w:val="0"/>
                <w:szCs w:val="21"/>
              </w:rPr>
              <w:t>1.</w:t>
            </w:r>
            <w:r>
              <w:rPr>
                <w:rStyle w:val="134"/>
                <w:rFonts w:hint="default"/>
              </w:rPr>
              <w:t>收集历年供地范围等基础资料并整理核实；</w:t>
            </w:r>
            <w:r>
              <w:rPr>
                <w:rStyle w:val="135"/>
              </w:rPr>
              <w:t>2.</w:t>
            </w:r>
            <w:r>
              <w:rPr>
                <w:rStyle w:val="134"/>
                <w:rFonts w:hint="default"/>
              </w:rPr>
              <w:t>根据规划设计条件，绘制规划红线图。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CA6C3C">
            <w:pPr>
              <w:widowControl/>
              <w:textAlignment w:val="center"/>
              <w:rPr>
                <w:color w:val="000000"/>
                <w:szCs w:val="21"/>
              </w:rPr>
            </w:pPr>
            <w:r>
              <w:rPr>
                <w:color w:val="000000"/>
                <w:kern w:val="0"/>
                <w:szCs w:val="21"/>
              </w:rPr>
              <w:t>1.</w:t>
            </w:r>
            <w:r>
              <w:rPr>
                <w:rStyle w:val="134"/>
                <w:rFonts w:hint="default"/>
              </w:rPr>
              <w:t>供地红线图（纸质</w:t>
            </w:r>
            <w:r>
              <w:rPr>
                <w:rStyle w:val="135"/>
              </w:rPr>
              <w:t>+</w:t>
            </w:r>
            <w:r>
              <w:rPr>
                <w:rStyle w:val="134"/>
                <w:rFonts w:hint="default"/>
              </w:rPr>
              <w:t>电子）。</w:t>
            </w:r>
          </w:p>
        </w:tc>
      </w:tr>
      <w:tr w14:paraId="6BADDB62">
        <w:tblPrEx>
          <w:tblCellMar>
            <w:top w:w="0" w:type="dxa"/>
            <w:left w:w="108" w:type="dxa"/>
            <w:bottom w:w="0" w:type="dxa"/>
            <w:right w:w="108" w:type="dxa"/>
          </w:tblCellMar>
        </w:tblPrEx>
        <w:trPr>
          <w:trHeight w:val="1950" w:hRule="atLeast"/>
        </w:trPr>
        <w:tc>
          <w:tcPr>
            <w:tcW w:w="0" w:type="auto"/>
            <w:tcBorders>
              <w:top w:val="single" w:color="000000" w:sz="4" w:space="0"/>
              <w:left w:val="single" w:color="000000" w:sz="4" w:space="0"/>
              <w:bottom w:val="single" w:color="000000" w:sz="4" w:space="0"/>
              <w:right w:val="single" w:color="000000" w:sz="4" w:space="0"/>
            </w:tcBorders>
            <w:shd w:val="clear" w:color="auto" w:fill="CCCCCC"/>
            <w:vAlign w:val="center"/>
          </w:tcPr>
          <w:p w14:paraId="580513BF">
            <w:pPr>
              <w:widowControl/>
              <w:textAlignment w:val="center"/>
              <w:rPr>
                <w:color w:val="000000"/>
                <w:szCs w:val="21"/>
              </w:rPr>
            </w:pPr>
            <w:r>
              <w:rPr>
                <w:color w:val="000000"/>
                <w:kern w:val="0"/>
                <w:szCs w:val="21"/>
              </w:rPr>
              <w:t>41</w:t>
            </w:r>
          </w:p>
        </w:tc>
        <w:tc>
          <w:tcPr>
            <w:tcW w:w="0" w:type="auto"/>
            <w:tcBorders>
              <w:top w:val="single" w:color="000000" w:sz="4" w:space="0"/>
              <w:left w:val="single" w:color="000000" w:sz="4" w:space="0"/>
              <w:bottom w:val="single" w:color="000000" w:sz="4" w:space="0"/>
              <w:right w:val="single" w:color="000000" w:sz="4" w:space="0"/>
            </w:tcBorders>
            <w:shd w:val="clear" w:color="auto" w:fill="CCCCCC"/>
            <w:vAlign w:val="center"/>
          </w:tcPr>
          <w:p w14:paraId="031C1CE0">
            <w:pPr>
              <w:widowControl/>
              <w:textAlignment w:val="center"/>
              <w:rPr>
                <w:rFonts w:ascii="宋体" w:hAnsi="宋体" w:cs="宋体"/>
                <w:color w:val="000000"/>
                <w:szCs w:val="21"/>
              </w:rPr>
            </w:pPr>
            <w:r>
              <w:rPr>
                <w:rFonts w:hint="eastAsia" w:ascii="宋体" w:hAnsi="宋体" w:cs="宋体"/>
                <w:color w:val="000000"/>
                <w:kern w:val="0"/>
                <w:szCs w:val="21"/>
              </w:rPr>
              <w:t>行政审批技术审查及出图服务</w:t>
            </w:r>
          </w:p>
        </w:tc>
        <w:tc>
          <w:tcPr>
            <w:tcW w:w="0" w:type="auto"/>
            <w:tcBorders>
              <w:top w:val="single" w:color="000000" w:sz="4" w:space="0"/>
              <w:left w:val="single" w:color="000000" w:sz="4" w:space="0"/>
              <w:bottom w:val="single" w:color="000000" w:sz="4" w:space="0"/>
              <w:right w:val="single" w:color="000000" w:sz="4" w:space="0"/>
            </w:tcBorders>
            <w:shd w:val="clear" w:color="auto" w:fill="CCCCCC"/>
            <w:vAlign w:val="center"/>
          </w:tcPr>
          <w:p w14:paraId="2F39DD76">
            <w:pPr>
              <w:widowControl/>
              <w:textAlignment w:val="center"/>
              <w:rPr>
                <w:rFonts w:ascii="宋体" w:hAnsi="宋体" w:cs="宋体"/>
                <w:color w:val="000000"/>
                <w:szCs w:val="21"/>
              </w:rPr>
            </w:pPr>
            <w:r>
              <w:rPr>
                <w:rFonts w:hint="eastAsia" w:ascii="宋体" w:hAnsi="宋体" w:cs="宋体"/>
                <w:color w:val="000000"/>
                <w:kern w:val="0"/>
                <w:szCs w:val="21"/>
              </w:rPr>
              <w:t>补办出让前，宗地核实</w:t>
            </w:r>
          </w:p>
        </w:tc>
        <w:tc>
          <w:tcPr>
            <w:tcW w:w="0" w:type="auto"/>
            <w:tcBorders>
              <w:top w:val="single" w:color="000000" w:sz="4" w:space="0"/>
              <w:left w:val="single" w:color="000000" w:sz="4" w:space="0"/>
              <w:bottom w:val="single" w:color="000000" w:sz="4" w:space="0"/>
              <w:right w:val="single" w:color="000000" w:sz="4" w:space="0"/>
            </w:tcBorders>
            <w:shd w:val="clear" w:color="auto" w:fill="CCCCCC"/>
            <w:vAlign w:val="center"/>
          </w:tcPr>
          <w:p w14:paraId="767A1102">
            <w:pPr>
              <w:widowControl/>
              <w:textAlignment w:val="center"/>
              <w:rPr>
                <w:color w:val="000000"/>
                <w:szCs w:val="21"/>
              </w:rPr>
            </w:pPr>
            <w:r>
              <w:rPr>
                <w:color w:val="000000"/>
                <w:kern w:val="0"/>
                <w:szCs w:val="21"/>
              </w:rPr>
              <w:t>1.</w:t>
            </w:r>
            <w:r>
              <w:rPr>
                <w:rStyle w:val="134"/>
                <w:rFonts w:hint="default"/>
              </w:rPr>
              <w:t>收集地形图、规划图、历史测绘数据等资料；</w:t>
            </w:r>
            <w:r>
              <w:rPr>
                <w:rStyle w:val="135"/>
              </w:rPr>
              <w:t>2.</w:t>
            </w:r>
            <w:r>
              <w:rPr>
                <w:rStyle w:val="134"/>
                <w:rFonts w:hint="default"/>
              </w:rPr>
              <w:t>利用</w:t>
            </w:r>
            <w:r>
              <w:rPr>
                <w:rStyle w:val="135"/>
              </w:rPr>
              <w:t>GPS</w:t>
            </w:r>
            <w:r>
              <w:rPr>
                <w:rStyle w:val="134"/>
                <w:rFonts w:hint="default"/>
              </w:rPr>
              <w:t>接收机、全站仪等实地测量宗地边界，确定准确范围并标记边界点；</w:t>
            </w:r>
            <w:r>
              <w:rPr>
                <w:rStyle w:val="135"/>
              </w:rPr>
              <w:t>3.</w:t>
            </w:r>
            <w:r>
              <w:rPr>
                <w:rStyle w:val="134"/>
                <w:rFonts w:hint="default"/>
              </w:rPr>
              <w:t>按《地籍调查规程》绘制地籍图，出具核实结果。</w:t>
            </w:r>
          </w:p>
        </w:tc>
        <w:tc>
          <w:tcPr>
            <w:tcW w:w="0" w:type="auto"/>
            <w:tcBorders>
              <w:top w:val="single" w:color="000000" w:sz="4" w:space="0"/>
              <w:left w:val="single" w:color="000000" w:sz="4" w:space="0"/>
              <w:bottom w:val="single" w:color="000000" w:sz="4" w:space="0"/>
              <w:right w:val="single" w:color="000000" w:sz="4" w:space="0"/>
            </w:tcBorders>
            <w:shd w:val="clear" w:color="auto" w:fill="CCCCCC"/>
            <w:vAlign w:val="center"/>
          </w:tcPr>
          <w:p w14:paraId="2A00801D">
            <w:pPr>
              <w:widowControl/>
              <w:textAlignment w:val="center"/>
              <w:rPr>
                <w:color w:val="000000"/>
                <w:szCs w:val="21"/>
              </w:rPr>
            </w:pPr>
            <w:r>
              <w:rPr>
                <w:color w:val="000000"/>
                <w:kern w:val="0"/>
                <w:szCs w:val="21"/>
              </w:rPr>
              <w:t>1.</w:t>
            </w:r>
            <w:r>
              <w:rPr>
                <w:rFonts w:hint="eastAsia"/>
                <w:color w:val="000000"/>
                <w:kern w:val="0"/>
                <w:szCs w:val="21"/>
              </w:rPr>
              <w:t>测量报告及图件</w:t>
            </w:r>
            <w:r>
              <w:rPr>
                <w:rStyle w:val="134"/>
                <w:rFonts w:hint="default"/>
              </w:rPr>
              <w:t>。</w:t>
            </w:r>
          </w:p>
        </w:tc>
      </w:tr>
    </w:tbl>
    <w:p w14:paraId="0D7FFF84">
      <w:pPr>
        <w:widowControl/>
        <w:spacing w:line="360" w:lineRule="auto"/>
        <w:ind w:firstLine="420" w:firstLineChars="200"/>
        <w:rPr>
          <w:rFonts w:hint="eastAsia" w:ascii="宋体" w:hAnsi="宋体" w:cs="宋体"/>
          <w:color w:val="1F2329"/>
          <w:szCs w:val="21"/>
        </w:rPr>
      </w:pPr>
    </w:p>
    <w:p w14:paraId="00064331">
      <w:pPr>
        <w:widowControl/>
        <w:spacing w:line="360" w:lineRule="auto"/>
        <w:ind w:firstLine="420" w:firstLineChars="200"/>
        <w:rPr>
          <w:rFonts w:ascii="宋体" w:hAnsi="宋体" w:cs="宋体"/>
          <w:color w:val="1F2329"/>
          <w:szCs w:val="21"/>
        </w:rPr>
      </w:pPr>
      <w:r>
        <w:rPr>
          <w:rFonts w:hint="eastAsia" w:ascii="宋体" w:hAnsi="宋体" w:cs="宋体"/>
          <w:color w:val="1F2329"/>
          <w:szCs w:val="21"/>
        </w:rPr>
        <w:t>三、通用保密条款</w:t>
      </w:r>
    </w:p>
    <w:p w14:paraId="3401DCCD">
      <w:pPr>
        <w:pStyle w:val="132"/>
        <w:widowControl w:val="0"/>
        <w:ind w:firstLine="420" w:firstLineChars="200"/>
        <w:jc w:val="both"/>
        <w:rPr>
          <w:rFonts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1.</w:t>
      </w:r>
      <w:r>
        <w:rPr>
          <w:rFonts w:hint="eastAsia" w:ascii="Times New Roman" w:hAnsi="Times New Roman" w:eastAsia="宋体" w:cs="Times New Roman"/>
          <w:color w:val="auto"/>
          <w:kern w:val="2"/>
          <w:sz w:val="21"/>
          <w:szCs w:val="24"/>
        </w:rPr>
        <w:t>保密范围包括：本项目所有原始数据、中间成果、最终报告、采购人业务数据（如土地利用现状数据、权属信息）、技术参数及招标文件未公开的内容；</w:t>
      </w:r>
    </w:p>
    <w:p w14:paraId="09C9103B">
      <w:pPr>
        <w:pStyle w:val="132"/>
        <w:widowControl w:val="0"/>
        <w:ind w:firstLine="420" w:firstLineChars="200"/>
        <w:jc w:val="both"/>
        <w:rPr>
          <w:rFonts w:ascii="Times New Roman" w:hAnsi="Times New Roman" w:eastAsia="宋体" w:cs="Times New Roman"/>
          <w:color w:val="auto"/>
          <w:kern w:val="2"/>
          <w:sz w:val="21"/>
          <w:szCs w:val="24"/>
        </w:rPr>
      </w:pPr>
      <w:r>
        <w:rPr>
          <w:rFonts w:hint="eastAsia" w:ascii="Times New Roman" w:hAnsi="Times New Roman" w:eastAsia="宋体" w:cs="Times New Roman"/>
          <w:color w:val="auto"/>
          <w:kern w:val="2"/>
          <w:sz w:val="21"/>
          <w:szCs w:val="24"/>
          <w:lang w:val="en-US" w:eastAsia="zh-CN"/>
        </w:rPr>
        <w:t>2.</w:t>
      </w:r>
      <w:r>
        <w:rPr>
          <w:rFonts w:hint="eastAsia" w:ascii="Times New Roman" w:hAnsi="Times New Roman" w:eastAsia="宋体" w:cs="Times New Roman"/>
          <w:color w:val="auto"/>
          <w:kern w:val="2"/>
          <w:sz w:val="21"/>
          <w:szCs w:val="24"/>
        </w:rPr>
        <w:t>保密期限：永久（若涉及国家秘密，保密期限按相关规定执行）；</w:t>
      </w:r>
    </w:p>
    <w:p w14:paraId="449C0D72">
      <w:pPr>
        <w:pStyle w:val="132"/>
        <w:widowControl w:val="0"/>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保密措施：</w:t>
      </w:r>
      <w:r>
        <w:rPr>
          <w:rFonts w:hint="eastAsia" w:ascii="宋体" w:hAnsi="宋体" w:eastAsia="宋体" w:cs="宋体"/>
          <w:color w:val="auto"/>
          <w:sz w:val="21"/>
          <w:szCs w:val="21"/>
        </w:rPr>
        <w:t>符合公司实际的保密措施。如建立办公局域网，数据处理计算机禁止连接互联网，参与业务工作人员签订保密协议</w:t>
      </w:r>
    </w:p>
    <w:p w14:paraId="62114803">
      <w:pPr>
        <w:spacing w:line="360" w:lineRule="auto"/>
        <w:ind w:firstLine="420" w:firstLineChars="200"/>
        <w:rPr>
          <w:rFonts w:ascii="宋体" w:hAnsi="宋体" w:cs="宋体"/>
          <w:color w:val="auto"/>
          <w:szCs w:val="21"/>
        </w:rPr>
        <w:sectPr>
          <w:pgSz w:w="11906" w:h="16838"/>
          <w:pgMar w:top="1134" w:right="1247" w:bottom="1560" w:left="1247" w:header="851" w:footer="992" w:gutter="0"/>
          <w:cols w:space="720" w:num="1"/>
          <w:titlePg/>
          <w:docGrid w:linePitch="312" w:charSpace="0"/>
        </w:sectPr>
      </w:pPr>
      <w:r>
        <w:rPr>
          <w:rFonts w:hint="eastAsia" w:cs="Times New Roman"/>
          <w:color w:val="auto"/>
          <w:kern w:val="2"/>
          <w:sz w:val="21"/>
          <w:szCs w:val="24"/>
          <w:lang w:val="en-US" w:eastAsia="zh-CN"/>
        </w:rPr>
        <w:t>4.</w:t>
      </w:r>
      <w:r>
        <w:rPr>
          <w:rFonts w:hint="eastAsia" w:ascii="Times New Roman" w:hAnsi="Times New Roman" w:eastAsia="宋体" w:cs="Times New Roman"/>
          <w:color w:val="auto"/>
          <w:kern w:val="2"/>
          <w:sz w:val="21"/>
          <w:szCs w:val="24"/>
        </w:rPr>
        <w:t>违约责任：若发生泄密，供应商需支付</w:t>
      </w:r>
      <w:r>
        <w:rPr>
          <w:rFonts w:hint="eastAsia" w:ascii="Times New Roman" w:hAnsi="Times New Roman" w:eastAsia="宋体" w:cs="Times New Roman"/>
          <w:color w:val="auto"/>
          <w:kern w:val="2"/>
          <w:sz w:val="21"/>
          <w:szCs w:val="24"/>
          <w:lang w:val="en-US" w:eastAsia="zh-CN"/>
        </w:rPr>
        <w:t>子项</w:t>
      </w:r>
      <w:r>
        <w:rPr>
          <w:rFonts w:hint="eastAsia" w:ascii="Times New Roman" w:hAnsi="Times New Roman" w:eastAsia="宋体" w:cs="Times New Roman"/>
          <w:color w:val="auto"/>
          <w:kern w:val="2"/>
          <w:sz w:val="21"/>
          <w:szCs w:val="24"/>
        </w:rPr>
        <w:t>合同总价10%的违约金，造成采购人损失的，按实际损失金额赔偿（包括直接损失和间接损失），采购人有权解除合同并将其列入政府采购不良行为记录名单”。</w:t>
      </w:r>
    </w:p>
    <w:p w14:paraId="5CD8C91E"/>
    <w:p w14:paraId="40A34054">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191" w:name="_Toc26837"/>
      <w:r>
        <w:rPr>
          <w:rFonts w:hint="eastAsia" w:ascii="宋体" w:hAnsi="宋体" w:cs="宋体"/>
        </w:rPr>
        <w:t>第六章投标文件格式</w:t>
      </w:r>
      <w:bookmarkEnd w:id="188"/>
      <w:bookmarkEnd w:id="189"/>
      <w:bookmarkEnd w:id="190"/>
      <w:bookmarkEnd w:id="191"/>
    </w:p>
    <w:p w14:paraId="6BDCFB41">
      <w:pPr>
        <w:snapToGrid w:val="0"/>
        <w:spacing w:line="360" w:lineRule="auto"/>
        <w:jc w:val="center"/>
        <w:rPr>
          <w:rFonts w:ascii="宋体" w:hAnsi="宋体" w:cs="宋体"/>
          <w:bCs/>
          <w:sz w:val="32"/>
          <w:szCs w:val="32"/>
        </w:rPr>
      </w:pPr>
    </w:p>
    <w:p w14:paraId="707960FC">
      <w:pPr>
        <w:snapToGrid w:val="0"/>
        <w:spacing w:line="360" w:lineRule="auto"/>
        <w:jc w:val="center"/>
        <w:rPr>
          <w:rFonts w:ascii="宋体" w:hAnsi="宋体" w:cs="宋体"/>
          <w:bCs/>
          <w:sz w:val="32"/>
          <w:szCs w:val="32"/>
        </w:rPr>
      </w:pPr>
    </w:p>
    <w:p w14:paraId="55AC6EA2">
      <w:pPr>
        <w:pStyle w:val="4"/>
        <w:spacing w:before="0" w:after="0" w:line="360" w:lineRule="auto"/>
        <w:jc w:val="center"/>
        <w:rPr>
          <w:rFonts w:ascii="宋体" w:hAnsi="宋体" w:eastAsia="宋体"/>
        </w:rPr>
      </w:pPr>
      <w:bookmarkStart w:id="192" w:name="_Toc25723"/>
      <w:bookmarkStart w:id="193" w:name="_Toc254970697"/>
      <w:bookmarkStart w:id="194" w:name="_Toc31151"/>
      <w:bookmarkStart w:id="195" w:name="_Toc19686835"/>
      <w:bookmarkStart w:id="196" w:name="_Toc23930"/>
      <w:bookmarkStart w:id="197" w:name="_Toc254970556"/>
      <w:r>
        <w:rPr>
          <w:rFonts w:hint="eastAsia" w:ascii="宋体" w:hAnsi="宋体" w:eastAsia="宋体"/>
        </w:rPr>
        <w:t>一、投标文件外层包装封面格式</w:t>
      </w:r>
      <w:bookmarkEnd w:id="192"/>
      <w:bookmarkEnd w:id="193"/>
      <w:bookmarkEnd w:id="194"/>
      <w:bookmarkEnd w:id="195"/>
      <w:bookmarkEnd w:id="196"/>
      <w:bookmarkEnd w:id="197"/>
    </w:p>
    <w:p w14:paraId="6F4349E6">
      <w:pPr>
        <w:snapToGrid w:val="0"/>
        <w:spacing w:beforeLines="50" w:after="50" w:line="360" w:lineRule="auto"/>
        <w:jc w:val="center"/>
        <w:rPr>
          <w:rFonts w:ascii="宋体" w:hAnsi="宋体" w:cs="宋体"/>
          <w:sz w:val="24"/>
          <w:szCs w:val="20"/>
        </w:rPr>
      </w:pPr>
    </w:p>
    <w:p w14:paraId="20A39ACA">
      <w:pPr>
        <w:snapToGrid w:val="0"/>
        <w:spacing w:beforeLines="50" w:after="50" w:line="360" w:lineRule="auto"/>
        <w:jc w:val="center"/>
        <w:rPr>
          <w:rFonts w:ascii="宋体" w:hAnsi="宋体" w:cs="宋体"/>
          <w:bCs/>
          <w:sz w:val="24"/>
          <w:szCs w:val="20"/>
        </w:rPr>
      </w:pPr>
    </w:p>
    <w:p w14:paraId="5276B54D">
      <w:pPr>
        <w:snapToGrid w:val="0"/>
        <w:spacing w:beforeLines="50" w:after="50" w:line="360" w:lineRule="auto"/>
        <w:jc w:val="center"/>
        <w:rPr>
          <w:rFonts w:ascii="宋体" w:hAnsi="宋体" w:cs="宋体"/>
          <w:b/>
          <w:sz w:val="32"/>
          <w:szCs w:val="32"/>
        </w:rPr>
      </w:pPr>
      <w:r>
        <w:rPr>
          <w:rFonts w:hint="eastAsia" w:ascii="宋体" w:hAnsi="宋体" w:cs="宋体"/>
          <w:b/>
          <w:sz w:val="32"/>
          <w:szCs w:val="32"/>
        </w:rPr>
        <w:t>投标文件</w:t>
      </w:r>
    </w:p>
    <w:p w14:paraId="602383FF">
      <w:pPr>
        <w:snapToGrid w:val="0"/>
        <w:spacing w:beforeLines="50" w:after="50" w:line="360" w:lineRule="auto"/>
        <w:jc w:val="center"/>
        <w:rPr>
          <w:rFonts w:ascii="宋体" w:hAnsi="宋体" w:cs="宋体"/>
          <w:bCs/>
          <w:sz w:val="24"/>
          <w:szCs w:val="20"/>
        </w:rPr>
      </w:pPr>
    </w:p>
    <w:p w14:paraId="2DDC481B">
      <w:pPr>
        <w:snapToGrid w:val="0"/>
        <w:spacing w:beforeLines="50" w:after="50" w:line="360" w:lineRule="auto"/>
        <w:jc w:val="center"/>
        <w:rPr>
          <w:rFonts w:ascii="宋体" w:hAnsi="宋体" w:cs="宋体"/>
          <w:bCs/>
          <w:sz w:val="24"/>
          <w:szCs w:val="20"/>
        </w:rPr>
      </w:pPr>
    </w:p>
    <w:p w14:paraId="2877AA4C">
      <w:pPr>
        <w:snapToGrid w:val="0"/>
        <w:spacing w:beforeLines="50" w:after="50" w:line="360" w:lineRule="auto"/>
        <w:jc w:val="center"/>
        <w:rPr>
          <w:rFonts w:ascii="宋体" w:hAnsi="宋体" w:cs="宋体"/>
          <w:bCs/>
          <w:sz w:val="24"/>
          <w:szCs w:val="20"/>
        </w:rPr>
      </w:pPr>
    </w:p>
    <w:p w14:paraId="49673693">
      <w:pPr>
        <w:snapToGrid w:val="0"/>
        <w:spacing w:beforeLines="50" w:after="50" w:line="360" w:lineRule="auto"/>
        <w:jc w:val="center"/>
        <w:rPr>
          <w:rFonts w:ascii="宋体" w:hAnsi="宋体" w:cs="宋体"/>
          <w:bCs/>
          <w:sz w:val="24"/>
        </w:rPr>
      </w:pPr>
      <w:r>
        <w:rPr>
          <w:rFonts w:hint="eastAsia" w:ascii="宋体" w:hAnsi="宋体" w:cs="宋体"/>
          <w:bCs/>
          <w:sz w:val="24"/>
        </w:rPr>
        <w:t>项目名称：</w:t>
      </w:r>
    </w:p>
    <w:p w14:paraId="3184BA99">
      <w:pPr>
        <w:snapToGrid w:val="0"/>
        <w:spacing w:beforeLines="50" w:after="50" w:line="360" w:lineRule="auto"/>
        <w:jc w:val="center"/>
        <w:rPr>
          <w:rFonts w:ascii="宋体" w:hAnsi="宋体" w:cs="宋体"/>
          <w:bCs/>
          <w:sz w:val="24"/>
        </w:rPr>
      </w:pPr>
      <w:r>
        <w:rPr>
          <w:rFonts w:hint="eastAsia" w:ascii="宋体" w:hAnsi="宋体" w:cs="宋体"/>
          <w:bCs/>
          <w:sz w:val="24"/>
        </w:rPr>
        <w:t>标项名称</w:t>
      </w:r>
    </w:p>
    <w:p w14:paraId="1CEC69E4">
      <w:pPr>
        <w:snapToGrid w:val="0"/>
        <w:spacing w:beforeLines="50" w:after="50" w:line="360" w:lineRule="auto"/>
        <w:jc w:val="center"/>
        <w:rPr>
          <w:rFonts w:ascii="宋体" w:hAnsi="宋体" w:cs="宋体"/>
          <w:bCs/>
          <w:sz w:val="24"/>
        </w:rPr>
      </w:pPr>
      <w:r>
        <w:rPr>
          <w:rFonts w:hint="eastAsia" w:ascii="宋体" w:hAnsi="宋体" w:cs="宋体"/>
          <w:bCs/>
          <w:sz w:val="24"/>
        </w:rPr>
        <w:t>项目编号：</w:t>
      </w:r>
    </w:p>
    <w:p w14:paraId="2DDB1AA6">
      <w:pPr>
        <w:snapToGrid w:val="0"/>
        <w:spacing w:beforeLines="50" w:after="50" w:line="360" w:lineRule="auto"/>
        <w:jc w:val="center"/>
        <w:rPr>
          <w:rFonts w:ascii="宋体" w:hAnsi="宋体" w:cs="宋体"/>
          <w:bCs/>
          <w:sz w:val="24"/>
          <w:szCs w:val="20"/>
        </w:rPr>
      </w:pPr>
    </w:p>
    <w:p w14:paraId="760FDC1D">
      <w:pPr>
        <w:pStyle w:val="8"/>
        <w:snapToGrid w:val="0"/>
        <w:spacing w:before="50" w:after="50" w:line="360" w:lineRule="auto"/>
        <w:ind w:firstLine="0"/>
        <w:jc w:val="center"/>
        <w:rPr>
          <w:rFonts w:ascii="宋体" w:hAnsi="宋体" w:cs="宋体"/>
          <w:bCs/>
          <w:sz w:val="24"/>
          <w:szCs w:val="24"/>
        </w:rPr>
      </w:pPr>
      <w:r>
        <w:rPr>
          <w:rFonts w:hint="eastAsia" w:ascii="宋体" w:hAnsi="宋体" w:cs="宋体"/>
          <w:bCs/>
          <w:sz w:val="24"/>
          <w:szCs w:val="24"/>
        </w:rPr>
        <w:t>投标人名称：</w:t>
      </w:r>
    </w:p>
    <w:p w14:paraId="0F217B79">
      <w:pPr>
        <w:pStyle w:val="8"/>
        <w:snapToGrid w:val="0"/>
        <w:spacing w:before="50" w:after="50" w:line="360" w:lineRule="auto"/>
        <w:ind w:firstLine="0"/>
        <w:jc w:val="center"/>
        <w:rPr>
          <w:rFonts w:ascii="宋体" w:hAnsi="宋体" w:cs="宋体"/>
          <w:bCs/>
          <w:sz w:val="24"/>
          <w:szCs w:val="24"/>
        </w:rPr>
      </w:pPr>
    </w:p>
    <w:p w14:paraId="79CEDA1D">
      <w:pPr>
        <w:pStyle w:val="8"/>
        <w:snapToGrid w:val="0"/>
        <w:spacing w:before="50" w:after="50" w:line="360" w:lineRule="auto"/>
        <w:ind w:firstLine="0"/>
        <w:jc w:val="center"/>
        <w:rPr>
          <w:rFonts w:ascii="宋体" w:hAnsi="宋体" w:cs="宋体"/>
          <w:bCs/>
          <w:sz w:val="24"/>
          <w:szCs w:val="24"/>
        </w:rPr>
      </w:pPr>
      <w:r>
        <w:rPr>
          <w:rFonts w:hint="eastAsia" w:ascii="宋体" w:hAnsi="宋体" w:cs="宋体"/>
          <w:bCs/>
          <w:sz w:val="24"/>
          <w:szCs w:val="24"/>
        </w:rPr>
        <w:t>投标人地址：</w:t>
      </w:r>
    </w:p>
    <w:p w14:paraId="02721EB1">
      <w:pPr>
        <w:snapToGrid w:val="0"/>
        <w:spacing w:beforeLines="50" w:after="50" w:line="360" w:lineRule="auto"/>
        <w:jc w:val="center"/>
        <w:rPr>
          <w:rFonts w:ascii="宋体" w:hAnsi="宋体" w:cs="宋体"/>
          <w:bCs/>
          <w:sz w:val="24"/>
        </w:rPr>
      </w:pPr>
      <w:r>
        <w:rPr>
          <w:rFonts w:hint="eastAsia" w:ascii="宋体" w:hAnsi="宋体" w:cs="宋体"/>
          <w:bCs/>
          <w:sz w:val="24"/>
          <w:szCs w:val="20"/>
        </w:rPr>
        <w:t>投标截止时</w:t>
      </w:r>
      <w:r>
        <w:rPr>
          <w:rFonts w:hint="eastAsia" w:ascii="宋体" w:hAnsi="宋体" w:cs="宋体"/>
          <w:bCs/>
          <w:sz w:val="24"/>
          <w:szCs w:val="20"/>
          <w:lang w:eastAsia="zh-CN"/>
        </w:rPr>
        <w:t>间之</w:t>
      </w:r>
      <w:r>
        <w:rPr>
          <w:rFonts w:hint="eastAsia" w:ascii="宋体" w:hAnsi="宋体" w:cs="宋体"/>
          <w:bCs/>
          <w:sz w:val="24"/>
          <w:szCs w:val="20"/>
        </w:rPr>
        <w:t>前不得启封</w:t>
      </w:r>
    </w:p>
    <w:p w14:paraId="1B1ADEA3">
      <w:pPr>
        <w:snapToGrid w:val="0"/>
        <w:spacing w:beforeLines="50" w:after="50" w:line="360" w:lineRule="auto"/>
        <w:ind w:firstLine="4080" w:firstLineChars="1700"/>
        <w:rPr>
          <w:rFonts w:ascii="宋体" w:hAnsi="宋体" w:cs="宋体"/>
          <w:bCs/>
          <w:sz w:val="24"/>
          <w:szCs w:val="20"/>
        </w:rPr>
      </w:pPr>
    </w:p>
    <w:p w14:paraId="2C49152A">
      <w:pPr>
        <w:snapToGrid w:val="0"/>
        <w:spacing w:beforeLines="50" w:after="50" w:line="360" w:lineRule="auto"/>
        <w:jc w:val="center"/>
        <w:rPr>
          <w:rFonts w:ascii="宋体" w:hAnsi="宋体" w:cs="宋体"/>
          <w:bCs/>
          <w:sz w:val="24"/>
        </w:rPr>
        <w:sectPr>
          <w:pgSz w:w="11906" w:h="16838"/>
          <w:pgMar w:top="1134" w:right="1247" w:bottom="1560" w:left="1247" w:header="851" w:footer="992" w:gutter="0"/>
          <w:cols w:space="720" w:num="1"/>
          <w:titlePg/>
          <w:docGrid w:linePitch="312" w:charSpace="0"/>
        </w:sectPr>
      </w:pPr>
      <w:r>
        <w:rPr>
          <w:rFonts w:hint="eastAsia" w:ascii="宋体" w:hAnsi="宋体" w:cs="宋体"/>
          <w:bCs/>
          <w:sz w:val="24"/>
        </w:rPr>
        <w:t>年月日</w:t>
      </w:r>
    </w:p>
    <w:p w14:paraId="65B9C5C3">
      <w:pPr>
        <w:pStyle w:val="4"/>
        <w:spacing w:before="0" w:after="0" w:line="360" w:lineRule="auto"/>
        <w:jc w:val="center"/>
        <w:rPr>
          <w:rFonts w:ascii="宋体" w:hAnsi="宋体" w:eastAsia="宋体"/>
        </w:rPr>
      </w:pPr>
      <w:bookmarkStart w:id="198" w:name="_Toc8957"/>
      <w:bookmarkStart w:id="199" w:name="_Toc19686836"/>
      <w:bookmarkStart w:id="200" w:name="_Toc9572"/>
      <w:bookmarkStart w:id="201" w:name="_Toc18505"/>
      <w:bookmarkStart w:id="202" w:name="_Toc254970698"/>
      <w:bookmarkStart w:id="203" w:name="_Toc254970557"/>
      <w:r>
        <w:rPr>
          <w:rFonts w:hint="eastAsia" w:ascii="宋体" w:hAnsi="宋体" w:eastAsia="宋体"/>
        </w:rPr>
        <w:t>二、报价文件格式</w:t>
      </w:r>
      <w:bookmarkEnd w:id="198"/>
      <w:bookmarkEnd w:id="199"/>
      <w:bookmarkEnd w:id="200"/>
      <w:bookmarkEnd w:id="201"/>
    </w:p>
    <w:p w14:paraId="02380B56">
      <w:pPr>
        <w:snapToGrid w:val="0"/>
        <w:spacing w:beforeLines="50" w:after="50" w:line="360" w:lineRule="auto"/>
        <w:ind w:left="142"/>
        <w:jc w:val="left"/>
        <w:rPr>
          <w:rFonts w:ascii="宋体" w:hAnsi="宋体" w:cs="宋体"/>
          <w:sz w:val="24"/>
          <w:szCs w:val="20"/>
        </w:rPr>
      </w:pPr>
      <w:r>
        <w:rPr>
          <w:rFonts w:hint="eastAsia" w:ascii="宋体" w:hAnsi="宋体" w:cs="宋体"/>
          <w:b/>
          <w:sz w:val="24"/>
        </w:rPr>
        <w:t>1.报价文件封面格式：</w:t>
      </w:r>
    </w:p>
    <w:p w14:paraId="54E948BD">
      <w:pPr>
        <w:snapToGrid w:val="0"/>
        <w:spacing w:beforeLines="50" w:after="50" w:line="360" w:lineRule="auto"/>
        <w:jc w:val="center"/>
        <w:rPr>
          <w:rFonts w:ascii="宋体" w:hAnsi="宋体" w:cs="宋体"/>
          <w:bCs/>
          <w:sz w:val="32"/>
          <w:szCs w:val="20"/>
        </w:rPr>
      </w:pPr>
      <w:r>
        <w:rPr>
          <w:rFonts w:hint="eastAsia" w:ascii="宋体" w:hAnsi="宋体" w:cs="宋体"/>
          <w:bCs/>
        </w:rPr>
        <w:t>正本/或者副本</w:t>
      </w:r>
    </w:p>
    <w:p w14:paraId="32993045">
      <w:pPr>
        <w:snapToGrid w:val="0"/>
        <w:spacing w:beforeLines="50" w:after="50" w:line="360" w:lineRule="auto"/>
        <w:jc w:val="center"/>
        <w:rPr>
          <w:rFonts w:ascii="宋体" w:hAnsi="宋体" w:cs="宋体"/>
          <w:bCs/>
          <w:sz w:val="24"/>
          <w:szCs w:val="20"/>
        </w:rPr>
      </w:pPr>
    </w:p>
    <w:p w14:paraId="12C66CDF">
      <w:pPr>
        <w:snapToGrid w:val="0"/>
        <w:spacing w:beforeLines="50" w:after="50" w:line="360" w:lineRule="auto"/>
        <w:jc w:val="center"/>
        <w:rPr>
          <w:rFonts w:ascii="宋体" w:hAnsi="宋体" w:cs="宋体"/>
          <w:b/>
          <w:bCs/>
          <w:sz w:val="32"/>
          <w:szCs w:val="32"/>
        </w:rPr>
      </w:pPr>
      <w:r>
        <w:rPr>
          <w:rFonts w:hint="eastAsia" w:ascii="宋体" w:hAnsi="宋体" w:cs="宋体"/>
          <w:b/>
          <w:bCs/>
          <w:sz w:val="32"/>
          <w:szCs w:val="32"/>
        </w:rPr>
        <w:t>报价文件</w:t>
      </w:r>
    </w:p>
    <w:p w14:paraId="6E55FB28">
      <w:pPr>
        <w:snapToGrid w:val="0"/>
        <w:spacing w:beforeLines="50" w:after="50" w:line="360" w:lineRule="auto"/>
        <w:jc w:val="center"/>
        <w:rPr>
          <w:rFonts w:ascii="宋体" w:hAnsi="宋体" w:cs="宋体"/>
          <w:bCs/>
          <w:sz w:val="24"/>
          <w:szCs w:val="20"/>
        </w:rPr>
      </w:pPr>
    </w:p>
    <w:p w14:paraId="0A72FBE9">
      <w:pPr>
        <w:snapToGrid w:val="0"/>
        <w:spacing w:beforeLines="50" w:after="50" w:line="360" w:lineRule="auto"/>
        <w:jc w:val="center"/>
        <w:rPr>
          <w:rFonts w:ascii="宋体" w:hAnsi="宋体" w:cs="宋体"/>
          <w:bCs/>
          <w:sz w:val="24"/>
          <w:szCs w:val="20"/>
        </w:rPr>
      </w:pPr>
    </w:p>
    <w:p w14:paraId="08D9D1BF">
      <w:pPr>
        <w:snapToGrid w:val="0"/>
        <w:spacing w:beforeLines="50" w:after="50" w:line="360" w:lineRule="auto"/>
        <w:jc w:val="center"/>
        <w:rPr>
          <w:rFonts w:ascii="宋体" w:hAnsi="宋体" w:cs="宋体"/>
          <w:bCs/>
          <w:sz w:val="24"/>
          <w:szCs w:val="20"/>
        </w:rPr>
      </w:pPr>
    </w:p>
    <w:p w14:paraId="6586A661">
      <w:pPr>
        <w:snapToGrid w:val="0"/>
        <w:spacing w:beforeLines="50" w:after="50" w:line="360" w:lineRule="auto"/>
        <w:jc w:val="center"/>
        <w:rPr>
          <w:rFonts w:ascii="宋体" w:hAnsi="宋体" w:cs="宋体"/>
          <w:bCs/>
          <w:sz w:val="24"/>
          <w:szCs w:val="20"/>
        </w:rPr>
      </w:pPr>
    </w:p>
    <w:p w14:paraId="00862D4E">
      <w:pPr>
        <w:snapToGrid w:val="0"/>
        <w:spacing w:beforeLines="50" w:after="50" w:line="360" w:lineRule="auto"/>
        <w:jc w:val="center"/>
        <w:rPr>
          <w:rFonts w:ascii="宋体" w:hAnsi="宋体" w:cs="宋体"/>
          <w:bCs/>
          <w:sz w:val="24"/>
        </w:rPr>
      </w:pPr>
      <w:r>
        <w:rPr>
          <w:rFonts w:hint="eastAsia" w:ascii="宋体" w:hAnsi="宋体" w:cs="宋体"/>
          <w:bCs/>
          <w:sz w:val="24"/>
        </w:rPr>
        <w:t>项目名称：</w:t>
      </w:r>
    </w:p>
    <w:p w14:paraId="5B3B7361">
      <w:pPr>
        <w:snapToGrid w:val="0"/>
        <w:spacing w:beforeLines="50" w:after="50" w:line="360" w:lineRule="auto"/>
        <w:jc w:val="center"/>
        <w:rPr>
          <w:rFonts w:ascii="宋体" w:hAnsi="宋体" w:cs="宋体"/>
          <w:bCs/>
          <w:sz w:val="24"/>
        </w:rPr>
      </w:pPr>
      <w:r>
        <w:rPr>
          <w:rFonts w:hint="eastAsia" w:ascii="宋体" w:hAnsi="宋体" w:cs="宋体"/>
          <w:bCs/>
          <w:sz w:val="24"/>
        </w:rPr>
        <w:t>标项名称</w:t>
      </w:r>
    </w:p>
    <w:p w14:paraId="1C0BCE83">
      <w:pPr>
        <w:snapToGrid w:val="0"/>
        <w:spacing w:beforeLines="50" w:after="50" w:line="360" w:lineRule="auto"/>
        <w:jc w:val="center"/>
        <w:rPr>
          <w:rFonts w:ascii="宋体" w:hAnsi="宋体" w:cs="宋体"/>
          <w:bCs/>
          <w:sz w:val="24"/>
        </w:rPr>
      </w:pPr>
      <w:r>
        <w:rPr>
          <w:rFonts w:hint="eastAsia" w:ascii="宋体" w:hAnsi="宋体" w:cs="宋体"/>
          <w:bCs/>
          <w:sz w:val="24"/>
        </w:rPr>
        <w:t>项目编号：</w:t>
      </w:r>
    </w:p>
    <w:p w14:paraId="48F6F2BB">
      <w:pPr>
        <w:snapToGrid w:val="0"/>
        <w:spacing w:beforeLines="50" w:after="50" w:line="360" w:lineRule="auto"/>
        <w:jc w:val="center"/>
        <w:rPr>
          <w:rFonts w:ascii="宋体" w:hAnsi="宋体" w:cs="宋体"/>
          <w:bCs/>
          <w:sz w:val="24"/>
          <w:szCs w:val="20"/>
        </w:rPr>
      </w:pPr>
    </w:p>
    <w:p w14:paraId="6A0ABD72">
      <w:pPr>
        <w:pStyle w:val="8"/>
        <w:snapToGrid w:val="0"/>
        <w:spacing w:before="50" w:after="50" w:line="360" w:lineRule="auto"/>
        <w:ind w:firstLine="0"/>
        <w:jc w:val="center"/>
        <w:rPr>
          <w:rFonts w:ascii="宋体" w:hAnsi="宋体" w:cs="宋体"/>
          <w:bCs/>
          <w:sz w:val="24"/>
          <w:szCs w:val="24"/>
        </w:rPr>
      </w:pPr>
      <w:r>
        <w:rPr>
          <w:rFonts w:hint="eastAsia" w:ascii="宋体" w:hAnsi="宋体" w:cs="宋体"/>
          <w:bCs/>
          <w:sz w:val="24"/>
          <w:szCs w:val="24"/>
        </w:rPr>
        <w:t>投标人名称：</w:t>
      </w:r>
    </w:p>
    <w:p w14:paraId="4D2D6AC0">
      <w:pPr>
        <w:pStyle w:val="8"/>
        <w:snapToGrid w:val="0"/>
        <w:spacing w:before="50" w:after="50" w:line="360" w:lineRule="auto"/>
        <w:ind w:firstLine="0"/>
        <w:jc w:val="center"/>
        <w:rPr>
          <w:rFonts w:ascii="宋体" w:hAnsi="宋体" w:cs="宋体"/>
          <w:bCs/>
          <w:sz w:val="24"/>
          <w:szCs w:val="24"/>
        </w:rPr>
      </w:pPr>
    </w:p>
    <w:p w14:paraId="35C6D745">
      <w:pPr>
        <w:pStyle w:val="8"/>
        <w:snapToGrid w:val="0"/>
        <w:spacing w:before="50" w:after="50" w:line="360" w:lineRule="auto"/>
        <w:ind w:firstLine="0"/>
        <w:jc w:val="center"/>
        <w:rPr>
          <w:rFonts w:ascii="宋体" w:hAnsi="宋体" w:cs="宋体"/>
          <w:bCs/>
          <w:sz w:val="24"/>
          <w:szCs w:val="24"/>
        </w:rPr>
      </w:pPr>
      <w:r>
        <w:rPr>
          <w:rFonts w:hint="eastAsia" w:ascii="宋体" w:hAnsi="宋体" w:cs="宋体"/>
          <w:bCs/>
          <w:sz w:val="24"/>
          <w:szCs w:val="24"/>
        </w:rPr>
        <w:t>投标人地址：</w:t>
      </w:r>
    </w:p>
    <w:p w14:paraId="202B1B9E">
      <w:pPr>
        <w:snapToGrid w:val="0"/>
        <w:spacing w:beforeLines="50" w:after="50" w:line="360" w:lineRule="auto"/>
        <w:jc w:val="center"/>
        <w:rPr>
          <w:rFonts w:ascii="宋体" w:hAnsi="宋体" w:cs="宋体"/>
          <w:bCs/>
          <w:sz w:val="24"/>
        </w:rPr>
      </w:pPr>
    </w:p>
    <w:p w14:paraId="2AC6B055">
      <w:pPr>
        <w:snapToGrid w:val="0"/>
        <w:spacing w:beforeLines="50" w:after="50" w:line="360" w:lineRule="auto"/>
        <w:jc w:val="center"/>
        <w:rPr>
          <w:rFonts w:ascii="宋体" w:hAnsi="宋体" w:cs="宋体"/>
          <w:sz w:val="24"/>
        </w:rPr>
        <w:sectPr>
          <w:pgSz w:w="11906" w:h="16838"/>
          <w:pgMar w:top="1134" w:right="1247" w:bottom="1560" w:left="1247" w:header="851" w:footer="992" w:gutter="0"/>
          <w:cols w:space="720" w:num="1"/>
          <w:titlePg/>
          <w:docGrid w:linePitch="312" w:charSpace="0"/>
        </w:sectPr>
      </w:pPr>
      <w:r>
        <w:rPr>
          <w:rFonts w:hint="eastAsia" w:ascii="宋体" w:hAnsi="宋体" w:cs="宋体"/>
          <w:sz w:val="24"/>
        </w:rPr>
        <w:t>年月日</w:t>
      </w:r>
    </w:p>
    <w:p w14:paraId="02BFFB96">
      <w:pPr>
        <w:snapToGrid w:val="0"/>
        <w:spacing w:beforeLines="50" w:after="50" w:line="360" w:lineRule="auto"/>
        <w:ind w:left="142"/>
        <w:jc w:val="left"/>
        <w:rPr>
          <w:rFonts w:ascii="宋体" w:hAnsi="宋体" w:cs="宋体"/>
          <w:b/>
          <w:sz w:val="24"/>
        </w:rPr>
      </w:pPr>
      <w:r>
        <w:rPr>
          <w:rFonts w:hint="eastAsia" w:ascii="宋体" w:hAnsi="宋体" w:cs="宋体"/>
          <w:b/>
          <w:sz w:val="24"/>
        </w:rPr>
        <w:t>2.报价文件目录</w:t>
      </w:r>
    </w:p>
    <w:p w14:paraId="282564E0">
      <w:pPr>
        <w:snapToGrid w:val="0"/>
        <w:spacing w:before="50" w:afterLines="50" w:line="360" w:lineRule="auto"/>
        <w:ind w:firstLine="420" w:firstLineChars="200"/>
        <w:rPr>
          <w:rFonts w:ascii="宋体" w:hAnsi="宋体" w:cs="宋体"/>
          <w:b/>
          <w:sz w:val="24"/>
        </w:rPr>
      </w:pPr>
      <w:r>
        <w:rPr>
          <w:rFonts w:hint="eastAsia" w:ascii="宋体" w:hAnsi="宋体" w:cs="宋体"/>
          <w:szCs w:val="21"/>
        </w:rPr>
        <w:t>根据招标文件规定及投标人提供的材料自行编写目录。</w:t>
      </w:r>
    </w:p>
    <w:p w14:paraId="6A0DEB5F">
      <w:pPr>
        <w:snapToGrid w:val="0"/>
        <w:spacing w:before="50" w:afterLines="50" w:line="360" w:lineRule="auto"/>
        <w:ind w:firstLine="420" w:firstLineChars="200"/>
        <w:rPr>
          <w:rFonts w:ascii="宋体" w:hAnsi="宋体" w:cs="宋体"/>
          <w:szCs w:val="21"/>
        </w:rPr>
      </w:pPr>
    </w:p>
    <w:p w14:paraId="2BB9E0CB">
      <w:pPr>
        <w:snapToGrid w:val="0"/>
        <w:spacing w:before="50" w:afterLines="50" w:line="360" w:lineRule="auto"/>
        <w:ind w:firstLine="420" w:firstLineChars="200"/>
        <w:rPr>
          <w:rFonts w:ascii="宋体" w:hAnsi="宋体" w:cs="宋体"/>
          <w:szCs w:val="21"/>
        </w:rPr>
      </w:pPr>
    </w:p>
    <w:p w14:paraId="7C6F2329">
      <w:pPr>
        <w:snapToGrid w:val="0"/>
        <w:spacing w:before="50" w:afterLines="50" w:line="360" w:lineRule="auto"/>
        <w:ind w:firstLine="420" w:firstLineChars="200"/>
        <w:rPr>
          <w:rFonts w:ascii="宋体" w:hAnsi="宋体" w:cs="宋体"/>
          <w:szCs w:val="21"/>
        </w:rPr>
        <w:sectPr>
          <w:pgSz w:w="11906" w:h="16838"/>
          <w:pgMar w:top="1134" w:right="1247" w:bottom="1560" w:left="1247" w:header="851" w:footer="992" w:gutter="0"/>
          <w:cols w:space="720" w:num="1"/>
          <w:titlePg/>
          <w:docGrid w:linePitch="312" w:charSpace="0"/>
        </w:sectPr>
      </w:pPr>
    </w:p>
    <w:p w14:paraId="5841ADE5">
      <w:pPr>
        <w:snapToGrid w:val="0"/>
        <w:spacing w:beforeLines="50" w:after="50" w:line="360" w:lineRule="auto"/>
        <w:ind w:left="142"/>
        <w:jc w:val="left"/>
        <w:rPr>
          <w:rFonts w:ascii="宋体" w:hAnsi="宋体" w:cs="宋体"/>
          <w:b/>
          <w:sz w:val="24"/>
        </w:rPr>
      </w:pPr>
      <w:r>
        <w:rPr>
          <w:rFonts w:hint="eastAsia" w:ascii="宋体" w:hAnsi="宋体" w:cs="宋体"/>
          <w:b/>
          <w:sz w:val="24"/>
        </w:rPr>
        <w:t>3.投标函格式：</w:t>
      </w:r>
    </w:p>
    <w:p w14:paraId="49F03D24">
      <w:pPr>
        <w:snapToGrid w:val="0"/>
        <w:spacing w:beforeLines="50" w:after="50" w:line="360" w:lineRule="auto"/>
        <w:jc w:val="center"/>
        <w:rPr>
          <w:rFonts w:ascii="宋体" w:hAnsi="宋体" w:cs="宋体"/>
          <w:b/>
          <w:sz w:val="24"/>
          <w:szCs w:val="20"/>
        </w:rPr>
      </w:pPr>
      <w:r>
        <w:rPr>
          <w:rFonts w:hint="eastAsia" w:ascii="宋体" w:hAnsi="宋体" w:cs="宋体"/>
          <w:b/>
          <w:sz w:val="32"/>
          <w:szCs w:val="32"/>
        </w:rPr>
        <w:t>投标函</w:t>
      </w:r>
    </w:p>
    <w:p w14:paraId="155C17D2">
      <w:pPr>
        <w:snapToGrid w:val="0"/>
        <w:spacing w:line="360" w:lineRule="auto"/>
        <w:ind w:firstLine="420" w:firstLineChars="200"/>
        <w:rPr>
          <w:rFonts w:ascii="宋体" w:hAnsi="宋体" w:cs="宋体"/>
          <w:szCs w:val="21"/>
        </w:rPr>
      </w:pPr>
      <w:r>
        <w:rPr>
          <w:rFonts w:hint="eastAsia" w:ascii="宋体" w:hAnsi="宋体" w:cs="宋体"/>
          <w:szCs w:val="21"/>
        </w:rPr>
        <w:t>致：</w:t>
      </w:r>
      <w:r>
        <w:rPr>
          <w:rFonts w:hint="eastAsia" w:ascii="宋体" w:hAnsi="宋体" w:cs="宋体"/>
          <w:szCs w:val="21"/>
          <w:u w:val="single"/>
        </w:rPr>
        <w:t>采购人名称</w:t>
      </w:r>
      <w:r>
        <w:rPr>
          <w:rFonts w:hint="eastAsia" w:ascii="宋体" w:hAnsi="宋体" w:cs="宋体"/>
          <w:szCs w:val="21"/>
        </w:rPr>
        <w:t>：</w:t>
      </w:r>
    </w:p>
    <w:p w14:paraId="1090105A">
      <w:pPr>
        <w:snapToGrid w:val="0"/>
        <w:spacing w:line="360" w:lineRule="auto"/>
        <w:ind w:firstLine="420" w:firstLineChars="200"/>
        <w:rPr>
          <w:rFonts w:ascii="宋体" w:hAnsi="宋体" w:cs="宋体"/>
          <w:szCs w:val="21"/>
        </w:rPr>
      </w:pPr>
      <w:r>
        <w:rPr>
          <w:rFonts w:hint="eastAsia" w:ascii="宋体" w:hAnsi="宋体" w:cs="宋体"/>
          <w:szCs w:val="21"/>
        </w:rPr>
        <w:t>根据贵方</w:t>
      </w:r>
      <w:r>
        <w:rPr>
          <w:rFonts w:hint="eastAsia" w:ascii="宋体" w:hAnsi="宋体" w:cs="宋体"/>
          <w:szCs w:val="21"/>
          <w:u w:val="single"/>
        </w:rPr>
        <w:t>项目名称（标项名称和项目编号））</w:t>
      </w:r>
      <w:r>
        <w:rPr>
          <w:rFonts w:hint="eastAsia" w:ascii="宋体" w:hAnsi="宋体" w:cs="宋体"/>
          <w:szCs w:val="21"/>
        </w:rPr>
        <w:t>的招标公告，签字代表</w:t>
      </w:r>
      <w:r>
        <w:rPr>
          <w:rFonts w:hint="eastAsia" w:ascii="宋体" w:hAnsi="宋体" w:cs="宋体"/>
          <w:szCs w:val="21"/>
          <w:u w:val="single"/>
        </w:rPr>
        <w:t>（姓名）</w:t>
      </w:r>
      <w:r>
        <w:rPr>
          <w:rFonts w:hint="eastAsia" w:ascii="宋体" w:hAnsi="宋体" w:cs="宋体"/>
          <w:szCs w:val="21"/>
        </w:rPr>
        <w:t>经正式授权并代表投标人</w:t>
      </w:r>
      <w:r>
        <w:rPr>
          <w:rFonts w:hint="eastAsia" w:ascii="宋体" w:hAnsi="宋体" w:cs="宋体"/>
          <w:szCs w:val="21"/>
          <w:u w:val="single"/>
        </w:rPr>
        <w:t>（投标人名称）</w:t>
      </w:r>
      <w:r>
        <w:rPr>
          <w:rFonts w:hint="eastAsia" w:ascii="宋体" w:hAnsi="宋体" w:cs="宋体"/>
          <w:szCs w:val="21"/>
        </w:rPr>
        <w:t>提交投标文件。</w:t>
      </w:r>
    </w:p>
    <w:p w14:paraId="1600C664">
      <w:pPr>
        <w:snapToGrid w:val="0"/>
        <w:spacing w:line="360" w:lineRule="auto"/>
        <w:ind w:firstLine="420" w:firstLineChars="200"/>
        <w:rPr>
          <w:rFonts w:ascii="宋体" w:hAnsi="宋体" w:cs="宋体"/>
          <w:szCs w:val="21"/>
        </w:rPr>
      </w:pPr>
      <w:r>
        <w:rPr>
          <w:rFonts w:hint="eastAsia" w:ascii="宋体" w:hAnsi="宋体" w:cs="宋体"/>
          <w:szCs w:val="21"/>
        </w:rPr>
        <w:t>据此函，我方宣布同意如下：</w:t>
      </w:r>
    </w:p>
    <w:p w14:paraId="75289D0A">
      <w:pPr>
        <w:snapToGrid w:val="0"/>
        <w:spacing w:line="360" w:lineRule="auto"/>
        <w:ind w:firstLine="420" w:firstLineChars="200"/>
        <w:rPr>
          <w:rFonts w:ascii="宋体" w:hAnsi="宋体" w:cs="宋体"/>
          <w:szCs w:val="21"/>
        </w:rPr>
      </w:pPr>
      <w:r>
        <w:rPr>
          <w:rFonts w:hint="eastAsia" w:ascii="宋体" w:hAnsi="宋体" w:cs="宋体"/>
          <w:szCs w:val="21"/>
        </w:rPr>
        <w:t>1.我方已详细审查全部“招标文件”，包括修改文件（如有的话）以及全部参考资料和有关附件，已经了解我方对于招标文件、采购过程、采购结果有依法进行询问、质疑、投诉的权利及相关渠道和要求。</w:t>
      </w:r>
    </w:p>
    <w:p w14:paraId="7AF85FC2">
      <w:pPr>
        <w:snapToGrid w:val="0"/>
        <w:spacing w:line="360" w:lineRule="auto"/>
        <w:ind w:firstLine="420" w:firstLineChars="200"/>
        <w:rPr>
          <w:rFonts w:ascii="宋体" w:hAnsi="宋体" w:cs="宋体"/>
          <w:szCs w:val="21"/>
        </w:rPr>
      </w:pPr>
      <w:r>
        <w:rPr>
          <w:rFonts w:hint="eastAsia" w:ascii="宋体" w:hAnsi="宋体" w:cs="宋体"/>
          <w:szCs w:val="21"/>
        </w:rPr>
        <w:t>2.我方在投标之前已经完全理解并接受招标文件的各项规定和要求，对招标文件的合理性、合法性不再有异议。</w:t>
      </w:r>
    </w:p>
    <w:p w14:paraId="41DC3918">
      <w:pPr>
        <w:snapToGrid w:val="0"/>
        <w:spacing w:line="360" w:lineRule="auto"/>
        <w:ind w:firstLine="420" w:firstLineChars="200"/>
        <w:rPr>
          <w:rFonts w:ascii="宋体" w:hAnsi="宋体" w:cs="宋体"/>
          <w:szCs w:val="21"/>
        </w:rPr>
      </w:pPr>
      <w:r>
        <w:rPr>
          <w:rFonts w:hint="eastAsia" w:ascii="宋体" w:hAnsi="宋体" w:cs="宋体"/>
          <w:szCs w:val="21"/>
        </w:rPr>
        <w:t>3.本投标有效期自投标截止之日起。</w:t>
      </w:r>
    </w:p>
    <w:p w14:paraId="7D22EC4F">
      <w:pPr>
        <w:snapToGrid w:val="0"/>
        <w:spacing w:line="360" w:lineRule="auto"/>
        <w:ind w:firstLine="420" w:firstLineChars="200"/>
        <w:rPr>
          <w:rFonts w:ascii="宋体" w:hAnsi="宋体" w:cs="宋体"/>
          <w:szCs w:val="21"/>
        </w:rPr>
      </w:pPr>
      <w:r>
        <w:rPr>
          <w:rFonts w:hint="eastAsia" w:ascii="宋体" w:hAnsi="宋体" w:cs="宋体"/>
          <w:szCs w:val="21"/>
        </w:rPr>
        <w:t>4.如中标，本投标文件至本项目合同履行完毕止均保持有效，我方将按“招标文件”及政府采购法律、法规的规定履行合同责任和义务。</w:t>
      </w:r>
    </w:p>
    <w:p w14:paraId="73BD9326">
      <w:pPr>
        <w:snapToGrid w:val="0"/>
        <w:spacing w:line="360" w:lineRule="auto"/>
        <w:ind w:firstLine="420" w:firstLineChars="200"/>
        <w:rPr>
          <w:rFonts w:ascii="宋体" w:hAnsi="宋体" w:cs="宋体"/>
          <w:szCs w:val="21"/>
        </w:rPr>
      </w:pPr>
      <w:r>
        <w:rPr>
          <w:rFonts w:hint="eastAsia" w:ascii="宋体" w:hAnsi="宋体" w:cs="宋体"/>
          <w:szCs w:val="21"/>
        </w:rPr>
        <w:t>5.我方同意按照贵方要求提供与投标有关的一切数据或者资料。</w:t>
      </w:r>
    </w:p>
    <w:p w14:paraId="46DD5BA6">
      <w:pPr>
        <w:snapToGrid w:val="0"/>
        <w:spacing w:line="360" w:lineRule="auto"/>
        <w:ind w:firstLine="420" w:firstLineChars="200"/>
        <w:rPr>
          <w:rFonts w:ascii="宋体" w:hAnsi="宋体" w:cs="宋体"/>
          <w:szCs w:val="21"/>
        </w:rPr>
      </w:pPr>
      <w:r>
        <w:rPr>
          <w:rFonts w:hint="eastAsia" w:ascii="宋体" w:hAnsi="宋体" w:cs="宋体"/>
          <w:szCs w:val="21"/>
        </w:rPr>
        <w:t>6.我方向贵方提交的所有投标文件、资料都是准确的和真实的。</w:t>
      </w:r>
    </w:p>
    <w:p w14:paraId="1EE1EE2E">
      <w:pPr>
        <w:snapToGrid w:val="0"/>
        <w:spacing w:line="360" w:lineRule="auto"/>
        <w:ind w:firstLine="420" w:firstLineChars="200"/>
        <w:rPr>
          <w:rFonts w:ascii="宋体" w:hAnsi="宋体" w:cs="宋体"/>
          <w:szCs w:val="21"/>
        </w:rPr>
      </w:pPr>
      <w:r>
        <w:rPr>
          <w:rFonts w:hint="eastAsia" w:ascii="宋体" w:hAnsi="宋体" w:cs="宋体"/>
          <w:szCs w:val="21"/>
        </w:rPr>
        <w:t>7.以上事项如有虚假或者隐瞒，我方愿意承担一切后果，并不再寻求任何旨在减轻或者免除法律责任的辩解。</w:t>
      </w:r>
    </w:p>
    <w:p w14:paraId="5E926B2C">
      <w:pPr>
        <w:spacing w:line="360" w:lineRule="auto"/>
        <w:ind w:firstLine="420" w:firstLineChars="200"/>
        <w:rPr>
          <w:rFonts w:ascii="宋体" w:hAnsi="宋体" w:cs="宋体"/>
          <w:szCs w:val="21"/>
        </w:rPr>
      </w:pPr>
      <w:r>
        <w:rPr>
          <w:rFonts w:hint="eastAsia" w:ascii="宋体" w:hAnsi="宋体" w:cs="宋体"/>
          <w:szCs w:val="21"/>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B058CE6">
      <w:pPr>
        <w:spacing w:line="360" w:lineRule="auto"/>
        <w:ind w:firstLine="420" w:firstLineChars="200"/>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0AFA2B1A">
      <w:pPr>
        <w:snapToGrid w:val="0"/>
        <w:spacing w:line="360" w:lineRule="auto"/>
        <w:ind w:firstLine="420" w:firstLineChars="200"/>
        <w:rPr>
          <w:rFonts w:ascii="宋体" w:hAnsi="宋体" w:cs="宋体"/>
          <w:szCs w:val="21"/>
        </w:rPr>
      </w:pPr>
      <w:r>
        <w:rPr>
          <w:rFonts w:hint="eastAsia" w:ascii="宋体" w:hAnsi="宋体" w:cs="宋体"/>
          <w:szCs w:val="21"/>
        </w:rPr>
        <w:t>□我方本次投标文件</w:t>
      </w:r>
      <w:r>
        <w:rPr>
          <w:rFonts w:hint="eastAsia" w:ascii="宋体" w:hAnsi="宋体" w:cs="宋体"/>
          <w:kern w:val="0"/>
          <w:szCs w:val="21"/>
        </w:rPr>
        <w:t>涉及商业秘密的内容有：；</w:t>
      </w:r>
    </w:p>
    <w:p w14:paraId="7C225B7F">
      <w:pPr>
        <w:snapToGrid w:val="0"/>
        <w:spacing w:line="360" w:lineRule="auto"/>
        <w:ind w:firstLine="420" w:firstLineChars="200"/>
        <w:rPr>
          <w:rFonts w:ascii="宋体" w:hAnsi="宋体" w:cs="宋体"/>
          <w:szCs w:val="21"/>
        </w:rPr>
      </w:pPr>
      <w:r>
        <w:rPr>
          <w:rFonts w:hint="eastAsia" w:ascii="宋体" w:hAnsi="宋体" w:cs="宋体"/>
          <w:szCs w:val="21"/>
        </w:rPr>
        <w:t>9.与本次投标有关的一切正式往来信函请寄：</w:t>
      </w:r>
    </w:p>
    <w:p w14:paraId="7AF8DF7D">
      <w:pPr>
        <w:snapToGrid w:val="0"/>
        <w:spacing w:line="360" w:lineRule="auto"/>
        <w:ind w:firstLine="420" w:firstLineChars="200"/>
        <w:rPr>
          <w:rFonts w:ascii="宋体" w:hAnsi="宋体" w:cs="宋体"/>
          <w:szCs w:val="21"/>
        </w:rPr>
      </w:pPr>
      <w:r>
        <w:rPr>
          <w:rFonts w:hint="eastAsia" w:ascii="宋体" w:hAnsi="宋体" w:cs="宋体"/>
          <w:szCs w:val="21"/>
        </w:rPr>
        <w:t>地址：邮编：电话：传真：</w:t>
      </w:r>
    </w:p>
    <w:p w14:paraId="07ACED0E">
      <w:pPr>
        <w:snapToGrid w:val="0"/>
        <w:spacing w:line="360" w:lineRule="auto"/>
        <w:ind w:firstLine="420" w:firstLineChars="200"/>
        <w:rPr>
          <w:rFonts w:ascii="宋体" w:hAnsi="宋体" w:cs="宋体"/>
          <w:szCs w:val="21"/>
        </w:rPr>
      </w:pPr>
      <w:r>
        <w:rPr>
          <w:rFonts w:hint="eastAsia" w:ascii="宋体" w:hAnsi="宋体" w:cs="宋体"/>
          <w:szCs w:val="21"/>
        </w:rPr>
        <w:t>投标人名称:开户银行：</w:t>
      </w:r>
      <w:r>
        <w:rPr>
          <w:rFonts w:hint="eastAsia" w:ascii="宋体" w:hAnsi="宋体" w:cs="宋体"/>
          <w:szCs w:val="21"/>
          <w:u w:val="single"/>
        </w:rPr>
        <w:t>银行账号</w:t>
      </w:r>
      <w:r>
        <w:rPr>
          <w:rFonts w:hint="eastAsia" w:ascii="宋体" w:hAnsi="宋体" w:cs="宋体"/>
          <w:szCs w:val="21"/>
        </w:rPr>
        <w:t>：</w:t>
      </w:r>
    </w:p>
    <w:p w14:paraId="7CD56226">
      <w:pPr>
        <w:snapToGrid w:val="0"/>
        <w:spacing w:line="360" w:lineRule="auto"/>
        <w:ind w:firstLine="420" w:firstLineChars="200"/>
        <w:rPr>
          <w:rFonts w:ascii="宋体" w:hAnsi="宋体" w:cs="宋体"/>
          <w:szCs w:val="21"/>
        </w:rPr>
      </w:pPr>
      <w:r>
        <w:rPr>
          <w:rFonts w:hint="eastAsia" w:ascii="宋体" w:hAnsi="宋体" w:cs="宋体"/>
          <w:szCs w:val="21"/>
        </w:rPr>
        <w:t>法定代表人或者委托代理人签字:___________</w:t>
      </w:r>
    </w:p>
    <w:p w14:paraId="02F8DA30">
      <w:pPr>
        <w:pStyle w:val="24"/>
        <w:snapToGrid w:val="0"/>
        <w:spacing w:before="295" w:after="295" w:line="360" w:lineRule="auto"/>
        <w:ind w:firstLine="5250" w:firstLineChars="2500"/>
        <w:rPr>
          <w:rFonts w:hAnsi="宋体" w:cs="宋体"/>
          <w:sz w:val="21"/>
          <w:u w:val="single"/>
        </w:rPr>
      </w:pPr>
      <w:r>
        <w:rPr>
          <w:rFonts w:hint="eastAsia" w:hAnsi="宋体" w:cs="宋体"/>
          <w:sz w:val="21"/>
          <w:szCs w:val="18"/>
        </w:rPr>
        <w:t>投标人（盖公章）：</w:t>
      </w:r>
    </w:p>
    <w:p w14:paraId="5D6FAE0A">
      <w:pPr>
        <w:pStyle w:val="24"/>
        <w:snapToGrid w:val="0"/>
        <w:spacing w:before="295" w:after="295" w:line="360" w:lineRule="auto"/>
        <w:ind w:firstLine="5250" w:firstLineChars="2500"/>
        <w:rPr>
          <w:rFonts w:hAnsi="宋体" w:cs="宋体"/>
          <w:sz w:val="21"/>
        </w:rPr>
        <w:sectPr>
          <w:pgSz w:w="11906" w:h="16838"/>
          <w:pgMar w:top="1134" w:right="1247" w:bottom="1560" w:left="1247" w:header="851" w:footer="992" w:gutter="0"/>
          <w:cols w:space="720" w:num="1"/>
          <w:titlePg/>
          <w:docGrid w:linePitch="312" w:charSpace="0"/>
        </w:sectPr>
      </w:pPr>
      <w:r>
        <w:rPr>
          <w:rFonts w:hint="eastAsia" w:hAnsi="宋体" w:cs="宋体"/>
          <w:sz w:val="21"/>
        </w:rPr>
        <w:t>年月日</w:t>
      </w:r>
    </w:p>
    <w:p w14:paraId="5711EF9F">
      <w:pPr>
        <w:snapToGrid w:val="0"/>
        <w:spacing w:beforeLines="50" w:after="50" w:line="360" w:lineRule="auto"/>
        <w:jc w:val="left"/>
        <w:rPr>
          <w:rFonts w:ascii="宋体" w:hAnsi="宋体" w:cs="宋体"/>
          <w:b/>
          <w:sz w:val="24"/>
          <w:szCs w:val="20"/>
        </w:rPr>
      </w:pPr>
      <w:r>
        <w:rPr>
          <w:rFonts w:hint="eastAsia" w:ascii="宋体" w:hAnsi="宋体" w:cs="宋体"/>
          <w:b/>
          <w:sz w:val="24"/>
        </w:rPr>
        <w:t>4.开标一览表（服务类）</w:t>
      </w:r>
    </w:p>
    <w:p w14:paraId="01BEFAF8">
      <w:pPr>
        <w:snapToGrid w:val="0"/>
        <w:spacing w:before="50" w:after="50" w:line="360" w:lineRule="auto"/>
        <w:jc w:val="center"/>
        <w:rPr>
          <w:rFonts w:ascii="宋体" w:hAnsi="宋体" w:cs="宋体"/>
          <w:b/>
          <w:sz w:val="30"/>
        </w:rPr>
      </w:pPr>
      <w:r>
        <w:rPr>
          <w:rFonts w:hint="eastAsia" w:ascii="宋体" w:hAnsi="宋体" w:cs="宋体"/>
          <w:b/>
          <w:sz w:val="30"/>
        </w:rPr>
        <w:t>开标一览表</w:t>
      </w:r>
    </w:p>
    <w:p w14:paraId="536E1189">
      <w:pPr>
        <w:snapToGrid w:val="0"/>
        <w:spacing w:before="50" w:after="50" w:line="360" w:lineRule="auto"/>
        <w:rPr>
          <w:rFonts w:ascii="宋体" w:hAnsi="宋体" w:cs="宋体"/>
          <w:szCs w:val="21"/>
          <w:u w:val="single"/>
        </w:rPr>
      </w:pPr>
      <w:r>
        <w:rPr>
          <w:rFonts w:hint="eastAsia" w:ascii="宋体" w:hAnsi="宋体" w:cs="宋体"/>
          <w:szCs w:val="21"/>
        </w:rPr>
        <w:t>项目名称：项目编号：（如有）分标：</w:t>
      </w:r>
    </w:p>
    <w:p w14:paraId="4510EE97">
      <w:pPr>
        <w:snapToGrid w:val="0"/>
        <w:spacing w:before="50" w:after="50" w:line="360" w:lineRule="auto"/>
        <w:rPr>
          <w:rFonts w:ascii="宋体" w:hAnsi="宋体" w:cs="宋体"/>
          <w:szCs w:val="21"/>
        </w:rPr>
      </w:pPr>
      <w:r>
        <w:rPr>
          <w:rFonts w:hint="eastAsia" w:ascii="宋体" w:hAnsi="宋体" w:cs="宋体"/>
          <w:szCs w:val="21"/>
        </w:rPr>
        <w:t>投标人名称：单位：元</w:t>
      </w:r>
    </w:p>
    <w:p w14:paraId="31BFB848">
      <w:pPr>
        <w:snapToGrid w:val="0"/>
        <w:spacing w:before="50" w:after="50" w:line="360" w:lineRule="auto"/>
        <w:rPr>
          <w:rFonts w:ascii="宋体" w:hAnsi="宋体" w:cs="宋体"/>
          <w:szCs w:val="21"/>
        </w:rPr>
      </w:pPr>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940"/>
        <w:gridCol w:w="1802"/>
        <w:gridCol w:w="1755"/>
        <w:gridCol w:w="1634"/>
      </w:tblGrid>
      <w:tr w14:paraId="3F9D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noWrap/>
            <w:vAlign w:val="center"/>
          </w:tcPr>
          <w:p w14:paraId="64448EAC">
            <w:pPr>
              <w:spacing w:line="360" w:lineRule="auto"/>
              <w:jc w:val="center"/>
              <w:rPr>
                <w:rFonts w:ascii="宋体" w:hAnsi="宋体" w:cs="宋体"/>
                <w:szCs w:val="21"/>
              </w:rPr>
            </w:pPr>
            <w:r>
              <w:rPr>
                <w:rFonts w:hint="eastAsia" w:ascii="宋体" w:hAnsi="宋体" w:cs="宋体"/>
                <w:szCs w:val="21"/>
              </w:rPr>
              <w:t>序号</w:t>
            </w:r>
          </w:p>
        </w:tc>
        <w:tc>
          <w:tcPr>
            <w:tcW w:w="3940" w:type="dxa"/>
            <w:tcBorders>
              <w:top w:val="single" w:color="auto" w:sz="4" w:space="0"/>
              <w:left w:val="single" w:color="auto" w:sz="4" w:space="0"/>
              <w:bottom w:val="single" w:color="auto" w:sz="4" w:space="0"/>
              <w:right w:val="single" w:color="auto" w:sz="4" w:space="0"/>
            </w:tcBorders>
            <w:noWrap/>
            <w:vAlign w:val="center"/>
          </w:tcPr>
          <w:p w14:paraId="25003E5C">
            <w:pPr>
              <w:spacing w:line="360" w:lineRule="auto"/>
              <w:jc w:val="center"/>
              <w:rPr>
                <w:rFonts w:ascii="宋体" w:hAnsi="宋体" w:cs="宋体"/>
                <w:szCs w:val="21"/>
              </w:rPr>
            </w:pPr>
            <w:r>
              <w:rPr>
                <w:rFonts w:hint="eastAsia" w:ascii="宋体" w:hAnsi="宋体" w:cs="宋体"/>
                <w:szCs w:val="21"/>
              </w:rPr>
              <w:t>标的名称</w:t>
            </w:r>
          </w:p>
        </w:tc>
        <w:tc>
          <w:tcPr>
            <w:tcW w:w="1802" w:type="dxa"/>
            <w:tcBorders>
              <w:top w:val="single" w:color="auto" w:sz="4" w:space="0"/>
              <w:left w:val="single" w:color="auto" w:sz="4" w:space="0"/>
              <w:bottom w:val="single" w:color="auto" w:sz="4" w:space="0"/>
              <w:right w:val="single" w:color="auto" w:sz="4" w:space="0"/>
            </w:tcBorders>
            <w:noWrap/>
            <w:vAlign w:val="center"/>
          </w:tcPr>
          <w:p w14:paraId="7094AC3C">
            <w:pPr>
              <w:spacing w:line="360" w:lineRule="auto"/>
              <w:jc w:val="center"/>
              <w:rPr>
                <w:rFonts w:ascii="宋体" w:hAnsi="宋体" w:cs="宋体"/>
                <w:szCs w:val="21"/>
              </w:rPr>
            </w:pPr>
            <w:r>
              <w:rPr>
                <w:rFonts w:hint="eastAsia" w:ascii="宋体" w:hAnsi="宋体" w:cs="宋体"/>
                <w:szCs w:val="21"/>
              </w:rPr>
              <w:t>数量</w:t>
            </w:r>
          </w:p>
        </w:tc>
        <w:tc>
          <w:tcPr>
            <w:tcW w:w="1755" w:type="dxa"/>
            <w:tcBorders>
              <w:top w:val="single" w:color="auto" w:sz="4" w:space="0"/>
              <w:left w:val="single" w:color="auto" w:sz="4" w:space="0"/>
              <w:bottom w:val="single" w:color="auto" w:sz="4" w:space="0"/>
              <w:right w:val="single" w:color="auto" w:sz="4" w:space="0"/>
            </w:tcBorders>
            <w:noWrap/>
            <w:vAlign w:val="center"/>
          </w:tcPr>
          <w:p w14:paraId="680AACF5">
            <w:pPr>
              <w:spacing w:line="360" w:lineRule="auto"/>
              <w:jc w:val="center"/>
              <w:rPr>
                <w:rFonts w:ascii="宋体" w:hAnsi="宋体" w:cs="宋体"/>
                <w:szCs w:val="21"/>
              </w:rPr>
            </w:pPr>
            <w:r>
              <w:rPr>
                <w:rFonts w:ascii="宋体" w:hAnsi="宋体" w:cs="宋体"/>
                <w:szCs w:val="21"/>
              </w:rPr>
              <w:t>金额</w:t>
            </w:r>
          </w:p>
        </w:tc>
        <w:tc>
          <w:tcPr>
            <w:tcW w:w="1634" w:type="dxa"/>
            <w:tcBorders>
              <w:top w:val="single" w:color="auto" w:sz="4" w:space="0"/>
              <w:left w:val="single" w:color="auto" w:sz="4" w:space="0"/>
              <w:bottom w:val="single" w:color="auto" w:sz="4" w:space="0"/>
              <w:right w:val="single" w:color="auto" w:sz="4" w:space="0"/>
            </w:tcBorders>
            <w:noWrap/>
            <w:vAlign w:val="center"/>
          </w:tcPr>
          <w:p w14:paraId="4CB0DAD6">
            <w:pPr>
              <w:spacing w:line="360" w:lineRule="auto"/>
              <w:jc w:val="center"/>
              <w:rPr>
                <w:rFonts w:ascii="宋体" w:hAnsi="宋体" w:cs="宋体"/>
                <w:szCs w:val="21"/>
              </w:rPr>
            </w:pPr>
            <w:r>
              <w:rPr>
                <w:rFonts w:ascii="宋体" w:hAnsi="宋体" w:cs="宋体"/>
                <w:szCs w:val="21"/>
              </w:rPr>
              <w:t>备注</w:t>
            </w:r>
          </w:p>
        </w:tc>
      </w:tr>
      <w:tr w14:paraId="1CDB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noWrap/>
            <w:vAlign w:val="center"/>
          </w:tcPr>
          <w:p w14:paraId="13044522">
            <w:pPr>
              <w:spacing w:line="360" w:lineRule="auto"/>
              <w:jc w:val="center"/>
              <w:rPr>
                <w:rFonts w:ascii="宋体" w:hAnsi="宋体" w:cs="宋体"/>
                <w:szCs w:val="21"/>
              </w:rPr>
            </w:pPr>
            <w:r>
              <w:rPr>
                <w:rFonts w:hint="eastAsia" w:ascii="宋体" w:hAnsi="宋体" w:cs="宋体"/>
                <w:szCs w:val="21"/>
              </w:rPr>
              <w:t>1</w:t>
            </w:r>
          </w:p>
        </w:tc>
        <w:tc>
          <w:tcPr>
            <w:tcW w:w="3940" w:type="dxa"/>
            <w:tcBorders>
              <w:top w:val="single" w:color="auto" w:sz="4" w:space="0"/>
              <w:left w:val="single" w:color="auto" w:sz="4" w:space="0"/>
              <w:bottom w:val="single" w:color="auto" w:sz="4" w:space="0"/>
              <w:right w:val="single" w:color="auto" w:sz="4" w:space="0"/>
            </w:tcBorders>
            <w:noWrap/>
            <w:vAlign w:val="center"/>
          </w:tcPr>
          <w:p w14:paraId="3988E408">
            <w:pPr>
              <w:spacing w:line="360" w:lineRule="auto"/>
              <w:rPr>
                <w:rFonts w:ascii="宋体" w:hAnsi="宋体" w:cs="宋体"/>
                <w:szCs w:val="21"/>
              </w:rPr>
            </w:pPr>
          </w:p>
        </w:tc>
        <w:tc>
          <w:tcPr>
            <w:tcW w:w="1802" w:type="dxa"/>
            <w:tcBorders>
              <w:top w:val="single" w:color="auto" w:sz="4" w:space="0"/>
              <w:left w:val="single" w:color="auto" w:sz="4" w:space="0"/>
              <w:bottom w:val="single" w:color="auto" w:sz="4" w:space="0"/>
              <w:right w:val="single" w:color="auto" w:sz="4" w:space="0"/>
            </w:tcBorders>
            <w:noWrap/>
            <w:vAlign w:val="center"/>
          </w:tcPr>
          <w:p w14:paraId="1AC32098">
            <w:pPr>
              <w:spacing w:line="360" w:lineRule="auto"/>
              <w:rPr>
                <w:rFonts w:ascii="宋体" w:hAnsi="宋体" w:cs="宋体"/>
                <w:szCs w:val="21"/>
              </w:rPr>
            </w:pPr>
          </w:p>
        </w:tc>
        <w:tc>
          <w:tcPr>
            <w:tcW w:w="1755" w:type="dxa"/>
            <w:tcBorders>
              <w:top w:val="single" w:color="auto" w:sz="4" w:space="0"/>
              <w:left w:val="single" w:color="auto" w:sz="4" w:space="0"/>
              <w:bottom w:val="single" w:color="auto" w:sz="4" w:space="0"/>
              <w:right w:val="single" w:color="auto" w:sz="4" w:space="0"/>
            </w:tcBorders>
            <w:noWrap/>
            <w:vAlign w:val="center"/>
          </w:tcPr>
          <w:p w14:paraId="0324858F">
            <w:pPr>
              <w:spacing w:line="360" w:lineRule="auto"/>
              <w:rPr>
                <w:rFonts w:ascii="宋体" w:hAnsi="宋体" w:cs="宋体"/>
                <w:szCs w:val="21"/>
              </w:rPr>
            </w:pPr>
          </w:p>
        </w:tc>
        <w:tc>
          <w:tcPr>
            <w:tcW w:w="1634" w:type="dxa"/>
            <w:tcBorders>
              <w:top w:val="single" w:color="auto" w:sz="4" w:space="0"/>
              <w:left w:val="single" w:color="auto" w:sz="4" w:space="0"/>
              <w:bottom w:val="single" w:color="auto" w:sz="4" w:space="0"/>
              <w:right w:val="single" w:color="auto" w:sz="4" w:space="0"/>
            </w:tcBorders>
            <w:noWrap/>
            <w:vAlign w:val="center"/>
          </w:tcPr>
          <w:p w14:paraId="07BA016B">
            <w:pPr>
              <w:spacing w:line="360" w:lineRule="auto"/>
              <w:rPr>
                <w:rFonts w:ascii="宋体" w:hAnsi="宋体" w:cs="宋体"/>
                <w:szCs w:val="21"/>
              </w:rPr>
            </w:pPr>
          </w:p>
        </w:tc>
      </w:tr>
      <w:tr w14:paraId="0230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noWrap/>
            <w:vAlign w:val="center"/>
          </w:tcPr>
          <w:p w14:paraId="33455A92">
            <w:pPr>
              <w:spacing w:line="360" w:lineRule="auto"/>
              <w:jc w:val="center"/>
              <w:rPr>
                <w:rFonts w:ascii="宋体" w:hAnsi="宋体" w:cs="宋体"/>
                <w:szCs w:val="21"/>
              </w:rPr>
            </w:pPr>
            <w:r>
              <w:rPr>
                <w:rFonts w:hint="eastAsia" w:ascii="宋体" w:hAnsi="宋体" w:cs="宋体"/>
                <w:szCs w:val="21"/>
              </w:rPr>
              <w:t>2</w:t>
            </w:r>
          </w:p>
        </w:tc>
        <w:tc>
          <w:tcPr>
            <w:tcW w:w="3940" w:type="dxa"/>
            <w:tcBorders>
              <w:top w:val="single" w:color="auto" w:sz="4" w:space="0"/>
              <w:left w:val="single" w:color="auto" w:sz="4" w:space="0"/>
              <w:bottom w:val="single" w:color="auto" w:sz="4" w:space="0"/>
              <w:right w:val="single" w:color="auto" w:sz="4" w:space="0"/>
            </w:tcBorders>
            <w:noWrap/>
            <w:vAlign w:val="center"/>
          </w:tcPr>
          <w:p w14:paraId="529AF99B">
            <w:pPr>
              <w:spacing w:line="360" w:lineRule="auto"/>
              <w:rPr>
                <w:rFonts w:ascii="宋体" w:hAnsi="宋体" w:cs="宋体"/>
                <w:szCs w:val="21"/>
              </w:rPr>
            </w:pPr>
          </w:p>
        </w:tc>
        <w:tc>
          <w:tcPr>
            <w:tcW w:w="1802" w:type="dxa"/>
            <w:tcBorders>
              <w:top w:val="single" w:color="auto" w:sz="4" w:space="0"/>
              <w:left w:val="single" w:color="auto" w:sz="4" w:space="0"/>
              <w:bottom w:val="single" w:color="auto" w:sz="4" w:space="0"/>
              <w:right w:val="single" w:color="auto" w:sz="4" w:space="0"/>
            </w:tcBorders>
            <w:noWrap/>
            <w:vAlign w:val="center"/>
          </w:tcPr>
          <w:p w14:paraId="26E27808">
            <w:pPr>
              <w:spacing w:line="360" w:lineRule="auto"/>
              <w:rPr>
                <w:rFonts w:ascii="宋体" w:hAnsi="宋体" w:cs="宋体"/>
                <w:szCs w:val="21"/>
              </w:rPr>
            </w:pPr>
          </w:p>
        </w:tc>
        <w:tc>
          <w:tcPr>
            <w:tcW w:w="1755" w:type="dxa"/>
            <w:tcBorders>
              <w:top w:val="single" w:color="auto" w:sz="4" w:space="0"/>
              <w:left w:val="single" w:color="auto" w:sz="4" w:space="0"/>
              <w:bottom w:val="single" w:color="auto" w:sz="4" w:space="0"/>
              <w:right w:val="single" w:color="auto" w:sz="4" w:space="0"/>
            </w:tcBorders>
            <w:noWrap/>
            <w:vAlign w:val="center"/>
          </w:tcPr>
          <w:p w14:paraId="210ADCB0">
            <w:pPr>
              <w:spacing w:line="360" w:lineRule="auto"/>
              <w:rPr>
                <w:rFonts w:ascii="宋体" w:hAnsi="宋体" w:cs="宋体"/>
                <w:szCs w:val="21"/>
              </w:rPr>
            </w:pPr>
          </w:p>
        </w:tc>
        <w:tc>
          <w:tcPr>
            <w:tcW w:w="1634" w:type="dxa"/>
            <w:tcBorders>
              <w:top w:val="single" w:color="auto" w:sz="4" w:space="0"/>
              <w:left w:val="single" w:color="auto" w:sz="4" w:space="0"/>
              <w:bottom w:val="single" w:color="auto" w:sz="4" w:space="0"/>
              <w:right w:val="single" w:color="auto" w:sz="4" w:space="0"/>
            </w:tcBorders>
            <w:noWrap/>
            <w:vAlign w:val="center"/>
          </w:tcPr>
          <w:p w14:paraId="14F294F5">
            <w:pPr>
              <w:spacing w:line="360" w:lineRule="auto"/>
              <w:rPr>
                <w:rFonts w:ascii="宋体" w:hAnsi="宋体" w:cs="宋体"/>
                <w:szCs w:val="21"/>
              </w:rPr>
            </w:pPr>
          </w:p>
        </w:tc>
      </w:tr>
      <w:tr w14:paraId="5DF2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noWrap/>
            <w:vAlign w:val="center"/>
          </w:tcPr>
          <w:p w14:paraId="50993190">
            <w:pPr>
              <w:spacing w:line="360" w:lineRule="auto"/>
              <w:jc w:val="center"/>
              <w:rPr>
                <w:rFonts w:ascii="宋体" w:hAnsi="宋体" w:cs="宋体"/>
                <w:szCs w:val="21"/>
              </w:rPr>
            </w:pPr>
            <w:r>
              <w:rPr>
                <w:rFonts w:hint="eastAsia" w:ascii="宋体" w:hAnsi="宋体" w:cs="宋体"/>
                <w:szCs w:val="21"/>
              </w:rPr>
              <w:t>2</w:t>
            </w:r>
          </w:p>
        </w:tc>
        <w:tc>
          <w:tcPr>
            <w:tcW w:w="3940" w:type="dxa"/>
            <w:tcBorders>
              <w:top w:val="single" w:color="auto" w:sz="4" w:space="0"/>
              <w:left w:val="single" w:color="auto" w:sz="4" w:space="0"/>
              <w:bottom w:val="single" w:color="auto" w:sz="4" w:space="0"/>
              <w:right w:val="single" w:color="auto" w:sz="4" w:space="0"/>
            </w:tcBorders>
            <w:noWrap/>
            <w:vAlign w:val="center"/>
          </w:tcPr>
          <w:p w14:paraId="32BCCFA1">
            <w:pPr>
              <w:spacing w:line="360" w:lineRule="auto"/>
              <w:rPr>
                <w:rFonts w:ascii="宋体" w:hAnsi="宋体" w:cs="宋体"/>
                <w:szCs w:val="21"/>
              </w:rPr>
            </w:pPr>
          </w:p>
        </w:tc>
        <w:tc>
          <w:tcPr>
            <w:tcW w:w="1802" w:type="dxa"/>
            <w:tcBorders>
              <w:top w:val="single" w:color="auto" w:sz="4" w:space="0"/>
              <w:left w:val="single" w:color="auto" w:sz="4" w:space="0"/>
              <w:bottom w:val="single" w:color="auto" w:sz="4" w:space="0"/>
              <w:right w:val="single" w:color="auto" w:sz="4" w:space="0"/>
            </w:tcBorders>
            <w:noWrap/>
            <w:vAlign w:val="center"/>
          </w:tcPr>
          <w:p w14:paraId="230DC6D9">
            <w:pPr>
              <w:spacing w:line="360" w:lineRule="auto"/>
              <w:rPr>
                <w:rFonts w:ascii="宋体" w:hAnsi="宋体" w:cs="宋体"/>
                <w:szCs w:val="21"/>
              </w:rPr>
            </w:pPr>
          </w:p>
        </w:tc>
        <w:tc>
          <w:tcPr>
            <w:tcW w:w="1755" w:type="dxa"/>
            <w:tcBorders>
              <w:top w:val="single" w:color="auto" w:sz="4" w:space="0"/>
              <w:left w:val="single" w:color="auto" w:sz="4" w:space="0"/>
              <w:bottom w:val="single" w:color="auto" w:sz="4" w:space="0"/>
              <w:right w:val="single" w:color="auto" w:sz="4" w:space="0"/>
            </w:tcBorders>
            <w:noWrap/>
            <w:vAlign w:val="center"/>
          </w:tcPr>
          <w:p w14:paraId="21BFA93F">
            <w:pPr>
              <w:spacing w:line="360" w:lineRule="auto"/>
              <w:rPr>
                <w:rFonts w:ascii="宋体" w:hAnsi="宋体" w:cs="宋体"/>
                <w:szCs w:val="21"/>
              </w:rPr>
            </w:pPr>
          </w:p>
        </w:tc>
        <w:tc>
          <w:tcPr>
            <w:tcW w:w="1634" w:type="dxa"/>
            <w:tcBorders>
              <w:top w:val="single" w:color="auto" w:sz="4" w:space="0"/>
              <w:left w:val="single" w:color="auto" w:sz="4" w:space="0"/>
              <w:bottom w:val="single" w:color="auto" w:sz="4" w:space="0"/>
              <w:right w:val="single" w:color="auto" w:sz="4" w:space="0"/>
            </w:tcBorders>
            <w:noWrap/>
            <w:vAlign w:val="center"/>
          </w:tcPr>
          <w:p w14:paraId="6B7185CB">
            <w:pPr>
              <w:spacing w:line="360" w:lineRule="auto"/>
              <w:rPr>
                <w:rFonts w:ascii="宋体" w:hAnsi="宋体" w:cs="宋体"/>
                <w:szCs w:val="21"/>
              </w:rPr>
            </w:pPr>
          </w:p>
        </w:tc>
      </w:tr>
      <w:tr w14:paraId="5B7A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noWrap/>
            <w:vAlign w:val="center"/>
          </w:tcPr>
          <w:p w14:paraId="34E91A5F">
            <w:pPr>
              <w:spacing w:line="360" w:lineRule="auto"/>
              <w:jc w:val="center"/>
              <w:rPr>
                <w:rFonts w:ascii="宋体" w:hAnsi="宋体" w:cs="宋体"/>
                <w:szCs w:val="21"/>
              </w:rPr>
            </w:pPr>
            <w:r>
              <w:rPr>
                <w:rFonts w:hint="eastAsia" w:ascii="宋体" w:hAnsi="宋体" w:cs="宋体"/>
                <w:szCs w:val="21"/>
              </w:rPr>
              <w:t>4</w:t>
            </w:r>
          </w:p>
        </w:tc>
        <w:tc>
          <w:tcPr>
            <w:tcW w:w="3940" w:type="dxa"/>
            <w:tcBorders>
              <w:top w:val="single" w:color="auto" w:sz="4" w:space="0"/>
              <w:left w:val="single" w:color="auto" w:sz="4" w:space="0"/>
              <w:bottom w:val="single" w:color="auto" w:sz="4" w:space="0"/>
              <w:right w:val="single" w:color="auto" w:sz="4" w:space="0"/>
            </w:tcBorders>
            <w:noWrap/>
            <w:vAlign w:val="center"/>
          </w:tcPr>
          <w:p w14:paraId="3B229812">
            <w:pPr>
              <w:spacing w:line="360" w:lineRule="auto"/>
              <w:rPr>
                <w:rFonts w:ascii="宋体" w:hAnsi="宋体" w:cs="宋体"/>
                <w:szCs w:val="21"/>
              </w:rPr>
            </w:pPr>
          </w:p>
        </w:tc>
        <w:tc>
          <w:tcPr>
            <w:tcW w:w="1802" w:type="dxa"/>
            <w:tcBorders>
              <w:top w:val="single" w:color="auto" w:sz="4" w:space="0"/>
              <w:left w:val="single" w:color="auto" w:sz="4" w:space="0"/>
              <w:bottom w:val="single" w:color="auto" w:sz="4" w:space="0"/>
              <w:right w:val="single" w:color="auto" w:sz="4" w:space="0"/>
            </w:tcBorders>
            <w:noWrap/>
            <w:vAlign w:val="center"/>
          </w:tcPr>
          <w:p w14:paraId="6EF3361F">
            <w:pPr>
              <w:spacing w:line="360" w:lineRule="auto"/>
              <w:rPr>
                <w:rFonts w:ascii="宋体" w:hAnsi="宋体" w:cs="宋体"/>
                <w:szCs w:val="21"/>
              </w:rPr>
            </w:pPr>
          </w:p>
        </w:tc>
        <w:tc>
          <w:tcPr>
            <w:tcW w:w="1755" w:type="dxa"/>
            <w:tcBorders>
              <w:top w:val="single" w:color="auto" w:sz="4" w:space="0"/>
              <w:left w:val="single" w:color="auto" w:sz="4" w:space="0"/>
              <w:bottom w:val="single" w:color="auto" w:sz="4" w:space="0"/>
              <w:right w:val="single" w:color="auto" w:sz="4" w:space="0"/>
            </w:tcBorders>
            <w:noWrap/>
            <w:vAlign w:val="center"/>
          </w:tcPr>
          <w:p w14:paraId="3DDF85F0">
            <w:pPr>
              <w:spacing w:line="360" w:lineRule="auto"/>
              <w:rPr>
                <w:rFonts w:ascii="宋体" w:hAnsi="宋体" w:cs="宋体"/>
                <w:szCs w:val="21"/>
              </w:rPr>
            </w:pPr>
          </w:p>
        </w:tc>
        <w:tc>
          <w:tcPr>
            <w:tcW w:w="1634" w:type="dxa"/>
            <w:tcBorders>
              <w:top w:val="single" w:color="auto" w:sz="4" w:space="0"/>
              <w:left w:val="single" w:color="auto" w:sz="4" w:space="0"/>
              <w:bottom w:val="single" w:color="auto" w:sz="4" w:space="0"/>
              <w:right w:val="single" w:color="auto" w:sz="4" w:space="0"/>
            </w:tcBorders>
            <w:noWrap/>
            <w:vAlign w:val="center"/>
          </w:tcPr>
          <w:p w14:paraId="528E1722">
            <w:pPr>
              <w:spacing w:line="360" w:lineRule="auto"/>
              <w:rPr>
                <w:rFonts w:ascii="宋体" w:hAnsi="宋体" w:cs="宋体"/>
                <w:szCs w:val="21"/>
              </w:rPr>
            </w:pPr>
          </w:p>
        </w:tc>
      </w:tr>
      <w:tr w14:paraId="2483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noWrap/>
          </w:tcPr>
          <w:p w14:paraId="2834DE79">
            <w:pPr>
              <w:snapToGrid w:val="0"/>
              <w:spacing w:before="50" w:after="50" w:line="360" w:lineRule="auto"/>
              <w:jc w:val="center"/>
              <w:rPr>
                <w:rFonts w:ascii="宋体" w:hAnsi="宋体" w:cs="宋体"/>
                <w:szCs w:val="21"/>
              </w:rPr>
            </w:pPr>
            <w:r>
              <w:rPr>
                <w:rFonts w:hint="eastAsia" w:ascii="宋体" w:hAnsi="宋体" w:cs="宋体"/>
                <w:szCs w:val="21"/>
              </w:rPr>
              <w:t>5</w:t>
            </w:r>
          </w:p>
        </w:tc>
        <w:tc>
          <w:tcPr>
            <w:tcW w:w="9131" w:type="dxa"/>
            <w:gridSpan w:val="4"/>
            <w:tcBorders>
              <w:top w:val="single" w:color="auto" w:sz="4" w:space="0"/>
              <w:left w:val="single" w:color="auto" w:sz="4" w:space="0"/>
              <w:bottom w:val="single" w:color="auto" w:sz="4" w:space="0"/>
              <w:right w:val="single" w:color="auto" w:sz="4" w:space="0"/>
            </w:tcBorders>
            <w:noWrap/>
            <w:vAlign w:val="center"/>
          </w:tcPr>
          <w:p w14:paraId="08C2281F">
            <w:pPr>
              <w:snapToGrid w:val="0"/>
              <w:spacing w:before="50" w:after="50" w:line="360" w:lineRule="auto"/>
              <w:rPr>
                <w:rFonts w:ascii="宋体" w:hAnsi="宋体" w:cs="宋体"/>
                <w:szCs w:val="21"/>
              </w:rPr>
            </w:pPr>
            <w:r>
              <w:rPr>
                <w:rFonts w:hint="eastAsia" w:ascii="宋体" w:hAnsi="宋体" w:cs="宋体"/>
                <w:szCs w:val="21"/>
              </w:rPr>
              <w:t>合计金额大写：人民币</w:t>
            </w:r>
            <w:r>
              <w:rPr>
                <w:rFonts w:hint="eastAsia" w:ascii="宋体" w:hAnsi="宋体" w:cs="宋体"/>
                <w:szCs w:val="21"/>
                <w:u w:val="single"/>
              </w:rPr>
              <w:t>（¥</w:t>
            </w:r>
            <w:r>
              <w:rPr>
                <w:rFonts w:hint="eastAsia" w:ascii="宋体" w:hAnsi="宋体" w:cs="宋体"/>
                <w:szCs w:val="21"/>
              </w:rPr>
              <w:t>）</w:t>
            </w:r>
          </w:p>
        </w:tc>
      </w:tr>
      <w:tr w14:paraId="1B77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04" w:type="dxa"/>
            <w:tcBorders>
              <w:top w:val="single" w:color="auto" w:sz="4" w:space="0"/>
              <w:left w:val="single" w:color="auto" w:sz="4" w:space="0"/>
              <w:bottom w:val="single" w:color="auto" w:sz="4" w:space="0"/>
              <w:right w:val="single" w:color="auto" w:sz="4" w:space="0"/>
            </w:tcBorders>
            <w:noWrap/>
          </w:tcPr>
          <w:p w14:paraId="1E8D3F4C">
            <w:pPr>
              <w:snapToGrid w:val="0"/>
              <w:spacing w:before="50" w:after="50" w:line="360" w:lineRule="auto"/>
              <w:jc w:val="center"/>
              <w:rPr>
                <w:rFonts w:ascii="宋体" w:hAnsi="宋体" w:cs="宋体"/>
                <w:szCs w:val="21"/>
              </w:rPr>
            </w:pPr>
            <w:r>
              <w:rPr>
                <w:rFonts w:hint="eastAsia" w:ascii="宋体" w:hAnsi="宋体" w:cs="宋体"/>
                <w:szCs w:val="21"/>
              </w:rPr>
              <w:t>6</w:t>
            </w:r>
          </w:p>
        </w:tc>
        <w:tc>
          <w:tcPr>
            <w:tcW w:w="9131" w:type="dxa"/>
            <w:gridSpan w:val="4"/>
            <w:tcBorders>
              <w:top w:val="single" w:color="auto" w:sz="4" w:space="0"/>
              <w:left w:val="single" w:color="auto" w:sz="4" w:space="0"/>
              <w:bottom w:val="single" w:color="auto" w:sz="4" w:space="0"/>
              <w:right w:val="single" w:color="auto" w:sz="4" w:space="0"/>
            </w:tcBorders>
            <w:noWrap/>
            <w:vAlign w:val="center"/>
          </w:tcPr>
          <w:p w14:paraId="3197A60E">
            <w:pPr>
              <w:snapToGrid w:val="0"/>
              <w:spacing w:before="50" w:after="50" w:line="360" w:lineRule="auto"/>
              <w:rPr>
                <w:rFonts w:ascii="宋体" w:hAnsi="宋体" w:cs="宋体"/>
                <w:szCs w:val="21"/>
              </w:rPr>
            </w:pPr>
            <w:r>
              <w:rPr>
                <w:rFonts w:hint="eastAsia" w:ascii="宋体" w:hAnsi="宋体" w:cs="宋体"/>
                <w:szCs w:val="21"/>
              </w:rPr>
              <w:t>合同履行期限：</w:t>
            </w:r>
          </w:p>
        </w:tc>
      </w:tr>
    </w:tbl>
    <w:p w14:paraId="78C75832">
      <w:pPr>
        <w:snapToGrid w:val="0"/>
        <w:spacing w:before="50" w:after="50" w:line="360" w:lineRule="auto"/>
        <w:jc w:val="left"/>
        <w:rPr>
          <w:rFonts w:ascii="宋体" w:hAnsi="宋体" w:cs="宋体"/>
          <w:szCs w:val="21"/>
        </w:rPr>
      </w:pPr>
      <w:r>
        <w:rPr>
          <w:rFonts w:hint="eastAsia" w:ascii="宋体" w:hAnsi="宋体" w:cs="宋体"/>
          <w:szCs w:val="21"/>
        </w:rPr>
        <w:t>注:</w:t>
      </w:r>
    </w:p>
    <w:p w14:paraId="3D61F59F">
      <w:pPr>
        <w:snapToGrid w:val="0"/>
        <w:spacing w:before="50" w:after="50" w:line="360" w:lineRule="auto"/>
        <w:ind w:firstLine="420" w:firstLineChars="200"/>
        <w:jc w:val="left"/>
        <w:rPr>
          <w:rFonts w:ascii="宋体" w:hAnsi="宋体" w:cs="宋体"/>
          <w:szCs w:val="21"/>
        </w:rPr>
      </w:pPr>
      <w:r>
        <w:rPr>
          <w:rFonts w:hint="eastAsia" w:ascii="宋体" w:hAnsi="宋体" w:cs="宋体"/>
          <w:szCs w:val="21"/>
        </w:rPr>
        <w:t>1.投标人的开标一览表必须加盖投标人公章并由法定代表人或者委托代理人签字，否则其投标作无效标处理。</w:t>
      </w:r>
    </w:p>
    <w:p w14:paraId="3E06AA78">
      <w:pPr>
        <w:snapToGrid w:val="0"/>
        <w:spacing w:before="50" w:after="50" w:line="360" w:lineRule="auto"/>
        <w:ind w:firstLine="420" w:firstLineChars="200"/>
        <w:jc w:val="left"/>
        <w:rPr>
          <w:rFonts w:ascii="宋体" w:hAnsi="宋体" w:cs="宋体"/>
          <w:szCs w:val="21"/>
        </w:rPr>
      </w:pPr>
      <w:r>
        <w:rPr>
          <w:rFonts w:hint="eastAsia" w:ascii="宋体" w:hAnsi="宋体" w:cs="宋体"/>
          <w:szCs w:val="21"/>
        </w:rPr>
        <w:t>2.报价一经涂改，应在涂改处加盖投标人公章或者由法定代表人或者授权委托人签字或者盖章，否则其投标作无效标处理。</w:t>
      </w:r>
    </w:p>
    <w:p w14:paraId="5479CBA8">
      <w:pPr>
        <w:snapToGrid w:val="0"/>
        <w:spacing w:before="50" w:after="50" w:line="360" w:lineRule="auto"/>
        <w:ind w:firstLine="420" w:firstLineChars="200"/>
        <w:jc w:val="left"/>
        <w:rPr>
          <w:rFonts w:ascii="宋体" w:hAnsi="宋体" w:cs="宋体"/>
          <w:szCs w:val="21"/>
        </w:rPr>
      </w:pPr>
      <w:r>
        <w:rPr>
          <w:rFonts w:hint="eastAsia" w:ascii="宋体" w:hAnsi="宋体" w:cs="宋体"/>
          <w:szCs w:val="21"/>
        </w:rPr>
        <w:t>3.如为联合体投标，“投标人名称”处必须列明联合体各方名称，并标注联合体牵头人名称，否则其投标作无效标处理。</w:t>
      </w:r>
    </w:p>
    <w:p w14:paraId="482DC417">
      <w:pPr>
        <w:snapToGrid w:val="0"/>
        <w:spacing w:before="50" w:after="50" w:line="360" w:lineRule="auto"/>
        <w:ind w:firstLine="420" w:firstLineChars="200"/>
        <w:jc w:val="left"/>
        <w:rPr>
          <w:rFonts w:ascii="宋体" w:hAnsi="宋体" w:cs="宋体"/>
          <w:szCs w:val="21"/>
        </w:rPr>
      </w:pPr>
      <w:r>
        <w:rPr>
          <w:rFonts w:hint="eastAsia" w:ascii="宋体" w:hAnsi="宋体" w:cs="宋体"/>
          <w:szCs w:val="21"/>
        </w:rPr>
        <w:t>4.如为联合体投标，盖章处须加盖联合体各方公章，否则其投标作无效标处理。</w:t>
      </w:r>
    </w:p>
    <w:p w14:paraId="00D78B21">
      <w:pPr>
        <w:snapToGrid w:val="0"/>
        <w:spacing w:before="50" w:after="50" w:line="360" w:lineRule="auto"/>
        <w:ind w:firstLine="420" w:firstLineChars="200"/>
        <w:jc w:val="left"/>
        <w:rPr>
          <w:rFonts w:ascii="宋体" w:hAnsi="宋体" w:cs="宋体"/>
          <w:szCs w:val="21"/>
        </w:rPr>
      </w:pPr>
      <w:r>
        <w:rPr>
          <w:rFonts w:hint="eastAsia" w:ascii="宋体" w:hAnsi="宋体" w:cs="宋体"/>
          <w:szCs w:val="21"/>
        </w:rPr>
        <w:t>5.如有多分标，按分标分别提供开标一览表，否则投标无效。</w:t>
      </w:r>
    </w:p>
    <w:p w14:paraId="6AF7450A">
      <w:pPr>
        <w:snapToGrid w:val="0"/>
        <w:spacing w:before="50" w:after="50" w:line="360" w:lineRule="auto"/>
        <w:ind w:firstLine="420" w:firstLineChars="200"/>
        <w:rPr>
          <w:rFonts w:ascii="宋体" w:hAnsi="宋体" w:cs="宋体"/>
          <w:szCs w:val="21"/>
        </w:rPr>
      </w:pPr>
    </w:p>
    <w:p w14:paraId="44076826">
      <w:pPr>
        <w:snapToGrid w:val="0"/>
        <w:spacing w:before="50" w:after="50" w:line="360" w:lineRule="auto"/>
        <w:ind w:firstLine="420" w:firstLineChars="200"/>
        <w:rPr>
          <w:rFonts w:ascii="宋体" w:hAnsi="宋体" w:cs="宋体"/>
          <w:szCs w:val="21"/>
        </w:rPr>
      </w:pPr>
      <w:r>
        <w:rPr>
          <w:rFonts w:hint="eastAsia" w:ascii="宋体" w:hAnsi="宋体" w:cs="宋体"/>
          <w:szCs w:val="21"/>
        </w:rPr>
        <w:t>法定代表人或者委托代理人（签字）：</w:t>
      </w:r>
    </w:p>
    <w:p w14:paraId="0571CC7C">
      <w:pPr>
        <w:snapToGrid w:val="0"/>
        <w:spacing w:before="50" w:after="50" w:line="360" w:lineRule="auto"/>
        <w:ind w:firstLine="420" w:firstLineChars="200"/>
        <w:rPr>
          <w:rFonts w:ascii="宋体" w:hAnsi="宋体" w:cs="宋体"/>
          <w:szCs w:val="21"/>
        </w:rPr>
      </w:pPr>
    </w:p>
    <w:p w14:paraId="0DCED6B9">
      <w:pPr>
        <w:snapToGrid w:val="0"/>
        <w:spacing w:before="50" w:after="50" w:line="360" w:lineRule="auto"/>
        <w:ind w:firstLine="420" w:firstLineChars="200"/>
        <w:rPr>
          <w:rFonts w:ascii="宋体" w:hAnsi="宋体" w:cs="宋体"/>
          <w:szCs w:val="21"/>
        </w:rPr>
      </w:pPr>
      <w:r>
        <w:rPr>
          <w:rFonts w:hint="eastAsia" w:ascii="宋体" w:hAnsi="宋体" w:cs="宋体"/>
          <w:szCs w:val="21"/>
        </w:rPr>
        <w:t>投标人（盖公章）：</w:t>
      </w:r>
    </w:p>
    <w:p w14:paraId="62CE98FC">
      <w:pPr>
        <w:pStyle w:val="24"/>
        <w:snapToGrid w:val="0"/>
        <w:spacing w:before="295" w:after="295" w:line="360" w:lineRule="auto"/>
        <w:ind w:firstLine="5000" w:firstLineChars="2500"/>
        <w:rPr>
          <w:rFonts w:hAnsi="宋体" w:cs="宋体"/>
        </w:rPr>
        <w:sectPr>
          <w:pgSz w:w="11906" w:h="16838"/>
          <w:pgMar w:top="1134" w:right="1247" w:bottom="1560" w:left="1247" w:header="851" w:footer="992" w:gutter="0"/>
          <w:cols w:space="720" w:num="1"/>
          <w:titlePg/>
          <w:docGrid w:linePitch="312" w:charSpace="0"/>
        </w:sectPr>
      </w:pPr>
      <w:r>
        <w:rPr>
          <w:rFonts w:hint="eastAsia" w:hAnsi="宋体" w:cs="宋体"/>
        </w:rPr>
        <w:t>日期：年月日</w:t>
      </w:r>
    </w:p>
    <w:p w14:paraId="69AB577F">
      <w:pPr>
        <w:pStyle w:val="4"/>
        <w:spacing w:before="0" w:after="0" w:line="360" w:lineRule="auto"/>
        <w:jc w:val="center"/>
        <w:rPr>
          <w:rFonts w:ascii="宋体" w:hAnsi="宋体" w:eastAsia="宋体"/>
        </w:rPr>
      </w:pPr>
      <w:bookmarkStart w:id="204" w:name="_Toc21626"/>
      <w:bookmarkStart w:id="205" w:name="_Toc29013"/>
      <w:bookmarkStart w:id="206" w:name="_Toc9651"/>
      <w:bookmarkStart w:id="207" w:name="_Toc19686837"/>
      <w:r>
        <w:rPr>
          <w:rFonts w:hint="eastAsia" w:ascii="宋体" w:hAnsi="宋体" w:eastAsia="宋体"/>
        </w:rPr>
        <w:t>三、资格证明文件格式</w:t>
      </w:r>
      <w:bookmarkEnd w:id="202"/>
      <w:bookmarkEnd w:id="203"/>
      <w:bookmarkEnd w:id="204"/>
      <w:bookmarkEnd w:id="205"/>
      <w:bookmarkEnd w:id="206"/>
      <w:bookmarkEnd w:id="207"/>
    </w:p>
    <w:p w14:paraId="7260074E">
      <w:pPr>
        <w:snapToGrid w:val="0"/>
        <w:spacing w:beforeLines="50" w:after="50" w:line="360" w:lineRule="auto"/>
        <w:jc w:val="left"/>
        <w:rPr>
          <w:rFonts w:ascii="宋体" w:hAnsi="宋体" w:cs="宋体"/>
          <w:b/>
          <w:sz w:val="24"/>
        </w:rPr>
      </w:pPr>
      <w:r>
        <w:rPr>
          <w:rFonts w:hint="eastAsia" w:ascii="宋体" w:hAnsi="宋体" w:cs="宋体"/>
          <w:b/>
          <w:sz w:val="24"/>
        </w:rPr>
        <w:t>1资格证明文件封面格式：</w:t>
      </w:r>
    </w:p>
    <w:p w14:paraId="108B4B2D">
      <w:pPr>
        <w:snapToGrid w:val="0"/>
        <w:spacing w:beforeLines="50" w:after="50" w:line="360" w:lineRule="auto"/>
        <w:jc w:val="center"/>
        <w:rPr>
          <w:rFonts w:ascii="宋体" w:hAnsi="宋体" w:cs="宋体"/>
          <w:bCs/>
          <w:sz w:val="32"/>
          <w:szCs w:val="20"/>
        </w:rPr>
      </w:pPr>
      <w:r>
        <w:rPr>
          <w:rFonts w:hint="eastAsia" w:ascii="宋体" w:hAnsi="宋体" w:cs="宋体"/>
          <w:bCs/>
        </w:rPr>
        <w:t>正本/副本</w:t>
      </w:r>
    </w:p>
    <w:p w14:paraId="330CDCCA">
      <w:pPr>
        <w:snapToGrid w:val="0"/>
        <w:spacing w:beforeLines="50" w:after="50" w:line="360" w:lineRule="auto"/>
        <w:jc w:val="center"/>
        <w:rPr>
          <w:rFonts w:ascii="宋体" w:hAnsi="宋体" w:cs="宋体"/>
          <w:sz w:val="24"/>
          <w:szCs w:val="20"/>
        </w:rPr>
      </w:pPr>
    </w:p>
    <w:p w14:paraId="70D43244">
      <w:pPr>
        <w:snapToGrid w:val="0"/>
        <w:spacing w:beforeLines="50" w:after="50" w:line="360" w:lineRule="auto"/>
        <w:jc w:val="center"/>
        <w:rPr>
          <w:rFonts w:ascii="宋体" w:hAnsi="宋体" w:cs="宋体"/>
          <w:b/>
          <w:sz w:val="24"/>
          <w:szCs w:val="20"/>
        </w:rPr>
      </w:pPr>
      <w:r>
        <w:rPr>
          <w:rFonts w:hint="eastAsia" w:ascii="宋体" w:hAnsi="宋体" w:cs="宋体"/>
          <w:b/>
          <w:sz w:val="32"/>
          <w:szCs w:val="32"/>
        </w:rPr>
        <w:t>资格证明文件</w:t>
      </w:r>
    </w:p>
    <w:p w14:paraId="48A3BA75">
      <w:pPr>
        <w:snapToGrid w:val="0"/>
        <w:spacing w:beforeLines="50" w:after="50" w:line="360" w:lineRule="auto"/>
        <w:jc w:val="center"/>
        <w:rPr>
          <w:rFonts w:ascii="宋体" w:hAnsi="宋体" w:cs="宋体"/>
          <w:bCs/>
          <w:sz w:val="24"/>
          <w:szCs w:val="20"/>
        </w:rPr>
      </w:pPr>
    </w:p>
    <w:p w14:paraId="75C37CAC">
      <w:pPr>
        <w:snapToGrid w:val="0"/>
        <w:spacing w:beforeLines="50" w:after="50" w:line="360" w:lineRule="auto"/>
        <w:jc w:val="center"/>
        <w:rPr>
          <w:rFonts w:ascii="宋体" w:hAnsi="宋体" w:cs="宋体"/>
          <w:bCs/>
          <w:sz w:val="24"/>
          <w:szCs w:val="20"/>
        </w:rPr>
      </w:pPr>
    </w:p>
    <w:p w14:paraId="6E8E5873">
      <w:pPr>
        <w:snapToGrid w:val="0"/>
        <w:spacing w:beforeLines="50" w:after="50" w:line="360" w:lineRule="auto"/>
        <w:jc w:val="center"/>
        <w:rPr>
          <w:rFonts w:ascii="宋体" w:hAnsi="宋体" w:cs="宋体"/>
          <w:bCs/>
          <w:sz w:val="24"/>
          <w:szCs w:val="20"/>
        </w:rPr>
      </w:pPr>
    </w:p>
    <w:p w14:paraId="7C41399C">
      <w:pPr>
        <w:snapToGrid w:val="0"/>
        <w:spacing w:beforeLines="50" w:after="50" w:line="360" w:lineRule="auto"/>
        <w:jc w:val="center"/>
        <w:rPr>
          <w:rFonts w:ascii="宋体" w:hAnsi="宋体" w:cs="宋体"/>
          <w:bCs/>
          <w:sz w:val="24"/>
          <w:szCs w:val="20"/>
        </w:rPr>
      </w:pPr>
    </w:p>
    <w:p w14:paraId="48E3A4D7">
      <w:pPr>
        <w:snapToGrid w:val="0"/>
        <w:spacing w:beforeLines="50" w:after="50" w:line="360" w:lineRule="auto"/>
        <w:jc w:val="center"/>
        <w:rPr>
          <w:rFonts w:ascii="宋体" w:hAnsi="宋体" w:cs="宋体"/>
          <w:bCs/>
          <w:sz w:val="24"/>
          <w:szCs w:val="20"/>
        </w:rPr>
      </w:pPr>
    </w:p>
    <w:p w14:paraId="7F1C815D">
      <w:pPr>
        <w:snapToGrid w:val="0"/>
        <w:spacing w:beforeLines="50" w:after="50" w:line="360" w:lineRule="auto"/>
        <w:jc w:val="center"/>
        <w:rPr>
          <w:rFonts w:ascii="宋体" w:hAnsi="宋体" w:cs="宋体"/>
          <w:bCs/>
          <w:sz w:val="24"/>
          <w:szCs w:val="20"/>
        </w:rPr>
      </w:pPr>
    </w:p>
    <w:p w14:paraId="6F89AFA9">
      <w:pPr>
        <w:snapToGrid w:val="0"/>
        <w:spacing w:beforeLines="50" w:after="50" w:line="360" w:lineRule="auto"/>
        <w:jc w:val="center"/>
        <w:rPr>
          <w:rFonts w:ascii="宋体" w:hAnsi="宋体" w:cs="宋体"/>
          <w:bCs/>
          <w:sz w:val="24"/>
          <w:szCs w:val="20"/>
        </w:rPr>
      </w:pPr>
    </w:p>
    <w:p w14:paraId="2A14D4BC">
      <w:pPr>
        <w:snapToGrid w:val="0"/>
        <w:spacing w:beforeLines="50" w:after="50" w:line="360" w:lineRule="auto"/>
        <w:jc w:val="center"/>
        <w:rPr>
          <w:rFonts w:ascii="宋体" w:hAnsi="宋体" w:cs="宋体"/>
          <w:bCs/>
          <w:sz w:val="24"/>
          <w:szCs w:val="20"/>
        </w:rPr>
      </w:pPr>
      <w:r>
        <w:rPr>
          <w:rFonts w:hint="eastAsia" w:ascii="宋体" w:hAnsi="宋体" w:cs="宋体"/>
          <w:bCs/>
          <w:sz w:val="24"/>
          <w:szCs w:val="20"/>
        </w:rPr>
        <w:t>项目名称：</w:t>
      </w:r>
    </w:p>
    <w:p w14:paraId="78ABA6DA">
      <w:pPr>
        <w:snapToGrid w:val="0"/>
        <w:spacing w:beforeLines="50" w:after="50" w:line="360" w:lineRule="auto"/>
        <w:jc w:val="center"/>
        <w:rPr>
          <w:rFonts w:ascii="宋体" w:hAnsi="宋体" w:cs="宋体"/>
          <w:bCs/>
          <w:sz w:val="24"/>
          <w:szCs w:val="20"/>
        </w:rPr>
      </w:pPr>
    </w:p>
    <w:p w14:paraId="6B42508C">
      <w:pPr>
        <w:snapToGrid w:val="0"/>
        <w:spacing w:beforeLines="50" w:after="50" w:line="360" w:lineRule="auto"/>
        <w:jc w:val="center"/>
        <w:rPr>
          <w:rFonts w:ascii="宋体" w:hAnsi="宋体" w:cs="宋体"/>
          <w:bCs/>
          <w:sz w:val="24"/>
          <w:szCs w:val="20"/>
        </w:rPr>
      </w:pPr>
      <w:r>
        <w:rPr>
          <w:rFonts w:hint="eastAsia" w:ascii="宋体" w:hAnsi="宋体" w:cs="宋体"/>
          <w:bCs/>
          <w:sz w:val="24"/>
          <w:szCs w:val="20"/>
        </w:rPr>
        <w:t>项目编号：</w:t>
      </w:r>
    </w:p>
    <w:p w14:paraId="04B2CD44">
      <w:pPr>
        <w:snapToGrid w:val="0"/>
        <w:spacing w:beforeLines="50" w:after="50" w:line="360" w:lineRule="auto"/>
        <w:jc w:val="center"/>
        <w:rPr>
          <w:rFonts w:ascii="宋体" w:hAnsi="宋体" w:cs="宋体"/>
          <w:bCs/>
          <w:sz w:val="24"/>
          <w:szCs w:val="20"/>
        </w:rPr>
      </w:pPr>
    </w:p>
    <w:p w14:paraId="66656B00">
      <w:pPr>
        <w:snapToGrid w:val="0"/>
        <w:spacing w:beforeLines="50" w:after="50" w:line="360" w:lineRule="auto"/>
        <w:jc w:val="center"/>
        <w:rPr>
          <w:rFonts w:ascii="宋体" w:hAnsi="宋体" w:cs="宋体"/>
          <w:bCs/>
          <w:sz w:val="24"/>
          <w:szCs w:val="20"/>
        </w:rPr>
      </w:pPr>
      <w:r>
        <w:rPr>
          <w:rFonts w:hint="eastAsia" w:ascii="宋体" w:hAnsi="宋体" w:cs="宋体"/>
          <w:bCs/>
          <w:sz w:val="24"/>
          <w:szCs w:val="20"/>
        </w:rPr>
        <w:t>投标人名称：</w:t>
      </w:r>
    </w:p>
    <w:p w14:paraId="2912F2F5">
      <w:pPr>
        <w:snapToGrid w:val="0"/>
        <w:spacing w:beforeLines="50" w:after="50" w:line="360" w:lineRule="auto"/>
        <w:jc w:val="center"/>
        <w:rPr>
          <w:rFonts w:ascii="宋体" w:hAnsi="宋体" w:cs="宋体"/>
          <w:bCs/>
          <w:sz w:val="24"/>
          <w:szCs w:val="20"/>
        </w:rPr>
      </w:pPr>
    </w:p>
    <w:p w14:paraId="219DD353">
      <w:pPr>
        <w:snapToGrid w:val="0"/>
        <w:spacing w:beforeLines="50" w:after="50" w:line="360" w:lineRule="auto"/>
        <w:jc w:val="center"/>
        <w:rPr>
          <w:rFonts w:ascii="宋体" w:hAnsi="宋体" w:cs="宋体"/>
          <w:bCs/>
          <w:sz w:val="24"/>
          <w:szCs w:val="20"/>
        </w:rPr>
      </w:pPr>
    </w:p>
    <w:p w14:paraId="151567F3">
      <w:pPr>
        <w:snapToGrid w:val="0"/>
        <w:spacing w:beforeLines="50" w:after="50" w:line="360" w:lineRule="auto"/>
        <w:jc w:val="center"/>
        <w:rPr>
          <w:rFonts w:ascii="宋体" w:hAnsi="宋体" w:cs="宋体"/>
          <w:sz w:val="24"/>
        </w:rPr>
        <w:sectPr>
          <w:pgSz w:w="11906" w:h="16838"/>
          <w:pgMar w:top="1134" w:right="1247" w:bottom="1560" w:left="1247" w:header="851" w:footer="992" w:gutter="0"/>
          <w:cols w:space="720" w:num="1"/>
          <w:titlePg/>
          <w:docGrid w:linePitch="312" w:charSpace="0"/>
        </w:sectPr>
      </w:pPr>
      <w:r>
        <w:rPr>
          <w:rFonts w:hint="eastAsia" w:ascii="宋体" w:hAnsi="宋体" w:cs="宋体"/>
          <w:sz w:val="24"/>
        </w:rPr>
        <w:t>年月日</w:t>
      </w:r>
    </w:p>
    <w:p w14:paraId="0D1A39A1">
      <w:pPr>
        <w:snapToGrid w:val="0"/>
        <w:spacing w:beforeLines="50" w:after="50" w:line="360" w:lineRule="auto"/>
        <w:jc w:val="left"/>
        <w:rPr>
          <w:rFonts w:ascii="宋体" w:hAnsi="宋体" w:cs="宋体"/>
          <w:sz w:val="24"/>
          <w:szCs w:val="20"/>
        </w:rPr>
      </w:pPr>
      <w:r>
        <w:rPr>
          <w:rFonts w:hint="eastAsia" w:ascii="宋体" w:hAnsi="宋体" w:cs="宋体"/>
          <w:b/>
          <w:bCs/>
          <w:sz w:val="24"/>
        </w:rPr>
        <w:t>2资格证明文件目录</w:t>
      </w:r>
    </w:p>
    <w:p w14:paraId="23D8BED6">
      <w:pPr>
        <w:snapToGrid w:val="0"/>
        <w:spacing w:line="360" w:lineRule="auto"/>
        <w:ind w:firstLine="420" w:firstLineChars="200"/>
        <w:jc w:val="left"/>
        <w:rPr>
          <w:rFonts w:ascii="宋体" w:hAnsi="宋体" w:cs="宋体"/>
          <w:szCs w:val="21"/>
        </w:rPr>
      </w:pPr>
      <w:r>
        <w:rPr>
          <w:rFonts w:hint="eastAsia" w:ascii="宋体" w:hAnsi="宋体" w:cs="宋体"/>
          <w:szCs w:val="21"/>
        </w:rPr>
        <w:t>根据招标文件规定及投标人提供的材料自行编写目录。</w:t>
      </w:r>
    </w:p>
    <w:p w14:paraId="2AFD6458">
      <w:pPr>
        <w:snapToGrid w:val="0"/>
        <w:spacing w:line="360" w:lineRule="auto"/>
        <w:ind w:firstLine="420" w:firstLineChars="200"/>
        <w:jc w:val="left"/>
        <w:rPr>
          <w:rFonts w:ascii="宋体" w:hAnsi="宋体" w:cs="宋体"/>
          <w:szCs w:val="21"/>
        </w:rPr>
      </w:pPr>
    </w:p>
    <w:p w14:paraId="66157236">
      <w:pPr>
        <w:snapToGrid w:val="0"/>
        <w:spacing w:line="360" w:lineRule="auto"/>
        <w:ind w:firstLine="420" w:firstLineChars="200"/>
        <w:jc w:val="left"/>
        <w:rPr>
          <w:rFonts w:ascii="宋体" w:hAnsi="宋体" w:cs="宋体"/>
          <w:szCs w:val="21"/>
        </w:rPr>
      </w:pPr>
    </w:p>
    <w:p w14:paraId="40DE1FA6">
      <w:pPr>
        <w:snapToGrid w:val="0"/>
        <w:spacing w:line="360" w:lineRule="auto"/>
        <w:ind w:firstLine="420" w:firstLineChars="200"/>
        <w:jc w:val="left"/>
        <w:rPr>
          <w:rFonts w:ascii="宋体" w:hAnsi="宋体" w:cs="宋体"/>
          <w:szCs w:val="21"/>
        </w:rPr>
      </w:pPr>
    </w:p>
    <w:p w14:paraId="1633A3D2">
      <w:pPr>
        <w:snapToGrid w:val="0"/>
        <w:spacing w:line="360" w:lineRule="auto"/>
        <w:ind w:firstLine="420" w:firstLineChars="200"/>
        <w:jc w:val="left"/>
        <w:rPr>
          <w:rFonts w:ascii="宋体" w:hAnsi="宋体" w:cs="宋体"/>
          <w:szCs w:val="21"/>
        </w:rPr>
      </w:pPr>
    </w:p>
    <w:p w14:paraId="07CE5C8B">
      <w:pPr>
        <w:snapToGrid w:val="0"/>
        <w:spacing w:line="360" w:lineRule="auto"/>
        <w:ind w:firstLine="420" w:firstLineChars="200"/>
        <w:jc w:val="left"/>
        <w:rPr>
          <w:rFonts w:ascii="宋体" w:hAnsi="宋体" w:cs="宋体"/>
          <w:szCs w:val="21"/>
        </w:rPr>
      </w:pPr>
    </w:p>
    <w:p w14:paraId="4BB0A747">
      <w:pPr>
        <w:pStyle w:val="92"/>
        <w:spacing w:line="360" w:lineRule="auto"/>
        <w:ind w:firstLine="915"/>
        <w:sectPr>
          <w:pgSz w:w="11906" w:h="16838"/>
          <w:pgMar w:top="1134" w:right="1247" w:bottom="1560" w:left="1247" w:header="851" w:footer="992" w:gutter="0"/>
          <w:cols w:space="720" w:num="1"/>
          <w:titlePg/>
          <w:docGrid w:linePitch="312" w:charSpace="0"/>
        </w:sectPr>
      </w:pPr>
    </w:p>
    <w:p w14:paraId="3E6EEE0E">
      <w:pPr>
        <w:pStyle w:val="125"/>
        <w:spacing w:line="360" w:lineRule="auto"/>
        <w:rPr>
          <w:rFonts w:ascii="宋体" w:hAnsi="宋体"/>
          <w:b/>
          <w:sz w:val="24"/>
        </w:rPr>
      </w:pPr>
      <w:r>
        <w:rPr>
          <w:rFonts w:hint="eastAsia" w:ascii="宋体" w:hAnsi="宋体"/>
          <w:b/>
          <w:sz w:val="24"/>
        </w:rPr>
        <w:t>3.崇左市政府采购供应商信用承诺函；</w:t>
      </w:r>
    </w:p>
    <w:p w14:paraId="3559B120">
      <w:pPr>
        <w:widowControl/>
        <w:spacing w:line="440" w:lineRule="exact"/>
        <w:rPr>
          <w:rFonts w:ascii="宋体" w:hAnsi="宋体" w:cs="宋体"/>
          <w:kern w:val="0"/>
          <w:sz w:val="22"/>
          <w:szCs w:val="22"/>
        </w:rPr>
      </w:pPr>
    </w:p>
    <w:p w14:paraId="4F47A547">
      <w:pPr>
        <w:widowControl/>
        <w:spacing w:line="440" w:lineRule="exact"/>
        <w:rPr>
          <w:rFonts w:ascii="宋体" w:hAnsi="宋体" w:cs="宋体"/>
          <w:sz w:val="22"/>
          <w:szCs w:val="22"/>
          <w:u w:val="single"/>
        </w:rPr>
      </w:pPr>
      <w:r>
        <w:rPr>
          <w:rFonts w:hint="eastAsia" w:ascii="宋体" w:hAnsi="宋体" w:cs="宋体"/>
          <w:kern w:val="0"/>
          <w:sz w:val="22"/>
          <w:szCs w:val="22"/>
        </w:rPr>
        <w:t>致</w:t>
      </w:r>
      <w:r>
        <w:rPr>
          <w:rFonts w:hint="eastAsia" w:ascii="宋体" w:hAnsi="宋体" w:cs="宋体"/>
          <w:kern w:val="0"/>
          <w:sz w:val="22"/>
          <w:szCs w:val="22"/>
          <w:u w:val="single"/>
        </w:rPr>
        <w:t>（采购代理机构名称）</w:t>
      </w:r>
      <w:r>
        <w:rPr>
          <w:rFonts w:hint="eastAsia" w:ascii="宋体" w:hAnsi="宋体" w:cs="宋体"/>
          <w:kern w:val="0"/>
          <w:sz w:val="22"/>
          <w:szCs w:val="22"/>
        </w:rPr>
        <w:t>:</w:t>
      </w:r>
    </w:p>
    <w:p w14:paraId="0718552D">
      <w:pPr>
        <w:widowControl/>
        <w:spacing w:line="440" w:lineRule="exact"/>
        <w:ind w:firstLine="440" w:firstLineChars="200"/>
        <w:rPr>
          <w:rFonts w:ascii="宋体" w:hAnsi="宋体" w:cs="宋体"/>
          <w:spacing w:val="-6"/>
          <w:sz w:val="22"/>
          <w:szCs w:val="22"/>
        </w:rPr>
      </w:pPr>
      <w:r>
        <w:rPr>
          <w:rFonts w:hint="eastAsia" w:ascii="宋体" w:hAnsi="宋体" w:cs="宋体"/>
          <w:kern w:val="0"/>
          <w:sz w:val="22"/>
          <w:szCs w:val="22"/>
        </w:rPr>
        <w:t>我方自愿参加</w:t>
      </w:r>
      <w:r>
        <w:rPr>
          <w:rFonts w:hint="eastAsia" w:ascii="宋体" w:hAnsi="宋体" w:cs="宋体"/>
          <w:kern w:val="0"/>
          <w:sz w:val="22"/>
          <w:szCs w:val="22"/>
          <w:u w:val="single"/>
        </w:rPr>
        <w:t>（项目名称、标项名称）（项目编号：）</w:t>
      </w:r>
      <w:r>
        <w:rPr>
          <w:rFonts w:hint="eastAsia" w:ascii="宋体" w:hAnsi="宋体" w:cs="宋体"/>
          <w:kern w:val="0"/>
          <w:sz w:val="22"/>
          <w:szCs w:val="22"/>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 w:val="22"/>
          <w:szCs w:val="22"/>
        </w:rPr>
        <w:t>：</w:t>
      </w:r>
    </w:p>
    <w:p w14:paraId="79006A3D">
      <w:pPr>
        <w:widowControl/>
        <w:spacing w:line="440" w:lineRule="exact"/>
        <w:ind w:firstLine="440" w:firstLineChars="200"/>
        <w:rPr>
          <w:rFonts w:ascii="宋体" w:hAnsi="宋体" w:cs="宋体"/>
          <w:kern w:val="0"/>
          <w:sz w:val="22"/>
          <w:szCs w:val="22"/>
        </w:rPr>
      </w:pPr>
      <w:r>
        <w:rPr>
          <w:rFonts w:hint="eastAsia" w:ascii="宋体" w:hAnsi="宋体" w:cs="宋体"/>
          <w:kern w:val="0"/>
          <w:sz w:val="22"/>
          <w:szCs w:val="22"/>
        </w:rPr>
        <w:t>1.我方</w:t>
      </w:r>
      <w:r>
        <w:rPr>
          <w:rFonts w:hint="eastAsia" w:ascii="宋体" w:hAnsi="宋体" w:cs="宋体"/>
          <w:spacing w:val="6"/>
          <w:sz w:val="22"/>
          <w:szCs w:val="22"/>
        </w:rPr>
        <w:t>具有独立承担民事责任的能力或我方属于银行、保险、石油石化、电力、电信等有行业特殊情况的法人的分支机构在参加本次政府采购活动前已取得总公司的授权。</w:t>
      </w:r>
    </w:p>
    <w:p w14:paraId="6326F22C">
      <w:pPr>
        <w:widowControl/>
        <w:spacing w:line="440" w:lineRule="exact"/>
        <w:ind w:firstLine="440" w:firstLineChars="200"/>
        <w:rPr>
          <w:rFonts w:ascii="宋体" w:hAnsi="宋体" w:cs="宋体"/>
          <w:sz w:val="22"/>
          <w:szCs w:val="22"/>
        </w:rPr>
      </w:pPr>
      <w:r>
        <w:rPr>
          <w:rFonts w:hint="eastAsia" w:ascii="宋体" w:hAnsi="宋体" w:cs="宋体"/>
          <w:kern w:val="0"/>
          <w:sz w:val="22"/>
          <w:szCs w:val="22"/>
        </w:rPr>
        <w:t>2.我方具有符合招标文件资格要求的财务状况报告。</w:t>
      </w:r>
    </w:p>
    <w:p w14:paraId="0598D544">
      <w:pPr>
        <w:widowControl/>
        <w:spacing w:line="440" w:lineRule="exact"/>
        <w:ind w:firstLine="416" w:firstLineChars="200"/>
        <w:rPr>
          <w:rFonts w:ascii="宋体" w:hAnsi="宋体" w:cs="宋体"/>
          <w:spacing w:val="-17"/>
          <w:sz w:val="22"/>
          <w:szCs w:val="22"/>
        </w:rPr>
      </w:pPr>
      <w:r>
        <w:rPr>
          <w:rFonts w:hint="eastAsia" w:ascii="宋体" w:hAnsi="宋体" w:cs="宋体"/>
          <w:spacing w:val="-6"/>
          <w:kern w:val="0"/>
          <w:sz w:val="22"/>
          <w:szCs w:val="22"/>
        </w:rPr>
        <w:t>3.我方具有符合招标文件资格要求的依法缴纳税收和社会保障资金的良好记录。</w:t>
      </w:r>
    </w:p>
    <w:p w14:paraId="0758C25C">
      <w:pPr>
        <w:widowControl/>
        <w:spacing w:line="440" w:lineRule="exact"/>
        <w:ind w:firstLine="440" w:firstLineChars="200"/>
        <w:rPr>
          <w:rFonts w:ascii="宋体" w:hAnsi="宋体" w:cs="宋体"/>
          <w:sz w:val="22"/>
          <w:szCs w:val="22"/>
        </w:rPr>
      </w:pPr>
      <w:r>
        <w:rPr>
          <w:rFonts w:hint="eastAsia" w:ascii="宋体" w:hAnsi="宋体" w:cs="宋体"/>
          <w:kern w:val="0"/>
          <w:sz w:val="22"/>
          <w:szCs w:val="22"/>
        </w:rPr>
        <w:t>4.我方具有符合招标文件资格要求和履行合同所必需的设备和专业技术能力。</w:t>
      </w:r>
    </w:p>
    <w:p w14:paraId="7EA8A988">
      <w:pPr>
        <w:widowControl/>
        <w:spacing w:line="440" w:lineRule="exact"/>
        <w:ind w:firstLine="440" w:firstLineChars="200"/>
        <w:rPr>
          <w:rFonts w:ascii="宋体" w:hAnsi="宋体" w:cs="宋体"/>
          <w:sz w:val="22"/>
          <w:szCs w:val="22"/>
        </w:rPr>
      </w:pPr>
      <w:r>
        <w:rPr>
          <w:rFonts w:hint="eastAsia" w:ascii="宋体" w:hAnsi="宋体" w:cs="宋体"/>
          <w:kern w:val="0"/>
          <w:sz w:val="22"/>
          <w:szCs w:val="22"/>
        </w:rPr>
        <w:t>5.我方参加政府采购活动前3年内在经营活动中没有重大违法记录。</w:t>
      </w:r>
    </w:p>
    <w:p w14:paraId="298AC1B9">
      <w:pPr>
        <w:widowControl/>
        <w:spacing w:line="440" w:lineRule="exact"/>
        <w:ind w:firstLine="440" w:firstLineChars="200"/>
        <w:rPr>
          <w:rFonts w:ascii="宋体" w:hAnsi="宋体" w:cs="宋体"/>
          <w:kern w:val="0"/>
          <w:sz w:val="22"/>
          <w:szCs w:val="22"/>
        </w:rPr>
      </w:pPr>
      <w:r>
        <w:rPr>
          <w:rFonts w:hint="eastAsia" w:ascii="宋体" w:hAnsi="宋体" w:cs="宋体"/>
          <w:kern w:val="0"/>
          <w:sz w:val="22"/>
          <w:szCs w:val="22"/>
        </w:rPr>
        <w:t>我方对以上承诺内容的真实性负责。如有虚假，将依法承担相应责任。</w:t>
      </w:r>
    </w:p>
    <w:p w14:paraId="60C525C2">
      <w:pPr>
        <w:widowControl/>
        <w:spacing w:line="440" w:lineRule="exact"/>
        <w:ind w:firstLine="440" w:firstLineChars="200"/>
        <w:rPr>
          <w:rFonts w:ascii="宋体" w:hAnsi="宋体" w:cs="宋体"/>
          <w:kern w:val="0"/>
          <w:sz w:val="22"/>
          <w:szCs w:val="22"/>
        </w:rPr>
      </w:pPr>
    </w:p>
    <w:p w14:paraId="7019615A">
      <w:pPr>
        <w:widowControl/>
        <w:spacing w:line="440" w:lineRule="exact"/>
        <w:ind w:firstLine="440" w:firstLineChars="200"/>
        <w:rPr>
          <w:rFonts w:ascii="宋体" w:hAnsi="宋体" w:cs="宋体"/>
          <w:kern w:val="0"/>
          <w:sz w:val="22"/>
          <w:szCs w:val="22"/>
        </w:rPr>
      </w:pPr>
    </w:p>
    <w:p w14:paraId="1E041C13">
      <w:pPr>
        <w:widowControl/>
        <w:spacing w:line="440" w:lineRule="exact"/>
        <w:ind w:firstLine="3300" w:firstLineChars="1500"/>
        <w:jc w:val="left"/>
        <w:rPr>
          <w:rFonts w:ascii="宋体" w:hAnsi="宋体" w:cs="宋体"/>
          <w:sz w:val="22"/>
          <w:szCs w:val="22"/>
        </w:rPr>
      </w:pPr>
      <w:r>
        <w:rPr>
          <w:rFonts w:hint="eastAsia" w:ascii="宋体" w:hAnsi="宋体" w:cs="宋体"/>
          <w:kern w:val="0"/>
          <w:sz w:val="22"/>
          <w:szCs w:val="22"/>
        </w:rPr>
        <w:t>供应商名称（盖章）：</w:t>
      </w:r>
    </w:p>
    <w:p w14:paraId="2421E4DD">
      <w:pPr>
        <w:tabs>
          <w:tab w:val="left" w:pos="7560"/>
        </w:tabs>
        <w:spacing w:line="440" w:lineRule="exact"/>
        <w:ind w:firstLine="3300" w:firstLineChars="1500"/>
        <w:jc w:val="left"/>
        <w:rPr>
          <w:rFonts w:ascii="宋体" w:hAnsi="宋体" w:cs="宋体"/>
          <w:kern w:val="0"/>
          <w:sz w:val="22"/>
          <w:szCs w:val="22"/>
        </w:rPr>
      </w:pPr>
      <w:r>
        <w:rPr>
          <w:rFonts w:hint="eastAsia" w:ascii="宋体" w:hAnsi="宋体" w:cs="宋体"/>
          <w:kern w:val="0"/>
          <w:sz w:val="22"/>
          <w:szCs w:val="22"/>
        </w:rPr>
        <w:t>日期：</w:t>
      </w:r>
    </w:p>
    <w:p w14:paraId="5E0AC24F">
      <w:pPr>
        <w:pStyle w:val="41"/>
        <w:wordWrap w:val="0"/>
        <w:spacing w:before="0" w:beforeAutospacing="0" w:after="0" w:afterAutospacing="0" w:line="560" w:lineRule="exact"/>
        <w:jc w:val="both"/>
        <w:rPr>
          <w:rFonts w:cs="宋体"/>
          <w:sz w:val="22"/>
          <w:szCs w:val="22"/>
        </w:rPr>
      </w:pPr>
    </w:p>
    <w:p w14:paraId="571CC4C4">
      <w:pPr>
        <w:pStyle w:val="41"/>
        <w:wordWrap w:val="0"/>
        <w:spacing w:before="0" w:beforeAutospacing="0" w:after="0" w:afterAutospacing="0" w:line="400" w:lineRule="exact"/>
        <w:ind w:firstLine="440" w:firstLineChars="200"/>
        <w:jc w:val="both"/>
        <w:rPr>
          <w:rFonts w:cs="宋体"/>
          <w:sz w:val="22"/>
          <w:szCs w:val="22"/>
        </w:rPr>
      </w:pPr>
      <w:r>
        <w:rPr>
          <w:rFonts w:hint="eastAsia" w:cs="宋体"/>
          <w:sz w:val="22"/>
          <w:szCs w:val="22"/>
        </w:rPr>
        <w:t>注：1.参与政府采购活动的供应商可按第1点的内容：“我方</w:t>
      </w:r>
      <w:r>
        <w:rPr>
          <w:rFonts w:hint="eastAsia" w:cs="宋体"/>
          <w:spacing w:val="6"/>
          <w:sz w:val="22"/>
          <w:szCs w:val="22"/>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cs="宋体"/>
          <w:sz w:val="22"/>
          <w:szCs w:val="22"/>
        </w:rPr>
        <w:t>我方</w:t>
      </w:r>
      <w:r>
        <w:rPr>
          <w:rFonts w:hint="eastAsia" w:cs="宋体"/>
          <w:spacing w:val="6"/>
          <w:sz w:val="22"/>
          <w:szCs w:val="22"/>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w:t>
      </w:r>
      <w:r>
        <w:rPr>
          <w:rFonts w:hint="eastAsia" w:cs="宋体"/>
          <w:spacing w:val="6"/>
          <w:sz w:val="22"/>
          <w:szCs w:val="22"/>
          <w:lang w:eastAsia="zh-CN"/>
        </w:rPr>
        <w:t>包含</w:t>
      </w:r>
      <w:r>
        <w:rPr>
          <w:rFonts w:hint="eastAsia" w:cs="宋体"/>
          <w:spacing w:val="6"/>
          <w:sz w:val="22"/>
          <w:szCs w:val="22"/>
        </w:rPr>
        <w:t>：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0E670F5D">
      <w:pPr>
        <w:snapToGrid w:val="0"/>
        <w:spacing w:beforeLines="50" w:after="50" w:line="360" w:lineRule="auto"/>
        <w:jc w:val="left"/>
        <w:rPr>
          <w:rFonts w:ascii="宋体" w:hAnsi="宋体" w:cs="宋体"/>
          <w:b/>
          <w:sz w:val="24"/>
        </w:rPr>
      </w:pPr>
    </w:p>
    <w:p w14:paraId="28329C7F">
      <w:pPr>
        <w:snapToGrid w:val="0"/>
        <w:spacing w:beforeLines="50" w:after="50" w:line="360" w:lineRule="auto"/>
        <w:jc w:val="left"/>
        <w:rPr>
          <w:rFonts w:ascii="宋体" w:hAnsi="宋体" w:cs="宋体"/>
          <w:b/>
          <w:sz w:val="24"/>
        </w:rPr>
      </w:pPr>
    </w:p>
    <w:p w14:paraId="3EA4DB0F">
      <w:pPr>
        <w:snapToGrid w:val="0"/>
        <w:spacing w:beforeLines="50" w:after="50" w:line="360" w:lineRule="auto"/>
        <w:jc w:val="left"/>
        <w:rPr>
          <w:rFonts w:ascii="宋体" w:hAnsi="宋体" w:cs="宋体"/>
          <w:b/>
          <w:sz w:val="24"/>
        </w:rPr>
      </w:pPr>
    </w:p>
    <w:p w14:paraId="0260133C">
      <w:pPr>
        <w:snapToGrid w:val="0"/>
        <w:spacing w:beforeLines="50" w:after="50" w:line="360" w:lineRule="auto"/>
        <w:jc w:val="left"/>
        <w:rPr>
          <w:rFonts w:ascii="宋体" w:hAnsi="宋体" w:cs="宋体"/>
          <w:b/>
          <w:sz w:val="24"/>
        </w:rPr>
      </w:pPr>
    </w:p>
    <w:p w14:paraId="1F72748D">
      <w:pPr>
        <w:snapToGrid w:val="0"/>
        <w:spacing w:beforeLines="50" w:after="50" w:line="360" w:lineRule="auto"/>
        <w:jc w:val="left"/>
        <w:rPr>
          <w:rFonts w:ascii="宋体" w:hAnsi="宋体" w:cs="宋体"/>
          <w:b/>
          <w:sz w:val="24"/>
        </w:rPr>
      </w:pPr>
      <w:r>
        <w:rPr>
          <w:rFonts w:hint="eastAsia" w:ascii="宋体" w:hAnsi="宋体" w:cs="宋体"/>
          <w:b/>
          <w:sz w:val="24"/>
        </w:rPr>
        <w:t>4投标人直接控股、管理关系信息表</w:t>
      </w:r>
    </w:p>
    <w:p w14:paraId="1F53D3B9">
      <w:pPr>
        <w:snapToGrid w:val="0"/>
        <w:spacing w:before="50" w:afterLines="50" w:line="360" w:lineRule="auto"/>
        <w:jc w:val="center"/>
        <w:rPr>
          <w:rFonts w:ascii="宋体" w:hAnsi="宋体" w:cs="宋体"/>
          <w:b/>
          <w:sz w:val="22"/>
          <w:szCs w:val="22"/>
        </w:rPr>
      </w:pPr>
      <w:r>
        <w:rPr>
          <w:rFonts w:hint="eastAsia" w:ascii="宋体" w:hAnsi="宋体" w:cs="宋体"/>
          <w:b/>
          <w:sz w:val="28"/>
          <w:szCs w:val="28"/>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D1B525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F730FA5">
            <w:pPr>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A1A6A8F">
            <w:pPr>
              <w:spacing w:line="360" w:lineRule="auto"/>
              <w:jc w:val="center"/>
              <w:rPr>
                <w:rFonts w:ascii="宋体" w:hAnsi="宋体" w:cs="宋体"/>
                <w:b/>
                <w:bCs/>
                <w:kern w:val="0"/>
                <w:szCs w:val="21"/>
              </w:rPr>
            </w:pPr>
            <w:r>
              <w:rPr>
                <w:rFonts w:hint="eastAsia" w:ascii="宋体" w:hAnsi="宋体" w:cs="宋体"/>
                <w:b/>
                <w:bCs/>
                <w:kern w:val="0"/>
                <w:szCs w:val="21"/>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FA0B35C">
            <w:pPr>
              <w:spacing w:line="360" w:lineRule="auto"/>
              <w:jc w:val="center"/>
              <w:rPr>
                <w:rFonts w:ascii="宋体" w:hAnsi="宋体" w:cs="宋体"/>
                <w:b/>
                <w:bCs/>
                <w:kern w:val="0"/>
                <w:szCs w:val="21"/>
              </w:rPr>
            </w:pPr>
            <w:r>
              <w:rPr>
                <w:rFonts w:hint="eastAsia" w:ascii="宋体" w:hAnsi="宋体" w:cs="宋体"/>
                <w:b/>
                <w:bCs/>
                <w:kern w:val="0"/>
                <w:szCs w:val="21"/>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1F3A517">
            <w:pPr>
              <w:spacing w:line="360" w:lineRule="auto"/>
              <w:jc w:val="center"/>
              <w:rPr>
                <w:rFonts w:ascii="宋体" w:hAnsi="宋体" w:cs="宋体"/>
                <w:b/>
                <w:bCs/>
                <w:kern w:val="0"/>
                <w:szCs w:val="21"/>
              </w:rPr>
            </w:pPr>
            <w:r>
              <w:rPr>
                <w:rFonts w:hint="eastAsia" w:ascii="宋体" w:hAnsi="宋体" w:cs="宋体"/>
                <w:b/>
                <w:bCs/>
                <w:kern w:val="0"/>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BC9463C">
            <w:pPr>
              <w:spacing w:line="360" w:lineRule="auto"/>
              <w:jc w:val="center"/>
              <w:rPr>
                <w:rFonts w:ascii="宋体" w:hAnsi="宋体" w:cs="宋体"/>
                <w:b/>
                <w:bCs/>
                <w:kern w:val="0"/>
                <w:szCs w:val="21"/>
              </w:rPr>
            </w:pPr>
            <w:r>
              <w:rPr>
                <w:rFonts w:hint="eastAsia" w:ascii="宋体" w:hAnsi="宋体" w:cs="宋体"/>
                <w:b/>
                <w:bCs/>
                <w:kern w:val="0"/>
                <w:szCs w:val="21"/>
              </w:rPr>
              <w:t>备注</w:t>
            </w:r>
          </w:p>
        </w:tc>
      </w:tr>
      <w:tr w14:paraId="4CB1C1D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2CEC600">
            <w:pPr>
              <w:spacing w:line="360" w:lineRule="auto"/>
              <w:jc w:val="center"/>
              <w:rPr>
                <w:rFonts w:ascii="宋体" w:hAnsi="宋体" w:cs="宋体"/>
                <w:kern w:val="0"/>
                <w:szCs w:val="21"/>
              </w:rPr>
            </w:pPr>
            <w:r>
              <w:rPr>
                <w:rFonts w:hint="eastAsia" w:ascii="宋体" w:hAnsi="宋体" w:cs="宋体"/>
                <w:kern w:val="0"/>
                <w:szCs w:val="21"/>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4A2AB6">
            <w:pPr>
              <w:spacing w:line="360" w:lineRule="auto"/>
              <w:jc w:val="center"/>
              <w:rPr>
                <w:rFonts w:ascii="宋体" w:hAnsi="宋体" w:cs="宋体"/>
                <w:kern w:val="0"/>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3A3F17">
            <w:pPr>
              <w:spacing w:line="360" w:lineRule="auto"/>
              <w:jc w:val="center"/>
              <w:rPr>
                <w:rFonts w:ascii="宋体" w:hAnsi="宋体" w:cs="宋体"/>
                <w:kern w:val="0"/>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1F0F47A">
            <w:pPr>
              <w:spacing w:line="360" w:lineRule="auto"/>
              <w:jc w:val="center"/>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7639279">
            <w:pPr>
              <w:spacing w:line="360" w:lineRule="auto"/>
              <w:jc w:val="center"/>
              <w:rPr>
                <w:rFonts w:ascii="宋体" w:hAnsi="宋体" w:cs="宋体"/>
                <w:kern w:val="0"/>
                <w:szCs w:val="21"/>
              </w:rPr>
            </w:pPr>
          </w:p>
        </w:tc>
      </w:tr>
      <w:tr w14:paraId="19C08DD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331E0A7">
            <w:pPr>
              <w:spacing w:line="360" w:lineRule="auto"/>
              <w:jc w:val="center"/>
              <w:rPr>
                <w:rFonts w:ascii="宋体" w:hAnsi="宋体" w:cs="宋体"/>
                <w:kern w:val="0"/>
                <w:szCs w:val="21"/>
              </w:rPr>
            </w:pPr>
            <w:r>
              <w:rPr>
                <w:rFonts w:hint="eastAsia" w:ascii="宋体" w:hAnsi="宋体" w:cs="宋体"/>
                <w:kern w:val="0"/>
                <w:szCs w:val="21"/>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F61E070">
            <w:pPr>
              <w:spacing w:line="360" w:lineRule="auto"/>
              <w:jc w:val="center"/>
              <w:rPr>
                <w:rFonts w:ascii="宋体" w:hAnsi="宋体" w:cs="宋体"/>
                <w:kern w:val="0"/>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7644030">
            <w:pPr>
              <w:spacing w:line="360" w:lineRule="auto"/>
              <w:jc w:val="center"/>
              <w:rPr>
                <w:rFonts w:ascii="宋体" w:hAnsi="宋体" w:cs="宋体"/>
                <w:kern w:val="0"/>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35CB1FE">
            <w:pPr>
              <w:spacing w:line="360" w:lineRule="auto"/>
              <w:jc w:val="center"/>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8FB0FBC">
            <w:pPr>
              <w:spacing w:line="360" w:lineRule="auto"/>
              <w:jc w:val="center"/>
              <w:rPr>
                <w:rFonts w:ascii="宋体" w:hAnsi="宋体" w:cs="宋体"/>
                <w:kern w:val="0"/>
                <w:szCs w:val="21"/>
              </w:rPr>
            </w:pPr>
          </w:p>
        </w:tc>
      </w:tr>
      <w:tr w14:paraId="49AD208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679519">
            <w:pPr>
              <w:spacing w:line="360" w:lineRule="auto"/>
              <w:jc w:val="center"/>
              <w:rPr>
                <w:rFonts w:ascii="宋体" w:hAnsi="宋体" w:cs="宋体"/>
                <w:kern w:val="0"/>
                <w:szCs w:val="21"/>
              </w:rPr>
            </w:pPr>
            <w:r>
              <w:rPr>
                <w:rFonts w:hint="eastAsia" w:ascii="宋体" w:hAnsi="宋体" w:cs="宋体"/>
                <w:kern w:val="0"/>
                <w:szCs w:val="21"/>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49EDFB0">
            <w:pPr>
              <w:spacing w:line="360" w:lineRule="auto"/>
              <w:jc w:val="center"/>
              <w:rPr>
                <w:rFonts w:ascii="宋体" w:hAnsi="宋体" w:cs="宋体"/>
                <w:kern w:val="0"/>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B142466">
            <w:pPr>
              <w:spacing w:line="360" w:lineRule="auto"/>
              <w:jc w:val="center"/>
              <w:rPr>
                <w:rFonts w:ascii="宋体" w:hAnsi="宋体" w:cs="宋体"/>
                <w:kern w:val="0"/>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D9D260F">
            <w:pPr>
              <w:spacing w:line="360" w:lineRule="auto"/>
              <w:jc w:val="center"/>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2E600BA">
            <w:pPr>
              <w:spacing w:line="360" w:lineRule="auto"/>
              <w:jc w:val="center"/>
              <w:rPr>
                <w:rFonts w:ascii="宋体" w:hAnsi="宋体" w:cs="宋体"/>
                <w:kern w:val="0"/>
                <w:szCs w:val="21"/>
              </w:rPr>
            </w:pPr>
          </w:p>
        </w:tc>
      </w:tr>
      <w:tr w14:paraId="721E3AF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C9FC9C7">
            <w:pPr>
              <w:spacing w:line="360" w:lineRule="auto"/>
              <w:jc w:val="center"/>
              <w:rPr>
                <w:rFonts w:ascii="宋体" w:hAnsi="宋体" w:cs="宋体"/>
                <w:kern w:val="0"/>
                <w:szCs w:val="21"/>
              </w:rPr>
            </w:pPr>
            <w:r>
              <w:rPr>
                <w:rFonts w:hint="eastAsia" w:ascii="宋体" w:hAnsi="宋体" w:cs="宋体"/>
                <w:kern w:val="0"/>
                <w:szCs w:val="21"/>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57D5DF">
            <w:pPr>
              <w:spacing w:line="360" w:lineRule="auto"/>
              <w:jc w:val="center"/>
              <w:rPr>
                <w:rFonts w:ascii="宋体" w:hAnsi="宋体" w:cs="宋体"/>
                <w:kern w:val="0"/>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0CC1D9B">
            <w:pPr>
              <w:spacing w:line="360" w:lineRule="auto"/>
              <w:jc w:val="center"/>
              <w:rPr>
                <w:rFonts w:ascii="宋体" w:hAnsi="宋体" w:cs="宋体"/>
                <w:kern w:val="0"/>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0B08E64">
            <w:pPr>
              <w:spacing w:line="360" w:lineRule="auto"/>
              <w:jc w:val="center"/>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9553FE">
            <w:pPr>
              <w:spacing w:line="360" w:lineRule="auto"/>
              <w:jc w:val="center"/>
              <w:rPr>
                <w:rFonts w:ascii="宋体" w:hAnsi="宋体" w:cs="宋体"/>
                <w:kern w:val="0"/>
                <w:szCs w:val="21"/>
              </w:rPr>
            </w:pPr>
          </w:p>
        </w:tc>
      </w:tr>
    </w:tbl>
    <w:p w14:paraId="5824E9CE">
      <w:pPr>
        <w:snapToGrid w:val="0"/>
        <w:spacing w:line="360" w:lineRule="auto"/>
        <w:jc w:val="left"/>
        <w:rPr>
          <w:rFonts w:ascii="宋体" w:hAnsi="宋体" w:cs="宋体"/>
          <w:szCs w:val="21"/>
        </w:rPr>
      </w:pPr>
      <w:r>
        <w:rPr>
          <w:rFonts w:hint="eastAsia" w:ascii="宋体" w:hAnsi="宋体" w:cs="宋体"/>
          <w:szCs w:val="21"/>
        </w:rPr>
        <w:t>注：</w:t>
      </w:r>
    </w:p>
    <w:p w14:paraId="35BEF8C6">
      <w:pPr>
        <w:snapToGrid w:val="0"/>
        <w:spacing w:line="360" w:lineRule="auto"/>
        <w:jc w:val="left"/>
        <w:rPr>
          <w:rFonts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会的决议产生重大影响的股东。</w:t>
      </w:r>
    </w:p>
    <w:p w14:paraId="2B5B8D5C">
      <w:pPr>
        <w:snapToGrid w:val="0"/>
        <w:spacing w:line="360" w:lineRule="auto"/>
        <w:jc w:val="left"/>
        <w:rPr>
          <w:rFonts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306FA24C">
      <w:pPr>
        <w:snapToGrid w:val="0"/>
        <w:spacing w:line="360" w:lineRule="auto"/>
        <w:jc w:val="left"/>
        <w:rPr>
          <w:rFonts w:ascii="宋体" w:hAnsi="宋体" w:cs="宋体"/>
          <w:szCs w:val="21"/>
        </w:rPr>
      </w:pPr>
      <w:r>
        <w:rPr>
          <w:rFonts w:hint="eastAsia" w:ascii="宋体" w:hAnsi="宋体" w:cs="宋体"/>
          <w:szCs w:val="21"/>
        </w:rPr>
        <w:t>3.供应商不存在直接控股股东的，则填“无”。</w:t>
      </w:r>
    </w:p>
    <w:p w14:paraId="73C9D4F5">
      <w:pPr>
        <w:snapToGrid w:val="0"/>
        <w:spacing w:line="360" w:lineRule="auto"/>
        <w:jc w:val="left"/>
        <w:rPr>
          <w:rFonts w:ascii="宋体" w:hAnsi="宋体" w:cs="宋体"/>
          <w:sz w:val="24"/>
        </w:rPr>
      </w:pPr>
    </w:p>
    <w:p w14:paraId="77A2F162">
      <w:pPr>
        <w:snapToGrid w:val="0"/>
        <w:spacing w:line="360" w:lineRule="auto"/>
        <w:jc w:val="left"/>
        <w:rPr>
          <w:rFonts w:ascii="宋体" w:hAnsi="宋体" w:cs="宋体"/>
          <w:sz w:val="24"/>
        </w:rPr>
      </w:pPr>
    </w:p>
    <w:p w14:paraId="202A5973">
      <w:pPr>
        <w:snapToGrid w:val="0"/>
        <w:spacing w:line="360" w:lineRule="auto"/>
        <w:jc w:val="left"/>
        <w:rPr>
          <w:rFonts w:ascii="宋体" w:hAnsi="宋体" w:cs="宋体"/>
          <w:sz w:val="24"/>
        </w:rPr>
      </w:pPr>
    </w:p>
    <w:p w14:paraId="7287198A">
      <w:pPr>
        <w:snapToGrid w:val="0"/>
        <w:spacing w:line="360" w:lineRule="auto"/>
        <w:jc w:val="left"/>
        <w:rPr>
          <w:rFonts w:ascii="宋体" w:hAnsi="宋体" w:cs="宋体"/>
          <w:sz w:val="24"/>
        </w:rPr>
      </w:pPr>
    </w:p>
    <w:p w14:paraId="275837D7">
      <w:pPr>
        <w:snapToGrid w:val="0"/>
        <w:spacing w:line="360" w:lineRule="auto"/>
        <w:jc w:val="left"/>
        <w:rPr>
          <w:rFonts w:ascii="宋体" w:hAnsi="宋体" w:cs="宋体"/>
          <w:sz w:val="24"/>
        </w:rPr>
      </w:pPr>
    </w:p>
    <w:p w14:paraId="2DFFE470">
      <w:pPr>
        <w:snapToGrid w:val="0"/>
        <w:spacing w:beforeLines="50" w:line="360" w:lineRule="auto"/>
        <w:ind w:right="482" w:firstLine="3360" w:firstLineChars="1600"/>
        <w:rPr>
          <w:rFonts w:ascii="宋体" w:hAnsi="宋体" w:cs="宋体"/>
          <w:szCs w:val="21"/>
          <w:u w:val="single"/>
        </w:rPr>
      </w:pPr>
      <w:r>
        <w:rPr>
          <w:rFonts w:hint="eastAsia" w:ascii="宋体" w:hAnsi="宋体" w:cs="宋体"/>
          <w:szCs w:val="21"/>
        </w:rPr>
        <w:t>法定代表人或者委托代理人签字或盖章：</w:t>
      </w:r>
    </w:p>
    <w:p w14:paraId="443D7F66">
      <w:pPr>
        <w:snapToGrid w:val="0"/>
        <w:spacing w:beforeLines="50" w:line="360" w:lineRule="auto"/>
        <w:ind w:right="482" w:firstLine="3360" w:firstLineChars="1600"/>
        <w:rPr>
          <w:rFonts w:ascii="宋体" w:hAnsi="宋体" w:cs="宋体"/>
          <w:szCs w:val="21"/>
          <w:u w:val="single"/>
        </w:rPr>
      </w:pPr>
      <w:r>
        <w:rPr>
          <w:rFonts w:hint="eastAsia" w:ascii="宋体" w:hAnsi="宋体" w:cs="宋体"/>
          <w:szCs w:val="21"/>
        </w:rPr>
        <w:t>投标人（盖公章）：</w:t>
      </w:r>
    </w:p>
    <w:p w14:paraId="398DDD02">
      <w:pPr>
        <w:snapToGrid w:val="0"/>
        <w:spacing w:beforeLines="50" w:line="360" w:lineRule="auto"/>
        <w:ind w:right="482" w:firstLine="3360" w:firstLineChars="1600"/>
        <w:rPr>
          <w:rFonts w:ascii="宋体" w:hAnsi="宋体" w:cs="宋体"/>
          <w:szCs w:val="21"/>
        </w:rPr>
        <w:sectPr>
          <w:pgSz w:w="11906" w:h="16838"/>
          <w:pgMar w:top="1134" w:right="1247" w:bottom="1560" w:left="1247" w:header="851" w:footer="992" w:gutter="0"/>
          <w:cols w:space="720" w:num="1"/>
          <w:titlePg/>
          <w:docGrid w:linePitch="312" w:charSpace="0"/>
        </w:sectPr>
      </w:pPr>
      <w:r>
        <w:rPr>
          <w:rFonts w:hint="eastAsia" w:ascii="宋体" w:hAnsi="宋体" w:cs="宋体"/>
          <w:szCs w:val="21"/>
        </w:rPr>
        <w:t>年月日</w:t>
      </w:r>
    </w:p>
    <w:p w14:paraId="44C223C8">
      <w:pPr>
        <w:snapToGrid w:val="0"/>
        <w:spacing w:line="360" w:lineRule="auto"/>
        <w:jc w:val="center"/>
        <w:rPr>
          <w:rFonts w:ascii="宋体" w:hAnsi="宋体" w:cs="宋体"/>
          <w:sz w:val="24"/>
        </w:rPr>
      </w:pPr>
      <w:r>
        <w:rPr>
          <w:rFonts w:hint="eastAsia" w:ascii="宋体" w:hAnsi="宋体" w:cs="宋体"/>
          <w:b/>
          <w:sz w:val="24"/>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CD00F95">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0E3BDEC">
            <w:pPr>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EC43DD5">
            <w:pPr>
              <w:spacing w:line="360" w:lineRule="auto"/>
              <w:jc w:val="center"/>
              <w:rPr>
                <w:rFonts w:ascii="宋体" w:hAnsi="宋体" w:cs="宋体"/>
                <w:b/>
                <w:bCs/>
                <w:kern w:val="0"/>
                <w:szCs w:val="21"/>
              </w:rPr>
            </w:pPr>
            <w:r>
              <w:rPr>
                <w:rFonts w:hint="eastAsia" w:ascii="宋体" w:hAnsi="宋体" w:cs="宋体"/>
                <w:b/>
                <w:bCs/>
                <w:kern w:val="0"/>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D679564">
            <w:pPr>
              <w:spacing w:line="360" w:lineRule="auto"/>
              <w:jc w:val="center"/>
              <w:rPr>
                <w:rFonts w:ascii="宋体" w:hAnsi="宋体" w:cs="宋体"/>
                <w:b/>
                <w:bCs/>
                <w:kern w:val="0"/>
                <w:szCs w:val="21"/>
              </w:rPr>
            </w:pPr>
            <w:r>
              <w:rPr>
                <w:rFonts w:hint="eastAsia" w:ascii="宋体" w:hAnsi="宋体" w:cs="宋体"/>
                <w:b/>
                <w:bCs/>
                <w:kern w:val="0"/>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91AC9F5">
            <w:pPr>
              <w:spacing w:line="360" w:lineRule="auto"/>
              <w:jc w:val="center"/>
              <w:rPr>
                <w:rFonts w:ascii="宋体" w:hAnsi="宋体" w:cs="宋体"/>
                <w:b/>
                <w:bCs/>
                <w:kern w:val="0"/>
                <w:szCs w:val="21"/>
              </w:rPr>
            </w:pPr>
            <w:r>
              <w:rPr>
                <w:rFonts w:hint="eastAsia" w:ascii="宋体" w:hAnsi="宋体" w:cs="宋体"/>
                <w:b/>
                <w:bCs/>
                <w:kern w:val="0"/>
                <w:szCs w:val="21"/>
              </w:rPr>
              <w:t>备注</w:t>
            </w:r>
          </w:p>
        </w:tc>
      </w:tr>
      <w:tr w14:paraId="5010032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EA0C69">
            <w:pPr>
              <w:spacing w:line="360" w:lineRule="auto"/>
              <w:jc w:val="center"/>
              <w:rPr>
                <w:rFonts w:ascii="宋体" w:hAnsi="宋体" w:cs="宋体"/>
                <w:kern w:val="0"/>
                <w:szCs w:val="21"/>
              </w:rPr>
            </w:pPr>
            <w:r>
              <w:rPr>
                <w:rFonts w:hint="eastAsia" w:ascii="宋体" w:hAnsi="宋体" w:cs="宋体"/>
                <w:kern w:val="0"/>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8A19AEE">
            <w:pPr>
              <w:spacing w:line="360" w:lineRule="auto"/>
              <w:jc w:val="center"/>
              <w:rPr>
                <w:rFonts w:ascii="宋体" w:hAnsi="宋体" w:cs="宋体"/>
                <w:kern w:val="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8358B4">
            <w:pPr>
              <w:spacing w:line="360" w:lineRule="auto"/>
              <w:jc w:val="center"/>
              <w:rPr>
                <w:rFonts w:ascii="宋体" w:hAnsi="宋体" w:cs="宋体"/>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B290FBF">
            <w:pPr>
              <w:spacing w:line="360" w:lineRule="auto"/>
              <w:jc w:val="center"/>
              <w:rPr>
                <w:rFonts w:ascii="宋体" w:hAnsi="宋体" w:cs="宋体"/>
                <w:kern w:val="0"/>
                <w:szCs w:val="21"/>
              </w:rPr>
            </w:pPr>
          </w:p>
        </w:tc>
      </w:tr>
      <w:tr w14:paraId="7475DFF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242FFF8">
            <w:pPr>
              <w:spacing w:line="360" w:lineRule="auto"/>
              <w:jc w:val="center"/>
              <w:rPr>
                <w:rFonts w:ascii="宋体" w:hAnsi="宋体" w:cs="宋体"/>
                <w:kern w:val="0"/>
                <w:szCs w:val="21"/>
              </w:rPr>
            </w:pPr>
            <w:r>
              <w:rPr>
                <w:rFonts w:hint="eastAsia" w:ascii="宋体" w:hAnsi="宋体" w:cs="宋体"/>
                <w:kern w:val="0"/>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002DA5">
            <w:pPr>
              <w:spacing w:line="360" w:lineRule="auto"/>
              <w:jc w:val="center"/>
              <w:rPr>
                <w:rFonts w:ascii="宋体" w:hAnsi="宋体" w:cs="宋体"/>
                <w:kern w:val="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EA431B">
            <w:pPr>
              <w:spacing w:line="360" w:lineRule="auto"/>
              <w:jc w:val="center"/>
              <w:rPr>
                <w:rFonts w:ascii="宋体" w:hAnsi="宋体" w:cs="宋体"/>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6061223">
            <w:pPr>
              <w:spacing w:line="360" w:lineRule="auto"/>
              <w:jc w:val="center"/>
              <w:rPr>
                <w:rFonts w:ascii="宋体" w:hAnsi="宋体" w:cs="宋体"/>
                <w:kern w:val="0"/>
                <w:szCs w:val="21"/>
              </w:rPr>
            </w:pPr>
          </w:p>
        </w:tc>
      </w:tr>
      <w:tr w14:paraId="64906DA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F37446">
            <w:pPr>
              <w:spacing w:line="360" w:lineRule="auto"/>
              <w:jc w:val="center"/>
              <w:rPr>
                <w:rFonts w:ascii="宋体" w:hAnsi="宋体" w:cs="宋体"/>
                <w:kern w:val="0"/>
                <w:szCs w:val="21"/>
              </w:rPr>
            </w:pPr>
            <w:r>
              <w:rPr>
                <w:rFonts w:hint="eastAsia" w:ascii="宋体" w:hAnsi="宋体" w:cs="宋体"/>
                <w:kern w:val="0"/>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32E11C">
            <w:pPr>
              <w:spacing w:line="360" w:lineRule="auto"/>
              <w:jc w:val="center"/>
              <w:rPr>
                <w:rFonts w:ascii="宋体" w:hAnsi="宋体" w:cs="宋体"/>
                <w:kern w:val="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D520470">
            <w:pPr>
              <w:spacing w:line="360" w:lineRule="auto"/>
              <w:jc w:val="center"/>
              <w:rPr>
                <w:rFonts w:ascii="宋体" w:hAnsi="宋体" w:cs="宋体"/>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F7FA4E">
            <w:pPr>
              <w:spacing w:line="360" w:lineRule="auto"/>
              <w:jc w:val="center"/>
              <w:rPr>
                <w:rFonts w:ascii="宋体" w:hAnsi="宋体" w:cs="宋体"/>
                <w:kern w:val="0"/>
                <w:szCs w:val="21"/>
              </w:rPr>
            </w:pPr>
          </w:p>
        </w:tc>
      </w:tr>
      <w:tr w14:paraId="3E77F1C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B9799CC">
            <w:pPr>
              <w:spacing w:line="360" w:lineRule="auto"/>
              <w:jc w:val="center"/>
              <w:rPr>
                <w:rFonts w:ascii="宋体" w:hAnsi="宋体" w:cs="宋体"/>
                <w:kern w:val="0"/>
                <w:szCs w:val="21"/>
              </w:rPr>
            </w:pPr>
            <w:r>
              <w:rPr>
                <w:rFonts w:hint="eastAsia" w:ascii="宋体" w:hAnsi="宋体" w:cs="宋体"/>
                <w:kern w:val="0"/>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85AF99">
            <w:pPr>
              <w:spacing w:line="360" w:lineRule="auto"/>
              <w:jc w:val="center"/>
              <w:rPr>
                <w:rFonts w:ascii="宋体" w:hAnsi="宋体" w:cs="宋体"/>
                <w:kern w:val="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1F2EDCA">
            <w:pPr>
              <w:spacing w:line="360" w:lineRule="auto"/>
              <w:jc w:val="center"/>
              <w:rPr>
                <w:rFonts w:ascii="宋体" w:hAnsi="宋体" w:cs="宋体"/>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04F22D">
            <w:pPr>
              <w:spacing w:line="360" w:lineRule="auto"/>
              <w:jc w:val="center"/>
              <w:rPr>
                <w:rFonts w:ascii="宋体" w:hAnsi="宋体" w:cs="宋体"/>
                <w:kern w:val="0"/>
                <w:szCs w:val="21"/>
              </w:rPr>
            </w:pPr>
          </w:p>
        </w:tc>
      </w:tr>
    </w:tbl>
    <w:p w14:paraId="10D958A5">
      <w:pPr>
        <w:snapToGrid w:val="0"/>
        <w:spacing w:line="360" w:lineRule="auto"/>
        <w:jc w:val="left"/>
        <w:rPr>
          <w:rFonts w:ascii="宋体" w:hAnsi="宋体" w:cs="宋体"/>
          <w:szCs w:val="21"/>
        </w:rPr>
      </w:pPr>
      <w:r>
        <w:rPr>
          <w:rFonts w:hint="eastAsia" w:ascii="宋体" w:hAnsi="宋体" w:cs="宋体"/>
          <w:szCs w:val="21"/>
        </w:rPr>
        <w:t>注：</w:t>
      </w:r>
    </w:p>
    <w:p w14:paraId="2238F507">
      <w:pPr>
        <w:snapToGrid w:val="0"/>
        <w:spacing w:line="360" w:lineRule="auto"/>
        <w:ind w:firstLine="420" w:firstLineChars="200"/>
        <w:jc w:val="left"/>
        <w:rPr>
          <w:rFonts w:ascii="宋体" w:hAnsi="宋体" w:cs="宋体"/>
          <w:szCs w:val="21"/>
        </w:rPr>
      </w:pPr>
      <w:r>
        <w:rPr>
          <w:rFonts w:hint="eastAsia" w:ascii="宋体" w:hAnsi="宋体" w:cs="宋体"/>
          <w:szCs w:val="21"/>
        </w:rPr>
        <w:t>1.管理关系：是指不具有出资持股关系的其他单位之间存在的管理与被管理关系，如一些上下级关系的事业单位和团体组织。</w:t>
      </w:r>
    </w:p>
    <w:p w14:paraId="29AAE2FF">
      <w:pPr>
        <w:snapToGrid w:val="0"/>
        <w:spacing w:line="360" w:lineRule="auto"/>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pacing w:val="-6"/>
          <w:szCs w:val="21"/>
        </w:rPr>
        <w:t>本表所指的管理关系仅限于直接管理关系，不包括间接的管理关系。</w:t>
      </w:r>
    </w:p>
    <w:p w14:paraId="4EEA8CF6">
      <w:pPr>
        <w:snapToGrid w:val="0"/>
        <w:spacing w:line="360" w:lineRule="auto"/>
        <w:ind w:firstLine="420" w:firstLineChars="200"/>
        <w:jc w:val="left"/>
        <w:rPr>
          <w:rFonts w:ascii="宋体" w:hAnsi="宋体" w:cs="宋体"/>
          <w:szCs w:val="21"/>
        </w:rPr>
      </w:pPr>
      <w:r>
        <w:rPr>
          <w:rFonts w:hint="eastAsia" w:ascii="宋体" w:hAnsi="宋体" w:cs="宋体"/>
          <w:szCs w:val="21"/>
        </w:rPr>
        <w:t>3.供应商不存在直接管理关系的，则填“无”。</w:t>
      </w:r>
    </w:p>
    <w:p w14:paraId="1BDB33AE">
      <w:pPr>
        <w:snapToGrid w:val="0"/>
        <w:spacing w:line="360" w:lineRule="auto"/>
        <w:jc w:val="left"/>
        <w:rPr>
          <w:rFonts w:ascii="宋体" w:hAnsi="宋体" w:cs="宋体"/>
          <w:szCs w:val="21"/>
        </w:rPr>
      </w:pPr>
    </w:p>
    <w:p w14:paraId="233134F6">
      <w:pPr>
        <w:snapToGrid w:val="0"/>
        <w:spacing w:line="360" w:lineRule="auto"/>
        <w:jc w:val="left"/>
        <w:rPr>
          <w:rFonts w:ascii="宋体" w:hAnsi="宋体" w:cs="宋体"/>
          <w:sz w:val="24"/>
        </w:rPr>
      </w:pPr>
    </w:p>
    <w:p w14:paraId="40BFAEF5">
      <w:pPr>
        <w:snapToGrid w:val="0"/>
        <w:spacing w:line="360" w:lineRule="auto"/>
        <w:jc w:val="left"/>
        <w:rPr>
          <w:rFonts w:ascii="宋体" w:hAnsi="宋体" w:cs="宋体"/>
          <w:sz w:val="24"/>
        </w:rPr>
      </w:pPr>
    </w:p>
    <w:p w14:paraId="231913E0">
      <w:pPr>
        <w:snapToGrid w:val="0"/>
        <w:spacing w:line="360" w:lineRule="auto"/>
        <w:jc w:val="left"/>
        <w:rPr>
          <w:rFonts w:ascii="宋体" w:hAnsi="宋体" w:cs="宋体"/>
          <w:sz w:val="24"/>
        </w:rPr>
      </w:pPr>
    </w:p>
    <w:p w14:paraId="7A320BC3">
      <w:pPr>
        <w:snapToGrid w:val="0"/>
        <w:spacing w:line="360" w:lineRule="auto"/>
        <w:jc w:val="left"/>
        <w:rPr>
          <w:rFonts w:ascii="宋体" w:hAnsi="宋体" w:cs="宋体"/>
          <w:sz w:val="24"/>
        </w:rPr>
      </w:pPr>
    </w:p>
    <w:p w14:paraId="7337828B">
      <w:pPr>
        <w:snapToGrid w:val="0"/>
        <w:spacing w:line="360" w:lineRule="auto"/>
        <w:jc w:val="left"/>
        <w:rPr>
          <w:rFonts w:ascii="宋体" w:hAnsi="宋体" w:cs="宋体"/>
          <w:sz w:val="24"/>
        </w:rPr>
      </w:pPr>
    </w:p>
    <w:p w14:paraId="6DD9789B">
      <w:pPr>
        <w:snapToGrid w:val="0"/>
        <w:spacing w:line="360" w:lineRule="auto"/>
        <w:jc w:val="left"/>
        <w:rPr>
          <w:rFonts w:ascii="宋体" w:hAnsi="宋体" w:cs="宋体"/>
          <w:sz w:val="24"/>
        </w:rPr>
      </w:pPr>
    </w:p>
    <w:p w14:paraId="7D833092">
      <w:pPr>
        <w:snapToGrid w:val="0"/>
        <w:spacing w:beforeLines="50" w:line="360" w:lineRule="auto"/>
        <w:ind w:right="482" w:firstLine="3360" w:firstLineChars="1600"/>
        <w:rPr>
          <w:rFonts w:ascii="宋体" w:hAnsi="宋体" w:cs="宋体"/>
          <w:szCs w:val="21"/>
          <w:u w:val="single"/>
        </w:rPr>
      </w:pPr>
      <w:r>
        <w:rPr>
          <w:rFonts w:hint="eastAsia" w:ascii="宋体" w:hAnsi="宋体" w:cs="宋体"/>
          <w:szCs w:val="21"/>
        </w:rPr>
        <w:t>法定代表人或者委托代理人签字或盖章：</w:t>
      </w:r>
    </w:p>
    <w:p w14:paraId="032055E4">
      <w:pPr>
        <w:snapToGrid w:val="0"/>
        <w:spacing w:beforeLines="50" w:line="360" w:lineRule="auto"/>
        <w:ind w:right="482" w:firstLine="3360" w:firstLineChars="1600"/>
        <w:rPr>
          <w:rFonts w:ascii="宋体" w:hAnsi="宋体" w:cs="宋体"/>
          <w:szCs w:val="21"/>
        </w:rPr>
      </w:pPr>
      <w:r>
        <w:rPr>
          <w:rFonts w:hint="eastAsia" w:ascii="宋体" w:hAnsi="宋体" w:cs="宋体"/>
          <w:szCs w:val="21"/>
        </w:rPr>
        <w:t>投标人（盖公章）：</w:t>
      </w:r>
    </w:p>
    <w:p w14:paraId="010072EF">
      <w:pPr>
        <w:snapToGrid w:val="0"/>
        <w:spacing w:beforeLines="50" w:line="360" w:lineRule="auto"/>
        <w:ind w:right="482" w:firstLine="3360" w:firstLineChars="1600"/>
        <w:rPr>
          <w:rFonts w:ascii="宋体" w:hAnsi="宋体" w:cs="宋体"/>
          <w:szCs w:val="21"/>
        </w:rPr>
        <w:sectPr>
          <w:pgSz w:w="11906" w:h="16838"/>
          <w:pgMar w:top="1134" w:right="1247" w:bottom="1560" w:left="1247" w:header="851" w:footer="992" w:gutter="0"/>
          <w:cols w:space="720" w:num="1"/>
          <w:titlePg/>
          <w:docGrid w:linePitch="312" w:charSpace="0"/>
        </w:sectPr>
      </w:pPr>
      <w:r>
        <w:rPr>
          <w:rFonts w:hint="eastAsia" w:ascii="宋体" w:hAnsi="宋体" w:cs="宋体"/>
          <w:szCs w:val="21"/>
        </w:rPr>
        <w:t>年月日</w:t>
      </w:r>
    </w:p>
    <w:p w14:paraId="61D34B61">
      <w:pPr>
        <w:snapToGrid w:val="0"/>
        <w:spacing w:beforeLines="50" w:after="50" w:line="360" w:lineRule="auto"/>
        <w:jc w:val="left"/>
        <w:rPr>
          <w:rFonts w:ascii="宋体" w:hAnsi="宋体" w:cs="宋体"/>
          <w:b/>
          <w:sz w:val="24"/>
        </w:rPr>
      </w:pPr>
      <w:r>
        <w:rPr>
          <w:rFonts w:hint="eastAsia" w:ascii="宋体" w:hAnsi="宋体" w:cs="宋体"/>
          <w:b/>
          <w:sz w:val="24"/>
        </w:rPr>
        <w:t>5投标声明</w:t>
      </w:r>
    </w:p>
    <w:p w14:paraId="5B4E38DC">
      <w:pPr>
        <w:snapToGrid w:val="0"/>
        <w:spacing w:before="50" w:afterLines="50" w:line="360" w:lineRule="auto"/>
        <w:jc w:val="center"/>
        <w:rPr>
          <w:rFonts w:ascii="宋体" w:hAnsi="宋体" w:cs="宋体"/>
          <w:b/>
          <w:sz w:val="32"/>
          <w:szCs w:val="32"/>
        </w:rPr>
      </w:pPr>
      <w:r>
        <w:rPr>
          <w:rFonts w:hint="eastAsia" w:ascii="宋体" w:hAnsi="宋体" w:cs="宋体"/>
          <w:b/>
          <w:sz w:val="32"/>
          <w:szCs w:val="32"/>
        </w:rPr>
        <w:t>投标声明</w:t>
      </w:r>
    </w:p>
    <w:p w14:paraId="1A4CE6E9">
      <w:pPr>
        <w:snapToGrid w:val="0"/>
        <w:spacing w:before="50" w:afterLines="50" w:line="360" w:lineRule="auto"/>
        <w:jc w:val="left"/>
        <w:rPr>
          <w:rFonts w:ascii="宋体" w:hAnsi="宋体" w:cs="宋体"/>
          <w:szCs w:val="21"/>
        </w:rPr>
      </w:pPr>
      <w:r>
        <w:rPr>
          <w:rFonts w:hint="eastAsia" w:ascii="宋体" w:hAnsi="宋体" w:cs="宋体"/>
          <w:szCs w:val="21"/>
        </w:rPr>
        <w:t>（采购人名称）：</w:t>
      </w:r>
    </w:p>
    <w:p w14:paraId="777406AF">
      <w:pPr>
        <w:snapToGrid w:val="0"/>
        <w:spacing w:before="50" w:afterLines="50" w:line="360" w:lineRule="auto"/>
        <w:ind w:firstLine="405"/>
        <w:jc w:val="left"/>
        <w:rPr>
          <w:rFonts w:ascii="宋体" w:hAnsi="宋体" w:cs="宋体"/>
          <w:szCs w:val="21"/>
        </w:rPr>
      </w:pPr>
      <w:r>
        <w:rPr>
          <w:rFonts w:hint="eastAsia" w:ascii="宋体" w:hAnsi="宋体" w:cs="宋体"/>
          <w:szCs w:val="21"/>
        </w:rPr>
        <w:t>我方参加贵单位组织</w:t>
      </w:r>
      <w:r>
        <w:rPr>
          <w:rFonts w:hint="eastAsia" w:ascii="宋体" w:hAnsi="宋体" w:cs="宋体"/>
          <w:szCs w:val="21"/>
          <w:u w:val="single"/>
        </w:rPr>
        <w:t>（项目名称、标项名称和项目编号）</w:t>
      </w:r>
      <w:r>
        <w:rPr>
          <w:rFonts w:hint="eastAsia" w:ascii="宋体" w:hAnsi="宋体" w:cs="宋体"/>
          <w:szCs w:val="21"/>
        </w:rPr>
        <w:t>）的政府采购活动。我方在此郑重声明：</w:t>
      </w:r>
    </w:p>
    <w:p w14:paraId="4015DF98">
      <w:pPr>
        <w:snapToGrid w:val="0"/>
        <w:spacing w:before="50" w:afterLines="50" w:line="360" w:lineRule="auto"/>
        <w:ind w:firstLine="420" w:firstLineChars="200"/>
        <w:jc w:val="left"/>
        <w:rPr>
          <w:rFonts w:ascii="宋体" w:hAnsi="宋体" w:cs="宋体"/>
          <w:szCs w:val="21"/>
        </w:rPr>
      </w:pPr>
      <w:r>
        <w:rPr>
          <w:rFonts w:hint="eastAsia" w:ascii="宋体" w:hAnsi="宋体" w:cs="宋体"/>
          <w:szCs w:val="21"/>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0071FC7">
      <w:pPr>
        <w:snapToGrid w:val="0"/>
        <w:spacing w:before="50" w:afterLines="50" w:line="360" w:lineRule="auto"/>
        <w:ind w:firstLine="420" w:firstLineChars="200"/>
        <w:jc w:val="left"/>
        <w:rPr>
          <w:rFonts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41C824F">
      <w:pPr>
        <w:snapToGrid w:val="0"/>
        <w:spacing w:before="50" w:afterLines="50" w:line="360" w:lineRule="auto"/>
        <w:ind w:firstLine="420" w:firstLineChars="200"/>
        <w:jc w:val="left"/>
        <w:rPr>
          <w:rFonts w:ascii="宋体" w:hAnsi="宋体" w:cs="宋体"/>
          <w:szCs w:val="21"/>
        </w:rPr>
      </w:pPr>
      <w:r>
        <w:rPr>
          <w:rFonts w:hint="eastAsia" w:ascii="宋体" w:hAnsi="宋体" w:cs="宋体"/>
          <w:szCs w:val="21"/>
        </w:rPr>
        <w:t>3.我方承诺符合《中华人民共和国政府采购法》第二十二条规定：</w:t>
      </w:r>
    </w:p>
    <w:p w14:paraId="35953D42">
      <w:pPr>
        <w:snapToGrid w:val="0"/>
        <w:spacing w:before="50" w:afterLines="50" w:line="360" w:lineRule="auto"/>
        <w:ind w:firstLine="420" w:firstLineChars="200"/>
        <w:jc w:val="left"/>
        <w:rPr>
          <w:rFonts w:ascii="宋体" w:hAnsi="宋体" w:cs="宋体"/>
          <w:szCs w:val="21"/>
        </w:rPr>
      </w:pPr>
      <w:r>
        <w:rPr>
          <w:rFonts w:hint="eastAsia" w:ascii="宋体" w:hAnsi="宋体" w:cs="宋体"/>
          <w:szCs w:val="21"/>
        </w:rPr>
        <w:t>（一）具有独立承担民事责任的能力；</w:t>
      </w:r>
    </w:p>
    <w:p w14:paraId="2C26EBB7">
      <w:pPr>
        <w:snapToGrid w:val="0"/>
        <w:spacing w:before="50" w:afterLines="50" w:line="360" w:lineRule="auto"/>
        <w:ind w:firstLine="420" w:firstLineChars="200"/>
        <w:jc w:val="left"/>
        <w:rPr>
          <w:rFonts w:ascii="宋体" w:hAnsi="宋体" w:cs="宋体"/>
          <w:szCs w:val="21"/>
        </w:rPr>
      </w:pPr>
      <w:r>
        <w:rPr>
          <w:rFonts w:hint="eastAsia" w:ascii="宋体" w:hAnsi="宋体" w:cs="宋体"/>
          <w:szCs w:val="21"/>
        </w:rPr>
        <w:t>（二）具有良好的商业信誉和健全的财务会计制度；</w:t>
      </w:r>
    </w:p>
    <w:p w14:paraId="6679928A">
      <w:pPr>
        <w:snapToGrid w:val="0"/>
        <w:spacing w:before="50" w:afterLines="50" w:line="360" w:lineRule="auto"/>
        <w:ind w:firstLine="420" w:firstLineChars="200"/>
        <w:jc w:val="left"/>
        <w:rPr>
          <w:rFonts w:ascii="宋体" w:hAnsi="宋体" w:cs="宋体"/>
          <w:szCs w:val="21"/>
        </w:rPr>
      </w:pPr>
      <w:r>
        <w:rPr>
          <w:rFonts w:hint="eastAsia" w:ascii="宋体" w:hAnsi="宋体" w:cs="宋体"/>
          <w:szCs w:val="21"/>
        </w:rPr>
        <w:t>（三）具有履行合同所必需的设备和专业技术能力；</w:t>
      </w:r>
    </w:p>
    <w:p w14:paraId="05AB6FD6">
      <w:pPr>
        <w:snapToGrid w:val="0"/>
        <w:spacing w:before="50" w:afterLines="50" w:line="360" w:lineRule="auto"/>
        <w:ind w:firstLine="420" w:firstLineChars="200"/>
        <w:jc w:val="left"/>
        <w:rPr>
          <w:rFonts w:ascii="宋体" w:hAnsi="宋体" w:cs="宋体"/>
          <w:szCs w:val="21"/>
        </w:rPr>
      </w:pPr>
      <w:r>
        <w:rPr>
          <w:rFonts w:hint="eastAsia" w:ascii="宋体" w:hAnsi="宋体" w:cs="宋体"/>
          <w:szCs w:val="21"/>
        </w:rPr>
        <w:t>（四）有依法缴纳税收和社会保障资金的良好记录；</w:t>
      </w:r>
    </w:p>
    <w:p w14:paraId="5538402B">
      <w:pPr>
        <w:snapToGrid w:val="0"/>
        <w:spacing w:before="50" w:afterLines="50" w:line="360" w:lineRule="auto"/>
        <w:ind w:firstLine="420" w:firstLineChars="200"/>
        <w:jc w:val="left"/>
        <w:rPr>
          <w:rFonts w:ascii="宋体" w:hAnsi="宋体" w:cs="宋体"/>
          <w:szCs w:val="21"/>
        </w:rPr>
      </w:pPr>
      <w:r>
        <w:rPr>
          <w:rFonts w:hint="eastAsia" w:ascii="宋体" w:hAnsi="宋体" w:cs="宋体"/>
          <w:szCs w:val="21"/>
        </w:rPr>
        <w:t>（五）参加政府采购活动前三年内，在经营活动中没有重大违法记录；</w:t>
      </w:r>
    </w:p>
    <w:p w14:paraId="2039451A">
      <w:pPr>
        <w:snapToGrid w:val="0"/>
        <w:spacing w:before="50" w:afterLines="50" w:line="360" w:lineRule="auto"/>
        <w:ind w:firstLine="420" w:firstLineChars="200"/>
        <w:jc w:val="left"/>
        <w:rPr>
          <w:rFonts w:ascii="宋体" w:hAnsi="宋体" w:cs="宋体"/>
          <w:szCs w:val="21"/>
        </w:rPr>
      </w:pPr>
      <w:r>
        <w:rPr>
          <w:rFonts w:hint="eastAsia" w:ascii="宋体" w:hAnsi="宋体" w:cs="宋体"/>
          <w:szCs w:val="21"/>
        </w:rPr>
        <w:t>（六）法律、行政法规规定的其他条件。</w:t>
      </w:r>
    </w:p>
    <w:p w14:paraId="753FD9E6">
      <w:pPr>
        <w:snapToGrid w:val="0"/>
        <w:spacing w:before="50" w:afterLines="50" w:line="360" w:lineRule="auto"/>
        <w:ind w:firstLine="420" w:firstLineChars="200"/>
        <w:jc w:val="left"/>
        <w:rPr>
          <w:rFonts w:ascii="宋体" w:hAnsi="宋体" w:cs="宋体"/>
          <w:szCs w:val="21"/>
        </w:rPr>
      </w:pPr>
      <w:r>
        <w:rPr>
          <w:rFonts w:hint="eastAsia" w:ascii="宋体" w:hAnsi="宋体" w:cs="宋体"/>
          <w:szCs w:val="21"/>
        </w:rPr>
        <w:t>4.以上事项如有虚假或者隐瞒，我方愿意承担一切后果，并不再寻求任何旨在减轻或者免除法律责任的辩解。</w:t>
      </w:r>
    </w:p>
    <w:p w14:paraId="0C597B3C">
      <w:pPr>
        <w:snapToGrid w:val="0"/>
        <w:spacing w:before="50" w:afterLines="50" w:line="360" w:lineRule="auto"/>
        <w:ind w:firstLine="420" w:firstLineChars="200"/>
        <w:rPr>
          <w:rFonts w:ascii="宋体" w:hAnsi="宋体" w:cs="宋体"/>
          <w:szCs w:val="21"/>
        </w:rPr>
      </w:pPr>
      <w:r>
        <w:rPr>
          <w:rFonts w:hint="eastAsia" w:ascii="宋体" w:hAnsi="宋体" w:cs="宋体"/>
          <w:szCs w:val="21"/>
        </w:rPr>
        <w:t>特此承诺。</w:t>
      </w:r>
    </w:p>
    <w:p w14:paraId="6DAD9490">
      <w:pPr>
        <w:snapToGrid w:val="0"/>
        <w:spacing w:before="50" w:afterLines="50" w:line="360" w:lineRule="auto"/>
        <w:ind w:firstLine="422" w:firstLineChars="200"/>
        <w:rPr>
          <w:rFonts w:ascii="宋体" w:hAnsi="宋体" w:cs="宋体"/>
          <w:b/>
          <w:szCs w:val="21"/>
        </w:rPr>
      </w:pPr>
    </w:p>
    <w:p w14:paraId="6A5DCAAF">
      <w:pPr>
        <w:snapToGrid w:val="0"/>
        <w:spacing w:beforeLines="50" w:line="360" w:lineRule="auto"/>
        <w:ind w:right="482" w:firstLine="3360" w:firstLineChars="1600"/>
        <w:rPr>
          <w:rFonts w:ascii="宋体" w:hAnsi="宋体" w:cs="宋体"/>
          <w:szCs w:val="21"/>
        </w:rPr>
      </w:pPr>
      <w:r>
        <w:rPr>
          <w:rFonts w:hint="eastAsia" w:ascii="宋体" w:hAnsi="宋体" w:cs="宋体"/>
          <w:szCs w:val="21"/>
        </w:rPr>
        <w:t>法定代表人签字或盖章：</w:t>
      </w:r>
    </w:p>
    <w:p w14:paraId="6732FAE2">
      <w:pPr>
        <w:snapToGrid w:val="0"/>
        <w:spacing w:beforeLines="50" w:line="360" w:lineRule="auto"/>
        <w:ind w:right="482" w:firstLine="3360" w:firstLineChars="1600"/>
        <w:rPr>
          <w:rFonts w:ascii="宋体" w:hAnsi="宋体" w:cs="宋体"/>
          <w:szCs w:val="21"/>
        </w:rPr>
      </w:pPr>
      <w:r>
        <w:rPr>
          <w:rFonts w:hint="eastAsia" w:ascii="宋体" w:hAnsi="宋体" w:cs="宋体"/>
          <w:szCs w:val="21"/>
        </w:rPr>
        <w:t>投标人（盖公章）：</w:t>
      </w:r>
    </w:p>
    <w:p w14:paraId="1F16BE1B">
      <w:pPr>
        <w:snapToGrid w:val="0"/>
        <w:spacing w:beforeLines="50" w:line="360" w:lineRule="auto"/>
        <w:ind w:right="482" w:firstLine="3360" w:firstLineChars="1600"/>
        <w:rPr>
          <w:rFonts w:ascii="宋体" w:hAnsi="宋体" w:cs="宋体"/>
        </w:rPr>
      </w:pPr>
      <w:r>
        <w:rPr>
          <w:rFonts w:hint="eastAsia" w:ascii="宋体" w:hAnsi="宋体" w:cs="宋体"/>
          <w:szCs w:val="21"/>
        </w:rPr>
        <w:t>年月日</w:t>
      </w:r>
    </w:p>
    <w:p w14:paraId="4C0253EA">
      <w:pPr>
        <w:pStyle w:val="4"/>
        <w:spacing w:before="0" w:after="0" w:line="360" w:lineRule="auto"/>
        <w:jc w:val="center"/>
        <w:rPr>
          <w:rFonts w:ascii="宋体" w:hAnsi="宋体" w:eastAsia="宋体"/>
        </w:rPr>
      </w:pPr>
      <w:bookmarkStart w:id="208" w:name="_Toc19686838"/>
      <w:bookmarkStart w:id="209" w:name="_Toc3293"/>
    </w:p>
    <w:p w14:paraId="770F54F9">
      <w:pPr>
        <w:pStyle w:val="4"/>
        <w:spacing w:before="0" w:after="0" w:line="360" w:lineRule="auto"/>
        <w:jc w:val="center"/>
        <w:rPr>
          <w:rFonts w:ascii="宋体" w:hAnsi="宋体" w:eastAsia="宋体"/>
        </w:rPr>
      </w:pPr>
      <w:bookmarkStart w:id="210" w:name="_Toc11959"/>
      <w:bookmarkStart w:id="211" w:name="_Toc25463"/>
      <w:r>
        <w:rPr>
          <w:rFonts w:hint="eastAsia" w:ascii="宋体" w:hAnsi="宋体" w:eastAsia="宋体"/>
        </w:rPr>
        <w:t>四、商务文件格式</w:t>
      </w:r>
      <w:bookmarkEnd w:id="208"/>
      <w:bookmarkEnd w:id="209"/>
      <w:bookmarkEnd w:id="210"/>
      <w:bookmarkEnd w:id="211"/>
    </w:p>
    <w:p w14:paraId="475F19AA">
      <w:pPr>
        <w:snapToGrid w:val="0"/>
        <w:spacing w:beforeLines="50" w:after="50" w:line="360" w:lineRule="auto"/>
        <w:jc w:val="left"/>
        <w:rPr>
          <w:rFonts w:ascii="宋体" w:hAnsi="宋体" w:cs="宋体"/>
          <w:b/>
          <w:sz w:val="24"/>
        </w:rPr>
      </w:pPr>
      <w:r>
        <w:rPr>
          <w:rFonts w:hint="eastAsia" w:ascii="宋体" w:hAnsi="宋体" w:cs="宋体"/>
          <w:b/>
          <w:sz w:val="24"/>
        </w:rPr>
        <w:t>1.商务文件封面格式：</w:t>
      </w:r>
    </w:p>
    <w:p w14:paraId="10EC7268">
      <w:pPr>
        <w:snapToGrid w:val="0"/>
        <w:spacing w:beforeLines="50" w:after="50" w:line="360" w:lineRule="auto"/>
        <w:jc w:val="center"/>
        <w:rPr>
          <w:rFonts w:ascii="宋体" w:hAnsi="宋体" w:cs="宋体"/>
          <w:bCs/>
          <w:sz w:val="32"/>
          <w:szCs w:val="20"/>
        </w:rPr>
      </w:pPr>
      <w:r>
        <w:rPr>
          <w:rFonts w:hint="eastAsia" w:ascii="宋体" w:hAnsi="宋体" w:cs="宋体"/>
          <w:bCs/>
        </w:rPr>
        <w:t>正本/副本</w:t>
      </w:r>
    </w:p>
    <w:p w14:paraId="69B6DDE5">
      <w:pPr>
        <w:snapToGrid w:val="0"/>
        <w:spacing w:beforeLines="50" w:after="50" w:line="360" w:lineRule="auto"/>
        <w:jc w:val="center"/>
        <w:rPr>
          <w:rFonts w:ascii="宋体" w:hAnsi="宋体" w:cs="宋体"/>
          <w:sz w:val="24"/>
          <w:szCs w:val="20"/>
        </w:rPr>
      </w:pPr>
    </w:p>
    <w:p w14:paraId="1D706F27">
      <w:pPr>
        <w:snapToGrid w:val="0"/>
        <w:spacing w:beforeLines="50" w:after="50" w:line="360" w:lineRule="auto"/>
        <w:jc w:val="center"/>
        <w:rPr>
          <w:rFonts w:ascii="宋体" w:hAnsi="宋体" w:cs="宋体"/>
          <w:b/>
          <w:sz w:val="24"/>
          <w:szCs w:val="20"/>
        </w:rPr>
      </w:pPr>
      <w:r>
        <w:rPr>
          <w:rFonts w:hint="eastAsia" w:ascii="宋体" w:hAnsi="宋体" w:cs="宋体"/>
          <w:b/>
          <w:sz w:val="32"/>
          <w:szCs w:val="32"/>
        </w:rPr>
        <w:t>商务文件</w:t>
      </w:r>
    </w:p>
    <w:p w14:paraId="66A407BB">
      <w:pPr>
        <w:snapToGrid w:val="0"/>
        <w:spacing w:beforeLines="50" w:after="50" w:line="360" w:lineRule="auto"/>
        <w:jc w:val="center"/>
        <w:rPr>
          <w:rFonts w:ascii="宋体" w:hAnsi="宋体" w:cs="宋体"/>
          <w:bCs/>
          <w:sz w:val="24"/>
          <w:szCs w:val="20"/>
        </w:rPr>
      </w:pPr>
    </w:p>
    <w:p w14:paraId="30967B15">
      <w:pPr>
        <w:snapToGrid w:val="0"/>
        <w:spacing w:beforeLines="50" w:after="50" w:line="360" w:lineRule="auto"/>
        <w:jc w:val="center"/>
        <w:rPr>
          <w:rFonts w:ascii="宋体" w:hAnsi="宋体" w:cs="宋体"/>
          <w:bCs/>
          <w:sz w:val="24"/>
        </w:rPr>
      </w:pPr>
      <w:r>
        <w:rPr>
          <w:rFonts w:hint="eastAsia" w:ascii="宋体" w:hAnsi="宋体" w:cs="宋体"/>
          <w:bCs/>
          <w:sz w:val="24"/>
        </w:rPr>
        <w:t>项目名称：</w:t>
      </w:r>
    </w:p>
    <w:p w14:paraId="3E5E086D">
      <w:pPr>
        <w:snapToGrid w:val="0"/>
        <w:spacing w:beforeLines="50" w:after="50" w:line="360" w:lineRule="auto"/>
        <w:jc w:val="center"/>
        <w:rPr>
          <w:rFonts w:ascii="宋体" w:hAnsi="宋体" w:cs="宋体"/>
          <w:bCs/>
          <w:sz w:val="24"/>
        </w:rPr>
      </w:pPr>
      <w:r>
        <w:rPr>
          <w:rFonts w:hint="eastAsia" w:ascii="宋体" w:hAnsi="宋体" w:cs="宋体"/>
          <w:bCs/>
          <w:sz w:val="24"/>
        </w:rPr>
        <w:t>标项名称</w:t>
      </w:r>
    </w:p>
    <w:p w14:paraId="0544EBBF">
      <w:pPr>
        <w:snapToGrid w:val="0"/>
        <w:spacing w:beforeLines="50" w:after="50" w:line="360" w:lineRule="auto"/>
        <w:jc w:val="center"/>
        <w:rPr>
          <w:rFonts w:ascii="宋体" w:hAnsi="宋体" w:cs="宋体"/>
          <w:bCs/>
          <w:sz w:val="24"/>
        </w:rPr>
      </w:pPr>
      <w:r>
        <w:rPr>
          <w:rFonts w:hint="eastAsia" w:ascii="宋体" w:hAnsi="宋体" w:cs="宋体"/>
          <w:bCs/>
          <w:sz w:val="24"/>
        </w:rPr>
        <w:t>项目编号：</w:t>
      </w:r>
    </w:p>
    <w:p w14:paraId="70E0E727">
      <w:pPr>
        <w:snapToGrid w:val="0"/>
        <w:spacing w:beforeLines="50" w:after="50" w:line="360" w:lineRule="auto"/>
        <w:jc w:val="center"/>
        <w:rPr>
          <w:rFonts w:ascii="宋体" w:hAnsi="宋体" w:cs="宋体"/>
          <w:bCs/>
          <w:sz w:val="24"/>
          <w:szCs w:val="20"/>
        </w:rPr>
      </w:pPr>
    </w:p>
    <w:p w14:paraId="462A88D9">
      <w:pPr>
        <w:pStyle w:val="8"/>
        <w:snapToGrid w:val="0"/>
        <w:spacing w:before="50" w:after="50" w:line="360" w:lineRule="auto"/>
        <w:ind w:firstLine="0"/>
        <w:jc w:val="center"/>
        <w:rPr>
          <w:rFonts w:ascii="宋体" w:hAnsi="宋体" w:cs="宋体"/>
          <w:bCs/>
          <w:sz w:val="24"/>
          <w:szCs w:val="24"/>
        </w:rPr>
      </w:pPr>
      <w:r>
        <w:rPr>
          <w:rFonts w:hint="eastAsia" w:ascii="宋体" w:hAnsi="宋体" w:cs="宋体"/>
          <w:bCs/>
          <w:sz w:val="24"/>
          <w:szCs w:val="24"/>
        </w:rPr>
        <w:t>投标人名称：</w:t>
      </w:r>
    </w:p>
    <w:p w14:paraId="35B1FFE0">
      <w:pPr>
        <w:pStyle w:val="8"/>
        <w:snapToGrid w:val="0"/>
        <w:spacing w:before="50" w:after="50" w:line="360" w:lineRule="auto"/>
        <w:ind w:firstLine="0"/>
        <w:jc w:val="center"/>
        <w:rPr>
          <w:rFonts w:ascii="宋体" w:hAnsi="宋体" w:cs="宋体"/>
          <w:bCs/>
          <w:sz w:val="24"/>
          <w:szCs w:val="24"/>
        </w:rPr>
      </w:pPr>
    </w:p>
    <w:p w14:paraId="33CC66A4">
      <w:pPr>
        <w:pStyle w:val="8"/>
        <w:snapToGrid w:val="0"/>
        <w:spacing w:before="50" w:after="50" w:line="360" w:lineRule="auto"/>
        <w:ind w:firstLine="0"/>
        <w:jc w:val="center"/>
        <w:rPr>
          <w:rFonts w:ascii="宋体" w:hAnsi="宋体" w:cs="宋体"/>
          <w:bCs/>
          <w:sz w:val="24"/>
          <w:szCs w:val="24"/>
        </w:rPr>
      </w:pPr>
      <w:r>
        <w:rPr>
          <w:rFonts w:hint="eastAsia" w:ascii="宋体" w:hAnsi="宋体" w:cs="宋体"/>
          <w:bCs/>
          <w:sz w:val="24"/>
          <w:szCs w:val="24"/>
        </w:rPr>
        <w:t>投标人地址：</w:t>
      </w:r>
    </w:p>
    <w:p w14:paraId="59CD0282">
      <w:pPr>
        <w:pStyle w:val="8"/>
        <w:snapToGrid w:val="0"/>
        <w:spacing w:before="50" w:after="50" w:line="360" w:lineRule="auto"/>
        <w:ind w:firstLine="0"/>
        <w:jc w:val="center"/>
        <w:rPr>
          <w:rFonts w:ascii="宋体" w:hAnsi="宋体" w:cs="宋体"/>
          <w:bCs/>
          <w:sz w:val="24"/>
          <w:szCs w:val="24"/>
        </w:rPr>
      </w:pPr>
    </w:p>
    <w:p w14:paraId="35E2F06D">
      <w:pPr>
        <w:snapToGrid w:val="0"/>
        <w:spacing w:beforeLines="50" w:after="50" w:line="360" w:lineRule="auto"/>
        <w:jc w:val="center"/>
        <w:rPr>
          <w:rFonts w:ascii="宋体" w:hAnsi="宋体" w:cs="宋体"/>
          <w:sz w:val="24"/>
        </w:rPr>
      </w:pPr>
      <w:r>
        <w:rPr>
          <w:rFonts w:hint="eastAsia" w:ascii="宋体" w:hAnsi="宋体" w:cs="宋体"/>
          <w:sz w:val="24"/>
        </w:rPr>
        <w:t>年月日</w:t>
      </w:r>
    </w:p>
    <w:p w14:paraId="335B4647">
      <w:pPr>
        <w:snapToGrid w:val="0"/>
        <w:spacing w:beforeLines="50" w:after="50" w:line="360" w:lineRule="auto"/>
        <w:rPr>
          <w:rFonts w:ascii="宋体" w:hAnsi="宋体" w:cs="宋体"/>
          <w:sz w:val="24"/>
          <w:szCs w:val="20"/>
        </w:rPr>
        <w:sectPr>
          <w:pgSz w:w="11906" w:h="16838"/>
          <w:pgMar w:top="1134" w:right="1247" w:bottom="1560" w:left="1247" w:header="851" w:footer="992" w:gutter="0"/>
          <w:cols w:space="720" w:num="1"/>
          <w:titlePg/>
          <w:docGrid w:linePitch="312" w:charSpace="0"/>
        </w:sectPr>
      </w:pPr>
    </w:p>
    <w:p w14:paraId="097809C7">
      <w:pPr>
        <w:snapToGrid w:val="0"/>
        <w:spacing w:beforeLines="50" w:after="50" w:line="360" w:lineRule="auto"/>
        <w:rPr>
          <w:rFonts w:ascii="宋体" w:hAnsi="宋体" w:cs="宋体"/>
          <w:b/>
          <w:bCs/>
          <w:sz w:val="28"/>
          <w:szCs w:val="28"/>
        </w:rPr>
      </w:pPr>
      <w:r>
        <w:rPr>
          <w:rFonts w:hint="eastAsia" w:ascii="宋体" w:hAnsi="宋体" w:cs="宋体"/>
          <w:b/>
          <w:bCs/>
          <w:sz w:val="28"/>
          <w:szCs w:val="28"/>
        </w:rPr>
        <w:t>2.商务文件目录</w:t>
      </w:r>
    </w:p>
    <w:p w14:paraId="527D6CC6">
      <w:pPr>
        <w:snapToGrid w:val="0"/>
        <w:spacing w:before="50" w:afterLines="50" w:line="360" w:lineRule="auto"/>
        <w:ind w:firstLine="420" w:firstLineChars="200"/>
        <w:rPr>
          <w:rFonts w:ascii="宋体" w:hAnsi="宋体" w:cs="宋体"/>
          <w:b/>
          <w:bCs/>
          <w:sz w:val="24"/>
        </w:rPr>
      </w:pPr>
      <w:r>
        <w:rPr>
          <w:rFonts w:hint="eastAsia" w:ascii="宋体" w:hAnsi="宋体" w:cs="宋体"/>
          <w:szCs w:val="21"/>
        </w:rPr>
        <w:t>根据招标文件规定及投标人提供的材料自行编写目录。</w:t>
      </w:r>
    </w:p>
    <w:p w14:paraId="1D566233">
      <w:pPr>
        <w:snapToGrid w:val="0"/>
        <w:spacing w:before="50" w:afterLines="50" w:line="360" w:lineRule="auto"/>
        <w:ind w:firstLine="420" w:firstLineChars="200"/>
        <w:rPr>
          <w:rFonts w:ascii="宋体" w:hAnsi="宋体" w:cs="宋体"/>
        </w:rPr>
        <w:sectPr>
          <w:pgSz w:w="11906" w:h="16838"/>
          <w:pgMar w:top="1134" w:right="1247" w:bottom="1560" w:left="1247" w:header="851" w:footer="992" w:gutter="0"/>
          <w:cols w:space="720" w:num="1"/>
          <w:titlePg/>
          <w:docGrid w:linePitch="312" w:charSpace="0"/>
        </w:sectPr>
      </w:pPr>
    </w:p>
    <w:p w14:paraId="16E7F884">
      <w:pPr>
        <w:snapToGrid w:val="0"/>
        <w:spacing w:beforeLines="50" w:after="50" w:line="360" w:lineRule="auto"/>
        <w:jc w:val="left"/>
        <w:rPr>
          <w:rFonts w:ascii="宋体" w:hAnsi="宋体" w:cs="宋体"/>
          <w:b/>
          <w:sz w:val="24"/>
        </w:rPr>
      </w:pPr>
      <w:r>
        <w:rPr>
          <w:rFonts w:hint="eastAsia" w:ascii="宋体" w:hAnsi="宋体" w:cs="宋体"/>
          <w:b/>
          <w:sz w:val="24"/>
        </w:rPr>
        <w:t>3.投标人参加本项目无围标串标行为的承诺</w:t>
      </w:r>
    </w:p>
    <w:p w14:paraId="4FB22CDF">
      <w:pPr>
        <w:snapToGrid w:val="0"/>
        <w:spacing w:beforeLines="50" w:after="50" w:line="360" w:lineRule="auto"/>
        <w:ind w:left="420"/>
        <w:jc w:val="center"/>
        <w:rPr>
          <w:rFonts w:ascii="宋体" w:hAnsi="宋体" w:cs="宋体"/>
          <w:b/>
          <w:sz w:val="24"/>
        </w:rPr>
      </w:pPr>
      <w:r>
        <w:rPr>
          <w:rFonts w:hint="eastAsia" w:ascii="宋体" w:hAnsi="宋体" w:cs="宋体"/>
          <w:b/>
          <w:sz w:val="24"/>
        </w:rPr>
        <w:t>投标人参加本项目无围标串标行为的承诺函</w:t>
      </w:r>
    </w:p>
    <w:p w14:paraId="39E0B059">
      <w:pPr>
        <w:snapToGrid w:val="0"/>
        <w:spacing w:beforeLines="50" w:after="50" w:line="360" w:lineRule="auto"/>
        <w:jc w:val="left"/>
        <w:rPr>
          <w:rFonts w:ascii="宋体" w:hAnsi="宋体" w:cs="宋体"/>
          <w:b/>
          <w:szCs w:val="21"/>
        </w:rPr>
      </w:pPr>
      <w:r>
        <w:rPr>
          <w:rFonts w:hint="eastAsia" w:ascii="宋体" w:hAnsi="宋体" w:cs="宋体"/>
          <w:b/>
          <w:szCs w:val="21"/>
        </w:rPr>
        <w:t>一、我方承诺无下列相互串通投标的情形：</w:t>
      </w:r>
    </w:p>
    <w:p w14:paraId="4E50F934">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1.不同投标人的投标文件由同一单位或者个人编制；或者不同投标人报名的IP地址一致的；</w:t>
      </w:r>
    </w:p>
    <w:p w14:paraId="6B6E13C3">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2.不同投标人委托同一单位或者个人办理投标事宜；</w:t>
      </w:r>
    </w:p>
    <w:p w14:paraId="4DA7C552">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3.不同的投标人的投标文件载明的项目管理员为同一个人；</w:t>
      </w:r>
    </w:p>
    <w:p w14:paraId="6B84856A">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4.不同投标人的投标文件异常一致或者投标报价呈规律性差异；</w:t>
      </w:r>
    </w:p>
    <w:p w14:paraId="494FD6D9">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5.不同投标人的投标文件相互混装；</w:t>
      </w:r>
    </w:p>
    <w:p w14:paraId="1D072066">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6.不同投标人的投标保证金从同一单位或者个人账户转出。</w:t>
      </w:r>
    </w:p>
    <w:p w14:paraId="4A7B99B2">
      <w:pPr>
        <w:snapToGrid w:val="0"/>
        <w:spacing w:beforeLines="50" w:after="50" w:line="360" w:lineRule="auto"/>
        <w:jc w:val="left"/>
        <w:rPr>
          <w:rFonts w:ascii="宋体" w:hAnsi="宋体" w:cs="宋体"/>
          <w:szCs w:val="21"/>
        </w:rPr>
      </w:pPr>
      <w:r>
        <w:rPr>
          <w:rFonts w:hint="eastAsia" w:ascii="宋体" w:hAnsi="宋体" w:cs="宋体"/>
          <w:b/>
          <w:szCs w:val="21"/>
        </w:rPr>
        <w:t>二、我方承诺无下列恶意串通的情形：</w:t>
      </w:r>
    </w:p>
    <w:p w14:paraId="4FA68FAC">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1.投标人直接或者间接从采购人或者采购代理机构处获得其他投标人的相关信息并修改其投标文件或者投标文件；</w:t>
      </w:r>
    </w:p>
    <w:p w14:paraId="7D72FB56">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2.投标人按照采购人或者采购代理机构的授意撤换、修改投标文件或者投标文件；</w:t>
      </w:r>
    </w:p>
    <w:p w14:paraId="290510F3">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3.投标人之间协商报价、技术方案等投标文件或者投标文件的实质性内容；</w:t>
      </w:r>
    </w:p>
    <w:p w14:paraId="1843EDE4">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4.属于同一集团、协会、商会等组织成员的投标人按照该组织要求协同参加政府采购活动；</w:t>
      </w:r>
    </w:p>
    <w:p w14:paraId="378DFC3A">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5.投标人之间事先约定一致抬高或者压低投标报价，或者在招标项目中事先约定轮流以高价位或者低价位中标，或者事先约定由某一特定投标人中标，然后再参加投标；</w:t>
      </w:r>
    </w:p>
    <w:p w14:paraId="169797FD">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6.投标人之间商定部分投标人放弃参加政府采购活动或者放弃中标；</w:t>
      </w:r>
    </w:p>
    <w:p w14:paraId="7A227060">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7.投标人与采购人或者采购代理机构之间、投标人相互之间，为谋求特定投标人中标或者排斥其他投标人的其他串通行为。</w:t>
      </w:r>
    </w:p>
    <w:p w14:paraId="603B6706">
      <w:pPr>
        <w:snapToGrid w:val="0"/>
        <w:spacing w:beforeLines="50" w:after="50" w:line="360" w:lineRule="auto"/>
        <w:ind w:firstLine="413" w:firstLineChars="196"/>
        <w:jc w:val="left"/>
        <w:rPr>
          <w:rFonts w:ascii="宋体" w:hAnsi="宋体" w:cs="宋体"/>
          <w:b/>
          <w:szCs w:val="21"/>
        </w:rPr>
      </w:pPr>
      <w:r>
        <w:rPr>
          <w:rFonts w:hint="eastAsia" w:ascii="宋体" w:hAnsi="宋体" w:cs="宋体"/>
          <w:b/>
          <w:szCs w:val="21"/>
        </w:rPr>
        <w:t>以上情形一经核查属实，我方愿意承担一切后果，并不再寻求任何旨在减轻或者免除法律责任的辩解。</w:t>
      </w:r>
    </w:p>
    <w:p w14:paraId="5994F2E3">
      <w:pPr>
        <w:snapToGrid w:val="0"/>
        <w:spacing w:beforeLines="50" w:line="360" w:lineRule="auto"/>
        <w:ind w:right="482" w:firstLine="5250" w:firstLineChars="2500"/>
        <w:rPr>
          <w:rFonts w:hAnsi="宋体" w:cs="宋体"/>
        </w:rPr>
      </w:pPr>
      <w:r>
        <w:rPr>
          <w:rFonts w:hint="eastAsia" w:hAnsi="宋体" w:cs="宋体"/>
        </w:rPr>
        <w:t>投标人名称（公章）</w:t>
      </w:r>
    </w:p>
    <w:p w14:paraId="27C389AF">
      <w:pPr>
        <w:snapToGrid w:val="0"/>
        <w:spacing w:beforeLines="50" w:line="360" w:lineRule="auto"/>
        <w:ind w:right="482" w:firstLine="5250" w:firstLineChars="2500"/>
        <w:rPr>
          <w:rFonts w:hAnsi="宋体" w:cs="宋体"/>
          <w:szCs w:val="18"/>
        </w:rPr>
        <w:sectPr>
          <w:pgSz w:w="11906" w:h="16838"/>
          <w:pgMar w:top="1134" w:right="1247" w:bottom="1560" w:left="1247" w:header="851" w:footer="992" w:gutter="0"/>
          <w:cols w:space="720" w:num="1"/>
          <w:titlePg/>
          <w:docGrid w:linePitch="312" w:charSpace="0"/>
        </w:sectPr>
      </w:pPr>
      <w:r>
        <w:rPr>
          <w:rFonts w:hint="eastAsia" w:hAnsi="宋体" w:cs="宋体"/>
          <w:szCs w:val="18"/>
        </w:rPr>
        <w:t>年月日</w:t>
      </w:r>
    </w:p>
    <w:p w14:paraId="3F5F03FC">
      <w:pPr>
        <w:snapToGrid w:val="0"/>
        <w:spacing w:beforeLines="50" w:after="50" w:line="360" w:lineRule="auto"/>
        <w:ind w:firstLine="472" w:firstLineChars="196"/>
        <w:jc w:val="left"/>
        <w:rPr>
          <w:rFonts w:ascii="宋体" w:hAnsi="宋体" w:cs="宋体"/>
          <w:b/>
          <w:sz w:val="24"/>
          <w:szCs w:val="20"/>
        </w:rPr>
      </w:pPr>
      <w:r>
        <w:rPr>
          <w:rFonts w:hint="eastAsia" w:ascii="宋体" w:hAnsi="宋体" w:cs="宋体"/>
          <w:b/>
          <w:sz w:val="24"/>
        </w:rPr>
        <w:t>3.法定代表人身份证明</w:t>
      </w:r>
    </w:p>
    <w:p w14:paraId="15051663">
      <w:pPr>
        <w:spacing w:beforeLines="100" w:afterLines="50" w:line="360" w:lineRule="auto"/>
        <w:ind w:left="540"/>
        <w:jc w:val="center"/>
        <w:rPr>
          <w:rFonts w:ascii="宋体" w:hAnsi="宋体" w:cs="宋体"/>
          <w:sz w:val="24"/>
        </w:rPr>
      </w:pPr>
      <w:r>
        <w:rPr>
          <w:rFonts w:hint="eastAsia" w:ascii="宋体" w:hAnsi="宋体" w:cs="宋体"/>
          <w:b/>
          <w:sz w:val="24"/>
        </w:rPr>
        <w:t>法定代表人身份证明</w:t>
      </w:r>
    </w:p>
    <w:p w14:paraId="2D1FFADB">
      <w:pPr>
        <w:spacing w:line="360" w:lineRule="auto"/>
        <w:ind w:left="540"/>
        <w:rPr>
          <w:rFonts w:ascii="宋体" w:hAnsi="宋体" w:cs="宋体"/>
          <w:szCs w:val="21"/>
        </w:rPr>
      </w:pPr>
      <w:r>
        <w:rPr>
          <w:rFonts w:hint="eastAsia" w:ascii="宋体" w:hAnsi="宋体" w:cs="宋体"/>
          <w:szCs w:val="21"/>
        </w:rPr>
        <w:t>投标人：</w:t>
      </w:r>
    </w:p>
    <w:p w14:paraId="01CC7AD5">
      <w:pPr>
        <w:spacing w:line="360" w:lineRule="auto"/>
        <w:ind w:left="540"/>
        <w:rPr>
          <w:rFonts w:ascii="宋体" w:hAnsi="宋体" w:cs="宋体"/>
          <w:szCs w:val="21"/>
        </w:rPr>
      </w:pPr>
      <w:r>
        <w:rPr>
          <w:rFonts w:hint="eastAsia" w:ascii="宋体" w:hAnsi="宋体" w:cs="宋体"/>
          <w:szCs w:val="21"/>
        </w:rPr>
        <w:t>地址：</w:t>
      </w:r>
    </w:p>
    <w:p w14:paraId="3DA607E3">
      <w:pPr>
        <w:spacing w:line="360" w:lineRule="auto"/>
        <w:ind w:left="540"/>
        <w:rPr>
          <w:rFonts w:ascii="宋体" w:hAnsi="宋体" w:cs="宋体"/>
          <w:szCs w:val="21"/>
        </w:rPr>
      </w:pPr>
      <w:r>
        <w:rPr>
          <w:rFonts w:hint="eastAsia" w:ascii="宋体" w:hAnsi="宋体" w:cs="宋体"/>
          <w:szCs w:val="21"/>
        </w:rPr>
        <w:t>姓名：性别：</w:t>
      </w:r>
    </w:p>
    <w:p w14:paraId="7E67FF03">
      <w:pPr>
        <w:spacing w:line="360" w:lineRule="auto"/>
        <w:ind w:left="540"/>
        <w:rPr>
          <w:rFonts w:ascii="宋体" w:hAnsi="宋体" w:cs="宋体"/>
          <w:szCs w:val="21"/>
          <w:u w:val="single"/>
        </w:rPr>
      </w:pPr>
      <w:r>
        <w:rPr>
          <w:rFonts w:hint="eastAsia" w:ascii="宋体" w:hAnsi="宋体" w:cs="宋体"/>
          <w:szCs w:val="21"/>
        </w:rPr>
        <w:t>年龄：职务：</w:t>
      </w:r>
    </w:p>
    <w:p w14:paraId="17AC2762">
      <w:pPr>
        <w:spacing w:line="360" w:lineRule="auto"/>
        <w:ind w:left="540"/>
        <w:rPr>
          <w:rFonts w:ascii="宋体" w:hAnsi="宋体" w:cs="宋体"/>
          <w:szCs w:val="21"/>
        </w:rPr>
      </w:pPr>
      <w:r>
        <w:rPr>
          <w:rFonts w:hint="eastAsia" w:ascii="宋体" w:hAnsi="宋体" w:cs="宋体"/>
          <w:szCs w:val="21"/>
        </w:rPr>
        <w:t>身份证号码：</w:t>
      </w:r>
    </w:p>
    <w:p w14:paraId="26E5D0FE">
      <w:pPr>
        <w:spacing w:line="360" w:lineRule="auto"/>
        <w:ind w:left="540"/>
        <w:rPr>
          <w:rFonts w:ascii="宋体" w:hAnsi="宋体" w:cs="宋体"/>
          <w:szCs w:val="21"/>
        </w:rPr>
      </w:pPr>
      <w:r>
        <w:rPr>
          <w:rFonts w:hint="eastAsia" w:ascii="宋体" w:hAnsi="宋体" w:cs="宋体"/>
          <w:szCs w:val="21"/>
        </w:rPr>
        <w:t>系</w:t>
      </w:r>
      <w:r>
        <w:rPr>
          <w:rFonts w:hint="eastAsia" w:ascii="宋体" w:hAnsi="宋体" w:cs="宋体"/>
          <w:szCs w:val="21"/>
          <w:u w:val="single"/>
        </w:rPr>
        <w:t>（投标人名称）</w:t>
      </w:r>
      <w:r>
        <w:rPr>
          <w:rFonts w:hint="eastAsia" w:ascii="宋体" w:hAnsi="宋体" w:cs="宋体"/>
          <w:szCs w:val="21"/>
        </w:rPr>
        <w:t>的法定代表人。</w:t>
      </w:r>
    </w:p>
    <w:p w14:paraId="73D7ABFD">
      <w:pPr>
        <w:spacing w:line="360" w:lineRule="auto"/>
        <w:ind w:left="540"/>
        <w:rPr>
          <w:rFonts w:ascii="宋体" w:hAnsi="宋体" w:cs="宋体"/>
          <w:szCs w:val="21"/>
        </w:rPr>
      </w:pPr>
      <w:r>
        <w:rPr>
          <w:rFonts w:hint="eastAsia" w:ascii="宋体" w:hAnsi="宋体" w:cs="宋体"/>
          <w:szCs w:val="21"/>
        </w:rPr>
        <w:t>特此证明。</w:t>
      </w:r>
    </w:p>
    <w:p w14:paraId="61D47E07">
      <w:pPr>
        <w:spacing w:line="360" w:lineRule="auto"/>
        <w:ind w:left="540"/>
        <w:rPr>
          <w:rFonts w:ascii="宋体" w:hAnsi="宋体" w:cs="宋体"/>
          <w:szCs w:val="21"/>
        </w:rPr>
      </w:pPr>
    </w:p>
    <w:p w14:paraId="629EE7EB">
      <w:pPr>
        <w:spacing w:line="360" w:lineRule="auto"/>
        <w:ind w:left="540"/>
        <w:rPr>
          <w:rFonts w:ascii="宋体" w:hAnsi="宋体" w:cs="宋体"/>
          <w:szCs w:val="21"/>
        </w:rPr>
      </w:pPr>
    </w:p>
    <w:p w14:paraId="226A4E06">
      <w:pPr>
        <w:spacing w:line="360" w:lineRule="auto"/>
        <w:ind w:left="540"/>
        <w:rPr>
          <w:rFonts w:ascii="宋体" w:hAnsi="宋体" w:cs="宋体"/>
          <w:szCs w:val="21"/>
        </w:rPr>
      </w:pPr>
      <w:r>
        <w:rPr>
          <w:rFonts w:hint="eastAsia" w:ascii="宋体" w:hAnsi="宋体" w:cs="宋体"/>
          <w:szCs w:val="21"/>
        </w:rPr>
        <w:t>附件：法定代表人有效身份证正反面复印件</w:t>
      </w:r>
    </w:p>
    <w:p w14:paraId="747146CC">
      <w:pPr>
        <w:spacing w:line="360" w:lineRule="auto"/>
        <w:ind w:left="540"/>
        <w:rPr>
          <w:rFonts w:ascii="宋体" w:hAnsi="宋体" w:cs="宋体"/>
          <w:szCs w:val="21"/>
        </w:rPr>
      </w:pPr>
    </w:p>
    <w:p w14:paraId="00AC3C55">
      <w:pPr>
        <w:snapToGrid w:val="0"/>
        <w:spacing w:beforeLines="50" w:line="360" w:lineRule="auto"/>
        <w:ind w:right="482" w:firstLine="5250" w:firstLineChars="2500"/>
        <w:rPr>
          <w:rFonts w:ascii="宋体" w:hAnsi="宋体" w:cs="宋体"/>
          <w:szCs w:val="21"/>
        </w:rPr>
      </w:pPr>
      <w:r>
        <w:rPr>
          <w:rFonts w:hint="eastAsia" w:hAnsi="宋体" w:cs="宋体"/>
        </w:rPr>
        <w:t>投标人</w:t>
      </w:r>
      <w:r>
        <w:rPr>
          <w:rFonts w:hint="eastAsia" w:ascii="宋体" w:hAnsi="宋体" w:cs="宋体"/>
          <w:szCs w:val="21"/>
        </w:rPr>
        <w:t>名称（公章）</w:t>
      </w:r>
    </w:p>
    <w:p w14:paraId="0C835C21">
      <w:pPr>
        <w:snapToGrid w:val="0"/>
        <w:spacing w:beforeLines="50" w:line="360" w:lineRule="auto"/>
        <w:ind w:right="482" w:firstLine="5250" w:firstLineChars="2500"/>
        <w:rPr>
          <w:rFonts w:ascii="宋体" w:hAnsi="宋体" w:cs="宋体"/>
          <w:szCs w:val="21"/>
        </w:rPr>
      </w:pPr>
    </w:p>
    <w:p w14:paraId="5C006012">
      <w:pPr>
        <w:snapToGrid w:val="0"/>
        <w:spacing w:beforeLines="50" w:line="360" w:lineRule="auto"/>
        <w:ind w:right="482" w:firstLine="5250" w:firstLineChars="2500"/>
        <w:rPr>
          <w:rFonts w:ascii="宋体" w:hAnsi="宋体" w:cs="宋体"/>
          <w:szCs w:val="21"/>
        </w:rPr>
      </w:pPr>
      <w:r>
        <w:rPr>
          <w:rFonts w:hint="eastAsia" w:ascii="宋体" w:hAnsi="宋体" w:cs="宋体"/>
          <w:szCs w:val="21"/>
        </w:rPr>
        <w:t>年月日</w:t>
      </w:r>
    </w:p>
    <w:p w14:paraId="277C4F6F">
      <w:pPr>
        <w:spacing w:line="360" w:lineRule="auto"/>
        <w:ind w:left="540"/>
        <w:rPr>
          <w:rFonts w:ascii="宋体" w:hAnsi="宋体" w:cs="宋体"/>
          <w:b/>
          <w:szCs w:val="21"/>
        </w:rPr>
      </w:pPr>
    </w:p>
    <w:p w14:paraId="227DB505">
      <w:pPr>
        <w:spacing w:line="360" w:lineRule="auto"/>
        <w:ind w:left="540"/>
        <w:rPr>
          <w:rFonts w:ascii="宋体" w:hAnsi="宋体" w:cs="宋体"/>
          <w:szCs w:val="21"/>
        </w:rPr>
        <w:sectPr>
          <w:pgSz w:w="11906" w:h="16838"/>
          <w:pgMar w:top="1134" w:right="1247" w:bottom="1560" w:left="1247" w:header="851" w:footer="992" w:gutter="0"/>
          <w:cols w:space="720" w:num="1"/>
          <w:titlePg/>
          <w:docGrid w:linePitch="312" w:charSpace="0"/>
        </w:sectPr>
      </w:pPr>
      <w:r>
        <w:rPr>
          <w:rFonts w:hint="eastAsia" w:ascii="宋体" w:hAnsi="宋体" w:cs="宋体"/>
          <w:szCs w:val="21"/>
        </w:rPr>
        <w:t>注：自然人投标的无需提供</w:t>
      </w:r>
    </w:p>
    <w:p w14:paraId="759005A3">
      <w:pPr>
        <w:snapToGrid w:val="0"/>
        <w:spacing w:beforeLines="50" w:after="50" w:line="360" w:lineRule="auto"/>
        <w:jc w:val="left"/>
        <w:rPr>
          <w:rFonts w:ascii="宋体" w:hAnsi="宋体" w:cs="宋体"/>
          <w:b/>
          <w:sz w:val="24"/>
          <w:szCs w:val="20"/>
        </w:rPr>
      </w:pPr>
      <w:r>
        <w:rPr>
          <w:rFonts w:hint="eastAsia" w:ascii="宋体" w:hAnsi="宋体" w:cs="宋体"/>
          <w:b/>
          <w:sz w:val="24"/>
        </w:rPr>
        <w:t>4.法定代表人授权委托书格式</w:t>
      </w:r>
    </w:p>
    <w:p w14:paraId="7106EEE9">
      <w:pPr>
        <w:snapToGrid w:val="0"/>
        <w:spacing w:beforeLines="50" w:after="50" w:line="360" w:lineRule="auto"/>
        <w:jc w:val="center"/>
        <w:rPr>
          <w:rFonts w:ascii="宋体" w:hAnsi="宋体" w:cs="宋体"/>
          <w:b/>
          <w:sz w:val="24"/>
        </w:rPr>
      </w:pPr>
      <w:r>
        <w:rPr>
          <w:rFonts w:hint="eastAsia" w:ascii="宋体" w:hAnsi="宋体" w:cs="宋体"/>
          <w:b/>
          <w:sz w:val="24"/>
        </w:rPr>
        <w:t>法定代表人授权委托书（非联合体投标格式）</w:t>
      </w:r>
    </w:p>
    <w:p w14:paraId="30004F15">
      <w:pPr>
        <w:snapToGrid w:val="0"/>
        <w:spacing w:beforeLines="50" w:after="50" w:line="360" w:lineRule="auto"/>
        <w:jc w:val="center"/>
        <w:rPr>
          <w:rFonts w:ascii="宋体" w:hAnsi="宋体" w:cs="宋体"/>
          <w:b/>
          <w:szCs w:val="21"/>
        </w:rPr>
      </w:pPr>
      <w:r>
        <w:rPr>
          <w:rFonts w:hint="eastAsia" w:ascii="宋体" w:hAnsi="宋体" w:cs="宋体"/>
          <w:b/>
          <w:sz w:val="24"/>
        </w:rPr>
        <w:t>（如有委托时）</w:t>
      </w:r>
    </w:p>
    <w:p w14:paraId="7B979C4D">
      <w:pPr>
        <w:snapToGrid w:val="0"/>
        <w:spacing w:beforeLines="50" w:after="50" w:line="360" w:lineRule="auto"/>
        <w:jc w:val="center"/>
        <w:rPr>
          <w:rFonts w:ascii="宋体" w:hAnsi="宋体" w:cs="宋体"/>
          <w:b/>
          <w:szCs w:val="21"/>
        </w:rPr>
      </w:pPr>
    </w:p>
    <w:p w14:paraId="06CE84E2">
      <w:pPr>
        <w:snapToGrid w:val="0"/>
        <w:spacing w:beforeLines="50" w:after="50" w:line="360" w:lineRule="auto"/>
        <w:rPr>
          <w:rFonts w:ascii="宋体" w:hAnsi="宋体" w:cs="宋体"/>
          <w:b/>
          <w:bCs/>
          <w:szCs w:val="21"/>
        </w:rPr>
      </w:pPr>
      <w:r>
        <w:rPr>
          <w:rFonts w:hint="eastAsia" w:ascii="宋体" w:hAnsi="宋体" w:cs="宋体"/>
          <w:bCs/>
          <w:szCs w:val="21"/>
        </w:rPr>
        <w:t>致：</w:t>
      </w:r>
      <w:r>
        <w:rPr>
          <w:rFonts w:hint="eastAsia" w:ascii="宋体" w:hAnsi="宋体" w:cs="宋体"/>
          <w:szCs w:val="21"/>
          <w:u w:val="single"/>
        </w:rPr>
        <w:t>采购人名称</w:t>
      </w:r>
      <w:r>
        <w:rPr>
          <w:rFonts w:hint="eastAsia" w:ascii="宋体" w:hAnsi="宋体" w:cs="宋体"/>
          <w:szCs w:val="21"/>
        </w:rPr>
        <w:t>：</w:t>
      </w:r>
    </w:p>
    <w:p w14:paraId="7953AB48">
      <w:pPr>
        <w:snapToGrid w:val="0"/>
        <w:spacing w:beforeLines="50" w:after="50" w:line="360" w:lineRule="auto"/>
        <w:ind w:firstLine="495" w:firstLineChars="236"/>
        <w:rPr>
          <w:rFonts w:ascii="宋体" w:hAnsi="宋体" w:cs="宋体"/>
          <w:szCs w:val="21"/>
        </w:rPr>
      </w:pPr>
      <w:r>
        <w:rPr>
          <w:rFonts w:hint="eastAsia" w:ascii="宋体" w:hAnsi="宋体" w:cs="宋体"/>
          <w:szCs w:val="21"/>
        </w:rPr>
        <w:t>我（姓名）系（投标人名称）的法定代表人，现授权委托</w:t>
      </w:r>
      <w:r>
        <w:rPr>
          <w:rFonts w:hint="eastAsia" w:ascii="宋体" w:hAnsi="宋体" w:cs="宋体"/>
          <w:szCs w:val="21"/>
          <w:u w:val="single"/>
        </w:rPr>
        <w:t>（姓名）</w:t>
      </w:r>
      <w:r>
        <w:rPr>
          <w:rFonts w:hint="eastAsia" w:ascii="宋体" w:hAnsi="宋体" w:cs="宋体"/>
          <w:szCs w:val="21"/>
        </w:rPr>
        <w:t>以我方的名义参加</w:t>
      </w:r>
      <w:r>
        <w:rPr>
          <w:rFonts w:hint="eastAsia" w:ascii="宋体" w:hAnsi="宋体" w:cs="宋体"/>
          <w:szCs w:val="21"/>
          <w:u w:val="single"/>
        </w:rPr>
        <w:t>（项目名称、标项名称和项目编号）</w:t>
      </w:r>
      <w:r>
        <w:rPr>
          <w:rFonts w:hint="eastAsia" w:ascii="宋体" w:hAnsi="宋体" w:cs="宋体"/>
          <w:szCs w:val="21"/>
        </w:rPr>
        <w:t>项目的投标活动，并代表我方全权办理针对上述项目的所有采购程序和环节的具体事务和签署相关文件。</w:t>
      </w:r>
    </w:p>
    <w:p w14:paraId="766985DE">
      <w:pPr>
        <w:snapToGrid w:val="0"/>
        <w:spacing w:beforeLines="50" w:after="50" w:line="360" w:lineRule="auto"/>
        <w:rPr>
          <w:rFonts w:ascii="宋体" w:hAnsi="宋体" w:cs="宋体"/>
          <w:szCs w:val="21"/>
        </w:rPr>
      </w:pPr>
      <w:r>
        <w:rPr>
          <w:rFonts w:hint="eastAsia" w:ascii="宋体" w:hAnsi="宋体" w:cs="宋体"/>
          <w:szCs w:val="21"/>
        </w:rPr>
        <w:t>我方对委托代理人的签字事项负全部责任。</w:t>
      </w:r>
    </w:p>
    <w:p w14:paraId="0DF45069">
      <w:pPr>
        <w:snapToGrid w:val="0"/>
        <w:spacing w:beforeLines="50" w:after="50" w:line="360" w:lineRule="auto"/>
        <w:ind w:firstLine="480"/>
        <w:rPr>
          <w:rFonts w:ascii="宋体" w:hAnsi="宋体" w:cs="宋体"/>
          <w:szCs w:val="21"/>
        </w:rPr>
      </w:pPr>
      <w:r>
        <w:rPr>
          <w:rFonts w:hint="eastAsia" w:ascii="宋体" w:hAnsi="宋体" w:cs="宋体"/>
          <w:szCs w:val="21"/>
          <w:u w:val="single"/>
        </w:rPr>
        <w:t>本授权书自签署之日起生效，在撤销授权的书面通知以前，本授权书一直有效。委托代理人在授权书有效期内签署的所有文件不因授权的撤销而失效。</w:t>
      </w:r>
    </w:p>
    <w:p w14:paraId="1FB9341D">
      <w:pPr>
        <w:snapToGrid w:val="0"/>
        <w:spacing w:beforeLines="50" w:after="50" w:line="360" w:lineRule="auto"/>
        <w:ind w:firstLine="480"/>
        <w:rPr>
          <w:rFonts w:ascii="宋体" w:hAnsi="宋体" w:cs="宋体"/>
          <w:szCs w:val="21"/>
        </w:rPr>
      </w:pPr>
      <w:r>
        <w:rPr>
          <w:rFonts w:hint="eastAsia" w:ascii="宋体" w:hAnsi="宋体" w:cs="宋体"/>
          <w:szCs w:val="21"/>
        </w:rPr>
        <w:t>委托代理人无转委托权，特此委托。</w:t>
      </w:r>
    </w:p>
    <w:p w14:paraId="68AB7F55">
      <w:pPr>
        <w:snapToGrid w:val="0"/>
        <w:spacing w:beforeLines="50" w:after="50" w:line="360" w:lineRule="auto"/>
        <w:ind w:firstLine="480"/>
        <w:rPr>
          <w:rFonts w:ascii="宋体" w:hAnsi="宋体" w:cs="宋体"/>
          <w:szCs w:val="21"/>
        </w:rPr>
      </w:pPr>
      <w:r>
        <w:rPr>
          <w:rFonts w:hint="eastAsia" w:ascii="宋体" w:hAnsi="宋体" w:cs="宋体"/>
          <w:szCs w:val="21"/>
        </w:rPr>
        <w:t>附：法定代表人身份证明及委托代理人有效身份证正反面复印件</w:t>
      </w:r>
    </w:p>
    <w:p w14:paraId="2ABB71FD">
      <w:pPr>
        <w:snapToGrid w:val="0"/>
        <w:spacing w:beforeLines="50" w:after="50" w:line="360" w:lineRule="auto"/>
        <w:ind w:firstLine="480"/>
        <w:rPr>
          <w:rFonts w:ascii="宋体" w:hAnsi="宋体" w:cs="宋体"/>
          <w:szCs w:val="21"/>
        </w:rPr>
      </w:pPr>
    </w:p>
    <w:p w14:paraId="45D66C6B">
      <w:pPr>
        <w:snapToGrid w:val="0"/>
        <w:spacing w:beforeLines="50" w:after="50" w:line="360" w:lineRule="auto"/>
        <w:ind w:firstLine="480"/>
        <w:rPr>
          <w:rFonts w:ascii="宋体" w:hAnsi="宋体" w:cs="宋体"/>
          <w:szCs w:val="21"/>
          <w:u w:val="single"/>
        </w:rPr>
      </w:pPr>
      <w:r>
        <w:rPr>
          <w:rFonts w:hint="eastAsia" w:ascii="宋体" w:hAnsi="宋体" w:cs="宋体"/>
          <w:szCs w:val="21"/>
        </w:rPr>
        <w:t>委托代理人签字或盖章：法定代表人签字或盖章：</w:t>
      </w:r>
    </w:p>
    <w:p w14:paraId="3CD98963">
      <w:pPr>
        <w:snapToGrid w:val="0"/>
        <w:spacing w:beforeLines="50" w:after="50" w:line="360" w:lineRule="auto"/>
        <w:ind w:firstLine="480"/>
        <w:rPr>
          <w:rFonts w:ascii="宋体" w:hAnsi="宋体" w:cs="宋体"/>
          <w:szCs w:val="21"/>
        </w:rPr>
      </w:pPr>
      <w:r>
        <w:rPr>
          <w:rFonts w:hint="eastAsia" w:ascii="宋体" w:hAnsi="宋体" w:cs="宋体"/>
          <w:szCs w:val="21"/>
        </w:rPr>
        <w:t>所在部门职务：职务：</w:t>
      </w:r>
    </w:p>
    <w:p w14:paraId="37579BC1">
      <w:pPr>
        <w:snapToGrid w:val="0"/>
        <w:spacing w:beforeLines="50" w:after="50" w:line="360" w:lineRule="auto"/>
        <w:ind w:firstLine="480"/>
        <w:rPr>
          <w:rFonts w:ascii="宋体" w:hAnsi="宋体" w:cs="宋体"/>
          <w:szCs w:val="21"/>
        </w:rPr>
      </w:pPr>
      <w:r>
        <w:rPr>
          <w:rFonts w:hint="eastAsia" w:ascii="宋体" w:hAnsi="宋体" w:cs="宋体"/>
          <w:szCs w:val="21"/>
        </w:rPr>
        <w:t>委托代理人身份证号码：</w:t>
      </w:r>
    </w:p>
    <w:p w14:paraId="0641400B">
      <w:pPr>
        <w:snapToGrid w:val="0"/>
        <w:spacing w:beforeLines="50" w:after="50" w:line="360" w:lineRule="auto"/>
        <w:ind w:firstLine="5250" w:firstLineChars="2500"/>
        <w:rPr>
          <w:rFonts w:ascii="宋体" w:hAnsi="宋体" w:cs="宋体"/>
          <w:szCs w:val="21"/>
        </w:rPr>
      </w:pPr>
      <w:r>
        <w:rPr>
          <w:rFonts w:hint="eastAsia" w:ascii="宋体" w:hAnsi="宋体" w:cs="宋体"/>
          <w:szCs w:val="21"/>
        </w:rPr>
        <w:t>投标人（盖公章）：</w:t>
      </w:r>
    </w:p>
    <w:p w14:paraId="725CE2CD">
      <w:pPr>
        <w:snapToGrid w:val="0"/>
        <w:spacing w:beforeLines="50" w:after="50" w:line="360" w:lineRule="auto"/>
        <w:ind w:firstLine="5250" w:firstLineChars="2500"/>
        <w:rPr>
          <w:rFonts w:ascii="宋体" w:hAnsi="宋体" w:cs="宋体"/>
          <w:szCs w:val="21"/>
        </w:rPr>
      </w:pPr>
      <w:r>
        <w:rPr>
          <w:rFonts w:hint="eastAsia" w:ascii="宋体" w:hAnsi="宋体" w:cs="宋体"/>
          <w:szCs w:val="21"/>
        </w:rPr>
        <w:t>年月日</w:t>
      </w:r>
    </w:p>
    <w:p w14:paraId="6574E55D">
      <w:pPr>
        <w:snapToGrid w:val="0"/>
        <w:spacing w:beforeLines="50" w:after="50" w:line="360" w:lineRule="auto"/>
        <w:ind w:firstLine="480"/>
        <w:rPr>
          <w:rFonts w:ascii="宋体" w:hAnsi="宋体" w:cs="宋体"/>
          <w:szCs w:val="21"/>
        </w:rPr>
      </w:pPr>
    </w:p>
    <w:p w14:paraId="0F2E7301">
      <w:pPr>
        <w:snapToGrid w:val="0"/>
        <w:spacing w:beforeLines="50" w:after="50" w:line="360" w:lineRule="auto"/>
        <w:ind w:firstLine="480"/>
        <w:rPr>
          <w:rFonts w:ascii="宋体" w:hAnsi="宋体" w:cs="宋体"/>
          <w:szCs w:val="21"/>
        </w:rPr>
      </w:pPr>
    </w:p>
    <w:p w14:paraId="1AC30BFE">
      <w:pPr>
        <w:snapToGrid w:val="0"/>
        <w:spacing w:beforeLines="50" w:after="50" w:line="360" w:lineRule="auto"/>
        <w:ind w:firstLine="480"/>
        <w:rPr>
          <w:rFonts w:ascii="宋体" w:hAnsi="宋体" w:cs="宋体"/>
          <w:szCs w:val="21"/>
        </w:rPr>
      </w:pPr>
    </w:p>
    <w:p w14:paraId="4F86986C">
      <w:pPr>
        <w:snapToGrid w:val="0"/>
        <w:spacing w:beforeLines="50" w:after="50" w:line="360" w:lineRule="auto"/>
        <w:ind w:firstLine="480"/>
        <w:rPr>
          <w:rFonts w:ascii="宋体" w:hAnsi="宋体" w:cs="宋体"/>
          <w:szCs w:val="21"/>
        </w:rPr>
      </w:pPr>
      <w:r>
        <w:rPr>
          <w:rFonts w:hint="eastAsia" w:ascii="宋体" w:hAnsi="宋体" w:cs="宋体"/>
          <w:szCs w:val="21"/>
        </w:rPr>
        <w:t>注：</w:t>
      </w:r>
    </w:p>
    <w:p w14:paraId="708A29A8">
      <w:pPr>
        <w:snapToGrid w:val="0"/>
        <w:spacing w:beforeLines="50" w:after="50" w:line="360" w:lineRule="auto"/>
        <w:ind w:firstLine="480"/>
        <w:rPr>
          <w:rFonts w:ascii="宋体" w:hAnsi="宋体" w:cs="宋体"/>
          <w:szCs w:val="21"/>
        </w:rPr>
      </w:pPr>
      <w:r>
        <w:rPr>
          <w:rFonts w:hint="eastAsia" w:ascii="宋体" w:hAnsi="宋体" w:cs="宋体"/>
          <w:szCs w:val="21"/>
        </w:rPr>
        <w:t>1.法定代表人和委托代理人必须在授权委托书上签字或盖章，</w:t>
      </w:r>
      <w:r>
        <w:rPr>
          <w:rFonts w:hint="eastAsia" w:ascii="宋体" w:hAnsi="宋体" w:cs="宋体"/>
          <w:b/>
          <w:bCs/>
          <w:szCs w:val="21"/>
        </w:rPr>
        <w:t>否则作无效投标处理</w:t>
      </w:r>
      <w:r>
        <w:rPr>
          <w:rFonts w:hint="eastAsia" w:ascii="宋体" w:hAnsi="宋体" w:cs="宋体"/>
          <w:szCs w:val="21"/>
        </w:rPr>
        <w:t>；</w:t>
      </w:r>
    </w:p>
    <w:p w14:paraId="1AEBCD93">
      <w:pPr>
        <w:snapToGrid w:val="0"/>
        <w:spacing w:beforeLines="50" w:after="50" w:line="360" w:lineRule="auto"/>
        <w:ind w:firstLine="480"/>
        <w:rPr>
          <w:rFonts w:ascii="宋体" w:hAnsi="宋体" w:cs="宋体"/>
          <w:szCs w:val="21"/>
        </w:rPr>
        <w:sectPr>
          <w:pgSz w:w="11906" w:h="16838"/>
          <w:pgMar w:top="1134" w:right="1247" w:bottom="1560" w:left="1247" w:header="851" w:footer="992" w:gutter="0"/>
          <w:cols w:space="720" w:num="1"/>
          <w:titlePg/>
          <w:docGrid w:linePitch="312" w:charSpace="0"/>
        </w:sectPr>
      </w:pPr>
      <w:r>
        <w:rPr>
          <w:rFonts w:hint="eastAsia" w:ascii="宋体" w:hAnsi="宋体" w:cs="宋体"/>
          <w:szCs w:val="21"/>
        </w:rPr>
        <w:t>2.供应商为其他组织或者自然人时，本招标文件规定的法定代表人指负责人或者自然人。本招标文件所称负责人是指参加投标的其他组织营业执照上的负责人，本招标文件所称自然人指参与投标的自然人本人。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18FB2F6">
      <w:pPr>
        <w:spacing w:line="360" w:lineRule="auto"/>
        <w:rPr>
          <w:rFonts w:ascii="宋体" w:hAnsi="宋体" w:cs="宋体"/>
          <w:b/>
          <w:sz w:val="24"/>
          <w:szCs w:val="20"/>
        </w:rPr>
      </w:pPr>
      <w:r>
        <w:rPr>
          <w:rFonts w:hint="eastAsia" w:ascii="宋体" w:hAnsi="宋体" w:cs="宋体"/>
          <w:b/>
          <w:sz w:val="24"/>
        </w:rPr>
        <w:t>5.商务条款偏离表</w:t>
      </w:r>
    </w:p>
    <w:p w14:paraId="303D775E">
      <w:pPr>
        <w:snapToGrid w:val="0"/>
        <w:spacing w:before="50" w:line="360" w:lineRule="auto"/>
        <w:jc w:val="left"/>
        <w:rPr>
          <w:rFonts w:ascii="宋体" w:hAnsi="宋体" w:cs="宋体"/>
          <w:sz w:val="24"/>
        </w:rPr>
      </w:pPr>
    </w:p>
    <w:p w14:paraId="73F7D09F">
      <w:pPr>
        <w:pStyle w:val="24"/>
        <w:spacing w:line="360" w:lineRule="auto"/>
        <w:rPr>
          <w:rFonts w:hAnsi="宋体" w:cs="宋体"/>
          <w:sz w:val="21"/>
        </w:rPr>
      </w:pPr>
    </w:p>
    <w:p w14:paraId="24D63C98">
      <w:pPr>
        <w:snapToGrid w:val="0"/>
        <w:spacing w:before="50" w:line="360" w:lineRule="auto"/>
        <w:jc w:val="left"/>
        <w:rPr>
          <w:rFonts w:ascii="宋体" w:hAnsi="宋体" w:cs="宋体"/>
          <w:szCs w:val="21"/>
          <w:u w:val="single"/>
        </w:rPr>
      </w:pPr>
    </w:p>
    <w:tbl>
      <w:tblPr>
        <w:tblStyle w:val="46"/>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3450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tcPr>
          <w:p w14:paraId="09D5F16C">
            <w:pPr>
              <w:snapToGrid w:val="0"/>
              <w:spacing w:beforeLines="50" w:line="360" w:lineRule="auto"/>
              <w:jc w:val="center"/>
              <w:rPr>
                <w:rFonts w:ascii="宋体" w:hAnsi="宋体" w:cs="宋体"/>
                <w:szCs w:val="21"/>
              </w:rPr>
            </w:pPr>
            <w:r>
              <w:rPr>
                <w:rFonts w:hint="eastAsia" w:ascii="宋体" w:hAnsi="宋体" w:cs="宋体"/>
                <w:szCs w:val="21"/>
              </w:rPr>
              <w:t>项目</w:t>
            </w:r>
          </w:p>
        </w:tc>
        <w:tc>
          <w:tcPr>
            <w:tcW w:w="3336" w:type="dxa"/>
            <w:tcBorders>
              <w:top w:val="single" w:color="auto" w:sz="4" w:space="0"/>
              <w:left w:val="single" w:color="auto" w:sz="4" w:space="0"/>
              <w:bottom w:val="single" w:color="auto" w:sz="4" w:space="0"/>
              <w:right w:val="single" w:color="auto" w:sz="4" w:space="0"/>
            </w:tcBorders>
            <w:noWrap/>
          </w:tcPr>
          <w:p w14:paraId="3A140E8C">
            <w:pPr>
              <w:snapToGrid w:val="0"/>
              <w:spacing w:beforeLines="50" w:line="360" w:lineRule="auto"/>
              <w:jc w:val="center"/>
              <w:rPr>
                <w:rFonts w:ascii="宋体" w:hAnsi="宋体" w:cs="宋体"/>
                <w:szCs w:val="21"/>
              </w:rPr>
            </w:pPr>
            <w:r>
              <w:rPr>
                <w:rFonts w:hint="eastAsia" w:ascii="宋体" w:hAnsi="宋体" w:cs="宋体"/>
                <w:szCs w:val="21"/>
              </w:rPr>
              <w:t>招标文件商务条款要求</w:t>
            </w:r>
          </w:p>
        </w:tc>
        <w:tc>
          <w:tcPr>
            <w:tcW w:w="1760" w:type="dxa"/>
            <w:tcBorders>
              <w:top w:val="single" w:color="auto" w:sz="4" w:space="0"/>
              <w:left w:val="single" w:color="auto" w:sz="4" w:space="0"/>
              <w:bottom w:val="single" w:color="auto" w:sz="4" w:space="0"/>
              <w:right w:val="single" w:color="auto" w:sz="4" w:space="0"/>
            </w:tcBorders>
            <w:noWrap/>
          </w:tcPr>
          <w:p w14:paraId="2B46197E">
            <w:pPr>
              <w:snapToGrid w:val="0"/>
              <w:spacing w:beforeLines="50" w:line="360" w:lineRule="auto"/>
              <w:jc w:val="center"/>
              <w:rPr>
                <w:rFonts w:ascii="宋体" w:hAnsi="宋体" w:cs="宋体"/>
                <w:szCs w:val="21"/>
              </w:rPr>
            </w:pPr>
            <w:r>
              <w:rPr>
                <w:rFonts w:hint="eastAsia" w:ascii="宋体" w:hAnsi="宋体" w:cs="宋体"/>
                <w:szCs w:val="21"/>
              </w:rPr>
              <w:t>投标人的承诺</w:t>
            </w:r>
          </w:p>
        </w:tc>
        <w:tc>
          <w:tcPr>
            <w:tcW w:w="2035" w:type="dxa"/>
            <w:tcBorders>
              <w:top w:val="single" w:color="auto" w:sz="4" w:space="0"/>
              <w:left w:val="single" w:color="auto" w:sz="4" w:space="0"/>
              <w:bottom w:val="single" w:color="auto" w:sz="4" w:space="0"/>
              <w:right w:val="single" w:color="auto" w:sz="4" w:space="0"/>
            </w:tcBorders>
            <w:noWrap/>
          </w:tcPr>
          <w:p w14:paraId="7F3DD6A3">
            <w:pPr>
              <w:snapToGrid w:val="0"/>
              <w:spacing w:beforeLines="50" w:line="360" w:lineRule="auto"/>
              <w:jc w:val="center"/>
              <w:rPr>
                <w:rFonts w:ascii="宋体" w:hAnsi="宋体" w:cs="宋体"/>
                <w:szCs w:val="21"/>
              </w:rPr>
            </w:pPr>
            <w:r>
              <w:rPr>
                <w:rFonts w:hint="eastAsia" w:ascii="宋体" w:hAnsi="宋体" w:cs="宋体"/>
                <w:szCs w:val="21"/>
              </w:rPr>
              <w:t>偏离说明</w:t>
            </w:r>
          </w:p>
        </w:tc>
      </w:tr>
      <w:tr w14:paraId="0E46C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tcPr>
          <w:p w14:paraId="739C7EBC">
            <w:pPr>
              <w:snapToGrid w:val="0"/>
              <w:spacing w:beforeLines="50" w:line="360" w:lineRule="auto"/>
              <w:jc w:val="center"/>
              <w:rPr>
                <w:rFonts w:ascii="宋体" w:hAnsi="宋体" w:cs="宋体"/>
                <w:szCs w:val="21"/>
              </w:rPr>
            </w:pPr>
          </w:p>
        </w:tc>
        <w:tc>
          <w:tcPr>
            <w:tcW w:w="3336" w:type="dxa"/>
            <w:tcBorders>
              <w:top w:val="single" w:color="auto" w:sz="4" w:space="0"/>
              <w:left w:val="single" w:color="auto" w:sz="4" w:space="0"/>
              <w:bottom w:val="single" w:color="auto" w:sz="4" w:space="0"/>
              <w:right w:val="single" w:color="auto" w:sz="4" w:space="0"/>
            </w:tcBorders>
            <w:noWrap/>
          </w:tcPr>
          <w:p w14:paraId="1B105ED8">
            <w:pPr>
              <w:snapToGrid w:val="0"/>
              <w:spacing w:beforeLines="50" w:line="360" w:lineRule="auto"/>
              <w:jc w:val="center"/>
              <w:rPr>
                <w:rFonts w:ascii="宋体" w:hAnsi="宋体" w:cs="宋体"/>
                <w:szCs w:val="21"/>
              </w:rPr>
            </w:pPr>
          </w:p>
        </w:tc>
        <w:tc>
          <w:tcPr>
            <w:tcW w:w="1760" w:type="dxa"/>
            <w:tcBorders>
              <w:top w:val="single" w:color="auto" w:sz="4" w:space="0"/>
              <w:left w:val="single" w:color="auto" w:sz="4" w:space="0"/>
              <w:bottom w:val="single" w:color="auto" w:sz="4" w:space="0"/>
              <w:right w:val="single" w:color="auto" w:sz="4" w:space="0"/>
            </w:tcBorders>
            <w:noWrap/>
          </w:tcPr>
          <w:p w14:paraId="1601BFC6">
            <w:pPr>
              <w:snapToGrid w:val="0"/>
              <w:spacing w:beforeLines="50" w:line="360" w:lineRule="auto"/>
              <w:jc w:val="center"/>
              <w:rPr>
                <w:rFonts w:ascii="宋体" w:hAnsi="宋体" w:cs="宋体"/>
                <w:szCs w:val="21"/>
              </w:rPr>
            </w:pPr>
          </w:p>
        </w:tc>
        <w:tc>
          <w:tcPr>
            <w:tcW w:w="2035" w:type="dxa"/>
            <w:tcBorders>
              <w:top w:val="single" w:color="auto" w:sz="4" w:space="0"/>
              <w:left w:val="single" w:color="auto" w:sz="4" w:space="0"/>
              <w:bottom w:val="single" w:color="auto" w:sz="4" w:space="0"/>
              <w:right w:val="single" w:color="auto" w:sz="4" w:space="0"/>
            </w:tcBorders>
            <w:noWrap/>
          </w:tcPr>
          <w:p w14:paraId="30F298AB">
            <w:pPr>
              <w:snapToGrid w:val="0"/>
              <w:spacing w:beforeLines="50" w:line="360" w:lineRule="auto"/>
              <w:jc w:val="center"/>
              <w:rPr>
                <w:rFonts w:ascii="宋体" w:hAnsi="宋体" w:cs="宋体"/>
                <w:szCs w:val="21"/>
              </w:rPr>
            </w:pPr>
          </w:p>
        </w:tc>
      </w:tr>
      <w:tr w14:paraId="03FDB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tcPr>
          <w:p w14:paraId="78168CA5">
            <w:pPr>
              <w:snapToGrid w:val="0"/>
              <w:spacing w:beforeLines="50" w:line="360" w:lineRule="auto"/>
              <w:ind w:left="43"/>
              <w:jc w:val="center"/>
              <w:rPr>
                <w:rFonts w:ascii="宋体" w:hAnsi="宋体" w:cs="宋体"/>
                <w:szCs w:val="21"/>
              </w:rPr>
            </w:pPr>
          </w:p>
        </w:tc>
        <w:tc>
          <w:tcPr>
            <w:tcW w:w="3336" w:type="dxa"/>
            <w:tcBorders>
              <w:top w:val="single" w:color="auto" w:sz="4" w:space="0"/>
              <w:left w:val="single" w:color="auto" w:sz="4" w:space="0"/>
              <w:bottom w:val="single" w:color="auto" w:sz="4" w:space="0"/>
              <w:right w:val="single" w:color="auto" w:sz="4" w:space="0"/>
            </w:tcBorders>
            <w:noWrap/>
          </w:tcPr>
          <w:p w14:paraId="4DB8B46B">
            <w:pPr>
              <w:snapToGrid w:val="0"/>
              <w:spacing w:beforeLines="50" w:line="360" w:lineRule="auto"/>
              <w:ind w:left="43"/>
              <w:jc w:val="center"/>
              <w:rPr>
                <w:rFonts w:ascii="宋体" w:hAnsi="宋体" w:cs="宋体"/>
                <w:szCs w:val="21"/>
              </w:rPr>
            </w:pPr>
          </w:p>
        </w:tc>
        <w:tc>
          <w:tcPr>
            <w:tcW w:w="1760" w:type="dxa"/>
            <w:tcBorders>
              <w:top w:val="single" w:color="auto" w:sz="4" w:space="0"/>
              <w:left w:val="single" w:color="auto" w:sz="4" w:space="0"/>
              <w:bottom w:val="single" w:color="auto" w:sz="4" w:space="0"/>
              <w:right w:val="single" w:color="auto" w:sz="4" w:space="0"/>
            </w:tcBorders>
            <w:noWrap/>
          </w:tcPr>
          <w:p w14:paraId="728C1F35">
            <w:pPr>
              <w:snapToGrid w:val="0"/>
              <w:spacing w:beforeLines="50" w:line="360" w:lineRule="auto"/>
              <w:ind w:left="43"/>
              <w:jc w:val="center"/>
              <w:rPr>
                <w:rFonts w:ascii="宋体" w:hAnsi="宋体" w:cs="宋体"/>
                <w:szCs w:val="21"/>
              </w:rPr>
            </w:pPr>
          </w:p>
        </w:tc>
        <w:tc>
          <w:tcPr>
            <w:tcW w:w="2035" w:type="dxa"/>
            <w:tcBorders>
              <w:top w:val="single" w:color="auto" w:sz="4" w:space="0"/>
              <w:left w:val="single" w:color="auto" w:sz="4" w:space="0"/>
              <w:bottom w:val="single" w:color="auto" w:sz="4" w:space="0"/>
              <w:right w:val="single" w:color="auto" w:sz="4" w:space="0"/>
            </w:tcBorders>
            <w:noWrap/>
          </w:tcPr>
          <w:p w14:paraId="5DB113F5">
            <w:pPr>
              <w:snapToGrid w:val="0"/>
              <w:spacing w:beforeLines="50" w:line="360" w:lineRule="auto"/>
              <w:ind w:left="43"/>
              <w:jc w:val="center"/>
              <w:rPr>
                <w:rFonts w:ascii="宋体" w:hAnsi="宋体" w:cs="宋体"/>
                <w:szCs w:val="21"/>
              </w:rPr>
            </w:pPr>
          </w:p>
        </w:tc>
      </w:tr>
      <w:tr w14:paraId="31892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tcPr>
          <w:p w14:paraId="396208AC">
            <w:pPr>
              <w:snapToGrid w:val="0"/>
              <w:spacing w:beforeLines="50" w:line="360" w:lineRule="auto"/>
              <w:jc w:val="center"/>
              <w:rPr>
                <w:rFonts w:ascii="宋体" w:hAnsi="宋体" w:cs="宋体"/>
                <w:szCs w:val="21"/>
              </w:rPr>
            </w:pPr>
          </w:p>
        </w:tc>
        <w:tc>
          <w:tcPr>
            <w:tcW w:w="3336" w:type="dxa"/>
            <w:tcBorders>
              <w:top w:val="single" w:color="auto" w:sz="4" w:space="0"/>
              <w:left w:val="single" w:color="auto" w:sz="4" w:space="0"/>
              <w:bottom w:val="single" w:color="auto" w:sz="4" w:space="0"/>
              <w:right w:val="single" w:color="auto" w:sz="4" w:space="0"/>
            </w:tcBorders>
            <w:noWrap/>
          </w:tcPr>
          <w:p w14:paraId="1916B993">
            <w:pPr>
              <w:snapToGrid w:val="0"/>
              <w:spacing w:beforeLines="50" w:line="360" w:lineRule="auto"/>
              <w:jc w:val="center"/>
              <w:rPr>
                <w:rFonts w:ascii="宋体" w:hAnsi="宋体" w:cs="宋体"/>
                <w:szCs w:val="21"/>
              </w:rPr>
            </w:pPr>
          </w:p>
        </w:tc>
        <w:tc>
          <w:tcPr>
            <w:tcW w:w="1760" w:type="dxa"/>
            <w:tcBorders>
              <w:top w:val="single" w:color="auto" w:sz="4" w:space="0"/>
              <w:left w:val="single" w:color="auto" w:sz="4" w:space="0"/>
              <w:bottom w:val="single" w:color="auto" w:sz="4" w:space="0"/>
              <w:right w:val="single" w:color="auto" w:sz="4" w:space="0"/>
            </w:tcBorders>
            <w:noWrap/>
          </w:tcPr>
          <w:p w14:paraId="3C42C438">
            <w:pPr>
              <w:snapToGrid w:val="0"/>
              <w:spacing w:beforeLines="50" w:line="360" w:lineRule="auto"/>
              <w:jc w:val="center"/>
              <w:rPr>
                <w:rFonts w:ascii="宋体" w:hAnsi="宋体" w:cs="宋体"/>
                <w:szCs w:val="21"/>
              </w:rPr>
            </w:pPr>
          </w:p>
        </w:tc>
        <w:tc>
          <w:tcPr>
            <w:tcW w:w="2035" w:type="dxa"/>
            <w:tcBorders>
              <w:top w:val="single" w:color="auto" w:sz="4" w:space="0"/>
              <w:left w:val="single" w:color="auto" w:sz="4" w:space="0"/>
              <w:bottom w:val="single" w:color="auto" w:sz="4" w:space="0"/>
              <w:right w:val="single" w:color="auto" w:sz="4" w:space="0"/>
            </w:tcBorders>
            <w:noWrap/>
          </w:tcPr>
          <w:p w14:paraId="03FE74D1">
            <w:pPr>
              <w:snapToGrid w:val="0"/>
              <w:spacing w:beforeLines="50" w:line="360" w:lineRule="auto"/>
              <w:jc w:val="center"/>
              <w:rPr>
                <w:rFonts w:ascii="宋体" w:hAnsi="宋体" w:cs="宋体"/>
                <w:szCs w:val="21"/>
              </w:rPr>
            </w:pPr>
          </w:p>
        </w:tc>
      </w:tr>
      <w:tr w14:paraId="0A065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tcPr>
          <w:p w14:paraId="69E1A160">
            <w:pPr>
              <w:snapToGrid w:val="0"/>
              <w:spacing w:beforeLines="50" w:line="360" w:lineRule="auto"/>
              <w:jc w:val="center"/>
              <w:rPr>
                <w:rFonts w:ascii="宋体" w:hAnsi="宋体" w:cs="宋体"/>
                <w:szCs w:val="21"/>
              </w:rPr>
            </w:pPr>
            <w:r>
              <w:rPr>
                <w:rFonts w:hint="eastAsia" w:ascii="宋体" w:hAnsi="宋体" w:cs="宋体"/>
                <w:szCs w:val="21"/>
              </w:rPr>
              <w:t>…</w:t>
            </w:r>
          </w:p>
        </w:tc>
        <w:tc>
          <w:tcPr>
            <w:tcW w:w="3336" w:type="dxa"/>
            <w:tcBorders>
              <w:top w:val="single" w:color="auto" w:sz="4" w:space="0"/>
              <w:left w:val="single" w:color="auto" w:sz="4" w:space="0"/>
              <w:bottom w:val="single" w:color="auto" w:sz="4" w:space="0"/>
              <w:right w:val="single" w:color="auto" w:sz="4" w:space="0"/>
            </w:tcBorders>
            <w:noWrap/>
          </w:tcPr>
          <w:p w14:paraId="26F530C5">
            <w:pPr>
              <w:snapToGrid w:val="0"/>
              <w:spacing w:beforeLines="50" w:line="360" w:lineRule="auto"/>
              <w:jc w:val="center"/>
              <w:rPr>
                <w:rFonts w:ascii="宋体" w:hAnsi="宋体" w:cs="宋体"/>
                <w:szCs w:val="21"/>
              </w:rPr>
            </w:pPr>
          </w:p>
        </w:tc>
        <w:tc>
          <w:tcPr>
            <w:tcW w:w="1760" w:type="dxa"/>
            <w:tcBorders>
              <w:top w:val="single" w:color="auto" w:sz="4" w:space="0"/>
              <w:left w:val="single" w:color="auto" w:sz="4" w:space="0"/>
              <w:bottom w:val="single" w:color="auto" w:sz="4" w:space="0"/>
              <w:right w:val="single" w:color="auto" w:sz="4" w:space="0"/>
            </w:tcBorders>
            <w:noWrap/>
          </w:tcPr>
          <w:p w14:paraId="5B093EBA">
            <w:pPr>
              <w:snapToGrid w:val="0"/>
              <w:spacing w:beforeLines="50" w:line="360" w:lineRule="auto"/>
              <w:jc w:val="center"/>
              <w:rPr>
                <w:rFonts w:ascii="宋体" w:hAnsi="宋体" w:cs="宋体"/>
                <w:szCs w:val="21"/>
              </w:rPr>
            </w:pPr>
          </w:p>
        </w:tc>
        <w:tc>
          <w:tcPr>
            <w:tcW w:w="2035" w:type="dxa"/>
            <w:tcBorders>
              <w:top w:val="single" w:color="auto" w:sz="4" w:space="0"/>
              <w:left w:val="single" w:color="auto" w:sz="4" w:space="0"/>
              <w:bottom w:val="single" w:color="auto" w:sz="4" w:space="0"/>
              <w:right w:val="single" w:color="auto" w:sz="4" w:space="0"/>
            </w:tcBorders>
            <w:noWrap/>
          </w:tcPr>
          <w:p w14:paraId="23528D7E">
            <w:pPr>
              <w:snapToGrid w:val="0"/>
              <w:spacing w:beforeLines="50" w:line="360" w:lineRule="auto"/>
              <w:jc w:val="center"/>
              <w:rPr>
                <w:rFonts w:ascii="宋体" w:hAnsi="宋体" w:cs="宋体"/>
                <w:szCs w:val="21"/>
              </w:rPr>
            </w:pPr>
          </w:p>
        </w:tc>
      </w:tr>
    </w:tbl>
    <w:p w14:paraId="52285633">
      <w:pPr>
        <w:pStyle w:val="17"/>
        <w:spacing w:line="360" w:lineRule="auto"/>
        <w:rPr>
          <w:rFonts w:ascii="宋体" w:hAnsi="宋体" w:cs="宋体"/>
          <w:sz w:val="21"/>
          <w:szCs w:val="21"/>
        </w:rPr>
      </w:pPr>
      <w:r>
        <w:rPr>
          <w:rFonts w:hint="eastAsia" w:ascii="宋体" w:hAnsi="宋体" w:cs="宋体"/>
          <w:sz w:val="21"/>
          <w:szCs w:val="21"/>
        </w:rPr>
        <w:t>注：</w:t>
      </w:r>
    </w:p>
    <w:p w14:paraId="0B935F83">
      <w:pPr>
        <w:pStyle w:val="19"/>
        <w:spacing w:line="360" w:lineRule="auto"/>
        <w:ind w:firstLine="0" w:firstLineChars="0"/>
        <w:rPr>
          <w:rFonts w:ascii="宋体" w:hAnsi="宋体" w:eastAsia="宋体" w:cs="宋体"/>
          <w:sz w:val="21"/>
          <w:szCs w:val="21"/>
        </w:rPr>
      </w:pPr>
      <w:r>
        <w:rPr>
          <w:rFonts w:hint="eastAsia" w:ascii="宋体" w:hAnsi="宋体" w:eastAsia="宋体" w:cs="宋体"/>
          <w:sz w:val="21"/>
          <w:szCs w:val="21"/>
        </w:rPr>
        <w:t>1.说明：应对照招标文件“第二章采购需求”中的商务条款逐条实质性响应，并作出偏离说明。</w:t>
      </w:r>
    </w:p>
    <w:p w14:paraId="26BFF1C0">
      <w:pPr>
        <w:pStyle w:val="17"/>
        <w:spacing w:line="360" w:lineRule="auto"/>
        <w:rPr>
          <w:rFonts w:ascii="宋体" w:hAnsi="宋体" w:cs="宋体"/>
          <w:b w:val="0"/>
          <w:bCs w:val="0"/>
          <w:sz w:val="21"/>
          <w:szCs w:val="21"/>
        </w:rPr>
      </w:pPr>
      <w:r>
        <w:rPr>
          <w:rFonts w:hint="eastAsia" w:ascii="宋体" w:hAnsi="宋体" w:cs="宋体"/>
          <w:b w:val="0"/>
          <w:bCs w:val="0"/>
          <w:sz w:val="21"/>
          <w:szCs w:val="21"/>
        </w:rPr>
        <w:t>2.投标人可自行拓展，应根据自身的承诺，对照招标文件要求在“偏离说明”中注明“正偏离”、“负偏离”或者“无偏离”。既不属于“正偏离”也不属于“负偏离”即为“无偏离”。</w:t>
      </w:r>
    </w:p>
    <w:p w14:paraId="1326A6D3">
      <w:pPr>
        <w:snapToGrid w:val="0"/>
        <w:spacing w:before="50" w:after="50" w:line="360" w:lineRule="auto"/>
        <w:rPr>
          <w:rFonts w:ascii="宋体" w:hAnsi="宋体" w:cs="宋体"/>
          <w:szCs w:val="21"/>
        </w:rPr>
      </w:pPr>
    </w:p>
    <w:p w14:paraId="03FB28F9">
      <w:pPr>
        <w:snapToGrid w:val="0"/>
        <w:spacing w:before="50" w:after="50" w:line="360" w:lineRule="auto"/>
        <w:rPr>
          <w:rFonts w:ascii="宋体" w:hAnsi="宋体" w:cs="宋体"/>
          <w:szCs w:val="21"/>
        </w:rPr>
      </w:pPr>
    </w:p>
    <w:p w14:paraId="2AF8FE38">
      <w:pPr>
        <w:snapToGrid w:val="0"/>
        <w:spacing w:before="50" w:after="50" w:line="360" w:lineRule="auto"/>
        <w:rPr>
          <w:rFonts w:ascii="宋体" w:hAnsi="宋体" w:cs="宋体"/>
          <w:spacing w:val="20"/>
          <w:szCs w:val="21"/>
          <w:u w:val="single"/>
        </w:rPr>
      </w:pPr>
      <w:r>
        <w:rPr>
          <w:rFonts w:hint="eastAsia" w:ascii="宋体" w:hAnsi="宋体" w:cs="宋体"/>
          <w:szCs w:val="21"/>
        </w:rPr>
        <w:t>法定代表人或者委托代理人签字或盖章</w:t>
      </w:r>
      <w:r>
        <w:rPr>
          <w:rFonts w:hint="eastAsia" w:ascii="宋体" w:hAnsi="宋体" w:cs="宋体"/>
          <w:spacing w:val="20"/>
          <w:szCs w:val="21"/>
        </w:rPr>
        <w:t>：</w:t>
      </w:r>
    </w:p>
    <w:p w14:paraId="6ECE5E8F">
      <w:pPr>
        <w:snapToGrid w:val="0"/>
        <w:spacing w:beforeLines="50" w:line="360" w:lineRule="auto"/>
        <w:rPr>
          <w:rFonts w:ascii="宋体" w:hAnsi="宋体" w:cs="宋体"/>
          <w:spacing w:val="20"/>
          <w:szCs w:val="21"/>
        </w:rPr>
      </w:pPr>
      <w:r>
        <w:rPr>
          <w:rFonts w:hint="eastAsia" w:ascii="宋体" w:hAnsi="宋体" w:cs="宋体"/>
          <w:spacing w:val="20"/>
          <w:szCs w:val="21"/>
        </w:rPr>
        <w:t>投标人加盖公章：</w:t>
      </w:r>
    </w:p>
    <w:p w14:paraId="10B314BF">
      <w:pPr>
        <w:snapToGrid w:val="0"/>
        <w:spacing w:beforeLines="50" w:line="360" w:lineRule="auto"/>
        <w:rPr>
          <w:rFonts w:ascii="宋体" w:hAnsi="宋体" w:cs="宋体"/>
          <w:szCs w:val="21"/>
        </w:rPr>
      </w:pPr>
      <w:r>
        <w:rPr>
          <w:rFonts w:hint="eastAsia" w:ascii="宋体" w:hAnsi="宋体" w:cs="宋体"/>
          <w:spacing w:val="20"/>
          <w:szCs w:val="21"/>
        </w:rPr>
        <w:t>日期：</w:t>
      </w:r>
    </w:p>
    <w:p w14:paraId="4E29CB0B">
      <w:pPr>
        <w:snapToGrid w:val="0"/>
        <w:spacing w:beforeLines="50" w:line="360" w:lineRule="auto"/>
        <w:rPr>
          <w:rFonts w:ascii="宋体" w:hAnsi="宋体" w:cs="宋体"/>
          <w:szCs w:val="21"/>
        </w:rPr>
      </w:pPr>
    </w:p>
    <w:p w14:paraId="4F3F62ED">
      <w:pPr>
        <w:snapToGrid w:val="0"/>
        <w:spacing w:beforeLines="50" w:after="50" w:line="360" w:lineRule="auto"/>
        <w:jc w:val="left"/>
        <w:rPr>
          <w:rFonts w:ascii="宋体" w:hAnsi="宋体" w:cs="宋体"/>
          <w:szCs w:val="21"/>
        </w:rPr>
        <w:sectPr>
          <w:footerReference r:id="rId14" w:type="first"/>
          <w:headerReference r:id="rId11" w:type="default"/>
          <w:footerReference r:id="rId12" w:type="default"/>
          <w:footerReference r:id="rId13" w:type="even"/>
          <w:pgSz w:w="11906" w:h="16838"/>
          <w:pgMar w:top="1440" w:right="1797" w:bottom="1440" w:left="1797" w:header="851" w:footer="992" w:gutter="0"/>
          <w:cols w:space="720" w:num="1"/>
          <w:docGrid w:linePitch="312" w:charSpace="0"/>
        </w:sectPr>
      </w:pPr>
    </w:p>
    <w:p w14:paraId="435846E5">
      <w:pPr>
        <w:snapToGrid w:val="0"/>
        <w:spacing w:beforeLines="50" w:after="50" w:line="360" w:lineRule="auto"/>
        <w:jc w:val="left"/>
        <w:rPr>
          <w:rFonts w:ascii="宋体" w:hAnsi="宋体" w:cs="宋体"/>
          <w:b/>
          <w:sz w:val="24"/>
        </w:rPr>
      </w:pPr>
      <w:r>
        <w:rPr>
          <w:rFonts w:hint="eastAsia" w:ascii="宋体" w:hAnsi="宋体" w:cs="宋体"/>
          <w:b/>
          <w:sz w:val="24"/>
        </w:rPr>
        <w:t>6.投标人类似的业绩证明文件</w:t>
      </w:r>
    </w:p>
    <w:p w14:paraId="721F3372">
      <w:pPr>
        <w:pStyle w:val="34"/>
        <w:snapToGrid w:val="0"/>
        <w:spacing w:line="360" w:lineRule="auto"/>
        <w:ind w:left="480" w:hanging="480"/>
        <w:rPr>
          <w:rFonts w:ascii="宋体" w:hAnsi="宋体" w:cs="宋体"/>
          <w:sz w:val="24"/>
        </w:rPr>
      </w:pPr>
      <w:r>
        <w:rPr>
          <w:rFonts w:hint="eastAsia" w:ascii="宋体" w:hAnsi="宋体" w:cs="宋体"/>
          <w:sz w:val="24"/>
        </w:rPr>
        <w:t>投标人同类项目情况一览表格式：</w:t>
      </w:r>
    </w:p>
    <w:tbl>
      <w:tblPr>
        <w:tblStyle w:val="4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3"/>
        <w:gridCol w:w="1021"/>
        <w:gridCol w:w="1021"/>
        <w:gridCol w:w="3638"/>
        <w:gridCol w:w="1625"/>
      </w:tblGrid>
      <w:tr w14:paraId="73320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3" w:hRule="atLeast"/>
        </w:trPr>
        <w:tc>
          <w:tcPr>
            <w:tcW w:w="1223" w:type="dxa"/>
            <w:tcBorders>
              <w:top w:val="single" w:color="auto" w:sz="4" w:space="0"/>
              <w:left w:val="single" w:color="auto" w:sz="4" w:space="0"/>
              <w:bottom w:val="single" w:color="auto" w:sz="4" w:space="0"/>
              <w:right w:val="single" w:color="auto" w:sz="4" w:space="0"/>
            </w:tcBorders>
            <w:noWrap/>
            <w:vAlign w:val="center"/>
          </w:tcPr>
          <w:p w14:paraId="0F7CE6B5">
            <w:pPr>
              <w:snapToGrid w:val="0"/>
              <w:spacing w:line="360" w:lineRule="auto"/>
              <w:jc w:val="center"/>
              <w:rPr>
                <w:rFonts w:ascii="宋体" w:hAnsi="宋体" w:cs="宋体"/>
                <w:sz w:val="24"/>
              </w:rPr>
            </w:pPr>
            <w:r>
              <w:rPr>
                <w:rFonts w:hint="eastAsia" w:ascii="宋体" w:hAnsi="宋体" w:cs="宋体"/>
                <w:sz w:val="24"/>
              </w:rPr>
              <w:t>采购人名称</w:t>
            </w:r>
          </w:p>
        </w:tc>
        <w:tc>
          <w:tcPr>
            <w:tcW w:w="1021" w:type="dxa"/>
            <w:tcBorders>
              <w:top w:val="single" w:color="auto" w:sz="4" w:space="0"/>
              <w:left w:val="single" w:color="auto" w:sz="4" w:space="0"/>
              <w:bottom w:val="single" w:color="auto" w:sz="4" w:space="0"/>
              <w:right w:val="single" w:color="auto" w:sz="4" w:space="0"/>
            </w:tcBorders>
            <w:noWrap/>
            <w:vAlign w:val="center"/>
          </w:tcPr>
          <w:p w14:paraId="0490554F">
            <w:pPr>
              <w:snapToGrid w:val="0"/>
              <w:spacing w:line="360" w:lineRule="auto"/>
              <w:jc w:val="center"/>
              <w:rPr>
                <w:rFonts w:ascii="宋体" w:hAnsi="宋体" w:cs="宋体"/>
                <w:sz w:val="24"/>
              </w:rPr>
            </w:pPr>
            <w:r>
              <w:rPr>
                <w:rFonts w:hint="eastAsia" w:ascii="宋体" w:hAnsi="宋体" w:cs="宋体"/>
                <w:sz w:val="24"/>
              </w:rPr>
              <w:t>项目名称</w:t>
            </w:r>
          </w:p>
        </w:tc>
        <w:tc>
          <w:tcPr>
            <w:tcW w:w="1021" w:type="dxa"/>
            <w:tcBorders>
              <w:top w:val="single" w:color="auto" w:sz="4" w:space="0"/>
              <w:left w:val="single" w:color="auto" w:sz="4" w:space="0"/>
              <w:bottom w:val="single" w:color="auto" w:sz="4" w:space="0"/>
              <w:right w:val="single" w:color="auto" w:sz="4" w:space="0"/>
            </w:tcBorders>
            <w:noWrap/>
            <w:vAlign w:val="center"/>
          </w:tcPr>
          <w:p w14:paraId="35C0BECE">
            <w:pPr>
              <w:snapToGrid w:val="0"/>
              <w:spacing w:line="360" w:lineRule="auto"/>
              <w:jc w:val="center"/>
              <w:rPr>
                <w:rFonts w:ascii="宋体" w:hAnsi="宋体" w:cs="宋体"/>
                <w:sz w:val="24"/>
              </w:rPr>
            </w:pPr>
            <w:r>
              <w:rPr>
                <w:rFonts w:hint="eastAsia" w:ascii="宋体" w:hAnsi="宋体" w:cs="宋体"/>
                <w:sz w:val="24"/>
              </w:rPr>
              <w:t>合同</w:t>
            </w:r>
          </w:p>
          <w:p w14:paraId="73B301B7">
            <w:pPr>
              <w:snapToGrid w:val="0"/>
              <w:spacing w:line="360" w:lineRule="auto"/>
              <w:jc w:val="center"/>
              <w:rPr>
                <w:rFonts w:ascii="宋体" w:hAnsi="宋体" w:cs="宋体"/>
                <w:sz w:val="24"/>
              </w:rPr>
            </w:pPr>
            <w:r>
              <w:rPr>
                <w:rFonts w:hint="eastAsia" w:ascii="宋体" w:hAnsi="宋体" w:cs="宋体"/>
                <w:sz w:val="24"/>
              </w:rPr>
              <w:t>金额</w:t>
            </w:r>
          </w:p>
          <w:p w14:paraId="07BFDD0E">
            <w:pPr>
              <w:snapToGrid w:val="0"/>
              <w:spacing w:line="360" w:lineRule="auto"/>
              <w:jc w:val="center"/>
              <w:rPr>
                <w:rFonts w:ascii="宋体" w:hAnsi="宋体" w:cs="宋体"/>
                <w:sz w:val="24"/>
              </w:rPr>
            </w:pPr>
            <w:r>
              <w:rPr>
                <w:rFonts w:hint="eastAsia" w:ascii="宋体" w:hAnsi="宋体" w:cs="宋体"/>
                <w:sz w:val="24"/>
              </w:rPr>
              <w:t>（万元）</w:t>
            </w:r>
          </w:p>
        </w:tc>
        <w:tc>
          <w:tcPr>
            <w:tcW w:w="3638" w:type="dxa"/>
            <w:tcBorders>
              <w:top w:val="single" w:color="auto" w:sz="4" w:space="0"/>
              <w:left w:val="single" w:color="auto" w:sz="4" w:space="0"/>
              <w:right w:val="single" w:color="auto" w:sz="4" w:space="0"/>
            </w:tcBorders>
            <w:noWrap/>
            <w:vAlign w:val="center"/>
          </w:tcPr>
          <w:p w14:paraId="28CAF4ED">
            <w:pPr>
              <w:snapToGrid w:val="0"/>
              <w:spacing w:line="360" w:lineRule="auto"/>
              <w:contextualSpacing/>
              <w:jc w:val="center"/>
              <w:rPr>
                <w:rFonts w:ascii="宋体" w:hAnsi="宋体" w:cs="宋体"/>
                <w:sz w:val="24"/>
              </w:rPr>
            </w:pPr>
            <w:r>
              <w:rPr>
                <w:rFonts w:hint="eastAsia" w:ascii="宋体" w:hAnsi="宋体" w:cs="宋体"/>
                <w:sz w:val="24"/>
              </w:rPr>
              <w:t>合同或中标通知书在投标文件中的页码</w:t>
            </w:r>
          </w:p>
        </w:tc>
        <w:tc>
          <w:tcPr>
            <w:tcW w:w="1625" w:type="dxa"/>
            <w:tcBorders>
              <w:top w:val="single" w:color="auto" w:sz="4" w:space="0"/>
              <w:left w:val="single" w:color="auto" w:sz="4" w:space="0"/>
              <w:bottom w:val="single" w:color="auto" w:sz="4" w:space="0"/>
              <w:right w:val="single" w:color="auto" w:sz="4" w:space="0"/>
            </w:tcBorders>
            <w:noWrap/>
            <w:vAlign w:val="center"/>
          </w:tcPr>
          <w:p w14:paraId="55951279">
            <w:pPr>
              <w:snapToGrid w:val="0"/>
              <w:spacing w:line="360" w:lineRule="auto"/>
              <w:jc w:val="center"/>
              <w:rPr>
                <w:rFonts w:ascii="宋体" w:hAnsi="宋体" w:cs="宋体"/>
                <w:sz w:val="24"/>
              </w:rPr>
            </w:pPr>
            <w:r>
              <w:rPr>
                <w:rFonts w:hint="eastAsia" w:ascii="宋体" w:hAnsi="宋体" w:cs="宋体"/>
                <w:sz w:val="24"/>
              </w:rPr>
              <w:t>采购人联系人及</w:t>
            </w:r>
          </w:p>
          <w:p w14:paraId="65B6B343">
            <w:pPr>
              <w:snapToGrid w:val="0"/>
              <w:spacing w:line="360" w:lineRule="auto"/>
              <w:jc w:val="center"/>
              <w:rPr>
                <w:rFonts w:ascii="宋体" w:hAnsi="宋体" w:cs="宋体"/>
                <w:sz w:val="24"/>
              </w:rPr>
            </w:pPr>
            <w:r>
              <w:rPr>
                <w:rFonts w:hint="eastAsia" w:ascii="宋体" w:hAnsi="宋体" w:cs="宋体"/>
                <w:sz w:val="24"/>
              </w:rPr>
              <w:t>联系电话</w:t>
            </w:r>
          </w:p>
        </w:tc>
      </w:tr>
      <w:tr w14:paraId="59D86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3" w:type="dxa"/>
            <w:tcBorders>
              <w:top w:val="single" w:color="auto" w:sz="4" w:space="0"/>
              <w:left w:val="single" w:color="auto" w:sz="4" w:space="0"/>
              <w:bottom w:val="single" w:color="auto" w:sz="4" w:space="0"/>
              <w:right w:val="single" w:color="auto" w:sz="4" w:space="0"/>
            </w:tcBorders>
            <w:noWrap/>
          </w:tcPr>
          <w:p w14:paraId="55B1EA95">
            <w:pPr>
              <w:snapToGrid w:val="0"/>
              <w:spacing w:line="360" w:lineRule="auto"/>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noWrap/>
          </w:tcPr>
          <w:p w14:paraId="1A6EE02A">
            <w:pPr>
              <w:snapToGrid w:val="0"/>
              <w:spacing w:line="360" w:lineRule="auto"/>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noWrap/>
          </w:tcPr>
          <w:p w14:paraId="7C8A2A05">
            <w:pPr>
              <w:snapToGrid w:val="0"/>
              <w:spacing w:line="360" w:lineRule="auto"/>
              <w:jc w:val="left"/>
              <w:rPr>
                <w:rFonts w:ascii="宋体" w:hAnsi="宋体" w:cs="宋体"/>
                <w:sz w:val="24"/>
              </w:rPr>
            </w:pPr>
          </w:p>
        </w:tc>
        <w:tc>
          <w:tcPr>
            <w:tcW w:w="3638" w:type="dxa"/>
            <w:tcBorders>
              <w:top w:val="single" w:color="auto" w:sz="4" w:space="0"/>
              <w:left w:val="single" w:color="auto" w:sz="4" w:space="0"/>
              <w:bottom w:val="single" w:color="auto" w:sz="4" w:space="0"/>
              <w:right w:val="single" w:color="auto" w:sz="4" w:space="0"/>
            </w:tcBorders>
            <w:noWrap/>
          </w:tcPr>
          <w:p w14:paraId="743AB1F8">
            <w:pPr>
              <w:snapToGrid w:val="0"/>
              <w:spacing w:line="360" w:lineRule="auto"/>
              <w:jc w:val="left"/>
              <w:rPr>
                <w:rFonts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tcPr>
          <w:p w14:paraId="1741DAF5">
            <w:pPr>
              <w:snapToGrid w:val="0"/>
              <w:spacing w:line="360" w:lineRule="auto"/>
              <w:jc w:val="left"/>
              <w:rPr>
                <w:rFonts w:ascii="宋体" w:hAnsi="宋体" w:cs="宋体"/>
                <w:sz w:val="24"/>
              </w:rPr>
            </w:pPr>
          </w:p>
        </w:tc>
      </w:tr>
      <w:tr w14:paraId="32582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left w:val="single" w:color="auto" w:sz="4" w:space="0"/>
              <w:bottom w:val="single" w:color="auto" w:sz="4" w:space="0"/>
              <w:right w:val="single" w:color="auto" w:sz="4" w:space="0"/>
            </w:tcBorders>
            <w:noWrap/>
          </w:tcPr>
          <w:p w14:paraId="60B27679">
            <w:pPr>
              <w:snapToGrid w:val="0"/>
              <w:spacing w:before="50" w:afterLines="50" w:line="360" w:lineRule="auto"/>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noWrap/>
          </w:tcPr>
          <w:p w14:paraId="26CD8CA9">
            <w:pPr>
              <w:snapToGrid w:val="0"/>
              <w:spacing w:before="50" w:afterLines="50" w:line="360" w:lineRule="auto"/>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noWrap/>
          </w:tcPr>
          <w:p w14:paraId="2EB1D528">
            <w:pPr>
              <w:snapToGrid w:val="0"/>
              <w:spacing w:before="50" w:afterLines="50" w:line="360" w:lineRule="auto"/>
              <w:jc w:val="left"/>
              <w:rPr>
                <w:rFonts w:ascii="宋体" w:hAnsi="宋体" w:cs="宋体"/>
                <w:sz w:val="24"/>
              </w:rPr>
            </w:pPr>
          </w:p>
        </w:tc>
        <w:tc>
          <w:tcPr>
            <w:tcW w:w="3638" w:type="dxa"/>
            <w:tcBorders>
              <w:top w:val="single" w:color="auto" w:sz="4" w:space="0"/>
              <w:left w:val="single" w:color="auto" w:sz="4" w:space="0"/>
              <w:bottom w:val="single" w:color="auto" w:sz="4" w:space="0"/>
              <w:right w:val="single" w:color="auto" w:sz="4" w:space="0"/>
            </w:tcBorders>
            <w:noWrap/>
          </w:tcPr>
          <w:p w14:paraId="35BFB724">
            <w:pPr>
              <w:snapToGrid w:val="0"/>
              <w:spacing w:before="50" w:afterLines="50" w:line="360" w:lineRule="auto"/>
              <w:jc w:val="left"/>
              <w:rPr>
                <w:rFonts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tcPr>
          <w:p w14:paraId="6A3B1B76">
            <w:pPr>
              <w:snapToGrid w:val="0"/>
              <w:spacing w:before="50" w:afterLines="50" w:line="360" w:lineRule="auto"/>
              <w:jc w:val="left"/>
              <w:rPr>
                <w:rFonts w:ascii="宋体" w:hAnsi="宋体" w:cs="宋体"/>
                <w:sz w:val="24"/>
              </w:rPr>
            </w:pPr>
          </w:p>
        </w:tc>
      </w:tr>
      <w:tr w14:paraId="70B49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3" w:type="dxa"/>
            <w:tcBorders>
              <w:top w:val="single" w:color="auto" w:sz="4" w:space="0"/>
              <w:left w:val="single" w:color="auto" w:sz="4" w:space="0"/>
              <w:bottom w:val="single" w:color="auto" w:sz="4" w:space="0"/>
              <w:right w:val="single" w:color="auto" w:sz="4" w:space="0"/>
            </w:tcBorders>
            <w:noWrap/>
          </w:tcPr>
          <w:p w14:paraId="0239BC46">
            <w:pPr>
              <w:snapToGrid w:val="0"/>
              <w:spacing w:before="50" w:afterLines="50" w:line="360" w:lineRule="auto"/>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noWrap/>
          </w:tcPr>
          <w:p w14:paraId="599D8F7F">
            <w:pPr>
              <w:snapToGrid w:val="0"/>
              <w:spacing w:before="50" w:afterLines="50" w:line="360" w:lineRule="auto"/>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noWrap/>
          </w:tcPr>
          <w:p w14:paraId="1D7E82E3">
            <w:pPr>
              <w:snapToGrid w:val="0"/>
              <w:spacing w:before="50" w:afterLines="50" w:line="360" w:lineRule="auto"/>
              <w:jc w:val="left"/>
              <w:rPr>
                <w:rFonts w:ascii="宋体" w:hAnsi="宋体" w:cs="宋体"/>
                <w:sz w:val="24"/>
              </w:rPr>
            </w:pPr>
          </w:p>
        </w:tc>
        <w:tc>
          <w:tcPr>
            <w:tcW w:w="3638" w:type="dxa"/>
            <w:tcBorders>
              <w:top w:val="single" w:color="auto" w:sz="4" w:space="0"/>
              <w:left w:val="single" w:color="auto" w:sz="4" w:space="0"/>
              <w:bottom w:val="single" w:color="auto" w:sz="4" w:space="0"/>
              <w:right w:val="single" w:color="auto" w:sz="4" w:space="0"/>
            </w:tcBorders>
            <w:noWrap/>
          </w:tcPr>
          <w:p w14:paraId="15CEAC80">
            <w:pPr>
              <w:snapToGrid w:val="0"/>
              <w:spacing w:before="50" w:afterLines="50" w:line="360" w:lineRule="auto"/>
              <w:jc w:val="left"/>
              <w:rPr>
                <w:rFonts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tcPr>
          <w:p w14:paraId="2A17FFFF">
            <w:pPr>
              <w:snapToGrid w:val="0"/>
              <w:spacing w:before="50" w:afterLines="50" w:line="360" w:lineRule="auto"/>
              <w:jc w:val="left"/>
              <w:rPr>
                <w:rFonts w:ascii="宋体" w:hAnsi="宋体" w:cs="宋体"/>
                <w:sz w:val="24"/>
              </w:rPr>
            </w:pPr>
          </w:p>
        </w:tc>
      </w:tr>
      <w:tr w14:paraId="483CF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left w:val="single" w:color="auto" w:sz="4" w:space="0"/>
              <w:bottom w:val="single" w:color="auto" w:sz="4" w:space="0"/>
              <w:right w:val="single" w:color="auto" w:sz="4" w:space="0"/>
            </w:tcBorders>
            <w:noWrap/>
          </w:tcPr>
          <w:p w14:paraId="140C214C">
            <w:pPr>
              <w:snapToGrid w:val="0"/>
              <w:spacing w:before="50" w:afterLines="50" w:line="360" w:lineRule="auto"/>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noWrap/>
          </w:tcPr>
          <w:p w14:paraId="0010A53D">
            <w:pPr>
              <w:snapToGrid w:val="0"/>
              <w:spacing w:before="50" w:afterLines="50" w:line="360" w:lineRule="auto"/>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noWrap/>
          </w:tcPr>
          <w:p w14:paraId="43589D03">
            <w:pPr>
              <w:snapToGrid w:val="0"/>
              <w:spacing w:before="50" w:afterLines="50" w:line="360" w:lineRule="auto"/>
              <w:jc w:val="left"/>
              <w:rPr>
                <w:rFonts w:ascii="宋体" w:hAnsi="宋体" w:cs="宋体"/>
                <w:sz w:val="24"/>
              </w:rPr>
            </w:pPr>
          </w:p>
        </w:tc>
        <w:tc>
          <w:tcPr>
            <w:tcW w:w="3638" w:type="dxa"/>
            <w:tcBorders>
              <w:top w:val="single" w:color="auto" w:sz="4" w:space="0"/>
              <w:left w:val="single" w:color="auto" w:sz="4" w:space="0"/>
              <w:bottom w:val="single" w:color="auto" w:sz="4" w:space="0"/>
              <w:right w:val="single" w:color="auto" w:sz="4" w:space="0"/>
            </w:tcBorders>
            <w:noWrap/>
          </w:tcPr>
          <w:p w14:paraId="4EDBC603">
            <w:pPr>
              <w:snapToGrid w:val="0"/>
              <w:spacing w:before="50" w:afterLines="50" w:line="360" w:lineRule="auto"/>
              <w:jc w:val="left"/>
              <w:rPr>
                <w:rFonts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tcPr>
          <w:p w14:paraId="45D5A5BC">
            <w:pPr>
              <w:snapToGrid w:val="0"/>
              <w:spacing w:before="50" w:afterLines="50" w:line="360" w:lineRule="auto"/>
              <w:jc w:val="left"/>
              <w:rPr>
                <w:rFonts w:ascii="宋体" w:hAnsi="宋体" w:cs="宋体"/>
                <w:sz w:val="24"/>
              </w:rPr>
            </w:pPr>
          </w:p>
        </w:tc>
      </w:tr>
      <w:tr w14:paraId="47FA5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left w:val="single" w:color="auto" w:sz="4" w:space="0"/>
              <w:bottom w:val="single" w:color="auto" w:sz="4" w:space="0"/>
              <w:right w:val="single" w:color="auto" w:sz="4" w:space="0"/>
            </w:tcBorders>
            <w:noWrap/>
          </w:tcPr>
          <w:p w14:paraId="2F3596E2">
            <w:pPr>
              <w:snapToGrid w:val="0"/>
              <w:spacing w:before="50" w:afterLines="50" w:line="360" w:lineRule="auto"/>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noWrap/>
          </w:tcPr>
          <w:p w14:paraId="1B94527E">
            <w:pPr>
              <w:snapToGrid w:val="0"/>
              <w:spacing w:before="50" w:afterLines="50" w:line="360" w:lineRule="auto"/>
              <w:jc w:val="left"/>
              <w:rPr>
                <w:rFonts w:ascii="宋体" w:hAnsi="宋体" w:cs="宋体"/>
                <w:sz w:val="24"/>
              </w:rPr>
            </w:pPr>
          </w:p>
        </w:tc>
        <w:tc>
          <w:tcPr>
            <w:tcW w:w="1021" w:type="dxa"/>
            <w:tcBorders>
              <w:top w:val="single" w:color="auto" w:sz="4" w:space="0"/>
              <w:left w:val="single" w:color="auto" w:sz="4" w:space="0"/>
              <w:bottom w:val="single" w:color="auto" w:sz="4" w:space="0"/>
              <w:right w:val="single" w:color="auto" w:sz="4" w:space="0"/>
            </w:tcBorders>
            <w:noWrap/>
          </w:tcPr>
          <w:p w14:paraId="6FB139C0">
            <w:pPr>
              <w:snapToGrid w:val="0"/>
              <w:spacing w:before="50" w:afterLines="50" w:line="360" w:lineRule="auto"/>
              <w:jc w:val="left"/>
              <w:rPr>
                <w:rFonts w:ascii="宋体" w:hAnsi="宋体" w:cs="宋体"/>
                <w:sz w:val="24"/>
              </w:rPr>
            </w:pPr>
          </w:p>
        </w:tc>
        <w:tc>
          <w:tcPr>
            <w:tcW w:w="3638" w:type="dxa"/>
            <w:tcBorders>
              <w:top w:val="single" w:color="auto" w:sz="4" w:space="0"/>
              <w:left w:val="single" w:color="auto" w:sz="4" w:space="0"/>
              <w:bottom w:val="single" w:color="auto" w:sz="4" w:space="0"/>
              <w:right w:val="single" w:color="auto" w:sz="4" w:space="0"/>
            </w:tcBorders>
            <w:noWrap/>
          </w:tcPr>
          <w:p w14:paraId="6B7C738C">
            <w:pPr>
              <w:snapToGrid w:val="0"/>
              <w:spacing w:before="50" w:afterLines="50" w:line="360" w:lineRule="auto"/>
              <w:jc w:val="left"/>
              <w:rPr>
                <w:rFonts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tcPr>
          <w:p w14:paraId="1A793793">
            <w:pPr>
              <w:snapToGrid w:val="0"/>
              <w:spacing w:before="50" w:afterLines="50" w:line="360" w:lineRule="auto"/>
              <w:jc w:val="left"/>
              <w:rPr>
                <w:rFonts w:ascii="宋体" w:hAnsi="宋体" w:cs="宋体"/>
                <w:sz w:val="24"/>
              </w:rPr>
            </w:pPr>
          </w:p>
        </w:tc>
      </w:tr>
    </w:tbl>
    <w:p w14:paraId="3E0CCFEC">
      <w:pPr>
        <w:pStyle w:val="15"/>
        <w:snapToGrid w:val="0"/>
        <w:spacing w:line="360" w:lineRule="auto"/>
        <w:rPr>
          <w:rFonts w:ascii="宋体" w:hAnsi="宋体" w:eastAsia="宋体" w:cs="宋体"/>
          <w:sz w:val="24"/>
          <w:szCs w:val="24"/>
        </w:rPr>
      </w:pPr>
    </w:p>
    <w:p w14:paraId="433FD2E8">
      <w:pPr>
        <w:pStyle w:val="15"/>
        <w:snapToGrid w:val="0"/>
        <w:spacing w:beforeLines="50" w:afterLines="50" w:line="360" w:lineRule="auto"/>
        <w:ind w:firstLine="3120" w:firstLineChars="1300"/>
        <w:rPr>
          <w:rFonts w:ascii="宋体" w:hAnsi="宋体" w:eastAsia="宋体" w:cs="宋体"/>
          <w:sz w:val="24"/>
          <w:szCs w:val="24"/>
          <w:u w:val="single"/>
        </w:rPr>
      </w:pPr>
      <w:r>
        <w:rPr>
          <w:rFonts w:hint="eastAsia" w:ascii="宋体" w:hAnsi="宋体" w:eastAsia="宋体" w:cs="宋体"/>
          <w:sz w:val="24"/>
          <w:szCs w:val="24"/>
        </w:rPr>
        <w:t>法定代表人或者委托代理人签字或盖章：</w:t>
      </w:r>
    </w:p>
    <w:p w14:paraId="7668C66E">
      <w:pPr>
        <w:snapToGrid w:val="0"/>
        <w:spacing w:beforeLines="50" w:afterLines="50" w:line="360" w:lineRule="auto"/>
        <w:ind w:firstLine="6000" w:firstLineChars="2500"/>
        <w:rPr>
          <w:rFonts w:ascii="宋体" w:hAnsi="宋体" w:cs="宋体"/>
          <w:sz w:val="24"/>
          <w:u w:val="single"/>
        </w:rPr>
      </w:pPr>
      <w:r>
        <w:rPr>
          <w:rFonts w:hint="eastAsia" w:ascii="宋体" w:hAnsi="宋体" w:cs="宋体"/>
          <w:sz w:val="24"/>
        </w:rPr>
        <w:t>投标人（盖公章）：</w:t>
      </w:r>
    </w:p>
    <w:p w14:paraId="2F12344F">
      <w:pPr>
        <w:snapToGrid w:val="0"/>
        <w:spacing w:beforeLines="50" w:afterLines="50" w:line="360" w:lineRule="auto"/>
        <w:ind w:firstLine="6000" w:firstLineChars="2500"/>
        <w:rPr>
          <w:rFonts w:ascii="宋体" w:hAnsi="宋体" w:cs="宋体"/>
          <w:sz w:val="24"/>
        </w:rPr>
      </w:pPr>
      <w:r>
        <w:rPr>
          <w:rFonts w:hint="eastAsia" w:ascii="宋体" w:hAnsi="宋体" w:cs="宋体"/>
          <w:sz w:val="24"/>
        </w:rPr>
        <w:t>年月日</w:t>
      </w:r>
    </w:p>
    <w:p w14:paraId="2048A2AF">
      <w:pPr>
        <w:pStyle w:val="15"/>
        <w:snapToGrid w:val="0"/>
        <w:spacing w:line="360" w:lineRule="auto"/>
        <w:rPr>
          <w:rFonts w:ascii="宋体" w:hAnsi="宋体" w:cs="宋体"/>
          <w:sz w:val="24"/>
        </w:rPr>
        <w:sectPr>
          <w:pgSz w:w="11906" w:h="16838"/>
          <w:pgMar w:top="1440" w:right="1797" w:bottom="1440" w:left="1797" w:header="851" w:footer="992" w:gutter="0"/>
          <w:cols w:space="720" w:num="1"/>
          <w:docGrid w:linePitch="312" w:charSpace="0"/>
        </w:sectPr>
      </w:pPr>
    </w:p>
    <w:p w14:paraId="00DF82DF">
      <w:pPr>
        <w:pStyle w:val="4"/>
        <w:spacing w:before="0" w:after="0" w:line="360" w:lineRule="auto"/>
        <w:jc w:val="center"/>
        <w:rPr>
          <w:rFonts w:ascii="宋体" w:hAnsi="宋体" w:eastAsia="宋体"/>
        </w:rPr>
      </w:pPr>
      <w:bookmarkStart w:id="212" w:name="_Toc2025"/>
      <w:bookmarkStart w:id="213" w:name="_Toc11823"/>
      <w:bookmarkStart w:id="214" w:name="_Toc19686839"/>
      <w:bookmarkStart w:id="215" w:name="_Toc19638"/>
      <w:r>
        <w:rPr>
          <w:rFonts w:hint="eastAsia" w:ascii="宋体" w:hAnsi="宋体" w:eastAsia="宋体"/>
        </w:rPr>
        <w:t>五、技术文件格式</w:t>
      </w:r>
      <w:bookmarkEnd w:id="212"/>
      <w:bookmarkEnd w:id="213"/>
      <w:bookmarkEnd w:id="214"/>
      <w:bookmarkEnd w:id="215"/>
    </w:p>
    <w:p w14:paraId="7BF4A82F">
      <w:pPr>
        <w:snapToGrid w:val="0"/>
        <w:spacing w:beforeLines="50" w:after="50" w:line="360" w:lineRule="auto"/>
        <w:ind w:left="142"/>
        <w:jc w:val="left"/>
        <w:rPr>
          <w:rFonts w:ascii="宋体" w:hAnsi="宋体" w:cs="宋体"/>
          <w:b/>
          <w:sz w:val="24"/>
        </w:rPr>
      </w:pPr>
      <w:r>
        <w:rPr>
          <w:rFonts w:hint="eastAsia" w:ascii="宋体" w:hAnsi="宋体" w:cs="宋体"/>
          <w:b/>
          <w:sz w:val="24"/>
        </w:rPr>
        <w:t>1.技术文件封面格式：</w:t>
      </w:r>
    </w:p>
    <w:p w14:paraId="7DA6E923">
      <w:pPr>
        <w:snapToGrid w:val="0"/>
        <w:spacing w:beforeLines="50" w:after="50" w:line="360" w:lineRule="auto"/>
        <w:jc w:val="center"/>
        <w:rPr>
          <w:rFonts w:ascii="宋体" w:hAnsi="宋体" w:cs="宋体"/>
          <w:b/>
          <w:bCs/>
          <w:sz w:val="40"/>
          <w:szCs w:val="22"/>
        </w:rPr>
      </w:pPr>
      <w:r>
        <w:rPr>
          <w:rFonts w:hint="eastAsia" w:ascii="宋体" w:hAnsi="宋体" w:cs="宋体"/>
          <w:b/>
          <w:bCs/>
          <w:sz w:val="24"/>
          <w:szCs w:val="32"/>
        </w:rPr>
        <w:t>正本/副本</w:t>
      </w:r>
    </w:p>
    <w:p w14:paraId="62064906">
      <w:pPr>
        <w:snapToGrid w:val="0"/>
        <w:spacing w:beforeLines="50" w:after="50" w:line="360" w:lineRule="auto"/>
        <w:jc w:val="center"/>
        <w:rPr>
          <w:rFonts w:ascii="宋体" w:hAnsi="宋体" w:cs="宋体"/>
          <w:sz w:val="24"/>
          <w:szCs w:val="20"/>
        </w:rPr>
      </w:pPr>
    </w:p>
    <w:p w14:paraId="22C00133">
      <w:pPr>
        <w:snapToGrid w:val="0"/>
        <w:spacing w:beforeLines="50" w:after="50" w:line="360" w:lineRule="auto"/>
        <w:jc w:val="center"/>
        <w:rPr>
          <w:rFonts w:ascii="宋体" w:hAnsi="宋体" w:cs="宋体"/>
          <w:b/>
          <w:bCs/>
          <w:sz w:val="32"/>
          <w:szCs w:val="32"/>
        </w:rPr>
      </w:pPr>
      <w:r>
        <w:rPr>
          <w:rFonts w:hint="eastAsia" w:ascii="宋体" w:hAnsi="宋体" w:cs="宋体"/>
          <w:b/>
          <w:bCs/>
          <w:sz w:val="32"/>
          <w:szCs w:val="32"/>
        </w:rPr>
        <w:t>技术文件</w:t>
      </w:r>
    </w:p>
    <w:p w14:paraId="5D22A956">
      <w:pPr>
        <w:snapToGrid w:val="0"/>
        <w:spacing w:beforeLines="50" w:after="50" w:line="360" w:lineRule="auto"/>
        <w:jc w:val="center"/>
        <w:rPr>
          <w:rFonts w:ascii="宋体" w:hAnsi="宋体" w:cs="宋体"/>
          <w:bCs/>
          <w:sz w:val="24"/>
          <w:szCs w:val="20"/>
        </w:rPr>
      </w:pPr>
    </w:p>
    <w:p w14:paraId="4649DA19">
      <w:pPr>
        <w:snapToGrid w:val="0"/>
        <w:spacing w:beforeLines="50" w:after="50" w:line="360" w:lineRule="auto"/>
        <w:jc w:val="center"/>
        <w:rPr>
          <w:rFonts w:ascii="宋体" w:hAnsi="宋体" w:cs="宋体"/>
          <w:bCs/>
          <w:sz w:val="24"/>
        </w:rPr>
      </w:pPr>
      <w:r>
        <w:rPr>
          <w:rFonts w:hint="eastAsia" w:ascii="宋体" w:hAnsi="宋体" w:cs="宋体"/>
          <w:bCs/>
          <w:sz w:val="24"/>
        </w:rPr>
        <w:t>项目名称：</w:t>
      </w:r>
    </w:p>
    <w:p w14:paraId="5841CD79">
      <w:pPr>
        <w:snapToGrid w:val="0"/>
        <w:spacing w:beforeLines="50" w:after="50" w:line="360" w:lineRule="auto"/>
        <w:jc w:val="center"/>
        <w:rPr>
          <w:rFonts w:ascii="宋体" w:hAnsi="宋体" w:cs="宋体"/>
          <w:bCs/>
          <w:sz w:val="24"/>
        </w:rPr>
      </w:pPr>
      <w:r>
        <w:rPr>
          <w:rFonts w:hint="eastAsia" w:ascii="宋体" w:hAnsi="宋体" w:cs="宋体"/>
          <w:bCs/>
          <w:sz w:val="24"/>
        </w:rPr>
        <w:t>标项名称</w:t>
      </w:r>
    </w:p>
    <w:p w14:paraId="47207C6D">
      <w:pPr>
        <w:snapToGrid w:val="0"/>
        <w:spacing w:beforeLines="50" w:after="50" w:line="360" w:lineRule="auto"/>
        <w:jc w:val="center"/>
        <w:rPr>
          <w:rFonts w:ascii="宋体" w:hAnsi="宋体" w:cs="宋体"/>
          <w:bCs/>
          <w:sz w:val="24"/>
        </w:rPr>
      </w:pPr>
      <w:r>
        <w:rPr>
          <w:rFonts w:hint="eastAsia" w:ascii="宋体" w:hAnsi="宋体" w:cs="宋体"/>
          <w:bCs/>
          <w:sz w:val="24"/>
        </w:rPr>
        <w:t>项目编号：</w:t>
      </w:r>
    </w:p>
    <w:p w14:paraId="7D48DFB3">
      <w:pPr>
        <w:snapToGrid w:val="0"/>
        <w:spacing w:beforeLines="50" w:after="50" w:line="360" w:lineRule="auto"/>
        <w:jc w:val="center"/>
        <w:rPr>
          <w:rFonts w:ascii="宋体" w:hAnsi="宋体" w:cs="宋体"/>
          <w:bCs/>
          <w:sz w:val="24"/>
          <w:szCs w:val="20"/>
        </w:rPr>
      </w:pPr>
    </w:p>
    <w:p w14:paraId="1F3E53D0">
      <w:pPr>
        <w:pStyle w:val="8"/>
        <w:snapToGrid w:val="0"/>
        <w:spacing w:before="50" w:after="50" w:line="360" w:lineRule="auto"/>
        <w:ind w:firstLine="0"/>
        <w:jc w:val="center"/>
        <w:rPr>
          <w:rFonts w:ascii="宋体" w:hAnsi="宋体" w:cs="宋体"/>
          <w:bCs/>
          <w:sz w:val="24"/>
          <w:szCs w:val="24"/>
        </w:rPr>
      </w:pPr>
      <w:r>
        <w:rPr>
          <w:rFonts w:hint="eastAsia" w:ascii="宋体" w:hAnsi="宋体" w:cs="宋体"/>
          <w:bCs/>
          <w:sz w:val="24"/>
          <w:szCs w:val="24"/>
        </w:rPr>
        <w:t>投标人名称：</w:t>
      </w:r>
    </w:p>
    <w:p w14:paraId="6B8B99B9">
      <w:pPr>
        <w:pStyle w:val="8"/>
        <w:snapToGrid w:val="0"/>
        <w:spacing w:before="50" w:after="50" w:line="360" w:lineRule="auto"/>
        <w:ind w:firstLine="0"/>
        <w:jc w:val="center"/>
        <w:rPr>
          <w:rFonts w:ascii="宋体" w:hAnsi="宋体" w:cs="宋体"/>
          <w:bCs/>
          <w:sz w:val="24"/>
          <w:szCs w:val="24"/>
        </w:rPr>
      </w:pPr>
    </w:p>
    <w:p w14:paraId="457811DF">
      <w:pPr>
        <w:pStyle w:val="8"/>
        <w:snapToGrid w:val="0"/>
        <w:spacing w:before="50" w:after="50" w:line="360" w:lineRule="auto"/>
        <w:ind w:firstLine="0"/>
        <w:jc w:val="center"/>
        <w:rPr>
          <w:rFonts w:ascii="宋体" w:hAnsi="宋体" w:cs="宋体"/>
          <w:bCs/>
          <w:sz w:val="24"/>
          <w:szCs w:val="24"/>
        </w:rPr>
      </w:pPr>
      <w:r>
        <w:rPr>
          <w:rFonts w:hint="eastAsia" w:ascii="宋体" w:hAnsi="宋体" w:cs="宋体"/>
          <w:bCs/>
          <w:sz w:val="24"/>
          <w:szCs w:val="24"/>
        </w:rPr>
        <w:t>投标人地址：</w:t>
      </w:r>
    </w:p>
    <w:p w14:paraId="38089A4E">
      <w:pPr>
        <w:snapToGrid w:val="0"/>
        <w:spacing w:beforeLines="50" w:after="50" w:line="360" w:lineRule="auto"/>
        <w:jc w:val="center"/>
        <w:rPr>
          <w:rFonts w:ascii="宋体" w:hAnsi="宋体" w:cs="宋体"/>
          <w:sz w:val="24"/>
        </w:rPr>
        <w:sectPr>
          <w:pgSz w:w="11906" w:h="16838"/>
          <w:pgMar w:top="1440" w:right="1797" w:bottom="1440" w:left="1797" w:header="851" w:footer="992" w:gutter="0"/>
          <w:cols w:space="720" w:num="1"/>
          <w:docGrid w:linePitch="312" w:charSpace="0"/>
        </w:sectPr>
      </w:pPr>
      <w:r>
        <w:rPr>
          <w:rFonts w:hint="eastAsia" w:ascii="宋体" w:hAnsi="宋体" w:cs="宋体"/>
          <w:sz w:val="24"/>
        </w:rPr>
        <w:t>年月日</w:t>
      </w:r>
    </w:p>
    <w:p w14:paraId="2F11E403">
      <w:pPr>
        <w:snapToGrid w:val="0"/>
        <w:spacing w:beforeLines="50" w:after="50" w:line="360" w:lineRule="auto"/>
        <w:ind w:left="142"/>
        <w:jc w:val="left"/>
        <w:rPr>
          <w:rFonts w:ascii="宋体" w:hAnsi="宋体" w:cs="宋体"/>
          <w:b/>
          <w:bCs/>
          <w:sz w:val="24"/>
        </w:rPr>
      </w:pPr>
      <w:r>
        <w:rPr>
          <w:rFonts w:hint="eastAsia" w:ascii="宋体" w:hAnsi="宋体" w:cs="宋体"/>
          <w:b/>
          <w:bCs/>
          <w:sz w:val="24"/>
        </w:rPr>
        <w:t>2.技术文件目录</w:t>
      </w:r>
    </w:p>
    <w:p w14:paraId="7E13588A">
      <w:pPr>
        <w:snapToGrid w:val="0"/>
        <w:spacing w:before="50" w:afterLines="50" w:line="360" w:lineRule="auto"/>
        <w:ind w:left="283" w:leftChars="135"/>
        <w:jc w:val="left"/>
        <w:rPr>
          <w:rFonts w:ascii="宋体" w:hAnsi="宋体" w:cs="宋体"/>
          <w:sz w:val="24"/>
          <w:szCs w:val="20"/>
        </w:rPr>
      </w:pPr>
      <w:r>
        <w:rPr>
          <w:rFonts w:hint="eastAsia" w:ascii="宋体" w:hAnsi="宋体" w:cs="宋体"/>
          <w:szCs w:val="21"/>
        </w:rPr>
        <w:t>根据招标文件规定及投标人提供的材料自行编写目录。</w:t>
      </w:r>
    </w:p>
    <w:p w14:paraId="48A43608">
      <w:pPr>
        <w:snapToGrid w:val="0"/>
        <w:spacing w:before="50" w:afterLines="50" w:line="360" w:lineRule="auto"/>
        <w:ind w:left="283" w:leftChars="135"/>
        <w:jc w:val="left"/>
        <w:rPr>
          <w:rFonts w:ascii="宋体" w:hAnsi="宋体" w:cs="宋体"/>
          <w:szCs w:val="21"/>
        </w:rPr>
      </w:pPr>
    </w:p>
    <w:p w14:paraId="3813F8DF">
      <w:pPr>
        <w:snapToGrid w:val="0"/>
        <w:spacing w:before="50" w:afterLines="50" w:line="360" w:lineRule="auto"/>
        <w:ind w:left="283" w:leftChars="135"/>
        <w:jc w:val="center"/>
        <w:rPr>
          <w:rFonts w:ascii="宋体" w:hAnsi="宋体" w:cs="宋体"/>
          <w:b/>
          <w:sz w:val="24"/>
          <w:szCs w:val="21"/>
        </w:rPr>
      </w:pPr>
      <w:r>
        <w:rPr>
          <w:rFonts w:hint="eastAsia" w:ascii="宋体" w:hAnsi="宋体" w:cs="宋体"/>
          <w:b/>
          <w:sz w:val="24"/>
          <w:szCs w:val="21"/>
        </w:rPr>
        <w:t>技术需求偏离表</w:t>
      </w:r>
    </w:p>
    <w:p w14:paraId="31D753D8">
      <w:pPr>
        <w:snapToGrid w:val="0"/>
        <w:spacing w:before="50" w:line="360" w:lineRule="auto"/>
        <w:jc w:val="left"/>
        <w:rPr>
          <w:rFonts w:ascii="宋体" w:hAnsi="宋体" w:cs="宋体"/>
          <w:szCs w:val="21"/>
          <w:u w:val="single"/>
        </w:rPr>
      </w:pPr>
    </w:p>
    <w:tbl>
      <w:tblPr>
        <w:tblStyle w:val="46"/>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224A1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tcPr>
          <w:p w14:paraId="3FF55582">
            <w:pPr>
              <w:snapToGrid w:val="0"/>
              <w:spacing w:beforeLines="50" w:line="360" w:lineRule="auto"/>
              <w:jc w:val="center"/>
              <w:rPr>
                <w:rFonts w:ascii="宋体" w:hAnsi="宋体" w:cs="宋体"/>
                <w:szCs w:val="21"/>
              </w:rPr>
            </w:pPr>
            <w:r>
              <w:rPr>
                <w:rFonts w:hint="eastAsia" w:ascii="宋体" w:hAnsi="宋体" w:cs="宋体"/>
                <w:szCs w:val="21"/>
              </w:rPr>
              <w:t>项目</w:t>
            </w:r>
          </w:p>
        </w:tc>
        <w:tc>
          <w:tcPr>
            <w:tcW w:w="3336" w:type="dxa"/>
            <w:tcBorders>
              <w:top w:val="single" w:color="auto" w:sz="4" w:space="0"/>
              <w:left w:val="single" w:color="auto" w:sz="4" w:space="0"/>
              <w:bottom w:val="single" w:color="auto" w:sz="4" w:space="0"/>
              <w:right w:val="single" w:color="auto" w:sz="4" w:space="0"/>
            </w:tcBorders>
            <w:noWrap/>
          </w:tcPr>
          <w:p w14:paraId="4699A6D6">
            <w:pPr>
              <w:snapToGrid w:val="0"/>
              <w:spacing w:beforeLines="50" w:line="360" w:lineRule="auto"/>
              <w:jc w:val="center"/>
              <w:rPr>
                <w:rFonts w:ascii="宋体" w:hAnsi="宋体" w:cs="宋体"/>
                <w:szCs w:val="21"/>
              </w:rPr>
            </w:pPr>
            <w:r>
              <w:rPr>
                <w:rFonts w:hint="eastAsia" w:ascii="宋体" w:hAnsi="宋体" w:cs="宋体"/>
                <w:szCs w:val="21"/>
              </w:rPr>
              <w:t>招标文件技术需求要求</w:t>
            </w:r>
          </w:p>
        </w:tc>
        <w:tc>
          <w:tcPr>
            <w:tcW w:w="1760" w:type="dxa"/>
            <w:tcBorders>
              <w:top w:val="single" w:color="auto" w:sz="4" w:space="0"/>
              <w:left w:val="single" w:color="auto" w:sz="4" w:space="0"/>
              <w:bottom w:val="single" w:color="auto" w:sz="4" w:space="0"/>
              <w:right w:val="single" w:color="auto" w:sz="4" w:space="0"/>
            </w:tcBorders>
            <w:noWrap/>
          </w:tcPr>
          <w:p w14:paraId="4372AFB2">
            <w:pPr>
              <w:snapToGrid w:val="0"/>
              <w:spacing w:beforeLines="50" w:line="360" w:lineRule="auto"/>
              <w:jc w:val="center"/>
              <w:rPr>
                <w:rFonts w:ascii="宋体" w:hAnsi="宋体" w:cs="宋体"/>
                <w:szCs w:val="21"/>
              </w:rPr>
            </w:pPr>
            <w:r>
              <w:rPr>
                <w:rFonts w:hint="eastAsia" w:ascii="宋体" w:hAnsi="宋体" w:cs="宋体"/>
                <w:szCs w:val="21"/>
              </w:rPr>
              <w:t>投标人的承诺</w:t>
            </w:r>
          </w:p>
        </w:tc>
        <w:tc>
          <w:tcPr>
            <w:tcW w:w="2035" w:type="dxa"/>
            <w:tcBorders>
              <w:top w:val="single" w:color="auto" w:sz="4" w:space="0"/>
              <w:left w:val="single" w:color="auto" w:sz="4" w:space="0"/>
              <w:bottom w:val="single" w:color="auto" w:sz="4" w:space="0"/>
              <w:right w:val="single" w:color="auto" w:sz="4" w:space="0"/>
            </w:tcBorders>
            <w:noWrap/>
          </w:tcPr>
          <w:p w14:paraId="35EA1F43">
            <w:pPr>
              <w:snapToGrid w:val="0"/>
              <w:spacing w:beforeLines="50" w:line="360" w:lineRule="auto"/>
              <w:jc w:val="center"/>
              <w:rPr>
                <w:rFonts w:ascii="宋体" w:hAnsi="宋体" w:cs="宋体"/>
                <w:szCs w:val="21"/>
              </w:rPr>
            </w:pPr>
            <w:r>
              <w:rPr>
                <w:rFonts w:hint="eastAsia" w:ascii="宋体" w:hAnsi="宋体" w:cs="宋体"/>
                <w:szCs w:val="21"/>
              </w:rPr>
              <w:t>偏离说明</w:t>
            </w:r>
          </w:p>
        </w:tc>
      </w:tr>
      <w:tr w14:paraId="0A813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tcPr>
          <w:p w14:paraId="62F3E274">
            <w:pPr>
              <w:snapToGrid w:val="0"/>
              <w:spacing w:beforeLines="50" w:line="360" w:lineRule="auto"/>
              <w:jc w:val="center"/>
              <w:rPr>
                <w:rFonts w:ascii="宋体" w:hAnsi="宋体" w:cs="宋体"/>
                <w:szCs w:val="21"/>
              </w:rPr>
            </w:pPr>
          </w:p>
        </w:tc>
        <w:tc>
          <w:tcPr>
            <w:tcW w:w="3336" w:type="dxa"/>
            <w:tcBorders>
              <w:top w:val="single" w:color="auto" w:sz="4" w:space="0"/>
              <w:left w:val="single" w:color="auto" w:sz="4" w:space="0"/>
              <w:bottom w:val="single" w:color="auto" w:sz="4" w:space="0"/>
              <w:right w:val="single" w:color="auto" w:sz="4" w:space="0"/>
            </w:tcBorders>
            <w:noWrap/>
          </w:tcPr>
          <w:p w14:paraId="1EABBE2C">
            <w:pPr>
              <w:snapToGrid w:val="0"/>
              <w:spacing w:beforeLines="50" w:line="360" w:lineRule="auto"/>
              <w:jc w:val="center"/>
              <w:rPr>
                <w:rFonts w:ascii="宋体" w:hAnsi="宋体" w:cs="宋体"/>
                <w:szCs w:val="21"/>
              </w:rPr>
            </w:pPr>
          </w:p>
        </w:tc>
        <w:tc>
          <w:tcPr>
            <w:tcW w:w="1760" w:type="dxa"/>
            <w:tcBorders>
              <w:top w:val="single" w:color="auto" w:sz="4" w:space="0"/>
              <w:left w:val="single" w:color="auto" w:sz="4" w:space="0"/>
              <w:bottom w:val="single" w:color="auto" w:sz="4" w:space="0"/>
              <w:right w:val="single" w:color="auto" w:sz="4" w:space="0"/>
            </w:tcBorders>
            <w:noWrap/>
          </w:tcPr>
          <w:p w14:paraId="2E558049">
            <w:pPr>
              <w:snapToGrid w:val="0"/>
              <w:spacing w:beforeLines="50" w:line="360" w:lineRule="auto"/>
              <w:jc w:val="center"/>
              <w:rPr>
                <w:rFonts w:ascii="宋体" w:hAnsi="宋体" w:cs="宋体"/>
                <w:szCs w:val="21"/>
              </w:rPr>
            </w:pPr>
          </w:p>
        </w:tc>
        <w:tc>
          <w:tcPr>
            <w:tcW w:w="2035" w:type="dxa"/>
            <w:tcBorders>
              <w:top w:val="single" w:color="auto" w:sz="4" w:space="0"/>
              <w:left w:val="single" w:color="auto" w:sz="4" w:space="0"/>
              <w:bottom w:val="single" w:color="auto" w:sz="4" w:space="0"/>
              <w:right w:val="single" w:color="auto" w:sz="4" w:space="0"/>
            </w:tcBorders>
            <w:noWrap/>
          </w:tcPr>
          <w:p w14:paraId="6A361321">
            <w:pPr>
              <w:snapToGrid w:val="0"/>
              <w:spacing w:beforeLines="50" w:line="360" w:lineRule="auto"/>
              <w:jc w:val="center"/>
              <w:rPr>
                <w:rFonts w:ascii="宋体" w:hAnsi="宋体" w:cs="宋体"/>
                <w:szCs w:val="21"/>
              </w:rPr>
            </w:pPr>
          </w:p>
        </w:tc>
      </w:tr>
      <w:tr w14:paraId="52BCF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tcPr>
          <w:p w14:paraId="4F08B1B2">
            <w:pPr>
              <w:snapToGrid w:val="0"/>
              <w:spacing w:beforeLines="50" w:line="360" w:lineRule="auto"/>
              <w:ind w:left="43"/>
              <w:jc w:val="center"/>
              <w:rPr>
                <w:rFonts w:ascii="宋体" w:hAnsi="宋体" w:cs="宋体"/>
                <w:szCs w:val="21"/>
              </w:rPr>
            </w:pPr>
          </w:p>
        </w:tc>
        <w:tc>
          <w:tcPr>
            <w:tcW w:w="3336" w:type="dxa"/>
            <w:tcBorders>
              <w:top w:val="single" w:color="auto" w:sz="4" w:space="0"/>
              <w:left w:val="single" w:color="auto" w:sz="4" w:space="0"/>
              <w:bottom w:val="single" w:color="auto" w:sz="4" w:space="0"/>
              <w:right w:val="single" w:color="auto" w:sz="4" w:space="0"/>
            </w:tcBorders>
            <w:noWrap/>
          </w:tcPr>
          <w:p w14:paraId="20351D2C">
            <w:pPr>
              <w:snapToGrid w:val="0"/>
              <w:spacing w:beforeLines="50" w:line="360" w:lineRule="auto"/>
              <w:ind w:left="43"/>
              <w:jc w:val="center"/>
              <w:rPr>
                <w:rFonts w:ascii="宋体" w:hAnsi="宋体" w:cs="宋体"/>
                <w:szCs w:val="21"/>
              </w:rPr>
            </w:pPr>
          </w:p>
        </w:tc>
        <w:tc>
          <w:tcPr>
            <w:tcW w:w="1760" w:type="dxa"/>
            <w:tcBorders>
              <w:top w:val="single" w:color="auto" w:sz="4" w:space="0"/>
              <w:left w:val="single" w:color="auto" w:sz="4" w:space="0"/>
              <w:bottom w:val="single" w:color="auto" w:sz="4" w:space="0"/>
              <w:right w:val="single" w:color="auto" w:sz="4" w:space="0"/>
            </w:tcBorders>
            <w:noWrap/>
          </w:tcPr>
          <w:p w14:paraId="190E042D">
            <w:pPr>
              <w:snapToGrid w:val="0"/>
              <w:spacing w:beforeLines="50" w:line="360" w:lineRule="auto"/>
              <w:ind w:left="43"/>
              <w:jc w:val="center"/>
              <w:rPr>
                <w:rFonts w:ascii="宋体" w:hAnsi="宋体" w:cs="宋体"/>
                <w:szCs w:val="21"/>
              </w:rPr>
            </w:pPr>
          </w:p>
        </w:tc>
        <w:tc>
          <w:tcPr>
            <w:tcW w:w="2035" w:type="dxa"/>
            <w:tcBorders>
              <w:top w:val="single" w:color="auto" w:sz="4" w:space="0"/>
              <w:left w:val="single" w:color="auto" w:sz="4" w:space="0"/>
              <w:bottom w:val="single" w:color="auto" w:sz="4" w:space="0"/>
              <w:right w:val="single" w:color="auto" w:sz="4" w:space="0"/>
            </w:tcBorders>
            <w:noWrap/>
          </w:tcPr>
          <w:p w14:paraId="70935654">
            <w:pPr>
              <w:snapToGrid w:val="0"/>
              <w:spacing w:beforeLines="50" w:line="360" w:lineRule="auto"/>
              <w:ind w:left="43"/>
              <w:jc w:val="center"/>
              <w:rPr>
                <w:rFonts w:ascii="宋体" w:hAnsi="宋体" w:cs="宋体"/>
                <w:szCs w:val="21"/>
              </w:rPr>
            </w:pPr>
          </w:p>
        </w:tc>
      </w:tr>
      <w:tr w14:paraId="303E0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noWrap/>
          </w:tcPr>
          <w:p w14:paraId="3BA80B23">
            <w:pPr>
              <w:snapToGrid w:val="0"/>
              <w:spacing w:beforeLines="50" w:line="360" w:lineRule="auto"/>
              <w:jc w:val="center"/>
              <w:rPr>
                <w:rFonts w:ascii="宋体" w:hAnsi="宋体" w:cs="宋体"/>
                <w:szCs w:val="21"/>
              </w:rPr>
            </w:pPr>
          </w:p>
        </w:tc>
        <w:tc>
          <w:tcPr>
            <w:tcW w:w="3336" w:type="dxa"/>
            <w:tcBorders>
              <w:top w:val="single" w:color="auto" w:sz="4" w:space="0"/>
              <w:left w:val="single" w:color="auto" w:sz="4" w:space="0"/>
              <w:bottom w:val="single" w:color="auto" w:sz="4" w:space="0"/>
              <w:right w:val="single" w:color="auto" w:sz="4" w:space="0"/>
            </w:tcBorders>
            <w:noWrap/>
          </w:tcPr>
          <w:p w14:paraId="318E15EE">
            <w:pPr>
              <w:snapToGrid w:val="0"/>
              <w:spacing w:beforeLines="50" w:line="360" w:lineRule="auto"/>
              <w:jc w:val="center"/>
              <w:rPr>
                <w:rFonts w:ascii="宋体" w:hAnsi="宋体" w:cs="宋体"/>
                <w:szCs w:val="21"/>
              </w:rPr>
            </w:pPr>
          </w:p>
        </w:tc>
        <w:tc>
          <w:tcPr>
            <w:tcW w:w="1760" w:type="dxa"/>
            <w:tcBorders>
              <w:top w:val="single" w:color="auto" w:sz="4" w:space="0"/>
              <w:left w:val="single" w:color="auto" w:sz="4" w:space="0"/>
              <w:bottom w:val="single" w:color="auto" w:sz="4" w:space="0"/>
              <w:right w:val="single" w:color="auto" w:sz="4" w:space="0"/>
            </w:tcBorders>
            <w:noWrap/>
          </w:tcPr>
          <w:p w14:paraId="63BBEAE2">
            <w:pPr>
              <w:snapToGrid w:val="0"/>
              <w:spacing w:beforeLines="50" w:line="360" w:lineRule="auto"/>
              <w:jc w:val="center"/>
              <w:rPr>
                <w:rFonts w:ascii="宋体" w:hAnsi="宋体" w:cs="宋体"/>
                <w:szCs w:val="21"/>
              </w:rPr>
            </w:pPr>
          </w:p>
        </w:tc>
        <w:tc>
          <w:tcPr>
            <w:tcW w:w="2035" w:type="dxa"/>
            <w:tcBorders>
              <w:top w:val="single" w:color="auto" w:sz="4" w:space="0"/>
              <w:left w:val="single" w:color="auto" w:sz="4" w:space="0"/>
              <w:bottom w:val="single" w:color="auto" w:sz="4" w:space="0"/>
              <w:right w:val="single" w:color="auto" w:sz="4" w:space="0"/>
            </w:tcBorders>
            <w:noWrap/>
          </w:tcPr>
          <w:p w14:paraId="3C2DC005">
            <w:pPr>
              <w:snapToGrid w:val="0"/>
              <w:spacing w:beforeLines="50" w:line="360" w:lineRule="auto"/>
              <w:jc w:val="center"/>
              <w:rPr>
                <w:rFonts w:ascii="宋体" w:hAnsi="宋体" w:cs="宋体"/>
                <w:szCs w:val="21"/>
              </w:rPr>
            </w:pPr>
          </w:p>
        </w:tc>
      </w:tr>
      <w:tr w14:paraId="76535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tcPr>
          <w:p w14:paraId="42CD3EE2">
            <w:pPr>
              <w:snapToGrid w:val="0"/>
              <w:spacing w:beforeLines="50" w:line="360" w:lineRule="auto"/>
              <w:jc w:val="center"/>
              <w:rPr>
                <w:rFonts w:ascii="宋体" w:hAnsi="宋体" w:cs="宋体"/>
                <w:szCs w:val="21"/>
              </w:rPr>
            </w:pPr>
            <w:r>
              <w:rPr>
                <w:rFonts w:hint="eastAsia" w:ascii="宋体" w:hAnsi="宋体" w:cs="宋体"/>
                <w:szCs w:val="21"/>
              </w:rPr>
              <w:t>…</w:t>
            </w:r>
          </w:p>
        </w:tc>
        <w:tc>
          <w:tcPr>
            <w:tcW w:w="3336" w:type="dxa"/>
            <w:tcBorders>
              <w:top w:val="single" w:color="auto" w:sz="4" w:space="0"/>
              <w:left w:val="single" w:color="auto" w:sz="4" w:space="0"/>
              <w:bottom w:val="single" w:color="auto" w:sz="4" w:space="0"/>
              <w:right w:val="single" w:color="auto" w:sz="4" w:space="0"/>
            </w:tcBorders>
            <w:noWrap/>
          </w:tcPr>
          <w:p w14:paraId="0C9C47A2">
            <w:pPr>
              <w:snapToGrid w:val="0"/>
              <w:spacing w:beforeLines="50" w:line="360" w:lineRule="auto"/>
              <w:jc w:val="center"/>
              <w:rPr>
                <w:rFonts w:ascii="宋体" w:hAnsi="宋体" w:cs="宋体"/>
                <w:szCs w:val="21"/>
              </w:rPr>
            </w:pPr>
          </w:p>
        </w:tc>
        <w:tc>
          <w:tcPr>
            <w:tcW w:w="1760" w:type="dxa"/>
            <w:tcBorders>
              <w:top w:val="single" w:color="auto" w:sz="4" w:space="0"/>
              <w:left w:val="single" w:color="auto" w:sz="4" w:space="0"/>
              <w:bottom w:val="single" w:color="auto" w:sz="4" w:space="0"/>
              <w:right w:val="single" w:color="auto" w:sz="4" w:space="0"/>
            </w:tcBorders>
            <w:noWrap/>
          </w:tcPr>
          <w:p w14:paraId="5BB14C4B">
            <w:pPr>
              <w:snapToGrid w:val="0"/>
              <w:spacing w:beforeLines="50" w:line="360" w:lineRule="auto"/>
              <w:jc w:val="center"/>
              <w:rPr>
                <w:rFonts w:ascii="宋体" w:hAnsi="宋体" w:cs="宋体"/>
                <w:szCs w:val="21"/>
              </w:rPr>
            </w:pPr>
          </w:p>
        </w:tc>
        <w:tc>
          <w:tcPr>
            <w:tcW w:w="2035" w:type="dxa"/>
            <w:tcBorders>
              <w:top w:val="single" w:color="auto" w:sz="4" w:space="0"/>
              <w:left w:val="single" w:color="auto" w:sz="4" w:space="0"/>
              <w:bottom w:val="single" w:color="auto" w:sz="4" w:space="0"/>
              <w:right w:val="single" w:color="auto" w:sz="4" w:space="0"/>
            </w:tcBorders>
            <w:noWrap/>
          </w:tcPr>
          <w:p w14:paraId="76B69AF9">
            <w:pPr>
              <w:snapToGrid w:val="0"/>
              <w:spacing w:beforeLines="50" w:line="360" w:lineRule="auto"/>
              <w:jc w:val="center"/>
              <w:rPr>
                <w:rFonts w:ascii="宋体" w:hAnsi="宋体" w:cs="宋体"/>
                <w:szCs w:val="21"/>
              </w:rPr>
            </w:pPr>
          </w:p>
        </w:tc>
      </w:tr>
    </w:tbl>
    <w:p w14:paraId="73BDD3FB">
      <w:pPr>
        <w:pStyle w:val="17"/>
        <w:spacing w:line="360" w:lineRule="auto"/>
        <w:rPr>
          <w:rFonts w:ascii="宋体" w:hAnsi="宋体" w:cs="宋体"/>
          <w:sz w:val="21"/>
          <w:szCs w:val="21"/>
        </w:rPr>
      </w:pPr>
      <w:r>
        <w:rPr>
          <w:rFonts w:hint="eastAsia" w:ascii="宋体" w:hAnsi="宋体" w:cs="宋体"/>
          <w:sz w:val="21"/>
          <w:szCs w:val="21"/>
        </w:rPr>
        <w:t>注：</w:t>
      </w:r>
    </w:p>
    <w:p w14:paraId="223CFE18">
      <w:pPr>
        <w:pStyle w:val="19"/>
        <w:spacing w:line="360" w:lineRule="auto"/>
        <w:ind w:firstLine="0" w:firstLineChars="0"/>
        <w:rPr>
          <w:rFonts w:ascii="宋体" w:hAnsi="宋体" w:eastAsia="宋体" w:cs="宋体"/>
          <w:sz w:val="21"/>
          <w:szCs w:val="21"/>
        </w:rPr>
      </w:pPr>
      <w:r>
        <w:rPr>
          <w:rFonts w:hint="eastAsia" w:ascii="宋体" w:hAnsi="宋体" w:eastAsia="宋体" w:cs="宋体"/>
          <w:sz w:val="21"/>
          <w:szCs w:val="21"/>
        </w:rPr>
        <w:t>1.说明：应对照招标文件“第二章采购需求”中的技术需求逐条实质性响应，并作出偏离说明。</w:t>
      </w:r>
    </w:p>
    <w:p w14:paraId="0DC974F9">
      <w:pPr>
        <w:pStyle w:val="17"/>
        <w:spacing w:line="360" w:lineRule="auto"/>
        <w:rPr>
          <w:rFonts w:ascii="宋体" w:hAnsi="宋体" w:cs="宋体"/>
          <w:b w:val="0"/>
          <w:bCs w:val="0"/>
          <w:sz w:val="21"/>
          <w:szCs w:val="21"/>
        </w:rPr>
      </w:pPr>
      <w:r>
        <w:rPr>
          <w:rFonts w:hint="eastAsia" w:ascii="宋体" w:hAnsi="宋体" w:cs="宋体"/>
          <w:b w:val="0"/>
          <w:bCs w:val="0"/>
          <w:sz w:val="21"/>
          <w:szCs w:val="21"/>
        </w:rPr>
        <w:t>2.投标人可自行拓展，应根据自身的承诺，对照招标文件要求在“偏离说明”中注明“正偏离”、“负偏离”或者“无偏离”。既不属于“正偏离”也不属于“负偏离”即为“无偏离”。</w:t>
      </w:r>
    </w:p>
    <w:p w14:paraId="14AB7C6A">
      <w:pPr>
        <w:snapToGrid w:val="0"/>
        <w:spacing w:before="50" w:after="50" w:line="360" w:lineRule="auto"/>
        <w:rPr>
          <w:rFonts w:ascii="宋体" w:hAnsi="宋体" w:cs="宋体"/>
          <w:szCs w:val="21"/>
        </w:rPr>
      </w:pPr>
    </w:p>
    <w:p w14:paraId="5D53BECB">
      <w:pPr>
        <w:snapToGrid w:val="0"/>
        <w:spacing w:before="50" w:after="50" w:line="360" w:lineRule="auto"/>
        <w:rPr>
          <w:rFonts w:ascii="宋体" w:hAnsi="宋体" w:cs="宋体"/>
          <w:szCs w:val="21"/>
        </w:rPr>
      </w:pPr>
    </w:p>
    <w:p w14:paraId="04DF8418">
      <w:pPr>
        <w:snapToGrid w:val="0"/>
        <w:spacing w:before="50" w:after="50" w:line="360" w:lineRule="auto"/>
        <w:rPr>
          <w:rFonts w:ascii="宋体" w:hAnsi="宋体" w:cs="宋体"/>
          <w:spacing w:val="20"/>
          <w:szCs w:val="21"/>
          <w:u w:val="single"/>
        </w:rPr>
      </w:pPr>
      <w:r>
        <w:rPr>
          <w:rFonts w:hint="eastAsia" w:ascii="宋体" w:hAnsi="宋体" w:cs="宋体"/>
          <w:szCs w:val="21"/>
        </w:rPr>
        <w:t>法定代表人或者委托代理人签字或盖章</w:t>
      </w:r>
      <w:r>
        <w:rPr>
          <w:rFonts w:hint="eastAsia" w:ascii="宋体" w:hAnsi="宋体" w:cs="宋体"/>
          <w:spacing w:val="20"/>
          <w:szCs w:val="21"/>
        </w:rPr>
        <w:t>：</w:t>
      </w:r>
    </w:p>
    <w:p w14:paraId="533C0316">
      <w:pPr>
        <w:snapToGrid w:val="0"/>
        <w:spacing w:beforeLines="50" w:line="360" w:lineRule="auto"/>
        <w:rPr>
          <w:rFonts w:ascii="宋体" w:hAnsi="宋体" w:cs="宋体"/>
          <w:spacing w:val="20"/>
          <w:szCs w:val="21"/>
        </w:rPr>
      </w:pPr>
      <w:r>
        <w:rPr>
          <w:rFonts w:hint="eastAsia" w:ascii="宋体" w:hAnsi="宋体" w:cs="宋体"/>
          <w:spacing w:val="20"/>
          <w:szCs w:val="21"/>
        </w:rPr>
        <w:t>投标人加盖公章：</w:t>
      </w:r>
    </w:p>
    <w:p w14:paraId="223EB53D">
      <w:pPr>
        <w:snapToGrid w:val="0"/>
        <w:spacing w:beforeLines="50" w:line="360" w:lineRule="auto"/>
        <w:rPr>
          <w:rFonts w:ascii="宋体" w:hAnsi="宋体" w:cs="宋体"/>
          <w:szCs w:val="21"/>
        </w:rPr>
      </w:pPr>
      <w:r>
        <w:rPr>
          <w:rFonts w:hint="eastAsia" w:ascii="宋体" w:hAnsi="宋体" w:cs="宋体"/>
          <w:spacing w:val="20"/>
          <w:szCs w:val="21"/>
        </w:rPr>
        <w:t>日期：</w:t>
      </w:r>
    </w:p>
    <w:p w14:paraId="506C866F">
      <w:pPr>
        <w:snapToGrid w:val="0"/>
        <w:spacing w:before="50" w:afterLines="50" w:line="360" w:lineRule="auto"/>
        <w:ind w:left="283" w:leftChars="135"/>
        <w:jc w:val="left"/>
        <w:rPr>
          <w:rFonts w:ascii="宋体" w:hAnsi="宋体" w:cs="宋体"/>
          <w:szCs w:val="21"/>
        </w:rPr>
      </w:pPr>
    </w:p>
    <w:p w14:paraId="03D94BED">
      <w:pPr>
        <w:snapToGrid w:val="0"/>
        <w:spacing w:before="50" w:afterLines="50" w:line="360" w:lineRule="auto"/>
        <w:ind w:left="283" w:leftChars="135"/>
        <w:jc w:val="left"/>
        <w:rPr>
          <w:rFonts w:ascii="宋体" w:hAnsi="宋体" w:cs="宋体"/>
          <w:szCs w:val="21"/>
        </w:rPr>
      </w:pPr>
    </w:p>
    <w:p w14:paraId="2D2E901E">
      <w:pPr>
        <w:snapToGrid w:val="0"/>
        <w:spacing w:before="50" w:afterLines="50" w:line="360" w:lineRule="auto"/>
        <w:ind w:left="283" w:leftChars="135"/>
        <w:jc w:val="left"/>
        <w:rPr>
          <w:rFonts w:ascii="宋体" w:hAnsi="宋体" w:cs="宋体"/>
          <w:szCs w:val="21"/>
        </w:rPr>
      </w:pPr>
    </w:p>
    <w:p w14:paraId="58E86121">
      <w:pPr>
        <w:snapToGrid w:val="0"/>
        <w:spacing w:before="50" w:afterLines="50" w:line="360" w:lineRule="auto"/>
        <w:ind w:left="283" w:leftChars="135"/>
        <w:jc w:val="left"/>
        <w:rPr>
          <w:rFonts w:ascii="宋体" w:hAnsi="宋体" w:cs="宋体"/>
          <w:szCs w:val="21"/>
        </w:rPr>
      </w:pPr>
    </w:p>
    <w:p w14:paraId="2C2BA985">
      <w:pPr>
        <w:snapToGrid w:val="0"/>
        <w:spacing w:before="50" w:afterLines="50" w:line="360" w:lineRule="auto"/>
        <w:ind w:left="283" w:leftChars="135"/>
        <w:jc w:val="left"/>
        <w:rPr>
          <w:rFonts w:ascii="宋体" w:hAnsi="宋体" w:cs="宋体"/>
          <w:szCs w:val="21"/>
        </w:rPr>
      </w:pPr>
    </w:p>
    <w:p w14:paraId="424C7149">
      <w:pPr>
        <w:snapToGrid w:val="0"/>
        <w:spacing w:before="50" w:afterLines="50" w:line="360" w:lineRule="auto"/>
        <w:ind w:left="283" w:leftChars="135"/>
        <w:jc w:val="left"/>
        <w:rPr>
          <w:rFonts w:ascii="宋体" w:hAnsi="宋体" w:cs="宋体"/>
          <w:szCs w:val="21"/>
        </w:rPr>
      </w:pPr>
    </w:p>
    <w:p w14:paraId="597D3067">
      <w:pPr>
        <w:snapToGrid w:val="0"/>
        <w:spacing w:beforeLines="50" w:after="50" w:line="360" w:lineRule="auto"/>
        <w:ind w:left="142"/>
        <w:jc w:val="left"/>
        <w:rPr>
          <w:rFonts w:ascii="宋体" w:hAnsi="宋体" w:cs="宋体"/>
          <w:b/>
          <w:sz w:val="24"/>
        </w:rPr>
      </w:pPr>
      <w:r>
        <w:rPr>
          <w:rFonts w:hint="eastAsia" w:ascii="宋体" w:hAnsi="宋体" w:cs="宋体"/>
          <w:b/>
          <w:sz w:val="24"/>
        </w:rPr>
        <w:t>3.项目实施人员一览表格式</w:t>
      </w:r>
    </w:p>
    <w:p w14:paraId="2BA77814">
      <w:pPr>
        <w:snapToGrid w:val="0"/>
        <w:spacing w:beforeLines="50" w:after="50" w:line="360" w:lineRule="auto"/>
        <w:ind w:left="142"/>
        <w:jc w:val="center"/>
        <w:rPr>
          <w:rFonts w:ascii="宋体" w:hAnsi="宋体" w:cs="宋体"/>
          <w:b/>
          <w:sz w:val="24"/>
        </w:rPr>
      </w:pPr>
      <w:r>
        <w:rPr>
          <w:rFonts w:hint="eastAsia" w:ascii="宋体" w:hAnsi="宋体" w:cs="宋体"/>
          <w:b/>
          <w:sz w:val="24"/>
        </w:rPr>
        <w:t>项目实施人员一览表</w:t>
      </w:r>
    </w:p>
    <w:p w14:paraId="04ADDE9D">
      <w:pPr>
        <w:pStyle w:val="24"/>
        <w:spacing w:line="360" w:lineRule="auto"/>
        <w:rPr>
          <w:rFonts w:hAnsi="宋体" w:cs="宋体"/>
          <w:sz w:val="21"/>
        </w:rPr>
      </w:pPr>
      <w:r>
        <w:rPr>
          <w:rFonts w:hint="eastAsia" w:hAnsi="宋体" w:cs="宋体"/>
          <w:sz w:val="21"/>
        </w:rPr>
        <w:t>所投分标：分标</w:t>
      </w:r>
    </w:p>
    <w:tbl>
      <w:tblPr>
        <w:tblStyle w:val="46"/>
        <w:tblW w:w="7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135"/>
        <w:gridCol w:w="2131"/>
        <w:gridCol w:w="2314"/>
      </w:tblGrid>
      <w:tr w14:paraId="77E0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25" w:type="dxa"/>
            <w:noWrap/>
            <w:vAlign w:val="center"/>
          </w:tcPr>
          <w:p w14:paraId="6BDD6757">
            <w:pPr>
              <w:snapToGrid w:val="0"/>
              <w:spacing w:before="50" w:afterLines="50" w:line="360" w:lineRule="auto"/>
              <w:jc w:val="center"/>
              <w:rPr>
                <w:rFonts w:ascii="宋体" w:hAnsi="宋体" w:cs="宋体"/>
                <w:szCs w:val="16"/>
              </w:rPr>
            </w:pPr>
            <w:r>
              <w:rPr>
                <w:rFonts w:hint="eastAsia" w:ascii="宋体" w:hAnsi="宋体" w:cs="宋体"/>
                <w:szCs w:val="16"/>
              </w:rPr>
              <w:t>姓名</w:t>
            </w:r>
          </w:p>
        </w:tc>
        <w:tc>
          <w:tcPr>
            <w:tcW w:w="2135" w:type="dxa"/>
            <w:noWrap/>
            <w:vAlign w:val="center"/>
          </w:tcPr>
          <w:p w14:paraId="2936E2D8">
            <w:pPr>
              <w:snapToGrid w:val="0"/>
              <w:spacing w:before="50" w:afterLines="50" w:line="360" w:lineRule="auto"/>
              <w:jc w:val="center"/>
              <w:rPr>
                <w:rFonts w:ascii="宋体" w:hAnsi="宋体" w:cs="宋体"/>
                <w:szCs w:val="16"/>
              </w:rPr>
            </w:pPr>
            <w:r>
              <w:rPr>
                <w:rFonts w:hint="eastAsia" w:ascii="宋体" w:hAnsi="宋体" w:cs="宋体"/>
                <w:szCs w:val="16"/>
              </w:rPr>
              <w:t>职称证书名称及执业证书名称</w:t>
            </w:r>
          </w:p>
        </w:tc>
        <w:tc>
          <w:tcPr>
            <w:tcW w:w="2131" w:type="dxa"/>
            <w:noWrap/>
            <w:vAlign w:val="center"/>
          </w:tcPr>
          <w:p w14:paraId="2DE945C0">
            <w:pPr>
              <w:snapToGrid w:val="0"/>
              <w:spacing w:before="50" w:afterLines="50" w:line="360" w:lineRule="auto"/>
              <w:jc w:val="center"/>
              <w:rPr>
                <w:rFonts w:ascii="宋体" w:hAnsi="宋体" w:cs="宋体"/>
                <w:szCs w:val="16"/>
              </w:rPr>
            </w:pPr>
            <w:r>
              <w:rPr>
                <w:rFonts w:hint="eastAsia" w:ascii="宋体" w:hAnsi="宋体" w:cs="宋体"/>
                <w:szCs w:val="16"/>
              </w:rPr>
              <w:t>参加本单位</w:t>
            </w:r>
          </w:p>
          <w:p w14:paraId="57D26416">
            <w:pPr>
              <w:snapToGrid w:val="0"/>
              <w:spacing w:before="50" w:afterLines="50" w:line="360" w:lineRule="auto"/>
              <w:jc w:val="center"/>
              <w:rPr>
                <w:rFonts w:ascii="宋体" w:hAnsi="宋体" w:cs="宋体"/>
                <w:szCs w:val="16"/>
              </w:rPr>
            </w:pPr>
            <w:r>
              <w:rPr>
                <w:rFonts w:hint="eastAsia" w:ascii="宋体" w:hAnsi="宋体" w:cs="宋体"/>
                <w:szCs w:val="16"/>
              </w:rPr>
              <w:t>工作时间</w:t>
            </w:r>
          </w:p>
        </w:tc>
        <w:tc>
          <w:tcPr>
            <w:tcW w:w="2314" w:type="dxa"/>
            <w:noWrap/>
            <w:vAlign w:val="center"/>
          </w:tcPr>
          <w:p w14:paraId="1D8F5149">
            <w:pPr>
              <w:snapToGrid w:val="0"/>
              <w:spacing w:before="50" w:afterLines="50" w:line="360" w:lineRule="auto"/>
              <w:jc w:val="center"/>
              <w:rPr>
                <w:rFonts w:ascii="宋体" w:hAnsi="宋体" w:cs="宋体"/>
                <w:szCs w:val="16"/>
              </w:rPr>
            </w:pPr>
            <w:r>
              <w:rPr>
                <w:rFonts w:hint="eastAsia" w:ascii="宋体" w:hAnsi="宋体" w:cs="宋体"/>
                <w:szCs w:val="16"/>
              </w:rPr>
              <w:t>拟在本项目任职</w:t>
            </w:r>
          </w:p>
        </w:tc>
      </w:tr>
      <w:tr w14:paraId="7ADA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25" w:type="dxa"/>
            <w:noWrap/>
            <w:vAlign w:val="center"/>
          </w:tcPr>
          <w:p w14:paraId="291B28C3">
            <w:pPr>
              <w:snapToGrid w:val="0"/>
              <w:spacing w:before="50" w:afterLines="50" w:line="360" w:lineRule="auto"/>
              <w:jc w:val="center"/>
              <w:rPr>
                <w:rFonts w:ascii="宋体" w:hAnsi="宋体" w:cs="宋体"/>
                <w:szCs w:val="16"/>
              </w:rPr>
            </w:pPr>
          </w:p>
        </w:tc>
        <w:tc>
          <w:tcPr>
            <w:tcW w:w="2135" w:type="dxa"/>
            <w:noWrap/>
            <w:vAlign w:val="center"/>
          </w:tcPr>
          <w:p w14:paraId="587FA5D2">
            <w:pPr>
              <w:snapToGrid w:val="0"/>
              <w:spacing w:before="50" w:afterLines="50" w:line="360" w:lineRule="auto"/>
              <w:jc w:val="center"/>
              <w:rPr>
                <w:rFonts w:ascii="宋体" w:hAnsi="宋体" w:cs="宋体"/>
                <w:szCs w:val="16"/>
              </w:rPr>
            </w:pPr>
          </w:p>
        </w:tc>
        <w:tc>
          <w:tcPr>
            <w:tcW w:w="2131" w:type="dxa"/>
            <w:noWrap/>
            <w:vAlign w:val="center"/>
          </w:tcPr>
          <w:p w14:paraId="0F793F1C">
            <w:pPr>
              <w:snapToGrid w:val="0"/>
              <w:spacing w:before="50" w:afterLines="50" w:line="360" w:lineRule="auto"/>
              <w:jc w:val="center"/>
              <w:rPr>
                <w:rFonts w:ascii="宋体" w:hAnsi="宋体" w:cs="宋体"/>
                <w:szCs w:val="16"/>
              </w:rPr>
            </w:pPr>
          </w:p>
        </w:tc>
        <w:tc>
          <w:tcPr>
            <w:tcW w:w="2314" w:type="dxa"/>
            <w:noWrap/>
            <w:vAlign w:val="center"/>
          </w:tcPr>
          <w:p w14:paraId="29DB2543">
            <w:pPr>
              <w:snapToGrid w:val="0"/>
              <w:spacing w:before="50" w:afterLines="50" w:line="360" w:lineRule="auto"/>
              <w:jc w:val="center"/>
              <w:rPr>
                <w:rFonts w:ascii="宋体" w:hAnsi="宋体" w:cs="宋体"/>
                <w:szCs w:val="16"/>
              </w:rPr>
            </w:pPr>
          </w:p>
        </w:tc>
      </w:tr>
      <w:tr w14:paraId="6A5D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25" w:type="dxa"/>
            <w:noWrap/>
            <w:vAlign w:val="center"/>
          </w:tcPr>
          <w:p w14:paraId="33EAE6DA">
            <w:pPr>
              <w:snapToGrid w:val="0"/>
              <w:spacing w:before="50" w:afterLines="50" w:line="360" w:lineRule="auto"/>
              <w:jc w:val="center"/>
              <w:rPr>
                <w:rFonts w:ascii="宋体" w:hAnsi="宋体" w:cs="宋体"/>
                <w:szCs w:val="16"/>
              </w:rPr>
            </w:pPr>
          </w:p>
        </w:tc>
        <w:tc>
          <w:tcPr>
            <w:tcW w:w="2135" w:type="dxa"/>
            <w:noWrap/>
            <w:vAlign w:val="center"/>
          </w:tcPr>
          <w:p w14:paraId="110DED35">
            <w:pPr>
              <w:snapToGrid w:val="0"/>
              <w:spacing w:before="50" w:afterLines="50" w:line="360" w:lineRule="auto"/>
              <w:jc w:val="center"/>
              <w:rPr>
                <w:rFonts w:ascii="宋体" w:hAnsi="宋体" w:cs="宋体"/>
                <w:szCs w:val="16"/>
              </w:rPr>
            </w:pPr>
          </w:p>
        </w:tc>
        <w:tc>
          <w:tcPr>
            <w:tcW w:w="2131" w:type="dxa"/>
            <w:noWrap/>
            <w:vAlign w:val="center"/>
          </w:tcPr>
          <w:p w14:paraId="643554C0">
            <w:pPr>
              <w:snapToGrid w:val="0"/>
              <w:spacing w:before="50" w:afterLines="50" w:line="360" w:lineRule="auto"/>
              <w:jc w:val="center"/>
              <w:rPr>
                <w:rFonts w:ascii="宋体" w:hAnsi="宋体" w:cs="宋体"/>
                <w:szCs w:val="16"/>
              </w:rPr>
            </w:pPr>
          </w:p>
        </w:tc>
        <w:tc>
          <w:tcPr>
            <w:tcW w:w="2314" w:type="dxa"/>
            <w:noWrap/>
            <w:vAlign w:val="center"/>
          </w:tcPr>
          <w:p w14:paraId="3A35CBE9">
            <w:pPr>
              <w:snapToGrid w:val="0"/>
              <w:spacing w:before="50" w:afterLines="50" w:line="360" w:lineRule="auto"/>
              <w:jc w:val="center"/>
              <w:rPr>
                <w:rFonts w:ascii="宋体" w:hAnsi="宋体" w:cs="宋体"/>
                <w:szCs w:val="16"/>
              </w:rPr>
            </w:pPr>
          </w:p>
        </w:tc>
      </w:tr>
      <w:tr w14:paraId="42DF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25" w:type="dxa"/>
            <w:noWrap/>
            <w:vAlign w:val="center"/>
          </w:tcPr>
          <w:p w14:paraId="7AFFB36B">
            <w:pPr>
              <w:snapToGrid w:val="0"/>
              <w:spacing w:before="50" w:afterLines="50" w:line="360" w:lineRule="auto"/>
              <w:jc w:val="center"/>
              <w:rPr>
                <w:rFonts w:ascii="宋体" w:hAnsi="宋体" w:cs="宋体"/>
                <w:szCs w:val="16"/>
              </w:rPr>
            </w:pPr>
          </w:p>
        </w:tc>
        <w:tc>
          <w:tcPr>
            <w:tcW w:w="2135" w:type="dxa"/>
            <w:noWrap/>
            <w:vAlign w:val="center"/>
          </w:tcPr>
          <w:p w14:paraId="2D173721">
            <w:pPr>
              <w:snapToGrid w:val="0"/>
              <w:spacing w:before="50" w:afterLines="50" w:line="360" w:lineRule="auto"/>
              <w:jc w:val="center"/>
              <w:rPr>
                <w:rFonts w:ascii="宋体" w:hAnsi="宋体" w:cs="宋体"/>
                <w:szCs w:val="16"/>
              </w:rPr>
            </w:pPr>
          </w:p>
        </w:tc>
        <w:tc>
          <w:tcPr>
            <w:tcW w:w="2131" w:type="dxa"/>
            <w:noWrap/>
            <w:vAlign w:val="center"/>
          </w:tcPr>
          <w:p w14:paraId="3CDE2B32">
            <w:pPr>
              <w:snapToGrid w:val="0"/>
              <w:spacing w:before="50" w:afterLines="50" w:line="360" w:lineRule="auto"/>
              <w:jc w:val="center"/>
              <w:rPr>
                <w:rFonts w:ascii="宋体" w:hAnsi="宋体" w:cs="宋体"/>
                <w:szCs w:val="16"/>
              </w:rPr>
            </w:pPr>
          </w:p>
        </w:tc>
        <w:tc>
          <w:tcPr>
            <w:tcW w:w="2314" w:type="dxa"/>
            <w:noWrap/>
            <w:vAlign w:val="center"/>
          </w:tcPr>
          <w:p w14:paraId="5725F446">
            <w:pPr>
              <w:snapToGrid w:val="0"/>
              <w:spacing w:before="50" w:afterLines="50" w:line="360" w:lineRule="auto"/>
              <w:jc w:val="center"/>
              <w:rPr>
                <w:rFonts w:ascii="宋体" w:hAnsi="宋体" w:cs="宋体"/>
                <w:szCs w:val="16"/>
              </w:rPr>
            </w:pPr>
          </w:p>
        </w:tc>
      </w:tr>
    </w:tbl>
    <w:p w14:paraId="2B86C93F">
      <w:pPr>
        <w:snapToGrid w:val="0"/>
        <w:spacing w:before="50" w:afterLines="50" w:line="360" w:lineRule="auto"/>
        <w:jc w:val="left"/>
        <w:rPr>
          <w:rFonts w:ascii="宋体" w:hAnsi="宋体" w:cs="宋体"/>
          <w:szCs w:val="16"/>
        </w:rPr>
      </w:pPr>
      <w:r>
        <w:rPr>
          <w:rFonts w:hint="eastAsia" w:ascii="宋体" w:hAnsi="宋体" w:cs="宋体"/>
          <w:szCs w:val="16"/>
        </w:rPr>
        <w:t>注：在填写时，如本表格不适合投标单位的实际情况，可根据本表格式自行制表填写。</w:t>
      </w:r>
    </w:p>
    <w:p w14:paraId="5DF9964A">
      <w:pPr>
        <w:snapToGrid w:val="0"/>
        <w:spacing w:before="50" w:after="50" w:line="360" w:lineRule="auto"/>
        <w:rPr>
          <w:rFonts w:ascii="宋体" w:hAnsi="宋体" w:cs="宋体"/>
          <w:spacing w:val="20"/>
          <w:szCs w:val="16"/>
          <w:u w:val="single"/>
        </w:rPr>
      </w:pPr>
      <w:r>
        <w:rPr>
          <w:rFonts w:hint="eastAsia" w:ascii="宋体" w:hAnsi="宋体" w:cs="宋体"/>
          <w:szCs w:val="21"/>
        </w:rPr>
        <w:t>法定代表人或者委托代理人签字或盖章</w:t>
      </w:r>
      <w:r>
        <w:rPr>
          <w:rFonts w:hint="eastAsia" w:ascii="宋体" w:hAnsi="宋体" w:cs="宋体"/>
          <w:spacing w:val="20"/>
          <w:szCs w:val="21"/>
        </w:rPr>
        <w:t>：</w:t>
      </w:r>
    </w:p>
    <w:p w14:paraId="7150D64B">
      <w:pPr>
        <w:snapToGrid w:val="0"/>
        <w:spacing w:before="50" w:afterLines="50" w:line="360" w:lineRule="auto"/>
        <w:jc w:val="left"/>
        <w:rPr>
          <w:rFonts w:ascii="宋体" w:hAnsi="宋体" w:cs="宋体"/>
          <w:szCs w:val="16"/>
        </w:rPr>
      </w:pPr>
      <w:r>
        <w:rPr>
          <w:rFonts w:hint="eastAsia" w:ascii="宋体" w:hAnsi="宋体" w:cs="宋体"/>
          <w:spacing w:val="20"/>
          <w:szCs w:val="21"/>
        </w:rPr>
        <w:t>投标人（盖公章）：日期：</w:t>
      </w:r>
    </w:p>
    <w:p w14:paraId="2685AD10">
      <w:pPr>
        <w:snapToGrid w:val="0"/>
        <w:spacing w:before="50" w:afterLines="50" w:line="360" w:lineRule="auto"/>
        <w:jc w:val="left"/>
        <w:rPr>
          <w:rFonts w:ascii="宋体" w:hAnsi="宋体" w:cs="宋体"/>
          <w:szCs w:val="16"/>
        </w:rPr>
        <w:sectPr>
          <w:pgSz w:w="11906" w:h="16838"/>
          <w:pgMar w:top="1440" w:right="1797" w:bottom="1440" w:left="1797" w:header="851" w:footer="992" w:gutter="0"/>
          <w:cols w:space="720" w:num="1"/>
          <w:docGrid w:linePitch="312" w:charSpace="0"/>
        </w:sectPr>
      </w:pPr>
    </w:p>
    <w:p w14:paraId="144DC257">
      <w:pPr>
        <w:pStyle w:val="4"/>
        <w:spacing w:before="0" w:after="0" w:line="360" w:lineRule="auto"/>
        <w:jc w:val="center"/>
        <w:rPr>
          <w:rFonts w:ascii="宋体" w:hAnsi="宋体" w:cs="宋体"/>
          <w:b w:val="0"/>
          <w:bCs w:val="0"/>
          <w:sz w:val="28"/>
          <w:szCs w:val="28"/>
        </w:rPr>
      </w:pPr>
      <w:bookmarkStart w:id="216" w:name="_Toc19847"/>
      <w:bookmarkStart w:id="217" w:name="_Toc9568"/>
      <w:bookmarkStart w:id="218" w:name="_Toc19686840"/>
      <w:bookmarkStart w:id="219" w:name="_Toc18905"/>
      <w:r>
        <w:rPr>
          <w:rFonts w:hint="eastAsia" w:ascii="宋体" w:hAnsi="宋体" w:eastAsia="宋体"/>
        </w:rPr>
        <w:t>六、其他文书、文件格式</w:t>
      </w:r>
      <w:bookmarkEnd w:id="216"/>
      <w:bookmarkEnd w:id="217"/>
      <w:bookmarkEnd w:id="218"/>
      <w:bookmarkEnd w:id="219"/>
    </w:p>
    <w:p w14:paraId="701A6624">
      <w:pPr>
        <w:spacing w:beforeLines="50" w:afterLines="50" w:line="360" w:lineRule="auto"/>
        <w:rPr>
          <w:rFonts w:ascii="宋体" w:hAnsi="宋体" w:cs="宋体"/>
          <w:sz w:val="24"/>
        </w:rPr>
      </w:pPr>
    </w:p>
    <w:p w14:paraId="3E535D38">
      <w:pPr>
        <w:snapToGrid w:val="0"/>
        <w:spacing w:beforeLines="50" w:after="50" w:line="360" w:lineRule="auto"/>
        <w:ind w:left="142"/>
        <w:jc w:val="left"/>
        <w:rPr>
          <w:rFonts w:ascii="宋体" w:hAnsi="宋体" w:cs="宋体"/>
          <w:b/>
          <w:spacing w:val="20"/>
          <w:sz w:val="22"/>
          <w:szCs w:val="22"/>
        </w:rPr>
      </w:pPr>
      <w:r>
        <w:rPr>
          <w:rFonts w:hint="eastAsia" w:ascii="宋体" w:hAnsi="宋体" w:cs="宋体"/>
          <w:b/>
          <w:spacing w:val="20"/>
          <w:sz w:val="22"/>
          <w:szCs w:val="22"/>
        </w:rPr>
        <w:t>联合投标协议书格式</w:t>
      </w:r>
    </w:p>
    <w:p w14:paraId="0507886C">
      <w:pPr>
        <w:pStyle w:val="8"/>
        <w:overflowPunct w:val="0"/>
        <w:spacing w:line="360" w:lineRule="auto"/>
        <w:jc w:val="center"/>
        <w:rPr>
          <w:rFonts w:ascii="宋体" w:hAnsi="宋体" w:cs="宋体"/>
          <w:b/>
          <w:bCs/>
          <w:sz w:val="28"/>
          <w:szCs w:val="28"/>
        </w:rPr>
      </w:pPr>
      <w:r>
        <w:rPr>
          <w:rFonts w:hint="eastAsia" w:ascii="宋体" w:hAnsi="宋体" w:cs="宋体"/>
          <w:b/>
          <w:bCs/>
          <w:sz w:val="28"/>
          <w:szCs w:val="28"/>
        </w:rPr>
        <w:t>联合体协议书</w:t>
      </w:r>
    </w:p>
    <w:p w14:paraId="243E301D">
      <w:pPr>
        <w:pStyle w:val="8"/>
        <w:overflowPunct w:val="0"/>
        <w:spacing w:line="360" w:lineRule="auto"/>
        <w:rPr>
          <w:rFonts w:ascii="宋体" w:hAnsi="宋体" w:cs="宋体"/>
          <w:szCs w:val="16"/>
        </w:rPr>
      </w:pPr>
      <w:r>
        <w:rPr>
          <w:rFonts w:hint="eastAsia" w:ascii="宋体" w:hAnsi="宋体" w:cs="宋体"/>
          <w:szCs w:val="16"/>
          <w:u w:val="single"/>
        </w:rPr>
        <w:tab/>
      </w:r>
      <w:r>
        <w:rPr>
          <w:rFonts w:hint="eastAsia" w:ascii="宋体" w:hAnsi="宋体" w:cs="宋体"/>
          <w:szCs w:val="16"/>
        </w:rPr>
        <w:t>（所有成员单位名称）自愿组成</w:t>
      </w:r>
      <w:r>
        <w:rPr>
          <w:rFonts w:hint="eastAsia" w:ascii="宋体" w:hAnsi="宋体" w:cs="宋体"/>
          <w:szCs w:val="16"/>
          <w:u w:val="single"/>
        </w:rPr>
        <w:tab/>
      </w:r>
      <w:r>
        <w:rPr>
          <w:rFonts w:hint="eastAsia" w:ascii="宋体" w:hAnsi="宋体" w:cs="宋体"/>
          <w:szCs w:val="16"/>
        </w:rPr>
        <w:t>（联合体名称）联合体，共同参加</w:t>
      </w:r>
      <w:r>
        <w:rPr>
          <w:rFonts w:hint="eastAsia" w:ascii="宋体" w:hAnsi="宋体" w:cs="宋体"/>
          <w:szCs w:val="16"/>
          <w:u w:val="single"/>
        </w:rPr>
        <w:tab/>
      </w:r>
      <w:r>
        <w:rPr>
          <w:rFonts w:hint="eastAsia" w:ascii="宋体" w:hAnsi="宋体" w:cs="宋体"/>
          <w:szCs w:val="16"/>
          <w:u w:val="single"/>
        </w:rPr>
        <w:t>（项</w:t>
      </w:r>
      <w:r>
        <w:rPr>
          <w:rFonts w:hint="eastAsia" w:ascii="宋体" w:hAnsi="宋体" w:cs="宋体"/>
          <w:szCs w:val="16"/>
        </w:rPr>
        <w:t>目名称）采购招标项目投标。现就联合体投标事宜订立如下协议。</w:t>
      </w:r>
    </w:p>
    <w:p w14:paraId="58962446">
      <w:pPr>
        <w:pStyle w:val="8"/>
        <w:overflowPunct w:val="0"/>
        <w:spacing w:line="360" w:lineRule="auto"/>
        <w:ind w:firstLine="367" w:firstLineChars="175"/>
        <w:rPr>
          <w:rFonts w:ascii="宋体" w:hAnsi="宋体" w:cs="宋体"/>
          <w:szCs w:val="16"/>
        </w:rPr>
      </w:pPr>
      <w:r>
        <w:rPr>
          <w:rFonts w:hint="eastAsia" w:ascii="宋体" w:hAnsi="宋体" w:cs="宋体"/>
          <w:szCs w:val="16"/>
        </w:rPr>
        <w:t>1.</w:t>
      </w:r>
      <w:r>
        <w:rPr>
          <w:rFonts w:hint="eastAsia" w:ascii="宋体" w:hAnsi="宋体" w:cs="宋体"/>
          <w:szCs w:val="16"/>
          <w:u w:val="single"/>
        </w:rPr>
        <w:tab/>
      </w:r>
      <w:r>
        <w:rPr>
          <w:rFonts w:hint="eastAsia" w:ascii="宋体" w:hAnsi="宋体" w:cs="宋体"/>
          <w:szCs w:val="16"/>
        </w:rPr>
        <w:t>（某成员单位名称）为</w:t>
      </w:r>
      <w:r>
        <w:rPr>
          <w:rFonts w:hint="eastAsia" w:ascii="宋体" w:hAnsi="宋体" w:cs="宋体"/>
          <w:szCs w:val="16"/>
          <w:u w:val="single"/>
        </w:rPr>
        <w:tab/>
      </w:r>
      <w:r>
        <w:rPr>
          <w:rFonts w:hint="eastAsia" w:ascii="宋体" w:hAnsi="宋体" w:cs="宋体"/>
          <w:szCs w:val="16"/>
        </w:rPr>
        <w:t>（联合体名称）牵头人。</w:t>
      </w:r>
    </w:p>
    <w:p w14:paraId="7B70ED56">
      <w:pPr>
        <w:pStyle w:val="8"/>
        <w:overflowPunct w:val="0"/>
        <w:spacing w:line="360" w:lineRule="auto"/>
        <w:ind w:firstLine="367" w:firstLineChars="175"/>
        <w:rPr>
          <w:rFonts w:ascii="宋体" w:hAnsi="宋体" w:cs="宋体"/>
          <w:szCs w:val="16"/>
        </w:rPr>
      </w:pPr>
      <w:r>
        <w:rPr>
          <w:rFonts w:hint="eastAsia" w:ascii="宋体" w:hAnsi="宋体" w:cs="宋体"/>
          <w:szCs w:val="16"/>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78CC14B9">
      <w:pPr>
        <w:pStyle w:val="8"/>
        <w:overflowPunct w:val="0"/>
        <w:spacing w:line="360" w:lineRule="auto"/>
        <w:ind w:firstLine="367" w:firstLineChars="175"/>
        <w:rPr>
          <w:rFonts w:ascii="宋体" w:hAnsi="宋体" w:cs="宋体"/>
          <w:szCs w:val="16"/>
        </w:rPr>
      </w:pPr>
      <w:r>
        <w:rPr>
          <w:rFonts w:hint="eastAsia" w:ascii="宋体" w:hAnsi="宋体" w:cs="宋体"/>
          <w:szCs w:val="16"/>
        </w:rPr>
        <w:t>3.联合体牵头人在本项目中签署和盖章的一切文件和处理的一切事宜，联合体各成员均予以承认。联合体各成员将严格按照招标文件、投标文件和合同的要求全面履行义务，并向招标人承担连带责任。</w:t>
      </w:r>
    </w:p>
    <w:p w14:paraId="6953A7F1">
      <w:pPr>
        <w:pStyle w:val="8"/>
        <w:overflowPunct w:val="0"/>
        <w:spacing w:line="360" w:lineRule="auto"/>
        <w:ind w:firstLine="367" w:firstLineChars="175"/>
        <w:rPr>
          <w:rFonts w:ascii="宋体" w:hAnsi="宋体" w:cs="宋体"/>
          <w:szCs w:val="16"/>
        </w:rPr>
      </w:pPr>
      <w:r>
        <w:rPr>
          <w:rFonts w:hint="eastAsia" w:ascii="宋体" w:hAnsi="宋体" w:cs="宋体"/>
          <w:szCs w:val="16"/>
        </w:rPr>
        <w:t>4.联合体各成员单位内部的职责分工如下：</w:t>
      </w:r>
      <w:r>
        <w:rPr>
          <w:rFonts w:hint="eastAsia" w:ascii="宋体" w:hAnsi="宋体" w:cs="宋体"/>
          <w:szCs w:val="16"/>
          <w:u w:val="single"/>
        </w:rPr>
        <w:tab/>
      </w:r>
      <w:r>
        <w:rPr>
          <w:rFonts w:hint="eastAsia" w:ascii="宋体" w:hAnsi="宋体" w:cs="宋体"/>
          <w:szCs w:val="16"/>
        </w:rPr>
        <w:t>。</w:t>
      </w:r>
    </w:p>
    <w:p w14:paraId="2008354D">
      <w:pPr>
        <w:pStyle w:val="8"/>
        <w:overflowPunct w:val="0"/>
        <w:spacing w:line="360" w:lineRule="auto"/>
        <w:ind w:firstLine="367" w:firstLineChars="175"/>
        <w:rPr>
          <w:rFonts w:ascii="宋体" w:hAnsi="宋体" w:cs="宋体"/>
          <w:szCs w:val="16"/>
        </w:rPr>
      </w:pPr>
      <w:r>
        <w:rPr>
          <w:rFonts w:hint="eastAsia" w:ascii="宋体" w:hAnsi="宋体" w:cs="宋体"/>
          <w:szCs w:val="16"/>
        </w:rPr>
        <w:t>5.本协议书自所有成员单位法定代表人或者其委托代理人签字或者盖公章之日起生效，合同履行完毕后自动失效。</w:t>
      </w:r>
    </w:p>
    <w:p w14:paraId="590F7832">
      <w:pPr>
        <w:pStyle w:val="8"/>
        <w:overflowPunct w:val="0"/>
        <w:spacing w:line="360" w:lineRule="auto"/>
        <w:ind w:firstLine="367" w:firstLineChars="175"/>
        <w:rPr>
          <w:rFonts w:ascii="宋体" w:hAnsi="宋体" w:cs="宋体"/>
          <w:szCs w:val="16"/>
        </w:rPr>
      </w:pPr>
      <w:r>
        <w:rPr>
          <w:rFonts w:hint="eastAsia" w:ascii="宋体" w:hAnsi="宋体" w:cs="宋体"/>
          <w:szCs w:val="16"/>
        </w:rPr>
        <w:t>6.本协议书一式</w:t>
      </w:r>
      <w:r>
        <w:rPr>
          <w:rFonts w:hint="eastAsia" w:ascii="宋体" w:hAnsi="宋体" w:cs="宋体"/>
          <w:szCs w:val="16"/>
          <w:u w:val="single"/>
        </w:rPr>
        <w:tab/>
      </w:r>
      <w:r>
        <w:rPr>
          <w:rFonts w:hint="eastAsia" w:ascii="宋体" w:hAnsi="宋体" w:cs="宋体"/>
          <w:szCs w:val="16"/>
        </w:rPr>
        <w:t>份，联合体成员和招标人各执一份。</w:t>
      </w:r>
    </w:p>
    <w:p w14:paraId="491252A1">
      <w:pPr>
        <w:pStyle w:val="8"/>
        <w:overflowPunct w:val="0"/>
        <w:spacing w:line="360" w:lineRule="auto"/>
        <w:ind w:firstLine="367" w:firstLineChars="175"/>
        <w:rPr>
          <w:rFonts w:ascii="宋体" w:hAnsi="宋体" w:cs="宋体"/>
          <w:szCs w:val="16"/>
        </w:rPr>
      </w:pPr>
      <w:r>
        <w:rPr>
          <w:rFonts w:hint="eastAsia" w:ascii="宋体" w:hAnsi="宋体" w:cs="宋体"/>
          <w:szCs w:val="16"/>
        </w:rPr>
        <w:t>注：本协议书由法定代表人签字的，应附法定代表人身份</w:t>
      </w:r>
    </w:p>
    <w:p w14:paraId="1BAB0F9B">
      <w:pPr>
        <w:pStyle w:val="8"/>
        <w:overflowPunct w:val="0"/>
        <w:spacing w:line="360" w:lineRule="auto"/>
        <w:ind w:firstLine="367" w:firstLineChars="175"/>
        <w:rPr>
          <w:rFonts w:ascii="宋体" w:hAnsi="宋体" w:cs="宋体"/>
          <w:szCs w:val="16"/>
        </w:rPr>
      </w:pPr>
      <w:r>
        <w:rPr>
          <w:rFonts w:hint="eastAsia" w:ascii="宋体" w:hAnsi="宋体" w:cs="宋体"/>
          <w:szCs w:val="16"/>
        </w:rPr>
        <w:t>证明；由委托代理人签字的，应附授权委托书。</w:t>
      </w:r>
    </w:p>
    <w:p w14:paraId="1892A07C">
      <w:pPr>
        <w:pStyle w:val="8"/>
        <w:overflowPunct w:val="0"/>
        <w:spacing w:line="360" w:lineRule="auto"/>
        <w:ind w:firstLine="367" w:firstLineChars="175"/>
        <w:rPr>
          <w:rFonts w:ascii="宋体" w:hAnsi="宋体" w:cs="宋体"/>
          <w:szCs w:val="16"/>
        </w:rPr>
      </w:pPr>
      <w:r>
        <w:rPr>
          <w:rFonts w:hint="eastAsia" w:ascii="宋体" w:hAnsi="宋体" w:cs="宋体"/>
          <w:szCs w:val="16"/>
        </w:rPr>
        <w:t>联合体牵头人名称（盖公章）：</w:t>
      </w:r>
    </w:p>
    <w:p w14:paraId="2BFE76AB">
      <w:pPr>
        <w:pStyle w:val="8"/>
        <w:overflowPunct w:val="0"/>
        <w:spacing w:line="360" w:lineRule="auto"/>
        <w:ind w:firstLine="367" w:firstLineChars="175"/>
        <w:rPr>
          <w:rFonts w:ascii="宋体" w:hAnsi="宋体" w:cs="宋体"/>
          <w:szCs w:val="16"/>
        </w:rPr>
      </w:pPr>
    </w:p>
    <w:p w14:paraId="27D254DB">
      <w:pPr>
        <w:pStyle w:val="8"/>
        <w:overflowPunct w:val="0"/>
        <w:spacing w:line="360" w:lineRule="auto"/>
        <w:ind w:firstLine="367" w:firstLineChars="175"/>
        <w:rPr>
          <w:rFonts w:ascii="宋体" w:hAnsi="宋体" w:cs="宋体"/>
          <w:szCs w:val="16"/>
        </w:rPr>
      </w:pPr>
      <w:r>
        <w:rPr>
          <w:rFonts w:hint="eastAsia" w:ascii="宋体" w:hAnsi="宋体" w:cs="宋体"/>
          <w:szCs w:val="16"/>
        </w:rPr>
        <w:t>法定代表人或者其委托代理人：</w:t>
      </w:r>
      <w:r>
        <w:rPr>
          <w:rFonts w:hint="eastAsia" w:ascii="宋体" w:hAnsi="宋体" w:cs="宋体"/>
          <w:szCs w:val="16"/>
        </w:rPr>
        <w:tab/>
      </w:r>
      <w:r>
        <w:rPr>
          <w:rFonts w:hint="eastAsia" w:ascii="宋体" w:hAnsi="宋体" w:cs="宋体"/>
          <w:szCs w:val="16"/>
        </w:rPr>
        <w:t>（</w:t>
      </w:r>
      <w:r>
        <w:rPr>
          <w:rFonts w:hint="eastAsia" w:ascii="宋体" w:hAnsi="宋体" w:cs="宋体"/>
          <w:szCs w:val="21"/>
        </w:rPr>
        <w:t>签字或盖章</w:t>
      </w:r>
      <w:r>
        <w:rPr>
          <w:rFonts w:hint="eastAsia" w:ascii="宋体" w:hAnsi="宋体" w:cs="宋体"/>
          <w:szCs w:val="16"/>
        </w:rPr>
        <w:t>）</w:t>
      </w:r>
    </w:p>
    <w:p w14:paraId="46A8B375">
      <w:pPr>
        <w:pStyle w:val="8"/>
        <w:overflowPunct w:val="0"/>
        <w:spacing w:line="360" w:lineRule="auto"/>
        <w:ind w:firstLine="367" w:firstLineChars="175"/>
        <w:rPr>
          <w:rFonts w:ascii="宋体" w:hAnsi="宋体" w:cs="宋体"/>
          <w:szCs w:val="16"/>
        </w:rPr>
      </w:pPr>
    </w:p>
    <w:p w14:paraId="7D9741E1">
      <w:pPr>
        <w:pStyle w:val="8"/>
        <w:overflowPunct w:val="0"/>
        <w:spacing w:line="360" w:lineRule="auto"/>
        <w:ind w:firstLine="367" w:firstLineChars="175"/>
        <w:rPr>
          <w:rFonts w:ascii="宋体" w:hAnsi="宋体" w:cs="宋体"/>
          <w:szCs w:val="16"/>
        </w:rPr>
      </w:pPr>
      <w:r>
        <w:rPr>
          <w:rFonts w:hint="eastAsia" w:ascii="宋体" w:hAnsi="宋体" w:cs="宋体"/>
          <w:szCs w:val="16"/>
        </w:rPr>
        <w:t>联合体成员名称（盖公章）：</w:t>
      </w:r>
    </w:p>
    <w:p w14:paraId="40EEDB7D">
      <w:pPr>
        <w:pStyle w:val="8"/>
        <w:overflowPunct w:val="0"/>
        <w:spacing w:line="360" w:lineRule="auto"/>
        <w:ind w:firstLine="367" w:firstLineChars="175"/>
        <w:rPr>
          <w:rFonts w:ascii="宋体" w:hAnsi="宋体" w:cs="宋体"/>
          <w:szCs w:val="16"/>
        </w:rPr>
      </w:pPr>
    </w:p>
    <w:p w14:paraId="73B1CD01">
      <w:pPr>
        <w:pStyle w:val="8"/>
        <w:overflowPunct w:val="0"/>
        <w:spacing w:line="360" w:lineRule="auto"/>
        <w:ind w:firstLine="367" w:firstLineChars="175"/>
        <w:rPr>
          <w:rFonts w:ascii="宋体" w:hAnsi="宋体" w:cs="宋体"/>
          <w:szCs w:val="16"/>
        </w:rPr>
      </w:pPr>
      <w:r>
        <w:rPr>
          <w:rFonts w:hint="eastAsia" w:ascii="宋体" w:hAnsi="宋体" w:cs="宋体"/>
          <w:szCs w:val="16"/>
        </w:rPr>
        <w:t>法定代表人或者其委托代理人：</w:t>
      </w:r>
      <w:r>
        <w:rPr>
          <w:rFonts w:hint="eastAsia" w:ascii="宋体" w:hAnsi="宋体" w:cs="宋体"/>
          <w:szCs w:val="16"/>
        </w:rPr>
        <w:tab/>
      </w:r>
      <w:r>
        <w:rPr>
          <w:rFonts w:hint="eastAsia" w:ascii="宋体" w:hAnsi="宋体" w:cs="宋体"/>
          <w:szCs w:val="16"/>
        </w:rPr>
        <w:t>（</w:t>
      </w:r>
      <w:r>
        <w:rPr>
          <w:rFonts w:hint="eastAsia" w:ascii="宋体" w:hAnsi="宋体" w:cs="宋体"/>
          <w:szCs w:val="21"/>
        </w:rPr>
        <w:t>签字或盖章</w:t>
      </w:r>
      <w:r>
        <w:rPr>
          <w:rFonts w:hint="eastAsia" w:ascii="宋体" w:hAnsi="宋体" w:cs="宋体"/>
          <w:szCs w:val="16"/>
        </w:rPr>
        <w:t>）</w:t>
      </w:r>
    </w:p>
    <w:p w14:paraId="1F754F35">
      <w:pPr>
        <w:pStyle w:val="8"/>
        <w:overflowPunct w:val="0"/>
        <w:spacing w:line="360" w:lineRule="auto"/>
        <w:ind w:firstLine="367" w:firstLineChars="175"/>
        <w:rPr>
          <w:rFonts w:ascii="宋体" w:hAnsi="宋体" w:cs="宋体"/>
          <w:szCs w:val="16"/>
        </w:rPr>
      </w:pPr>
    </w:p>
    <w:p w14:paraId="36212F1E">
      <w:pPr>
        <w:pStyle w:val="8"/>
        <w:overflowPunct w:val="0"/>
        <w:spacing w:line="360" w:lineRule="auto"/>
        <w:ind w:firstLine="367" w:firstLineChars="175"/>
        <w:rPr>
          <w:rFonts w:ascii="宋体" w:hAnsi="宋体" w:cs="宋体"/>
          <w:szCs w:val="16"/>
        </w:rPr>
      </w:pPr>
      <w:r>
        <w:rPr>
          <w:rFonts w:hint="eastAsia" w:ascii="宋体" w:hAnsi="宋体" w:cs="宋体"/>
          <w:szCs w:val="16"/>
        </w:rPr>
        <w:t>联合体成员名称（盖公章）：</w:t>
      </w:r>
    </w:p>
    <w:p w14:paraId="7A7EC7F5">
      <w:pPr>
        <w:pStyle w:val="8"/>
        <w:overflowPunct w:val="0"/>
        <w:spacing w:line="360" w:lineRule="auto"/>
        <w:ind w:firstLine="367" w:firstLineChars="175"/>
        <w:rPr>
          <w:rFonts w:ascii="宋体" w:hAnsi="宋体" w:cs="宋体"/>
          <w:szCs w:val="16"/>
        </w:rPr>
      </w:pPr>
    </w:p>
    <w:p w14:paraId="5F606533">
      <w:pPr>
        <w:pStyle w:val="8"/>
        <w:overflowPunct w:val="0"/>
        <w:spacing w:line="360" w:lineRule="auto"/>
        <w:ind w:firstLine="367" w:firstLineChars="175"/>
        <w:rPr>
          <w:rFonts w:ascii="宋体" w:hAnsi="宋体" w:cs="宋体"/>
          <w:szCs w:val="16"/>
        </w:rPr>
      </w:pPr>
      <w:r>
        <w:rPr>
          <w:rFonts w:hint="eastAsia" w:ascii="宋体" w:hAnsi="宋体" w:cs="宋体"/>
          <w:szCs w:val="16"/>
        </w:rPr>
        <w:t>法定代表人或者其委托代理人：</w:t>
      </w:r>
      <w:r>
        <w:rPr>
          <w:rFonts w:hint="eastAsia" w:ascii="宋体" w:hAnsi="宋体" w:cs="宋体"/>
          <w:szCs w:val="16"/>
        </w:rPr>
        <w:tab/>
      </w:r>
      <w:r>
        <w:rPr>
          <w:rFonts w:hint="eastAsia" w:ascii="宋体" w:hAnsi="宋体" w:cs="宋体"/>
          <w:szCs w:val="16"/>
        </w:rPr>
        <w:t>（签字）</w:t>
      </w:r>
    </w:p>
    <w:p w14:paraId="220405BE">
      <w:pPr>
        <w:pStyle w:val="8"/>
        <w:overflowPunct w:val="0"/>
        <w:spacing w:line="360" w:lineRule="auto"/>
        <w:ind w:firstLine="367" w:firstLineChars="175"/>
        <w:rPr>
          <w:rFonts w:ascii="宋体" w:hAnsi="宋体" w:cs="宋体"/>
          <w:szCs w:val="16"/>
        </w:rPr>
      </w:pPr>
    </w:p>
    <w:p w14:paraId="5C940B2C">
      <w:pPr>
        <w:pStyle w:val="8"/>
        <w:overflowPunct w:val="0"/>
        <w:spacing w:line="360" w:lineRule="auto"/>
        <w:ind w:firstLine="367" w:firstLineChars="175"/>
        <w:rPr>
          <w:rFonts w:ascii="宋体" w:hAnsi="宋体" w:cs="宋体"/>
          <w:b/>
          <w:bCs/>
          <w:sz w:val="28"/>
          <w:szCs w:val="28"/>
        </w:rPr>
      </w:pPr>
      <w:r>
        <w:rPr>
          <w:rFonts w:hint="eastAsia" w:ascii="宋体" w:hAnsi="宋体" w:cs="宋体"/>
          <w:szCs w:val="16"/>
        </w:rPr>
        <w:tab/>
      </w:r>
      <w:r>
        <w:rPr>
          <w:rFonts w:hint="eastAsia" w:ascii="宋体" w:hAnsi="宋体" w:cs="宋体"/>
          <w:szCs w:val="16"/>
        </w:rPr>
        <w:t>年</w:t>
      </w:r>
      <w:r>
        <w:rPr>
          <w:rFonts w:hint="eastAsia" w:ascii="宋体" w:hAnsi="宋体" w:cs="宋体"/>
          <w:szCs w:val="16"/>
        </w:rPr>
        <w:tab/>
      </w:r>
      <w:r>
        <w:rPr>
          <w:rFonts w:hint="eastAsia" w:ascii="宋体" w:hAnsi="宋体" w:cs="宋体"/>
          <w:szCs w:val="16"/>
        </w:rPr>
        <w:t>月</w:t>
      </w:r>
      <w:r>
        <w:rPr>
          <w:rFonts w:hint="eastAsia" w:ascii="宋体" w:hAnsi="宋体" w:cs="宋体"/>
          <w:szCs w:val="16"/>
        </w:rPr>
        <w:tab/>
      </w:r>
      <w:r>
        <w:rPr>
          <w:rFonts w:hint="eastAsia" w:ascii="宋体" w:hAnsi="宋体" w:cs="宋体"/>
          <w:szCs w:val="16"/>
        </w:rPr>
        <w:t>日</w:t>
      </w:r>
    </w:p>
    <w:p w14:paraId="1036BF9A">
      <w:pPr>
        <w:pStyle w:val="30"/>
        <w:spacing w:line="360" w:lineRule="auto"/>
        <w:rPr>
          <w:rFonts w:ascii="宋体" w:hAnsi="宋体" w:cs="宋体"/>
          <w:b/>
          <w:bCs/>
          <w:sz w:val="28"/>
          <w:szCs w:val="28"/>
        </w:rPr>
      </w:pPr>
    </w:p>
    <w:p w14:paraId="5416E7A1">
      <w:pPr>
        <w:adjustRightInd w:val="0"/>
        <w:snapToGrid w:val="0"/>
        <w:spacing w:line="360" w:lineRule="auto"/>
        <w:jc w:val="center"/>
        <w:rPr>
          <w:rFonts w:ascii="宋体" w:hAnsi="宋体" w:cs="宋体"/>
          <w:b/>
          <w:sz w:val="32"/>
          <w:szCs w:val="32"/>
        </w:rPr>
      </w:pPr>
      <w:r>
        <w:rPr>
          <w:rFonts w:hint="eastAsia" w:ascii="宋体" w:hAnsi="宋体" w:cs="宋体"/>
          <w:b/>
          <w:sz w:val="32"/>
          <w:szCs w:val="32"/>
        </w:rPr>
        <w:t>中小企业声明函（工程、服务）</w:t>
      </w:r>
    </w:p>
    <w:p w14:paraId="43965695">
      <w:pPr>
        <w:widowControl/>
        <w:spacing w:line="360" w:lineRule="auto"/>
        <w:jc w:val="left"/>
        <w:rPr>
          <w:rFonts w:ascii="宋体" w:hAnsi="宋体" w:cs="宋体"/>
          <w:szCs w:val="21"/>
        </w:rPr>
      </w:pPr>
      <w:r>
        <w:rPr>
          <w:rFonts w:hint="eastAsia" w:ascii="宋体" w:hAnsi="宋体" w:cs="宋体"/>
          <w:kern w:val="0"/>
          <w:szCs w:val="21"/>
        </w:rPr>
        <w:t>本公司（联合体）郑重声明，根据《政府采购促进中小企业发展管理办法》（财库﹝2020﹞46号）的规定，本公司（联合体）参加（单位名称）的（项目名称、标项名称）采购活动，工程的施工单位全部为符合政策要求的中小企业（或者：服务全部由符合政策要求的中小企业承接）。相关企业（含联合体中的中小企业、签订分包意向协议的中小企业）的具体情况如下：</w:t>
      </w:r>
    </w:p>
    <w:p w14:paraId="1699D8DA">
      <w:pPr>
        <w:widowControl/>
        <w:spacing w:line="360" w:lineRule="auto"/>
        <w:ind w:firstLine="420" w:firstLineChars="200"/>
        <w:jc w:val="left"/>
        <w:rPr>
          <w:rFonts w:ascii="宋体" w:hAnsi="宋体" w:cs="宋体"/>
          <w:szCs w:val="21"/>
        </w:rPr>
      </w:pPr>
      <w:r>
        <w:rPr>
          <w:rFonts w:hint="eastAsia" w:ascii="宋体" w:hAnsi="宋体" w:cs="宋体"/>
          <w:kern w:val="0"/>
          <w:szCs w:val="21"/>
        </w:rPr>
        <w:t>1.（标的名称），属于（招标文件中明确的所属行业）；承建（承接）企业为（企业名称），从业人员人，营业收入为万元，资产总额为</w:t>
      </w:r>
    </w:p>
    <w:p w14:paraId="1FCAC6CF">
      <w:pPr>
        <w:widowControl/>
        <w:spacing w:line="360" w:lineRule="auto"/>
        <w:jc w:val="left"/>
        <w:rPr>
          <w:rFonts w:ascii="宋体" w:hAnsi="宋体" w:cs="宋体"/>
          <w:szCs w:val="21"/>
        </w:rPr>
      </w:pPr>
      <w:r>
        <w:rPr>
          <w:rFonts w:hint="eastAsia" w:ascii="宋体" w:hAnsi="宋体" w:cs="宋体"/>
          <w:kern w:val="0"/>
          <w:szCs w:val="21"/>
        </w:rPr>
        <w:t>万元，属于（中型企业、小型企业、微型企业）；</w:t>
      </w:r>
    </w:p>
    <w:p w14:paraId="18758AC4">
      <w:pPr>
        <w:widowControl/>
        <w:spacing w:line="360" w:lineRule="auto"/>
        <w:ind w:firstLine="420" w:firstLineChars="200"/>
        <w:jc w:val="left"/>
        <w:rPr>
          <w:rFonts w:ascii="宋体" w:hAnsi="宋体" w:cs="宋体"/>
          <w:szCs w:val="21"/>
        </w:rPr>
      </w:pPr>
      <w:r>
        <w:rPr>
          <w:rFonts w:hint="eastAsia" w:ascii="宋体" w:hAnsi="宋体" w:cs="宋体"/>
          <w:kern w:val="0"/>
          <w:szCs w:val="21"/>
        </w:rPr>
        <w:t>2.（标的名称），属于（招标文件中明确的所属行业）；承建（承接）企业为（企业名称），从业人员人，营业收入为万元，资产总额为</w:t>
      </w:r>
    </w:p>
    <w:p w14:paraId="4BB51D90">
      <w:pPr>
        <w:widowControl/>
        <w:spacing w:line="360" w:lineRule="auto"/>
        <w:jc w:val="left"/>
        <w:rPr>
          <w:rFonts w:ascii="宋体" w:hAnsi="宋体" w:cs="宋体"/>
          <w:szCs w:val="21"/>
        </w:rPr>
      </w:pPr>
      <w:r>
        <w:rPr>
          <w:rFonts w:hint="eastAsia" w:ascii="宋体" w:hAnsi="宋体" w:cs="宋体"/>
          <w:kern w:val="0"/>
          <w:szCs w:val="21"/>
        </w:rPr>
        <w:t>万元，属于（中型企业、小型企业、微型企业）；</w:t>
      </w:r>
    </w:p>
    <w:p w14:paraId="274967C4">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w:t>
      </w:r>
    </w:p>
    <w:p w14:paraId="69837099">
      <w:pPr>
        <w:widowControl/>
        <w:spacing w:line="360" w:lineRule="auto"/>
        <w:ind w:firstLine="420" w:firstLineChars="200"/>
        <w:jc w:val="left"/>
        <w:rPr>
          <w:rFonts w:ascii="宋体" w:hAnsi="宋体" w:cs="宋体"/>
          <w:szCs w:val="21"/>
        </w:rPr>
      </w:pPr>
      <w:r>
        <w:rPr>
          <w:rFonts w:hint="eastAsia" w:ascii="宋体" w:hAnsi="宋体" w:cs="宋体"/>
          <w:kern w:val="0"/>
          <w:szCs w:val="21"/>
        </w:rPr>
        <w:t>4.……</w:t>
      </w:r>
    </w:p>
    <w:p w14:paraId="7AB5EFFD">
      <w:pPr>
        <w:widowControl/>
        <w:spacing w:line="360" w:lineRule="auto"/>
        <w:ind w:firstLine="420" w:firstLineChars="200"/>
        <w:jc w:val="left"/>
        <w:rPr>
          <w:rFonts w:ascii="宋体" w:hAnsi="宋体" w:cs="宋体"/>
          <w:szCs w:val="21"/>
        </w:rPr>
      </w:pPr>
      <w:r>
        <w:rPr>
          <w:rFonts w:hint="eastAsia" w:ascii="宋体" w:hAnsi="宋体" w:cs="宋体"/>
          <w:kern w:val="0"/>
          <w:szCs w:val="21"/>
        </w:rPr>
        <w:t>以上企业，不属于大企业的分支机构，不存在控股股东为大企业的情形，也不存在与大企业的负责人为同一人的情形。</w:t>
      </w:r>
    </w:p>
    <w:p w14:paraId="7778812E">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本企业对上述声明内容的真实性负责。如有虚假，将依法承担相应责任。</w:t>
      </w:r>
    </w:p>
    <w:p w14:paraId="36457C7E">
      <w:pPr>
        <w:widowControl/>
        <w:spacing w:line="360" w:lineRule="auto"/>
        <w:ind w:firstLine="420" w:firstLineChars="200"/>
        <w:jc w:val="left"/>
        <w:rPr>
          <w:rFonts w:ascii="宋体" w:hAnsi="宋体" w:cs="宋体"/>
          <w:kern w:val="0"/>
          <w:szCs w:val="21"/>
        </w:rPr>
      </w:pPr>
    </w:p>
    <w:p w14:paraId="0588E967">
      <w:pPr>
        <w:widowControl/>
        <w:spacing w:line="360" w:lineRule="auto"/>
        <w:ind w:firstLine="420" w:firstLineChars="200"/>
        <w:jc w:val="left"/>
        <w:rPr>
          <w:rFonts w:ascii="宋体" w:hAnsi="宋体" w:cs="宋体"/>
          <w:kern w:val="0"/>
          <w:szCs w:val="21"/>
        </w:rPr>
      </w:pPr>
    </w:p>
    <w:p w14:paraId="237E03F6">
      <w:pPr>
        <w:widowControl/>
        <w:spacing w:line="360" w:lineRule="auto"/>
        <w:jc w:val="left"/>
        <w:rPr>
          <w:rFonts w:ascii="宋体" w:hAnsi="宋体" w:cs="宋体"/>
          <w:szCs w:val="21"/>
        </w:rPr>
      </w:pPr>
      <w:r>
        <w:rPr>
          <w:rFonts w:hint="eastAsia" w:ascii="宋体" w:hAnsi="宋体" w:cs="宋体"/>
          <w:kern w:val="0"/>
          <w:szCs w:val="21"/>
        </w:rPr>
        <w:t>企业名称（盖章）：</w:t>
      </w:r>
    </w:p>
    <w:p w14:paraId="5C4A5FA2">
      <w:pPr>
        <w:widowControl/>
        <w:spacing w:line="360" w:lineRule="auto"/>
        <w:jc w:val="left"/>
        <w:rPr>
          <w:rFonts w:ascii="宋体" w:hAnsi="宋体" w:cs="宋体"/>
          <w:szCs w:val="21"/>
        </w:rPr>
      </w:pPr>
      <w:r>
        <w:rPr>
          <w:rFonts w:hint="eastAsia" w:ascii="宋体" w:hAnsi="宋体" w:cs="宋体"/>
          <w:kern w:val="0"/>
          <w:szCs w:val="21"/>
        </w:rPr>
        <w:t>日期：</w:t>
      </w:r>
    </w:p>
    <w:p w14:paraId="534841E2">
      <w:pPr>
        <w:widowControl/>
        <w:spacing w:line="360" w:lineRule="auto"/>
        <w:jc w:val="left"/>
        <w:rPr>
          <w:rFonts w:ascii="宋体" w:hAnsi="宋体" w:cs="宋体"/>
          <w:b/>
          <w:bCs/>
          <w:szCs w:val="21"/>
        </w:rPr>
      </w:pPr>
      <w:r>
        <w:rPr>
          <w:rFonts w:hint="eastAsia" w:ascii="宋体" w:hAnsi="宋体" w:cs="宋体"/>
          <w:b/>
          <w:bCs/>
          <w:kern w:val="0"/>
          <w:szCs w:val="21"/>
        </w:rPr>
        <w:t>1.从业人员、营业收入、资产总额填报上一年度数据，无上一年度数据的新成立企业可不填报。</w:t>
      </w:r>
    </w:p>
    <w:p w14:paraId="7EAD09D7">
      <w:pPr>
        <w:spacing w:line="360" w:lineRule="auto"/>
        <w:rPr>
          <w:rFonts w:ascii="宋体" w:hAnsi="宋体" w:cs="宋体"/>
          <w:szCs w:val="21"/>
        </w:rPr>
      </w:pPr>
    </w:p>
    <w:p w14:paraId="0B5CC4E9">
      <w:pPr>
        <w:spacing w:line="360" w:lineRule="auto"/>
        <w:rPr>
          <w:rFonts w:ascii="宋体" w:hAnsi="宋体" w:cs="宋体"/>
          <w:szCs w:val="21"/>
        </w:rPr>
      </w:pPr>
    </w:p>
    <w:p w14:paraId="70DD2D02">
      <w:pPr>
        <w:spacing w:line="360" w:lineRule="auto"/>
        <w:rPr>
          <w:rFonts w:ascii="宋体" w:hAnsi="宋体" w:cs="宋体"/>
          <w:szCs w:val="21"/>
        </w:rPr>
      </w:pPr>
    </w:p>
    <w:p w14:paraId="070DEE78">
      <w:pPr>
        <w:spacing w:line="360" w:lineRule="auto"/>
        <w:rPr>
          <w:rFonts w:ascii="宋体" w:hAnsi="宋体" w:cs="宋体"/>
          <w:szCs w:val="21"/>
        </w:rPr>
      </w:pPr>
    </w:p>
    <w:p w14:paraId="6767D5D2">
      <w:pPr>
        <w:spacing w:line="360" w:lineRule="auto"/>
        <w:rPr>
          <w:rFonts w:ascii="宋体" w:hAnsi="宋体" w:cs="宋体"/>
          <w:sz w:val="24"/>
        </w:rPr>
      </w:pPr>
      <w:r>
        <w:rPr>
          <w:rFonts w:hint="eastAsia" w:ascii="宋体" w:hAnsi="宋体" w:cs="宋体"/>
          <w:szCs w:val="21"/>
        </w:rPr>
        <w:t>注：请根据自己的真实情况出具《中小企业声明函》。依法享受中小企业优惠政策的，采购人或者采购代理机构在公告中标结果时，同时公告其《中小企业声明函》，接受社会监督。</w:t>
      </w:r>
    </w:p>
    <w:p w14:paraId="009E758C">
      <w:pPr>
        <w:spacing w:line="360" w:lineRule="auto"/>
        <w:jc w:val="center"/>
        <w:rPr>
          <w:rFonts w:ascii="宋体" w:hAnsi="宋体" w:cs="宋体"/>
          <w:sz w:val="24"/>
        </w:rPr>
      </w:pPr>
      <w:r>
        <w:rPr>
          <w:rFonts w:hint="eastAsia" w:ascii="宋体" w:hAnsi="宋体" w:cs="宋体"/>
          <w:szCs w:val="21"/>
        </w:rPr>
        <w:br w:type="page"/>
      </w:r>
      <w:r>
        <w:rPr>
          <w:rFonts w:hint="eastAsia" w:ascii="宋体" w:hAnsi="宋体" w:cs="宋体"/>
          <w:b/>
          <w:bCs/>
          <w:sz w:val="32"/>
          <w:szCs w:val="32"/>
        </w:rPr>
        <w:t>残疾人福利性单位声明函</w:t>
      </w:r>
    </w:p>
    <w:p w14:paraId="05FBB181">
      <w:pPr>
        <w:spacing w:line="360" w:lineRule="auto"/>
        <w:rPr>
          <w:rFonts w:ascii="宋体" w:hAnsi="宋体" w:cs="宋体"/>
          <w:sz w:val="24"/>
        </w:rPr>
      </w:pPr>
    </w:p>
    <w:p w14:paraId="768529D0">
      <w:pPr>
        <w:spacing w:line="360" w:lineRule="auto"/>
        <w:ind w:firstLine="420" w:firstLineChars="200"/>
        <w:rPr>
          <w:rFonts w:ascii="宋体" w:hAnsi="宋体" w:cs="宋体"/>
          <w:szCs w:val="21"/>
        </w:rPr>
      </w:pPr>
      <w:r>
        <w:rPr>
          <w:rFonts w:hint="eastAsia" w:ascii="宋体" w:hAnsi="宋体" w:cs="宋体"/>
          <w:szCs w:val="21"/>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ADC6D2">
      <w:pPr>
        <w:spacing w:line="360" w:lineRule="auto"/>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34232B29">
      <w:pPr>
        <w:spacing w:line="360" w:lineRule="auto"/>
        <w:rPr>
          <w:rFonts w:ascii="宋体" w:hAnsi="宋体" w:cs="宋体"/>
          <w:szCs w:val="21"/>
        </w:rPr>
      </w:pPr>
    </w:p>
    <w:p w14:paraId="0AF82C92">
      <w:pPr>
        <w:spacing w:line="360" w:lineRule="auto"/>
        <w:rPr>
          <w:rFonts w:ascii="宋体" w:hAnsi="宋体" w:cs="宋体"/>
          <w:szCs w:val="21"/>
        </w:rPr>
      </w:pPr>
    </w:p>
    <w:p w14:paraId="47150F83">
      <w:pPr>
        <w:spacing w:line="360" w:lineRule="auto"/>
        <w:rPr>
          <w:rFonts w:ascii="宋体" w:hAnsi="宋体" w:cs="宋体"/>
          <w:szCs w:val="21"/>
        </w:rPr>
      </w:pPr>
    </w:p>
    <w:p w14:paraId="350FE134">
      <w:pPr>
        <w:spacing w:line="360" w:lineRule="auto"/>
        <w:ind w:firstLine="2100" w:firstLineChars="1000"/>
        <w:rPr>
          <w:rFonts w:ascii="宋体" w:hAnsi="宋体" w:cs="宋体"/>
          <w:szCs w:val="21"/>
        </w:rPr>
      </w:pPr>
      <w:r>
        <w:rPr>
          <w:rFonts w:hint="eastAsia" w:ascii="宋体" w:hAnsi="宋体" w:cs="宋体"/>
          <w:szCs w:val="21"/>
        </w:rPr>
        <w:t>单位名称（盖章）：</w:t>
      </w:r>
    </w:p>
    <w:p w14:paraId="14B88A95">
      <w:pPr>
        <w:spacing w:line="360" w:lineRule="auto"/>
        <w:ind w:firstLine="3150" w:firstLineChars="1500"/>
        <w:rPr>
          <w:rFonts w:ascii="宋体" w:hAnsi="宋体" w:cs="宋体"/>
          <w:szCs w:val="21"/>
        </w:rPr>
      </w:pPr>
      <w:r>
        <w:rPr>
          <w:rFonts w:hint="eastAsia" w:ascii="宋体" w:hAnsi="宋体" w:cs="宋体"/>
          <w:szCs w:val="21"/>
        </w:rPr>
        <w:t>日期：</w:t>
      </w:r>
    </w:p>
    <w:p w14:paraId="6EF1D10C">
      <w:pPr>
        <w:spacing w:line="360" w:lineRule="auto"/>
        <w:rPr>
          <w:rFonts w:ascii="宋体" w:hAnsi="宋体" w:cs="宋体"/>
          <w:szCs w:val="21"/>
        </w:rPr>
      </w:pPr>
    </w:p>
    <w:p w14:paraId="4A162DED">
      <w:pPr>
        <w:spacing w:line="360" w:lineRule="auto"/>
        <w:rPr>
          <w:rFonts w:ascii="宋体" w:hAnsi="宋体" w:cs="宋体"/>
          <w:szCs w:val="21"/>
        </w:rPr>
      </w:pPr>
    </w:p>
    <w:p w14:paraId="1AB4E839">
      <w:pPr>
        <w:spacing w:line="360" w:lineRule="auto"/>
        <w:rPr>
          <w:rFonts w:ascii="宋体" w:hAnsi="宋体" w:cs="宋体"/>
          <w:szCs w:val="21"/>
        </w:rPr>
      </w:pPr>
    </w:p>
    <w:p w14:paraId="6CE4514A">
      <w:pPr>
        <w:spacing w:line="360" w:lineRule="auto"/>
        <w:jc w:val="left"/>
        <w:rPr>
          <w:rFonts w:ascii="宋体" w:hAnsi="宋体" w:cs="宋体"/>
          <w:szCs w:val="21"/>
        </w:rPr>
      </w:pPr>
      <w:r>
        <w:rPr>
          <w:rFonts w:hint="eastAsia" w:ascii="宋体" w:hAnsi="宋体" w:cs="宋体"/>
          <w:szCs w:val="21"/>
        </w:rPr>
        <w:t>注：请根据自己的真实情况出具《残疾人福利性单位声明函》。依法享受中小企业优惠政策的，采购人或者采购代理机构在公告中标结果时，同时公告其《残疾人福利性单位声明函》，接受社会监督。</w:t>
      </w:r>
    </w:p>
    <w:p w14:paraId="0DBBA619">
      <w:pPr>
        <w:spacing w:line="360" w:lineRule="auto"/>
        <w:jc w:val="center"/>
        <w:rPr>
          <w:rFonts w:ascii="宋体" w:hAnsi="宋体" w:cs="宋体"/>
          <w:szCs w:val="21"/>
        </w:rPr>
      </w:pPr>
    </w:p>
    <w:p w14:paraId="200F76FA">
      <w:pPr>
        <w:spacing w:line="360" w:lineRule="auto"/>
        <w:jc w:val="center"/>
        <w:rPr>
          <w:rFonts w:ascii="宋体" w:hAnsi="宋体" w:cs="宋体"/>
          <w:szCs w:val="21"/>
        </w:rPr>
      </w:pPr>
    </w:p>
    <w:p w14:paraId="67E5BF70">
      <w:pPr>
        <w:spacing w:line="360" w:lineRule="auto"/>
        <w:jc w:val="center"/>
        <w:rPr>
          <w:rFonts w:ascii="宋体" w:hAnsi="宋体" w:cs="宋体"/>
          <w:szCs w:val="21"/>
        </w:rPr>
      </w:pPr>
    </w:p>
    <w:p w14:paraId="71164CB6">
      <w:pPr>
        <w:spacing w:line="360" w:lineRule="auto"/>
        <w:jc w:val="center"/>
        <w:rPr>
          <w:rFonts w:ascii="宋体" w:hAnsi="宋体" w:cs="宋体"/>
          <w:szCs w:val="21"/>
        </w:rPr>
      </w:pPr>
    </w:p>
    <w:p w14:paraId="5C98D90D">
      <w:pPr>
        <w:spacing w:line="360" w:lineRule="auto"/>
        <w:jc w:val="center"/>
        <w:rPr>
          <w:rFonts w:ascii="宋体" w:hAnsi="宋体" w:cs="宋体"/>
          <w:szCs w:val="21"/>
        </w:rPr>
      </w:pPr>
    </w:p>
    <w:p w14:paraId="59C17412">
      <w:pPr>
        <w:spacing w:line="360" w:lineRule="auto"/>
        <w:jc w:val="center"/>
        <w:rPr>
          <w:rFonts w:ascii="宋体" w:hAnsi="宋体" w:cs="宋体"/>
          <w:szCs w:val="21"/>
        </w:rPr>
      </w:pPr>
    </w:p>
    <w:p w14:paraId="2A578B77">
      <w:pPr>
        <w:spacing w:line="360" w:lineRule="auto"/>
        <w:jc w:val="center"/>
        <w:rPr>
          <w:rFonts w:ascii="宋体" w:hAnsi="宋体" w:cs="宋体"/>
          <w:szCs w:val="21"/>
        </w:rPr>
      </w:pPr>
    </w:p>
    <w:p w14:paraId="4D26C354">
      <w:pPr>
        <w:spacing w:line="360" w:lineRule="auto"/>
        <w:jc w:val="center"/>
        <w:rPr>
          <w:rFonts w:ascii="宋体" w:hAnsi="宋体" w:cs="宋体"/>
          <w:szCs w:val="21"/>
        </w:rPr>
      </w:pPr>
    </w:p>
    <w:p w14:paraId="119622B5">
      <w:pPr>
        <w:spacing w:line="360" w:lineRule="auto"/>
        <w:jc w:val="center"/>
        <w:rPr>
          <w:rFonts w:ascii="宋体" w:hAnsi="宋体" w:cs="宋体"/>
          <w:szCs w:val="21"/>
        </w:rPr>
      </w:pPr>
    </w:p>
    <w:p w14:paraId="65780D87">
      <w:pPr>
        <w:spacing w:line="360" w:lineRule="auto"/>
        <w:jc w:val="center"/>
        <w:rPr>
          <w:rFonts w:ascii="宋体" w:hAnsi="宋体" w:cs="宋体"/>
          <w:szCs w:val="21"/>
        </w:rPr>
      </w:pPr>
    </w:p>
    <w:p w14:paraId="782EB3D6">
      <w:pPr>
        <w:spacing w:line="360" w:lineRule="auto"/>
        <w:jc w:val="center"/>
        <w:rPr>
          <w:rFonts w:ascii="宋体" w:hAnsi="宋体" w:cs="宋体"/>
          <w:szCs w:val="21"/>
        </w:rPr>
      </w:pPr>
    </w:p>
    <w:p w14:paraId="4D187527">
      <w:pPr>
        <w:spacing w:line="360" w:lineRule="auto"/>
        <w:jc w:val="center"/>
        <w:rPr>
          <w:rFonts w:ascii="宋体" w:hAnsi="宋体" w:cs="宋体"/>
          <w:szCs w:val="21"/>
        </w:rPr>
      </w:pPr>
    </w:p>
    <w:p w14:paraId="3550A89C">
      <w:pPr>
        <w:spacing w:line="360" w:lineRule="auto"/>
        <w:jc w:val="center"/>
        <w:rPr>
          <w:rFonts w:ascii="宋体" w:hAnsi="宋体" w:cs="宋体"/>
          <w:szCs w:val="21"/>
        </w:rPr>
      </w:pPr>
    </w:p>
    <w:p w14:paraId="76AC2FFC">
      <w:pPr>
        <w:spacing w:line="360" w:lineRule="auto"/>
        <w:jc w:val="center"/>
        <w:rPr>
          <w:rFonts w:ascii="宋体" w:hAnsi="宋体" w:cs="宋体"/>
          <w:szCs w:val="21"/>
        </w:rPr>
      </w:pPr>
    </w:p>
    <w:p w14:paraId="7B06AF42">
      <w:pPr>
        <w:spacing w:line="360" w:lineRule="auto"/>
        <w:jc w:val="center"/>
        <w:rPr>
          <w:rFonts w:ascii="宋体" w:hAnsi="宋体" w:cs="宋体"/>
          <w:b/>
          <w:bCs/>
          <w:sz w:val="32"/>
          <w:szCs w:val="32"/>
        </w:rPr>
      </w:pPr>
      <w:r>
        <w:rPr>
          <w:rFonts w:hint="eastAsia" w:ascii="宋体" w:hAnsi="宋体" w:cs="宋体"/>
          <w:b/>
          <w:bCs/>
          <w:sz w:val="32"/>
          <w:szCs w:val="32"/>
        </w:rPr>
        <w:t>质疑函（格式）</w:t>
      </w:r>
    </w:p>
    <w:p w14:paraId="3B3C0076">
      <w:pPr>
        <w:pStyle w:val="24"/>
        <w:snapToGrid w:val="0"/>
        <w:spacing w:line="360" w:lineRule="auto"/>
        <w:ind w:firstLine="422" w:firstLineChars="200"/>
        <w:rPr>
          <w:rFonts w:hAnsi="宋体" w:cs="宋体"/>
          <w:b/>
          <w:bCs/>
          <w:sz w:val="21"/>
        </w:rPr>
      </w:pPr>
      <w:r>
        <w:rPr>
          <w:rFonts w:hint="eastAsia" w:hAnsi="宋体" w:cs="宋体"/>
          <w:b/>
          <w:bCs/>
          <w:sz w:val="21"/>
        </w:rPr>
        <w:t>一、质疑供应商基本信息：</w:t>
      </w:r>
    </w:p>
    <w:p w14:paraId="7801F4BE">
      <w:pPr>
        <w:pStyle w:val="24"/>
        <w:snapToGrid w:val="0"/>
        <w:spacing w:line="360" w:lineRule="auto"/>
        <w:ind w:firstLine="420" w:firstLineChars="200"/>
        <w:rPr>
          <w:rFonts w:hAnsi="宋体" w:cs="宋体"/>
          <w:bCs/>
          <w:sz w:val="21"/>
          <w:u w:val="single"/>
        </w:rPr>
      </w:pPr>
      <w:r>
        <w:rPr>
          <w:rFonts w:hint="eastAsia" w:hAnsi="宋体" w:cs="宋体"/>
          <w:bCs/>
          <w:sz w:val="21"/>
        </w:rPr>
        <w:t>质疑供应商：</w:t>
      </w:r>
    </w:p>
    <w:p w14:paraId="7456E629">
      <w:pPr>
        <w:pStyle w:val="24"/>
        <w:snapToGrid w:val="0"/>
        <w:spacing w:line="360" w:lineRule="auto"/>
        <w:ind w:firstLine="420" w:firstLineChars="200"/>
        <w:rPr>
          <w:rFonts w:hAnsi="宋体" w:cs="宋体"/>
          <w:bCs/>
          <w:sz w:val="21"/>
        </w:rPr>
      </w:pPr>
      <w:r>
        <w:rPr>
          <w:rFonts w:hint="eastAsia" w:hAnsi="宋体" w:cs="宋体"/>
          <w:bCs/>
          <w:sz w:val="21"/>
        </w:rPr>
        <w:t>地址：邮编：</w:t>
      </w:r>
    </w:p>
    <w:p w14:paraId="3A7863B4">
      <w:pPr>
        <w:pStyle w:val="24"/>
        <w:snapToGrid w:val="0"/>
        <w:spacing w:line="360" w:lineRule="auto"/>
        <w:ind w:firstLine="420" w:firstLineChars="200"/>
        <w:rPr>
          <w:rFonts w:hAnsi="宋体" w:cs="宋体"/>
          <w:bCs/>
          <w:sz w:val="21"/>
        </w:rPr>
      </w:pPr>
      <w:r>
        <w:rPr>
          <w:rFonts w:hint="eastAsia" w:hAnsi="宋体" w:cs="宋体"/>
          <w:bCs/>
          <w:sz w:val="21"/>
        </w:rPr>
        <w:t>联系人：联系电话：</w:t>
      </w:r>
    </w:p>
    <w:p w14:paraId="5088F95D">
      <w:pPr>
        <w:pStyle w:val="24"/>
        <w:snapToGrid w:val="0"/>
        <w:spacing w:line="360" w:lineRule="auto"/>
        <w:ind w:firstLine="420" w:firstLineChars="200"/>
        <w:rPr>
          <w:rFonts w:hAnsi="宋体" w:cs="宋体"/>
          <w:bCs/>
          <w:sz w:val="21"/>
        </w:rPr>
      </w:pPr>
      <w:r>
        <w:rPr>
          <w:rFonts w:hint="eastAsia" w:hAnsi="宋体" w:cs="宋体"/>
          <w:bCs/>
          <w:sz w:val="21"/>
        </w:rPr>
        <w:t>授权代表：</w:t>
      </w:r>
    </w:p>
    <w:p w14:paraId="35839DE3">
      <w:pPr>
        <w:pStyle w:val="24"/>
        <w:snapToGrid w:val="0"/>
        <w:spacing w:line="360" w:lineRule="auto"/>
        <w:ind w:firstLine="420" w:firstLineChars="200"/>
        <w:rPr>
          <w:rFonts w:hAnsi="宋体" w:cs="宋体"/>
          <w:bCs/>
          <w:sz w:val="21"/>
          <w:u w:val="single"/>
        </w:rPr>
      </w:pPr>
      <w:r>
        <w:rPr>
          <w:rFonts w:hint="eastAsia" w:hAnsi="宋体" w:cs="宋体"/>
          <w:bCs/>
          <w:sz w:val="21"/>
        </w:rPr>
        <w:t>联系电话：</w:t>
      </w:r>
    </w:p>
    <w:p w14:paraId="1AF3C9DB">
      <w:pPr>
        <w:pStyle w:val="24"/>
        <w:snapToGrid w:val="0"/>
        <w:spacing w:line="360" w:lineRule="auto"/>
        <w:ind w:firstLine="420" w:firstLineChars="200"/>
        <w:rPr>
          <w:rFonts w:hAnsi="宋体" w:cs="宋体"/>
          <w:bCs/>
          <w:sz w:val="21"/>
        </w:rPr>
      </w:pPr>
      <w:r>
        <w:rPr>
          <w:rFonts w:hint="eastAsia" w:hAnsi="宋体" w:cs="宋体"/>
          <w:bCs/>
          <w:sz w:val="21"/>
        </w:rPr>
        <w:t>地址：邮编：</w:t>
      </w:r>
    </w:p>
    <w:p w14:paraId="1CB93909">
      <w:pPr>
        <w:pStyle w:val="24"/>
        <w:snapToGrid w:val="0"/>
        <w:spacing w:line="360" w:lineRule="auto"/>
        <w:ind w:firstLine="422" w:firstLineChars="200"/>
        <w:rPr>
          <w:rFonts w:hAnsi="宋体" w:cs="宋体"/>
          <w:b/>
          <w:bCs/>
          <w:sz w:val="21"/>
        </w:rPr>
      </w:pPr>
      <w:r>
        <w:rPr>
          <w:rFonts w:hint="eastAsia" w:hAnsi="宋体" w:cs="宋体"/>
          <w:b/>
          <w:bCs/>
          <w:sz w:val="21"/>
        </w:rPr>
        <w:t>二、质疑项目基本情况：</w:t>
      </w:r>
    </w:p>
    <w:p w14:paraId="5333D16B">
      <w:pPr>
        <w:pStyle w:val="24"/>
        <w:spacing w:line="360" w:lineRule="auto"/>
        <w:ind w:left="25" w:leftChars="12" w:firstLine="413" w:firstLineChars="197"/>
        <w:rPr>
          <w:rFonts w:hAnsi="宋体" w:cs="宋体"/>
          <w:sz w:val="21"/>
        </w:rPr>
      </w:pPr>
      <w:r>
        <w:rPr>
          <w:rFonts w:hint="eastAsia" w:hAnsi="宋体" w:cs="宋体"/>
          <w:bCs/>
          <w:sz w:val="21"/>
        </w:rPr>
        <w:t>质疑</w:t>
      </w:r>
      <w:r>
        <w:rPr>
          <w:rFonts w:hint="eastAsia" w:hAnsi="宋体" w:cs="宋体"/>
          <w:sz w:val="21"/>
        </w:rPr>
        <w:t>项目的名称：</w:t>
      </w:r>
    </w:p>
    <w:p w14:paraId="56F51906">
      <w:pPr>
        <w:pStyle w:val="24"/>
        <w:spacing w:line="360" w:lineRule="auto"/>
        <w:ind w:left="25" w:leftChars="12" w:firstLine="413" w:firstLineChars="197"/>
        <w:rPr>
          <w:rFonts w:hAnsi="宋体" w:cs="宋体"/>
          <w:sz w:val="21"/>
        </w:rPr>
      </w:pPr>
      <w:r>
        <w:rPr>
          <w:rFonts w:hint="eastAsia" w:hAnsi="宋体" w:cs="宋体"/>
          <w:bCs/>
          <w:sz w:val="21"/>
        </w:rPr>
        <w:t>质疑</w:t>
      </w:r>
      <w:r>
        <w:rPr>
          <w:rFonts w:hint="eastAsia" w:hAnsi="宋体" w:cs="宋体"/>
          <w:sz w:val="21"/>
        </w:rPr>
        <w:t>项目的编号：</w:t>
      </w:r>
    </w:p>
    <w:p w14:paraId="7E2C978F">
      <w:pPr>
        <w:pStyle w:val="24"/>
        <w:spacing w:line="360" w:lineRule="auto"/>
        <w:ind w:left="25" w:leftChars="12" w:firstLine="413" w:firstLineChars="197"/>
        <w:rPr>
          <w:rFonts w:hAnsi="宋体" w:cs="宋体"/>
          <w:sz w:val="21"/>
        </w:rPr>
      </w:pPr>
      <w:r>
        <w:rPr>
          <w:rFonts w:hint="eastAsia" w:hAnsi="宋体" w:cs="宋体"/>
          <w:sz w:val="21"/>
        </w:rPr>
        <w:t>采购人名称：</w:t>
      </w:r>
    </w:p>
    <w:p w14:paraId="1FF4B0A0">
      <w:pPr>
        <w:pStyle w:val="24"/>
        <w:spacing w:line="360" w:lineRule="auto"/>
        <w:ind w:left="25" w:leftChars="12" w:firstLine="413" w:firstLineChars="197"/>
        <w:rPr>
          <w:rFonts w:hAnsi="宋体" w:cs="宋体"/>
          <w:sz w:val="21"/>
        </w:rPr>
      </w:pPr>
      <w:r>
        <w:rPr>
          <w:rFonts w:hint="eastAsia" w:hAnsi="宋体" w:cs="宋体"/>
          <w:sz w:val="21"/>
        </w:rPr>
        <w:t>质疑事项：</w:t>
      </w:r>
    </w:p>
    <w:p w14:paraId="229DD952">
      <w:pPr>
        <w:pStyle w:val="24"/>
        <w:spacing w:line="360" w:lineRule="auto"/>
        <w:ind w:left="25" w:leftChars="12" w:firstLine="308" w:firstLineChars="147"/>
        <w:rPr>
          <w:rFonts w:hAnsi="宋体" w:cs="宋体"/>
          <w:sz w:val="21"/>
        </w:rPr>
      </w:pPr>
      <w:r>
        <w:rPr>
          <w:rFonts w:hint="eastAsia" w:hAnsi="宋体" w:cs="宋体"/>
          <w:sz w:val="21"/>
        </w:rPr>
        <w:t>□招标文件招标文件获取日期：</w:t>
      </w:r>
    </w:p>
    <w:p w14:paraId="6C968499">
      <w:pPr>
        <w:pStyle w:val="24"/>
        <w:spacing w:line="360" w:lineRule="auto"/>
        <w:ind w:left="25" w:leftChars="12" w:firstLine="308" w:firstLineChars="147"/>
        <w:rPr>
          <w:rFonts w:hAnsi="宋体" w:cs="宋体"/>
          <w:sz w:val="21"/>
        </w:rPr>
      </w:pPr>
      <w:r>
        <w:rPr>
          <w:rFonts w:hint="eastAsia" w:hAnsi="宋体" w:cs="宋体"/>
          <w:sz w:val="21"/>
        </w:rPr>
        <w:t>□采购过程</w:t>
      </w:r>
    </w:p>
    <w:p w14:paraId="5BC751D1">
      <w:pPr>
        <w:pStyle w:val="24"/>
        <w:spacing w:line="360" w:lineRule="auto"/>
        <w:ind w:left="25" w:leftChars="12" w:firstLine="308" w:firstLineChars="147"/>
        <w:rPr>
          <w:rFonts w:hAnsi="宋体" w:cs="宋体"/>
          <w:bCs/>
          <w:sz w:val="21"/>
          <w:u w:val="single"/>
        </w:rPr>
      </w:pPr>
      <w:r>
        <w:rPr>
          <w:rFonts w:hint="eastAsia" w:hAnsi="宋体" w:cs="宋体"/>
          <w:sz w:val="21"/>
        </w:rPr>
        <w:t>□中标结果</w:t>
      </w:r>
    </w:p>
    <w:p w14:paraId="34DCCEB6">
      <w:pPr>
        <w:pStyle w:val="24"/>
        <w:spacing w:line="360" w:lineRule="auto"/>
        <w:ind w:left="25" w:leftChars="12" w:firstLine="413" w:firstLineChars="196"/>
        <w:rPr>
          <w:rFonts w:hAnsi="宋体" w:cs="宋体"/>
          <w:b/>
          <w:sz w:val="21"/>
        </w:rPr>
      </w:pPr>
      <w:r>
        <w:rPr>
          <w:rFonts w:hint="eastAsia" w:hAnsi="宋体" w:cs="宋体"/>
          <w:b/>
          <w:sz w:val="21"/>
        </w:rPr>
        <w:t>三、质疑事项具体内容</w:t>
      </w:r>
    </w:p>
    <w:p w14:paraId="608881E2">
      <w:pPr>
        <w:pStyle w:val="24"/>
        <w:spacing w:line="360" w:lineRule="auto"/>
        <w:ind w:left="25" w:leftChars="12" w:firstLine="413" w:firstLineChars="197"/>
        <w:rPr>
          <w:rFonts w:hAnsi="宋体" w:cs="宋体"/>
          <w:sz w:val="21"/>
        </w:rPr>
      </w:pPr>
      <w:r>
        <w:rPr>
          <w:rFonts w:hint="eastAsia" w:hAnsi="宋体" w:cs="宋体"/>
          <w:sz w:val="21"/>
        </w:rPr>
        <w:t>质疑事项1：</w:t>
      </w:r>
    </w:p>
    <w:p w14:paraId="24E44760">
      <w:pPr>
        <w:pStyle w:val="24"/>
        <w:spacing w:line="360" w:lineRule="auto"/>
        <w:ind w:left="25" w:leftChars="12" w:firstLine="413" w:firstLineChars="197"/>
        <w:rPr>
          <w:rFonts w:hAnsi="宋体" w:cs="宋体"/>
          <w:sz w:val="21"/>
        </w:rPr>
      </w:pPr>
      <w:r>
        <w:rPr>
          <w:rFonts w:hint="eastAsia" w:hAnsi="宋体" w:cs="宋体"/>
          <w:sz w:val="21"/>
        </w:rPr>
        <w:t>事实依据：</w:t>
      </w:r>
    </w:p>
    <w:p w14:paraId="6363C6FD">
      <w:pPr>
        <w:pStyle w:val="24"/>
        <w:spacing w:line="360" w:lineRule="auto"/>
        <w:ind w:left="25" w:leftChars="12" w:firstLine="413" w:firstLineChars="197"/>
        <w:rPr>
          <w:rFonts w:hAnsi="宋体" w:cs="宋体"/>
          <w:sz w:val="21"/>
        </w:rPr>
      </w:pPr>
      <w:r>
        <w:rPr>
          <w:rFonts w:hint="eastAsia" w:hAnsi="宋体" w:cs="宋体"/>
          <w:sz w:val="21"/>
        </w:rPr>
        <w:t>法律依据：</w:t>
      </w:r>
    </w:p>
    <w:p w14:paraId="50BBB1BF">
      <w:pPr>
        <w:pStyle w:val="24"/>
        <w:spacing w:line="360" w:lineRule="auto"/>
        <w:ind w:left="25" w:leftChars="12" w:firstLine="413" w:firstLineChars="197"/>
        <w:rPr>
          <w:rFonts w:hAnsi="宋体" w:cs="宋体"/>
          <w:sz w:val="21"/>
        </w:rPr>
      </w:pPr>
      <w:r>
        <w:rPr>
          <w:rFonts w:hint="eastAsia" w:hAnsi="宋体" w:cs="宋体"/>
          <w:sz w:val="21"/>
        </w:rPr>
        <w:t>质疑事项2</w:t>
      </w:r>
    </w:p>
    <w:p w14:paraId="5BA6C966">
      <w:pPr>
        <w:pStyle w:val="24"/>
        <w:spacing w:line="360" w:lineRule="auto"/>
        <w:ind w:left="25" w:leftChars="12" w:firstLine="413" w:firstLineChars="197"/>
        <w:rPr>
          <w:rFonts w:hAnsi="宋体" w:cs="宋体"/>
          <w:sz w:val="21"/>
        </w:rPr>
      </w:pPr>
      <w:r>
        <w:rPr>
          <w:rFonts w:hint="eastAsia" w:hAnsi="宋体" w:cs="宋体"/>
          <w:sz w:val="21"/>
        </w:rPr>
        <w:t>……</w:t>
      </w:r>
    </w:p>
    <w:p w14:paraId="6AA7E59D">
      <w:pPr>
        <w:pStyle w:val="24"/>
        <w:spacing w:line="360" w:lineRule="auto"/>
        <w:ind w:left="25" w:leftChars="12" w:firstLine="413" w:firstLineChars="197"/>
        <w:rPr>
          <w:rFonts w:hAnsi="宋体" w:cs="宋体"/>
          <w:sz w:val="21"/>
        </w:rPr>
      </w:pPr>
      <w:r>
        <w:rPr>
          <w:rFonts w:hint="eastAsia" w:hAnsi="宋体" w:cs="宋体"/>
          <w:sz w:val="21"/>
        </w:rPr>
        <w:t>四、与质疑事项相关的质疑请求：</w:t>
      </w:r>
    </w:p>
    <w:p w14:paraId="774A184B">
      <w:pPr>
        <w:pStyle w:val="24"/>
        <w:spacing w:line="360" w:lineRule="auto"/>
        <w:ind w:left="25" w:leftChars="12" w:firstLine="413" w:firstLineChars="197"/>
        <w:rPr>
          <w:rFonts w:hAnsi="宋体" w:cs="宋体"/>
          <w:sz w:val="21"/>
        </w:rPr>
      </w:pPr>
      <w:r>
        <w:rPr>
          <w:rFonts w:hint="eastAsia" w:hAnsi="宋体" w:cs="宋体"/>
          <w:sz w:val="21"/>
        </w:rPr>
        <w:t>请求：</w:t>
      </w:r>
    </w:p>
    <w:p w14:paraId="5BF8C343">
      <w:pPr>
        <w:pStyle w:val="24"/>
        <w:spacing w:line="360" w:lineRule="auto"/>
        <w:ind w:left="25" w:leftChars="12" w:firstLine="308" w:firstLineChars="147"/>
        <w:rPr>
          <w:rFonts w:hAnsi="宋体" w:cs="宋体"/>
          <w:sz w:val="21"/>
        </w:rPr>
      </w:pPr>
    </w:p>
    <w:p w14:paraId="643A14D7">
      <w:pPr>
        <w:pStyle w:val="24"/>
        <w:spacing w:line="360" w:lineRule="auto"/>
        <w:ind w:left="25" w:leftChars="12" w:firstLine="413" w:firstLineChars="197"/>
        <w:rPr>
          <w:rFonts w:hAnsi="宋体" w:cs="宋体"/>
          <w:sz w:val="21"/>
        </w:rPr>
      </w:pPr>
      <w:r>
        <w:rPr>
          <w:rFonts w:hint="eastAsia" w:hAnsi="宋体" w:cs="宋体"/>
          <w:sz w:val="21"/>
        </w:rPr>
        <w:t>签字或盖章：公章：</w:t>
      </w:r>
    </w:p>
    <w:p w14:paraId="7427232F">
      <w:pPr>
        <w:pStyle w:val="24"/>
        <w:spacing w:line="360" w:lineRule="auto"/>
        <w:ind w:left="25" w:leftChars="12" w:firstLine="308" w:firstLineChars="147"/>
        <w:rPr>
          <w:rFonts w:hAnsi="宋体" w:cs="宋体"/>
          <w:sz w:val="21"/>
        </w:rPr>
      </w:pPr>
    </w:p>
    <w:p w14:paraId="757C3C78">
      <w:pPr>
        <w:pStyle w:val="24"/>
        <w:spacing w:line="360" w:lineRule="auto"/>
        <w:ind w:left="25" w:leftChars="12" w:firstLine="413" w:firstLineChars="197"/>
        <w:rPr>
          <w:rFonts w:hAnsi="宋体" w:cs="宋体"/>
          <w:sz w:val="21"/>
        </w:rPr>
      </w:pPr>
      <w:r>
        <w:rPr>
          <w:rFonts w:hint="eastAsia" w:hAnsi="宋体" w:cs="宋体"/>
          <w:sz w:val="21"/>
        </w:rPr>
        <w:t>日期：</w:t>
      </w:r>
    </w:p>
    <w:p w14:paraId="5B7BA58F">
      <w:pPr>
        <w:pStyle w:val="24"/>
        <w:snapToGrid w:val="0"/>
        <w:spacing w:line="360" w:lineRule="auto"/>
        <w:rPr>
          <w:rFonts w:hAnsi="宋体" w:cs="宋体"/>
          <w:b/>
          <w:sz w:val="21"/>
        </w:rPr>
      </w:pPr>
    </w:p>
    <w:p w14:paraId="432325AF">
      <w:pPr>
        <w:pStyle w:val="24"/>
        <w:snapToGrid w:val="0"/>
        <w:spacing w:line="360" w:lineRule="auto"/>
        <w:rPr>
          <w:rFonts w:hAnsi="宋体" w:cs="宋体"/>
          <w:b/>
          <w:sz w:val="21"/>
        </w:rPr>
      </w:pPr>
      <w:r>
        <w:rPr>
          <w:rFonts w:hint="eastAsia" w:hAnsi="宋体" w:cs="宋体"/>
          <w:b/>
          <w:sz w:val="21"/>
        </w:rPr>
        <w:t>说明：</w:t>
      </w:r>
    </w:p>
    <w:p w14:paraId="7D39734E">
      <w:pPr>
        <w:pStyle w:val="24"/>
        <w:spacing w:line="360" w:lineRule="auto"/>
        <w:ind w:left="25" w:leftChars="12" w:firstLine="310" w:firstLineChars="147"/>
        <w:rPr>
          <w:rFonts w:hAnsi="宋体" w:cs="宋体"/>
          <w:b/>
          <w:bCs/>
          <w:sz w:val="21"/>
        </w:rPr>
      </w:pPr>
      <w:r>
        <w:rPr>
          <w:rFonts w:hint="eastAsia" w:hAnsi="宋体" w:cs="宋体"/>
          <w:b/>
          <w:sz w:val="21"/>
        </w:rPr>
        <w:t>1.供应商提出质疑时，应提交质疑函和必要的证明材料</w:t>
      </w:r>
      <w:r>
        <w:rPr>
          <w:rFonts w:hint="eastAsia" w:hAnsi="宋体" w:cs="宋体"/>
          <w:b/>
          <w:bCs/>
          <w:sz w:val="21"/>
        </w:rPr>
        <w:t>。</w:t>
      </w:r>
    </w:p>
    <w:p w14:paraId="32020F13">
      <w:pPr>
        <w:pStyle w:val="24"/>
        <w:spacing w:line="360" w:lineRule="auto"/>
        <w:ind w:left="25" w:leftChars="12" w:firstLine="310" w:firstLineChars="147"/>
        <w:rPr>
          <w:rFonts w:hAnsi="宋体" w:cs="宋体"/>
          <w:b/>
          <w:sz w:val="21"/>
        </w:rPr>
      </w:pPr>
      <w:r>
        <w:rPr>
          <w:rFonts w:hint="eastAsia" w:hAnsi="宋体" w:cs="宋体"/>
          <w:b/>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A0B8835">
      <w:pPr>
        <w:pStyle w:val="24"/>
        <w:spacing w:line="360" w:lineRule="auto"/>
        <w:ind w:left="25" w:leftChars="12" w:firstLine="310" w:firstLineChars="147"/>
        <w:rPr>
          <w:rFonts w:hAnsi="宋体" w:cs="宋体"/>
          <w:b/>
          <w:sz w:val="21"/>
        </w:rPr>
      </w:pPr>
      <w:r>
        <w:rPr>
          <w:rFonts w:hint="eastAsia" w:hAnsi="宋体" w:cs="宋体"/>
          <w:b/>
          <w:sz w:val="21"/>
        </w:rPr>
        <w:t>3.质疑函的质疑事项应具体、明确，并有必要的事实依据和法律依据。</w:t>
      </w:r>
    </w:p>
    <w:p w14:paraId="1C87791F">
      <w:pPr>
        <w:pStyle w:val="24"/>
        <w:spacing w:line="360" w:lineRule="auto"/>
        <w:ind w:left="25" w:leftChars="12" w:firstLine="310" w:firstLineChars="147"/>
        <w:rPr>
          <w:rFonts w:hAnsi="宋体" w:cs="宋体"/>
          <w:b/>
          <w:sz w:val="21"/>
        </w:rPr>
      </w:pPr>
      <w:r>
        <w:rPr>
          <w:rFonts w:hint="eastAsia" w:hAnsi="宋体" w:cs="宋体"/>
          <w:b/>
          <w:sz w:val="21"/>
        </w:rPr>
        <w:t>4.质疑函的质疑请求应与质疑事项相关。</w:t>
      </w:r>
    </w:p>
    <w:p w14:paraId="118F7B6A">
      <w:pPr>
        <w:pStyle w:val="24"/>
        <w:spacing w:line="360" w:lineRule="auto"/>
        <w:ind w:left="25" w:leftChars="12" w:firstLine="310" w:firstLineChars="147"/>
        <w:rPr>
          <w:rFonts w:hAnsi="宋体" w:cs="宋体"/>
          <w:b/>
          <w:sz w:val="21"/>
        </w:rPr>
        <w:sectPr>
          <w:pgSz w:w="11906" w:h="16838"/>
          <w:pgMar w:top="1440" w:right="1797" w:bottom="1440" w:left="1797" w:header="851" w:footer="992" w:gutter="0"/>
          <w:cols w:space="720" w:num="1"/>
          <w:docGrid w:linePitch="312" w:charSpace="0"/>
        </w:sectPr>
      </w:pPr>
      <w:r>
        <w:rPr>
          <w:rFonts w:hint="eastAsia" w:hAnsi="宋体" w:cs="宋体"/>
          <w:b/>
          <w:sz w:val="21"/>
        </w:rPr>
        <w:t>5.质疑供应商为法人或者其他组织的，质疑函应由法定代表人、主要负责人，或者其授权代表签字或者盖章，并加盖公章。</w:t>
      </w:r>
    </w:p>
    <w:p w14:paraId="6EEA8E96">
      <w:pPr>
        <w:spacing w:line="360" w:lineRule="auto"/>
        <w:jc w:val="center"/>
        <w:rPr>
          <w:rFonts w:ascii="宋体" w:hAnsi="宋体" w:cs="宋体"/>
          <w:b/>
          <w:bCs/>
          <w:sz w:val="32"/>
          <w:szCs w:val="32"/>
        </w:rPr>
      </w:pPr>
      <w:r>
        <w:rPr>
          <w:rFonts w:hint="eastAsia" w:ascii="宋体" w:hAnsi="宋体" w:cs="宋体"/>
          <w:b/>
          <w:bCs/>
          <w:sz w:val="32"/>
          <w:szCs w:val="32"/>
        </w:rPr>
        <w:t>投诉书（格式）</w:t>
      </w:r>
    </w:p>
    <w:p w14:paraId="43D549C4">
      <w:pPr>
        <w:pStyle w:val="24"/>
        <w:snapToGrid w:val="0"/>
        <w:spacing w:line="360" w:lineRule="auto"/>
        <w:ind w:firstLine="422" w:firstLineChars="200"/>
        <w:rPr>
          <w:rFonts w:hAnsi="宋体" w:cs="宋体"/>
          <w:b/>
          <w:bCs/>
          <w:sz w:val="21"/>
        </w:rPr>
      </w:pPr>
      <w:r>
        <w:rPr>
          <w:rFonts w:hint="eastAsia" w:hAnsi="宋体" w:cs="宋体"/>
          <w:b/>
          <w:bCs/>
          <w:sz w:val="21"/>
        </w:rPr>
        <w:t>一、投诉相关主体基本情况：</w:t>
      </w:r>
    </w:p>
    <w:p w14:paraId="1F4B5BA7">
      <w:pPr>
        <w:pStyle w:val="24"/>
        <w:snapToGrid w:val="0"/>
        <w:spacing w:line="360" w:lineRule="auto"/>
        <w:ind w:firstLine="420" w:firstLineChars="200"/>
        <w:rPr>
          <w:rFonts w:hAnsi="宋体" w:cs="宋体"/>
          <w:bCs/>
          <w:sz w:val="21"/>
          <w:u w:val="single"/>
        </w:rPr>
      </w:pPr>
      <w:r>
        <w:rPr>
          <w:rFonts w:hint="eastAsia" w:hAnsi="宋体" w:cs="宋体"/>
          <w:bCs/>
          <w:sz w:val="21"/>
        </w:rPr>
        <w:t>投标人：</w:t>
      </w:r>
    </w:p>
    <w:p w14:paraId="1EFA6479">
      <w:pPr>
        <w:pStyle w:val="24"/>
        <w:snapToGrid w:val="0"/>
        <w:spacing w:line="360" w:lineRule="auto"/>
        <w:ind w:firstLine="420" w:firstLineChars="200"/>
        <w:rPr>
          <w:rFonts w:hAnsi="宋体" w:cs="宋体"/>
          <w:bCs/>
          <w:sz w:val="21"/>
          <w:u w:val="single"/>
        </w:rPr>
      </w:pPr>
      <w:r>
        <w:rPr>
          <w:rFonts w:hint="eastAsia" w:hAnsi="宋体" w:cs="宋体"/>
          <w:bCs/>
          <w:sz w:val="21"/>
        </w:rPr>
        <w:t>地址：</w:t>
      </w:r>
    </w:p>
    <w:p w14:paraId="120047AE">
      <w:pPr>
        <w:pStyle w:val="24"/>
        <w:snapToGrid w:val="0"/>
        <w:spacing w:line="360" w:lineRule="auto"/>
        <w:ind w:firstLine="420" w:firstLineChars="200"/>
        <w:rPr>
          <w:rFonts w:hAnsi="宋体" w:cs="宋体"/>
          <w:bCs/>
          <w:sz w:val="21"/>
        </w:rPr>
      </w:pPr>
      <w:r>
        <w:rPr>
          <w:rFonts w:hint="eastAsia" w:hAnsi="宋体" w:cs="宋体"/>
          <w:bCs/>
          <w:sz w:val="21"/>
        </w:rPr>
        <w:t>邮编：</w:t>
      </w:r>
    </w:p>
    <w:p w14:paraId="45F37EEC">
      <w:pPr>
        <w:pStyle w:val="24"/>
        <w:snapToGrid w:val="0"/>
        <w:spacing w:line="360" w:lineRule="auto"/>
        <w:ind w:firstLine="420" w:firstLineChars="200"/>
        <w:rPr>
          <w:rFonts w:hAnsi="宋体" w:cs="宋体"/>
          <w:bCs/>
          <w:sz w:val="21"/>
          <w:u w:val="single"/>
        </w:rPr>
      </w:pPr>
      <w:r>
        <w:rPr>
          <w:rFonts w:hint="eastAsia" w:hAnsi="宋体" w:cs="宋体"/>
          <w:bCs/>
          <w:sz w:val="21"/>
        </w:rPr>
        <w:t>法定代表人/主要负责人：</w:t>
      </w:r>
    </w:p>
    <w:p w14:paraId="7C3CCCE9">
      <w:pPr>
        <w:pStyle w:val="24"/>
        <w:snapToGrid w:val="0"/>
        <w:spacing w:line="360" w:lineRule="auto"/>
        <w:ind w:firstLine="420" w:firstLineChars="200"/>
        <w:rPr>
          <w:rFonts w:hAnsi="宋体" w:cs="宋体"/>
          <w:bCs/>
          <w:sz w:val="21"/>
        </w:rPr>
      </w:pPr>
      <w:r>
        <w:rPr>
          <w:rFonts w:hint="eastAsia" w:hAnsi="宋体" w:cs="宋体"/>
          <w:bCs/>
          <w:sz w:val="21"/>
        </w:rPr>
        <w:t>联系电话：</w:t>
      </w:r>
    </w:p>
    <w:p w14:paraId="0F32BC4B">
      <w:pPr>
        <w:pStyle w:val="24"/>
        <w:snapToGrid w:val="0"/>
        <w:spacing w:line="360" w:lineRule="auto"/>
        <w:ind w:firstLine="420" w:firstLineChars="200"/>
        <w:rPr>
          <w:rFonts w:hAnsi="宋体" w:cs="宋体"/>
          <w:bCs/>
          <w:sz w:val="21"/>
          <w:u w:val="single"/>
        </w:rPr>
      </w:pPr>
      <w:r>
        <w:rPr>
          <w:rFonts w:hint="eastAsia" w:hAnsi="宋体" w:cs="宋体"/>
          <w:bCs/>
          <w:sz w:val="21"/>
        </w:rPr>
        <w:t>授权代表：</w:t>
      </w:r>
    </w:p>
    <w:p w14:paraId="4D0846A5">
      <w:pPr>
        <w:pStyle w:val="24"/>
        <w:snapToGrid w:val="0"/>
        <w:spacing w:line="360" w:lineRule="auto"/>
        <w:ind w:firstLine="420" w:firstLineChars="200"/>
        <w:rPr>
          <w:rFonts w:hAnsi="宋体" w:cs="宋体"/>
          <w:bCs/>
          <w:sz w:val="21"/>
          <w:u w:val="single"/>
        </w:rPr>
      </w:pPr>
      <w:r>
        <w:rPr>
          <w:rFonts w:hint="eastAsia" w:hAnsi="宋体" w:cs="宋体"/>
          <w:bCs/>
          <w:sz w:val="21"/>
        </w:rPr>
        <w:t>联系电话：</w:t>
      </w:r>
    </w:p>
    <w:p w14:paraId="4AA01D03">
      <w:pPr>
        <w:pStyle w:val="24"/>
        <w:snapToGrid w:val="0"/>
        <w:spacing w:line="360" w:lineRule="auto"/>
        <w:ind w:firstLine="420" w:firstLineChars="200"/>
        <w:rPr>
          <w:rFonts w:hAnsi="宋体" w:cs="宋体"/>
          <w:bCs/>
          <w:sz w:val="21"/>
          <w:u w:val="single"/>
        </w:rPr>
      </w:pPr>
      <w:r>
        <w:rPr>
          <w:rFonts w:hint="eastAsia" w:hAnsi="宋体" w:cs="宋体"/>
          <w:bCs/>
          <w:sz w:val="21"/>
        </w:rPr>
        <w:t>地址：</w:t>
      </w:r>
    </w:p>
    <w:p w14:paraId="76EA86CA">
      <w:pPr>
        <w:pStyle w:val="24"/>
        <w:snapToGrid w:val="0"/>
        <w:spacing w:line="360" w:lineRule="auto"/>
        <w:ind w:firstLine="420" w:firstLineChars="200"/>
        <w:rPr>
          <w:rFonts w:hAnsi="宋体" w:cs="宋体"/>
          <w:bCs/>
          <w:sz w:val="21"/>
        </w:rPr>
      </w:pPr>
      <w:r>
        <w:rPr>
          <w:rFonts w:hint="eastAsia" w:hAnsi="宋体" w:cs="宋体"/>
          <w:bCs/>
          <w:sz w:val="21"/>
        </w:rPr>
        <w:t>邮编：</w:t>
      </w:r>
    </w:p>
    <w:p w14:paraId="7B369C13">
      <w:pPr>
        <w:pStyle w:val="24"/>
        <w:snapToGrid w:val="0"/>
        <w:spacing w:line="360" w:lineRule="auto"/>
        <w:ind w:firstLine="420" w:firstLineChars="200"/>
        <w:rPr>
          <w:rFonts w:hAnsi="宋体" w:cs="宋体"/>
          <w:bCs/>
          <w:sz w:val="21"/>
        </w:rPr>
      </w:pPr>
      <w:r>
        <w:rPr>
          <w:rFonts w:hint="eastAsia" w:hAnsi="宋体" w:cs="宋体"/>
          <w:bCs/>
          <w:sz w:val="21"/>
        </w:rPr>
        <w:t>被投诉人1：</w:t>
      </w:r>
    </w:p>
    <w:p w14:paraId="03C25395">
      <w:pPr>
        <w:pStyle w:val="24"/>
        <w:snapToGrid w:val="0"/>
        <w:spacing w:line="360" w:lineRule="auto"/>
        <w:ind w:firstLine="420" w:firstLineChars="200"/>
        <w:rPr>
          <w:rFonts w:hAnsi="宋体" w:cs="宋体"/>
          <w:bCs/>
          <w:sz w:val="21"/>
          <w:u w:val="single"/>
        </w:rPr>
      </w:pPr>
      <w:r>
        <w:rPr>
          <w:rFonts w:hint="eastAsia" w:hAnsi="宋体" w:cs="宋体"/>
          <w:bCs/>
          <w:sz w:val="21"/>
        </w:rPr>
        <w:t>地址：</w:t>
      </w:r>
    </w:p>
    <w:p w14:paraId="54BCD20A">
      <w:pPr>
        <w:pStyle w:val="24"/>
        <w:snapToGrid w:val="0"/>
        <w:spacing w:line="360" w:lineRule="auto"/>
        <w:ind w:firstLine="420" w:firstLineChars="200"/>
        <w:rPr>
          <w:rFonts w:hAnsi="宋体" w:cs="宋体"/>
          <w:bCs/>
          <w:sz w:val="21"/>
        </w:rPr>
      </w:pPr>
      <w:r>
        <w:rPr>
          <w:rFonts w:hint="eastAsia" w:hAnsi="宋体" w:cs="宋体"/>
          <w:bCs/>
          <w:sz w:val="21"/>
        </w:rPr>
        <w:t>邮编：</w:t>
      </w:r>
    </w:p>
    <w:p w14:paraId="45BD838A">
      <w:pPr>
        <w:pStyle w:val="24"/>
        <w:snapToGrid w:val="0"/>
        <w:spacing w:line="360" w:lineRule="auto"/>
        <w:ind w:firstLine="420" w:firstLineChars="200"/>
        <w:rPr>
          <w:rFonts w:hAnsi="宋体" w:cs="宋体"/>
          <w:bCs/>
          <w:sz w:val="21"/>
          <w:u w:val="single"/>
        </w:rPr>
      </w:pPr>
      <w:r>
        <w:rPr>
          <w:rFonts w:hint="eastAsia" w:hAnsi="宋体" w:cs="宋体"/>
          <w:bCs/>
          <w:sz w:val="21"/>
        </w:rPr>
        <w:t>联系人：</w:t>
      </w:r>
    </w:p>
    <w:p w14:paraId="49B6EBF4">
      <w:pPr>
        <w:pStyle w:val="24"/>
        <w:snapToGrid w:val="0"/>
        <w:spacing w:line="360" w:lineRule="auto"/>
        <w:ind w:firstLine="420" w:firstLineChars="200"/>
        <w:rPr>
          <w:rFonts w:hAnsi="宋体" w:cs="宋体"/>
          <w:bCs/>
          <w:sz w:val="21"/>
          <w:u w:val="single"/>
        </w:rPr>
      </w:pPr>
      <w:r>
        <w:rPr>
          <w:rFonts w:hint="eastAsia" w:hAnsi="宋体" w:cs="宋体"/>
          <w:bCs/>
          <w:sz w:val="21"/>
        </w:rPr>
        <w:t>联系电话：</w:t>
      </w:r>
    </w:p>
    <w:p w14:paraId="2058A491">
      <w:pPr>
        <w:pStyle w:val="24"/>
        <w:snapToGrid w:val="0"/>
        <w:spacing w:line="360" w:lineRule="auto"/>
        <w:ind w:firstLine="420" w:firstLineChars="200"/>
        <w:rPr>
          <w:rFonts w:hAnsi="宋体" w:cs="宋体"/>
          <w:bCs/>
          <w:sz w:val="21"/>
        </w:rPr>
      </w:pPr>
      <w:r>
        <w:rPr>
          <w:rFonts w:hint="eastAsia" w:hAnsi="宋体" w:cs="宋体"/>
          <w:bCs/>
          <w:sz w:val="21"/>
        </w:rPr>
        <w:t>被投诉人2：</w:t>
      </w:r>
    </w:p>
    <w:p w14:paraId="028991A9">
      <w:pPr>
        <w:pStyle w:val="24"/>
        <w:snapToGrid w:val="0"/>
        <w:spacing w:line="360" w:lineRule="auto"/>
        <w:ind w:firstLine="420" w:firstLineChars="200"/>
        <w:rPr>
          <w:rFonts w:hAnsi="宋体" w:cs="宋体"/>
          <w:bCs/>
          <w:sz w:val="21"/>
        </w:rPr>
      </w:pPr>
      <w:r>
        <w:rPr>
          <w:rFonts w:hint="eastAsia" w:hAnsi="宋体" w:cs="宋体"/>
          <w:bCs/>
          <w:sz w:val="21"/>
        </w:rPr>
        <w:t>……</w:t>
      </w:r>
    </w:p>
    <w:p w14:paraId="4E39A94F">
      <w:pPr>
        <w:pStyle w:val="24"/>
        <w:snapToGrid w:val="0"/>
        <w:spacing w:line="360" w:lineRule="auto"/>
        <w:ind w:firstLine="420" w:firstLineChars="200"/>
        <w:rPr>
          <w:rFonts w:hAnsi="宋体" w:cs="宋体"/>
          <w:bCs/>
          <w:sz w:val="21"/>
          <w:u w:val="single"/>
        </w:rPr>
      </w:pPr>
      <w:r>
        <w:rPr>
          <w:rFonts w:hint="eastAsia" w:hAnsi="宋体" w:cs="宋体"/>
          <w:bCs/>
          <w:sz w:val="21"/>
        </w:rPr>
        <w:t>相关供应商：</w:t>
      </w:r>
    </w:p>
    <w:p w14:paraId="76BCE2E4">
      <w:pPr>
        <w:pStyle w:val="24"/>
        <w:snapToGrid w:val="0"/>
        <w:spacing w:line="360" w:lineRule="auto"/>
        <w:ind w:firstLine="420" w:firstLineChars="200"/>
        <w:rPr>
          <w:rFonts w:hAnsi="宋体" w:cs="宋体"/>
          <w:bCs/>
          <w:sz w:val="21"/>
          <w:u w:val="single"/>
        </w:rPr>
      </w:pPr>
      <w:r>
        <w:rPr>
          <w:rFonts w:hint="eastAsia" w:hAnsi="宋体" w:cs="宋体"/>
          <w:bCs/>
          <w:sz w:val="21"/>
        </w:rPr>
        <w:t>地址：</w:t>
      </w:r>
    </w:p>
    <w:p w14:paraId="7A7F0314">
      <w:pPr>
        <w:pStyle w:val="24"/>
        <w:snapToGrid w:val="0"/>
        <w:spacing w:line="360" w:lineRule="auto"/>
        <w:ind w:firstLine="420" w:firstLineChars="200"/>
        <w:rPr>
          <w:rFonts w:hAnsi="宋体" w:cs="宋体"/>
          <w:bCs/>
          <w:sz w:val="21"/>
          <w:u w:val="single"/>
        </w:rPr>
      </w:pPr>
      <w:r>
        <w:rPr>
          <w:rFonts w:hint="eastAsia" w:hAnsi="宋体" w:cs="宋体"/>
          <w:bCs/>
          <w:sz w:val="21"/>
        </w:rPr>
        <w:t>邮编：</w:t>
      </w:r>
    </w:p>
    <w:p w14:paraId="3822EA8C">
      <w:pPr>
        <w:pStyle w:val="24"/>
        <w:snapToGrid w:val="0"/>
        <w:spacing w:line="360" w:lineRule="auto"/>
        <w:ind w:firstLine="420" w:firstLineChars="200"/>
        <w:rPr>
          <w:rFonts w:hAnsi="宋体" w:cs="宋体"/>
          <w:bCs/>
          <w:sz w:val="21"/>
          <w:u w:val="single"/>
        </w:rPr>
      </w:pPr>
      <w:r>
        <w:rPr>
          <w:rFonts w:hint="eastAsia" w:hAnsi="宋体" w:cs="宋体"/>
          <w:bCs/>
          <w:sz w:val="21"/>
        </w:rPr>
        <w:t>联系人：</w:t>
      </w:r>
    </w:p>
    <w:p w14:paraId="35DE2A11">
      <w:pPr>
        <w:pStyle w:val="24"/>
        <w:snapToGrid w:val="0"/>
        <w:spacing w:line="360" w:lineRule="auto"/>
        <w:ind w:firstLine="420" w:firstLineChars="200"/>
        <w:rPr>
          <w:rFonts w:hAnsi="宋体" w:cs="宋体"/>
          <w:bCs/>
          <w:sz w:val="21"/>
        </w:rPr>
      </w:pPr>
      <w:r>
        <w:rPr>
          <w:rFonts w:hint="eastAsia" w:hAnsi="宋体" w:cs="宋体"/>
          <w:bCs/>
          <w:sz w:val="21"/>
        </w:rPr>
        <w:t>联系电话：</w:t>
      </w:r>
    </w:p>
    <w:p w14:paraId="68056BB9">
      <w:pPr>
        <w:pStyle w:val="24"/>
        <w:snapToGrid w:val="0"/>
        <w:spacing w:line="360" w:lineRule="auto"/>
        <w:ind w:firstLine="422" w:firstLineChars="200"/>
        <w:rPr>
          <w:rFonts w:hAnsi="宋体" w:cs="宋体"/>
          <w:b/>
          <w:bCs/>
          <w:sz w:val="21"/>
        </w:rPr>
      </w:pPr>
      <w:r>
        <w:rPr>
          <w:rFonts w:hint="eastAsia" w:hAnsi="宋体" w:cs="宋体"/>
          <w:b/>
          <w:bCs/>
          <w:sz w:val="21"/>
        </w:rPr>
        <w:t>二、投诉项目基本情况：</w:t>
      </w:r>
    </w:p>
    <w:p w14:paraId="19F6A6C1">
      <w:pPr>
        <w:pStyle w:val="24"/>
        <w:spacing w:line="360" w:lineRule="auto"/>
        <w:ind w:left="25" w:leftChars="12" w:firstLine="413" w:firstLineChars="197"/>
        <w:rPr>
          <w:rFonts w:hAnsi="宋体" w:cs="宋体"/>
          <w:sz w:val="21"/>
        </w:rPr>
      </w:pPr>
      <w:r>
        <w:rPr>
          <w:rFonts w:hint="eastAsia" w:hAnsi="宋体" w:cs="宋体"/>
          <w:bCs/>
          <w:sz w:val="21"/>
        </w:rPr>
        <w:t>采购</w:t>
      </w:r>
      <w:r>
        <w:rPr>
          <w:rFonts w:hint="eastAsia" w:hAnsi="宋体" w:cs="宋体"/>
          <w:sz w:val="21"/>
        </w:rPr>
        <w:t>项目的名称：</w:t>
      </w:r>
    </w:p>
    <w:p w14:paraId="65112022">
      <w:pPr>
        <w:pStyle w:val="24"/>
        <w:spacing w:line="360" w:lineRule="auto"/>
        <w:ind w:left="25" w:leftChars="12" w:firstLine="413" w:firstLineChars="197"/>
        <w:rPr>
          <w:rFonts w:hAnsi="宋体" w:cs="宋体"/>
          <w:sz w:val="21"/>
        </w:rPr>
      </w:pPr>
      <w:r>
        <w:rPr>
          <w:rFonts w:hint="eastAsia" w:hAnsi="宋体" w:cs="宋体"/>
          <w:bCs/>
          <w:sz w:val="21"/>
        </w:rPr>
        <w:t>采购</w:t>
      </w:r>
      <w:r>
        <w:rPr>
          <w:rFonts w:hint="eastAsia" w:hAnsi="宋体" w:cs="宋体"/>
          <w:sz w:val="21"/>
        </w:rPr>
        <w:t>项目的编号：</w:t>
      </w:r>
    </w:p>
    <w:p w14:paraId="30E4DBDF">
      <w:pPr>
        <w:pStyle w:val="24"/>
        <w:spacing w:line="360" w:lineRule="auto"/>
        <w:ind w:left="25" w:leftChars="12" w:firstLine="413" w:firstLineChars="197"/>
        <w:rPr>
          <w:rFonts w:hAnsi="宋体" w:cs="宋体"/>
          <w:bCs/>
          <w:sz w:val="21"/>
          <w:u w:val="single"/>
        </w:rPr>
      </w:pPr>
      <w:r>
        <w:rPr>
          <w:rFonts w:hint="eastAsia" w:hAnsi="宋体" w:cs="宋体"/>
          <w:sz w:val="21"/>
        </w:rPr>
        <w:t>采购人名称：</w:t>
      </w:r>
    </w:p>
    <w:p w14:paraId="42FF967A">
      <w:pPr>
        <w:pStyle w:val="24"/>
        <w:spacing w:line="360" w:lineRule="auto"/>
        <w:ind w:left="25" w:leftChars="12" w:firstLine="413" w:firstLineChars="197"/>
        <w:rPr>
          <w:rFonts w:hAnsi="宋体" w:cs="宋体"/>
          <w:bCs/>
          <w:sz w:val="21"/>
          <w:u w:val="single"/>
        </w:rPr>
      </w:pPr>
      <w:r>
        <w:rPr>
          <w:rFonts w:hint="eastAsia" w:hAnsi="宋体" w:cs="宋体"/>
          <w:sz w:val="21"/>
        </w:rPr>
        <w:t>代理机构名称：</w:t>
      </w:r>
    </w:p>
    <w:p w14:paraId="65F9320D">
      <w:pPr>
        <w:pStyle w:val="24"/>
        <w:spacing w:line="360" w:lineRule="auto"/>
        <w:ind w:left="25" w:leftChars="12" w:firstLine="413" w:firstLineChars="197"/>
        <w:rPr>
          <w:rFonts w:hAnsi="宋体" w:cs="宋体"/>
          <w:bCs/>
          <w:sz w:val="21"/>
          <w:u w:val="single"/>
        </w:rPr>
      </w:pPr>
      <w:r>
        <w:rPr>
          <w:rFonts w:hint="eastAsia" w:hAnsi="宋体" w:cs="宋体"/>
          <w:bCs/>
          <w:sz w:val="21"/>
        </w:rPr>
        <w:t>招标文件公告：</w:t>
      </w:r>
      <w:r>
        <w:rPr>
          <w:rFonts w:hint="eastAsia" w:hAnsi="宋体" w:cs="宋体"/>
          <w:bCs/>
          <w:sz w:val="21"/>
          <w:u w:val="single"/>
        </w:rPr>
        <w:t>是/否</w:t>
      </w:r>
      <w:r>
        <w:rPr>
          <w:rFonts w:hint="eastAsia" w:hAnsi="宋体" w:cs="宋体"/>
          <w:bCs/>
          <w:sz w:val="21"/>
        </w:rPr>
        <w:t>公告期限：</w:t>
      </w:r>
    </w:p>
    <w:p w14:paraId="7E0DF68E">
      <w:pPr>
        <w:pStyle w:val="24"/>
        <w:spacing w:line="360" w:lineRule="auto"/>
        <w:ind w:left="25" w:leftChars="12" w:firstLine="413" w:firstLineChars="197"/>
        <w:rPr>
          <w:rFonts w:hAnsi="宋体" w:cs="宋体"/>
          <w:b/>
          <w:sz w:val="21"/>
        </w:rPr>
      </w:pPr>
      <w:r>
        <w:rPr>
          <w:rFonts w:hint="eastAsia" w:hAnsi="宋体" w:cs="宋体"/>
          <w:bCs/>
          <w:sz w:val="21"/>
        </w:rPr>
        <w:t>采购结果公告：</w:t>
      </w:r>
      <w:r>
        <w:rPr>
          <w:rFonts w:hint="eastAsia" w:hAnsi="宋体" w:cs="宋体"/>
          <w:bCs/>
          <w:sz w:val="21"/>
          <w:u w:val="single"/>
        </w:rPr>
        <w:t>是/否</w:t>
      </w:r>
      <w:r>
        <w:rPr>
          <w:rFonts w:hint="eastAsia" w:hAnsi="宋体" w:cs="宋体"/>
          <w:bCs/>
          <w:sz w:val="21"/>
        </w:rPr>
        <w:t>公告期限：</w:t>
      </w:r>
    </w:p>
    <w:p w14:paraId="516457AB">
      <w:pPr>
        <w:pStyle w:val="24"/>
        <w:spacing w:line="360" w:lineRule="auto"/>
        <w:ind w:left="25" w:leftChars="12" w:firstLine="413" w:firstLineChars="196"/>
        <w:rPr>
          <w:rFonts w:hAnsi="宋体" w:cs="宋体"/>
          <w:b/>
          <w:sz w:val="21"/>
        </w:rPr>
      </w:pPr>
      <w:r>
        <w:rPr>
          <w:rFonts w:hint="eastAsia" w:hAnsi="宋体" w:cs="宋体"/>
          <w:b/>
          <w:sz w:val="21"/>
        </w:rPr>
        <w:t>三、质疑基本情况</w:t>
      </w:r>
    </w:p>
    <w:p w14:paraId="17564B9E">
      <w:pPr>
        <w:pStyle w:val="24"/>
        <w:spacing w:line="360" w:lineRule="auto"/>
        <w:ind w:left="25" w:leftChars="12" w:firstLine="413" w:firstLineChars="197"/>
        <w:rPr>
          <w:rFonts w:hAnsi="宋体" w:cs="宋体"/>
          <w:sz w:val="21"/>
        </w:rPr>
      </w:pPr>
      <w:r>
        <w:rPr>
          <w:rFonts w:hint="eastAsia" w:hAnsi="宋体" w:cs="宋体"/>
          <w:sz w:val="21"/>
        </w:rPr>
        <w:t>投诉人于年月日，向提出质疑，质疑事项为：</w:t>
      </w:r>
    </w:p>
    <w:p w14:paraId="5BC49CCE">
      <w:pPr>
        <w:pStyle w:val="24"/>
        <w:spacing w:line="360" w:lineRule="auto"/>
        <w:ind w:left="25" w:leftChars="12" w:firstLine="413" w:firstLineChars="197"/>
        <w:rPr>
          <w:rFonts w:hAnsi="宋体" w:cs="宋体"/>
          <w:bCs/>
          <w:sz w:val="21"/>
          <w:u w:val="single"/>
        </w:rPr>
      </w:pPr>
    </w:p>
    <w:p w14:paraId="4705A87D">
      <w:pPr>
        <w:pStyle w:val="24"/>
        <w:spacing w:line="360" w:lineRule="auto"/>
        <w:ind w:left="25" w:leftChars="12" w:firstLine="413" w:firstLineChars="197"/>
        <w:rPr>
          <w:rFonts w:hAnsi="宋体" w:cs="宋体"/>
          <w:bCs/>
          <w:sz w:val="21"/>
          <w:u w:val="single"/>
        </w:rPr>
      </w:pPr>
    </w:p>
    <w:p w14:paraId="5814E1AD">
      <w:pPr>
        <w:pStyle w:val="24"/>
        <w:spacing w:line="360" w:lineRule="auto"/>
        <w:ind w:left="25" w:leftChars="12" w:firstLine="413" w:firstLineChars="197"/>
        <w:rPr>
          <w:rFonts w:hAnsi="宋体" w:cs="宋体"/>
          <w:sz w:val="21"/>
        </w:rPr>
      </w:pPr>
      <w:r>
        <w:rPr>
          <w:rFonts w:hint="eastAsia" w:hAnsi="宋体" w:cs="宋体"/>
          <w:bCs/>
          <w:sz w:val="21"/>
          <w:u w:val="single"/>
        </w:rPr>
        <w:t>采购人/代理机构</w:t>
      </w:r>
      <w:r>
        <w:rPr>
          <w:rFonts w:hint="eastAsia" w:hAnsi="宋体" w:cs="宋体"/>
          <w:bCs/>
          <w:sz w:val="21"/>
        </w:rPr>
        <w:t>于</w:t>
      </w:r>
      <w:r>
        <w:rPr>
          <w:rFonts w:hint="eastAsia" w:hAnsi="宋体" w:cs="宋体"/>
          <w:sz w:val="21"/>
        </w:rPr>
        <w:t>年月日，</w:t>
      </w:r>
      <w:r>
        <w:rPr>
          <w:rFonts w:hint="eastAsia" w:hAnsi="宋体" w:cs="宋体"/>
          <w:bCs/>
          <w:sz w:val="21"/>
        </w:rPr>
        <w:t>就质疑事项作出了答复/没有在法定期限内作出答复。</w:t>
      </w:r>
    </w:p>
    <w:p w14:paraId="3A4751D5">
      <w:pPr>
        <w:pStyle w:val="24"/>
        <w:spacing w:line="360" w:lineRule="auto"/>
        <w:ind w:left="25" w:leftChars="12" w:firstLine="413" w:firstLineChars="196"/>
        <w:rPr>
          <w:rFonts w:hAnsi="宋体" w:cs="宋体"/>
          <w:b/>
          <w:sz w:val="21"/>
        </w:rPr>
      </w:pPr>
      <w:r>
        <w:rPr>
          <w:rFonts w:hint="eastAsia" w:hAnsi="宋体" w:cs="宋体"/>
          <w:b/>
          <w:sz w:val="21"/>
        </w:rPr>
        <w:t>四、投诉事项具体内容</w:t>
      </w:r>
    </w:p>
    <w:p w14:paraId="5FFAA1D6">
      <w:pPr>
        <w:pStyle w:val="24"/>
        <w:spacing w:line="360" w:lineRule="auto"/>
        <w:ind w:left="25" w:leftChars="12" w:firstLine="413" w:firstLineChars="197"/>
        <w:rPr>
          <w:rFonts w:hAnsi="宋体" w:cs="宋体"/>
          <w:bCs/>
          <w:sz w:val="21"/>
          <w:u w:val="single"/>
        </w:rPr>
      </w:pPr>
      <w:r>
        <w:rPr>
          <w:rFonts w:hint="eastAsia" w:hAnsi="宋体" w:cs="宋体"/>
          <w:sz w:val="21"/>
        </w:rPr>
        <w:t>投诉事项1：</w:t>
      </w:r>
    </w:p>
    <w:p w14:paraId="3369A0BE">
      <w:pPr>
        <w:pStyle w:val="24"/>
        <w:spacing w:line="360" w:lineRule="auto"/>
        <w:ind w:firstLine="420" w:firstLineChars="200"/>
        <w:rPr>
          <w:rFonts w:hAnsi="宋体" w:cs="宋体"/>
          <w:bCs/>
          <w:sz w:val="21"/>
          <w:u w:val="single"/>
        </w:rPr>
      </w:pPr>
      <w:r>
        <w:rPr>
          <w:rFonts w:hint="eastAsia" w:hAnsi="宋体" w:cs="宋体"/>
          <w:bCs/>
          <w:sz w:val="21"/>
        </w:rPr>
        <w:t>事实依据：</w:t>
      </w:r>
    </w:p>
    <w:p w14:paraId="36CD81E9">
      <w:pPr>
        <w:pStyle w:val="24"/>
        <w:spacing w:line="360" w:lineRule="auto"/>
        <w:ind w:left="25" w:leftChars="12" w:firstLine="413" w:firstLineChars="197"/>
        <w:rPr>
          <w:rFonts w:hAnsi="宋体" w:cs="宋体"/>
          <w:sz w:val="21"/>
        </w:rPr>
      </w:pPr>
    </w:p>
    <w:p w14:paraId="0AC9F570">
      <w:pPr>
        <w:pStyle w:val="24"/>
        <w:spacing w:line="360" w:lineRule="auto"/>
        <w:ind w:firstLine="420" w:firstLineChars="200"/>
        <w:rPr>
          <w:rFonts w:hAnsi="宋体" w:cs="宋体"/>
          <w:bCs/>
          <w:sz w:val="21"/>
          <w:u w:val="single"/>
        </w:rPr>
      </w:pPr>
      <w:r>
        <w:rPr>
          <w:rFonts w:hint="eastAsia" w:hAnsi="宋体" w:cs="宋体"/>
          <w:bCs/>
          <w:sz w:val="21"/>
        </w:rPr>
        <w:t>法律依据：</w:t>
      </w:r>
    </w:p>
    <w:p w14:paraId="777A2780">
      <w:pPr>
        <w:pStyle w:val="24"/>
        <w:spacing w:line="360" w:lineRule="auto"/>
        <w:ind w:left="25" w:leftChars="12" w:firstLine="308" w:firstLineChars="147"/>
        <w:rPr>
          <w:rFonts w:hAnsi="宋体" w:cs="宋体"/>
          <w:bCs/>
          <w:sz w:val="21"/>
          <w:u w:val="single"/>
        </w:rPr>
      </w:pPr>
    </w:p>
    <w:p w14:paraId="1439263D">
      <w:pPr>
        <w:pStyle w:val="24"/>
        <w:spacing w:line="360" w:lineRule="auto"/>
        <w:ind w:left="25" w:leftChars="12" w:firstLine="413" w:firstLineChars="197"/>
        <w:rPr>
          <w:rFonts w:hAnsi="宋体" w:cs="宋体"/>
          <w:bCs/>
          <w:sz w:val="21"/>
        </w:rPr>
      </w:pPr>
      <w:r>
        <w:rPr>
          <w:rFonts w:hint="eastAsia" w:hAnsi="宋体" w:cs="宋体"/>
          <w:sz w:val="21"/>
        </w:rPr>
        <w:t>投诉事项2</w:t>
      </w:r>
    </w:p>
    <w:p w14:paraId="651ECC50">
      <w:pPr>
        <w:pStyle w:val="24"/>
        <w:spacing w:line="360" w:lineRule="auto"/>
        <w:ind w:left="25" w:leftChars="12" w:firstLine="413" w:firstLineChars="197"/>
        <w:rPr>
          <w:rFonts w:hAnsi="宋体" w:cs="宋体"/>
          <w:bCs/>
          <w:sz w:val="21"/>
        </w:rPr>
      </w:pPr>
      <w:r>
        <w:rPr>
          <w:rFonts w:hint="eastAsia" w:hAnsi="宋体" w:cs="宋体"/>
          <w:bCs/>
          <w:sz w:val="21"/>
        </w:rPr>
        <w:t>……</w:t>
      </w:r>
    </w:p>
    <w:p w14:paraId="4540790F">
      <w:pPr>
        <w:pStyle w:val="24"/>
        <w:spacing w:line="360" w:lineRule="auto"/>
        <w:ind w:left="25" w:leftChars="12" w:firstLine="413" w:firstLineChars="196"/>
        <w:rPr>
          <w:rFonts w:hAnsi="宋体" w:cs="宋体"/>
          <w:b/>
          <w:sz w:val="21"/>
        </w:rPr>
      </w:pPr>
      <w:r>
        <w:rPr>
          <w:rFonts w:hint="eastAsia" w:hAnsi="宋体" w:cs="宋体"/>
          <w:b/>
          <w:sz w:val="21"/>
        </w:rPr>
        <w:t>五、与投诉事项相关的投诉请求：</w:t>
      </w:r>
    </w:p>
    <w:p w14:paraId="3C465E09">
      <w:pPr>
        <w:pStyle w:val="24"/>
        <w:spacing w:line="360" w:lineRule="auto"/>
        <w:ind w:left="25" w:leftChars="12" w:firstLine="413" w:firstLineChars="197"/>
        <w:rPr>
          <w:rFonts w:hAnsi="宋体" w:cs="宋体"/>
          <w:sz w:val="21"/>
        </w:rPr>
      </w:pPr>
      <w:r>
        <w:rPr>
          <w:rFonts w:hint="eastAsia" w:hAnsi="宋体" w:cs="宋体"/>
          <w:sz w:val="21"/>
        </w:rPr>
        <w:t>请求：</w:t>
      </w:r>
    </w:p>
    <w:p w14:paraId="4EDA8EFB">
      <w:pPr>
        <w:pStyle w:val="24"/>
        <w:spacing w:line="360" w:lineRule="auto"/>
        <w:ind w:left="25" w:leftChars="12" w:firstLine="413" w:firstLineChars="197"/>
        <w:rPr>
          <w:rFonts w:hAnsi="宋体" w:cs="宋体"/>
          <w:sz w:val="21"/>
        </w:rPr>
      </w:pPr>
    </w:p>
    <w:p w14:paraId="32A9B1EB">
      <w:pPr>
        <w:pStyle w:val="24"/>
        <w:spacing w:line="360" w:lineRule="auto"/>
        <w:ind w:left="25" w:leftChars="12" w:firstLine="394" w:firstLineChars="197"/>
        <w:rPr>
          <w:rFonts w:hAnsi="宋体" w:cs="宋体"/>
          <w:sz w:val="21"/>
        </w:rPr>
      </w:pPr>
      <w:r>
        <w:rPr>
          <w:rFonts w:hint="eastAsia" w:hAnsi="宋体" w:cs="宋体"/>
        </w:rPr>
        <w:t>签字或盖章</w:t>
      </w:r>
      <w:r>
        <w:rPr>
          <w:rFonts w:hint="eastAsia" w:hAnsi="宋体" w:cs="宋体"/>
          <w:sz w:val="21"/>
        </w:rPr>
        <w:t>：公章：</w:t>
      </w:r>
    </w:p>
    <w:p w14:paraId="17334E13">
      <w:pPr>
        <w:pStyle w:val="24"/>
        <w:spacing w:line="360" w:lineRule="auto"/>
        <w:ind w:left="25" w:leftChars="12" w:firstLine="413" w:firstLineChars="197"/>
        <w:rPr>
          <w:rFonts w:hAnsi="宋体" w:cs="宋体"/>
          <w:sz w:val="21"/>
        </w:rPr>
      </w:pPr>
    </w:p>
    <w:p w14:paraId="5962E3D2">
      <w:pPr>
        <w:pStyle w:val="24"/>
        <w:spacing w:line="360" w:lineRule="auto"/>
        <w:ind w:left="25" w:leftChars="12" w:firstLine="413" w:firstLineChars="197"/>
        <w:rPr>
          <w:rFonts w:hAnsi="宋体" w:cs="宋体"/>
          <w:sz w:val="21"/>
        </w:rPr>
      </w:pPr>
      <w:r>
        <w:rPr>
          <w:rFonts w:hint="eastAsia" w:hAnsi="宋体" w:cs="宋体"/>
          <w:sz w:val="21"/>
        </w:rPr>
        <w:t>日期：</w:t>
      </w:r>
    </w:p>
    <w:p w14:paraId="31A1A642">
      <w:pPr>
        <w:pStyle w:val="24"/>
        <w:spacing w:line="360" w:lineRule="auto"/>
        <w:ind w:left="25" w:leftChars="12" w:firstLine="413" w:firstLineChars="197"/>
        <w:rPr>
          <w:rFonts w:hAnsi="宋体" w:cs="宋体"/>
          <w:sz w:val="21"/>
        </w:rPr>
      </w:pPr>
    </w:p>
    <w:p w14:paraId="08FEF045">
      <w:pPr>
        <w:pStyle w:val="24"/>
        <w:spacing w:line="360" w:lineRule="auto"/>
        <w:ind w:left="25" w:leftChars="12" w:firstLine="415" w:firstLineChars="197"/>
        <w:rPr>
          <w:rFonts w:hAnsi="宋体" w:cs="宋体"/>
          <w:b/>
          <w:sz w:val="21"/>
        </w:rPr>
      </w:pPr>
    </w:p>
    <w:p w14:paraId="5D79DE63">
      <w:pPr>
        <w:pStyle w:val="24"/>
        <w:adjustRightInd w:val="0"/>
        <w:snapToGrid w:val="0"/>
        <w:spacing w:line="360" w:lineRule="auto"/>
        <w:ind w:firstLine="422" w:firstLineChars="200"/>
        <w:rPr>
          <w:rFonts w:hAnsi="宋体" w:cs="宋体"/>
          <w:b/>
          <w:sz w:val="21"/>
        </w:rPr>
      </w:pPr>
      <w:r>
        <w:rPr>
          <w:rFonts w:hint="eastAsia" w:hAnsi="宋体" w:cs="宋体"/>
          <w:b/>
          <w:sz w:val="21"/>
        </w:rPr>
        <w:t>说明：</w:t>
      </w:r>
    </w:p>
    <w:p w14:paraId="2288BEE8">
      <w:pPr>
        <w:pStyle w:val="24"/>
        <w:adjustRightInd w:val="0"/>
        <w:snapToGrid w:val="0"/>
        <w:spacing w:line="360" w:lineRule="auto"/>
        <w:ind w:firstLine="422" w:firstLineChars="200"/>
        <w:rPr>
          <w:rFonts w:hAnsi="宋体" w:cs="宋体"/>
          <w:b/>
          <w:bCs/>
          <w:sz w:val="21"/>
        </w:rPr>
      </w:pPr>
      <w:r>
        <w:rPr>
          <w:rFonts w:hint="eastAsia" w:hAnsi="宋体" w:cs="宋体"/>
          <w:b/>
          <w:sz w:val="21"/>
        </w:rPr>
        <w:t>1.投诉人提起投诉时，应当提交投诉书和必要的证明材料，并按照被投诉人和与投诉事项有关的供应商数量提供投诉书副本</w:t>
      </w:r>
      <w:r>
        <w:rPr>
          <w:rFonts w:hint="eastAsia" w:hAnsi="宋体" w:cs="宋体"/>
          <w:b/>
          <w:bCs/>
          <w:sz w:val="21"/>
        </w:rPr>
        <w:t>。</w:t>
      </w:r>
    </w:p>
    <w:p w14:paraId="245C8EF4">
      <w:pPr>
        <w:pStyle w:val="24"/>
        <w:adjustRightInd w:val="0"/>
        <w:snapToGrid w:val="0"/>
        <w:spacing w:line="360" w:lineRule="auto"/>
        <w:ind w:firstLine="422" w:firstLineChars="200"/>
        <w:rPr>
          <w:rFonts w:hAnsi="宋体" w:cs="宋体"/>
          <w:b/>
          <w:sz w:val="21"/>
        </w:rPr>
      </w:pPr>
      <w:r>
        <w:rPr>
          <w:rFonts w:hint="eastAsia" w:hAnsi="宋体" w:cs="宋体"/>
          <w:b/>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45F5537">
      <w:pPr>
        <w:pStyle w:val="24"/>
        <w:adjustRightInd w:val="0"/>
        <w:snapToGrid w:val="0"/>
        <w:spacing w:line="360" w:lineRule="auto"/>
        <w:ind w:firstLine="422" w:firstLineChars="200"/>
        <w:rPr>
          <w:rFonts w:hAnsi="宋体" w:cs="宋体"/>
          <w:b/>
          <w:sz w:val="21"/>
        </w:rPr>
      </w:pPr>
      <w:r>
        <w:rPr>
          <w:rFonts w:hint="eastAsia" w:hAnsi="宋体" w:cs="宋体"/>
          <w:b/>
          <w:sz w:val="21"/>
        </w:rPr>
        <w:t>3.投诉书应简要列明质疑事项，质疑函、质疑答复等作为附件材料提供。</w:t>
      </w:r>
    </w:p>
    <w:p w14:paraId="02313514">
      <w:pPr>
        <w:pStyle w:val="24"/>
        <w:adjustRightInd w:val="0"/>
        <w:snapToGrid w:val="0"/>
        <w:spacing w:line="360" w:lineRule="auto"/>
        <w:ind w:firstLine="422" w:firstLineChars="200"/>
        <w:rPr>
          <w:rFonts w:hAnsi="宋体" w:cs="宋体"/>
          <w:b/>
          <w:sz w:val="21"/>
        </w:rPr>
      </w:pPr>
      <w:r>
        <w:rPr>
          <w:rFonts w:hint="eastAsia" w:hAnsi="宋体" w:cs="宋体"/>
          <w:b/>
          <w:sz w:val="21"/>
        </w:rPr>
        <w:t>4.投诉书的投诉事项应具体、明确，并有必要的事实依据和法律依据。</w:t>
      </w:r>
    </w:p>
    <w:p w14:paraId="69809E60">
      <w:pPr>
        <w:pStyle w:val="24"/>
        <w:adjustRightInd w:val="0"/>
        <w:snapToGrid w:val="0"/>
        <w:spacing w:line="360" w:lineRule="auto"/>
        <w:ind w:firstLine="422" w:firstLineChars="200"/>
        <w:rPr>
          <w:rFonts w:hAnsi="宋体" w:cs="宋体"/>
          <w:b/>
          <w:sz w:val="21"/>
        </w:rPr>
      </w:pPr>
      <w:r>
        <w:rPr>
          <w:rFonts w:hint="eastAsia" w:hAnsi="宋体" w:cs="宋体"/>
          <w:b/>
          <w:sz w:val="21"/>
        </w:rPr>
        <w:t>5.投诉书的投诉请求应与投诉事项相关。</w:t>
      </w:r>
    </w:p>
    <w:p w14:paraId="1F8E4163">
      <w:pPr>
        <w:pStyle w:val="24"/>
        <w:adjustRightInd w:val="0"/>
        <w:snapToGrid w:val="0"/>
        <w:spacing w:line="360" w:lineRule="auto"/>
        <w:ind w:firstLine="422" w:firstLineChars="200"/>
        <w:rPr>
          <w:rFonts w:hAnsi="宋体" w:cs="宋体"/>
          <w:b/>
          <w:sz w:val="21"/>
        </w:rPr>
      </w:pPr>
      <w:r>
        <w:rPr>
          <w:rFonts w:hint="eastAsia" w:hAnsi="宋体" w:cs="宋体"/>
          <w:b/>
          <w:sz w:val="21"/>
        </w:rPr>
        <w:t>6.投诉人为法人或者其他组织的，投诉书应由法定代表人、主要负责人，或者其授权代表签字或者盖章，并加盖公章。</w:t>
      </w:r>
    </w:p>
    <w:p w14:paraId="261B5923">
      <w:pPr>
        <w:pStyle w:val="24"/>
        <w:spacing w:line="360" w:lineRule="auto"/>
        <w:ind w:left="25" w:leftChars="12" w:firstLine="310" w:firstLineChars="147"/>
        <w:rPr>
          <w:rFonts w:hAnsi="宋体" w:cs="宋体"/>
          <w:b/>
          <w:sz w:val="21"/>
        </w:rPr>
      </w:pPr>
    </w:p>
    <w:p w14:paraId="32308308">
      <w:pPr>
        <w:spacing w:line="360" w:lineRule="auto"/>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EC3ECA-1CD2-42D3-8D12-D42ADAA36263}"/>
  </w:font>
  <w:font w:name="Arial">
    <w:panose1 w:val="020B0604020202020204"/>
    <w:charset w:val="01"/>
    <w:family w:val="swiss"/>
    <w:pitch w:val="default"/>
    <w:sig w:usb0="E0002AFF" w:usb1="C0007843" w:usb2="00000009" w:usb3="00000000" w:csb0="400001FF" w:csb1="FFFF0000"/>
    <w:embedRegular r:id="rId2" w:fontKey="{B3CA7A52-7CCA-4455-85D7-6D4F6B0C9348}"/>
  </w:font>
  <w:font w:name="黑体">
    <w:panose1 w:val="02010609060101010101"/>
    <w:charset w:val="86"/>
    <w:family w:val="auto"/>
    <w:pitch w:val="default"/>
    <w:sig w:usb0="800002BF" w:usb1="38CF7CFA" w:usb2="00000016" w:usb3="00000000" w:csb0="00040001" w:csb1="00000000"/>
    <w:embedRegular r:id="rId3" w:fontKey="{9FF2B60B-E0F2-404D-9B83-47673C920F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B9E9F060-2288-4AE7-BFD4-95EE5B76E36F}"/>
  </w:font>
  <w:font w:name="仿宋_GB2312">
    <w:panose1 w:val="02010609030101010101"/>
    <w:charset w:val="86"/>
    <w:family w:val="modern"/>
    <w:pitch w:val="default"/>
    <w:sig w:usb0="00000001" w:usb1="080E0000" w:usb2="00000000" w:usb3="00000000" w:csb0="00040000" w:csb1="00000000"/>
    <w:embedRegular r:id="rId5" w:fontKey="{6BA3AB06-5EA5-4932-ACC3-CE67FADCE91A}"/>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金山简黑体">
    <w:altName w:val="黑体"/>
    <w:panose1 w:val="00000000000000000000"/>
    <w:charset w:val="86"/>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908AF">
    <w:pPr>
      <w:pStyle w:val="30"/>
      <w:jc w:val="center"/>
    </w:pPr>
    <w:r>
      <w:fldChar w:fldCharType="begin"/>
    </w:r>
    <w:r>
      <w:instrText xml:space="preserve"> PAGE   \* MERGEFORMAT </w:instrText>
    </w:r>
    <w:r>
      <w:fldChar w:fldCharType="separate"/>
    </w:r>
    <w:r>
      <w:rPr>
        <w:lang w:val="zh-CN"/>
      </w:rPr>
      <w:t>1</w:t>
    </w:r>
    <w:r>
      <w:rPr>
        <w:lang w:val="zh-CN"/>
      </w:rPr>
      <w:fldChar w:fldCharType="end"/>
    </w:r>
  </w:p>
  <w:p w14:paraId="51F5C4F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8F1E">
    <w:pPr>
      <w:pStyle w:val="30"/>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0461">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4B24EA">
                          <w:pPr>
                            <w:pStyle w:val="30"/>
                            <w:jc w:val="center"/>
                          </w:pPr>
                          <w:r>
                            <w:fldChar w:fldCharType="begin"/>
                          </w:r>
                          <w:r>
                            <w:instrText xml:space="preserve"> PAGE   \* MERGEFORMAT </w:instrText>
                          </w:r>
                          <w:r>
                            <w:fldChar w:fldCharType="separate"/>
                          </w:r>
                          <w:r>
                            <w:rPr>
                              <w:lang w:val="zh-CN"/>
                            </w:rPr>
                            <w:t>56</w:t>
                          </w:r>
                          <w:r>
                            <w:rPr>
                              <w:lang w:val="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Z8Gc8BAACq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7Ys&#10;VzdJod5jRYX3nkrj8BYG2ps5jhRMxIc22PQlSozypO/5qq8aIpPp0nq1XpeUkpSbHcIvHq77gPGd&#10;AsuSUfNAD5h1FacPGMfSuSR1c3CnjcmPaNxfAcIcIypvwXQ7MRknTlYc9sNEbw/Nmdj1tAk1d7T4&#10;nJn3joROSzMbYTb2s3H0QR+6vFWpO/o3x0gj5UlThxGWGCaHnjBzndYt7chjP1c9/GL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DlnwZzwEAAKoDAAAOAAAAAAAAAAEAIAAAAB4BAABkcnMv&#10;ZTJvRG9jLnhtbFBLBQYAAAAABgAGAFkBAABfBQAAAAA=&#10;">
              <v:fill on="f" focussize="0,0"/>
              <v:stroke on="f"/>
              <v:imagedata o:title=""/>
              <o:lock v:ext="edit" aspectratio="f"/>
              <v:textbox inset="0mm,0mm,0mm,0mm" style="mso-fit-shape-to-text:t;">
                <w:txbxContent>
                  <w:p w14:paraId="664B24EA">
                    <w:pPr>
                      <w:pStyle w:val="30"/>
                      <w:jc w:val="center"/>
                    </w:pPr>
                    <w:r>
                      <w:fldChar w:fldCharType="begin"/>
                    </w:r>
                    <w:r>
                      <w:instrText xml:space="preserve"> PAGE   \* MERGEFORMAT </w:instrText>
                    </w:r>
                    <w:r>
                      <w:fldChar w:fldCharType="separate"/>
                    </w:r>
                    <w:r>
                      <w:rPr>
                        <w:lang w:val="zh-CN"/>
                      </w:rPr>
                      <w:t>56</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08E9">
    <w:pPr>
      <w:pStyle w:val="30"/>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3A95AF">
                          <w:pPr>
                            <w:pStyle w:val="30"/>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K8Ek5zwEAAKoDAAAOAAAAAAAAAAEAIAAAAB4BAABkcnMv&#10;ZTJvRG9jLnhtbFBLBQYAAAAABgAGAFkBAABfBQAAAAA=&#10;">
              <v:fill on="f" focussize="0,0"/>
              <v:stroke on="f"/>
              <v:imagedata o:title=""/>
              <o:lock v:ext="edit" aspectratio="f"/>
              <v:textbox inset="0mm,0mm,0mm,0mm" style="mso-fit-shape-to-text:t;">
                <w:txbxContent>
                  <w:p w14:paraId="633A95AF">
                    <w:pPr>
                      <w:pStyle w:val="3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1158">
    <w:pPr>
      <w:pStyle w:val="18"/>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3612515</wp:posOffset>
              </wp:positionH>
              <wp:positionV relativeFrom="page">
                <wp:posOffset>9912350</wp:posOffset>
              </wp:positionV>
              <wp:extent cx="219075" cy="1454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9075" cy="145415"/>
                      </a:xfrm>
                      <a:prstGeom prst="rect">
                        <a:avLst/>
                      </a:prstGeom>
                      <a:noFill/>
                      <a:ln>
                        <a:noFill/>
                      </a:ln>
                      <a:effectLst/>
                    </wps:spPr>
                    <wps:txbx>
                      <w:txbxContent>
                        <w:p w14:paraId="0F240B2B">
                          <w:pPr>
                            <w:spacing w:before="12"/>
                            <w:ind w:left="40"/>
                            <w:rPr>
                              <w:sz w:val="17"/>
                            </w:rPr>
                          </w:pPr>
                          <w:r>
                            <w:fldChar w:fldCharType="begin"/>
                          </w:r>
                          <w:r>
                            <w:rPr>
                              <w:sz w:val="17"/>
                            </w:rPr>
                            <w:instrText xml:space="preserve"> PAGE </w:instrText>
                          </w:r>
                          <w:r>
                            <w:fldChar w:fldCharType="separate"/>
                          </w:r>
                          <w:r>
                            <w:rPr>
                              <w:sz w:val="17"/>
                            </w:rPr>
                            <w:t>92</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284.45pt;margin-top:780.5pt;height:11.45pt;width:17.25pt;mso-position-horizontal-relative:page;mso-position-vertical-relative:page;z-index:-251654144;mso-width-relative:page;mso-height-relative:page;" filled="f" stroked="f" coordsize="21600,21600" o:gfxdata="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Ov3Tv2gAAAA0BAAAPAAAAAAAAAAEAIAAAACIAAABkcnMv&#10;ZG93bnJldi54bWxQSwECFAAUAAAACACHTuJAb/MeasgBAACNAwAADgAAAAAAAAABACAAAAApAQAA&#10;ZHJzL2Uyb0RvYy54bWxQSwUGAAAAAAYABgBZAQAAYwUAAAAA&#10;">
              <v:fill on="f" focussize="0,0"/>
              <v:stroke on="f"/>
              <v:imagedata o:title=""/>
              <o:lock v:ext="edit" aspectratio="f"/>
              <v:textbox inset="0mm,0mm,0mm,0mm">
                <w:txbxContent>
                  <w:p w14:paraId="0F240B2B">
                    <w:pPr>
                      <w:spacing w:before="12"/>
                      <w:ind w:left="40"/>
                      <w:rPr>
                        <w:sz w:val="17"/>
                      </w:rPr>
                    </w:pPr>
                    <w:r>
                      <w:fldChar w:fldCharType="begin"/>
                    </w:r>
                    <w:r>
                      <w:rPr>
                        <w:sz w:val="17"/>
                      </w:rPr>
                      <w:instrText xml:space="preserve"> PAGE </w:instrText>
                    </w:r>
                    <w:r>
                      <w:fldChar w:fldCharType="separate"/>
                    </w:r>
                    <w:r>
                      <w:rPr>
                        <w:sz w:val="17"/>
                      </w:rPr>
                      <w:t>92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D5E1">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DC3FCD">
                          <w:pPr>
                            <w:pStyle w:val="30"/>
                            <w:jc w:val="center"/>
                          </w:pPr>
                          <w:r>
                            <w:fldChar w:fldCharType="begin"/>
                          </w:r>
                          <w:r>
                            <w:instrText xml:space="preserve"> PAGE   \* MERGEFORMAT </w:instrText>
                          </w:r>
                          <w:r>
                            <w:fldChar w:fldCharType="separate"/>
                          </w:r>
                          <w:r>
                            <w:rPr>
                              <w:lang w:val="zh-CN"/>
                            </w:rPr>
                            <w:t>108</w:t>
                          </w:r>
                          <w:r>
                            <w:rPr>
                              <w:lang w:val="zh-CN"/>
                            </w:rPr>
                            <w:fldChar w:fldCharType="end"/>
                          </w:r>
                        </w:p>
                        <w:p w14:paraId="0A7F934A">
                          <w:pPr>
                            <w:pStyle w:val="13"/>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7A68TOAQAAqgMAAA4AAAAAAAAAAQAgAAAAHgEAAGRycy9l&#10;Mm9Eb2MueG1sUEsFBgAAAAAGAAYAWQEAAF4FAAAAAA==&#10;">
              <v:fill on="f" focussize="0,0"/>
              <v:stroke on="f"/>
              <v:imagedata o:title=""/>
              <o:lock v:ext="edit" aspectratio="f"/>
              <v:textbox inset="0mm,0mm,0mm,0mm" style="mso-fit-shape-to-text:t;">
                <w:txbxContent>
                  <w:p w14:paraId="07DC3FCD">
                    <w:pPr>
                      <w:pStyle w:val="30"/>
                      <w:jc w:val="center"/>
                    </w:pPr>
                    <w:r>
                      <w:fldChar w:fldCharType="begin"/>
                    </w:r>
                    <w:r>
                      <w:instrText xml:space="preserve"> PAGE   \* MERGEFORMAT </w:instrText>
                    </w:r>
                    <w:r>
                      <w:fldChar w:fldCharType="separate"/>
                    </w:r>
                    <w:r>
                      <w:rPr>
                        <w:lang w:val="zh-CN"/>
                      </w:rPr>
                      <w:t>108</w:t>
                    </w:r>
                    <w:r>
                      <w:rPr>
                        <w:lang w:val="zh-CN"/>
                      </w:rPr>
                      <w:fldChar w:fldCharType="end"/>
                    </w:r>
                  </w:p>
                  <w:p w14:paraId="0A7F934A">
                    <w:pPr>
                      <w:pStyle w:val="13"/>
                    </w:pPr>
                  </w:p>
                </w:txbxContent>
              </v:textbox>
            </v:shape>
          </w:pict>
        </mc:Fallback>
      </mc:AlternateContent>
    </w:r>
  </w:p>
  <w:p w14:paraId="28A3500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BC77">
    <w:pPr>
      <w:pStyle w:val="30"/>
      <w:framePr w:wrap="around" w:vAnchor="text" w:hAnchor="margin" w:xAlign="center" w:y="1"/>
      <w:rPr>
        <w:rStyle w:val="51"/>
      </w:rPr>
    </w:pPr>
    <w:r>
      <w:fldChar w:fldCharType="begin"/>
    </w:r>
    <w:r>
      <w:rPr>
        <w:rStyle w:val="51"/>
      </w:rPr>
      <w:instrText xml:space="preserve">PAGE  </w:instrText>
    </w:r>
    <w:r>
      <w:fldChar w:fldCharType="end"/>
    </w:r>
  </w:p>
  <w:p w14:paraId="6CAD5508">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B44A">
    <w:pPr>
      <w:pStyle w:val="30"/>
      <w:framePr w:wrap="around" w:vAnchor="text" w:hAnchor="margin" w:xAlign="right" w:y="1"/>
      <w:rPr>
        <w:rStyle w:val="51"/>
      </w:rPr>
    </w:pPr>
    <w:r>
      <w:fldChar w:fldCharType="begin"/>
    </w:r>
    <w:r>
      <w:rPr>
        <w:rStyle w:val="51"/>
      </w:rPr>
      <w:instrText xml:space="preserve">PAGE  </w:instrText>
    </w:r>
    <w:r>
      <w:fldChar w:fldCharType="separate"/>
    </w:r>
    <w:r>
      <w:rPr>
        <w:rStyle w:val="51"/>
      </w:rPr>
      <w:t>122</w:t>
    </w:r>
    <w:r>
      <w:fldChar w:fldCharType="end"/>
    </w:r>
  </w:p>
  <w:p w14:paraId="47A972E1">
    <w:pPr>
      <w:pStyle w:val="30"/>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DF3B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678F">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B24D0">
    <w:pPr>
      <w:pStyle w:val="18"/>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914400</wp:posOffset>
              </wp:positionH>
              <wp:positionV relativeFrom="page">
                <wp:posOffset>718820</wp:posOffset>
              </wp:positionV>
              <wp:extent cx="571944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720715"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2pt;margin-top:56.6pt;height:0pt;width:450.35pt;mso-position-horizontal-relative:page;mso-position-vertical-relative:page;z-index:-251655168;mso-width-relative:page;mso-height-relative:page;" filled="f" stroked="t" coordsize="21600,21600" o:gfxdata="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lI+EtkAAAAMAQAADwAAAAAAAAABACAAAAAiAAAAZHJzL2Rvd25yZXYu&#10;eG1sUEsBAhQAFAAAAAgAh07iQMShshj6AQAA8gMAAA4AAAAAAAAAAQAgAAAAKAEAAGRycy9lMm9E&#10;b2MueG1sUEsFBgAAAAAGAAYAWQEAAJQFAAAAAA==&#10;">
              <v:fill on="f" focussize="0,0"/>
              <v:stroke weight="0.48pt" color="#000000" joinstyle="round"/>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EC7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60AFA"/>
    <w:multiLevelType w:val="multilevel"/>
    <w:tmpl w:val="82460AF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0B888DC"/>
    <w:multiLevelType w:val="multilevel"/>
    <w:tmpl w:val="90B888D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443E05E"/>
    <w:multiLevelType w:val="multilevel"/>
    <w:tmpl w:val="9443E05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A1768669"/>
    <w:multiLevelType w:val="multilevel"/>
    <w:tmpl w:val="A176866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AA3CE5F3"/>
    <w:multiLevelType w:val="multilevel"/>
    <w:tmpl w:val="AA3CE5F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B4F1D8D5"/>
    <w:multiLevelType w:val="multilevel"/>
    <w:tmpl w:val="B4F1D8D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B5051782"/>
    <w:multiLevelType w:val="multilevel"/>
    <w:tmpl w:val="B505178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C3B7CCB3"/>
    <w:multiLevelType w:val="multilevel"/>
    <w:tmpl w:val="C3B7CC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C52A7CCC"/>
    <w:multiLevelType w:val="multilevel"/>
    <w:tmpl w:val="C52A7CC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C9A42932"/>
    <w:multiLevelType w:val="multilevel"/>
    <w:tmpl w:val="C9A4293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CD1DB1AF"/>
    <w:multiLevelType w:val="multilevel"/>
    <w:tmpl w:val="CD1DB1A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CF89536F"/>
    <w:multiLevelType w:val="singleLevel"/>
    <w:tmpl w:val="CF89536F"/>
    <w:lvl w:ilvl="0" w:tentative="0">
      <w:start w:val="1"/>
      <w:numFmt w:val="decimal"/>
      <w:suff w:val="nothing"/>
      <w:lvlText w:val="%1．"/>
      <w:lvlJc w:val="left"/>
      <w:pPr>
        <w:ind w:left="0" w:firstLine="400"/>
      </w:pPr>
      <w:rPr>
        <w:rFonts w:hint="default"/>
      </w:rPr>
    </w:lvl>
  </w:abstractNum>
  <w:abstractNum w:abstractNumId="12">
    <w:nsid w:val="DA2B00D5"/>
    <w:multiLevelType w:val="multilevel"/>
    <w:tmpl w:val="DA2B00D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DC17B6E1"/>
    <w:multiLevelType w:val="multilevel"/>
    <w:tmpl w:val="DC17B6E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E4EC5056"/>
    <w:multiLevelType w:val="multilevel"/>
    <w:tmpl w:val="E4EC505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EEFDD97B"/>
    <w:multiLevelType w:val="singleLevel"/>
    <w:tmpl w:val="EEFDD97B"/>
    <w:lvl w:ilvl="0" w:tentative="0">
      <w:start w:val="1"/>
      <w:numFmt w:val="decimal"/>
      <w:suff w:val="nothing"/>
      <w:lvlText w:val="%1．"/>
      <w:lvlJc w:val="left"/>
      <w:pPr>
        <w:ind w:left="0" w:firstLine="400"/>
      </w:pPr>
      <w:rPr>
        <w:rFonts w:hint="default"/>
      </w:rPr>
    </w:lvl>
  </w:abstractNum>
  <w:abstractNum w:abstractNumId="16">
    <w:nsid w:val="F3DB35F3"/>
    <w:multiLevelType w:val="multilevel"/>
    <w:tmpl w:val="F3DB35F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F680CFB7"/>
    <w:multiLevelType w:val="singleLevel"/>
    <w:tmpl w:val="F680CFB7"/>
    <w:lvl w:ilvl="0" w:tentative="0">
      <w:start w:val="1"/>
      <w:numFmt w:val="decimal"/>
      <w:suff w:val="nothing"/>
      <w:lvlText w:val="%1．"/>
      <w:lvlJc w:val="left"/>
      <w:pPr>
        <w:ind w:left="0" w:firstLine="400"/>
      </w:pPr>
      <w:rPr>
        <w:rFonts w:hint="default"/>
      </w:rPr>
    </w:lvl>
  </w:abstractNum>
  <w:abstractNum w:abstractNumId="18">
    <w:nsid w:val="FA4B7917"/>
    <w:multiLevelType w:val="multilevel"/>
    <w:tmpl w:val="FA4B791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0">
    <w:nsid w:val="089B668C"/>
    <w:multiLevelType w:val="singleLevel"/>
    <w:tmpl w:val="089B668C"/>
    <w:lvl w:ilvl="0" w:tentative="0">
      <w:start w:val="1"/>
      <w:numFmt w:val="decimalEnclosedCircleChinese"/>
      <w:suff w:val="space"/>
      <w:lvlText w:val="%1"/>
      <w:lvlJc w:val="left"/>
      <w:rPr>
        <w:rFonts w:hint="eastAsia"/>
      </w:rPr>
    </w:lvl>
  </w:abstractNum>
  <w:abstractNum w:abstractNumId="21">
    <w:nsid w:val="0E7645A5"/>
    <w:multiLevelType w:val="multilevel"/>
    <w:tmpl w:val="0E7645A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2EBF4035"/>
    <w:multiLevelType w:val="singleLevel"/>
    <w:tmpl w:val="2EBF4035"/>
    <w:lvl w:ilvl="0" w:tentative="0">
      <w:start w:val="1"/>
      <w:numFmt w:val="decimal"/>
      <w:lvlText w:val="%1)"/>
      <w:lvlJc w:val="left"/>
      <w:pPr>
        <w:ind w:left="425" w:hanging="425"/>
      </w:pPr>
      <w:rPr>
        <w:rFonts w:hint="default"/>
      </w:rPr>
    </w:lvl>
  </w:abstractNum>
  <w:abstractNum w:abstractNumId="2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2"/>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4">
    <w:nsid w:val="42C72032"/>
    <w:multiLevelType w:val="singleLevel"/>
    <w:tmpl w:val="42C72032"/>
    <w:lvl w:ilvl="0" w:tentative="0">
      <w:start w:val="1"/>
      <w:numFmt w:val="decimal"/>
      <w:lvlText w:val="%1)"/>
      <w:lvlJc w:val="left"/>
      <w:pPr>
        <w:ind w:left="425" w:hanging="425"/>
      </w:pPr>
      <w:rPr>
        <w:rFonts w:hint="default"/>
      </w:rPr>
    </w:lvl>
  </w:abstractNum>
  <w:abstractNum w:abstractNumId="25">
    <w:nsid w:val="44E742F2"/>
    <w:multiLevelType w:val="singleLevel"/>
    <w:tmpl w:val="44E742F2"/>
    <w:lvl w:ilvl="0" w:tentative="0">
      <w:start w:val="3"/>
      <w:numFmt w:val="decimal"/>
      <w:lvlText w:val="%1."/>
      <w:lvlJc w:val="left"/>
      <w:pPr>
        <w:tabs>
          <w:tab w:val="left" w:pos="312"/>
        </w:tabs>
      </w:pPr>
    </w:lvl>
  </w:abstractNum>
  <w:abstractNum w:abstractNumId="26">
    <w:nsid w:val="46A995FB"/>
    <w:multiLevelType w:val="multilevel"/>
    <w:tmpl w:val="46A995F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7">
    <w:nsid w:val="4BE69315"/>
    <w:multiLevelType w:val="singleLevel"/>
    <w:tmpl w:val="4BE69315"/>
    <w:lvl w:ilvl="0" w:tentative="0">
      <w:start w:val="1"/>
      <w:numFmt w:val="decimal"/>
      <w:suff w:val="nothing"/>
      <w:lvlText w:val="%1．"/>
      <w:lvlJc w:val="left"/>
      <w:pPr>
        <w:ind w:left="0" w:firstLine="400"/>
      </w:pPr>
      <w:rPr>
        <w:rFonts w:hint="default"/>
      </w:rPr>
    </w:lvl>
  </w:abstractNum>
  <w:abstractNum w:abstractNumId="28">
    <w:nsid w:val="4E1FFD2C"/>
    <w:multiLevelType w:val="multilevel"/>
    <w:tmpl w:val="4E1FFD2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9">
    <w:nsid w:val="513D20B0"/>
    <w:multiLevelType w:val="singleLevel"/>
    <w:tmpl w:val="513D20B0"/>
    <w:lvl w:ilvl="0" w:tentative="0">
      <w:start w:val="1"/>
      <w:numFmt w:val="decimal"/>
      <w:suff w:val="nothing"/>
      <w:lvlText w:val="（%1）"/>
      <w:lvlJc w:val="left"/>
    </w:lvl>
  </w:abstractNum>
  <w:abstractNum w:abstractNumId="30">
    <w:nsid w:val="58208D4D"/>
    <w:multiLevelType w:val="singleLevel"/>
    <w:tmpl w:val="58208D4D"/>
    <w:lvl w:ilvl="0" w:tentative="0">
      <w:start w:val="1"/>
      <w:numFmt w:val="decimal"/>
      <w:lvlText w:val="%1)"/>
      <w:lvlJc w:val="left"/>
      <w:pPr>
        <w:ind w:left="425" w:hanging="425"/>
      </w:pPr>
      <w:rPr>
        <w:rFonts w:hint="default"/>
      </w:rPr>
    </w:lvl>
  </w:abstractNum>
  <w:abstractNum w:abstractNumId="31">
    <w:nsid w:val="5D94F3A3"/>
    <w:multiLevelType w:val="singleLevel"/>
    <w:tmpl w:val="5D94F3A3"/>
    <w:lvl w:ilvl="0" w:tentative="0">
      <w:start w:val="1"/>
      <w:numFmt w:val="decimal"/>
      <w:suff w:val="nothing"/>
      <w:lvlText w:val="%1．"/>
      <w:lvlJc w:val="left"/>
      <w:pPr>
        <w:ind w:left="0" w:firstLine="400"/>
      </w:pPr>
      <w:rPr>
        <w:rFonts w:hint="default"/>
      </w:rPr>
    </w:lvl>
  </w:abstractNum>
  <w:abstractNum w:abstractNumId="32">
    <w:nsid w:val="5E688955"/>
    <w:multiLevelType w:val="singleLevel"/>
    <w:tmpl w:val="5E688955"/>
    <w:lvl w:ilvl="0" w:tentative="0">
      <w:start w:val="1"/>
      <w:numFmt w:val="decimal"/>
      <w:suff w:val="nothing"/>
      <w:lvlText w:val="%1．"/>
      <w:lvlJc w:val="left"/>
      <w:pPr>
        <w:ind w:left="0" w:firstLine="400"/>
      </w:pPr>
      <w:rPr>
        <w:rFonts w:hint="default"/>
      </w:rPr>
    </w:lvl>
  </w:abstractNum>
  <w:abstractNum w:abstractNumId="33">
    <w:nsid w:val="66C883B5"/>
    <w:multiLevelType w:val="singleLevel"/>
    <w:tmpl w:val="66C883B5"/>
    <w:lvl w:ilvl="0" w:tentative="0">
      <w:start w:val="22"/>
      <w:numFmt w:val="decimal"/>
      <w:lvlText w:val="%1."/>
      <w:lvlJc w:val="left"/>
      <w:pPr>
        <w:tabs>
          <w:tab w:val="left" w:pos="312"/>
        </w:tabs>
      </w:pPr>
    </w:lvl>
  </w:abstractNum>
  <w:abstractNum w:abstractNumId="34">
    <w:nsid w:val="6877F739"/>
    <w:multiLevelType w:val="singleLevel"/>
    <w:tmpl w:val="6877F739"/>
    <w:lvl w:ilvl="0" w:tentative="0">
      <w:start w:val="1"/>
      <w:numFmt w:val="decimal"/>
      <w:suff w:val="nothing"/>
      <w:lvlText w:val="%1．"/>
      <w:lvlJc w:val="left"/>
      <w:pPr>
        <w:ind w:left="0" w:firstLine="400"/>
      </w:pPr>
      <w:rPr>
        <w:rFonts w:hint="default"/>
      </w:rPr>
    </w:lvl>
  </w:abstractNum>
  <w:abstractNum w:abstractNumId="35">
    <w:nsid w:val="6BF6040B"/>
    <w:multiLevelType w:val="multilevel"/>
    <w:tmpl w:val="6BF6040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6">
    <w:nsid w:val="6F473759"/>
    <w:multiLevelType w:val="singleLevel"/>
    <w:tmpl w:val="6F473759"/>
    <w:lvl w:ilvl="0" w:tentative="0">
      <w:start w:val="2"/>
      <w:numFmt w:val="decimal"/>
      <w:suff w:val="nothing"/>
      <w:lvlText w:val="（%1）"/>
      <w:lvlJc w:val="left"/>
    </w:lvl>
  </w:abstractNum>
  <w:abstractNum w:abstractNumId="37">
    <w:nsid w:val="71418514"/>
    <w:multiLevelType w:val="singleLevel"/>
    <w:tmpl w:val="71418514"/>
    <w:lvl w:ilvl="0" w:tentative="0">
      <w:start w:val="1"/>
      <w:numFmt w:val="decimal"/>
      <w:suff w:val="nothing"/>
      <w:lvlText w:val="%1．"/>
      <w:lvlJc w:val="left"/>
      <w:pPr>
        <w:ind w:left="0" w:firstLine="400"/>
      </w:pPr>
      <w:rPr>
        <w:rFonts w:hint="default"/>
      </w:rPr>
    </w:lvl>
  </w:abstractNum>
  <w:abstractNum w:abstractNumId="38">
    <w:nsid w:val="78CE3AA4"/>
    <w:multiLevelType w:val="singleLevel"/>
    <w:tmpl w:val="78CE3AA4"/>
    <w:lvl w:ilvl="0" w:tentative="0">
      <w:start w:val="1"/>
      <w:numFmt w:val="decimalEnclosedCircleChinese"/>
      <w:suff w:val="space"/>
      <w:lvlText w:val="%1"/>
      <w:lvlJc w:val="left"/>
      <w:pPr>
        <w:ind w:left="120" w:leftChars="0" w:firstLine="0" w:firstLineChars="0"/>
      </w:pPr>
      <w:rPr>
        <w:rFonts w:hint="eastAsia"/>
      </w:rPr>
    </w:lvl>
  </w:abstractNum>
  <w:abstractNum w:abstractNumId="39">
    <w:nsid w:val="7A9BB291"/>
    <w:multiLevelType w:val="singleLevel"/>
    <w:tmpl w:val="7A9BB291"/>
    <w:lvl w:ilvl="0" w:tentative="0">
      <w:start w:val="1"/>
      <w:numFmt w:val="decimal"/>
      <w:lvlText w:val="%1)"/>
      <w:lvlJc w:val="left"/>
      <w:pPr>
        <w:ind w:left="425" w:hanging="425"/>
      </w:pPr>
      <w:rPr>
        <w:rFonts w:hint="default"/>
      </w:rPr>
    </w:lvl>
  </w:abstractNum>
  <w:abstractNum w:abstractNumId="40">
    <w:nsid w:val="7F4B38CA"/>
    <w:multiLevelType w:val="multilevel"/>
    <w:tmpl w:val="7F4B38C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3"/>
  </w:num>
  <w:num w:numId="2">
    <w:abstractNumId w:val="19"/>
  </w:num>
  <w:num w:numId="3">
    <w:abstractNumId w:val="25"/>
  </w:num>
  <w:num w:numId="4">
    <w:abstractNumId w:val="29"/>
  </w:num>
  <w:num w:numId="5">
    <w:abstractNumId w:val="39"/>
  </w:num>
  <w:num w:numId="6">
    <w:abstractNumId w:val="24"/>
  </w:num>
  <w:num w:numId="7">
    <w:abstractNumId w:val="33"/>
  </w:num>
  <w:num w:numId="8">
    <w:abstractNumId w:val="36"/>
  </w:num>
  <w:num w:numId="9">
    <w:abstractNumId w:val="38"/>
  </w:num>
  <w:num w:numId="10">
    <w:abstractNumId w:val="20"/>
  </w:num>
  <w:num w:numId="11">
    <w:abstractNumId w:val="37"/>
  </w:num>
  <w:num w:numId="12">
    <w:abstractNumId w:val="15"/>
  </w:num>
  <w:num w:numId="13">
    <w:abstractNumId w:val="31"/>
  </w:num>
  <w:num w:numId="14">
    <w:abstractNumId w:val="27"/>
  </w:num>
  <w:num w:numId="15">
    <w:abstractNumId w:val="14"/>
  </w:num>
  <w:num w:numId="16">
    <w:abstractNumId w:val="9"/>
  </w:num>
  <w:num w:numId="17">
    <w:abstractNumId w:val="3"/>
  </w:num>
  <w:num w:numId="18">
    <w:abstractNumId w:val="5"/>
  </w:num>
  <w:num w:numId="19">
    <w:abstractNumId w:val="17"/>
  </w:num>
  <w:num w:numId="20">
    <w:abstractNumId w:val="32"/>
  </w:num>
  <w:num w:numId="21">
    <w:abstractNumId w:val="34"/>
  </w:num>
  <w:num w:numId="22">
    <w:abstractNumId w:val="11"/>
  </w:num>
  <w:num w:numId="23">
    <w:abstractNumId w:val="4"/>
  </w:num>
  <w:num w:numId="24">
    <w:abstractNumId w:val="13"/>
  </w:num>
  <w:num w:numId="25">
    <w:abstractNumId w:val="28"/>
  </w:num>
  <w:num w:numId="26">
    <w:abstractNumId w:val="16"/>
  </w:num>
  <w:num w:numId="27">
    <w:abstractNumId w:val="18"/>
  </w:num>
  <w:num w:numId="28">
    <w:abstractNumId w:val="8"/>
  </w:num>
  <w:num w:numId="29">
    <w:abstractNumId w:val="26"/>
  </w:num>
  <w:num w:numId="30">
    <w:abstractNumId w:val="0"/>
  </w:num>
  <w:num w:numId="31">
    <w:abstractNumId w:val="40"/>
  </w:num>
  <w:num w:numId="32">
    <w:abstractNumId w:val="6"/>
  </w:num>
  <w:num w:numId="33">
    <w:abstractNumId w:val="10"/>
  </w:num>
  <w:num w:numId="34">
    <w:abstractNumId w:val="35"/>
  </w:num>
  <w:num w:numId="35">
    <w:abstractNumId w:val="7"/>
  </w:num>
  <w:num w:numId="36">
    <w:abstractNumId w:val="2"/>
  </w:num>
  <w:num w:numId="37">
    <w:abstractNumId w:val="21"/>
  </w:num>
  <w:num w:numId="38">
    <w:abstractNumId w:val="22"/>
  </w:num>
  <w:num w:numId="39">
    <w:abstractNumId w:val="30"/>
  </w:num>
  <w:num w:numId="40">
    <w:abstractNumId w:val="1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NotTrackMoves/>
  <w:documentProtection w:edit="forms" w:formatting="1" w:enforcement="1" w:cryptProviderType="rsaFull" w:cryptAlgorithmClass="hash" w:cryptAlgorithmType="typeAny" w:cryptAlgorithmSid="4" w:cryptSpinCount="0" w:hash="TkcoSLxDJJ8LmfGrQjKgrIH8k4g=" w:salt="ArKGlS+Y2H8UoRKs1NIeFA=="/>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N2Q2N2Q5ZGNhOWFlMDAwOWM1NjNjZjA2MzQ0ZGUifQ=="/>
  </w:docVars>
  <w:rsids>
    <w:rsidRoot w:val="00F9008B"/>
    <w:rsid w:val="0000010C"/>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58C"/>
    <w:rsid w:val="00003B2B"/>
    <w:rsid w:val="00003BEF"/>
    <w:rsid w:val="00004130"/>
    <w:rsid w:val="0000431F"/>
    <w:rsid w:val="00004634"/>
    <w:rsid w:val="00004D8B"/>
    <w:rsid w:val="00005722"/>
    <w:rsid w:val="000059E2"/>
    <w:rsid w:val="0000683F"/>
    <w:rsid w:val="00006AE7"/>
    <w:rsid w:val="00006B9B"/>
    <w:rsid w:val="00006C35"/>
    <w:rsid w:val="000072B1"/>
    <w:rsid w:val="00007329"/>
    <w:rsid w:val="00007E28"/>
    <w:rsid w:val="00007E84"/>
    <w:rsid w:val="00010401"/>
    <w:rsid w:val="000105A1"/>
    <w:rsid w:val="000107AD"/>
    <w:rsid w:val="000107C8"/>
    <w:rsid w:val="00010835"/>
    <w:rsid w:val="00011842"/>
    <w:rsid w:val="00012137"/>
    <w:rsid w:val="000121FF"/>
    <w:rsid w:val="000125B8"/>
    <w:rsid w:val="00012632"/>
    <w:rsid w:val="00012692"/>
    <w:rsid w:val="00013446"/>
    <w:rsid w:val="00013509"/>
    <w:rsid w:val="000135BC"/>
    <w:rsid w:val="000135DC"/>
    <w:rsid w:val="000136D6"/>
    <w:rsid w:val="00014085"/>
    <w:rsid w:val="0001466A"/>
    <w:rsid w:val="00014DD9"/>
    <w:rsid w:val="000151E4"/>
    <w:rsid w:val="00015577"/>
    <w:rsid w:val="000156E4"/>
    <w:rsid w:val="000159A7"/>
    <w:rsid w:val="00015C0C"/>
    <w:rsid w:val="00015FB8"/>
    <w:rsid w:val="0001609F"/>
    <w:rsid w:val="0001635B"/>
    <w:rsid w:val="00016549"/>
    <w:rsid w:val="00016BF7"/>
    <w:rsid w:val="0001767E"/>
    <w:rsid w:val="0001776D"/>
    <w:rsid w:val="00017F31"/>
    <w:rsid w:val="00020607"/>
    <w:rsid w:val="00020A4B"/>
    <w:rsid w:val="0002103A"/>
    <w:rsid w:val="000217E4"/>
    <w:rsid w:val="00021852"/>
    <w:rsid w:val="00021A12"/>
    <w:rsid w:val="00022622"/>
    <w:rsid w:val="00023363"/>
    <w:rsid w:val="000235F3"/>
    <w:rsid w:val="00023644"/>
    <w:rsid w:val="00023680"/>
    <w:rsid w:val="00023712"/>
    <w:rsid w:val="00024E3C"/>
    <w:rsid w:val="00024EB0"/>
    <w:rsid w:val="0002646A"/>
    <w:rsid w:val="0002651D"/>
    <w:rsid w:val="00026CFD"/>
    <w:rsid w:val="00027A11"/>
    <w:rsid w:val="00027C8B"/>
    <w:rsid w:val="00027CD9"/>
    <w:rsid w:val="00030242"/>
    <w:rsid w:val="00030B06"/>
    <w:rsid w:val="0003183A"/>
    <w:rsid w:val="00031CDC"/>
    <w:rsid w:val="0003263B"/>
    <w:rsid w:val="0003282C"/>
    <w:rsid w:val="0003304A"/>
    <w:rsid w:val="0003317E"/>
    <w:rsid w:val="00033413"/>
    <w:rsid w:val="000337F3"/>
    <w:rsid w:val="00034C27"/>
    <w:rsid w:val="00034E2A"/>
    <w:rsid w:val="0003577F"/>
    <w:rsid w:val="00036466"/>
    <w:rsid w:val="0003675E"/>
    <w:rsid w:val="00037F87"/>
    <w:rsid w:val="00037FA2"/>
    <w:rsid w:val="000400D0"/>
    <w:rsid w:val="00040580"/>
    <w:rsid w:val="00041595"/>
    <w:rsid w:val="000425AC"/>
    <w:rsid w:val="00042F4A"/>
    <w:rsid w:val="00043A55"/>
    <w:rsid w:val="00043BE5"/>
    <w:rsid w:val="00044003"/>
    <w:rsid w:val="00044527"/>
    <w:rsid w:val="00044897"/>
    <w:rsid w:val="00044ACF"/>
    <w:rsid w:val="000454F4"/>
    <w:rsid w:val="00045D1E"/>
    <w:rsid w:val="00045E69"/>
    <w:rsid w:val="00045EF4"/>
    <w:rsid w:val="00046547"/>
    <w:rsid w:val="000466D7"/>
    <w:rsid w:val="00046753"/>
    <w:rsid w:val="00047254"/>
    <w:rsid w:val="0005022B"/>
    <w:rsid w:val="00050771"/>
    <w:rsid w:val="000513F3"/>
    <w:rsid w:val="00052287"/>
    <w:rsid w:val="000522E0"/>
    <w:rsid w:val="000532F4"/>
    <w:rsid w:val="00053641"/>
    <w:rsid w:val="000536AE"/>
    <w:rsid w:val="00054CD5"/>
    <w:rsid w:val="00054D03"/>
    <w:rsid w:val="000550AC"/>
    <w:rsid w:val="0005584D"/>
    <w:rsid w:val="00055CC3"/>
    <w:rsid w:val="00055CEE"/>
    <w:rsid w:val="000566FA"/>
    <w:rsid w:val="00056A2B"/>
    <w:rsid w:val="00056E37"/>
    <w:rsid w:val="00056EE2"/>
    <w:rsid w:val="00056FE2"/>
    <w:rsid w:val="000570FB"/>
    <w:rsid w:val="000575B8"/>
    <w:rsid w:val="00060131"/>
    <w:rsid w:val="0006026B"/>
    <w:rsid w:val="00060293"/>
    <w:rsid w:val="00060840"/>
    <w:rsid w:val="000614DA"/>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7002"/>
    <w:rsid w:val="0006716D"/>
    <w:rsid w:val="00067993"/>
    <w:rsid w:val="00067B1C"/>
    <w:rsid w:val="00067CED"/>
    <w:rsid w:val="00067F66"/>
    <w:rsid w:val="0007041A"/>
    <w:rsid w:val="00070634"/>
    <w:rsid w:val="00070883"/>
    <w:rsid w:val="00070C3F"/>
    <w:rsid w:val="0007102C"/>
    <w:rsid w:val="00071D68"/>
    <w:rsid w:val="00071FCE"/>
    <w:rsid w:val="00072661"/>
    <w:rsid w:val="00072852"/>
    <w:rsid w:val="00072CCC"/>
    <w:rsid w:val="00073549"/>
    <w:rsid w:val="00073666"/>
    <w:rsid w:val="0007483E"/>
    <w:rsid w:val="000751DB"/>
    <w:rsid w:val="0007578F"/>
    <w:rsid w:val="000759CB"/>
    <w:rsid w:val="00075E43"/>
    <w:rsid w:val="00077706"/>
    <w:rsid w:val="00077878"/>
    <w:rsid w:val="00077ADF"/>
    <w:rsid w:val="000804EF"/>
    <w:rsid w:val="00080558"/>
    <w:rsid w:val="00081230"/>
    <w:rsid w:val="000814E2"/>
    <w:rsid w:val="000818C9"/>
    <w:rsid w:val="00081CBB"/>
    <w:rsid w:val="00081D42"/>
    <w:rsid w:val="000822EF"/>
    <w:rsid w:val="0008241E"/>
    <w:rsid w:val="000826F5"/>
    <w:rsid w:val="00082729"/>
    <w:rsid w:val="000829B1"/>
    <w:rsid w:val="00082AAB"/>
    <w:rsid w:val="0008307D"/>
    <w:rsid w:val="000831E9"/>
    <w:rsid w:val="000833BB"/>
    <w:rsid w:val="0008452D"/>
    <w:rsid w:val="0008467B"/>
    <w:rsid w:val="000850FA"/>
    <w:rsid w:val="00085C12"/>
    <w:rsid w:val="00085DA0"/>
    <w:rsid w:val="00085F82"/>
    <w:rsid w:val="00086506"/>
    <w:rsid w:val="00086B6E"/>
    <w:rsid w:val="00086C64"/>
    <w:rsid w:val="00087292"/>
    <w:rsid w:val="0008781A"/>
    <w:rsid w:val="00087F39"/>
    <w:rsid w:val="00090951"/>
    <w:rsid w:val="00090A61"/>
    <w:rsid w:val="000918F5"/>
    <w:rsid w:val="000919B5"/>
    <w:rsid w:val="00091C1D"/>
    <w:rsid w:val="00091E08"/>
    <w:rsid w:val="000922D8"/>
    <w:rsid w:val="000932E7"/>
    <w:rsid w:val="0009333A"/>
    <w:rsid w:val="00093459"/>
    <w:rsid w:val="00093B8B"/>
    <w:rsid w:val="000951E7"/>
    <w:rsid w:val="00095B82"/>
    <w:rsid w:val="00096098"/>
    <w:rsid w:val="000961C5"/>
    <w:rsid w:val="000969D9"/>
    <w:rsid w:val="00096F37"/>
    <w:rsid w:val="00097FE5"/>
    <w:rsid w:val="000A0354"/>
    <w:rsid w:val="000A091F"/>
    <w:rsid w:val="000A0958"/>
    <w:rsid w:val="000A0FCC"/>
    <w:rsid w:val="000A1033"/>
    <w:rsid w:val="000A1CC8"/>
    <w:rsid w:val="000A2712"/>
    <w:rsid w:val="000A2877"/>
    <w:rsid w:val="000A355D"/>
    <w:rsid w:val="000A35DA"/>
    <w:rsid w:val="000A371E"/>
    <w:rsid w:val="000A3ABF"/>
    <w:rsid w:val="000A3DE5"/>
    <w:rsid w:val="000A4011"/>
    <w:rsid w:val="000A4596"/>
    <w:rsid w:val="000A45D5"/>
    <w:rsid w:val="000A490E"/>
    <w:rsid w:val="000A5B49"/>
    <w:rsid w:val="000A5FE5"/>
    <w:rsid w:val="000A7218"/>
    <w:rsid w:val="000A740A"/>
    <w:rsid w:val="000A7446"/>
    <w:rsid w:val="000A7A56"/>
    <w:rsid w:val="000A7CB6"/>
    <w:rsid w:val="000A7E7F"/>
    <w:rsid w:val="000A7ECD"/>
    <w:rsid w:val="000B0114"/>
    <w:rsid w:val="000B04DD"/>
    <w:rsid w:val="000B0F01"/>
    <w:rsid w:val="000B1346"/>
    <w:rsid w:val="000B1914"/>
    <w:rsid w:val="000B19DC"/>
    <w:rsid w:val="000B1CA2"/>
    <w:rsid w:val="000B202E"/>
    <w:rsid w:val="000B2293"/>
    <w:rsid w:val="000B24A4"/>
    <w:rsid w:val="000B255C"/>
    <w:rsid w:val="000B395E"/>
    <w:rsid w:val="000B39C3"/>
    <w:rsid w:val="000B3A00"/>
    <w:rsid w:val="000B3A3E"/>
    <w:rsid w:val="000B4840"/>
    <w:rsid w:val="000B4D79"/>
    <w:rsid w:val="000B5627"/>
    <w:rsid w:val="000B5671"/>
    <w:rsid w:val="000B63C3"/>
    <w:rsid w:val="000B6BF0"/>
    <w:rsid w:val="000B6CE8"/>
    <w:rsid w:val="000B7DAF"/>
    <w:rsid w:val="000C03D8"/>
    <w:rsid w:val="000C071C"/>
    <w:rsid w:val="000C0BB4"/>
    <w:rsid w:val="000C0BEE"/>
    <w:rsid w:val="000C1CB9"/>
    <w:rsid w:val="000C2159"/>
    <w:rsid w:val="000C21BB"/>
    <w:rsid w:val="000C289B"/>
    <w:rsid w:val="000C3F01"/>
    <w:rsid w:val="000C420D"/>
    <w:rsid w:val="000C4773"/>
    <w:rsid w:val="000C4944"/>
    <w:rsid w:val="000C4E24"/>
    <w:rsid w:val="000C556D"/>
    <w:rsid w:val="000C5C4A"/>
    <w:rsid w:val="000C5F01"/>
    <w:rsid w:val="000C63C4"/>
    <w:rsid w:val="000C66C1"/>
    <w:rsid w:val="000C6A1F"/>
    <w:rsid w:val="000C6F0B"/>
    <w:rsid w:val="000C6F32"/>
    <w:rsid w:val="000C778C"/>
    <w:rsid w:val="000C7833"/>
    <w:rsid w:val="000C7E1B"/>
    <w:rsid w:val="000C7E73"/>
    <w:rsid w:val="000D001B"/>
    <w:rsid w:val="000D0A45"/>
    <w:rsid w:val="000D136E"/>
    <w:rsid w:val="000D14AC"/>
    <w:rsid w:val="000D15BA"/>
    <w:rsid w:val="000D2C9B"/>
    <w:rsid w:val="000D35FD"/>
    <w:rsid w:val="000D3D2D"/>
    <w:rsid w:val="000D3D99"/>
    <w:rsid w:val="000D4653"/>
    <w:rsid w:val="000D4696"/>
    <w:rsid w:val="000D4817"/>
    <w:rsid w:val="000D4FB9"/>
    <w:rsid w:val="000D54B4"/>
    <w:rsid w:val="000D584B"/>
    <w:rsid w:val="000D5F55"/>
    <w:rsid w:val="000D6372"/>
    <w:rsid w:val="000D66F2"/>
    <w:rsid w:val="000D6979"/>
    <w:rsid w:val="000D6CE7"/>
    <w:rsid w:val="000D6E38"/>
    <w:rsid w:val="000D6E63"/>
    <w:rsid w:val="000D711C"/>
    <w:rsid w:val="000D7B6E"/>
    <w:rsid w:val="000E0644"/>
    <w:rsid w:val="000E076D"/>
    <w:rsid w:val="000E187C"/>
    <w:rsid w:val="000E1B28"/>
    <w:rsid w:val="000E1E8D"/>
    <w:rsid w:val="000E1EBC"/>
    <w:rsid w:val="000E2173"/>
    <w:rsid w:val="000E220B"/>
    <w:rsid w:val="000E2A50"/>
    <w:rsid w:val="000E30F2"/>
    <w:rsid w:val="000E316B"/>
    <w:rsid w:val="000E3330"/>
    <w:rsid w:val="000E3D08"/>
    <w:rsid w:val="000E4728"/>
    <w:rsid w:val="000E4D1F"/>
    <w:rsid w:val="000E5658"/>
    <w:rsid w:val="000E5698"/>
    <w:rsid w:val="000E5723"/>
    <w:rsid w:val="000E581B"/>
    <w:rsid w:val="000E65D2"/>
    <w:rsid w:val="000E6919"/>
    <w:rsid w:val="000E6B1B"/>
    <w:rsid w:val="000E6F0C"/>
    <w:rsid w:val="000E732D"/>
    <w:rsid w:val="000F07ED"/>
    <w:rsid w:val="000F09C7"/>
    <w:rsid w:val="000F0C01"/>
    <w:rsid w:val="000F0CF2"/>
    <w:rsid w:val="000F0DA3"/>
    <w:rsid w:val="000F1A32"/>
    <w:rsid w:val="000F1CC2"/>
    <w:rsid w:val="000F1D15"/>
    <w:rsid w:val="000F270A"/>
    <w:rsid w:val="000F34C8"/>
    <w:rsid w:val="000F3731"/>
    <w:rsid w:val="000F38BC"/>
    <w:rsid w:val="000F3E2A"/>
    <w:rsid w:val="000F4D26"/>
    <w:rsid w:val="000F5639"/>
    <w:rsid w:val="000F58A4"/>
    <w:rsid w:val="000F6833"/>
    <w:rsid w:val="000F6A24"/>
    <w:rsid w:val="000F7616"/>
    <w:rsid w:val="000F7DE9"/>
    <w:rsid w:val="000F7F7A"/>
    <w:rsid w:val="001002F4"/>
    <w:rsid w:val="001011FC"/>
    <w:rsid w:val="0010165F"/>
    <w:rsid w:val="001018C1"/>
    <w:rsid w:val="00101CDE"/>
    <w:rsid w:val="00101E7C"/>
    <w:rsid w:val="001023DC"/>
    <w:rsid w:val="0010256D"/>
    <w:rsid w:val="00102572"/>
    <w:rsid w:val="00102946"/>
    <w:rsid w:val="00102FBF"/>
    <w:rsid w:val="0010333D"/>
    <w:rsid w:val="0010372A"/>
    <w:rsid w:val="00103F41"/>
    <w:rsid w:val="00104F34"/>
    <w:rsid w:val="001053C5"/>
    <w:rsid w:val="001055AD"/>
    <w:rsid w:val="00105C14"/>
    <w:rsid w:val="001065A3"/>
    <w:rsid w:val="0010691D"/>
    <w:rsid w:val="00106B33"/>
    <w:rsid w:val="00106E69"/>
    <w:rsid w:val="00110329"/>
    <w:rsid w:val="00110AC5"/>
    <w:rsid w:val="00110F0B"/>
    <w:rsid w:val="0011108B"/>
    <w:rsid w:val="00111136"/>
    <w:rsid w:val="00111164"/>
    <w:rsid w:val="00111761"/>
    <w:rsid w:val="00112164"/>
    <w:rsid w:val="0011241F"/>
    <w:rsid w:val="001128BF"/>
    <w:rsid w:val="00112D09"/>
    <w:rsid w:val="00112F03"/>
    <w:rsid w:val="00112F38"/>
    <w:rsid w:val="00113821"/>
    <w:rsid w:val="00114058"/>
    <w:rsid w:val="00114342"/>
    <w:rsid w:val="0011449E"/>
    <w:rsid w:val="001153EF"/>
    <w:rsid w:val="00115D55"/>
    <w:rsid w:val="00115E45"/>
    <w:rsid w:val="00115F85"/>
    <w:rsid w:val="001165CC"/>
    <w:rsid w:val="0011688E"/>
    <w:rsid w:val="00116ACD"/>
    <w:rsid w:val="00117B7D"/>
    <w:rsid w:val="001205A8"/>
    <w:rsid w:val="0012180B"/>
    <w:rsid w:val="00122A6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59A"/>
    <w:rsid w:val="0013160D"/>
    <w:rsid w:val="00131888"/>
    <w:rsid w:val="00131F17"/>
    <w:rsid w:val="001323F9"/>
    <w:rsid w:val="0013251F"/>
    <w:rsid w:val="00132FA3"/>
    <w:rsid w:val="00133088"/>
    <w:rsid w:val="00133346"/>
    <w:rsid w:val="001335B1"/>
    <w:rsid w:val="00133B4E"/>
    <w:rsid w:val="0013405D"/>
    <w:rsid w:val="001346AF"/>
    <w:rsid w:val="00134990"/>
    <w:rsid w:val="001354D1"/>
    <w:rsid w:val="00135A0A"/>
    <w:rsid w:val="00135BB9"/>
    <w:rsid w:val="0013621D"/>
    <w:rsid w:val="00136354"/>
    <w:rsid w:val="00136674"/>
    <w:rsid w:val="00136B0E"/>
    <w:rsid w:val="00136C3B"/>
    <w:rsid w:val="00137080"/>
    <w:rsid w:val="00137103"/>
    <w:rsid w:val="001376AB"/>
    <w:rsid w:val="0013777C"/>
    <w:rsid w:val="00137D5F"/>
    <w:rsid w:val="00140082"/>
    <w:rsid w:val="00140175"/>
    <w:rsid w:val="00140757"/>
    <w:rsid w:val="00140D07"/>
    <w:rsid w:val="00141A3A"/>
    <w:rsid w:val="001422F4"/>
    <w:rsid w:val="001423FA"/>
    <w:rsid w:val="001427B5"/>
    <w:rsid w:val="001428CF"/>
    <w:rsid w:val="00142D0C"/>
    <w:rsid w:val="00142E3C"/>
    <w:rsid w:val="00143EEB"/>
    <w:rsid w:val="00144013"/>
    <w:rsid w:val="001441BB"/>
    <w:rsid w:val="001454B8"/>
    <w:rsid w:val="00145A17"/>
    <w:rsid w:val="00145BBE"/>
    <w:rsid w:val="00145D7F"/>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5099"/>
    <w:rsid w:val="001553F5"/>
    <w:rsid w:val="0015589C"/>
    <w:rsid w:val="00155C85"/>
    <w:rsid w:val="00156A6C"/>
    <w:rsid w:val="00156B10"/>
    <w:rsid w:val="00157823"/>
    <w:rsid w:val="0015790D"/>
    <w:rsid w:val="00157C5E"/>
    <w:rsid w:val="0016015A"/>
    <w:rsid w:val="0016020E"/>
    <w:rsid w:val="00160503"/>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3F6C"/>
    <w:rsid w:val="0016417B"/>
    <w:rsid w:val="0016470E"/>
    <w:rsid w:val="00164E0A"/>
    <w:rsid w:val="001652D7"/>
    <w:rsid w:val="00165A5F"/>
    <w:rsid w:val="00166223"/>
    <w:rsid w:val="00166856"/>
    <w:rsid w:val="001670D8"/>
    <w:rsid w:val="0016793E"/>
    <w:rsid w:val="00167D4D"/>
    <w:rsid w:val="00170635"/>
    <w:rsid w:val="001706FA"/>
    <w:rsid w:val="0017070D"/>
    <w:rsid w:val="00170837"/>
    <w:rsid w:val="001709C1"/>
    <w:rsid w:val="00171035"/>
    <w:rsid w:val="001713B7"/>
    <w:rsid w:val="0017166A"/>
    <w:rsid w:val="00171ADB"/>
    <w:rsid w:val="00172029"/>
    <w:rsid w:val="00172740"/>
    <w:rsid w:val="001733A4"/>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77D48"/>
    <w:rsid w:val="00181178"/>
    <w:rsid w:val="0018119E"/>
    <w:rsid w:val="00181EEF"/>
    <w:rsid w:val="00181F3E"/>
    <w:rsid w:val="00182FE0"/>
    <w:rsid w:val="00183911"/>
    <w:rsid w:val="001845FB"/>
    <w:rsid w:val="00185490"/>
    <w:rsid w:val="00185DA6"/>
    <w:rsid w:val="00185F64"/>
    <w:rsid w:val="00186096"/>
    <w:rsid w:val="0018772E"/>
    <w:rsid w:val="00187A94"/>
    <w:rsid w:val="0019029E"/>
    <w:rsid w:val="00190804"/>
    <w:rsid w:val="0019088F"/>
    <w:rsid w:val="00190C51"/>
    <w:rsid w:val="00191537"/>
    <w:rsid w:val="001931E4"/>
    <w:rsid w:val="00193952"/>
    <w:rsid w:val="00193ACC"/>
    <w:rsid w:val="00193BFE"/>
    <w:rsid w:val="00195322"/>
    <w:rsid w:val="0019560E"/>
    <w:rsid w:val="001958E3"/>
    <w:rsid w:val="0019601B"/>
    <w:rsid w:val="00196048"/>
    <w:rsid w:val="00196A82"/>
    <w:rsid w:val="00196F24"/>
    <w:rsid w:val="0019769B"/>
    <w:rsid w:val="00197984"/>
    <w:rsid w:val="00197FFE"/>
    <w:rsid w:val="001A0D25"/>
    <w:rsid w:val="001A1570"/>
    <w:rsid w:val="001A1917"/>
    <w:rsid w:val="001A1C64"/>
    <w:rsid w:val="001A1E7F"/>
    <w:rsid w:val="001A2918"/>
    <w:rsid w:val="001A2D02"/>
    <w:rsid w:val="001A2DFE"/>
    <w:rsid w:val="001A3076"/>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041A"/>
    <w:rsid w:val="001B2104"/>
    <w:rsid w:val="001B2279"/>
    <w:rsid w:val="001B2729"/>
    <w:rsid w:val="001B2866"/>
    <w:rsid w:val="001B2881"/>
    <w:rsid w:val="001B3675"/>
    <w:rsid w:val="001B37C8"/>
    <w:rsid w:val="001B4B2C"/>
    <w:rsid w:val="001B4CB0"/>
    <w:rsid w:val="001B4F10"/>
    <w:rsid w:val="001B5154"/>
    <w:rsid w:val="001B65D7"/>
    <w:rsid w:val="001B6C3F"/>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55"/>
    <w:rsid w:val="001C6B5C"/>
    <w:rsid w:val="001C6E59"/>
    <w:rsid w:val="001C7155"/>
    <w:rsid w:val="001C7E48"/>
    <w:rsid w:val="001D039B"/>
    <w:rsid w:val="001D1258"/>
    <w:rsid w:val="001D1AB8"/>
    <w:rsid w:val="001D286F"/>
    <w:rsid w:val="001D2C94"/>
    <w:rsid w:val="001D33D9"/>
    <w:rsid w:val="001D36F6"/>
    <w:rsid w:val="001D4303"/>
    <w:rsid w:val="001D45E5"/>
    <w:rsid w:val="001D461A"/>
    <w:rsid w:val="001D4A9D"/>
    <w:rsid w:val="001D4AAD"/>
    <w:rsid w:val="001D5AFA"/>
    <w:rsid w:val="001D784A"/>
    <w:rsid w:val="001E04A4"/>
    <w:rsid w:val="001E04EE"/>
    <w:rsid w:val="001E07C5"/>
    <w:rsid w:val="001E176D"/>
    <w:rsid w:val="001E1A90"/>
    <w:rsid w:val="001E1BCE"/>
    <w:rsid w:val="001E1E05"/>
    <w:rsid w:val="001E2086"/>
    <w:rsid w:val="001E339F"/>
    <w:rsid w:val="001E3629"/>
    <w:rsid w:val="001E40F0"/>
    <w:rsid w:val="001E4172"/>
    <w:rsid w:val="001E5490"/>
    <w:rsid w:val="001E54BB"/>
    <w:rsid w:val="001E5730"/>
    <w:rsid w:val="001E5E2E"/>
    <w:rsid w:val="001E5F1A"/>
    <w:rsid w:val="001E6352"/>
    <w:rsid w:val="001E70AD"/>
    <w:rsid w:val="001E7237"/>
    <w:rsid w:val="001E7AF6"/>
    <w:rsid w:val="001F01B8"/>
    <w:rsid w:val="001F0FC3"/>
    <w:rsid w:val="001F1188"/>
    <w:rsid w:val="001F1989"/>
    <w:rsid w:val="001F1B8D"/>
    <w:rsid w:val="001F274F"/>
    <w:rsid w:val="001F289C"/>
    <w:rsid w:val="001F2BF9"/>
    <w:rsid w:val="001F3AF2"/>
    <w:rsid w:val="001F41B8"/>
    <w:rsid w:val="001F5E7E"/>
    <w:rsid w:val="001F6008"/>
    <w:rsid w:val="001F641B"/>
    <w:rsid w:val="001F6D4D"/>
    <w:rsid w:val="001F6FF3"/>
    <w:rsid w:val="002009A3"/>
    <w:rsid w:val="0020130D"/>
    <w:rsid w:val="00201D06"/>
    <w:rsid w:val="00201E9F"/>
    <w:rsid w:val="00202F25"/>
    <w:rsid w:val="002035B3"/>
    <w:rsid w:val="00203929"/>
    <w:rsid w:val="00203CD6"/>
    <w:rsid w:val="00203F0A"/>
    <w:rsid w:val="00203F2C"/>
    <w:rsid w:val="00204460"/>
    <w:rsid w:val="002051EA"/>
    <w:rsid w:val="00205CBC"/>
    <w:rsid w:val="00205E9E"/>
    <w:rsid w:val="00206259"/>
    <w:rsid w:val="002074B7"/>
    <w:rsid w:val="0020758D"/>
    <w:rsid w:val="00207C7B"/>
    <w:rsid w:val="00210E62"/>
    <w:rsid w:val="00211470"/>
    <w:rsid w:val="00211922"/>
    <w:rsid w:val="00211B8D"/>
    <w:rsid w:val="0021213A"/>
    <w:rsid w:val="0021265F"/>
    <w:rsid w:val="00213817"/>
    <w:rsid w:val="002142C9"/>
    <w:rsid w:val="00214428"/>
    <w:rsid w:val="002145EB"/>
    <w:rsid w:val="00215834"/>
    <w:rsid w:val="00215CC2"/>
    <w:rsid w:val="00215ED8"/>
    <w:rsid w:val="00217700"/>
    <w:rsid w:val="002177E2"/>
    <w:rsid w:val="002205F3"/>
    <w:rsid w:val="0022085B"/>
    <w:rsid w:val="00220E53"/>
    <w:rsid w:val="0022176C"/>
    <w:rsid w:val="002225D1"/>
    <w:rsid w:val="00222E32"/>
    <w:rsid w:val="002230FA"/>
    <w:rsid w:val="00223DF2"/>
    <w:rsid w:val="00224737"/>
    <w:rsid w:val="00224C0C"/>
    <w:rsid w:val="002256C2"/>
    <w:rsid w:val="002256D0"/>
    <w:rsid w:val="00225C8E"/>
    <w:rsid w:val="00226428"/>
    <w:rsid w:val="002265A9"/>
    <w:rsid w:val="002266CB"/>
    <w:rsid w:val="00227052"/>
    <w:rsid w:val="002272D5"/>
    <w:rsid w:val="0022738E"/>
    <w:rsid w:val="00227906"/>
    <w:rsid w:val="00227934"/>
    <w:rsid w:val="00227E21"/>
    <w:rsid w:val="00230178"/>
    <w:rsid w:val="00230C65"/>
    <w:rsid w:val="00230FEC"/>
    <w:rsid w:val="00231D05"/>
    <w:rsid w:val="002336E2"/>
    <w:rsid w:val="00233AC2"/>
    <w:rsid w:val="00233BAF"/>
    <w:rsid w:val="00235420"/>
    <w:rsid w:val="00235C49"/>
    <w:rsid w:val="00235DAA"/>
    <w:rsid w:val="002373D3"/>
    <w:rsid w:val="0024065B"/>
    <w:rsid w:val="002409A6"/>
    <w:rsid w:val="00240EA5"/>
    <w:rsid w:val="00241132"/>
    <w:rsid w:val="00241205"/>
    <w:rsid w:val="002418C5"/>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A1F"/>
    <w:rsid w:val="00250ADA"/>
    <w:rsid w:val="00250F1D"/>
    <w:rsid w:val="00251FF1"/>
    <w:rsid w:val="002520BA"/>
    <w:rsid w:val="00252234"/>
    <w:rsid w:val="002527AF"/>
    <w:rsid w:val="002528E3"/>
    <w:rsid w:val="00252944"/>
    <w:rsid w:val="00252D55"/>
    <w:rsid w:val="00252D82"/>
    <w:rsid w:val="00253006"/>
    <w:rsid w:val="002533F5"/>
    <w:rsid w:val="002535CF"/>
    <w:rsid w:val="00253C60"/>
    <w:rsid w:val="00253F21"/>
    <w:rsid w:val="0025429D"/>
    <w:rsid w:val="002549E9"/>
    <w:rsid w:val="00254B21"/>
    <w:rsid w:val="00254FF6"/>
    <w:rsid w:val="00255099"/>
    <w:rsid w:val="002555C6"/>
    <w:rsid w:val="002555C7"/>
    <w:rsid w:val="00255E14"/>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91B"/>
    <w:rsid w:val="00264A36"/>
    <w:rsid w:val="00264B06"/>
    <w:rsid w:val="00264C1B"/>
    <w:rsid w:val="00265E2E"/>
    <w:rsid w:val="002661AB"/>
    <w:rsid w:val="0026742B"/>
    <w:rsid w:val="002674FE"/>
    <w:rsid w:val="00270748"/>
    <w:rsid w:val="0027117F"/>
    <w:rsid w:val="002712DC"/>
    <w:rsid w:val="00271764"/>
    <w:rsid w:val="00271875"/>
    <w:rsid w:val="002718FF"/>
    <w:rsid w:val="00271955"/>
    <w:rsid w:val="00272278"/>
    <w:rsid w:val="00272432"/>
    <w:rsid w:val="00272633"/>
    <w:rsid w:val="00272FBF"/>
    <w:rsid w:val="00273A10"/>
    <w:rsid w:val="00273A58"/>
    <w:rsid w:val="00274B16"/>
    <w:rsid w:val="00274CAB"/>
    <w:rsid w:val="00274E8A"/>
    <w:rsid w:val="002754CD"/>
    <w:rsid w:val="00275FCE"/>
    <w:rsid w:val="002766B8"/>
    <w:rsid w:val="0027680F"/>
    <w:rsid w:val="00281006"/>
    <w:rsid w:val="002815B1"/>
    <w:rsid w:val="00281C1F"/>
    <w:rsid w:val="00281EEA"/>
    <w:rsid w:val="00281F88"/>
    <w:rsid w:val="0028288D"/>
    <w:rsid w:val="002829B7"/>
    <w:rsid w:val="00282B82"/>
    <w:rsid w:val="00282C74"/>
    <w:rsid w:val="00282E5B"/>
    <w:rsid w:val="00283995"/>
    <w:rsid w:val="00283B11"/>
    <w:rsid w:val="002841A9"/>
    <w:rsid w:val="00284313"/>
    <w:rsid w:val="002847BB"/>
    <w:rsid w:val="002848AD"/>
    <w:rsid w:val="00285154"/>
    <w:rsid w:val="00285BF2"/>
    <w:rsid w:val="00285C78"/>
    <w:rsid w:val="002863CE"/>
    <w:rsid w:val="00291035"/>
    <w:rsid w:val="00291492"/>
    <w:rsid w:val="00291527"/>
    <w:rsid w:val="0029199A"/>
    <w:rsid w:val="00291BBE"/>
    <w:rsid w:val="00291FEB"/>
    <w:rsid w:val="00292A35"/>
    <w:rsid w:val="00293146"/>
    <w:rsid w:val="0029361E"/>
    <w:rsid w:val="00293D68"/>
    <w:rsid w:val="00294352"/>
    <w:rsid w:val="002944A0"/>
    <w:rsid w:val="002946E4"/>
    <w:rsid w:val="0029495C"/>
    <w:rsid w:val="002957D9"/>
    <w:rsid w:val="00295B52"/>
    <w:rsid w:val="00296024"/>
    <w:rsid w:val="00296293"/>
    <w:rsid w:val="00296AF7"/>
    <w:rsid w:val="002972F9"/>
    <w:rsid w:val="002977CA"/>
    <w:rsid w:val="00297ED7"/>
    <w:rsid w:val="002A0007"/>
    <w:rsid w:val="002A03AA"/>
    <w:rsid w:val="002A056D"/>
    <w:rsid w:val="002A07FE"/>
    <w:rsid w:val="002A094D"/>
    <w:rsid w:val="002A0CAF"/>
    <w:rsid w:val="002A1565"/>
    <w:rsid w:val="002A16A9"/>
    <w:rsid w:val="002A2941"/>
    <w:rsid w:val="002A2DC4"/>
    <w:rsid w:val="002A3E69"/>
    <w:rsid w:val="002A44F9"/>
    <w:rsid w:val="002A4620"/>
    <w:rsid w:val="002A49EF"/>
    <w:rsid w:val="002A4B8B"/>
    <w:rsid w:val="002A5107"/>
    <w:rsid w:val="002A535E"/>
    <w:rsid w:val="002A6406"/>
    <w:rsid w:val="002A6CF0"/>
    <w:rsid w:val="002A6FFC"/>
    <w:rsid w:val="002A7010"/>
    <w:rsid w:val="002A70BA"/>
    <w:rsid w:val="002A7A57"/>
    <w:rsid w:val="002A7BB2"/>
    <w:rsid w:val="002A7DCB"/>
    <w:rsid w:val="002B0B53"/>
    <w:rsid w:val="002B0D6D"/>
    <w:rsid w:val="002B1617"/>
    <w:rsid w:val="002B1D11"/>
    <w:rsid w:val="002B273B"/>
    <w:rsid w:val="002B29AA"/>
    <w:rsid w:val="002B2A7E"/>
    <w:rsid w:val="002B2F1B"/>
    <w:rsid w:val="002B553F"/>
    <w:rsid w:val="002B5AFB"/>
    <w:rsid w:val="002B6320"/>
    <w:rsid w:val="002B66AC"/>
    <w:rsid w:val="002B6852"/>
    <w:rsid w:val="002B77E1"/>
    <w:rsid w:val="002C0714"/>
    <w:rsid w:val="002C0A96"/>
    <w:rsid w:val="002C10A8"/>
    <w:rsid w:val="002C1BF4"/>
    <w:rsid w:val="002C1E0D"/>
    <w:rsid w:val="002C2266"/>
    <w:rsid w:val="002C2309"/>
    <w:rsid w:val="002C28EB"/>
    <w:rsid w:val="002C3265"/>
    <w:rsid w:val="002C3AED"/>
    <w:rsid w:val="002C3E56"/>
    <w:rsid w:val="002C414C"/>
    <w:rsid w:val="002C4C2F"/>
    <w:rsid w:val="002C5776"/>
    <w:rsid w:val="002C5EED"/>
    <w:rsid w:val="002C66DE"/>
    <w:rsid w:val="002C7193"/>
    <w:rsid w:val="002C7699"/>
    <w:rsid w:val="002C7A49"/>
    <w:rsid w:val="002D0128"/>
    <w:rsid w:val="002D0E85"/>
    <w:rsid w:val="002D0FA7"/>
    <w:rsid w:val="002D1057"/>
    <w:rsid w:val="002D12FB"/>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E0026"/>
    <w:rsid w:val="002E08E8"/>
    <w:rsid w:val="002E0918"/>
    <w:rsid w:val="002E0BAA"/>
    <w:rsid w:val="002E0D96"/>
    <w:rsid w:val="002E0EA5"/>
    <w:rsid w:val="002E1E19"/>
    <w:rsid w:val="002E1FE4"/>
    <w:rsid w:val="002E283F"/>
    <w:rsid w:val="002E2854"/>
    <w:rsid w:val="002E2E74"/>
    <w:rsid w:val="002E2F43"/>
    <w:rsid w:val="002E32D2"/>
    <w:rsid w:val="002E361B"/>
    <w:rsid w:val="002E37AB"/>
    <w:rsid w:val="002E3A80"/>
    <w:rsid w:val="002E41C7"/>
    <w:rsid w:val="002E51DF"/>
    <w:rsid w:val="002E57B9"/>
    <w:rsid w:val="002E6127"/>
    <w:rsid w:val="002E6885"/>
    <w:rsid w:val="002E72E4"/>
    <w:rsid w:val="002E739D"/>
    <w:rsid w:val="002E7E74"/>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A2B"/>
    <w:rsid w:val="002F724B"/>
    <w:rsid w:val="002F72BA"/>
    <w:rsid w:val="00300267"/>
    <w:rsid w:val="003004D2"/>
    <w:rsid w:val="00300C88"/>
    <w:rsid w:val="00300D6B"/>
    <w:rsid w:val="0030123A"/>
    <w:rsid w:val="00301380"/>
    <w:rsid w:val="00301E89"/>
    <w:rsid w:val="00302052"/>
    <w:rsid w:val="00302142"/>
    <w:rsid w:val="00302169"/>
    <w:rsid w:val="00302612"/>
    <w:rsid w:val="00303254"/>
    <w:rsid w:val="003034C9"/>
    <w:rsid w:val="003044D9"/>
    <w:rsid w:val="00304D8A"/>
    <w:rsid w:val="00305216"/>
    <w:rsid w:val="0030553B"/>
    <w:rsid w:val="0030555B"/>
    <w:rsid w:val="003061F5"/>
    <w:rsid w:val="00306D27"/>
    <w:rsid w:val="0030739C"/>
    <w:rsid w:val="00307707"/>
    <w:rsid w:val="003077E4"/>
    <w:rsid w:val="00310C51"/>
    <w:rsid w:val="00310D51"/>
    <w:rsid w:val="00311B36"/>
    <w:rsid w:val="00311C92"/>
    <w:rsid w:val="003133AE"/>
    <w:rsid w:val="0031369D"/>
    <w:rsid w:val="0031371B"/>
    <w:rsid w:val="00314156"/>
    <w:rsid w:val="0031535B"/>
    <w:rsid w:val="003160E7"/>
    <w:rsid w:val="003170F4"/>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96B"/>
    <w:rsid w:val="00335A93"/>
    <w:rsid w:val="0033650E"/>
    <w:rsid w:val="00336907"/>
    <w:rsid w:val="003369DF"/>
    <w:rsid w:val="00336C71"/>
    <w:rsid w:val="00336D96"/>
    <w:rsid w:val="00336DFC"/>
    <w:rsid w:val="00337230"/>
    <w:rsid w:val="003377D0"/>
    <w:rsid w:val="00337D75"/>
    <w:rsid w:val="00340020"/>
    <w:rsid w:val="00341162"/>
    <w:rsid w:val="00341866"/>
    <w:rsid w:val="00341DAF"/>
    <w:rsid w:val="00342181"/>
    <w:rsid w:val="00342838"/>
    <w:rsid w:val="00343560"/>
    <w:rsid w:val="0034366D"/>
    <w:rsid w:val="00343A20"/>
    <w:rsid w:val="0034402B"/>
    <w:rsid w:val="0034449E"/>
    <w:rsid w:val="00344D46"/>
    <w:rsid w:val="003465A5"/>
    <w:rsid w:val="00346817"/>
    <w:rsid w:val="00346A1A"/>
    <w:rsid w:val="00347009"/>
    <w:rsid w:val="00347440"/>
    <w:rsid w:val="003475EA"/>
    <w:rsid w:val="00347A27"/>
    <w:rsid w:val="00347CD4"/>
    <w:rsid w:val="00350A55"/>
    <w:rsid w:val="00350DF8"/>
    <w:rsid w:val="00351A8A"/>
    <w:rsid w:val="0035266A"/>
    <w:rsid w:val="0035279C"/>
    <w:rsid w:val="0035325C"/>
    <w:rsid w:val="003535D2"/>
    <w:rsid w:val="0035384D"/>
    <w:rsid w:val="00353BF0"/>
    <w:rsid w:val="00353C0B"/>
    <w:rsid w:val="00354A8F"/>
    <w:rsid w:val="00354AE4"/>
    <w:rsid w:val="00354B0A"/>
    <w:rsid w:val="0035551B"/>
    <w:rsid w:val="003555ED"/>
    <w:rsid w:val="00355911"/>
    <w:rsid w:val="0035636B"/>
    <w:rsid w:val="00356B50"/>
    <w:rsid w:val="00357424"/>
    <w:rsid w:val="00361789"/>
    <w:rsid w:val="0036196D"/>
    <w:rsid w:val="003627BD"/>
    <w:rsid w:val="00362997"/>
    <w:rsid w:val="00362B5F"/>
    <w:rsid w:val="00362C59"/>
    <w:rsid w:val="00363040"/>
    <w:rsid w:val="003630B7"/>
    <w:rsid w:val="00363786"/>
    <w:rsid w:val="003638A4"/>
    <w:rsid w:val="003639BF"/>
    <w:rsid w:val="00363E41"/>
    <w:rsid w:val="00363FD2"/>
    <w:rsid w:val="0036572E"/>
    <w:rsid w:val="00366370"/>
    <w:rsid w:val="003663D9"/>
    <w:rsid w:val="003666BF"/>
    <w:rsid w:val="00366707"/>
    <w:rsid w:val="00366FA9"/>
    <w:rsid w:val="00367E49"/>
    <w:rsid w:val="003700E6"/>
    <w:rsid w:val="00371C86"/>
    <w:rsid w:val="0037236C"/>
    <w:rsid w:val="003729DE"/>
    <w:rsid w:val="003735D3"/>
    <w:rsid w:val="0037386D"/>
    <w:rsid w:val="003738A0"/>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083D"/>
    <w:rsid w:val="00381610"/>
    <w:rsid w:val="00382106"/>
    <w:rsid w:val="00382657"/>
    <w:rsid w:val="00382B82"/>
    <w:rsid w:val="00383FCD"/>
    <w:rsid w:val="003844BF"/>
    <w:rsid w:val="00384F41"/>
    <w:rsid w:val="003854D5"/>
    <w:rsid w:val="0038552A"/>
    <w:rsid w:val="003859EA"/>
    <w:rsid w:val="0038709E"/>
    <w:rsid w:val="00387D30"/>
    <w:rsid w:val="00391753"/>
    <w:rsid w:val="00391C7F"/>
    <w:rsid w:val="00392454"/>
    <w:rsid w:val="00392C85"/>
    <w:rsid w:val="00392FD8"/>
    <w:rsid w:val="00393155"/>
    <w:rsid w:val="00393E11"/>
    <w:rsid w:val="00394475"/>
    <w:rsid w:val="0039517A"/>
    <w:rsid w:val="00395B51"/>
    <w:rsid w:val="00396796"/>
    <w:rsid w:val="00396EC6"/>
    <w:rsid w:val="00396F3C"/>
    <w:rsid w:val="003970BA"/>
    <w:rsid w:val="0039746C"/>
    <w:rsid w:val="00397DC6"/>
    <w:rsid w:val="003A0E82"/>
    <w:rsid w:val="003A0FAC"/>
    <w:rsid w:val="003A184D"/>
    <w:rsid w:val="003A1FB7"/>
    <w:rsid w:val="003A371E"/>
    <w:rsid w:val="003A3AB5"/>
    <w:rsid w:val="003A3C60"/>
    <w:rsid w:val="003A462A"/>
    <w:rsid w:val="003A595F"/>
    <w:rsid w:val="003A5EEC"/>
    <w:rsid w:val="003A79AE"/>
    <w:rsid w:val="003A7CA3"/>
    <w:rsid w:val="003B00B6"/>
    <w:rsid w:val="003B01C4"/>
    <w:rsid w:val="003B0BB0"/>
    <w:rsid w:val="003B11EE"/>
    <w:rsid w:val="003B15F8"/>
    <w:rsid w:val="003B230B"/>
    <w:rsid w:val="003B23BC"/>
    <w:rsid w:val="003B2DB5"/>
    <w:rsid w:val="003B2F05"/>
    <w:rsid w:val="003B3966"/>
    <w:rsid w:val="003B39B7"/>
    <w:rsid w:val="003B4EB0"/>
    <w:rsid w:val="003B5F6A"/>
    <w:rsid w:val="003B6B7F"/>
    <w:rsid w:val="003B7820"/>
    <w:rsid w:val="003C01A4"/>
    <w:rsid w:val="003C0219"/>
    <w:rsid w:val="003C0C12"/>
    <w:rsid w:val="003C16EE"/>
    <w:rsid w:val="003C18E4"/>
    <w:rsid w:val="003C1C87"/>
    <w:rsid w:val="003C2C85"/>
    <w:rsid w:val="003C2F61"/>
    <w:rsid w:val="003C345E"/>
    <w:rsid w:val="003C40F9"/>
    <w:rsid w:val="003C4409"/>
    <w:rsid w:val="003C4997"/>
    <w:rsid w:val="003C4DA5"/>
    <w:rsid w:val="003C5666"/>
    <w:rsid w:val="003C64F4"/>
    <w:rsid w:val="003C6A0C"/>
    <w:rsid w:val="003C724B"/>
    <w:rsid w:val="003C73DB"/>
    <w:rsid w:val="003D0185"/>
    <w:rsid w:val="003D02CB"/>
    <w:rsid w:val="003D0382"/>
    <w:rsid w:val="003D069C"/>
    <w:rsid w:val="003D191E"/>
    <w:rsid w:val="003D22A5"/>
    <w:rsid w:val="003D23A4"/>
    <w:rsid w:val="003D2971"/>
    <w:rsid w:val="003D311D"/>
    <w:rsid w:val="003D32AE"/>
    <w:rsid w:val="003D3414"/>
    <w:rsid w:val="003D3426"/>
    <w:rsid w:val="003D3721"/>
    <w:rsid w:val="003D6722"/>
    <w:rsid w:val="003D7428"/>
    <w:rsid w:val="003D77F2"/>
    <w:rsid w:val="003D78CC"/>
    <w:rsid w:val="003D7901"/>
    <w:rsid w:val="003D7D01"/>
    <w:rsid w:val="003D7ED8"/>
    <w:rsid w:val="003E0003"/>
    <w:rsid w:val="003E0099"/>
    <w:rsid w:val="003E08C7"/>
    <w:rsid w:val="003E1A72"/>
    <w:rsid w:val="003E2880"/>
    <w:rsid w:val="003E28FB"/>
    <w:rsid w:val="003E2A00"/>
    <w:rsid w:val="003E382C"/>
    <w:rsid w:val="003E3D00"/>
    <w:rsid w:val="003E412B"/>
    <w:rsid w:val="003E4531"/>
    <w:rsid w:val="003E4771"/>
    <w:rsid w:val="003E54A8"/>
    <w:rsid w:val="003E5833"/>
    <w:rsid w:val="003E5DA8"/>
    <w:rsid w:val="003E7109"/>
    <w:rsid w:val="003E7195"/>
    <w:rsid w:val="003E77DC"/>
    <w:rsid w:val="003E7823"/>
    <w:rsid w:val="003E7BC1"/>
    <w:rsid w:val="003F0453"/>
    <w:rsid w:val="003F0C9F"/>
    <w:rsid w:val="003F144A"/>
    <w:rsid w:val="003F1B02"/>
    <w:rsid w:val="003F1EFE"/>
    <w:rsid w:val="003F2212"/>
    <w:rsid w:val="003F2240"/>
    <w:rsid w:val="003F2460"/>
    <w:rsid w:val="003F2E7B"/>
    <w:rsid w:val="003F3CD5"/>
    <w:rsid w:val="003F4473"/>
    <w:rsid w:val="003F4CF5"/>
    <w:rsid w:val="003F4E31"/>
    <w:rsid w:val="003F51EE"/>
    <w:rsid w:val="003F574E"/>
    <w:rsid w:val="003F60D6"/>
    <w:rsid w:val="003F68E9"/>
    <w:rsid w:val="003F7E15"/>
    <w:rsid w:val="003F7FDA"/>
    <w:rsid w:val="004013AD"/>
    <w:rsid w:val="004021C0"/>
    <w:rsid w:val="004028CE"/>
    <w:rsid w:val="0040313D"/>
    <w:rsid w:val="004043FA"/>
    <w:rsid w:val="00404970"/>
    <w:rsid w:val="00405181"/>
    <w:rsid w:val="0040567F"/>
    <w:rsid w:val="00405873"/>
    <w:rsid w:val="00405F09"/>
    <w:rsid w:val="0040644E"/>
    <w:rsid w:val="004066F4"/>
    <w:rsid w:val="00406A32"/>
    <w:rsid w:val="0040760B"/>
    <w:rsid w:val="00407716"/>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2FE6"/>
    <w:rsid w:val="004133A5"/>
    <w:rsid w:val="00413D45"/>
    <w:rsid w:val="00414197"/>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FB5"/>
    <w:rsid w:val="004226ED"/>
    <w:rsid w:val="00422AF4"/>
    <w:rsid w:val="00422D5B"/>
    <w:rsid w:val="004235F4"/>
    <w:rsid w:val="004236C9"/>
    <w:rsid w:val="00423CF3"/>
    <w:rsid w:val="00423E18"/>
    <w:rsid w:val="00424B7C"/>
    <w:rsid w:val="0042500C"/>
    <w:rsid w:val="00425514"/>
    <w:rsid w:val="004256BD"/>
    <w:rsid w:val="00425863"/>
    <w:rsid w:val="00425C98"/>
    <w:rsid w:val="00425D02"/>
    <w:rsid w:val="00425EDC"/>
    <w:rsid w:val="00426C3E"/>
    <w:rsid w:val="004275CD"/>
    <w:rsid w:val="00427FEB"/>
    <w:rsid w:val="00427FF2"/>
    <w:rsid w:val="004305C0"/>
    <w:rsid w:val="00430B20"/>
    <w:rsid w:val="00430B6C"/>
    <w:rsid w:val="0043227C"/>
    <w:rsid w:val="00433435"/>
    <w:rsid w:val="004335C0"/>
    <w:rsid w:val="00433805"/>
    <w:rsid w:val="00433FD0"/>
    <w:rsid w:val="00435068"/>
    <w:rsid w:val="00435715"/>
    <w:rsid w:val="0043571B"/>
    <w:rsid w:val="00435EE0"/>
    <w:rsid w:val="00435F29"/>
    <w:rsid w:val="0043610C"/>
    <w:rsid w:val="004366FF"/>
    <w:rsid w:val="00437D83"/>
    <w:rsid w:val="004401DD"/>
    <w:rsid w:val="00440344"/>
    <w:rsid w:val="00441264"/>
    <w:rsid w:val="00441B0F"/>
    <w:rsid w:val="004425C6"/>
    <w:rsid w:val="00443D5D"/>
    <w:rsid w:val="00444E2A"/>
    <w:rsid w:val="00445CBA"/>
    <w:rsid w:val="004463CB"/>
    <w:rsid w:val="004466F7"/>
    <w:rsid w:val="00446858"/>
    <w:rsid w:val="00447304"/>
    <w:rsid w:val="00450127"/>
    <w:rsid w:val="0045075F"/>
    <w:rsid w:val="004516AD"/>
    <w:rsid w:val="00451E84"/>
    <w:rsid w:val="00451EA3"/>
    <w:rsid w:val="00451F01"/>
    <w:rsid w:val="004546A7"/>
    <w:rsid w:val="00454831"/>
    <w:rsid w:val="004548DF"/>
    <w:rsid w:val="00455E25"/>
    <w:rsid w:val="00456CC0"/>
    <w:rsid w:val="00457933"/>
    <w:rsid w:val="00457C78"/>
    <w:rsid w:val="00460735"/>
    <w:rsid w:val="00460AD5"/>
    <w:rsid w:val="00460EB8"/>
    <w:rsid w:val="00461090"/>
    <w:rsid w:val="004611D5"/>
    <w:rsid w:val="00461991"/>
    <w:rsid w:val="00461A6B"/>
    <w:rsid w:val="00461C43"/>
    <w:rsid w:val="00462125"/>
    <w:rsid w:val="00463216"/>
    <w:rsid w:val="00463262"/>
    <w:rsid w:val="0046334D"/>
    <w:rsid w:val="00463848"/>
    <w:rsid w:val="00463C95"/>
    <w:rsid w:val="00463E1C"/>
    <w:rsid w:val="00464052"/>
    <w:rsid w:val="00465153"/>
    <w:rsid w:val="00465602"/>
    <w:rsid w:val="00466AFD"/>
    <w:rsid w:val="00470696"/>
    <w:rsid w:val="004724C9"/>
    <w:rsid w:val="00472585"/>
    <w:rsid w:val="0047311B"/>
    <w:rsid w:val="00474130"/>
    <w:rsid w:val="00475A6C"/>
    <w:rsid w:val="0047632A"/>
    <w:rsid w:val="004764AF"/>
    <w:rsid w:val="00476D04"/>
    <w:rsid w:val="0047775E"/>
    <w:rsid w:val="00477AAE"/>
    <w:rsid w:val="00477AF6"/>
    <w:rsid w:val="00477B3B"/>
    <w:rsid w:val="00477BCB"/>
    <w:rsid w:val="00477EE1"/>
    <w:rsid w:val="004801A7"/>
    <w:rsid w:val="00480E47"/>
    <w:rsid w:val="004812FA"/>
    <w:rsid w:val="00481666"/>
    <w:rsid w:val="0048181B"/>
    <w:rsid w:val="00481F2B"/>
    <w:rsid w:val="004820C5"/>
    <w:rsid w:val="00482198"/>
    <w:rsid w:val="004823D8"/>
    <w:rsid w:val="00482F20"/>
    <w:rsid w:val="00483196"/>
    <w:rsid w:val="0048340F"/>
    <w:rsid w:val="0048423C"/>
    <w:rsid w:val="00484449"/>
    <w:rsid w:val="004845A6"/>
    <w:rsid w:val="00484C42"/>
    <w:rsid w:val="004852CE"/>
    <w:rsid w:val="0048540C"/>
    <w:rsid w:val="00485F92"/>
    <w:rsid w:val="004860BD"/>
    <w:rsid w:val="004863D4"/>
    <w:rsid w:val="004866E1"/>
    <w:rsid w:val="00486C2A"/>
    <w:rsid w:val="00486C72"/>
    <w:rsid w:val="00486D38"/>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C59"/>
    <w:rsid w:val="004A3FE2"/>
    <w:rsid w:val="004A480D"/>
    <w:rsid w:val="004A4D76"/>
    <w:rsid w:val="004A5851"/>
    <w:rsid w:val="004A5A91"/>
    <w:rsid w:val="004A5B0F"/>
    <w:rsid w:val="004A5CF1"/>
    <w:rsid w:val="004A66E0"/>
    <w:rsid w:val="004A6973"/>
    <w:rsid w:val="004A77BE"/>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4E90"/>
    <w:rsid w:val="004B5493"/>
    <w:rsid w:val="004B5914"/>
    <w:rsid w:val="004B6C77"/>
    <w:rsid w:val="004B6D0A"/>
    <w:rsid w:val="004B7995"/>
    <w:rsid w:val="004C02B3"/>
    <w:rsid w:val="004C098E"/>
    <w:rsid w:val="004C0BBE"/>
    <w:rsid w:val="004C0E2F"/>
    <w:rsid w:val="004C1717"/>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743"/>
    <w:rsid w:val="004C77A7"/>
    <w:rsid w:val="004D039E"/>
    <w:rsid w:val="004D04A3"/>
    <w:rsid w:val="004D0ABC"/>
    <w:rsid w:val="004D0C9F"/>
    <w:rsid w:val="004D15FD"/>
    <w:rsid w:val="004D2369"/>
    <w:rsid w:val="004D2485"/>
    <w:rsid w:val="004D34D6"/>
    <w:rsid w:val="004D3A57"/>
    <w:rsid w:val="004D47FF"/>
    <w:rsid w:val="004D4D35"/>
    <w:rsid w:val="004D518F"/>
    <w:rsid w:val="004D54D7"/>
    <w:rsid w:val="004D5BB7"/>
    <w:rsid w:val="004D6053"/>
    <w:rsid w:val="004D6FA4"/>
    <w:rsid w:val="004D7C23"/>
    <w:rsid w:val="004E01C6"/>
    <w:rsid w:val="004E0212"/>
    <w:rsid w:val="004E0299"/>
    <w:rsid w:val="004E0ADC"/>
    <w:rsid w:val="004E0FB1"/>
    <w:rsid w:val="004E1043"/>
    <w:rsid w:val="004E1DCA"/>
    <w:rsid w:val="004E21B4"/>
    <w:rsid w:val="004E252B"/>
    <w:rsid w:val="004E2861"/>
    <w:rsid w:val="004E2A85"/>
    <w:rsid w:val="004E3F72"/>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2A55"/>
    <w:rsid w:val="004F3BD2"/>
    <w:rsid w:val="004F4372"/>
    <w:rsid w:val="004F43E0"/>
    <w:rsid w:val="004F45EB"/>
    <w:rsid w:val="004F521B"/>
    <w:rsid w:val="004F52BB"/>
    <w:rsid w:val="004F5582"/>
    <w:rsid w:val="004F59B8"/>
    <w:rsid w:val="004F62A7"/>
    <w:rsid w:val="004F62F9"/>
    <w:rsid w:val="004F66B3"/>
    <w:rsid w:val="004F69A2"/>
    <w:rsid w:val="004F7352"/>
    <w:rsid w:val="004F7EE2"/>
    <w:rsid w:val="0050015C"/>
    <w:rsid w:val="005002EC"/>
    <w:rsid w:val="00500418"/>
    <w:rsid w:val="0050067D"/>
    <w:rsid w:val="00500CCF"/>
    <w:rsid w:val="00500E62"/>
    <w:rsid w:val="005010DE"/>
    <w:rsid w:val="00501186"/>
    <w:rsid w:val="005011FD"/>
    <w:rsid w:val="0050164B"/>
    <w:rsid w:val="00502958"/>
    <w:rsid w:val="00502BD2"/>
    <w:rsid w:val="00502DA4"/>
    <w:rsid w:val="00503F83"/>
    <w:rsid w:val="0050421C"/>
    <w:rsid w:val="00504A9B"/>
    <w:rsid w:val="00504E9A"/>
    <w:rsid w:val="00504F83"/>
    <w:rsid w:val="005059B9"/>
    <w:rsid w:val="00505B8F"/>
    <w:rsid w:val="00505F64"/>
    <w:rsid w:val="00506DCD"/>
    <w:rsid w:val="00507325"/>
    <w:rsid w:val="00507C56"/>
    <w:rsid w:val="00507F13"/>
    <w:rsid w:val="0051032A"/>
    <w:rsid w:val="005109D4"/>
    <w:rsid w:val="00510CF4"/>
    <w:rsid w:val="0051160A"/>
    <w:rsid w:val="005118BA"/>
    <w:rsid w:val="0051274E"/>
    <w:rsid w:val="00512764"/>
    <w:rsid w:val="00512D87"/>
    <w:rsid w:val="005130DA"/>
    <w:rsid w:val="00513DDA"/>
    <w:rsid w:val="00513E19"/>
    <w:rsid w:val="00514390"/>
    <w:rsid w:val="005148B4"/>
    <w:rsid w:val="00514B29"/>
    <w:rsid w:val="005152B1"/>
    <w:rsid w:val="005152F0"/>
    <w:rsid w:val="00515856"/>
    <w:rsid w:val="005163E6"/>
    <w:rsid w:val="005167B6"/>
    <w:rsid w:val="005172EC"/>
    <w:rsid w:val="0051740D"/>
    <w:rsid w:val="00517888"/>
    <w:rsid w:val="005178CE"/>
    <w:rsid w:val="005209A8"/>
    <w:rsid w:val="00521CAB"/>
    <w:rsid w:val="005224EF"/>
    <w:rsid w:val="00522654"/>
    <w:rsid w:val="00522835"/>
    <w:rsid w:val="0052293D"/>
    <w:rsid w:val="00522AF4"/>
    <w:rsid w:val="005232A6"/>
    <w:rsid w:val="0052333C"/>
    <w:rsid w:val="00523499"/>
    <w:rsid w:val="00523BC7"/>
    <w:rsid w:val="00523C08"/>
    <w:rsid w:val="00523C10"/>
    <w:rsid w:val="005241F0"/>
    <w:rsid w:val="005245D5"/>
    <w:rsid w:val="00524889"/>
    <w:rsid w:val="0052575D"/>
    <w:rsid w:val="00525A53"/>
    <w:rsid w:val="00525D9E"/>
    <w:rsid w:val="00526569"/>
    <w:rsid w:val="00526726"/>
    <w:rsid w:val="00527256"/>
    <w:rsid w:val="00527375"/>
    <w:rsid w:val="00527B57"/>
    <w:rsid w:val="00527C8D"/>
    <w:rsid w:val="00530AC4"/>
    <w:rsid w:val="00533169"/>
    <w:rsid w:val="00533194"/>
    <w:rsid w:val="005332C8"/>
    <w:rsid w:val="0053464E"/>
    <w:rsid w:val="005352C8"/>
    <w:rsid w:val="005354C1"/>
    <w:rsid w:val="00535B01"/>
    <w:rsid w:val="00535F99"/>
    <w:rsid w:val="00536356"/>
    <w:rsid w:val="00536CBB"/>
    <w:rsid w:val="00536DDD"/>
    <w:rsid w:val="00537033"/>
    <w:rsid w:val="00537085"/>
    <w:rsid w:val="00540A37"/>
    <w:rsid w:val="00540B49"/>
    <w:rsid w:val="005418DB"/>
    <w:rsid w:val="005424CA"/>
    <w:rsid w:val="005434EA"/>
    <w:rsid w:val="00545D55"/>
    <w:rsid w:val="005461AB"/>
    <w:rsid w:val="00546C6A"/>
    <w:rsid w:val="00546FBA"/>
    <w:rsid w:val="00547F04"/>
    <w:rsid w:val="00550924"/>
    <w:rsid w:val="00550D63"/>
    <w:rsid w:val="00550EF1"/>
    <w:rsid w:val="00551075"/>
    <w:rsid w:val="005513C8"/>
    <w:rsid w:val="0055352C"/>
    <w:rsid w:val="00553672"/>
    <w:rsid w:val="005538A6"/>
    <w:rsid w:val="00553FB8"/>
    <w:rsid w:val="00554F94"/>
    <w:rsid w:val="00555161"/>
    <w:rsid w:val="00555DE6"/>
    <w:rsid w:val="00555EB3"/>
    <w:rsid w:val="005567F6"/>
    <w:rsid w:val="00556E29"/>
    <w:rsid w:val="00557474"/>
    <w:rsid w:val="00557DAA"/>
    <w:rsid w:val="00557DAD"/>
    <w:rsid w:val="00560EF3"/>
    <w:rsid w:val="00561138"/>
    <w:rsid w:val="0056157E"/>
    <w:rsid w:val="00561699"/>
    <w:rsid w:val="0056194F"/>
    <w:rsid w:val="005619E1"/>
    <w:rsid w:val="00562595"/>
    <w:rsid w:val="00562629"/>
    <w:rsid w:val="005627F3"/>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298"/>
    <w:rsid w:val="0056741F"/>
    <w:rsid w:val="00567647"/>
    <w:rsid w:val="0056781B"/>
    <w:rsid w:val="00567BE2"/>
    <w:rsid w:val="00570102"/>
    <w:rsid w:val="00570170"/>
    <w:rsid w:val="00570505"/>
    <w:rsid w:val="005712E6"/>
    <w:rsid w:val="00571DE3"/>
    <w:rsid w:val="00572942"/>
    <w:rsid w:val="005730DB"/>
    <w:rsid w:val="00573251"/>
    <w:rsid w:val="005733A8"/>
    <w:rsid w:val="00573B5B"/>
    <w:rsid w:val="00573F55"/>
    <w:rsid w:val="0057540E"/>
    <w:rsid w:val="005757B6"/>
    <w:rsid w:val="00577BA6"/>
    <w:rsid w:val="0058000F"/>
    <w:rsid w:val="00580557"/>
    <w:rsid w:val="0058074F"/>
    <w:rsid w:val="00580A76"/>
    <w:rsid w:val="00580B96"/>
    <w:rsid w:val="00581042"/>
    <w:rsid w:val="0058108E"/>
    <w:rsid w:val="00581703"/>
    <w:rsid w:val="00581B15"/>
    <w:rsid w:val="005821DD"/>
    <w:rsid w:val="00583908"/>
    <w:rsid w:val="00584757"/>
    <w:rsid w:val="00584E21"/>
    <w:rsid w:val="0058608B"/>
    <w:rsid w:val="00586345"/>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2AC8"/>
    <w:rsid w:val="0059367F"/>
    <w:rsid w:val="00593720"/>
    <w:rsid w:val="00593909"/>
    <w:rsid w:val="00593A71"/>
    <w:rsid w:val="005941E1"/>
    <w:rsid w:val="005943E2"/>
    <w:rsid w:val="005946A0"/>
    <w:rsid w:val="00594B6D"/>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742"/>
    <w:rsid w:val="005A1FBF"/>
    <w:rsid w:val="005A29B1"/>
    <w:rsid w:val="005A2EBF"/>
    <w:rsid w:val="005A380B"/>
    <w:rsid w:val="005A4890"/>
    <w:rsid w:val="005A49D4"/>
    <w:rsid w:val="005A4D7C"/>
    <w:rsid w:val="005A51C9"/>
    <w:rsid w:val="005A5DC0"/>
    <w:rsid w:val="005A6B6D"/>
    <w:rsid w:val="005A6F0E"/>
    <w:rsid w:val="005A6F57"/>
    <w:rsid w:val="005A7235"/>
    <w:rsid w:val="005A795B"/>
    <w:rsid w:val="005A7BAF"/>
    <w:rsid w:val="005B0652"/>
    <w:rsid w:val="005B1213"/>
    <w:rsid w:val="005B1329"/>
    <w:rsid w:val="005B1348"/>
    <w:rsid w:val="005B1512"/>
    <w:rsid w:val="005B1927"/>
    <w:rsid w:val="005B1B55"/>
    <w:rsid w:val="005B1DBD"/>
    <w:rsid w:val="005B3EBD"/>
    <w:rsid w:val="005B48E8"/>
    <w:rsid w:val="005B4B5F"/>
    <w:rsid w:val="005B56D9"/>
    <w:rsid w:val="005B5BA3"/>
    <w:rsid w:val="005B5E62"/>
    <w:rsid w:val="005B778C"/>
    <w:rsid w:val="005B7E97"/>
    <w:rsid w:val="005B7F0B"/>
    <w:rsid w:val="005B7F46"/>
    <w:rsid w:val="005C09A7"/>
    <w:rsid w:val="005C102D"/>
    <w:rsid w:val="005C132C"/>
    <w:rsid w:val="005C1459"/>
    <w:rsid w:val="005C17FB"/>
    <w:rsid w:val="005C1833"/>
    <w:rsid w:val="005C1838"/>
    <w:rsid w:val="005C18C2"/>
    <w:rsid w:val="005C2063"/>
    <w:rsid w:val="005C244F"/>
    <w:rsid w:val="005C2767"/>
    <w:rsid w:val="005C2922"/>
    <w:rsid w:val="005C2F60"/>
    <w:rsid w:val="005C323D"/>
    <w:rsid w:val="005C3772"/>
    <w:rsid w:val="005C39C3"/>
    <w:rsid w:val="005C4229"/>
    <w:rsid w:val="005C4580"/>
    <w:rsid w:val="005C479C"/>
    <w:rsid w:val="005C5065"/>
    <w:rsid w:val="005C52F3"/>
    <w:rsid w:val="005C564C"/>
    <w:rsid w:val="005C60C4"/>
    <w:rsid w:val="005C6234"/>
    <w:rsid w:val="005C655E"/>
    <w:rsid w:val="005C6605"/>
    <w:rsid w:val="005C71A0"/>
    <w:rsid w:val="005C751C"/>
    <w:rsid w:val="005C7736"/>
    <w:rsid w:val="005C7802"/>
    <w:rsid w:val="005C7B50"/>
    <w:rsid w:val="005C7DED"/>
    <w:rsid w:val="005D029E"/>
    <w:rsid w:val="005D0427"/>
    <w:rsid w:val="005D0776"/>
    <w:rsid w:val="005D07AE"/>
    <w:rsid w:val="005D0C83"/>
    <w:rsid w:val="005D113B"/>
    <w:rsid w:val="005D1732"/>
    <w:rsid w:val="005D2D9A"/>
    <w:rsid w:val="005D3A6E"/>
    <w:rsid w:val="005D3B21"/>
    <w:rsid w:val="005D4019"/>
    <w:rsid w:val="005D41DC"/>
    <w:rsid w:val="005D43C3"/>
    <w:rsid w:val="005D460F"/>
    <w:rsid w:val="005D4DC5"/>
    <w:rsid w:val="005D5C22"/>
    <w:rsid w:val="005D5E6C"/>
    <w:rsid w:val="005D63A9"/>
    <w:rsid w:val="005D64DC"/>
    <w:rsid w:val="005D65D5"/>
    <w:rsid w:val="005D6C56"/>
    <w:rsid w:val="005D6F49"/>
    <w:rsid w:val="005D7E8A"/>
    <w:rsid w:val="005E06FA"/>
    <w:rsid w:val="005E1190"/>
    <w:rsid w:val="005E11A5"/>
    <w:rsid w:val="005E13D4"/>
    <w:rsid w:val="005E1435"/>
    <w:rsid w:val="005E2153"/>
    <w:rsid w:val="005E21F3"/>
    <w:rsid w:val="005E235C"/>
    <w:rsid w:val="005E2DEB"/>
    <w:rsid w:val="005E3078"/>
    <w:rsid w:val="005E34C0"/>
    <w:rsid w:val="005E44F1"/>
    <w:rsid w:val="005E45AE"/>
    <w:rsid w:val="005E49CA"/>
    <w:rsid w:val="005E5339"/>
    <w:rsid w:val="005E5427"/>
    <w:rsid w:val="005E5428"/>
    <w:rsid w:val="005E5474"/>
    <w:rsid w:val="005E5A7C"/>
    <w:rsid w:val="005E5C33"/>
    <w:rsid w:val="005E5F53"/>
    <w:rsid w:val="005E6976"/>
    <w:rsid w:val="005E74EC"/>
    <w:rsid w:val="005E7AB6"/>
    <w:rsid w:val="005E7B1E"/>
    <w:rsid w:val="005E7CBC"/>
    <w:rsid w:val="005F0A62"/>
    <w:rsid w:val="005F0FA8"/>
    <w:rsid w:val="005F18DE"/>
    <w:rsid w:val="005F1C5D"/>
    <w:rsid w:val="005F222B"/>
    <w:rsid w:val="005F2317"/>
    <w:rsid w:val="005F2550"/>
    <w:rsid w:val="005F2B2D"/>
    <w:rsid w:val="005F2FD5"/>
    <w:rsid w:val="005F340A"/>
    <w:rsid w:val="005F3AE8"/>
    <w:rsid w:val="005F3B09"/>
    <w:rsid w:val="005F3B47"/>
    <w:rsid w:val="005F47C1"/>
    <w:rsid w:val="005F4926"/>
    <w:rsid w:val="005F4B6F"/>
    <w:rsid w:val="005F4C26"/>
    <w:rsid w:val="005F5009"/>
    <w:rsid w:val="005F5054"/>
    <w:rsid w:val="005F530F"/>
    <w:rsid w:val="005F65D9"/>
    <w:rsid w:val="005F6768"/>
    <w:rsid w:val="005F69CF"/>
    <w:rsid w:val="005F6E39"/>
    <w:rsid w:val="005F6E58"/>
    <w:rsid w:val="005F704C"/>
    <w:rsid w:val="005F7A22"/>
    <w:rsid w:val="005F7B9D"/>
    <w:rsid w:val="005F7BF2"/>
    <w:rsid w:val="00600501"/>
    <w:rsid w:val="00600504"/>
    <w:rsid w:val="00600B0C"/>
    <w:rsid w:val="00602DFA"/>
    <w:rsid w:val="006031D1"/>
    <w:rsid w:val="006033BF"/>
    <w:rsid w:val="00603702"/>
    <w:rsid w:val="00603B4B"/>
    <w:rsid w:val="00603F20"/>
    <w:rsid w:val="00604F37"/>
    <w:rsid w:val="0060508A"/>
    <w:rsid w:val="006055AF"/>
    <w:rsid w:val="00605942"/>
    <w:rsid w:val="00605C9F"/>
    <w:rsid w:val="00606814"/>
    <w:rsid w:val="0060688E"/>
    <w:rsid w:val="006068E8"/>
    <w:rsid w:val="00606ADB"/>
    <w:rsid w:val="006072DE"/>
    <w:rsid w:val="006075F4"/>
    <w:rsid w:val="006078A8"/>
    <w:rsid w:val="00607BAD"/>
    <w:rsid w:val="00607EC7"/>
    <w:rsid w:val="0061048A"/>
    <w:rsid w:val="006104F8"/>
    <w:rsid w:val="00610AE7"/>
    <w:rsid w:val="00611178"/>
    <w:rsid w:val="0061148D"/>
    <w:rsid w:val="00611D01"/>
    <w:rsid w:val="006124B3"/>
    <w:rsid w:val="00612611"/>
    <w:rsid w:val="0061279A"/>
    <w:rsid w:val="00613009"/>
    <w:rsid w:val="006132EA"/>
    <w:rsid w:val="0061401C"/>
    <w:rsid w:val="0061420B"/>
    <w:rsid w:val="00614D33"/>
    <w:rsid w:val="0061537D"/>
    <w:rsid w:val="0061537F"/>
    <w:rsid w:val="006155A0"/>
    <w:rsid w:val="00615DEA"/>
    <w:rsid w:val="00616A60"/>
    <w:rsid w:val="00616EE6"/>
    <w:rsid w:val="006171FB"/>
    <w:rsid w:val="00617A2A"/>
    <w:rsid w:val="006207F4"/>
    <w:rsid w:val="00620C67"/>
    <w:rsid w:val="00621646"/>
    <w:rsid w:val="00621803"/>
    <w:rsid w:val="006220F1"/>
    <w:rsid w:val="00623E46"/>
    <w:rsid w:val="00624604"/>
    <w:rsid w:val="00624C7C"/>
    <w:rsid w:val="00624D2C"/>
    <w:rsid w:val="00625145"/>
    <w:rsid w:val="00627402"/>
    <w:rsid w:val="00630480"/>
    <w:rsid w:val="0063058E"/>
    <w:rsid w:val="006305F8"/>
    <w:rsid w:val="00631DA7"/>
    <w:rsid w:val="0063283B"/>
    <w:rsid w:val="00632B9C"/>
    <w:rsid w:val="00632F18"/>
    <w:rsid w:val="006332D7"/>
    <w:rsid w:val="0063333D"/>
    <w:rsid w:val="00634225"/>
    <w:rsid w:val="00635003"/>
    <w:rsid w:val="006351CE"/>
    <w:rsid w:val="006352FD"/>
    <w:rsid w:val="00635B15"/>
    <w:rsid w:val="006362E0"/>
    <w:rsid w:val="006362E1"/>
    <w:rsid w:val="006367DA"/>
    <w:rsid w:val="006370E1"/>
    <w:rsid w:val="006375B2"/>
    <w:rsid w:val="006375BB"/>
    <w:rsid w:val="006409EE"/>
    <w:rsid w:val="00640BF7"/>
    <w:rsid w:val="00640FFF"/>
    <w:rsid w:val="00641629"/>
    <w:rsid w:val="00641761"/>
    <w:rsid w:val="006425FC"/>
    <w:rsid w:val="00642631"/>
    <w:rsid w:val="00642DF5"/>
    <w:rsid w:val="00642F90"/>
    <w:rsid w:val="0064304A"/>
    <w:rsid w:val="0064380B"/>
    <w:rsid w:val="00643A4F"/>
    <w:rsid w:val="00643FF5"/>
    <w:rsid w:val="006441FD"/>
    <w:rsid w:val="00644E5A"/>
    <w:rsid w:val="00644F2C"/>
    <w:rsid w:val="00645141"/>
    <w:rsid w:val="00645AEE"/>
    <w:rsid w:val="00646428"/>
    <w:rsid w:val="00646583"/>
    <w:rsid w:val="0064707F"/>
    <w:rsid w:val="006471E8"/>
    <w:rsid w:val="00647E90"/>
    <w:rsid w:val="00647FA3"/>
    <w:rsid w:val="006500F7"/>
    <w:rsid w:val="00650769"/>
    <w:rsid w:val="00650ACF"/>
    <w:rsid w:val="006516B7"/>
    <w:rsid w:val="006518E4"/>
    <w:rsid w:val="00651FB8"/>
    <w:rsid w:val="00652BA0"/>
    <w:rsid w:val="00652F2D"/>
    <w:rsid w:val="00653045"/>
    <w:rsid w:val="0065304E"/>
    <w:rsid w:val="006531FC"/>
    <w:rsid w:val="00653A25"/>
    <w:rsid w:val="00653D93"/>
    <w:rsid w:val="00653FDA"/>
    <w:rsid w:val="006541A0"/>
    <w:rsid w:val="00654E01"/>
    <w:rsid w:val="00654E99"/>
    <w:rsid w:val="00655104"/>
    <w:rsid w:val="0065548F"/>
    <w:rsid w:val="00655633"/>
    <w:rsid w:val="006559BB"/>
    <w:rsid w:val="00655D93"/>
    <w:rsid w:val="00655E86"/>
    <w:rsid w:val="00656614"/>
    <w:rsid w:val="00656C4D"/>
    <w:rsid w:val="0065767E"/>
    <w:rsid w:val="006577CD"/>
    <w:rsid w:val="00657CCC"/>
    <w:rsid w:val="00660162"/>
    <w:rsid w:val="0066036D"/>
    <w:rsid w:val="006604FA"/>
    <w:rsid w:val="00660879"/>
    <w:rsid w:val="00661639"/>
    <w:rsid w:val="0066174D"/>
    <w:rsid w:val="00661E36"/>
    <w:rsid w:val="00662BD0"/>
    <w:rsid w:val="006631D3"/>
    <w:rsid w:val="00663432"/>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F3E"/>
    <w:rsid w:val="00672482"/>
    <w:rsid w:val="00672A18"/>
    <w:rsid w:val="006735D0"/>
    <w:rsid w:val="006739E9"/>
    <w:rsid w:val="00674D52"/>
    <w:rsid w:val="00674F93"/>
    <w:rsid w:val="0067546F"/>
    <w:rsid w:val="00676CE4"/>
    <w:rsid w:val="00676EC2"/>
    <w:rsid w:val="00676FA5"/>
    <w:rsid w:val="006771A4"/>
    <w:rsid w:val="006771AD"/>
    <w:rsid w:val="006774A8"/>
    <w:rsid w:val="00677572"/>
    <w:rsid w:val="00680521"/>
    <w:rsid w:val="00681229"/>
    <w:rsid w:val="0068185E"/>
    <w:rsid w:val="00681BE5"/>
    <w:rsid w:val="00681E30"/>
    <w:rsid w:val="0068379B"/>
    <w:rsid w:val="00683ACC"/>
    <w:rsid w:val="00683D98"/>
    <w:rsid w:val="00683D99"/>
    <w:rsid w:val="00684079"/>
    <w:rsid w:val="0068629B"/>
    <w:rsid w:val="00686C12"/>
    <w:rsid w:val="00686D75"/>
    <w:rsid w:val="0068736A"/>
    <w:rsid w:val="00687D17"/>
    <w:rsid w:val="00690024"/>
    <w:rsid w:val="006903A4"/>
    <w:rsid w:val="00690CAA"/>
    <w:rsid w:val="00690EFB"/>
    <w:rsid w:val="006912CB"/>
    <w:rsid w:val="0069137B"/>
    <w:rsid w:val="006913EC"/>
    <w:rsid w:val="006914B7"/>
    <w:rsid w:val="00691742"/>
    <w:rsid w:val="00691DEE"/>
    <w:rsid w:val="00692242"/>
    <w:rsid w:val="0069236E"/>
    <w:rsid w:val="00692704"/>
    <w:rsid w:val="00692E67"/>
    <w:rsid w:val="00693ACF"/>
    <w:rsid w:val="00693EE5"/>
    <w:rsid w:val="00693FBC"/>
    <w:rsid w:val="006944C5"/>
    <w:rsid w:val="00694A7E"/>
    <w:rsid w:val="00694B8D"/>
    <w:rsid w:val="0069561C"/>
    <w:rsid w:val="00695634"/>
    <w:rsid w:val="00695CFD"/>
    <w:rsid w:val="0069600D"/>
    <w:rsid w:val="006960C7"/>
    <w:rsid w:val="00696143"/>
    <w:rsid w:val="006963AE"/>
    <w:rsid w:val="00697053"/>
    <w:rsid w:val="006A066A"/>
    <w:rsid w:val="006A06CA"/>
    <w:rsid w:val="006A083E"/>
    <w:rsid w:val="006A0FFD"/>
    <w:rsid w:val="006A116F"/>
    <w:rsid w:val="006A1170"/>
    <w:rsid w:val="006A14A3"/>
    <w:rsid w:val="006A159D"/>
    <w:rsid w:val="006A18BF"/>
    <w:rsid w:val="006A1F58"/>
    <w:rsid w:val="006A242E"/>
    <w:rsid w:val="006A26AB"/>
    <w:rsid w:val="006A298D"/>
    <w:rsid w:val="006A2F80"/>
    <w:rsid w:val="006A3FD6"/>
    <w:rsid w:val="006A4076"/>
    <w:rsid w:val="006A436F"/>
    <w:rsid w:val="006A45D2"/>
    <w:rsid w:val="006A4E5B"/>
    <w:rsid w:val="006A59D8"/>
    <w:rsid w:val="006A5A45"/>
    <w:rsid w:val="006A605F"/>
    <w:rsid w:val="006A6B7B"/>
    <w:rsid w:val="006A78F8"/>
    <w:rsid w:val="006A7991"/>
    <w:rsid w:val="006A7C26"/>
    <w:rsid w:val="006A7E27"/>
    <w:rsid w:val="006A7F5D"/>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C0A91"/>
    <w:rsid w:val="006C0C14"/>
    <w:rsid w:val="006C1818"/>
    <w:rsid w:val="006C1F8B"/>
    <w:rsid w:val="006C2721"/>
    <w:rsid w:val="006C3868"/>
    <w:rsid w:val="006C38FF"/>
    <w:rsid w:val="006C3E6E"/>
    <w:rsid w:val="006C3EEA"/>
    <w:rsid w:val="006C43A6"/>
    <w:rsid w:val="006C4A4A"/>
    <w:rsid w:val="006C53EB"/>
    <w:rsid w:val="006C5D29"/>
    <w:rsid w:val="006C650D"/>
    <w:rsid w:val="006C69A5"/>
    <w:rsid w:val="006C6A4D"/>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B1D"/>
    <w:rsid w:val="006D4F86"/>
    <w:rsid w:val="006D5F98"/>
    <w:rsid w:val="006D6665"/>
    <w:rsid w:val="006D7098"/>
    <w:rsid w:val="006D740E"/>
    <w:rsid w:val="006D7F72"/>
    <w:rsid w:val="006E00B7"/>
    <w:rsid w:val="006E0E5B"/>
    <w:rsid w:val="006E1A04"/>
    <w:rsid w:val="006E3023"/>
    <w:rsid w:val="006E3369"/>
    <w:rsid w:val="006E3D12"/>
    <w:rsid w:val="006E449C"/>
    <w:rsid w:val="006E4726"/>
    <w:rsid w:val="006E4E72"/>
    <w:rsid w:val="006E50D0"/>
    <w:rsid w:val="006E663E"/>
    <w:rsid w:val="006E6EDF"/>
    <w:rsid w:val="006E7BA5"/>
    <w:rsid w:val="006F01E8"/>
    <w:rsid w:val="006F02D7"/>
    <w:rsid w:val="006F0EBB"/>
    <w:rsid w:val="006F1E96"/>
    <w:rsid w:val="006F2D24"/>
    <w:rsid w:val="006F37F7"/>
    <w:rsid w:val="006F38C3"/>
    <w:rsid w:val="006F3909"/>
    <w:rsid w:val="006F4036"/>
    <w:rsid w:val="006F428E"/>
    <w:rsid w:val="006F48E1"/>
    <w:rsid w:val="006F5160"/>
    <w:rsid w:val="006F5374"/>
    <w:rsid w:val="006F60DF"/>
    <w:rsid w:val="006F68C1"/>
    <w:rsid w:val="006F6CE2"/>
    <w:rsid w:val="006F6E10"/>
    <w:rsid w:val="00700F45"/>
    <w:rsid w:val="007014F8"/>
    <w:rsid w:val="0070150D"/>
    <w:rsid w:val="007016D2"/>
    <w:rsid w:val="00701766"/>
    <w:rsid w:val="007018D8"/>
    <w:rsid w:val="007029E8"/>
    <w:rsid w:val="00703107"/>
    <w:rsid w:val="00703138"/>
    <w:rsid w:val="00703277"/>
    <w:rsid w:val="0070356D"/>
    <w:rsid w:val="00703981"/>
    <w:rsid w:val="00703D7E"/>
    <w:rsid w:val="00703DE6"/>
    <w:rsid w:val="0070495F"/>
    <w:rsid w:val="00704B6E"/>
    <w:rsid w:val="00704F73"/>
    <w:rsid w:val="0070508D"/>
    <w:rsid w:val="0070542E"/>
    <w:rsid w:val="00706096"/>
    <w:rsid w:val="007060D4"/>
    <w:rsid w:val="0070624C"/>
    <w:rsid w:val="00706451"/>
    <w:rsid w:val="00707E0F"/>
    <w:rsid w:val="0071068A"/>
    <w:rsid w:val="00710BC6"/>
    <w:rsid w:val="00710E19"/>
    <w:rsid w:val="00710E52"/>
    <w:rsid w:val="0071154B"/>
    <w:rsid w:val="0071174F"/>
    <w:rsid w:val="0071196A"/>
    <w:rsid w:val="00712638"/>
    <w:rsid w:val="00712CEB"/>
    <w:rsid w:val="007131CF"/>
    <w:rsid w:val="007133C0"/>
    <w:rsid w:val="00713613"/>
    <w:rsid w:val="007137C6"/>
    <w:rsid w:val="007138FC"/>
    <w:rsid w:val="0071393D"/>
    <w:rsid w:val="00713E79"/>
    <w:rsid w:val="00714245"/>
    <w:rsid w:val="00715441"/>
    <w:rsid w:val="00715739"/>
    <w:rsid w:val="0071576C"/>
    <w:rsid w:val="00715C94"/>
    <w:rsid w:val="00716A09"/>
    <w:rsid w:val="007170DB"/>
    <w:rsid w:val="00717880"/>
    <w:rsid w:val="00717CA8"/>
    <w:rsid w:val="00720127"/>
    <w:rsid w:val="007205E7"/>
    <w:rsid w:val="007209C4"/>
    <w:rsid w:val="00721ACB"/>
    <w:rsid w:val="00721E9E"/>
    <w:rsid w:val="007227FE"/>
    <w:rsid w:val="007233C3"/>
    <w:rsid w:val="00723C95"/>
    <w:rsid w:val="007244E7"/>
    <w:rsid w:val="00724DFC"/>
    <w:rsid w:val="0072505F"/>
    <w:rsid w:val="00725B00"/>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BFC"/>
    <w:rsid w:val="00740F76"/>
    <w:rsid w:val="00741037"/>
    <w:rsid w:val="0074198F"/>
    <w:rsid w:val="00742153"/>
    <w:rsid w:val="007422B3"/>
    <w:rsid w:val="007424BF"/>
    <w:rsid w:val="007435F1"/>
    <w:rsid w:val="00743DDD"/>
    <w:rsid w:val="00744625"/>
    <w:rsid w:val="007446BB"/>
    <w:rsid w:val="00745882"/>
    <w:rsid w:val="00745A04"/>
    <w:rsid w:val="00745A0F"/>
    <w:rsid w:val="00745DFD"/>
    <w:rsid w:val="00746197"/>
    <w:rsid w:val="0074689C"/>
    <w:rsid w:val="00746B3F"/>
    <w:rsid w:val="00747117"/>
    <w:rsid w:val="007479C2"/>
    <w:rsid w:val="00747A4D"/>
    <w:rsid w:val="00747B0D"/>
    <w:rsid w:val="00751452"/>
    <w:rsid w:val="00751D06"/>
    <w:rsid w:val="007521A5"/>
    <w:rsid w:val="00752243"/>
    <w:rsid w:val="00752E37"/>
    <w:rsid w:val="007531BA"/>
    <w:rsid w:val="00753959"/>
    <w:rsid w:val="00753DD6"/>
    <w:rsid w:val="00754A4A"/>
    <w:rsid w:val="00755C96"/>
    <w:rsid w:val="00756654"/>
    <w:rsid w:val="007567A8"/>
    <w:rsid w:val="0076038C"/>
    <w:rsid w:val="00760F66"/>
    <w:rsid w:val="007611F8"/>
    <w:rsid w:val="00761200"/>
    <w:rsid w:val="007618E2"/>
    <w:rsid w:val="00761931"/>
    <w:rsid w:val="00761BD1"/>
    <w:rsid w:val="007627BA"/>
    <w:rsid w:val="0076291E"/>
    <w:rsid w:val="00762D81"/>
    <w:rsid w:val="0076317B"/>
    <w:rsid w:val="00763CB9"/>
    <w:rsid w:val="007643D5"/>
    <w:rsid w:val="00765366"/>
    <w:rsid w:val="00765914"/>
    <w:rsid w:val="0076614D"/>
    <w:rsid w:val="0076624C"/>
    <w:rsid w:val="0076627D"/>
    <w:rsid w:val="00766304"/>
    <w:rsid w:val="00767A28"/>
    <w:rsid w:val="00767DD2"/>
    <w:rsid w:val="0077082B"/>
    <w:rsid w:val="00770E60"/>
    <w:rsid w:val="00771C8F"/>
    <w:rsid w:val="0077266E"/>
    <w:rsid w:val="0077292E"/>
    <w:rsid w:val="007737D8"/>
    <w:rsid w:val="0077391C"/>
    <w:rsid w:val="00773D24"/>
    <w:rsid w:val="00774547"/>
    <w:rsid w:val="00774576"/>
    <w:rsid w:val="0077508A"/>
    <w:rsid w:val="00775567"/>
    <w:rsid w:val="00775E0D"/>
    <w:rsid w:val="00776343"/>
    <w:rsid w:val="00776416"/>
    <w:rsid w:val="00776C7B"/>
    <w:rsid w:val="00776CEF"/>
    <w:rsid w:val="00777E7E"/>
    <w:rsid w:val="007804DD"/>
    <w:rsid w:val="0078095A"/>
    <w:rsid w:val="00780F3B"/>
    <w:rsid w:val="007816EE"/>
    <w:rsid w:val="00782071"/>
    <w:rsid w:val="00782946"/>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041B"/>
    <w:rsid w:val="0079068C"/>
    <w:rsid w:val="007911B8"/>
    <w:rsid w:val="00791DAE"/>
    <w:rsid w:val="007930E8"/>
    <w:rsid w:val="007935F5"/>
    <w:rsid w:val="00793D04"/>
    <w:rsid w:val="00793F28"/>
    <w:rsid w:val="007944D2"/>
    <w:rsid w:val="00794B19"/>
    <w:rsid w:val="00795B8D"/>
    <w:rsid w:val="00795F0E"/>
    <w:rsid w:val="00797D8F"/>
    <w:rsid w:val="007A0C00"/>
    <w:rsid w:val="007A0E15"/>
    <w:rsid w:val="007A176E"/>
    <w:rsid w:val="007A19BF"/>
    <w:rsid w:val="007A2A69"/>
    <w:rsid w:val="007A2CF1"/>
    <w:rsid w:val="007A41B5"/>
    <w:rsid w:val="007A4486"/>
    <w:rsid w:val="007A4682"/>
    <w:rsid w:val="007A5879"/>
    <w:rsid w:val="007A58A8"/>
    <w:rsid w:val="007A5BDC"/>
    <w:rsid w:val="007A5C1C"/>
    <w:rsid w:val="007A629D"/>
    <w:rsid w:val="007A6610"/>
    <w:rsid w:val="007A6741"/>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051"/>
    <w:rsid w:val="007B341D"/>
    <w:rsid w:val="007B34D1"/>
    <w:rsid w:val="007B3E13"/>
    <w:rsid w:val="007B4046"/>
    <w:rsid w:val="007B4300"/>
    <w:rsid w:val="007B4E9F"/>
    <w:rsid w:val="007B565C"/>
    <w:rsid w:val="007B595F"/>
    <w:rsid w:val="007B5D75"/>
    <w:rsid w:val="007B6388"/>
    <w:rsid w:val="007B6D5E"/>
    <w:rsid w:val="007B7115"/>
    <w:rsid w:val="007B736B"/>
    <w:rsid w:val="007B7E2E"/>
    <w:rsid w:val="007C0853"/>
    <w:rsid w:val="007C0C90"/>
    <w:rsid w:val="007C0E07"/>
    <w:rsid w:val="007C0E86"/>
    <w:rsid w:val="007C1D06"/>
    <w:rsid w:val="007C249E"/>
    <w:rsid w:val="007C26CF"/>
    <w:rsid w:val="007C271B"/>
    <w:rsid w:val="007C2C14"/>
    <w:rsid w:val="007C2D50"/>
    <w:rsid w:val="007C2E38"/>
    <w:rsid w:val="007C3A55"/>
    <w:rsid w:val="007C4166"/>
    <w:rsid w:val="007C430F"/>
    <w:rsid w:val="007C44E1"/>
    <w:rsid w:val="007C48DD"/>
    <w:rsid w:val="007C49D3"/>
    <w:rsid w:val="007C4A05"/>
    <w:rsid w:val="007C5711"/>
    <w:rsid w:val="007C57B9"/>
    <w:rsid w:val="007C5F0B"/>
    <w:rsid w:val="007C6325"/>
    <w:rsid w:val="007C6C53"/>
    <w:rsid w:val="007C73A3"/>
    <w:rsid w:val="007C7975"/>
    <w:rsid w:val="007C7EF5"/>
    <w:rsid w:val="007D06AC"/>
    <w:rsid w:val="007D0741"/>
    <w:rsid w:val="007D0A53"/>
    <w:rsid w:val="007D0FFC"/>
    <w:rsid w:val="007D1013"/>
    <w:rsid w:val="007D19EC"/>
    <w:rsid w:val="007D2285"/>
    <w:rsid w:val="007D2608"/>
    <w:rsid w:val="007D30C3"/>
    <w:rsid w:val="007D35AC"/>
    <w:rsid w:val="007D36B1"/>
    <w:rsid w:val="007D36D7"/>
    <w:rsid w:val="007D3BA1"/>
    <w:rsid w:val="007D3EC8"/>
    <w:rsid w:val="007D40AC"/>
    <w:rsid w:val="007D4317"/>
    <w:rsid w:val="007D4C12"/>
    <w:rsid w:val="007D57C9"/>
    <w:rsid w:val="007D57E0"/>
    <w:rsid w:val="007D583E"/>
    <w:rsid w:val="007D5962"/>
    <w:rsid w:val="007D63B2"/>
    <w:rsid w:val="007D651D"/>
    <w:rsid w:val="007D71B7"/>
    <w:rsid w:val="007D7C66"/>
    <w:rsid w:val="007D7CF3"/>
    <w:rsid w:val="007E0274"/>
    <w:rsid w:val="007E02A7"/>
    <w:rsid w:val="007E0415"/>
    <w:rsid w:val="007E0991"/>
    <w:rsid w:val="007E0B2C"/>
    <w:rsid w:val="007E107F"/>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E95"/>
    <w:rsid w:val="007F137D"/>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79E"/>
    <w:rsid w:val="007F7D12"/>
    <w:rsid w:val="007F7F02"/>
    <w:rsid w:val="00800258"/>
    <w:rsid w:val="00800C97"/>
    <w:rsid w:val="00800CCB"/>
    <w:rsid w:val="0080220F"/>
    <w:rsid w:val="00802735"/>
    <w:rsid w:val="008028C2"/>
    <w:rsid w:val="00802DDB"/>
    <w:rsid w:val="008037D8"/>
    <w:rsid w:val="00803B7E"/>
    <w:rsid w:val="00803DA6"/>
    <w:rsid w:val="008040D9"/>
    <w:rsid w:val="0080436E"/>
    <w:rsid w:val="00804937"/>
    <w:rsid w:val="00804E1E"/>
    <w:rsid w:val="00804E43"/>
    <w:rsid w:val="008050F5"/>
    <w:rsid w:val="0080519C"/>
    <w:rsid w:val="008052F2"/>
    <w:rsid w:val="0081080F"/>
    <w:rsid w:val="00810BC2"/>
    <w:rsid w:val="00811683"/>
    <w:rsid w:val="00811AFF"/>
    <w:rsid w:val="00811ED4"/>
    <w:rsid w:val="00812373"/>
    <w:rsid w:val="00813F3A"/>
    <w:rsid w:val="008140E8"/>
    <w:rsid w:val="00814941"/>
    <w:rsid w:val="00814A65"/>
    <w:rsid w:val="00814BD9"/>
    <w:rsid w:val="008158AC"/>
    <w:rsid w:val="00816805"/>
    <w:rsid w:val="00816BE8"/>
    <w:rsid w:val="00816CD5"/>
    <w:rsid w:val="00816DBD"/>
    <w:rsid w:val="00816FE2"/>
    <w:rsid w:val="00817062"/>
    <w:rsid w:val="00817991"/>
    <w:rsid w:val="00817C12"/>
    <w:rsid w:val="00817F58"/>
    <w:rsid w:val="0082001E"/>
    <w:rsid w:val="008203C5"/>
    <w:rsid w:val="00820B84"/>
    <w:rsid w:val="0082199B"/>
    <w:rsid w:val="00821C2A"/>
    <w:rsid w:val="008225EA"/>
    <w:rsid w:val="008227B7"/>
    <w:rsid w:val="00823828"/>
    <w:rsid w:val="008243A8"/>
    <w:rsid w:val="00824925"/>
    <w:rsid w:val="00824C8B"/>
    <w:rsid w:val="00824DF2"/>
    <w:rsid w:val="008252E8"/>
    <w:rsid w:val="00825BA8"/>
    <w:rsid w:val="00825C14"/>
    <w:rsid w:val="0082641D"/>
    <w:rsid w:val="008267CA"/>
    <w:rsid w:val="0082722B"/>
    <w:rsid w:val="00827543"/>
    <w:rsid w:val="00827C1B"/>
    <w:rsid w:val="0083016B"/>
    <w:rsid w:val="008301F1"/>
    <w:rsid w:val="00830C0E"/>
    <w:rsid w:val="008313E0"/>
    <w:rsid w:val="008317EC"/>
    <w:rsid w:val="0083195D"/>
    <w:rsid w:val="00831B7B"/>
    <w:rsid w:val="00831D90"/>
    <w:rsid w:val="008324F3"/>
    <w:rsid w:val="00832691"/>
    <w:rsid w:val="0083296B"/>
    <w:rsid w:val="00833547"/>
    <w:rsid w:val="00833852"/>
    <w:rsid w:val="00833AB9"/>
    <w:rsid w:val="00834310"/>
    <w:rsid w:val="00834365"/>
    <w:rsid w:val="00834820"/>
    <w:rsid w:val="00834C82"/>
    <w:rsid w:val="00834DB6"/>
    <w:rsid w:val="00834F93"/>
    <w:rsid w:val="00840C4A"/>
    <w:rsid w:val="008411B9"/>
    <w:rsid w:val="0084122F"/>
    <w:rsid w:val="00841573"/>
    <w:rsid w:val="00841D08"/>
    <w:rsid w:val="00842D43"/>
    <w:rsid w:val="0084323E"/>
    <w:rsid w:val="008435E1"/>
    <w:rsid w:val="00843D50"/>
    <w:rsid w:val="0084464E"/>
    <w:rsid w:val="008458BF"/>
    <w:rsid w:val="00846262"/>
    <w:rsid w:val="00846370"/>
    <w:rsid w:val="00847665"/>
    <w:rsid w:val="00847BC5"/>
    <w:rsid w:val="00847F11"/>
    <w:rsid w:val="00850010"/>
    <w:rsid w:val="008503F4"/>
    <w:rsid w:val="008504A0"/>
    <w:rsid w:val="00850AC1"/>
    <w:rsid w:val="00850AF3"/>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60109"/>
    <w:rsid w:val="008601BD"/>
    <w:rsid w:val="00860359"/>
    <w:rsid w:val="00860E43"/>
    <w:rsid w:val="00861252"/>
    <w:rsid w:val="0086171A"/>
    <w:rsid w:val="0086226C"/>
    <w:rsid w:val="00862C76"/>
    <w:rsid w:val="008639BF"/>
    <w:rsid w:val="008644A4"/>
    <w:rsid w:val="00864A6C"/>
    <w:rsid w:val="00864BB1"/>
    <w:rsid w:val="00864DF7"/>
    <w:rsid w:val="00865278"/>
    <w:rsid w:val="008654F9"/>
    <w:rsid w:val="008658C0"/>
    <w:rsid w:val="00866388"/>
    <w:rsid w:val="00866FE3"/>
    <w:rsid w:val="0086722D"/>
    <w:rsid w:val="00867D56"/>
    <w:rsid w:val="00870BAA"/>
    <w:rsid w:val="00870D91"/>
    <w:rsid w:val="008716D1"/>
    <w:rsid w:val="008716ED"/>
    <w:rsid w:val="0087193F"/>
    <w:rsid w:val="008724E6"/>
    <w:rsid w:val="008728C8"/>
    <w:rsid w:val="00873205"/>
    <w:rsid w:val="008735E8"/>
    <w:rsid w:val="0087377E"/>
    <w:rsid w:val="00874043"/>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277"/>
    <w:rsid w:val="00880017"/>
    <w:rsid w:val="00880305"/>
    <w:rsid w:val="008807CC"/>
    <w:rsid w:val="0088088A"/>
    <w:rsid w:val="00880A3F"/>
    <w:rsid w:val="00880EE2"/>
    <w:rsid w:val="00881732"/>
    <w:rsid w:val="008818A2"/>
    <w:rsid w:val="00881E15"/>
    <w:rsid w:val="008820FB"/>
    <w:rsid w:val="0088213D"/>
    <w:rsid w:val="008821C6"/>
    <w:rsid w:val="0088243D"/>
    <w:rsid w:val="0088251A"/>
    <w:rsid w:val="00882D28"/>
    <w:rsid w:val="00883A67"/>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8F1"/>
    <w:rsid w:val="00892BBF"/>
    <w:rsid w:val="00892DB5"/>
    <w:rsid w:val="008942BD"/>
    <w:rsid w:val="008942DE"/>
    <w:rsid w:val="0089478A"/>
    <w:rsid w:val="0089480A"/>
    <w:rsid w:val="00894FE5"/>
    <w:rsid w:val="00895658"/>
    <w:rsid w:val="008956DA"/>
    <w:rsid w:val="00895BA9"/>
    <w:rsid w:val="00895D79"/>
    <w:rsid w:val="0089601B"/>
    <w:rsid w:val="0089655D"/>
    <w:rsid w:val="00896784"/>
    <w:rsid w:val="00896D00"/>
    <w:rsid w:val="00897824"/>
    <w:rsid w:val="00897BCB"/>
    <w:rsid w:val="00897C07"/>
    <w:rsid w:val="00897DBA"/>
    <w:rsid w:val="008A02FA"/>
    <w:rsid w:val="008A053F"/>
    <w:rsid w:val="008A06A8"/>
    <w:rsid w:val="008A1AA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043"/>
    <w:rsid w:val="008A615A"/>
    <w:rsid w:val="008A650C"/>
    <w:rsid w:val="008A6A36"/>
    <w:rsid w:val="008A6CB9"/>
    <w:rsid w:val="008A6DC1"/>
    <w:rsid w:val="008A7100"/>
    <w:rsid w:val="008A7139"/>
    <w:rsid w:val="008A776D"/>
    <w:rsid w:val="008A788F"/>
    <w:rsid w:val="008A7C74"/>
    <w:rsid w:val="008B04C0"/>
    <w:rsid w:val="008B0A83"/>
    <w:rsid w:val="008B0E93"/>
    <w:rsid w:val="008B198D"/>
    <w:rsid w:val="008B2943"/>
    <w:rsid w:val="008B29A4"/>
    <w:rsid w:val="008B2BB4"/>
    <w:rsid w:val="008B2C30"/>
    <w:rsid w:val="008B3660"/>
    <w:rsid w:val="008B3C2B"/>
    <w:rsid w:val="008B4679"/>
    <w:rsid w:val="008B4D00"/>
    <w:rsid w:val="008B4D13"/>
    <w:rsid w:val="008B4E78"/>
    <w:rsid w:val="008B4FE2"/>
    <w:rsid w:val="008B61A1"/>
    <w:rsid w:val="008B66EE"/>
    <w:rsid w:val="008B6793"/>
    <w:rsid w:val="008B6E87"/>
    <w:rsid w:val="008B75C2"/>
    <w:rsid w:val="008B787A"/>
    <w:rsid w:val="008B7E26"/>
    <w:rsid w:val="008C0A89"/>
    <w:rsid w:val="008C0E71"/>
    <w:rsid w:val="008C1852"/>
    <w:rsid w:val="008C2CFF"/>
    <w:rsid w:val="008C2DE3"/>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714"/>
    <w:rsid w:val="008C7E05"/>
    <w:rsid w:val="008C7F4F"/>
    <w:rsid w:val="008D00F3"/>
    <w:rsid w:val="008D0F27"/>
    <w:rsid w:val="008D15A2"/>
    <w:rsid w:val="008D18CD"/>
    <w:rsid w:val="008D1F86"/>
    <w:rsid w:val="008D20E0"/>
    <w:rsid w:val="008D2418"/>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2AF"/>
    <w:rsid w:val="008E211C"/>
    <w:rsid w:val="008E2BB3"/>
    <w:rsid w:val="008E2BC5"/>
    <w:rsid w:val="008E2C79"/>
    <w:rsid w:val="008E3176"/>
    <w:rsid w:val="008E3564"/>
    <w:rsid w:val="008E3A0B"/>
    <w:rsid w:val="008E3A90"/>
    <w:rsid w:val="008E3AAB"/>
    <w:rsid w:val="008E4043"/>
    <w:rsid w:val="008E41AA"/>
    <w:rsid w:val="008E4520"/>
    <w:rsid w:val="008E4B72"/>
    <w:rsid w:val="008E54E8"/>
    <w:rsid w:val="008E5740"/>
    <w:rsid w:val="008E5868"/>
    <w:rsid w:val="008E5C19"/>
    <w:rsid w:val="008E5DC8"/>
    <w:rsid w:val="008E6465"/>
    <w:rsid w:val="008E6C57"/>
    <w:rsid w:val="008E7082"/>
    <w:rsid w:val="008E72AF"/>
    <w:rsid w:val="008F0952"/>
    <w:rsid w:val="008F1154"/>
    <w:rsid w:val="008F1B84"/>
    <w:rsid w:val="008F1B9D"/>
    <w:rsid w:val="008F1DB6"/>
    <w:rsid w:val="008F39C0"/>
    <w:rsid w:val="008F4B56"/>
    <w:rsid w:val="008F57CD"/>
    <w:rsid w:val="008F5960"/>
    <w:rsid w:val="008F5CD0"/>
    <w:rsid w:val="008F6100"/>
    <w:rsid w:val="008F629A"/>
    <w:rsid w:val="008F6A9B"/>
    <w:rsid w:val="008F6F03"/>
    <w:rsid w:val="008F7603"/>
    <w:rsid w:val="008F769D"/>
    <w:rsid w:val="008F76DC"/>
    <w:rsid w:val="008F77D5"/>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77"/>
    <w:rsid w:val="00911D1C"/>
    <w:rsid w:val="00912F38"/>
    <w:rsid w:val="00913C58"/>
    <w:rsid w:val="009140B4"/>
    <w:rsid w:val="00914174"/>
    <w:rsid w:val="0091428A"/>
    <w:rsid w:val="00914733"/>
    <w:rsid w:val="00914AA5"/>
    <w:rsid w:val="009153FC"/>
    <w:rsid w:val="009162DD"/>
    <w:rsid w:val="009163E7"/>
    <w:rsid w:val="0091671A"/>
    <w:rsid w:val="009169F6"/>
    <w:rsid w:val="009170D5"/>
    <w:rsid w:val="0091715C"/>
    <w:rsid w:val="0091719D"/>
    <w:rsid w:val="00917903"/>
    <w:rsid w:val="00920997"/>
    <w:rsid w:val="00920B1E"/>
    <w:rsid w:val="00920DD5"/>
    <w:rsid w:val="00921161"/>
    <w:rsid w:val="00922492"/>
    <w:rsid w:val="009224EB"/>
    <w:rsid w:val="0092272F"/>
    <w:rsid w:val="00922BE2"/>
    <w:rsid w:val="00922EDE"/>
    <w:rsid w:val="0092337C"/>
    <w:rsid w:val="009237D9"/>
    <w:rsid w:val="0092406C"/>
    <w:rsid w:val="00924096"/>
    <w:rsid w:val="009243BC"/>
    <w:rsid w:val="009244D5"/>
    <w:rsid w:val="009252F1"/>
    <w:rsid w:val="00925588"/>
    <w:rsid w:val="00925AF5"/>
    <w:rsid w:val="00926205"/>
    <w:rsid w:val="00926268"/>
    <w:rsid w:val="009264A2"/>
    <w:rsid w:val="0092715D"/>
    <w:rsid w:val="00930632"/>
    <w:rsid w:val="009310BC"/>
    <w:rsid w:val="00931D3F"/>
    <w:rsid w:val="009324C4"/>
    <w:rsid w:val="00932671"/>
    <w:rsid w:val="00932A7A"/>
    <w:rsid w:val="00932E30"/>
    <w:rsid w:val="009330BF"/>
    <w:rsid w:val="00933817"/>
    <w:rsid w:val="00934510"/>
    <w:rsid w:val="0093476C"/>
    <w:rsid w:val="00934D22"/>
    <w:rsid w:val="00935A1E"/>
    <w:rsid w:val="00935B7C"/>
    <w:rsid w:val="00935E3A"/>
    <w:rsid w:val="00936005"/>
    <w:rsid w:val="0093607C"/>
    <w:rsid w:val="00940008"/>
    <w:rsid w:val="00940FFA"/>
    <w:rsid w:val="00941430"/>
    <w:rsid w:val="00941503"/>
    <w:rsid w:val="0094187D"/>
    <w:rsid w:val="00942C90"/>
    <w:rsid w:val="00942F29"/>
    <w:rsid w:val="00942FB6"/>
    <w:rsid w:val="009434EB"/>
    <w:rsid w:val="00943961"/>
    <w:rsid w:val="00943EA6"/>
    <w:rsid w:val="009448F2"/>
    <w:rsid w:val="0094524B"/>
    <w:rsid w:val="009456E3"/>
    <w:rsid w:val="00945759"/>
    <w:rsid w:val="009466E9"/>
    <w:rsid w:val="00946CB3"/>
    <w:rsid w:val="00946D20"/>
    <w:rsid w:val="00946E51"/>
    <w:rsid w:val="00947386"/>
    <w:rsid w:val="009473F4"/>
    <w:rsid w:val="0094767D"/>
    <w:rsid w:val="00950231"/>
    <w:rsid w:val="00950794"/>
    <w:rsid w:val="009507AA"/>
    <w:rsid w:val="009509EF"/>
    <w:rsid w:val="00950F55"/>
    <w:rsid w:val="009515CA"/>
    <w:rsid w:val="00951691"/>
    <w:rsid w:val="00951FCE"/>
    <w:rsid w:val="009521CC"/>
    <w:rsid w:val="0095226C"/>
    <w:rsid w:val="00952C05"/>
    <w:rsid w:val="00952D52"/>
    <w:rsid w:val="009540B7"/>
    <w:rsid w:val="009543D0"/>
    <w:rsid w:val="00954DAE"/>
    <w:rsid w:val="00955410"/>
    <w:rsid w:val="0095555D"/>
    <w:rsid w:val="009558EE"/>
    <w:rsid w:val="009559D5"/>
    <w:rsid w:val="00955C17"/>
    <w:rsid w:val="00955FFA"/>
    <w:rsid w:val="00956170"/>
    <w:rsid w:val="00956BA1"/>
    <w:rsid w:val="00956D42"/>
    <w:rsid w:val="00956F0F"/>
    <w:rsid w:val="0095727F"/>
    <w:rsid w:val="009572AF"/>
    <w:rsid w:val="00957E41"/>
    <w:rsid w:val="0096023A"/>
    <w:rsid w:val="009607AB"/>
    <w:rsid w:val="009613A2"/>
    <w:rsid w:val="009615DB"/>
    <w:rsid w:val="00962683"/>
    <w:rsid w:val="00962E23"/>
    <w:rsid w:val="00963DC1"/>
    <w:rsid w:val="0096487C"/>
    <w:rsid w:val="00964BC2"/>
    <w:rsid w:val="00964D4A"/>
    <w:rsid w:val="00964EAE"/>
    <w:rsid w:val="00965023"/>
    <w:rsid w:val="009650B7"/>
    <w:rsid w:val="0096515D"/>
    <w:rsid w:val="00965841"/>
    <w:rsid w:val="00966623"/>
    <w:rsid w:val="009674D2"/>
    <w:rsid w:val="009678DB"/>
    <w:rsid w:val="00967997"/>
    <w:rsid w:val="0097030D"/>
    <w:rsid w:val="00970728"/>
    <w:rsid w:val="009707C9"/>
    <w:rsid w:val="00970835"/>
    <w:rsid w:val="00971E0B"/>
    <w:rsid w:val="00972101"/>
    <w:rsid w:val="00972B96"/>
    <w:rsid w:val="00972FB5"/>
    <w:rsid w:val="009736FE"/>
    <w:rsid w:val="00973B96"/>
    <w:rsid w:val="00973E3C"/>
    <w:rsid w:val="00974763"/>
    <w:rsid w:val="009757CA"/>
    <w:rsid w:val="00975C9D"/>
    <w:rsid w:val="00976E76"/>
    <w:rsid w:val="009777FB"/>
    <w:rsid w:val="00977A14"/>
    <w:rsid w:val="00977E9B"/>
    <w:rsid w:val="009807BF"/>
    <w:rsid w:val="009809CE"/>
    <w:rsid w:val="0098131F"/>
    <w:rsid w:val="00981479"/>
    <w:rsid w:val="009829B3"/>
    <w:rsid w:val="00982C31"/>
    <w:rsid w:val="00982D45"/>
    <w:rsid w:val="00983165"/>
    <w:rsid w:val="00983343"/>
    <w:rsid w:val="009833C4"/>
    <w:rsid w:val="009834E0"/>
    <w:rsid w:val="009838FF"/>
    <w:rsid w:val="00983FBF"/>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05CE"/>
    <w:rsid w:val="00990A8F"/>
    <w:rsid w:val="0099177B"/>
    <w:rsid w:val="00991E8B"/>
    <w:rsid w:val="0099367E"/>
    <w:rsid w:val="00993FE4"/>
    <w:rsid w:val="0099425E"/>
    <w:rsid w:val="00994CDC"/>
    <w:rsid w:val="009969CD"/>
    <w:rsid w:val="00997094"/>
    <w:rsid w:val="0099770A"/>
    <w:rsid w:val="00997769"/>
    <w:rsid w:val="00997A2E"/>
    <w:rsid w:val="009A048E"/>
    <w:rsid w:val="009A119F"/>
    <w:rsid w:val="009A1609"/>
    <w:rsid w:val="009A1A7E"/>
    <w:rsid w:val="009A2020"/>
    <w:rsid w:val="009A3480"/>
    <w:rsid w:val="009A3DB8"/>
    <w:rsid w:val="009A43B3"/>
    <w:rsid w:val="009A464D"/>
    <w:rsid w:val="009A496F"/>
    <w:rsid w:val="009A4B78"/>
    <w:rsid w:val="009A4D73"/>
    <w:rsid w:val="009A4E41"/>
    <w:rsid w:val="009A5297"/>
    <w:rsid w:val="009A5D40"/>
    <w:rsid w:val="009A5E10"/>
    <w:rsid w:val="009A5E9E"/>
    <w:rsid w:val="009A6665"/>
    <w:rsid w:val="009A743F"/>
    <w:rsid w:val="009A74F7"/>
    <w:rsid w:val="009A753A"/>
    <w:rsid w:val="009B00F2"/>
    <w:rsid w:val="009B0FB2"/>
    <w:rsid w:val="009B1113"/>
    <w:rsid w:val="009B1C34"/>
    <w:rsid w:val="009B1D22"/>
    <w:rsid w:val="009B1E86"/>
    <w:rsid w:val="009B27C4"/>
    <w:rsid w:val="009B2D92"/>
    <w:rsid w:val="009B3250"/>
    <w:rsid w:val="009B42D2"/>
    <w:rsid w:val="009B4A06"/>
    <w:rsid w:val="009B51AF"/>
    <w:rsid w:val="009B609E"/>
    <w:rsid w:val="009B70C8"/>
    <w:rsid w:val="009B737C"/>
    <w:rsid w:val="009B742E"/>
    <w:rsid w:val="009C0AC6"/>
    <w:rsid w:val="009C0E66"/>
    <w:rsid w:val="009C11B2"/>
    <w:rsid w:val="009C1456"/>
    <w:rsid w:val="009C164F"/>
    <w:rsid w:val="009C1C30"/>
    <w:rsid w:val="009C22DD"/>
    <w:rsid w:val="009C29D5"/>
    <w:rsid w:val="009C2DBE"/>
    <w:rsid w:val="009C30A0"/>
    <w:rsid w:val="009C359E"/>
    <w:rsid w:val="009C37FE"/>
    <w:rsid w:val="009C4082"/>
    <w:rsid w:val="009C4A38"/>
    <w:rsid w:val="009C4AD8"/>
    <w:rsid w:val="009C4D3D"/>
    <w:rsid w:val="009C55E2"/>
    <w:rsid w:val="009C5A4E"/>
    <w:rsid w:val="009C5EE5"/>
    <w:rsid w:val="009C61E3"/>
    <w:rsid w:val="009C6B56"/>
    <w:rsid w:val="009C76F9"/>
    <w:rsid w:val="009C7785"/>
    <w:rsid w:val="009C7DB8"/>
    <w:rsid w:val="009C7FF0"/>
    <w:rsid w:val="009D010D"/>
    <w:rsid w:val="009D0244"/>
    <w:rsid w:val="009D0F71"/>
    <w:rsid w:val="009D111C"/>
    <w:rsid w:val="009D17A0"/>
    <w:rsid w:val="009D1F7A"/>
    <w:rsid w:val="009D2873"/>
    <w:rsid w:val="009D2942"/>
    <w:rsid w:val="009D3A1A"/>
    <w:rsid w:val="009D426A"/>
    <w:rsid w:val="009D4DDB"/>
    <w:rsid w:val="009D5BDB"/>
    <w:rsid w:val="009D6B03"/>
    <w:rsid w:val="009D6B3D"/>
    <w:rsid w:val="009D7422"/>
    <w:rsid w:val="009D78E7"/>
    <w:rsid w:val="009E0742"/>
    <w:rsid w:val="009E0D7F"/>
    <w:rsid w:val="009E1291"/>
    <w:rsid w:val="009E12BC"/>
    <w:rsid w:val="009E224D"/>
    <w:rsid w:val="009E26D5"/>
    <w:rsid w:val="009E2A07"/>
    <w:rsid w:val="009E3398"/>
    <w:rsid w:val="009E3577"/>
    <w:rsid w:val="009E3D2B"/>
    <w:rsid w:val="009E3E84"/>
    <w:rsid w:val="009E4097"/>
    <w:rsid w:val="009E4664"/>
    <w:rsid w:val="009E4D8E"/>
    <w:rsid w:val="009E4E90"/>
    <w:rsid w:val="009E4EB7"/>
    <w:rsid w:val="009E57C1"/>
    <w:rsid w:val="009E624A"/>
    <w:rsid w:val="009E6B32"/>
    <w:rsid w:val="009E6CB3"/>
    <w:rsid w:val="009E70F3"/>
    <w:rsid w:val="009E7E98"/>
    <w:rsid w:val="009F00EE"/>
    <w:rsid w:val="009F0827"/>
    <w:rsid w:val="009F0BED"/>
    <w:rsid w:val="009F1673"/>
    <w:rsid w:val="009F3255"/>
    <w:rsid w:val="009F34AA"/>
    <w:rsid w:val="009F3DCE"/>
    <w:rsid w:val="009F44FF"/>
    <w:rsid w:val="009F4669"/>
    <w:rsid w:val="009F46E8"/>
    <w:rsid w:val="009F472D"/>
    <w:rsid w:val="009F4732"/>
    <w:rsid w:val="009F4C14"/>
    <w:rsid w:val="009F4CF0"/>
    <w:rsid w:val="009F4E88"/>
    <w:rsid w:val="009F50D1"/>
    <w:rsid w:val="009F50F5"/>
    <w:rsid w:val="009F573B"/>
    <w:rsid w:val="009F5918"/>
    <w:rsid w:val="009F592A"/>
    <w:rsid w:val="009F596D"/>
    <w:rsid w:val="009F6A91"/>
    <w:rsid w:val="009F71A6"/>
    <w:rsid w:val="009F71AA"/>
    <w:rsid w:val="009F7326"/>
    <w:rsid w:val="009F73AF"/>
    <w:rsid w:val="009F754A"/>
    <w:rsid w:val="009F791F"/>
    <w:rsid w:val="009F7F86"/>
    <w:rsid w:val="00A0034D"/>
    <w:rsid w:val="00A00BFB"/>
    <w:rsid w:val="00A00DCF"/>
    <w:rsid w:val="00A0126C"/>
    <w:rsid w:val="00A012DA"/>
    <w:rsid w:val="00A0187E"/>
    <w:rsid w:val="00A01FBC"/>
    <w:rsid w:val="00A026F0"/>
    <w:rsid w:val="00A02F2D"/>
    <w:rsid w:val="00A02F61"/>
    <w:rsid w:val="00A0381E"/>
    <w:rsid w:val="00A03E0E"/>
    <w:rsid w:val="00A03EFB"/>
    <w:rsid w:val="00A040D1"/>
    <w:rsid w:val="00A04A0A"/>
    <w:rsid w:val="00A050A8"/>
    <w:rsid w:val="00A056A3"/>
    <w:rsid w:val="00A05B51"/>
    <w:rsid w:val="00A06286"/>
    <w:rsid w:val="00A06318"/>
    <w:rsid w:val="00A063BC"/>
    <w:rsid w:val="00A068E1"/>
    <w:rsid w:val="00A06A80"/>
    <w:rsid w:val="00A06D8A"/>
    <w:rsid w:val="00A0711F"/>
    <w:rsid w:val="00A0712E"/>
    <w:rsid w:val="00A07B0B"/>
    <w:rsid w:val="00A102A0"/>
    <w:rsid w:val="00A108C2"/>
    <w:rsid w:val="00A114FA"/>
    <w:rsid w:val="00A11AF3"/>
    <w:rsid w:val="00A12C09"/>
    <w:rsid w:val="00A13084"/>
    <w:rsid w:val="00A13110"/>
    <w:rsid w:val="00A1327F"/>
    <w:rsid w:val="00A13728"/>
    <w:rsid w:val="00A13817"/>
    <w:rsid w:val="00A138D3"/>
    <w:rsid w:val="00A13BAE"/>
    <w:rsid w:val="00A13E0F"/>
    <w:rsid w:val="00A144B7"/>
    <w:rsid w:val="00A149B4"/>
    <w:rsid w:val="00A15F4F"/>
    <w:rsid w:val="00A160AB"/>
    <w:rsid w:val="00A160E6"/>
    <w:rsid w:val="00A160F0"/>
    <w:rsid w:val="00A16745"/>
    <w:rsid w:val="00A16747"/>
    <w:rsid w:val="00A170DE"/>
    <w:rsid w:val="00A20013"/>
    <w:rsid w:val="00A20582"/>
    <w:rsid w:val="00A20C65"/>
    <w:rsid w:val="00A21767"/>
    <w:rsid w:val="00A21FD5"/>
    <w:rsid w:val="00A22751"/>
    <w:rsid w:val="00A22940"/>
    <w:rsid w:val="00A23102"/>
    <w:rsid w:val="00A2343F"/>
    <w:rsid w:val="00A23505"/>
    <w:rsid w:val="00A238E3"/>
    <w:rsid w:val="00A2428B"/>
    <w:rsid w:val="00A2476B"/>
    <w:rsid w:val="00A247E5"/>
    <w:rsid w:val="00A24D81"/>
    <w:rsid w:val="00A24EA5"/>
    <w:rsid w:val="00A25173"/>
    <w:rsid w:val="00A252F0"/>
    <w:rsid w:val="00A259F2"/>
    <w:rsid w:val="00A26041"/>
    <w:rsid w:val="00A26463"/>
    <w:rsid w:val="00A2660E"/>
    <w:rsid w:val="00A26916"/>
    <w:rsid w:val="00A26B47"/>
    <w:rsid w:val="00A26FF1"/>
    <w:rsid w:val="00A272EE"/>
    <w:rsid w:val="00A27806"/>
    <w:rsid w:val="00A279C0"/>
    <w:rsid w:val="00A30422"/>
    <w:rsid w:val="00A3068C"/>
    <w:rsid w:val="00A3127F"/>
    <w:rsid w:val="00A31922"/>
    <w:rsid w:val="00A31BCC"/>
    <w:rsid w:val="00A31C70"/>
    <w:rsid w:val="00A325BB"/>
    <w:rsid w:val="00A3297A"/>
    <w:rsid w:val="00A32A58"/>
    <w:rsid w:val="00A32EEC"/>
    <w:rsid w:val="00A336C5"/>
    <w:rsid w:val="00A34CD5"/>
    <w:rsid w:val="00A3510A"/>
    <w:rsid w:val="00A3515F"/>
    <w:rsid w:val="00A353B4"/>
    <w:rsid w:val="00A35751"/>
    <w:rsid w:val="00A3577F"/>
    <w:rsid w:val="00A35BBC"/>
    <w:rsid w:val="00A35CDB"/>
    <w:rsid w:val="00A35DAB"/>
    <w:rsid w:val="00A361D2"/>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5280"/>
    <w:rsid w:val="00A454AD"/>
    <w:rsid w:val="00A45BF7"/>
    <w:rsid w:val="00A463B5"/>
    <w:rsid w:val="00A463BA"/>
    <w:rsid w:val="00A46675"/>
    <w:rsid w:val="00A471A3"/>
    <w:rsid w:val="00A47597"/>
    <w:rsid w:val="00A47E44"/>
    <w:rsid w:val="00A47F27"/>
    <w:rsid w:val="00A47F91"/>
    <w:rsid w:val="00A504A2"/>
    <w:rsid w:val="00A507D7"/>
    <w:rsid w:val="00A50805"/>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354"/>
    <w:rsid w:val="00A66E37"/>
    <w:rsid w:val="00A66ECF"/>
    <w:rsid w:val="00A670A6"/>
    <w:rsid w:val="00A67C3E"/>
    <w:rsid w:val="00A67E38"/>
    <w:rsid w:val="00A703E4"/>
    <w:rsid w:val="00A7048C"/>
    <w:rsid w:val="00A70DC6"/>
    <w:rsid w:val="00A71080"/>
    <w:rsid w:val="00A71986"/>
    <w:rsid w:val="00A71E73"/>
    <w:rsid w:val="00A726AC"/>
    <w:rsid w:val="00A72740"/>
    <w:rsid w:val="00A73A64"/>
    <w:rsid w:val="00A742AD"/>
    <w:rsid w:val="00A746D7"/>
    <w:rsid w:val="00A74AB2"/>
    <w:rsid w:val="00A75A46"/>
    <w:rsid w:val="00A75B36"/>
    <w:rsid w:val="00A7663A"/>
    <w:rsid w:val="00A7696B"/>
    <w:rsid w:val="00A769D4"/>
    <w:rsid w:val="00A804C7"/>
    <w:rsid w:val="00A80734"/>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415E"/>
    <w:rsid w:val="00A9423F"/>
    <w:rsid w:val="00A94EBD"/>
    <w:rsid w:val="00A9510D"/>
    <w:rsid w:val="00A956AC"/>
    <w:rsid w:val="00A95D2A"/>
    <w:rsid w:val="00A96214"/>
    <w:rsid w:val="00A967E8"/>
    <w:rsid w:val="00A97F4B"/>
    <w:rsid w:val="00AA04C5"/>
    <w:rsid w:val="00AA10B1"/>
    <w:rsid w:val="00AA2803"/>
    <w:rsid w:val="00AA2BF2"/>
    <w:rsid w:val="00AA2D68"/>
    <w:rsid w:val="00AA2D6F"/>
    <w:rsid w:val="00AA3987"/>
    <w:rsid w:val="00AA3B68"/>
    <w:rsid w:val="00AA3E79"/>
    <w:rsid w:val="00AA447C"/>
    <w:rsid w:val="00AA4FB4"/>
    <w:rsid w:val="00AA5C0B"/>
    <w:rsid w:val="00AA5E3B"/>
    <w:rsid w:val="00AA63AD"/>
    <w:rsid w:val="00AA65B4"/>
    <w:rsid w:val="00AA745E"/>
    <w:rsid w:val="00AB04AB"/>
    <w:rsid w:val="00AB0668"/>
    <w:rsid w:val="00AB0733"/>
    <w:rsid w:val="00AB09D2"/>
    <w:rsid w:val="00AB0B64"/>
    <w:rsid w:val="00AB0C30"/>
    <w:rsid w:val="00AB176B"/>
    <w:rsid w:val="00AB1FB9"/>
    <w:rsid w:val="00AB2A0B"/>
    <w:rsid w:val="00AB37E6"/>
    <w:rsid w:val="00AB3DBA"/>
    <w:rsid w:val="00AB431C"/>
    <w:rsid w:val="00AB470E"/>
    <w:rsid w:val="00AB5A7E"/>
    <w:rsid w:val="00AB7538"/>
    <w:rsid w:val="00AB77F3"/>
    <w:rsid w:val="00AC0AAD"/>
    <w:rsid w:val="00AC1231"/>
    <w:rsid w:val="00AC1992"/>
    <w:rsid w:val="00AC1E14"/>
    <w:rsid w:val="00AC2CFA"/>
    <w:rsid w:val="00AC3263"/>
    <w:rsid w:val="00AC3E12"/>
    <w:rsid w:val="00AC406E"/>
    <w:rsid w:val="00AC430C"/>
    <w:rsid w:val="00AC4A6B"/>
    <w:rsid w:val="00AC5C19"/>
    <w:rsid w:val="00AC60F0"/>
    <w:rsid w:val="00AC6657"/>
    <w:rsid w:val="00AC6B5E"/>
    <w:rsid w:val="00AC6D7A"/>
    <w:rsid w:val="00AC72B0"/>
    <w:rsid w:val="00AC7363"/>
    <w:rsid w:val="00AC7401"/>
    <w:rsid w:val="00AC7901"/>
    <w:rsid w:val="00AC79F3"/>
    <w:rsid w:val="00AC7FDD"/>
    <w:rsid w:val="00AD0949"/>
    <w:rsid w:val="00AD0F1D"/>
    <w:rsid w:val="00AD1179"/>
    <w:rsid w:val="00AD1359"/>
    <w:rsid w:val="00AD19F0"/>
    <w:rsid w:val="00AD1FCE"/>
    <w:rsid w:val="00AD26E1"/>
    <w:rsid w:val="00AD29CC"/>
    <w:rsid w:val="00AD2AAA"/>
    <w:rsid w:val="00AD3268"/>
    <w:rsid w:val="00AD3DE2"/>
    <w:rsid w:val="00AD4261"/>
    <w:rsid w:val="00AD46F5"/>
    <w:rsid w:val="00AD512D"/>
    <w:rsid w:val="00AD51A3"/>
    <w:rsid w:val="00AD598B"/>
    <w:rsid w:val="00AD62BF"/>
    <w:rsid w:val="00AD7154"/>
    <w:rsid w:val="00AD797D"/>
    <w:rsid w:val="00AD7ACA"/>
    <w:rsid w:val="00AD7E02"/>
    <w:rsid w:val="00AE0483"/>
    <w:rsid w:val="00AE08DD"/>
    <w:rsid w:val="00AE0A10"/>
    <w:rsid w:val="00AE13BD"/>
    <w:rsid w:val="00AE1AF9"/>
    <w:rsid w:val="00AE1E60"/>
    <w:rsid w:val="00AE2068"/>
    <w:rsid w:val="00AE2258"/>
    <w:rsid w:val="00AE277E"/>
    <w:rsid w:val="00AE2A36"/>
    <w:rsid w:val="00AE2BC6"/>
    <w:rsid w:val="00AE3251"/>
    <w:rsid w:val="00AE3FE0"/>
    <w:rsid w:val="00AE4223"/>
    <w:rsid w:val="00AE44A2"/>
    <w:rsid w:val="00AE47F6"/>
    <w:rsid w:val="00AE5058"/>
    <w:rsid w:val="00AE51CD"/>
    <w:rsid w:val="00AE5471"/>
    <w:rsid w:val="00AE54AA"/>
    <w:rsid w:val="00AE60E4"/>
    <w:rsid w:val="00AE6872"/>
    <w:rsid w:val="00AE6C58"/>
    <w:rsid w:val="00AE6EE4"/>
    <w:rsid w:val="00AE72C4"/>
    <w:rsid w:val="00AE79C7"/>
    <w:rsid w:val="00AE7F05"/>
    <w:rsid w:val="00AE7F38"/>
    <w:rsid w:val="00AF054D"/>
    <w:rsid w:val="00AF0939"/>
    <w:rsid w:val="00AF1813"/>
    <w:rsid w:val="00AF24E7"/>
    <w:rsid w:val="00AF272B"/>
    <w:rsid w:val="00AF291B"/>
    <w:rsid w:val="00AF2DAA"/>
    <w:rsid w:val="00AF2EBD"/>
    <w:rsid w:val="00AF33AE"/>
    <w:rsid w:val="00AF44B1"/>
    <w:rsid w:val="00AF5800"/>
    <w:rsid w:val="00AF6986"/>
    <w:rsid w:val="00AF6D1B"/>
    <w:rsid w:val="00AF73ED"/>
    <w:rsid w:val="00AF7D69"/>
    <w:rsid w:val="00AF7E65"/>
    <w:rsid w:val="00AF7ED2"/>
    <w:rsid w:val="00B004D8"/>
    <w:rsid w:val="00B00830"/>
    <w:rsid w:val="00B00CC5"/>
    <w:rsid w:val="00B01135"/>
    <w:rsid w:val="00B016D2"/>
    <w:rsid w:val="00B02091"/>
    <w:rsid w:val="00B02B43"/>
    <w:rsid w:val="00B02BCB"/>
    <w:rsid w:val="00B03D36"/>
    <w:rsid w:val="00B04540"/>
    <w:rsid w:val="00B05116"/>
    <w:rsid w:val="00B051A7"/>
    <w:rsid w:val="00B05F1A"/>
    <w:rsid w:val="00B071C4"/>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645"/>
    <w:rsid w:val="00B137BF"/>
    <w:rsid w:val="00B13A1B"/>
    <w:rsid w:val="00B142D9"/>
    <w:rsid w:val="00B1448E"/>
    <w:rsid w:val="00B14BC4"/>
    <w:rsid w:val="00B158A3"/>
    <w:rsid w:val="00B15B25"/>
    <w:rsid w:val="00B15EA0"/>
    <w:rsid w:val="00B16B42"/>
    <w:rsid w:val="00B17A4E"/>
    <w:rsid w:val="00B17B30"/>
    <w:rsid w:val="00B17C2F"/>
    <w:rsid w:val="00B2153E"/>
    <w:rsid w:val="00B21FA7"/>
    <w:rsid w:val="00B22022"/>
    <w:rsid w:val="00B225E4"/>
    <w:rsid w:val="00B23F7A"/>
    <w:rsid w:val="00B240B1"/>
    <w:rsid w:val="00B24208"/>
    <w:rsid w:val="00B24728"/>
    <w:rsid w:val="00B248A9"/>
    <w:rsid w:val="00B24D28"/>
    <w:rsid w:val="00B24F1C"/>
    <w:rsid w:val="00B25890"/>
    <w:rsid w:val="00B25D76"/>
    <w:rsid w:val="00B263A3"/>
    <w:rsid w:val="00B27032"/>
    <w:rsid w:val="00B30003"/>
    <w:rsid w:val="00B30734"/>
    <w:rsid w:val="00B30E2F"/>
    <w:rsid w:val="00B31201"/>
    <w:rsid w:val="00B31B4B"/>
    <w:rsid w:val="00B31CD5"/>
    <w:rsid w:val="00B31E36"/>
    <w:rsid w:val="00B32E26"/>
    <w:rsid w:val="00B338B7"/>
    <w:rsid w:val="00B34061"/>
    <w:rsid w:val="00B340C8"/>
    <w:rsid w:val="00B3440A"/>
    <w:rsid w:val="00B34441"/>
    <w:rsid w:val="00B35534"/>
    <w:rsid w:val="00B35A87"/>
    <w:rsid w:val="00B35AFD"/>
    <w:rsid w:val="00B35F9A"/>
    <w:rsid w:val="00B36236"/>
    <w:rsid w:val="00B362B3"/>
    <w:rsid w:val="00B3662E"/>
    <w:rsid w:val="00B366D2"/>
    <w:rsid w:val="00B366FA"/>
    <w:rsid w:val="00B36E86"/>
    <w:rsid w:val="00B379BA"/>
    <w:rsid w:val="00B412FD"/>
    <w:rsid w:val="00B422BE"/>
    <w:rsid w:val="00B4238F"/>
    <w:rsid w:val="00B4241D"/>
    <w:rsid w:val="00B426BB"/>
    <w:rsid w:val="00B42EB9"/>
    <w:rsid w:val="00B434E9"/>
    <w:rsid w:val="00B441FE"/>
    <w:rsid w:val="00B44821"/>
    <w:rsid w:val="00B44AD3"/>
    <w:rsid w:val="00B45152"/>
    <w:rsid w:val="00B45E54"/>
    <w:rsid w:val="00B464E4"/>
    <w:rsid w:val="00B4689A"/>
    <w:rsid w:val="00B46D5F"/>
    <w:rsid w:val="00B46E7B"/>
    <w:rsid w:val="00B47DC5"/>
    <w:rsid w:val="00B505B3"/>
    <w:rsid w:val="00B50A74"/>
    <w:rsid w:val="00B520A0"/>
    <w:rsid w:val="00B5257E"/>
    <w:rsid w:val="00B525CE"/>
    <w:rsid w:val="00B52CFD"/>
    <w:rsid w:val="00B545A8"/>
    <w:rsid w:val="00B56527"/>
    <w:rsid w:val="00B576DA"/>
    <w:rsid w:val="00B57710"/>
    <w:rsid w:val="00B601C9"/>
    <w:rsid w:val="00B60D04"/>
    <w:rsid w:val="00B61EE8"/>
    <w:rsid w:val="00B6229D"/>
    <w:rsid w:val="00B633A3"/>
    <w:rsid w:val="00B63533"/>
    <w:rsid w:val="00B63BDB"/>
    <w:rsid w:val="00B642E4"/>
    <w:rsid w:val="00B64A0E"/>
    <w:rsid w:val="00B64CC6"/>
    <w:rsid w:val="00B64DDF"/>
    <w:rsid w:val="00B65728"/>
    <w:rsid w:val="00B6601E"/>
    <w:rsid w:val="00B663AA"/>
    <w:rsid w:val="00B66DD5"/>
    <w:rsid w:val="00B67B97"/>
    <w:rsid w:val="00B67F01"/>
    <w:rsid w:val="00B711AB"/>
    <w:rsid w:val="00B714F0"/>
    <w:rsid w:val="00B71A40"/>
    <w:rsid w:val="00B71C8C"/>
    <w:rsid w:val="00B71CB4"/>
    <w:rsid w:val="00B71FD7"/>
    <w:rsid w:val="00B7210F"/>
    <w:rsid w:val="00B725E7"/>
    <w:rsid w:val="00B72C07"/>
    <w:rsid w:val="00B72DF7"/>
    <w:rsid w:val="00B72F42"/>
    <w:rsid w:val="00B73E44"/>
    <w:rsid w:val="00B74290"/>
    <w:rsid w:val="00B74510"/>
    <w:rsid w:val="00B74BD4"/>
    <w:rsid w:val="00B74BF7"/>
    <w:rsid w:val="00B76185"/>
    <w:rsid w:val="00B7676C"/>
    <w:rsid w:val="00B76BCD"/>
    <w:rsid w:val="00B76FBC"/>
    <w:rsid w:val="00B7782B"/>
    <w:rsid w:val="00B779E6"/>
    <w:rsid w:val="00B804E2"/>
    <w:rsid w:val="00B811B2"/>
    <w:rsid w:val="00B82024"/>
    <w:rsid w:val="00B82412"/>
    <w:rsid w:val="00B8276E"/>
    <w:rsid w:val="00B83997"/>
    <w:rsid w:val="00B83A62"/>
    <w:rsid w:val="00B83B59"/>
    <w:rsid w:val="00B84252"/>
    <w:rsid w:val="00B8468F"/>
    <w:rsid w:val="00B84FC6"/>
    <w:rsid w:val="00B857F5"/>
    <w:rsid w:val="00B86D6C"/>
    <w:rsid w:val="00B86F47"/>
    <w:rsid w:val="00B874B4"/>
    <w:rsid w:val="00B875E9"/>
    <w:rsid w:val="00B875ED"/>
    <w:rsid w:val="00B8787A"/>
    <w:rsid w:val="00B87887"/>
    <w:rsid w:val="00B90123"/>
    <w:rsid w:val="00B90196"/>
    <w:rsid w:val="00B911C1"/>
    <w:rsid w:val="00B92008"/>
    <w:rsid w:val="00B922C3"/>
    <w:rsid w:val="00B9272E"/>
    <w:rsid w:val="00B927A7"/>
    <w:rsid w:val="00B92B9E"/>
    <w:rsid w:val="00B92E1F"/>
    <w:rsid w:val="00B93315"/>
    <w:rsid w:val="00B93519"/>
    <w:rsid w:val="00B9372A"/>
    <w:rsid w:val="00B9425C"/>
    <w:rsid w:val="00B94AAF"/>
    <w:rsid w:val="00B953FF"/>
    <w:rsid w:val="00B9622D"/>
    <w:rsid w:val="00B96263"/>
    <w:rsid w:val="00B964C5"/>
    <w:rsid w:val="00B968A5"/>
    <w:rsid w:val="00B972CD"/>
    <w:rsid w:val="00B97D02"/>
    <w:rsid w:val="00BA0304"/>
    <w:rsid w:val="00BA0557"/>
    <w:rsid w:val="00BA3038"/>
    <w:rsid w:val="00BA370A"/>
    <w:rsid w:val="00BA48BC"/>
    <w:rsid w:val="00BA4A29"/>
    <w:rsid w:val="00BA4BE7"/>
    <w:rsid w:val="00BA59CD"/>
    <w:rsid w:val="00BA5F20"/>
    <w:rsid w:val="00BA68D9"/>
    <w:rsid w:val="00BA7172"/>
    <w:rsid w:val="00BA7B01"/>
    <w:rsid w:val="00BB02D7"/>
    <w:rsid w:val="00BB0D9F"/>
    <w:rsid w:val="00BB0DEE"/>
    <w:rsid w:val="00BB0FF1"/>
    <w:rsid w:val="00BB1031"/>
    <w:rsid w:val="00BB1B33"/>
    <w:rsid w:val="00BB2480"/>
    <w:rsid w:val="00BB2C4E"/>
    <w:rsid w:val="00BB2E29"/>
    <w:rsid w:val="00BB2F74"/>
    <w:rsid w:val="00BB3206"/>
    <w:rsid w:val="00BB32C2"/>
    <w:rsid w:val="00BB350D"/>
    <w:rsid w:val="00BB3B0D"/>
    <w:rsid w:val="00BB524C"/>
    <w:rsid w:val="00BB541D"/>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5A"/>
    <w:rsid w:val="00BC3EEB"/>
    <w:rsid w:val="00BC4780"/>
    <w:rsid w:val="00BC4970"/>
    <w:rsid w:val="00BC4F46"/>
    <w:rsid w:val="00BC52C8"/>
    <w:rsid w:val="00BC5485"/>
    <w:rsid w:val="00BC549C"/>
    <w:rsid w:val="00BC570E"/>
    <w:rsid w:val="00BC5A6C"/>
    <w:rsid w:val="00BC5AF6"/>
    <w:rsid w:val="00BC5B4B"/>
    <w:rsid w:val="00BC5EDB"/>
    <w:rsid w:val="00BC6820"/>
    <w:rsid w:val="00BC69A2"/>
    <w:rsid w:val="00BC6ED6"/>
    <w:rsid w:val="00BC6F03"/>
    <w:rsid w:val="00BC6FA1"/>
    <w:rsid w:val="00BD0570"/>
    <w:rsid w:val="00BD0853"/>
    <w:rsid w:val="00BD112D"/>
    <w:rsid w:val="00BD19D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E09C3"/>
    <w:rsid w:val="00BE0C27"/>
    <w:rsid w:val="00BE15BB"/>
    <w:rsid w:val="00BE198F"/>
    <w:rsid w:val="00BE2EDF"/>
    <w:rsid w:val="00BE3061"/>
    <w:rsid w:val="00BE32F0"/>
    <w:rsid w:val="00BE473E"/>
    <w:rsid w:val="00BE52A3"/>
    <w:rsid w:val="00BE5964"/>
    <w:rsid w:val="00BE660B"/>
    <w:rsid w:val="00BE6AFE"/>
    <w:rsid w:val="00BE6BBE"/>
    <w:rsid w:val="00BE7021"/>
    <w:rsid w:val="00BE7300"/>
    <w:rsid w:val="00BE784F"/>
    <w:rsid w:val="00BF0238"/>
    <w:rsid w:val="00BF0717"/>
    <w:rsid w:val="00BF071D"/>
    <w:rsid w:val="00BF1750"/>
    <w:rsid w:val="00BF178E"/>
    <w:rsid w:val="00BF189F"/>
    <w:rsid w:val="00BF1B44"/>
    <w:rsid w:val="00BF1F01"/>
    <w:rsid w:val="00BF23CC"/>
    <w:rsid w:val="00BF243F"/>
    <w:rsid w:val="00BF4C2B"/>
    <w:rsid w:val="00BF507A"/>
    <w:rsid w:val="00BF53F1"/>
    <w:rsid w:val="00BF5717"/>
    <w:rsid w:val="00BF5B9D"/>
    <w:rsid w:val="00BF5FA3"/>
    <w:rsid w:val="00BF62F2"/>
    <w:rsid w:val="00BF63A5"/>
    <w:rsid w:val="00BF72A7"/>
    <w:rsid w:val="00BF7558"/>
    <w:rsid w:val="00C00E11"/>
    <w:rsid w:val="00C0111E"/>
    <w:rsid w:val="00C02676"/>
    <w:rsid w:val="00C029AB"/>
    <w:rsid w:val="00C03BD5"/>
    <w:rsid w:val="00C03C8B"/>
    <w:rsid w:val="00C03F3C"/>
    <w:rsid w:val="00C044D8"/>
    <w:rsid w:val="00C049BE"/>
    <w:rsid w:val="00C04A71"/>
    <w:rsid w:val="00C04DF0"/>
    <w:rsid w:val="00C05A4C"/>
    <w:rsid w:val="00C05A67"/>
    <w:rsid w:val="00C06530"/>
    <w:rsid w:val="00C073E0"/>
    <w:rsid w:val="00C11113"/>
    <w:rsid w:val="00C11687"/>
    <w:rsid w:val="00C11E28"/>
    <w:rsid w:val="00C1225B"/>
    <w:rsid w:val="00C122F9"/>
    <w:rsid w:val="00C1253A"/>
    <w:rsid w:val="00C128C9"/>
    <w:rsid w:val="00C12CF3"/>
    <w:rsid w:val="00C12F88"/>
    <w:rsid w:val="00C131A8"/>
    <w:rsid w:val="00C1322D"/>
    <w:rsid w:val="00C135A3"/>
    <w:rsid w:val="00C13982"/>
    <w:rsid w:val="00C1477A"/>
    <w:rsid w:val="00C14A62"/>
    <w:rsid w:val="00C158EB"/>
    <w:rsid w:val="00C159B1"/>
    <w:rsid w:val="00C161F5"/>
    <w:rsid w:val="00C16C92"/>
    <w:rsid w:val="00C1706B"/>
    <w:rsid w:val="00C17648"/>
    <w:rsid w:val="00C17DB7"/>
    <w:rsid w:val="00C17E48"/>
    <w:rsid w:val="00C17FF5"/>
    <w:rsid w:val="00C201E7"/>
    <w:rsid w:val="00C20AA2"/>
    <w:rsid w:val="00C20B91"/>
    <w:rsid w:val="00C21155"/>
    <w:rsid w:val="00C2146C"/>
    <w:rsid w:val="00C214D7"/>
    <w:rsid w:val="00C21561"/>
    <w:rsid w:val="00C217EE"/>
    <w:rsid w:val="00C21F03"/>
    <w:rsid w:val="00C22784"/>
    <w:rsid w:val="00C227D6"/>
    <w:rsid w:val="00C23A4C"/>
    <w:rsid w:val="00C2419D"/>
    <w:rsid w:val="00C243A4"/>
    <w:rsid w:val="00C24416"/>
    <w:rsid w:val="00C248DB"/>
    <w:rsid w:val="00C26170"/>
    <w:rsid w:val="00C26B5A"/>
    <w:rsid w:val="00C26D52"/>
    <w:rsid w:val="00C303E4"/>
    <w:rsid w:val="00C30775"/>
    <w:rsid w:val="00C30B8D"/>
    <w:rsid w:val="00C3134E"/>
    <w:rsid w:val="00C315D8"/>
    <w:rsid w:val="00C31BDD"/>
    <w:rsid w:val="00C31C4A"/>
    <w:rsid w:val="00C31D2D"/>
    <w:rsid w:val="00C320EF"/>
    <w:rsid w:val="00C32639"/>
    <w:rsid w:val="00C32AD2"/>
    <w:rsid w:val="00C34193"/>
    <w:rsid w:val="00C347FD"/>
    <w:rsid w:val="00C34DAE"/>
    <w:rsid w:val="00C34E1E"/>
    <w:rsid w:val="00C34E5A"/>
    <w:rsid w:val="00C357AE"/>
    <w:rsid w:val="00C36219"/>
    <w:rsid w:val="00C36440"/>
    <w:rsid w:val="00C3698E"/>
    <w:rsid w:val="00C36CCA"/>
    <w:rsid w:val="00C36E1C"/>
    <w:rsid w:val="00C36F42"/>
    <w:rsid w:val="00C3718A"/>
    <w:rsid w:val="00C379C5"/>
    <w:rsid w:val="00C37EEE"/>
    <w:rsid w:val="00C402B6"/>
    <w:rsid w:val="00C40453"/>
    <w:rsid w:val="00C40E71"/>
    <w:rsid w:val="00C41879"/>
    <w:rsid w:val="00C41A7C"/>
    <w:rsid w:val="00C42CEF"/>
    <w:rsid w:val="00C42D55"/>
    <w:rsid w:val="00C43080"/>
    <w:rsid w:val="00C4370E"/>
    <w:rsid w:val="00C43823"/>
    <w:rsid w:val="00C4384B"/>
    <w:rsid w:val="00C4393C"/>
    <w:rsid w:val="00C44068"/>
    <w:rsid w:val="00C442AE"/>
    <w:rsid w:val="00C4518B"/>
    <w:rsid w:val="00C45581"/>
    <w:rsid w:val="00C45780"/>
    <w:rsid w:val="00C458D6"/>
    <w:rsid w:val="00C46268"/>
    <w:rsid w:val="00C4655A"/>
    <w:rsid w:val="00C466BF"/>
    <w:rsid w:val="00C47385"/>
    <w:rsid w:val="00C47555"/>
    <w:rsid w:val="00C476AC"/>
    <w:rsid w:val="00C47E67"/>
    <w:rsid w:val="00C47FD9"/>
    <w:rsid w:val="00C50C1A"/>
    <w:rsid w:val="00C50FB6"/>
    <w:rsid w:val="00C51508"/>
    <w:rsid w:val="00C51D73"/>
    <w:rsid w:val="00C52A05"/>
    <w:rsid w:val="00C52E97"/>
    <w:rsid w:val="00C52EAF"/>
    <w:rsid w:val="00C53189"/>
    <w:rsid w:val="00C534E5"/>
    <w:rsid w:val="00C534F4"/>
    <w:rsid w:val="00C535DD"/>
    <w:rsid w:val="00C5375B"/>
    <w:rsid w:val="00C53B15"/>
    <w:rsid w:val="00C53DA9"/>
    <w:rsid w:val="00C53EF7"/>
    <w:rsid w:val="00C54280"/>
    <w:rsid w:val="00C54929"/>
    <w:rsid w:val="00C54F2C"/>
    <w:rsid w:val="00C556B1"/>
    <w:rsid w:val="00C55A05"/>
    <w:rsid w:val="00C56101"/>
    <w:rsid w:val="00C565F2"/>
    <w:rsid w:val="00C56C45"/>
    <w:rsid w:val="00C56E00"/>
    <w:rsid w:val="00C573CC"/>
    <w:rsid w:val="00C5770F"/>
    <w:rsid w:val="00C57B81"/>
    <w:rsid w:val="00C57FB9"/>
    <w:rsid w:val="00C6077B"/>
    <w:rsid w:val="00C60950"/>
    <w:rsid w:val="00C60DD1"/>
    <w:rsid w:val="00C61565"/>
    <w:rsid w:val="00C61574"/>
    <w:rsid w:val="00C615B4"/>
    <w:rsid w:val="00C61765"/>
    <w:rsid w:val="00C6211D"/>
    <w:rsid w:val="00C62B32"/>
    <w:rsid w:val="00C6397F"/>
    <w:rsid w:val="00C63DED"/>
    <w:rsid w:val="00C63E88"/>
    <w:rsid w:val="00C64F97"/>
    <w:rsid w:val="00C65585"/>
    <w:rsid w:val="00C656EB"/>
    <w:rsid w:val="00C65C5A"/>
    <w:rsid w:val="00C65D7B"/>
    <w:rsid w:val="00C65DF4"/>
    <w:rsid w:val="00C67B49"/>
    <w:rsid w:val="00C711F5"/>
    <w:rsid w:val="00C713A1"/>
    <w:rsid w:val="00C71828"/>
    <w:rsid w:val="00C72105"/>
    <w:rsid w:val="00C72BCE"/>
    <w:rsid w:val="00C7388C"/>
    <w:rsid w:val="00C74954"/>
    <w:rsid w:val="00C76028"/>
    <w:rsid w:val="00C76184"/>
    <w:rsid w:val="00C7673D"/>
    <w:rsid w:val="00C76A80"/>
    <w:rsid w:val="00C76C27"/>
    <w:rsid w:val="00C76F07"/>
    <w:rsid w:val="00C77EF6"/>
    <w:rsid w:val="00C77FD2"/>
    <w:rsid w:val="00C807D7"/>
    <w:rsid w:val="00C80B4B"/>
    <w:rsid w:val="00C80D63"/>
    <w:rsid w:val="00C812D5"/>
    <w:rsid w:val="00C81BEA"/>
    <w:rsid w:val="00C81DF5"/>
    <w:rsid w:val="00C82188"/>
    <w:rsid w:val="00C8242B"/>
    <w:rsid w:val="00C826C0"/>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4F6"/>
    <w:rsid w:val="00C93874"/>
    <w:rsid w:val="00C93A4C"/>
    <w:rsid w:val="00C94FD2"/>
    <w:rsid w:val="00C95341"/>
    <w:rsid w:val="00C95B76"/>
    <w:rsid w:val="00C96310"/>
    <w:rsid w:val="00C964C3"/>
    <w:rsid w:val="00C96635"/>
    <w:rsid w:val="00C966B7"/>
    <w:rsid w:val="00C969DB"/>
    <w:rsid w:val="00C97A4A"/>
    <w:rsid w:val="00C97DC9"/>
    <w:rsid w:val="00C97EE3"/>
    <w:rsid w:val="00CA12BA"/>
    <w:rsid w:val="00CA165C"/>
    <w:rsid w:val="00CA1C0D"/>
    <w:rsid w:val="00CA1DAE"/>
    <w:rsid w:val="00CA2267"/>
    <w:rsid w:val="00CA333A"/>
    <w:rsid w:val="00CA38AD"/>
    <w:rsid w:val="00CA4E71"/>
    <w:rsid w:val="00CA5098"/>
    <w:rsid w:val="00CA5503"/>
    <w:rsid w:val="00CA55C3"/>
    <w:rsid w:val="00CA6463"/>
    <w:rsid w:val="00CA66C3"/>
    <w:rsid w:val="00CA6CAD"/>
    <w:rsid w:val="00CA70A8"/>
    <w:rsid w:val="00CA70D0"/>
    <w:rsid w:val="00CA74A4"/>
    <w:rsid w:val="00CA7683"/>
    <w:rsid w:val="00CA7EA1"/>
    <w:rsid w:val="00CA7EEB"/>
    <w:rsid w:val="00CB009B"/>
    <w:rsid w:val="00CB0231"/>
    <w:rsid w:val="00CB0838"/>
    <w:rsid w:val="00CB1AFD"/>
    <w:rsid w:val="00CB1EB3"/>
    <w:rsid w:val="00CB2126"/>
    <w:rsid w:val="00CB24AD"/>
    <w:rsid w:val="00CB2C59"/>
    <w:rsid w:val="00CB2D9C"/>
    <w:rsid w:val="00CB34AB"/>
    <w:rsid w:val="00CB3529"/>
    <w:rsid w:val="00CB38A9"/>
    <w:rsid w:val="00CB3C55"/>
    <w:rsid w:val="00CB4728"/>
    <w:rsid w:val="00CB59E7"/>
    <w:rsid w:val="00CB5E4A"/>
    <w:rsid w:val="00CB685C"/>
    <w:rsid w:val="00CB6FCA"/>
    <w:rsid w:val="00CB724D"/>
    <w:rsid w:val="00CB73EA"/>
    <w:rsid w:val="00CB795F"/>
    <w:rsid w:val="00CB7D4E"/>
    <w:rsid w:val="00CC002B"/>
    <w:rsid w:val="00CC07E5"/>
    <w:rsid w:val="00CC09F0"/>
    <w:rsid w:val="00CC0C11"/>
    <w:rsid w:val="00CC1F52"/>
    <w:rsid w:val="00CC233F"/>
    <w:rsid w:val="00CC27FD"/>
    <w:rsid w:val="00CC31E8"/>
    <w:rsid w:val="00CC3AB9"/>
    <w:rsid w:val="00CC3C9E"/>
    <w:rsid w:val="00CC45E0"/>
    <w:rsid w:val="00CC4BBE"/>
    <w:rsid w:val="00CC4BC3"/>
    <w:rsid w:val="00CC50A3"/>
    <w:rsid w:val="00CC50C7"/>
    <w:rsid w:val="00CC55AC"/>
    <w:rsid w:val="00CC5859"/>
    <w:rsid w:val="00CC71F3"/>
    <w:rsid w:val="00CC72C0"/>
    <w:rsid w:val="00CC757D"/>
    <w:rsid w:val="00CC7C74"/>
    <w:rsid w:val="00CD001C"/>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3E92"/>
    <w:rsid w:val="00CD40A3"/>
    <w:rsid w:val="00CD4CD3"/>
    <w:rsid w:val="00CD589F"/>
    <w:rsid w:val="00CD60C9"/>
    <w:rsid w:val="00CD6345"/>
    <w:rsid w:val="00CD6BBB"/>
    <w:rsid w:val="00CD7482"/>
    <w:rsid w:val="00CD7796"/>
    <w:rsid w:val="00CE07C1"/>
    <w:rsid w:val="00CE1567"/>
    <w:rsid w:val="00CE186F"/>
    <w:rsid w:val="00CE1C09"/>
    <w:rsid w:val="00CE20E3"/>
    <w:rsid w:val="00CE273A"/>
    <w:rsid w:val="00CE321C"/>
    <w:rsid w:val="00CE32E8"/>
    <w:rsid w:val="00CE3700"/>
    <w:rsid w:val="00CE3B69"/>
    <w:rsid w:val="00CE4559"/>
    <w:rsid w:val="00CE5118"/>
    <w:rsid w:val="00CE5487"/>
    <w:rsid w:val="00CE59B5"/>
    <w:rsid w:val="00CE59DB"/>
    <w:rsid w:val="00CE5D3A"/>
    <w:rsid w:val="00CE7381"/>
    <w:rsid w:val="00CE7447"/>
    <w:rsid w:val="00CE74CE"/>
    <w:rsid w:val="00CF0829"/>
    <w:rsid w:val="00CF0E74"/>
    <w:rsid w:val="00CF1833"/>
    <w:rsid w:val="00CF1AEA"/>
    <w:rsid w:val="00CF2091"/>
    <w:rsid w:val="00CF21F6"/>
    <w:rsid w:val="00CF2278"/>
    <w:rsid w:val="00CF2C62"/>
    <w:rsid w:val="00CF2F66"/>
    <w:rsid w:val="00CF337B"/>
    <w:rsid w:val="00CF361E"/>
    <w:rsid w:val="00CF3826"/>
    <w:rsid w:val="00CF3FE7"/>
    <w:rsid w:val="00CF4416"/>
    <w:rsid w:val="00CF5762"/>
    <w:rsid w:val="00CF65B4"/>
    <w:rsid w:val="00CF69B0"/>
    <w:rsid w:val="00CF6C05"/>
    <w:rsid w:val="00CF7485"/>
    <w:rsid w:val="00CF7E56"/>
    <w:rsid w:val="00D01744"/>
    <w:rsid w:val="00D025CE"/>
    <w:rsid w:val="00D02A0F"/>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B6A"/>
    <w:rsid w:val="00D06F22"/>
    <w:rsid w:val="00D07898"/>
    <w:rsid w:val="00D07A9C"/>
    <w:rsid w:val="00D10076"/>
    <w:rsid w:val="00D1033B"/>
    <w:rsid w:val="00D10477"/>
    <w:rsid w:val="00D107E2"/>
    <w:rsid w:val="00D11D76"/>
    <w:rsid w:val="00D121F5"/>
    <w:rsid w:val="00D126E4"/>
    <w:rsid w:val="00D131BF"/>
    <w:rsid w:val="00D13220"/>
    <w:rsid w:val="00D140E6"/>
    <w:rsid w:val="00D158EF"/>
    <w:rsid w:val="00D15C14"/>
    <w:rsid w:val="00D15E74"/>
    <w:rsid w:val="00D15FAA"/>
    <w:rsid w:val="00D160EF"/>
    <w:rsid w:val="00D16ECB"/>
    <w:rsid w:val="00D16EEE"/>
    <w:rsid w:val="00D17167"/>
    <w:rsid w:val="00D17BA5"/>
    <w:rsid w:val="00D2058D"/>
    <w:rsid w:val="00D2176E"/>
    <w:rsid w:val="00D2182A"/>
    <w:rsid w:val="00D22105"/>
    <w:rsid w:val="00D2211C"/>
    <w:rsid w:val="00D22B55"/>
    <w:rsid w:val="00D23055"/>
    <w:rsid w:val="00D2308A"/>
    <w:rsid w:val="00D230AD"/>
    <w:rsid w:val="00D23822"/>
    <w:rsid w:val="00D23D32"/>
    <w:rsid w:val="00D251AB"/>
    <w:rsid w:val="00D25AC6"/>
    <w:rsid w:val="00D25F23"/>
    <w:rsid w:val="00D261D3"/>
    <w:rsid w:val="00D319DF"/>
    <w:rsid w:val="00D3225E"/>
    <w:rsid w:val="00D324BC"/>
    <w:rsid w:val="00D33565"/>
    <w:rsid w:val="00D33762"/>
    <w:rsid w:val="00D34025"/>
    <w:rsid w:val="00D34BD1"/>
    <w:rsid w:val="00D35177"/>
    <w:rsid w:val="00D356E1"/>
    <w:rsid w:val="00D36E0D"/>
    <w:rsid w:val="00D40609"/>
    <w:rsid w:val="00D40983"/>
    <w:rsid w:val="00D41188"/>
    <w:rsid w:val="00D417D3"/>
    <w:rsid w:val="00D418D5"/>
    <w:rsid w:val="00D41A6B"/>
    <w:rsid w:val="00D41DB1"/>
    <w:rsid w:val="00D4276D"/>
    <w:rsid w:val="00D42798"/>
    <w:rsid w:val="00D42970"/>
    <w:rsid w:val="00D43AED"/>
    <w:rsid w:val="00D44916"/>
    <w:rsid w:val="00D45CA4"/>
    <w:rsid w:val="00D45EA7"/>
    <w:rsid w:val="00D45F22"/>
    <w:rsid w:val="00D463A7"/>
    <w:rsid w:val="00D47178"/>
    <w:rsid w:val="00D4752E"/>
    <w:rsid w:val="00D47842"/>
    <w:rsid w:val="00D47BEF"/>
    <w:rsid w:val="00D503A4"/>
    <w:rsid w:val="00D50826"/>
    <w:rsid w:val="00D51085"/>
    <w:rsid w:val="00D51675"/>
    <w:rsid w:val="00D51A75"/>
    <w:rsid w:val="00D51F73"/>
    <w:rsid w:val="00D52827"/>
    <w:rsid w:val="00D529BE"/>
    <w:rsid w:val="00D52CF6"/>
    <w:rsid w:val="00D53677"/>
    <w:rsid w:val="00D53D3E"/>
    <w:rsid w:val="00D541F9"/>
    <w:rsid w:val="00D547E0"/>
    <w:rsid w:val="00D54992"/>
    <w:rsid w:val="00D55291"/>
    <w:rsid w:val="00D55C48"/>
    <w:rsid w:val="00D55E47"/>
    <w:rsid w:val="00D56997"/>
    <w:rsid w:val="00D570E6"/>
    <w:rsid w:val="00D5730F"/>
    <w:rsid w:val="00D5743C"/>
    <w:rsid w:val="00D5774F"/>
    <w:rsid w:val="00D57A52"/>
    <w:rsid w:val="00D60809"/>
    <w:rsid w:val="00D60D7F"/>
    <w:rsid w:val="00D61C9C"/>
    <w:rsid w:val="00D62111"/>
    <w:rsid w:val="00D62229"/>
    <w:rsid w:val="00D625B8"/>
    <w:rsid w:val="00D626F8"/>
    <w:rsid w:val="00D636DC"/>
    <w:rsid w:val="00D63F4C"/>
    <w:rsid w:val="00D64613"/>
    <w:rsid w:val="00D64702"/>
    <w:rsid w:val="00D66BFD"/>
    <w:rsid w:val="00D66C91"/>
    <w:rsid w:val="00D66E61"/>
    <w:rsid w:val="00D674EE"/>
    <w:rsid w:val="00D67535"/>
    <w:rsid w:val="00D67BC9"/>
    <w:rsid w:val="00D67DBC"/>
    <w:rsid w:val="00D704D9"/>
    <w:rsid w:val="00D70BD2"/>
    <w:rsid w:val="00D713F2"/>
    <w:rsid w:val="00D71D26"/>
    <w:rsid w:val="00D72705"/>
    <w:rsid w:val="00D738BF"/>
    <w:rsid w:val="00D73B93"/>
    <w:rsid w:val="00D73C95"/>
    <w:rsid w:val="00D745C1"/>
    <w:rsid w:val="00D747D7"/>
    <w:rsid w:val="00D74E31"/>
    <w:rsid w:val="00D75676"/>
    <w:rsid w:val="00D75731"/>
    <w:rsid w:val="00D75B45"/>
    <w:rsid w:val="00D75B5C"/>
    <w:rsid w:val="00D75BBF"/>
    <w:rsid w:val="00D75F8C"/>
    <w:rsid w:val="00D76050"/>
    <w:rsid w:val="00D76309"/>
    <w:rsid w:val="00D76423"/>
    <w:rsid w:val="00D767BF"/>
    <w:rsid w:val="00D77278"/>
    <w:rsid w:val="00D775B5"/>
    <w:rsid w:val="00D77961"/>
    <w:rsid w:val="00D77B20"/>
    <w:rsid w:val="00D77B3B"/>
    <w:rsid w:val="00D8007C"/>
    <w:rsid w:val="00D8079F"/>
    <w:rsid w:val="00D80CFE"/>
    <w:rsid w:val="00D8103B"/>
    <w:rsid w:val="00D8111B"/>
    <w:rsid w:val="00D81242"/>
    <w:rsid w:val="00D812D2"/>
    <w:rsid w:val="00D82D02"/>
    <w:rsid w:val="00D82D0F"/>
    <w:rsid w:val="00D83933"/>
    <w:rsid w:val="00D83A5A"/>
    <w:rsid w:val="00D84157"/>
    <w:rsid w:val="00D84BD7"/>
    <w:rsid w:val="00D84DCA"/>
    <w:rsid w:val="00D85114"/>
    <w:rsid w:val="00D857BC"/>
    <w:rsid w:val="00D86049"/>
    <w:rsid w:val="00D871B6"/>
    <w:rsid w:val="00D875E1"/>
    <w:rsid w:val="00D87890"/>
    <w:rsid w:val="00D90275"/>
    <w:rsid w:val="00D902F5"/>
    <w:rsid w:val="00D9075D"/>
    <w:rsid w:val="00D90959"/>
    <w:rsid w:val="00D91410"/>
    <w:rsid w:val="00D91438"/>
    <w:rsid w:val="00D9152D"/>
    <w:rsid w:val="00D91594"/>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3565"/>
    <w:rsid w:val="00DA3A5B"/>
    <w:rsid w:val="00DA3D0B"/>
    <w:rsid w:val="00DA3F51"/>
    <w:rsid w:val="00DA45DB"/>
    <w:rsid w:val="00DA48D9"/>
    <w:rsid w:val="00DA49F8"/>
    <w:rsid w:val="00DA4AAE"/>
    <w:rsid w:val="00DA5434"/>
    <w:rsid w:val="00DA5572"/>
    <w:rsid w:val="00DA6864"/>
    <w:rsid w:val="00DA6A15"/>
    <w:rsid w:val="00DA6CC2"/>
    <w:rsid w:val="00DA7029"/>
    <w:rsid w:val="00DA77A0"/>
    <w:rsid w:val="00DB09A2"/>
    <w:rsid w:val="00DB103D"/>
    <w:rsid w:val="00DB1448"/>
    <w:rsid w:val="00DB1998"/>
    <w:rsid w:val="00DB1FC4"/>
    <w:rsid w:val="00DB21F0"/>
    <w:rsid w:val="00DB2C5F"/>
    <w:rsid w:val="00DB35F7"/>
    <w:rsid w:val="00DB3A58"/>
    <w:rsid w:val="00DB3BDF"/>
    <w:rsid w:val="00DB3C58"/>
    <w:rsid w:val="00DB3D46"/>
    <w:rsid w:val="00DB401C"/>
    <w:rsid w:val="00DB4397"/>
    <w:rsid w:val="00DB46C8"/>
    <w:rsid w:val="00DB540E"/>
    <w:rsid w:val="00DB574C"/>
    <w:rsid w:val="00DB5A63"/>
    <w:rsid w:val="00DB6166"/>
    <w:rsid w:val="00DB656B"/>
    <w:rsid w:val="00DB691E"/>
    <w:rsid w:val="00DB6931"/>
    <w:rsid w:val="00DB75A3"/>
    <w:rsid w:val="00DB799D"/>
    <w:rsid w:val="00DC0574"/>
    <w:rsid w:val="00DC0C65"/>
    <w:rsid w:val="00DC16BF"/>
    <w:rsid w:val="00DC16E1"/>
    <w:rsid w:val="00DC16FC"/>
    <w:rsid w:val="00DC1881"/>
    <w:rsid w:val="00DC1ED7"/>
    <w:rsid w:val="00DC3A6F"/>
    <w:rsid w:val="00DC3D1C"/>
    <w:rsid w:val="00DC3F0D"/>
    <w:rsid w:val="00DC43E1"/>
    <w:rsid w:val="00DC5199"/>
    <w:rsid w:val="00DC5A32"/>
    <w:rsid w:val="00DC5E4E"/>
    <w:rsid w:val="00DC651B"/>
    <w:rsid w:val="00DC662F"/>
    <w:rsid w:val="00DC6E78"/>
    <w:rsid w:val="00DC729A"/>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82"/>
    <w:rsid w:val="00DD4BFA"/>
    <w:rsid w:val="00DD51F8"/>
    <w:rsid w:val="00DD5332"/>
    <w:rsid w:val="00DD6388"/>
    <w:rsid w:val="00DD6C53"/>
    <w:rsid w:val="00DD7198"/>
    <w:rsid w:val="00DD7CB6"/>
    <w:rsid w:val="00DE0077"/>
    <w:rsid w:val="00DE0137"/>
    <w:rsid w:val="00DE01BA"/>
    <w:rsid w:val="00DE0DCF"/>
    <w:rsid w:val="00DE137B"/>
    <w:rsid w:val="00DE19D9"/>
    <w:rsid w:val="00DE1D1B"/>
    <w:rsid w:val="00DE1DC6"/>
    <w:rsid w:val="00DE1F77"/>
    <w:rsid w:val="00DE21C6"/>
    <w:rsid w:val="00DE22AA"/>
    <w:rsid w:val="00DE288F"/>
    <w:rsid w:val="00DE2D49"/>
    <w:rsid w:val="00DE3E66"/>
    <w:rsid w:val="00DE3F75"/>
    <w:rsid w:val="00DE45F5"/>
    <w:rsid w:val="00DE4AAD"/>
    <w:rsid w:val="00DE4C0C"/>
    <w:rsid w:val="00DE4FC8"/>
    <w:rsid w:val="00DE53B5"/>
    <w:rsid w:val="00DE59C5"/>
    <w:rsid w:val="00DE5A50"/>
    <w:rsid w:val="00DE60C5"/>
    <w:rsid w:val="00DE61D7"/>
    <w:rsid w:val="00DE7323"/>
    <w:rsid w:val="00DE75F0"/>
    <w:rsid w:val="00DE77CB"/>
    <w:rsid w:val="00DE7EBA"/>
    <w:rsid w:val="00DF04BD"/>
    <w:rsid w:val="00DF068D"/>
    <w:rsid w:val="00DF0D3A"/>
    <w:rsid w:val="00DF1A9A"/>
    <w:rsid w:val="00DF1C2D"/>
    <w:rsid w:val="00DF1DB6"/>
    <w:rsid w:val="00DF1F8A"/>
    <w:rsid w:val="00DF238F"/>
    <w:rsid w:val="00DF248E"/>
    <w:rsid w:val="00DF3577"/>
    <w:rsid w:val="00DF3604"/>
    <w:rsid w:val="00DF4063"/>
    <w:rsid w:val="00DF4A39"/>
    <w:rsid w:val="00DF5F13"/>
    <w:rsid w:val="00DF63DD"/>
    <w:rsid w:val="00DF6B62"/>
    <w:rsid w:val="00DF6DF0"/>
    <w:rsid w:val="00DF7BD0"/>
    <w:rsid w:val="00DF7BDF"/>
    <w:rsid w:val="00DF7F24"/>
    <w:rsid w:val="00E00303"/>
    <w:rsid w:val="00E00A62"/>
    <w:rsid w:val="00E010A0"/>
    <w:rsid w:val="00E0125E"/>
    <w:rsid w:val="00E01668"/>
    <w:rsid w:val="00E0173A"/>
    <w:rsid w:val="00E01849"/>
    <w:rsid w:val="00E020D1"/>
    <w:rsid w:val="00E026C7"/>
    <w:rsid w:val="00E02B64"/>
    <w:rsid w:val="00E02EAD"/>
    <w:rsid w:val="00E03D3F"/>
    <w:rsid w:val="00E0437C"/>
    <w:rsid w:val="00E0452C"/>
    <w:rsid w:val="00E04D61"/>
    <w:rsid w:val="00E04EAC"/>
    <w:rsid w:val="00E0504C"/>
    <w:rsid w:val="00E05074"/>
    <w:rsid w:val="00E05489"/>
    <w:rsid w:val="00E05741"/>
    <w:rsid w:val="00E05F7F"/>
    <w:rsid w:val="00E06930"/>
    <w:rsid w:val="00E06971"/>
    <w:rsid w:val="00E105B3"/>
    <w:rsid w:val="00E10846"/>
    <w:rsid w:val="00E108F4"/>
    <w:rsid w:val="00E10D4E"/>
    <w:rsid w:val="00E1100C"/>
    <w:rsid w:val="00E11489"/>
    <w:rsid w:val="00E11711"/>
    <w:rsid w:val="00E118A2"/>
    <w:rsid w:val="00E11E63"/>
    <w:rsid w:val="00E12696"/>
    <w:rsid w:val="00E1277A"/>
    <w:rsid w:val="00E1310D"/>
    <w:rsid w:val="00E13198"/>
    <w:rsid w:val="00E13359"/>
    <w:rsid w:val="00E138BF"/>
    <w:rsid w:val="00E14EFA"/>
    <w:rsid w:val="00E151B9"/>
    <w:rsid w:val="00E1536C"/>
    <w:rsid w:val="00E158C4"/>
    <w:rsid w:val="00E161E6"/>
    <w:rsid w:val="00E167C9"/>
    <w:rsid w:val="00E1698C"/>
    <w:rsid w:val="00E172BE"/>
    <w:rsid w:val="00E17CF7"/>
    <w:rsid w:val="00E205D6"/>
    <w:rsid w:val="00E216EC"/>
    <w:rsid w:val="00E217F3"/>
    <w:rsid w:val="00E2189A"/>
    <w:rsid w:val="00E22B5A"/>
    <w:rsid w:val="00E22B68"/>
    <w:rsid w:val="00E231C9"/>
    <w:rsid w:val="00E23EBF"/>
    <w:rsid w:val="00E23FD5"/>
    <w:rsid w:val="00E24669"/>
    <w:rsid w:val="00E24C48"/>
    <w:rsid w:val="00E25981"/>
    <w:rsid w:val="00E25DF7"/>
    <w:rsid w:val="00E26141"/>
    <w:rsid w:val="00E266F5"/>
    <w:rsid w:val="00E270D3"/>
    <w:rsid w:val="00E27FC7"/>
    <w:rsid w:val="00E30700"/>
    <w:rsid w:val="00E31360"/>
    <w:rsid w:val="00E31D28"/>
    <w:rsid w:val="00E32533"/>
    <w:rsid w:val="00E325FF"/>
    <w:rsid w:val="00E32CB8"/>
    <w:rsid w:val="00E33A68"/>
    <w:rsid w:val="00E33C5C"/>
    <w:rsid w:val="00E3440F"/>
    <w:rsid w:val="00E34F3A"/>
    <w:rsid w:val="00E357D3"/>
    <w:rsid w:val="00E35F99"/>
    <w:rsid w:val="00E35F9A"/>
    <w:rsid w:val="00E3637F"/>
    <w:rsid w:val="00E364B6"/>
    <w:rsid w:val="00E36723"/>
    <w:rsid w:val="00E36DB1"/>
    <w:rsid w:val="00E3713C"/>
    <w:rsid w:val="00E3767B"/>
    <w:rsid w:val="00E37D66"/>
    <w:rsid w:val="00E37E1C"/>
    <w:rsid w:val="00E40126"/>
    <w:rsid w:val="00E40CBF"/>
    <w:rsid w:val="00E40E7D"/>
    <w:rsid w:val="00E40EE4"/>
    <w:rsid w:val="00E413C6"/>
    <w:rsid w:val="00E420D5"/>
    <w:rsid w:val="00E42517"/>
    <w:rsid w:val="00E42D55"/>
    <w:rsid w:val="00E42FFE"/>
    <w:rsid w:val="00E4316E"/>
    <w:rsid w:val="00E435AB"/>
    <w:rsid w:val="00E44275"/>
    <w:rsid w:val="00E44777"/>
    <w:rsid w:val="00E4535F"/>
    <w:rsid w:val="00E466BC"/>
    <w:rsid w:val="00E4686A"/>
    <w:rsid w:val="00E477BA"/>
    <w:rsid w:val="00E479FD"/>
    <w:rsid w:val="00E5037D"/>
    <w:rsid w:val="00E504D6"/>
    <w:rsid w:val="00E50B6F"/>
    <w:rsid w:val="00E50EBE"/>
    <w:rsid w:val="00E50F69"/>
    <w:rsid w:val="00E50FC6"/>
    <w:rsid w:val="00E517CD"/>
    <w:rsid w:val="00E51D0F"/>
    <w:rsid w:val="00E52372"/>
    <w:rsid w:val="00E52786"/>
    <w:rsid w:val="00E52F05"/>
    <w:rsid w:val="00E540CA"/>
    <w:rsid w:val="00E55B28"/>
    <w:rsid w:val="00E56D4A"/>
    <w:rsid w:val="00E57119"/>
    <w:rsid w:val="00E5719E"/>
    <w:rsid w:val="00E57D7B"/>
    <w:rsid w:val="00E57E10"/>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D24"/>
    <w:rsid w:val="00E64F5C"/>
    <w:rsid w:val="00E6549C"/>
    <w:rsid w:val="00E654B9"/>
    <w:rsid w:val="00E6589D"/>
    <w:rsid w:val="00E65A04"/>
    <w:rsid w:val="00E65E8C"/>
    <w:rsid w:val="00E665E7"/>
    <w:rsid w:val="00E66C96"/>
    <w:rsid w:val="00E67CA3"/>
    <w:rsid w:val="00E67CB2"/>
    <w:rsid w:val="00E70130"/>
    <w:rsid w:val="00E715FC"/>
    <w:rsid w:val="00E71A45"/>
    <w:rsid w:val="00E71C21"/>
    <w:rsid w:val="00E730FC"/>
    <w:rsid w:val="00E7385A"/>
    <w:rsid w:val="00E73CE6"/>
    <w:rsid w:val="00E74550"/>
    <w:rsid w:val="00E74780"/>
    <w:rsid w:val="00E74956"/>
    <w:rsid w:val="00E752F7"/>
    <w:rsid w:val="00E75848"/>
    <w:rsid w:val="00E759D4"/>
    <w:rsid w:val="00E76A3C"/>
    <w:rsid w:val="00E76F9B"/>
    <w:rsid w:val="00E771FC"/>
    <w:rsid w:val="00E773E5"/>
    <w:rsid w:val="00E77BDD"/>
    <w:rsid w:val="00E806D3"/>
    <w:rsid w:val="00E81C34"/>
    <w:rsid w:val="00E81D83"/>
    <w:rsid w:val="00E821BB"/>
    <w:rsid w:val="00E822E9"/>
    <w:rsid w:val="00E826FE"/>
    <w:rsid w:val="00E8275E"/>
    <w:rsid w:val="00E827AF"/>
    <w:rsid w:val="00E82DE9"/>
    <w:rsid w:val="00E83228"/>
    <w:rsid w:val="00E83253"/>
    <w:rsid w:val="00E844AB"/>
    <w:rsid w:val="00E8492C"/>
    <w:rsid w:val="00E84C97"/>
    <w:rsid w:val="00E85005"/>
    <w:rsid w:val="00E85296"/>
    <w:rsid w:val="00E8533B"/>
    <w:rsid w:val="00E85E4E"/>
    <w:rsid w:val="00E86327"/>
    <w:rsid w:val="00E86DF0"/>
    <w:rsid w:val="00E87BD2"/>
    <w:rsid w:val="00E87CDC"/>
    <w:rsid w:val="00E90B33"/>
    <w:rsid w:val="00E911E0"/>
    <w:rsid w:val="00E93407"/>
    <w:rsid w:val="00E93682"/>
    <w:rsid w:val="00E940A8"/>
    <w:rsid w:val="00E947E8"/>
    <w:rsid w:val="00E94B0F"/>
    <w:rsid w:val="00E9503F"/>
    <w:rsid w:val="00E95646"/>
    <w:rsid w:val="00E96E68"/>
    <w:rsid w:val="00E97EA1"/>
    <w:rsid w:val="00EA05B0"/>
    <w:rsid w:val="00EA0BBE"/>
    <w:rsid w:val="00EA1FBC"/>
    <w:rsid w:val="00EA20A1"/>
    <w:rsid w:val="00EA212B"/>
    <w:rsid w:val="00EA24FB"/>
    <w:rsid w:val="00EA2D44"/>
    <w:rsid w:val="00EA3A1D"/>
    <w:rsid w:val="00EA3CD7"/>
    <w:rsid w:val="00EA3E2D"/>
    <w:rsid w:val="00EA429D"/>
    <w:rsid w:val="00EA43AF"/>
    <w:rsid w:val="00EA4676"/>
    <w:rsid w:val="00EA4C7C"/>
    <w:rsid w:val="00EA4D4C"/>
    <w:rsid w:val="00EA554F"/>
    <w:rsid w:val="00EA6250"/>
    <w:rsid w:val="00EA66A4"/>
    <w:rsid w:val="00EA6819"/>
    <w:rsid w:val="00EA6A1E"/>
    <w:rsid w:val="00EA75BD"/>
    <w:rsid w:val="00EA7C47"/>
    <w:rsid w:val="00EB0F0F"/>
    <w:rsid w:val="00EB0FA9"/>
    <w:rsid w:val="00EB12A5"/>
    <w:rsid w:val="00EB24D8"/>
    <w:rsid w:val="00EB277B"/>
    <w:rsid w:val="00EB2F20"/>
    <w:rsid w:val="00EB2F35"/>
    <w:rsid w:val="00EB31DB"/>
    <w:rsid w:val="00EB3422"/>
    <w:rsid w:val="00EB3A31"/>
    <w:rsid w:val="00EB4EAF"/>
    <w:rsid w:val="00EB548E"/>
    <w:rsid w:val="00EB5C41"/>
    <w:rsid w:val="00EB5E15"/>
    <w:rsid w:val="00EB5F5A"/>
    <w:rsid w:val="00EB6213"/>
    <w:rsid w:val="00EB657E"/>
    <w:rsid w:val="00EB695E"/>
    <w:rsid w:val="00EB69D1"/>
    <w:rsid w:val="00EB6DF3"/>
    <w:rsid w:val="00EB6FE9"/>
    <w:rsid w:val="00EB72FF"/>
    <w:rsid w:val="00EB756F"/>
    <w:rsid w:val="00EB79C8"/>
    <w:rsid w:val="00EB7E78"/>
    <w:rsid w:val="00EC0301"/>
    <w:rsid w:val="00EC09C6"/>
    <w:rsid w:val="00EC0EA5"/>
    <w:rsid w:val="00EC1056"/>
    <w:rsid w:val="00EC1470"/>
    <w:rsid w:val="00EC222E"/>
    <w:rsid w:val="00EC2716"/>
    <w:rsid w:val="00EC2DBB"/>
    <w:rsid w:val="00EC358E"/>
    <w:rsid w:val="00EC3FD2"/>
    <w:rsid w:val="00EC4095"/>
    <w:rsid w:val="00EC43B5"/>
    <w:rsid w:val="00EC44C1"/>
    <w:rsid w:val="00EC4537"/>
    <w:rsid w:val="00EC472D"/>
    <w:rsid w:val="00EC4960"/>
    <w:rsid w:val="00EC4AE3"/>
    <w:rsid w:val="00EC54EE"/>
    <w:rsid w:val="00EC59B2"/>
    <w:rsid w:val="00EC5A3B"/>
    <w:rsid w:val="00EC786C"/>
    <w:rsid w:val="00EC7ADD"/>
    <w:rsid w:val="00ED04FE"/>
    <w:rsid w:val="00ED08F1"/>
    <w:rsid w:val="00ED0DD0"/>
    <w:rsid w:val="00ED1989"/>
    <w:rsid w:val="00ED28F2"/>
    <w:rsid w:val="00ED3145"/>
    <w:rsid w:val="00ED3309"/>
    <w:rsid w:val="00ED356E"/>
    <w:rsid w:val="00ED3BDA"/>
    <w:rsid w:val="00ED4B67"/>
    <w:rsid w:val="00ED54E3"/>
    <w:rsid w:val="00ED5A3B"/>
    <w:rsid w:val="00ED5C30"/>
    <w:rsid w:val="00ED5E02"/>
    <w:rsid w:val="00ED5EED"/>
    <w:rsid w:val="00ED6B1C"/>
    <w:rsid w:val="00ED6CF7"/>
    <w:rsid w:val="00ED6F33"/>
    <w:rsid w:val="00ED741E"/>
    <w:rsid w:val="00ED7716"/>
    <w:rsid w:val="00ED7737"/>
    <w:rsid w:val="00ED7747"/>
    <w:rsid w:val="00ED7CF4"/>
    <w:rsid w:val="00EE1B0E"/>
    <w:rsid w:val="00EE22FB"/>
    <w:rsid w:val="00EE2407"/>
    <w:rsid w:val="00EE26AE"/>
    <w:rsid w:val="00EE29C8"/>
    <w:rsid w:val="00EE2A54"/>
    <w:rsid w:val="00EE2F2D"/>
    <w:rsid w:val="00EE2FC2"/>
    <w:rsid w:val="00EE3B88"/>
    <w:rsid w:val="00EE417B"/>
    <w:rsid w:val="00EE4B75"/>
    <w:rsid w:val="00EE4DBD"/>
    <w:rsid w:val="00EE60D8"/>
    <w:rsid w:val="00EE6AC6"/>
    <w:rsid w:val="00EE6E26"/>
    <w:rsid w:val="00EE784F"/>
    <w:rsid w:val="00EE7A1D"/>
    <w:rsid w:val="00EE7E0F"/>
    <w:rsid w:val="00EF0500"/>
    <w:rsid w:val="00EF1002"/>
    <w:rsid w:val="00EF143F"/>
    <w:rsid w:val="00EF23D8"/>
    <w:rsid w:val="00EF2A5A"/>
    <w:rsid w:val="00EF2A87"/>
    <w:rsid w:val="00EF3A74"/>
    <w:rsid w:val="00EF3AE9"/>
    <w:rsid w:val="00EF3EA5"/>
    <w:rsid w:val="00EF49FB"/>
    <w:rsid w:val="00EF504F"/>
    <w:rsid w:val="00EF55D6"/>
    <w:rsid w:val="00EF5666"/>
    <w:rsid w:val="00EF644D"/>
    <w:rsid w:val="00EF6D29"/>
    <w:rsid w:val="00EF7138"/>
    <w:rsid w:val="00F00881"/>
    <w:rsid w:val="00F00917"/>
    <w:rsid w:val="00F00A83"/>
    <w:rsid w:val="00F010BB"/>
    <w:rsid w:val="00F012C1"/>
    <w:rsid w:val="00F0175F"/>
    <w:rsid w:val="00F02A5A"/>
    <w:rsid w:val="00F03280"/>
    <w:rsid w:val="00F0362A"/>
    <w:rsid w:val="00F0385C"/>
    <w:rsid w:val="00F03ABE"/>
    <w:rsid w:val="00F04345"/>
    <w:rsid w:val="00F043BD"/>
    <w:rsid w:val="00F047A4"/>
    <w:rsid w:val="00F04F52"/>
    <w:rsid w:val="00F0510F"/>
    <w:rsid w:val="00F0563F"/>
    <w:rsid w:val="00F064EF"/>
    <w:rsid w:val="00F06558"/>
    <w:rsid w:val="00F06F42"/>
    <w:rsid w:val="00F07122"/>
    <w:rsid w:val="00F074C9"/>
    <w:rsid w:val="00F07C82"/>
    <w:rsid w:val="00F07F5E"/>
    <w:rsid w:val="00F1001E"/>
    <w:rsid w:val="00F106BB"/>
    <w:rsid w:val="00F11027"/>
    <w:rsid w:val="00F111BA"/>
    <w:rsid w:val="00F116DD"/>
    <w:rsid w:val="00F11D9F"/>
    <w:rsid w:val="00F11E31"/>
    <w:rsid w:val="00F13AA1"/>
    <w:rsid w:val="00F13F2A"/>
    <w:rsid w:val="00F15097"/>
    <w:rsid w:val="00F15671"/>
    <w:rsid w:val="00F16695"/>
    <w:rsid w:val="00F17F4F"/>
    <w:rsid w:val="00F202E3"/>
    <w:rsid w:val="00F20C6E"/>
    <w:rsid w:val="00F20D6C"/>
    <w:rsid w:val="00F2255F"/>
    <w:rsid w:val="00F225CF"/>
    <w:rsid w:val="00F22882"/>
    <w:rsid w:val="00F22985"/>
    <w:rsid w:val="00F22AEF"/>
    <w:rsid w:val="00F22F7A"/>
    <w:rsid w:val="00F2322E"/>
    <w:rsid w:val="00F2343C"/>
    <w:rsid w:val="00F23CFC"/>
    <w:rsid w:val="00F24076"/>
    <w:rsid w:val="00F240CB"/>
    <w:rsid w:val="00F2492F"/>
    <w:rsid w:val="00F2500D"/>
    <w:rsid w:val="00F2596D"/>
    <w:rsid w:val="00F25CAA"/>
    <w:rsid w:val="00F26AD6"/>
    <w:rsid w:val="00F2711C"/>
    <w:rsid w:val="00F277E8"/>
    <w:rsid w:val="00F27B04"/>
    <w:rsid w:val="00F27E3D"/>
    <w:rsid w:val="00F301D0"/>
    <w:rsid w:val="00F3069F"/>
    <w:rsid w:val="00F30C3F"/>
    <w:rsid w:val="00F30C60"/>
    <w:rsid w:val="00F30EFB"/>
    <w:rsid w:val="00F30F38"/>
    <w:rsid w:val="00F30F3A"/>
    <w:rsid w:val="00F311D1"/>
    <w:rsid w:val="00F3120D"/>
    <w:rsid w:val="00F3158A"/>
    <w:rsid w:val="00F318DB"/>
    <w:rsid w:val="00F3199C"/>
    <w:rsid w:val="00F31F7D"/>
    <w:rsid w:val="00F32AFF"/>
    <w:rsid w:val="00F33825"/>
    <w:rsid w:val="00F33A8B"/>
    <w:rsid w:val="00F33D3B"/>
    <w:rsid w:val="00F341D4"/>
    <w:rsid w:val="00F34A96"/>
    <w:rsid w:val="00F34EBF"/>
    <w:rsid w:val="00F34F05"/>
    <w:rsid w:val="00F34F85"/>
    <w:rsid w:val="00F356D5"/>
    <w:rsid w:val="00F361AE"/>
    <w:rsid w:val="00F36240"/>
    <w:rsid w:val="00F363EB"/>
    <w:rsid w:val="00F365DE"/>
    <w:rsid w:val="00F36764"/>
    <w:rsid w:val="00F367CF"/>
    <w:rsid w:val="00F36ABE"/>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50781"/>
    <w:rsid w:val="00F50CA3"/>
    <w:rsid w:val="00F517ED"/>
    <w:rsid w:val="00F51B8D"/>
    <w:rsid w:val="00F51F3F"/>
    <w:rsid w:val="00F528B5"/>
    <w:rsid w:val="00F528E7"/>
    <w:rsid w:val="00F52C8A"/>
    <w:rsid w:val="00F53615"/>
    <w:rsid w:val="00F53A91"/>
    <w:rsid w:val="00F53B0A"/>
    <w:rsid w:val="00F54783"/>
    <w:rsid w:val="00F547E9"/>
    <w:rsid w:val="00F5494E"/>
    <w:rsid w:val="00F54ABE"/>
    <w:rsid w:val="00F54B2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CEA"/>
    <w:rsid w:val="00F65F15"/>
    <w:rsid w:val="00F660B5"/>
    <w:rsid w:val="00F66443"/>
    <w:rsid w:val="00F672BA"/>
    <w:rsid w:val="00F675EA"/>
    <w:rsid w:val="00F67AEF"/>
    <w:rsid w:val="00F7074A"/>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0B93"/>
    <w:rsid w:val="00F8139A"/>
    <w:rsid w:val="00F81C71"/>
    <w:rsid w:val="00F82AAE"/>
    <w:rsid w:val="00F834BE"/>
    <w:rsid w:val="00F838A9"/>
    <w:rsid w:val="00F849E3"/>
    <w:rsid w:val="00F84B4E"/>
    <w:rsid w:val="00F84C44"/>
    <w:rsid w:val="00F851B7"/>
    <w:rsid w:val="00F8566C"/>
    <w:rsid w:val="00F858D4"/>
    <w:rsid w:val="00F85C65"/>
    <w:rsid w:val="00F860AA"/>
    <w:rsid w:val="00F860EB"/>
    <w:rsid w:val="00F868B6"/>
    <w:rsid w:val="00F86968"/>
    <w:rsid w:val="00F86E42"/>
    <w:rsid w:val="00F876E6"/>
    <w:rsid w:val="00F87825"/>
    <w:rsid w:val="00F87838"/>
    <w:rsid w:val="00F879E8"/>
    <w:rsid w:val="00F87FCE"/>
    <w:rsid w:val="00F9008B"/>
    <w:rsid w:val="00F91669"/>
    <w:rsid w:val="00F9184F"/>
    <w:rsid w:val="00F91943"/>
    <w:rsid w:val="00F9249F"/>
    <w:rsid w:val="00F92A66"/>
    <w:rsid w:val="00F931CF"/>
    <w:rsid w:val="00F93A31"/>
    <w:rsid w:val="00F93D6E"/>
    <w:rsid w:val="00F941A6"/>
    <w:rsid w:val="00F9423D"/>
    <w:rsid w:val="00F94609"/>
    <w:rsid w:val="00F95182"/>
    <w:rsid w:val="00F957D2"/>
    <w:rsid w:val="00F95D94"/>
    <w:rsid w:val="00F96F86"/>
    <w:rsid w:val="00FA02B8"/>
    <w:rsid w:val="00FA0980"/>
    <w:rsid w:val="00FA1028"/>
    <w:rsid w:val="00FA157E"/>
    <w:rsid w:val="00FA181F"/>
    <w:rsid w:val="00FA1C1F"/>
    <w:rsid w:val="00FA1E82"/>
    <w:rsid w:val="00FA2137"/>
    <w:rsid w:val="00FA272D"/>
    <w:rsid w:val="00FA2C40"/>
    <w:rsid w:val="00FA338D"/>
    <w:rsid w:val="00FA34A2"/>
    <w:rsid w:val="00FA3742"/>
    <w:rsid w:val="00FA3837"/>
    <w:rsid w:val="00FA39FC"/>
    <w:rsid w:val="00FA44B4"/>
    <w:rsid w:val="00FA4538"/>
    <w:rsid w:val="00FA4998"/>
    <w:rsid w:val="00FA4DC2"/>
    <w:rsid w:val="00FA67E3"/>
    <w:rsid w:val="00FA7157"/>
    <w:rsid w:val="00FA73A6"/>
    <w:rsid w:val="00FA7698"/>
    <w:rsid w:val="00FA78C2"/>
    <w:rsid w:val="00FA7A2D"/>
    <w:rsid w:val="00FA7B4F"/>
    <w:rsid w:val="00FB06E7"/>
    <w:rsid w:val="00FB0822"/>
    <w:rsid w:val="00FB1093"/>
    <w:rsid w:val="00FB13A0"/>
    <w:rsid w:val="00FB227E"/>
    <w:rsid w:val="00FB255C"/>
    <w:rsid w:val="00FB267D"/>
    <w:rsid w:val="00FB2A18"/>
    <w:rsid w:val="00FB2BF4"/>
    <w:rsid w:val="00FB2C8D"/>
    <w:rsid w:val="00FB2DC6"/>
    <w:rsid w:val="00FB5E81"/>
    <w:rsid w:val="00FB6E6C"/>
    <w:rsid w:val="00FB6FBF"/>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6F0C"/>
    <w:rsid w:val="00FC713B"/>
    <w:rsid w:val="00FC7862"/>
    <w:rsid w:val="00FC79D5"/>
    <w:rsid w:val="00FC7B35"/>
    <w:rsid w:val="00FC7B53"/>
    <w:rsid w:val="00FD0177"/>
    <w:rsid w:val="00FD0597"/>
    <w:rsid w:val="00FD0819"/>
    <w:rsid w:val="00FD0AE7"/>
    <w:rsid w:val="00FD0B44"/>
    <w:rsid w:val="00FD0F70"/>
    <w:rsid w:val="00FD2315"/>
    <w:rsid w:val="00FD27F9"/>
    <w:rsid w:val="00FD29A7"/>
    <w:rsid w:val="00FD2B15"/>
    <w:rsid w:val="00FD3092"/>
    <w:rsid w:val="00FD376E"/>
    <w:rsid w:val="00FD40FC"/>
    <w:rsid w:val="00FD412E"/>
    <w:rsid w:val="00FD420F"/>
    <w:rsid w:val="00FD44C5"/>
    <w:rsid w:val="00FD4F2F"/>
    <w:rsid w:val="00FD51F7"/>
    <w:rsid w:val="00FD5258"/>
    <w:rsid w:val="00FD5602"/>
    <w:rsid w:val="00FD5A2A"/>
    <w:rsid w:val="00FD5AE2"/>
    <w:rsid w:val="00FD62B4"/>
    <w:rsid w:val="00FD7142"/>
    <w:rsid w:val="00FD750F"/>
    <w:rsid w:val="00FD7F74"/>
    <w:rsid w:val="00FE011C"/>
    <w:rsid w:val="00FE07DC"/>
    <w:rsid w:val="00FE1116"/>
    <w:rsid w:val="00FE2075"/>
    <w:rsid w:val="00FE2080"/>
    <w:rsid w:val="00FE27B9"/>
    <w:rsid w:val="00FE2E37"/>
    <w:rsid w:val="00FE2F8C"/>
    <w:rsid w:val="00FE3640"/>
    <w:rsid w:val="00FE3780"/>
    <w:rsid w:val="00FE3954"/>
    <w:rsid w:val="00FE3CF7"/>
    <w:rsid w:val="00FE4071"/>
    <w:rsid w:val="00FE427D"/>
    <w:rsid w:val="00FE42E3"/>
    <w:rsid w:val="00FE4ECD"/>
    <w:rsid w:val="00FE52B7"/>
    <w:rsid w:val="00FE53C5"/>
    <w:rsid w:val="00FE54D0"/>
    <w:rsid w:val="00FE5807"/>
    <w:rsid w:val="00FE5C39"/>
    <w:rsid w:val="00FE5C57"/>
    <w:rsid w:val="00FE624E"/>
    <w:rsid w:val="00FE6415"/>
    <w:rsid w:val="00FE69E7"/>
    <w:rsid w:val="00FE6BB8"/>
    <w:rsid w:val="00FE6E76"/>
    <w:rsid w:val="00FF027B"/>
    <w:rsid w:val="00FF1174"/>
    <w:rsid w:val="00FF1324"/>
    <w:rsid w:val="00FF165A"/>
    <w:rsid w:val="00FF1B72"/>
    <w:rsid w:val="00FF1CF1"/>
    <w:rsid w:val="00FF1DF5"/>
    <w:rsid w:val="00FF1F4C"/>
    <w:rsid w:val="00FF35DC"/>
    <w:rsid w:val="00FF36C2"/>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0A6538"/>
    <w:rsid w:val="01126955"/>
    <w:rsid w:val="0137404A"/>
    <w:rsid w:val="01425141"/>
    <w:rsid w:val="0160177B"/>
    <w:rsid w:val="0167781C"/>
    <w:rsid w:val="018D01B7"/>
    <w:rsid w:val="01A368FC"/>
    <w:rsid w:val="01A87014"/>
    <w:rsid w:val="01AA2C10"/>
    <w:rsid w:val="01BD5050"/>
    <w:rsid w:val="01E15129"/>
    <w:rsid w:val="01F162EA"/>
    <w:rsid w:val="02067366"/>
    <w:rsid w:val="026A6F1E"/>
    <w:rsid w:val="0295277A"/>
    <w:rsid w:val="02DF3997"/>
    <w:rsid w:val="031B5FD6"/>
    <w:rsid w:val="034C7AF9"/>
    <w:rsid w:val="037738D8"/>
    <w:rsid w:val="03B46D8E"/>
    <w:rsid w:val="03E6005E"/>
    <w:rsid w:val="03EE579D"/>
    <w:rsid w:val="03F36A75"/>
    <w:rsid w:val="04083036"/>
    <w:rsid w:val="044E1038"/>
    <w:rsid w:val="04506C5C"/>
    <w:rsid w:val="045E7E7A"/>
    <w:rsid w:val="04B7529D"/>
    <w:rsid w:val="04B9117B"/>
    <w:rsid w:val="04D3291A"/>
    <w:rsid w:val="050916C0"/>
    <w:rsid w:val="055B1928"/>
    <w:rsid w:val="05A96137"/>
    <w:rsid w:val="05C17E16"/>
    <w:rsid w:val="06035C4C"/>
    <w:rsid w:val="06696793"/>
    <w:rsid w:val="066D7B45"/>
    <w:rsid w:val="06A674EE"/>
    <w:rsid w:val="06AA3194"/>
    <w:rsid w:val="06B7052D"/>
    <w:rsid w:val="06E03D47"/>
    <w:rsid w:val="07134380"/>
    <w:rsid w:val="075D3663"/>
    <w:rsid w:val="075F0692"/>
    <w:rsid w:val="076A2F4C"/>
    <w:rsid w:val="07D3264B"/>
    <w:rsid w:val="07E55A82"/>
    <w:rsid w:val="07EE6F72"/>
    <w:rsid w:val="0812543A"/>
    <w:rsid w:val="08244844"/>
    <w:rsid w:val="086C766D"/>
    <w:rsid w:val="08846432"/>
    <w:rsid w:val="08DB0CEE"/>
    <w:rsid w:val="08EA3C9A"/>
    <w:rsid w:val="08EB0316"/>
    <w:rsid w:val="08F53B23"/>
    <w:rsid w:val="090723F0"/>
    <w:rsid w:val="09153FF7"/>
    <w:rsid w:val="091C54CA"/>
    <w:rsid w:val="094368C2"/>
    <w:rsid w:val="096D1639"/>
    <w:rsid w:val="098236DF"/>
    <w:rsid w:val="09A154F3"/>
    <w:rsid w:val="0A014251"/>
    <w:rsid w:val="0A0146E7"/>
    <w:rsid w:val="0A070656"/>
    <w:rsid w:val="0A8070C3"/>
    <w:rsid w:val="0A913ED8"/>
    <w:rsid w:val="0AC66266"/>
    <w:rsid w:val="0AE309E6"/>
    <w:rsid w:val="0AEE0C24"/>
    <w:rsid w:val="0B24171E"/>
    <w:rsid w:val="0B27202A"/>
    <w:rsid w:val="0B4C590C"/>
    <w:rsid w:val="0B546770"/>
    <w:rsid w:val="0B595452"/>
    <w:rsid w:val="0B9E2D44"/>
    <w:rsid w:val="0BB841CD"/>
    <w:rsid w:val="0BBC5C62"/>
    <w:rsid w:val="0C0E4069"/>
    <w:rsid w:val="0C541CDE"/>
    <w:rsid w:val="0C66046A"/>
    <w:rsid w:val="0CC46135"/>
    <w:rsid w:val="0CD64D2B"/>
    <w:rsid w:val="0CE37E79"/>
    <w:rsid w:val="0D195C03"/>
    <w:rsid w:val="0D584403"/>
    <w:rsid w:val="0D791569"/>
    <w:rsid w:val="0D8744B7"/>
    <w:rsid w:val="0E3E1F17"/>
    <w:rsid w:val="0E496ADB"/>
    <w:rsid w:val="0E6C5EF9"/>
    <w:rsid w:val="0E9641E6"/>
    <w:rsid w:val="0EBA103F"/>
    <w:rsid w:val="0EBD14A5"/>
    <w:rsid w:val="0EF63463"/>
    <w:rsid w:val="0F041961"/>
    <w:rsid w:val="0F14245D"/>
    <w:rsid w:val="0F2652B1"/>
    <w:rsid w:val="0F7A1A82"/>
    <w:rsid w:val="0FB3423F"/>
    <w:rsid w:val="0FCB02C6"/>
    <w:rsid w:val="0FD73779"/>
    <w:rsid w:val="101C0A97"/>
    <w:rsid w:val="101C7B2C"/>
    <w:rsid w:val="10281140"/>
    <w:rsid w:val="104344BA"/>
    <w:rsid w:val="10492BC4"/>
    <w:rsid w:val="10574A73"/>
    <w:rsid w:val="105E354F"/>
    <w:rsid w:val="106564A3"/>
    <w:rsid w:val="10BE3E04"/>
    <w:rsid w:val="10E818A9"/>
    <w:rsid w:val="10F67974"/>
    <w:rsid w:val="11127105"/>
    <w:rsid w:val="11296B6C"/>
    <w:rsid w:val="112A581B"/>
    <w:rsid w:val="11390774"/>
    <w:rsid w:val="11443A95"/>
    <w:rsid w:val="1150745E"/>
    <w:rsid w:val="118256F3"/>
    <w:rsid w:val="11840DB8"/>
    <w:rsid w:val="11AE7A05"/>
    <w:rsid w:val="11D77FB4"/>
    <w:rsid w:val="12200F01"/>
    <w:rsid w:val="12241E29"/>
    <w:rsid w:val="127D6F89"/>
    <w:rsid w:val="129C1735"/>
    <w:rsid w:val="12BD193A"/>
    <w:rsid w:val="12CB6CCA"/>
    <w:rsid w:val="1325372E"/>
    <w:rsid w:val="132F1F8B"/>
    <w:rsid w:val="1359545F"/>
    <w:rsid w:val="13977E74"/>
    <w:rsid w:val="139C483D"/>
    <w:rsid w:val="13DF5603"/>
    <w:rsid w:val="141352AC"/>
    <w:rsid w:val="14375B29"/>
    <w:rsid w:val="143F42F3"/>
    <w:rsid w:val="146700B6"/>
    <w:rsid w:val="146F2C7A"/>
    <w:rsid w:val="149E4992"/>
    <w:rsid w:val="14E81677"/>
    <w:rsid w:val="15086EDD"/>
    <w:rsid w:val="150C22CE"/>
    <w:rsid w:val="151335F8"/>
    <w:rsid w:val="15205DE2"/>
    <w:rsid w:val="15244299"/>
    <w:rsid w:val="154368D5"/>
    <w:rsid w:val="16377976"/>
    <w:rsid w:val="16690F09"/>
    <w:rsid w:val="16B10CC6"/>
    <w:rsid w:val="16BE59A3"/>
    <w:rsid w:val="16C37FA5"/>
    <w:rsid w:val="16FE5659"/>
    <w:rsid w:val="170A17A0"/>
    <w:rsid w:val="17364B65"/>
    <w:rsid w:val="180E1608"/>
    <w:rsid w:val="182932F0"/>
    <w:rsid w:val="18494E7D"/>
    <w:rsid w:val="185923BC"/>
    <w:rsid w:val="1888039C"/>
    <w:rsid w:val="189439F5"/>
    <w:rsid w:val="18991808"/>
    <w:rsid w:val="18F36695"/>
    <w:rsid w:val="18F56448"/>
    <w:rsid w:val="191710FF"/>
    <w:rsid w:val="194371BC"/>
    <w:rsid w:val="19544E82"/>
    <w:rsid w:val="195F6B2B"/>
    <w:rsid w:val="1A3E33CA"/>
    <w:rsid w:val="1A442DE9"/>
    <w:rsid w:val="1A824473"/>
    <w:rsid w:val="1A8B0B46"/>
    <w:rsid w:val="1AA06B55"/>
    <w:rsid w:val="1AB2235A"/>
    <w:rsid w:val="1AD95B85"/>
    <w:rsid w:val="1AF60A3F"/>
    <w:rsid w:val="1B0534AB"/>
    <w:rsid w:val="1B175CF0"/>
    <w:rsid w:val="1BAF3B46"/>
    <w:rsid w:val="1BC92DBE"/>
    <w:rsid w:val="1C406E5A"/>
    <w:rsid w:val="1C694603"/>
    <w:rsid w:val="1C6A0BAA"/>
    <w:rsid w:val="1C6C7049"/>
    <w:rsid w:val="1C726FC2"/>
    <w:rsid w:val="1C8559AD"/>
    <w:rsid w:val="1CA94A3F"/>
    <w:rsid w:val="1CD00BDB"/>
    <w:rsid w:val="1CEF3FB8"/>
    <w:rsid w:val="1CF52E14"/>
    <w:rsid w:val="1D1940B3"/>
    <w:rsid w:val="1D321E13"/>
    <w:rsid w:val="1D5561BB"/>
    <w:rsid w:val="1D5A44EE"/>
    <w:rsid w:val="1D7D30BB"/>
    <w:rsid w:val="1D8403B0"/>
    <w:rsid w:val="1D8C6613"/>
    <w:rsid w:val="1DA34A9A"/>
    <w:rsid w:val="1E062A5E"/>
    <w:rsid w:val="1E081D8C"/>
    <w:rsid w:val="1E181988"/>
    <w:rsid w:val="1E762E8F"/>
    <w:rsid w:val="1E920B4B"/>
    <w:rsid w:val="1EAB6C94"/>
    <w:rsid w:val="1EBE65C4"/>
    <w:rsid w:val="1F5E74E8"/>
    <w:rsid w:val="1F762C63"/>
    <w:rsid w:val="1FAE5B94"/>
    <w:rsid w:val="20033917"/>
    <w:rsid w:val="20120B0E"/>
    <w:rsid w:val="202C5D87"/>
    <w:rsid w:val="20345FDE"/>
    <w:rsid w:val="20475F02"/>
    <w:rsid w:val="20580C17"/>
    <w:rsid w:val="20B4456A"/>
    <w:rsid w:val="20CB35C0"/>
    <w:rsid w:val="20E22C28"/>
    <w:rsid w:val="211770F2"/>
    <w:rsid w:val="21200896"/>
    <w:rsid w:val="21342094"/>
    <w:rsid w:val="21451D68"/>
    <w:rsid w:val="21455F84"/>
    <w:rsid w:val="217F20CB"/>
    <w:rsid w:val="22070921"/>
    <w:rsid w:val="224C23FE"/>
    <w:rsid w:val="22976AB0"/>
    <w:rsid w:val="22A65B15"/>
    <w:rsid w:val="22CA3C75"/>
    <w:rsid w:val="230C2B7C"/>
    <w:rsid w:val="23155396"/>
    <w:rsid w:val="235101AD"/>
    <w:rsid w:val="23B25345"/>
    <w:rsid w:val="23C60205"/>
    <w:rsid w:val="23D51827"/>
    <w:rsid w:val="241846E2"/>
    <w:rsid w:val="244B354D"/>
    <w:rsid w:val="24895374"/>
    <w:rsid w:val="24977600"/>
    <w:rsid w:val="24F00B4F"/>
    <w:rsid w:val="252A68FA"/>
    <w:rsid w:val="25481682"/>
    <w:rsid w:val="25763B59"/>
    <w:rsid w:val="259947C4"/>
    <w:rsid w:val="262A6D3A"/>
    <w:rsid w:val="263243B0"/>
    <w:rsid w:val="263861CB"/>
    <w:rsid w:val="26B65F4C"/>
    <w:rsid w:val="271240D7"/>
    <w:rsid w:val="272F1A96"/>
    <w:rsid w:val="272F1B8C"/>
    <w:rsid w:val="27491474"/>
    <w:rsid w:val="277E04F3"/>
    <w:rsid w:val="27866DF3"/>
    <w:rsid w:val="278C50D1"/>
    <w:rsid w:val="27DE7771"/>
    <w:rsid w:val="28337D49"/>
    <w:rsid w:val="28932C0C"/>
    <w:rsid w:val="28A62FD7"/>
    <w:rsid w:val="28A92366"/>
    <w:rsid w:val="293315CB"/>
    <w:rsid w:val="295944E5"/>
    <w:rsid w:val="2962684A"/>
    <w:rsid w:val="2977459E"/>
    <w:rsid w:val="297B0CF7"/>
    <w:rsid w:val="297B281A"/>
    <w:rsid w:val="29C70C3D"/>
    <w:rsid w:val="29CE777F"/>
    <w:rsid w:val="2A3569EE"/>
    <w:rsid w:val="2A422453"/>
    <w:rsid w:val="2A51423E"/>
    <w:rsid w:val="2AAA1CE4"/>
    <w:rsid w:val="2AF6299A"/>
    <w:rsid w:val="2B004391"/>
    <w:rsid w:val="2B3758CC"/>
    <w:rsid w:val="2B8549AF"/>
    <w:rsid w:val="2B8C7FBE"/>
    <w:rsid w:val="2BA93C62"/>
    <w:rsid w:val="2C456F15"/>
    <w:rsid w:val="2CCE400E"/>
    <w:rsid w:val="2CE84CA5"/>
    <w:rsid w:val="2D412F75"/>
    <w:rsid w:val="2DD67F50"/>
    <w:rsid w:val="2DD728AB"/>
    <w:rsid w:val="2DDD7005"/>
    <w:rsid w:val="2E2711BA"/>
    <w:rsid w:val="2E82031D"/>
    <w:rsid w:val="2EA75097"/>
    <w:rsid w:val="2EB626CD"/>
    <w:rsid w:val="2ECE3635"/>
    <w:rsid w:val="2ED06F0C"/>
    <w:rsid w:val="2EDD2DD9"/>
    <w:rsid w:val="2EE37C85"/>
    <w:rsid w:val="2F5B3384"/>
    <w:rsid w:val="2F723467"/>
    <w:rsid w:val="30453E2B"/>
    <w:rsid w:val="304D0935"/>
    <w:rsid w:val="30DF20A7"/>
    <w:rsid w:val="30EE7D18"/>
    <w:rsid w:val="30F10C15"/>
    <w:rsid w:val="30F14CE5"/>
    <w:rsid w:val="30FD0BB8"/>
    <w:rsid w:val="312406A1"/>
    <w:rsid w:val="3187644D"/>
    <w:rsid w:val="31F45461"/>
    <w:rsid w:val="320F264A"/>
    <w:rsid w:val="32265E70"/>
    <w:rsid w:val="3250111B"/>
    <w:rsid w:val="32594886"/>
    <w:rsid w:val="32762675"/>
    <w:rsid w:val="329120FA"/>
    <w:rsid w:val="32A02B99"/>
    <w:rsid w:val="32D05453"/>
    <w:rsid w:val="330947A2"/>
    <w:rsid w:val="331011B3"/>
    <w:rsid w:val="335F361A"/>
    <w:rsid w:val="33665898"/>
    <w:rsid w:val="33B0121A"/>
    <w:rsid w:val="33D414D0"/>
    <w:rsid w:val="33DB001E"/>
    <w:rsid w:val="33DC51A6"/>
    <w:rsid w:val="33EE27DA"/>
    <w:rsid w:val="33FA1865"/>
    <w:rsid w:val="34095AB9"/>
    <w:rsid w:val="345E3E97"/>
    <w:rsid w:val="34803D10"/>
    <w:rsid w:val="34892AA0"/>
    <w:rsid w:val="34904443"/>
    <w:rsid w:val="34E91F27"/>
    <w:rsid w:val="35033276"/>
    <w:rsid w:val="350717E8"/>
    <w:rsid w:val="350D70AE"/>
    <w:rsid w:val="35143758"/>
    <w:rsid w:val="35241716"/>
    <w:rsid w:val="352C3518"/>
    <w:rsid w:val="35843E04"/>
    <w:rsid w:val="35A61D02"/>
    <w:rsid w:val="35CD358A"/>
    <w:rsid w:val="361D3CBD"/>
    <w:rsid w:val="365E30CF"/>
    <w:rsid w:val="368057C9"/>
    <w:rsid w:val="3690132A"/>
    <w:rsid w:val="369730FE"/>
    <w:rsid w:val="36A823AB"/>
    <w:rsid w:val="36DA0180"/>
    <w:rsid w:val="36F724B1"/>
    <w:rsid w:val="370163CF"/>
    <w:rsid w:val="371B6A07"/>
    <w:rsid w:val="37316C9B"/>
    <w:rsid w:val="37593257"/>
    <w:rsid w:val="376C4B50"/>
    <w:rsid w:val="37BE5DE8"/>
    <w:rsid w:val="37E348EA"/>
    <w:rsid w:val="37ED6F36"/>
    <w:rsid w:val="37F94635"/>
    <w:rsid w:val="382531F6"/>
    <w:rsid w:val="383B21F0"/>
    <w:rsid w:val="385F359C"/>
    <w:rsid w:val="386346AF"/>
    <w:rsid w:val="387B53CC"/>
    <w:rsid w:val="387E217A"/>
    <w:rsid w:val="38C03194"/>
    <w:rsid w:val="39052C1F"/>
    <w:rsid w:val="390D5829"/>
    <w:rsid w:val="39180F6B"/>
    <w:rsid w:val="396F087C"/>
    <w:rsid w:val="3983332A"/>
    <w:rsid w:val="39C4770D"/>
    <w:rsid w:val="3A1E0383"/>
    <w:rsid w:val="3A5244D1"/>
    <w:rsid w:val="3A887DAA"/>
    <w:rsid w:val="3AB85F41"/>
    <w:rsid w:val="3AF91C65"/>
    <w:rsid w:val="3AF96C6E"/>
    <w:rsid w:val="3BA80B19"/>
    <w:rsid w:val="3BCE2858"/>
    <w:rsid w:val="3BF101AA"/>
    <w:rsid w:val="3BF715C8"/>
    <w:rsid w:val="3C263BB2"/>
    <w:rsid w:val="3C4240EC"/>
    <w:rsid w:val="3C5E0AC9"/>
    <w:rsid w:val="3C641B49"/>
    <w:rsid w:val="3C6F5615"/>
    <w:rsid w:val="3C7262ED"/>
    <w:rsid w:val="3C7C3284"/>
    <w:rsid w:val="3C8304BC"/>
    <w:rsid w:val="3CE0283F"/>
    <w:rsid w:val="3CF6027B"/>
    <w:rsid w:val="3D1065B2"/>
    <w:rsid w:val="3D373EA9"/>
    <w:rsid w:val="3D551BD2"/>
    <w:rsid w:val="3D5B42BA"/>
    <w:rsid w:val="3DC254CA"/>
    <w:rsid w:val="3DD37DA3"/>
    <w:rsid w:val="3DEF5B28"/>
    <w:rsid w:val="3E115548"/>
    <w:rsid w:val="3E1F3B54"/>
    <w:rsid w:val="3E4E1A45"/>
    <w:rsid w:val="3E67796F"/>
    <w:rsid w:val="3EF555AA"/>
    <w:rsid w:val="3F092CA4"/>
    <w:rsid w:val="3F340E4C"/>
    <w:rsid w:val="3F3752BC"/>
    <w:rsid w:val="3F3A1FEB"/>
    <w:rsid w:val="3F543476"/>
    <w:rsid w:val="3F750282"/>
    <w:rsid w:val="3FAC4A5B"/>
    <w:rsid w:val="3FCF5C8A"/>
    <w:rsid w:val="3FED4AB0"/>
    <w:rsid w:val="40193DFB"/>
    <w:rsid w:val="403A7694"/>
    <w:rsid w:val="403C1E1B"/>
    <w:rsid w:val="407615C2"/>
    <w:rsid w:val="40915411"/>
    <w:rsid w:val="40956690"/>
    <w:rsid w:val="40C43572"/>
    <w:rsid w:val="40D80632"/>
    <w:rsid w:val="40EE1944"/>
    <w:rsid w:val="41117150"/>
    <w:rsid w:val="411B5A55"/>
    <w:rsid w:val="4164653A"/>
    <w:rsid w:val="416A65A4"/>
    <w:rsid w:val="41A74493"/>
    <w:rsid w:val="41CC768E"/>
    <w:rsid w:val="41D03EC6"/>
    <w:rsid w:val="41D96144"/>
    <w:rsid w:val="41DD7E31"/>
    <w:rsid w:val="41EC2B61"/>
    <w:rsid w:val="42253D73"/>
    <w:rsid w:val="423713E6"/>
    <w:rsid w:val="42431DB8"/>
    <w:rsid w:val="433555C1"/>
    <w:rsid w:val="43502487"/>
    <w:rsid w:val="43675C40"/>
    <w:rsid w:val="437B32D0"/>
    <w:rsid w:val="43981540"/>
    <w:rsid w:val="43AB6DDE"/>
    <w:rsid w:val="43B35FE0"/>
    <w:rsid w:val="43D42D8A"/>
    <w:rsid w:val="43D54D85"/>
    <w:rsid w:val="442266F8"/>
    <w:rsid w:val="44916A6B"/>
    <w:rsid w:val="44BE4F1C"/>
    <w:rsid w:val="44C63397"/>
    <w:rsid w:val="44FB0210"/>
    <w:rsid w:val="451246FA"/>
    <w:rsid w:val="453468D5"/>
    <w:rsid w:val="45585957"/>
    <w:rsid w:val="456271FA"/>
    <w:rsid w:val="456F476D"/>
    <w:rsid w:val="457D4154"/>
    <w:rsid w:val="457E6ABF"/>
    <w:rsid w:val="45B64B63"/>
    <w:rsid w:val="45BF3F7C"/>
    <w:rsid w:val="45C6357B"/>
    <w:rsid w:val="4617671C"/>
    <w:rsid w:val="46392582"/>
    <w:rsid w:val="463E1A06"/>
    <w:rsid w:val="46552382"/>
    <w:rsid w:val="46760E81"/>
    <w:rsid w:val="46EB7948"/>
    <w:rsid w:val="47050CDF"/>
    <w:rsid w:val="47153EB0"/>
    <w:rsid w:val="47756E43"/>
    <w:rsid w:val="477F3110"/>
    <w:rsid w:val="47AF5153"/>
    <w:rsid w:val="47B03084"/>
    <w:rsid w:val="47C65D4C"/>
    <w:rsid w:val="47D01CD9"/>
    <w:rsid w:val="481D6A23"/>
    <w:rsid w:val="48482A6F"/>
    <w:rsid w:val="486E50E1"/>
    <w:rsid w:val="488F749C"/>
    <w:rsid w:val="48A05361"/>
    <w:rsid w:val="48A553AE"/>
    <w:rsid w:val="48AF7DA4"/>
    <w:rsid w:val="48E44057"/>
    <w:rsid w:val="4903604D"/>
    <w:rsid w:val="49255D76"/>
    <w:rsid w:val="4928533C"/>
    <w:rsid w:val="49353714"/>
    <w:rsid w:val="4985704B"/>
    <w:rsid w:val="49A346C0"/>
    <w:rsid w:val="4A2330B7"/>
    <w:rsid w:val="4A3A5E1B"/>
    <w:rsid w:val="4A773201"/>
    <w:rsid w:val="4A7A3BB1"/>
    <w:rsid w:val="4AB75CCF"/>
    <w:rsid w:val="4ACF026F"/>
    <w:rsid w:val="4AD02F75"/>
    <w:rsid w:val="4AD21280"/>
    <w:rsid w:val="4ADE356C"/>
    <w:rsid w:val="4AF00D94"/>
    <w:rsid w:val="4B4E6074"/>
    <w:rsid w:val="4BB8054F"/>
    <w:rsid w:val="4BE73414"/>
    <w:rsid w:val="4C6B00A8"/>
    <w:rsid w:val="4C7F335D"/>
    <w:rsid w:val="4C8524E4"/>
    <w:rsid w:val="4CB51EBF"/>
    <w:rsid w:val="4D64740A"/>
    <w:rsid w:val="4DA63808"/>
    <w:rsid w:val="4DDD5690"/>
    <w:rsid w:val="4E6268C7"/>
    <w:rsid w:val="4E672753"/>
    <w:rsid w:val="4E9278BF"/>
    <w:rsid w:val="4EAC5711"/>
    <w:rsid w:val="4EE259CC"/>
    <w:rsid w:val="4F4971A3"/>
    <w:rsid w:val="4F7E4C26"/>
    <w:rsid w:val="4FA170B1"/>
    <w:rsid w:val="4FAE21C0"/>
    <w:rsid w:val="4FD60E94"/>
    <w:rsid w:val="501348D3"/>
    <w:rsid w:val="501567E9"/>
    <w:rsid w:val="51032E01"/>
    <w:rsid w:val="510455FA"/>
    <w:rsid w:val="51173CE5"/>
    <w:rsid w:val="518015D9"/>
    <w:rsid w:val="51B2004B"/>
    <w:rsid w:val="52284AD1"/>
    <w:rsid w:val="522B3003"/>
    <w:rsid w:val="52C9238B"/>
    <w:rsid w:val="52E70841"/>
    <w:rsid w:val="531A70B1"/>
    <w:rsid w:val="532B5894"/>
    <w:rsid w:val="53503954"/>
    <w:rsid w:val="53661C94"/>
    <w:rsid w:val="53852519"/>
    <w:rsid w:val="53C02B75"/>
    <w:rsid w:val="53DC779A"/>
    <w:rsid w:val="53F01C7A"/>
    <w:rsid w:val="53FC20CC"/>
    <w:rsid w:val="5409098B"/>
    <w:rsid w:val="54550BA7"/>
    <w:rsid w:val="54CC12D7"/>
    <w:rsid w:val="55130031"/>
    <w:rsid w:val="55432E87"/>
    <w:rsid w:val="555209F3"/>
    <w:rsid w:val="55622629"/>
    <w:rsid w:val="556918E3"/>
    <w:rsid w:val="557701D2"/>
    <w:rsid w:val="557F70BC"/>
    <w:rsid w:val="558561BD"/>
    <w:rsid w:val="55894DF3"/>
    <w:rsid w:val="55966D2E"/>
    <w:rsid w:val="55D5039A"/>
    <w:rsid w:val="55EC3500"/>
    <w:rsid w:val="55EF08F6"/>
    <w:rsid w:val="56056001"/>
    <w:rsid w:val="56320678"/>
    <w:rsid w:val="56CC1B0B"/>
    <w:rsid w:val="56CE75F2"/>
    <w:rsid w:val="56E80497"/>
    <w:rsid w:val="56F6280F"/>
    <w:rsid w:val="57373962"/>
    <w:rsid w:val="573C40E7"/>
    <w:rsid w:val="575345C4"/>
    <w:rsid w:val="5758542B"/>
    <w:rsid w:val="575D21A0"/>
    <w:rsid w:val="575D7E65"/>
    <w:rsid w:val="57B55D28"/>
    <w:rsid w:val="57F132FA"/>
    <w:rsid w:val="5809221B"/>
    <w:rsid w:val="580F79CE"/>
    <w:rsid w:val="599430F2"/>
    <w:rsid w:val="59B80F89"/>
    <w:rsid w:val="59FF04CA"/>
    <w:rsid w:val="5A0E01EC"/>
    <w:rsid w:val="5A3A2DDD"/>
    <w:rsid w:val="5A4958D6"/>
    <w:rsid w:val="5A5E05F0"/>
    <w:rsid w:val="5A6F6D99"/>
    <w:rsid w:val="5A845953"/>
    <w:rsid w:val="5AA0079B"/>
    <w:rsid w:val="5ABB5323"/>
    <w:rsid w:val="5B4D5D89"/>
    <w:rsid w:val="5B715643"/>
    <w:rsid w:val="5BAB782A"/>
    <w:rsid w:val="5BBC0365"/>
    <w:rsid w:val="5BBE331C"/>
    <w:rsid w:val="5BBF2D45"/>
    <w:rsid w:val="5C08009B"/>
    <w:rsid w:val="5C0A4D2A"/>
    <w:rsid w:val="5C7C2AF3"/>
    <w:rsid w:val="5CAA0C6B"/>
    <w:rsid w:val="5CE735B2"/>
    <w:rsid w:val="5CF77EB4"/>
    <w:rsid w:val="5D1E6C37"/>
    <w:rsid w:val="5D3D1B2F"/>
    <w:rsid w:val="5D740137"/>
    <w:rsid w:val="5DB22A0D"/>
    <w:rsid w:val="5DEB4A5F"/>
    <w:rsid w:val="5DFD5C20"/>
    <w:rsid w:val="5E11506F"/>
    <w:rsid w:val="5E5962EE"/>
    <w:rsid w:val="5E671E61"/>
    <w:rsid w:val="5E98483C"/>
    <w:rsid w:val="5EA2771A"/>
    <w:rsid w:val="5ED02CED"/>
    <w:rsid w:val="5F356128"/>
    <w:rsid w:val="5F3D1770"/>
    <w:rsid w:val="5F4B23B0"/>
    <w:rsid w:val="5FC903E6"/>
    <w:rsid w:val="601228EC"/>
    <w:rsid w:val="6015352C"/>
    <w:rsid w:val="602B40B2"/>
    <w:rsid w:val="602E6DA1"/>
    <w:rsid w:val="603D3165"/>
    <w:rsid w:val="606C3E9C"/>
    <w:rsid w:val="608C7E30"/>
    <w:rsid w:val="609D7C10"/>
    <w:rsid w:val="609F0E0B"/>
    <w:rsid w:val="60AE49CA"/>
    <w:rsid w:val="611F3189"/>
    <w:rsid w:val="613D6599"/>
    <w:rsid w:val="614252E8"/>
    <w:rsid w:val="61724C3A"/>
    <w:rsid w:val="619D5782"/>
    <w:rsid w:val="61B67CC9"/>
    <w:rsid w:val="61DE5DBD"/>
    <w:rsid w:val="622664BA"/>
    <w:rsid w:val="6247370D"/>
    <w:rsid w:val="625E7607"/>
    <w:rsid w:val="627422DE"/>
    <w:rsid w:val="62AB2EB0"/>
    <w:rsid w:val="631E03BE"/>
    <w:rsid w:val="632E2F2F"/>
    <w:rsid w:val="633638F8"/>
    <w:rsid w:val="63585E05"/>
    <w:rsid w:val="63612B25"/>
    <w:rsid w:val="6378691E"/>
    <w:rsid w:val="637D2849"/>
    <w:rsid w:val="63802963"/>
    <w:rsid w:val="639E2EDF"/>
    <w:rsid w:val="63CB474D"/>
    <w:rsid w:val="64143CF7"/>
    <w:rsid w:val="64441196"/>
    <w:rsid w:val="647144E4"/>
    <w:rsid w:val="64A27946"/>
    <w:rsid w:val="64C112C5"/>
    <w:rsid w:val="653425AE"/>
    <w:rsid w:val="65402FF4"/>
    <w:rsid w:val="659B39AE"/>
    <w:rsid w:val="65A174AC"/>
    <w:rsid w:val="65D27766"/>
    <w:rsid w:val="65D42E38"/>
    <w:rsid w:val="65FA1AC9"/>
    <w:rsid w:val="66170401"/>
    <w:rsid w:val="66A60CBC"/>
    <w:rsid w:val="66D13887"/>
    <w:rsid w:val="66D954AE"/>
    <w:rsid w:val="66EE5149"/>
    <w:rsid w:val="67197E6F"/>
    <w:rsid w:val="67395406"/>
    <w:rsid w:val="67422569"/>
    <w:rsid w:val="67D07D03"/>
    <w:rsid w:val="67DF4FC2"/>
    <w:rsid w:val="68000CC3"/>
    <w:rsid w:val="680A62E5"/>
    <w:rsid w:val="681275FB"/>
    <w:rsid w:val="682E3C70"/>
    <w:rsid w:val="683319F7"/>
    <w:rsid w:val="684F48FD"/>
    <w:rsid w:val="685338E0"/>
    <w:rsid w:val="68630C4A"/>
    <w:rsid w:val="6998328A"/>
    <w:rsid w:val="69A34019"/>
    <w:rsid w:val="69C31A63"/>
    <w:rsid w:val="69C75D3F"/>
    <w:rsid w:val="69D7465B"/>
    <w:rsid w:val="6A22067F"/>
    <w:rsid w:val="6A5D5E12"/>
    <w:rsid w:val="6A641548"/>
    <w:rsid w:val="6A6E5787"/>
    <w:rsid w:val="6A7259FE"/>
    <w:rsid w:val="6A8848EE"/>
    <w:rsid w:val="6ACD54AA"/>
    <w:rsid w:val="6AD16D8C"/>
    <w:rsid w:val="6AE02657"/>
    <w:rsid w:val="6B241A17"/>
    <w:rsid w:val="6B4C1B7B"/>
    <w:rsid w:val="6B507394"/>
    <w:rsid w:val="6B627E17"/>
    <w:rsid w:val="6B6A6816"/>
    <w:rsid w:val="6B9F488C"/>
    <w:rsid w:val="6BB07954"/>
    <w:rsid w:val="6BC63ABE"/>
    <w:rsid w:val="6BEA4715"/>
    <w:rsid w:val="6C0528A2"/>
    <w:rsid w:val="6C1A1E25"/>
    <w:rsid w:val="6C6033B1"/>
    <w:rsid w:val="6C814250"/>
    <w:rsid w:val="6CA31D72"/>
    <w:rsid w:val="6D362CEC"/>
    <w:rsid w:val="6DE63213"/>
    <w:rsid w:val="6E35094B"/>
    <w:rsid w:val="6E4D037D"/>
    <w:rsid w:val="6E943BB6"/>
    <w:rsid w:val="6E9C0F6F"/>
    <w:rsid w:val="6EC97541"/>
    <w:rsid w:val="6EDD4432"/>
    <w:rsid w:val="6EF029C7"/>
    <w:rsid w:val="6F93375C"/>
    <w:rsid w:val="6FE56C72"/>
    <w:rsid w:val="6FF75901"/>
    <w:rsid w:val="702A59C8"/>
    <w:rsid w:val="7039648E"/>
    <w:rsid w:val="7048594A"/>
    <w:rsid w:val="705F54E6"/>
    <w:rsid w:val="7066338F"/>
    <w:rsid w:val="707A6170"/>
    <w:rsid w:val="70C210B9"/>
    <w:rsid w:val="70F10D04"/>
    <w:rsid w:val="7103031A"/>
    <w:rsid w:val="71300FA0"/>
    <w:rsid w:val="713779A1"/>
    <w:rsid w:val="718172D0"/>
    <w:rsid w:val="718538F7"/>
    <w:rsid w:val="718A0228"/>
    <w:rsid w:val="71AD48B4"/>
    <w:rsid w:val="71AD7318"/>
    <w:rsid w:val="723976EA"/>
    <w:rsid w:val="72574796"/>
    <w:rsid w:val="725C4F0C"/>
    <w:rsid w:val="726C40DC"/>
    <w:rsid w:val="726D70E7"/>
    <w:rsid w:val="72716493"/>
    <w:rsid w:val="72914E8F"/>
    <w:rsid w:val="72BF4526"/>
    <w:rsid w:val="72DB399E"/>
    <w:rsid w:val="72EA5FBD"/>
    <w:rsid w:val="730212F9"/>
    <w:rsid w:val="73211B08"/>
    <w:rsid w:val="733435D6"/>
    <w:rsid w:val="737D073E"/>
    <w:rsid w:val="737E1764"/>
    <w:rsid w:val="73C07421"/>
    <w:rsid w:val="73EC5630"/>
    <w:rsid w:val="73F67C1C"/>
    <w:rsid w:val="740A3471"/>
    <w:rsid w:val="74105019"/>
    <w:rsid w:val="74136EE6"/>
    <w:rsid w:val="74144094"/>
    <w:rsid w:val="7424523C"/>
    <w:rsid w:val="74370FDC"/>
    <w:rsid w:val="743B466D"/>
    <w:rsid w:val="7488612E"/>
    <w:rsid w:val="75112A9A"/>
    <w:rsid w:val="752D3385"/>
    <w:rsid w:val="752F2E9C"/>
    <w:rsid w:val="75401088"/>
    <w:rsid w:val="75C86896"/>
    <w:rsid w:val="75C96306"/>
    <w:rsid w:val="75DF1F4C"/>
    <w:rsid w:val="762117EE"/>
    <w:rsid w:val="76297D4E"/>
    <w:rsid w:val="76884F57"/>
    <w:rsid w:val="76FF1A44"/>
    <w:rsid w:val="779A00DE"/>
    <w:rsid w:val="77CC74DE"/>
    <w:rsid w:val="78523994"/>
    <w:rsid w:val="785C2461"/>
    <w:rsid w:val="78BE6092"/>
    <w:rsid w:val="78DA2F65"/>
    <w:rsid w:val="797D652D"/>
    <w:rsid w:val="797F3AB2"/>
    <w:rsid w:val="79C24A6A"/>
    <w:rsid w:val="79C5467F"/>
    <w:rsid w:val="7A3B577E"/>
    <w:rsid w:val="7A580C40"/>
    <w:rsid w:val="7A5866FB"/>
    <w:rsid w:val="7A6F4FB1"/>
    <w:rsid w:val="7A7343E4"/>
    <w:rsid w:val="7AEF579E"/>
    <w:rsid w:val="7AFE1D71"/>
    <w:rsid w:val="7B0742AD"/>
    <w:rsid w:val="7B1C1B63"/>
    <w:rsid w:val="7B1D1DED"/>
    <w:rsid w:val="7B376E5C"/>
    <w:rsid w:val="7B3F7B89"/>
    <w:rsid w:val="7B4838F1"/>
    <w:rsid w:val="7B8C68E6"/>
    <w:rsid w:val="7BFF4DDA"/>
    <w:rsid w:val="7C036DFE"/>
    <w:rsid w:val="7C3F4062"/>
    <w:rsid w:val="7C583027"/>
    <w:rsid w:val="7C6E50A6"/>
    <w:rsid w:val="7C9C4E59"/>
    <w:rsid w:val="7CA43A91"/>
    <w:rsid w:val="7CC7014E"/>
    <w:rsid w:val="7CD11AB2"/>
    <w:rsid w:val="7CF176A1"/>
    <w:rsid w:val="7D0564C2"/>
    <w:rsid w:val="7D0924EE"/>
    <w:rsid w:val="7D421706"/>
    <w:rsid w:val="7D493B5B"/>
    <w:rsid w:val="7D5070DC"/>
    <w:rsid w:val="7D615B69"/>
    <w:rsid w:val="7D67363F"/>
    <w:rsid w:val="7D96037D"/>
    <w:rsid w:val="7DF14361"/>
    <w:rsid w:val="7E04739F"/>
    <w:rsid w:val="7E13752E"/>
    <w:rsid w:val="7E1C75B5"/>
    <w:rsid w:val="7E3E2982"/>
    <w:rsid w:val="7E4B683A"/>
    <w:rsid w:val="7E582D05"/>
    <w:rsid w:val="7E671605"/>
    <w:rsid w:val="7F1317E9"/>
    <w:rsid w:val="7F80205C"/>
    <w:rsid w:val="7FD052D5"/>
    <w:rsid w:val="7FD53ACD"/>
    <w:rsid w:val="7FD66D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9"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qFormat="1" w:unhideWhenUsed="0"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ocked="1"/>
    <w:lsdException w:qFormat="1" w:uiPriority="99" w:semiHidden="0" w:name="footnote text" w:locked="1"/>
    <w:lsdException w:qFormat="1" w:uiPriority="0" w:semiHidden="0" w:name="annotation text" w:locked="1"/>
    <w:lsdException w:qFormat="1" w:uiPriority="99" w:semiHidden="0" w:name="header" w:locked="1"/>
    <w:lsdException w:qFormat="1" w:uiPriority="99" w:semiHidden="0" w:name="footer" w:locked="1"/>
    <w:lsdException w:uiPriority="99" w:name="index heading" w:locked="1"/>
    <w:lsdException w:qFormat="1" w:unhideWhenUsed="0" w:uiPriority="0" w:semiHidden="0" w:name="caption" w:locked="1"/>
    <w:lsdException w:uiPriority="99" w:name="table of figures" w:locked="1"/>
    <w:lsdException w:uiPriority="99" w:name="envelope address" w:locked="1"/>
    <w:lsdException w:uiPriority="99" w:name="envelope return" w:locked="1"/>
    <w:lsdException w:qFormat="1" w:uiPriority="99" w:semiHidden="0" w:name="footnote reference" w:locked="1"/>
    <w:lsdException w:qFormat="1" w:uiPriority="0" w:semiHidden="0" w:name="annotation reference" w:locked="1"/>
    <w:lsdException w:uiPriority="99" w:name="line number" w:locked="1"/>
    <w:lsdException w:qFormat="1" w:unhideWhenUsed="0" w:uiPriority="0" w:semiHidden="0" w:name="page number" w:locked="1"/>
    <w:lsdException w:qFormat="1" w:uiPriority="99" w:semiHidden="0" w:name="endnote reference" w:locked="1"/>
    <w:lsdException w:qFormat="1" w:uiPriority="99" w:semiHidden="0"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qFormat="1" w:unhideWhenUsed="0" w:uiPriority="0" w:semiHidden="0"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qFormat="1" w:unhideWhenUsed="0" w:uiPriority="0" w:semiHidden="0"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iPriority="99" w:name="Block Text" w:locked="1"/>
    <w:lsdException w:qFormat="1" w:unhideWhenUsed="0" w:uiPriority="99" w:semiHidden="0" w:name="Hyperlink" w:locked="1"/>
    <w:lsdException w:qFormat="1" w:unhideWhenUsed="0" w:uiPriority="0" w:semiHidden="0"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ocked="1"/>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uiPriority="99"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qFormat="1" w:uiPriority="99" w:name="Normal Table"/>
    <w:lsdException w:qFormat="1" w:uiPriority="99" w:semiHidden="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locked/>
    <w:uiPriority w:val="0"/>
    <w:pPr>
      <w:keepNext/>
      <w:keepLines/>
      <w:spacing w:before="340" w:after="330" w:line="578" w:lineRule="auto"/>
      <w:outlineLvl w:val="0"/>
    </w:pPr>
    <w:rPr>
      <w:b/>
      <w:bCs/>
      <w:kern w:val="44"/>
      <w:sz w:val="30"/>
      <w:szCs w:val="44"/>
    </w:rPr>
  </w:style>
  <w:style w:type="paragraph" w:styleId="4">
    <w:name w:val="heading 2"/>
    <w:basedOn w:val="1"/>
    <w:next w:val="1"/>
    <w:link w:val="65"/>
    <w:qFormat/>
    <w:locked/>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6"/>
    <w:qFormat/>
    <w:locked/>
    <w:uiPriority w:val="0"/>
    <w:pPr>
      <w:keepNext/>
      <w:keepLines/>
      <w:spacing w:before="260" w:after="260" w:line="416" w:lineRule="auto"/>
      <w:outlineLvl w:val="2"/>
    </w:pPr>
    <w:rPr>
      <w:b/>
      <w:bCs/>
      <w:kern w:val="0"/>
      <w:sz w:val="32"/>
      <w:szCs w:val="32"/>
    </w:rPr>
  </w:style>
  <w:style w:type="paragraph" w:styleId="6">
    <w:name w:val="heading 4"/>
    <w:basedOn w:val="1"/>
    <w:next w:val="1"/>
    <w:qFormat/>
    <w:locked/>
    <w:uiPriority w:val="9"/>
    <w:pPr>
      <w:ind w:firstLine="680"/>
      <w:outlineLvl w:val="3"/>
    </w:pPr>
    <w:rPr>
      <w:rFonts w:ascii="宋体"/>
      <w:sz w:val="28"/>
      <w:szCs w:val="20"/>
    </w:rPr>
  </w:style>
  <w:style w:type="paragraph" w:styleId="7">
    <w:name w:val="heading 5"/>
    <w:basedOn w:val="1"/>
    <w:next w:val="8"/>
    <w:link w:val="67"/>
    <w:qFormat/>
    <w:locked/>
    <w:uiPriority w:val="0"/>
    <w:pPr>
      <w:keepNext/>
      <w:keepLines/>
      <w:numPr>
        <w:ilvl w:val="4"/>
        <w:numId w:val="1"/>
      </w:numPr>
      <w:spacing w:before="280" w:after="290" w:line="376" w:lineRule="auto"/>
      <w:outlineLvl w:val="4"/>
    </w:pPr>
    <w:rPr>
      <w:b/>
      <w:sz w:val="28"/>
    </w:rPr>
  </w:style>
  <w:style w:type="paragraph" w:styleId="2">
    <w:name w:val="heading 6"/>
    <w:basedOn w:val="1"/>
    <w:next w:val="1"/>
    <w:link w:val="68"/>
    <w:qFormat/>
    <w:locked/>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9"/>
    <w:qFormat/>
    <w:locked/>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70"/>
    <w:qFormat/>
    <w:locked/>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71"/>
    <w:qFormat/>
    <w:locked/>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locked/>
    <w:uiPriority w:val="0"/>
    <w:pPr>
      <w:ind w:firstLine="420"/>
    </w:pPr>
    <w:rPr>
      <w:szCs w:val="20"/>
    </w:rPr>
  </w:style>
  <w:style w:type="paragraph" w:styleId="12">
    <w:name w:val="toc 7"/>
    <w:basedOn w:val="1"/>
    <w:next w:val="1"/>
    <w:unhideWhenUsed/>
    <w:qFormat/>
    <w:locked/>
    <w:uiPriority w:val="39"/>
    <w:pPr>
      <w:ind w:left="2520" w:leftChars="1200"/>
    </w:pPr>
    <w:rPr>
      <w:rFonts w:ascii="Calibri" w:hAnsi="Calibri"/>
      <w:szCs w:val="22"/>
    </w:rPr>
  </w:style>
  <w:style w:type="paragraph" w:styleId="13">
    <w:name w:val="index 8"/>
    <w:basedOn w:val="1"/>
    <w:next w:val="1"/>
    <w:qFormat/>
    <w:locked/>
    <w:uiPriority w:val="0"/>
    <w:pPr>
      <w:ind w:left="2940"/>
    </w:pPr>
  </w:style>
  <w:style w:type="paragraph" w:styleId="14">
    <w:name w:val="List Number"/>
    <w:basedOn w:val="1"/>
    <w:qFormat/>
    <w:locked/>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locked/>
    <w:uiPriority w:val="0"/>
    <w:pPr>
      <w:spacing w:before="152" w:after="160"/>
    </w:pPr>
    <w:rPr>
      <w:rFonts w:ascii="Arial" w:hAnsi="Arial" w:eastAsia="黑体" w:cs="Arial"/>
      <w:sz w:val="20"/>
      <w:szCs w:val="20"/>
    </w:rPr>
  </w:style>
  <w:style w:type="paragraph" w:styleId="16">
    <w:name w:val="annotation text"/>
    <w:basedOn w:val="1"/>
    <w:link w:val="72"/>
    <w:unhideWhenUsed/>
    <w:qFormat/>
    <w:locked/>
    <w:uiPriority w:val="0"/>
    <w:pPr>
      <w:jc w:val="left"/>
    </w:pPr>
  </w:style>
  <w:style w:type="paragraph" w:styleId="17">
    <w:name w:val="Body Text 3"/>
    <w:basedOn w:val="1"/>
    <w:link w:val="73"/>
    <w:qFormat/>
    <w:locked/>
    <w:uiPriority w:val="0"/>
    <w:pPr>
      <w:spacing w:line="500" w:lineRule="exact"/>
    </w:pPr>
    <w:rPr>
      <w:b/>
      <w:bCs/>
      <w:kern w:val="0"/>
      <w:sz w:val="24"/>
    </w:rPr>
  </w:style>
  <w:style w:type="paragraph" w:styleId="18">
    <w:name w:val="Body Text"/>
    <w:basedOn w:val="1"/>
    <w:link w:val="74"/>
    <w:qFormat/>
    <w:locked/>
    <w:uiPriority w:val="99"/>
    <w:pPr>
      <w:spacing w:line="380" w:lineRule="exact"/>
    </w:pPr>
    <w:rPr>
      <w:kern w:val="0"/>
      <w:sz w:val="24"/>
    </w:rPr>
  </w:style>
  <w:style w:type="paragraph" w:styleId="19">
    <w:name w:val="Body Text Indent"/>
    <w:basedOn w:val="1"/>
    <w:link w:val="75"/>
    <w:qFormat/>
    <w:locked/>
    <w:uiPriority w:val="0"/>
    <w:pPr>
      <w:ind w:firstLine="830" w:firstLineChars="352"/>
    </w:pPr>
    <w:rPr>
      <w:rFonts w:ascii="仿宋_GB2312" w:eastAsia="仿宋_GB2312"/>
      <w:kern w:val="0"/>
      <w:sz w:val="32"/>
      <w:szCs w:val="20"/>
    </w:rPr>
  </w:style>
  <w:style w:type="paragraph" w:styleId="20">
    <w:name w:val="List Number 3"/>
    <w:basedOn w:val="1"/>
    <w:qFormat/>
    <w:locked/>
    <w:uiPriority w:val="0"/>
    <w:pPr>
      <w:numPr>
        <w:ilvl w:val="0"/>
        <w:numId w:val="2"/>
      </w:numPr>
    </w:pPr>
  </w:style>
  <w:style w:type="paragraph" w:styleId="21">
    <w:name w:val="List 2"/>
    <w:basedOn w:val="1"/>
    <w:qFormat/>
    <w:locked/>
    <w:uiPriority w:val="0"/>
    <w:pPr>
      <w:ind w:left="100" w:leftChars="200" w:hanging="200" w:hangingChars="200"/>
    </w:pPr>
    <w:rPr>
      <w:sz w:val="28"/>
    </w:rPr>
  </w:style>
  <w:style w:type="paragraph" w:styleId="22">
    <w:name w:val="toc 5"/>
    <w:basedOn w:val="1"/>
    <w:next w:val="1"/>
    <w:unhideWhenUsed/>
    <w:qFormat/>
    <w:locked/>
    <w:uiPriority w:val="39"/>
    <w:pPr>
      <w:ind w:left="1680" w:leftChars="800"/>
    </w:pPr>
    <w:rPr>
      <w:rFonts w:ascii="Calibri" w:hAnsi="Calibri"/>
      <w:szCs w:val="22"/>
    </w:rPr>
  </w:style>
  <w:style w:type="paragraph" w:styleId="23">
    <w:name w:val="toc 3"/>
    <w:basedOn w:val="1"/>
    <w:next w:val="1"/>
    <w:unhideWhenUsed/>
    <w:qFormat/>
    <w:locked/>
    <w:uiPriority w:val="39"/>
    <w:pPr>
      <w:ind w:left="840" w:leftChars="400"/>
    </w:pPr>
    <w:rPr>
      <w:rFonts w:ascii="Calibri" w:hAnsi="Calibri"/>
      <w:szCs w:val="22"/>
    </w:rPr>
  </w:style>
  <w:style w:type="paragraph" w:styleId="24">
    <w:name w:val="Plain Text"/>
    <w:basedOn w:val="1"/>
    <w:next w:val="1"/>
    <w:link w:val="76"/>
    <w:qFormat/>
    <w:locked/>
    <w:uiPriority w:val="0"/>
    <w:rPr>
      <w:rFonts w:ascii="宋体" w:hAnsi="Courier New"/>
      <w:kern w:val="0"/>
      <w:sz w:val="20"/>
      <w:szCs w:val="21"/>
    </w:rPr>
  </w:style>
  <w:style w:type="paragraph" w:styleId="25">
    <w:name w:val="toc 8"/>
    <w:basedOn w:val="1"/>
    <w:next w:val="1"/>
    <w:unhideWhenUsed/>
    <w:qFormat/>
    <w:locked/>
    <w:uiPriority w:val="39"/>
    <w:pPr>
      <w:ind w:left="2940" w:leftChars="1400"/>
    </w:pPr>
    <w:rPr>
      <w:rFonts w:ascii="Calibri" w:hAnsi="Calibri"/>
      <w:szCs w:val="22"/>
    </w:rPr>
  </w:style>
  <w:style w:type="paragraph" w:styleId="26">
    <w:name w:val="Date"/>
    <w:basedOn w:val="1"/>
    <w:next w:val="1"/>
    <w:link w:val="77"/>
    <w:qFormat/>
    <w:locked/>
    <w:uiPriority w:val="0"/>
    <w:pPr>
      <w:ind w:left="100" w:leftChars="2500"/>
    </w:pPr>
    <w:rPr>
      <w:rFonts w:ascii="宋体" w:hAnsi="Courier New"/>
      <w:kern w:val="0"/>
      <w:sz w:val="20"/>
      <w:szCs w:val="21"/>
    </w:rPr>
  </w:style>
  <w:style w:type="paragraph" w:styleId="27">
    <w:name w:val="Body Text Indent 2"/>
    <w:basedOn w:val="1"/>
    <w:link w:val="78"/>
    <w:qFormat/>
    <w:locked/>
    <w:uiPriority w:val="0"/>
    <w:pPr>
      <w:ind w:firstLine="630"/>
    </w:pPr>
    <w:rPr>
      <w:kern w:val="0"/>
      <w:sz w:val="32"/>
      <w:szCs w:val="20"/>
    </w:rPr>
  </w:style>
  <w:style w:type="paragraph" w:styleId="28">
    <w:name w:val="endnote text"/>
    <w:basedOn w:val="1"/>
    <w:link w:val="79"/>
    <w:unhideWhenUsed/>
    <w:qFormat/>
    <w:locked/>
    <w:uiPriority w:val="99"/>
    <w:pPr>
      <w:snapToGrid w:val="0"/>
      <w:jc w:val="left"/>
    </w:pPr>
  </w:style>
  <w:style w:type="paragraph" w:styleId="29">
    <w:name w:val="Balloon Text"/>
    <w:basedOn w:val="1"/>
    <w:link w:val="80"/>
    <w:semiHidden/>
    <w:qFormat/>
    <w:locked/>
    <w:uiPriority w:val="0"/>
    <w:rPr>
      <w:kern w:val="0"/>
      <w:sz w:val="18"/>
      <w:szCs w:val="18"/>
    </w:rPr>
  </w:style>
  <w:style w:type="paragraph" w:styleId="30">
    <w:name w:val="footer"/>
    <w:basedOn w:val="1"/>
    <w:next w:val="1"/>
    <w:link w:val="81"/>
    <w:unhideWhenUsed/>
    <w:qFormat/>
    <w:locked/>
    <w:uiPriority w:val="99"/>
    <w:pPr>
      <w:tabs>
        <w:tab w:val="center" w:pos="4153"/>
        <w:tab w:val="right" w:pos="8306"/>
      </w:tabs>
      <w:snapToGrid w:val="0"/>
      <w:jc w:val="left"/>
    </w:pPr>
    <w:rPr>
      <w:kern w:val="0"/>
      <w:sz w:val="18"/>
      <w:szCs w:val="18"/>
    </w:rPr>
  </w:style>
  <w:style w:type="paragraph" w:styleId="31">
    <w:name w:val="header"/>
    <w:basedOn w:val="1"/>
    <w:link w:val="82"/>
    <w:unhideWhenUsed/>
    <w:qFormat/>
    <w:locked/>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locked/>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locked/>
    <w:uiPriority w:val="39"/>
    <w:pPr>
      <w:ind w:left="1260" w:leftChars="600"/>
    </w:pPr>
    <w:rPr>
      <w:rFonts w:ascii="Calibri" w:hAnsi="Calibri"/>
      <w:szCs w:val="22"/>
    </w:rPr>
  </w:style>
  <w:style w:type="paragraph" w:styleId="34">
    <w:name w:val="List"/>
    <w:basedOn w:val="1"/>
    <w:qFormat/>
    <w:locked/>
    <w:uiPriority w:val="0"/>
    <w:pPr>
      <w:ind w:left="200" w:hanging="200" w:hangingChars="200"/>
    </w:pPr>
    <w:rPr>
      <w:sz w:val="28"/>
    </w:rPr>
  </w:style>
  <w:style w:type="paragraph" w:styleId="35">
    <w:name w:val="footnote text"/>
    <w:basedOn w:val="1"/>
    <w:link w:val="83"/>
    <w:unhideWhenUsed/>
    <w:qFormat/>
    <w:locked/>
    <w:uiPriority w:val="99"/>
    <w:pPr>
      <w:snapToGrid w:val="0"/>
      <w:jc w:val="left"/>
    </w:pPr>
    <w:rPr>
      <w:sz w:val="18"/>
      <w:szCs w:val="18"/>
    </w:rPr>
  </w:style>
  <w:style w:type="paragraph" w:styleId="36">
    <w:name w:val="toc 6"/>
    <w:basedOn w:val="1"/>
    <w:next w:val="1"/>
    <w:unhideWhenUsed/>
    <w:qFormat/>
    <w:locked/>
    <w:uiPriority w:val="39"/>
    <w:pPr>
      <w:ind w:left="2100" w:leftChars="1000"/>
    </w:pPr>
    <w:rPr>
      <w:rFonts w:ascii="Calibri" w:hAnsi="Calibri"/>
      <w:szCs w:val="22"/>
    </w:rPr>
  </w:style>
  <w:style w:type="paragraph" w:styleId="37">
    <w:name w:val="Body Text Indent 3"/>
    <w:basedOn w:val="1"/>
    <w:link w:val="84"/>
    <w:qFormat/>
    <w:locked/>
    <w:uiPriority w:val="0"/>
    <w:pPr>
      <w:spacing w:after="120"/>
      <w:ind w:left="420" w:leftChars="200"/>
    </w:pPr>
    <w:rPr>
      <w:kern w:val="0"/>
      <w:sz w:val="16"/>
      <w:szCs w:val="16"/>
    </w:rPr>
  </w:style>
  <w:style w:type="paragraph" w:styleId="38">
    <w:name w:val="toc 2"/>
    <w:basedOn w:val="1"/>
    <w:next w:val="1"/>
    <w:unhideWhenUsed/>
    <w:qFormat/>
    <w:locked/>
    <w:uiPriority w:val="39"/>
    <w:pPr>
      <w:ind w:left="420" w:leftChars="200"/>
    </w:pPr>
  </w:style>
  <w:style w:type="paragraph" w:styleId="39">
    <w:name w:val="toc 9"/>
    <w:basedOn w:val="1"/>
    <w:next w:val="1"/>
    <w:unhideWhenUsed/>
    <w:qFormat/>
    <w:locked/>
    <w:uiPriority w:val="39"/>
    <w:pPr>
      <w:ind w:left="3360" w:leftChars="1600"/>
    </w:pPr>
    <w:rPr>
      <w:rFonts w:ascii="Calibri" w:hAnsi="Calibri"/>
      <w:szCs w:val="22"/>
    </w:rPr>
  </w:style>
  <w:style w:type="paragraph" w:styleId="40">
    <w:name w:val="Body Text 2"/>
    <w:basedOn w:val="1"/>
    <w:link w:val="85"/>
    <w:qFormat/>
    <w:locked/>
    <w:uiPriority w:val="0"/>
    <w:pPr>
      <w:spacing w:after="120" w:line="480" w:lineRule="auto"/>
    </w:pPr>
    <w:rPr>
      <w:kern w:val="0"/>
      <w:sz w:val="20"/>
    </w:rPr>
  </w:style>
  <w:style w:type="paragraph" w:styleId="41">
    <w:name w:val="Normal (Web)"/>
    <w:basedOn w:val="1"/>
    <w:qFormat/>
    <w:locked/>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locked/>
    <w:uiPriority w:val="0"/>
    <w:pPr>
      <w:spacing w:line="400" w:lineRule="exact"/>
      <w:ind w:firstLine="420" w:firstLineChars="200"/>
    </w:pPr>
    <w:rPr>
      <w:rFonts w:ascii="宋体" w:hAnsi="Courier New"/>
      <w:b/>
      <w:szCs w:val="20"/>
    </w:rPr>
  </w:style>
  <w:style w:type="paragraph" w:styleId="43">
    <w:name w:val="Title"/>
    <w:basedOn w:val="1"/>
    <w:next w:val="1"/>
    <w:link w:val="86"/>
    <w:qFormat/>
    <w:locked/>
    <w:uiPriority w:val="10"/>
    <w:pPr>
      <w:spacing w:before="240" w:after="60"/>
      <w:jc w:val="center"/>
      <w:outlineLvl w:val="0"/>
    </w:pPr>
    <w:rPr>
      <w:rFonts w:ascii="Cambria" w:hAnsi="Cambria"/>
      <w:b/>
      <w:bCs/>
      <w:sz w:val="32"/>
      <w:szCs w:val="32"/>
    </w:rPr>
  </w:style>
  <w:style w:type="paragraph" w:styleId="44">
    <w:name w:val="annotation subject"/>
    <w:basedOn w:val="16"/>
    <w:next w:val="16"/>
    <w:link w:val="87"/>
    <w:unhideWhenUsed/>
    <w:qFormat/>
    <w:locked/>
    <w:uiPriority w:val="99"/>
    <w:rPr>
      <w:b/>
      <w:bCs/>
    </w:rPr>
  </w:style>
  <w:style w:type="paragraph" w:styleId="45">
    <w:name w:val="Body Text First Indent 2"/>
    <w:basedOn w:val="19"/>
    <w:next w:val="1"/>
    <w:qFormat/>
    <w:locked/>
    <w:uiPriority w:val="0"/>
    <w:pPr>
      <w:spacing w:after="120"/>
      <w:ind w:left="420" w:leftChars="200" w:firstLine="420" w:firstLineChars="2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locked/>
    <w:uiPriority w:val="22"/>
    <w:rPr>
      <w:b/>
    </w:rPr>
  </w:style>
  <w:style w:type="character" w:styleId="50">
    <w:name w:val="endnote reference"/>
    <w:unhideWhenUsed/>
    <w:qFormat/>
    <w:locked/>
    <w:uiPriority w:val="99"/>
    <w:rPr>
      <w:vertAlign w:val="superscript"/>
    </w:rPr>
  </w:style>
  <w:style w:type="character" w:styleId="51">
    <w:name w:val="page number"/>
    <w:qFormat/>
    <w:locked/>
    <w:uiPriority w:val="0"/>
  </w:style>
  <w:style w:type="character" w:styleId="52">
    <w:name w:val="FollowedHyperlink"/>
    <w:basedOn w:val="48"/>
    <w:qFormat/>
    <w:locked/>
    <w:uiPriority w:val="0"/>
    <w:rPr>
      <w:color w:val="800080"/>
      <w:u w:val="none"/>
    </w:rPr>
  </w:style>
  <w:style w:type="character" w:styleId="53">
    <w:name w:val="HTML Definition"/>
    <w:basedOn w:val="48"/>
    <w:unhideWhenUsed/>
    <w:qFormat/>
    <w:locked/>
    <w:uiPriority w:val="99"/>
  </w:style>
  <w:style w:type="character" w:styleId="54">
    <w:name w:val="HTML Typewriter"/>
    <w:basedOn w:val="48"/>
    <w:unhideWhenUsed/>
    <w:qFormat/>
    <w:locked/>
    <w:uiPriority w:val="99"/>
    <w:rPr>
      <w:rFonts w:hint="default" w:ascii="monospace" w:hAnsi="monospace" w:eastAsia="monospace" w:cs="monospace"/>
      <w:sz w:val="20"/>
    </w:rPr>
  </w:style>
  <w:style w:type="character" w:styleId="55">
    <w:name w:val="HTML Acronym"/>
    <w:basedOn w:val="48"/>
    <w:unhideWhenUsed/>
    <w:qFormat/>
    <w:locked/>
    <w:uiPriority w:val="99"/>
  </w:style>
  <w:style w:type="character" w:styleId="56">
    <w:name w:val="HTML Variable"/>
    <w:basedOn w:val="48"/>
    <w:unhideWhenUsed/>
    <w:qFormat/>
    <w:locked/>
    <w:uiPriority w:val="99"/>
  </w:style>
  <w:style w:type="character" w:styleId="57">
    <w:name w:val="Hyperlink"/>
    <w:basedOn w:val="48"/>
    <w:qFormat/>
    <w:locked/>
    <w:uiPriority w:val="99"/>
    <w:rPr>
      <w:color w:val="0000FF"/>
      <w:u w:val="none"/>
    </w:rPr>
  </w:style>
  <w:style w:type="character" w:styleId="58">
    <w:name w:val="HTML Code"/>
    <w:basedOn w:val="48"/>
    <w:unhideWhenUsed/>
    <w:qFormat/>
    <w:locked/>
    <w:uiPriority w:val="99"/>
    <w:rPr>
      <w:rFonts w:hint="default" w:ascii="monospace" w:hAnsi="monospace" w:eastAsia="monospace" w:cs="monospace"/>
      <w:sz w:val="20"/>
    </w:rPr>
  </w:style>
  <w:style w:type="character" w:styleId="59">
    <w:name w:val="annotation reference"/>
    <w:unhideWhenUsed/>
    <w:qFormat/>
    <w:locked/>
    <w:uiPriority w:val="0"/>
    <w:rPr>
      <w:sz w:val="21"/>
      <w:szCs w:val="21"/>
    </w:rPr>
  </w:style>
  <w:style w:type="character" w:styleId="60">
    <w:name w:val="HTML Cite"/>
    <w:basedOn w:val="48"/>
    <w:unhideWhenUsed/>
    <w:qFormat/>
    <w:locked/>
    <w:uiPriority w:val="99"/>
  </w:style>
  <w:style w:type="character" w:styleId="61">
    <w:name w:val="footnote reference"/>
    <w:unhideWhenUsed/>
    <w:qFormat/>
    <w:locked/>
    <w:uiPriority w:val="99"/>
    <w:rPr>
      <w:vertAlign w:val="superscript"/>
    </w:rPr>
  </w:style>
  <w:style w:type="character" w:styleId="62">
    <w:name w:val="HTML Keyboard"/>
    <w:basedOn w:val="48"/>
    <w:unhideWhenUsed/>
    <w:qFormat/>
    <w:locked/>
    <w:uiPriority w:val="99"/>
    <w:rPr>
      <w:rFonts w:ascii="monospace" w:hAnsi="monospace" w:eastAsia="monospace" w:cs="monospace"/>
      <w:sz w:val="20"/>
    </w:rPr>
  </w:style>
  <w:style w:type="character" w:styleId="63">
    <w:name w:val="HTML Sample"/>
    <w:basedOn w:val="48"/>
    <w:unhideWhenUsed/>
    <w:qFormat/>
    <w:locked/>
    <w:uiPriority w:val="99"/>
    <w:rPr>
      <w:rFonts w:hint="default" w:ascii="monospace" w:hAnsi="monospace" w:eastAsia="monospace" w:cs="monospace"/>
    </w:rPr>
  </w:style>
  <w:style w:type="character" w:customStyle="1" w:styleId="64">
    <w:name w:val="标题 1 Char"/>
    <w:link w:val="3"/>
    <w:qFormat/>
    <w:uiPriority w:val="0"/>
    <w:rPr>
      <w:rFonts w:ascii="Times New Roman" w:hAnsi="Times New Roman" w:eastAsia="宋体" w:cs="Times New Roman"/>
      <w:b/>
      <w:bCs/>
      <w:kern w:val="44"/>
      <w:sz w:val="30"/>
      <w:szCs w:val="44"/>
    </w:rPr>
  </w:style>
  <w:style w:type="character" w:customStyle="1" w:styleId="65">
    <w:name w:val="标题 2 Char"/>
    <w:link w:val="4"/>
    <w:qFormat/>
    <w:uiPriority w:val="0"/>
    <w:rPr>
      <w:rFonts w:ascii="Arial" w:hAnsi="Arial" w:eastAsia="黑体" w:cs="Times New Roman"/>
      <w:b/>
      <w:bCs/>
      <w:sz w:val="32"/>
      <w:szCs w:val="32"/>
    </w:rPr>
  </w:style>
  <w:style w:type="character" w:customStyle="1" w:styleId="66">
    <w:name w:val="标题 3 Char"/>
    <w:link w:val="5"/>
    <w:qFormat/>
    <w:uiPriority w:val="0"/>
    <w:rPr>
      <w:rFonts w:ascii="Times New Roman" w:hAnsi="Times New Roman" w:eastAsia="宋体" w:cs="Times New Roman"/>
      <w:b/>
      <w:bCs/>
      <w:sz w:val="32"/>
      <w:szCs w:val="32"/>
    </w:rPr>
  </w:style>
  <w:style w:type="character" w:customStyle="1" w:styleId="67">
    <w:name w:val="标题 5 Char"/>
    <w:link w:val="7"/>
    <w:qFormat/>
    <w:uiPriority w:val="0"/>
    <w:rPr>
      <w:rFonts w:ascii="Times New Roman" w:hAnsi="Times New Roman"/>
      <w:b/>
      <w:kern w:val="2"/>
      <w:sz w:val="28"/>
      <w:szCs w:val="24"/>
    </w:rPr>
  </w:style>
  <w:style w:type="character" w:customStyle="1" w:styleId="68">
    <w:name w:val="标题 6 Char"/>
    <w:link w:val="2"/>
    <w:qFormat/>
    <w:uiPriority w:val="0"/>
    <w:rPr>
      <w:rFonts w:ascii="Arial" w:hAnsi="Arial" w:eastAsia="黑体"/>
      <w:b/>
      <w:kern w:val="2"/>
      <w:sz w:val="24"/>
      <w:szCs w:val="24"/>
    </w:rPr>
  </w:style>
  <w:style w:type="character" w:customStyle="1" w:styleId="69">
    <w:name w:val="标题 7 Char"/>
    <w:link w:val="9"/>
    <w:qFormat/>
    <w:uiPriority w:val="0"/>
    <w:rPr>
      <w:rFonts w:ascii="Times New Roman" w:hAnsi="Times New Roman"/>
      <w:b/>
      <w:kern w:val="2"/>
      <w:sz w:val="24"/>
      <w:szCs w:val="24"/>
    </w:rPr>
  </w:style>
  <w:style w:type="character" w:customStyle="1" w:styleId="70">
    <w:name w:val="标题 8 Char"/>
    <w:link w:val="10"/>
    <w:qFormat/>
    <w:uiPriority w:val="0"/>
    <w:rPr>
      <w:rFonts w:ascii="Arial" w:hAnsi="Arial" w:eastAsia="黑体"/>
      <w:kern w:val="2"/>
      <w:sz w:val="24"/>
      <w:szCs w:val="24"/>
    </w:rPr>
  </w:style>
  <w:style w:type="character" w:customStyle="1" w:styleId="71">
    <w:name w:val="标题 9 Char"/>
    <w:link w:val="11"/>
    <w:qFormat/>
    <w:uiPriority w:val="0"/>
    <w:rPr>
      <w:rFonts w:ascii="Arial" w:hAnsi="Arial" w:eastAsia="黑体"/>
      <w:kern w:val="2"/>
      <w:sz w:val="21"/>
      <w:szCs w:val="24"/>
    </w:rPr>
  </w:style>
  <w:style w:type="character" w:customStyle="1" w:styleId="72">
    <w:name w:val="批注文字 Char"/>
    <w:link w:val="16"/>
    <w:qFormat/>
    <w:uiPriority w:val="0"/>
    <w:rPr>
      <w:rFonts w:ascii="Times New Roman" w:hAnsi="Times New Roman"/>
      <w:kern w:val="2"/>
      <w:sz w:val="21"/>
      <w:szCs w:val="24"/>
    </w:rPr>
  </w:style>
  <w:style w:type="character" w:customStyle="1" w:styleId="73">
    <w:name w:val="正文文本 3 Char"/>
    <w:link w:val="17"/>
    <w:qFormat/>
    <w:uiPriority w:val="0"/>
    <w:rPr>
      <w:rFonts w:ascii="Times New Roman" w:hAnsi="Times New Roman" w:eastAsia="宋体" w:cs="Times New Roman"/>
      <w:b/>
      <w:bCs/>
      <w:sz w:val="24"/>
      <w:szCs w:val="24"/>
    </w:rPr>
  </w:style>
  <w:style w:type="character" w:customStyle="1" w:styleId="74">
    <w:name w:val="正文文本 Char"/>
    <w:link w:val="18"/>
    <w:qFormat/>
    <w:uiPriority w:val="99"/>
    <w:rPr>
      <w:rFonts w:ascii="Times New Roman" w:hAnsi="Times New Roman" w:eastAsia="宋体" w:cs="Times New Roman"/>
      <w:sz w:val="24"/>
      <w:szCs w:val="24"/>
    </w:rPr>
  </w:style>
  <w:style w:type="character" w:customStyle="1" w:styleId="75">
    <w:name w:val="正文文本缩进 Char"/>
    <w:link w:val="19"/>
    <w:qFormat/>
    <w:uiPriority w:val="0"/>
    <w:rPr>
      <w:rFonts w:ascii="仿宋_GB2312" w:hAnsi="Times New Roman" w:eastAsia="仿宋_GB2312" w:cs="Times New Roman"/>
      <w:sz w:val="32"/>
      <w:szCs w:val="20"/>
    </w:rPr>
  </w:style>
  <w:style w:type="character" w:customStyle="1" w:styleId="76">
    <w:name w:val="纯文本 Char"/>
    <w:link w:val="24"/>
    <w:qFormat/>
    <w:uiPriority w:val="0"/>
    <w:rPr>
      <w:rFonts w:ascii="宋体" w:hAnsi="Courier New" w:eastAsia="宋体" w:cs="Courier New"/>
      <w:szCs w:val="21"/>
    </w:rPr>
  </w:style>
  <w:style w:type="character" w:customStyle="1" w:styleId="77">
    <w:name w:val="日期 Char"/>
    <w:link w:val="26"/>
    <w:qFormat/>
    <w:uiPriority w:val="0"/>
    <w:rPr>
      <w:rFonts w:ascii="宋体" w:hAnsi="Courier New" w:eastAsia="宋体" w:cs="Courier New"/>
      <w:szCs w:val="21"/>
    </w:rPr>
  </w:style>
  <w:style w:type="character" w:customStyle="1" w:styleId="78">
    <w:name w:val="正文文本缩进 2 Char"/>
    <w:link w:val="27"/>
    <w:qFormat/>
    <w:uiPriority w:val="0"/>
    <w:rPr>
      <w:rFonts w:ascii="Times New Roman" w:hAnsi="Times New Roman" w:eastAsia="宋体" w:cs="Times New Roman"/>
      <w:sz w:val="32"/>
      <w:szCs w:val="20"/>
    </w:rPr>
  </w:style>
  <w:style w:type="character" w:customStyle="1" w:styleId="79">
    <w:name w:val="尾注文本 Char"/>
    <w:link w:val="28"/>
    <w:semiHidden/>
    <w:qFormat/>
    <w:uiPriority w:val="99"/>
    <w:rPr>
      <w:rFonts w:ascii="Times New Roman" w:hAnsi="Times New Roman"/>
      <w:kern w:val="2"/>
      <w:sz w:val="21"/>
      <w:szCs w:val="24"/>
    </w:rPr>
  </w:style>
  <w:style w:type="character" w:customStyle="1" w:styleId="80">
    <w:name w:val="批注框文本 Char"/>
    <w:link w:val="29"/>
    <w:semiHidden/>
    <w:qFormat/>
    <w:uiPriority w:val="0"/>
    <w:rPr>
      <w:rFonts w:ascii="Times New Roman" w:hAnsi="Times New Roman" w:eastAsia="宋体" w:cs="Times New Roman"/>
      <w:sz w:val="18"/>
      <w:szCs w:val="18"/>
    </w:rPr>
  </w:style>
  <w:style w:type="character" w:customStyle="1" w:styleId="81">
    <w:name w:val="页脚 Char"/>
    <w:link w:val="30"/>
    <w:qFormat/>
    <w:uiPriority w:val="99"/>
    <w:rPr>
      <w:sz w:val="18"/>
      <w:szCs w:val="18"/>
    </w:rPr>
  </w:style>
  <w:style w:type="character" w:customStyle="1" w:styleId="82">
    <w:name w:val="页眉 Char"/>
    <w:link w:val="31"/>
    <w:qFormat/>
    <w:uiPriority w:val="99"/>
    <w:rPr>
      <w:rFonts w:ascii="Times New Roman" w:hAnsi="Times New Roman"/>
      <w:kern w:val="2"/>
      <w:sz w:val="18"/>
      <w:szCs w:val="18"/>
    </w:rPr>
  </w:style>
  <w:style w:type="character" w:customStyle="1" w:styleId="83">
    <w:name w:val="脚注文本 Char"/>
    <w:link w:val="35"/>
    <w:semiHidden/>
    <w:qFormat/>
    <w:uiPriority w:val="99"/>
    <w:rPr>
      <w:rFonts w:ascii="Times New Roman" w:hAnsi="Times New Roman"/>
      <w:kern w:val="2"/>
      <w:sz w:val="18"/>
      <w:szCs w:val="18"/>
    </w:rPr>
  </w:style>
  <w:style w:type="character" w:customStyle="1" w:styleId="84">
    <w:name w:val="正文文本缩进 3 Char"/>
    <w:link w:val="37"/>
    <w:qFormat/>
    <w:uiPriority w:val="0"/>
    <w:rPr>
      <w:rFonts w:ascii="Times New Roman" w:hAnsi="Times New Roman" w:eastAsia="宋体" w:cs="Times New Roman"/>
      <w:sz w:val="16"/>
      <w:szCs w:val="16"/>
    </w:rPr>
  </w:style>
  <w:style w:type="character" w:customStyle="1" w:styleId="85">
    <w:name w:val="正文文本 2 Char"/>
    <w:link w:val="40"/>
    <w:qFormat/>
    <w:uiPriority w:val="0"/>
    <w:rPr>
      <w:rFonts w:ascii="Times New Roman" w:hAnsi="Times New Roman" w:eastAsia="宋体" w:cs="Times New Roman"/>
      <w:szCs w:val="24"/>
    </w:rPr>
  </w:style>
  <w:style w:type="character" w:customStyle="1" w:styleId="86">
    <w:name w:val="标题 Char"/>
    <w:link w:val="43"/>
    <w:qFormat/>
    <w:uiPriority w:val="10"/>
    <w:rPr>
      <w:rFonts w:ascii="Cambria" w:hAnsi="Cambria" w:cs="Times New Roman"/>
      <w:b/>
      <w:bCs/>
      <w:kern w:val="2"/>
      <w:sz w:val="32"/>
      <w:szCs w:val="32"/>
    </w:rPr>
  </w:style>
  <w:style w:type="character" w:customStyle="1" w:styleId="87">
    <w:name w:val="批注主题 Char"/>
    <w:link w:val="44"/>
    <w:semiHidden/>
    <w:qFormat/>
    <w:uiPriority w:val="99"/>
    <w:rPr>
      <w:rFonts w:ascii="Times New Roman" w:hAnsi="Times New Roman"/>
      <w:b/>
      <w:bCs/>
      <w:kern w:val="2"/>
      <w:sz w:val="21"/>
      <w:szCs w:val="24"/>
    </w:rPr>
  </w:style>
  <w:style w:type="paragraph" w:customStyle="1" w:styleId="88">
    <w:name w:val="Default"/>
    <w:next w:val="89"/>
    <w:unhideWhenUsed/>
    <w:qFormat/>
    <w:locked/>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89">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90">
    <w:name w:val="Normal Indent1"/>
    <w:basedOn w:val="1"/>
    <w:qFormat/>
    <w:uiPriority w:val="0"/>
    <w:pPr>
      <w:spacing w:line="660" w:lineRule="exact"/>
      <w:ind w:firstLine="720"/>
    </w:pPr>
    <w:rPr>
      <w:rFonts w:eastAsia="Cambria Math"/>
      <w:sz w:val="36"/>
      <w:szCs w:val="36"/>
    </w:rPr>
  </w:style>
  <w:style w:type="paragraph" w:customStyle="1" w:styleId="91">
    <w:name w:val="正文2"/>
    <w:basedOn w:val="1"/>
    <w:next w:val="1"/>
    <w:qFormat/>
    <w:uiPriority w:val="0"/>
    <w:pPr>
      <w:adjustRightInd w:val="0"/>
      <w:spacing w:before="156" w:line="360" w:lineRule="auto"/>
      <w:ind w:firstLine="510" w:firstLineChars="200"/>
    </w:pPr>
    <w:rPr>
      <w:kern w:val="0"/>
      <w:sz w:val="24"/>
      <w:szCs w:val="20"/>
    </w:rPr>
  </w:style>
  <w:style w:type="paragraph" w:customStyle="1" w:styleId="92">
    <w:name w:val="表格文字"/>
    <w:basedOn w:val="19"/>
    <w:qFormat/>
    <w:locked/>
    <w:uiPriority w:val="0"/>
    <w:rPr>
      <w:bCs/>
      <w:spacing w:val="10"/>
      <w:sz w:val="24"/>
    </w:rPr>
  </w:style>
  <w:style w:type="character" w:customStyle="1" w:styleId="93">
    <w:name w:val="纯文本 字符"/>
    <w:qFormat/>
    <w:locked/>
    <w:uiPriority w:val="0"/>
    <w:rPr>
      <w:rFonts w:ascii="宋体" w:hAnsi="Courier New" w:eastAsia="宋体" w:cs="Courier New"/>
      <w:szCs w:val="21"/>
    </w:rPr>
  </w:style>
  <w:style w:type="character" w:customStyle="1" w:styleId="94">
    <w:name w:val="textcontents"/>
    <w:qFormat/>
    <w:locked/>
    <w:uiPriority w:val="0"/>
  </w:style>
  <w:style w:type="character" w:customStyle="1" w:styleId="95">
    <w:name w:val="headline-content4"/>
    <w:qFormat/>
    <w:locked/>
    <w:uiPriority w:val="0"/>
  </w:style>
  <w:style w:type="character" w:customStyle="1" w:styleId="96">
    <w:name w:val="正文文本缩进 字符"/>
    <w:qFormat/>
    <w:locked/>
    <w:uiPriority w:val="0"/>
    <w:rPr>
      <w:rFonts w:ascii="仿宋_GB2312" w:hAnsi="Times New Roman" w:eastAsia="仿宋_GB2312" w:cs="Times New Roman"/>
      <w:sz w:val="32"/>
      <w:szCs w:val="20"/>
    </w:rPr>
  </w:style>
  <w:style w:type="character" w:customStyle="1" w:styleId="97">
    <w:name w:val="标题 1 字符"/>
    <w:qFormat/>
    <w:locked/>
    <w:uiPriority w:val="9"/>
    <w:rPr>
      <w:rFonts w:ascii="Times New Roman" w:hAnsi="Times New Roman" w:eastAsia="宋体" w:cs="Times New Roman"/>
      <w:b/>
      <w:bCs/>
      <w:kern w:val="44"/>
      <w:sz w:val="44"/>
      <w:szCs w:val="44"/>
    </w:rPr>
  </w:style>
  <w:style w:type="character" w:customStyle="1" w:styleId="98">
    <w:name w:val="apple-style-span"/>
    <w:qFormat/>
    <w:locked/>
    <w:uiPriority w:val="0"/>
  </w:style>
  <w:style w:type="character" w:customStyle="1" w:styleId="99">
    <w:name w:val="纯文本 字符1"/>
    <w:qFormat/>
    <w:locked/>
    <w:uiPriority w:val="0"/>
    <w:rPr>
      <w:rFonts w:ascii="宋体" w:hAnsi="Courier New"/>
    </w:rPr>
  </w:style>
  <w:style w:type="character" w:customStyle="1" w:styleId="100">
    <w:name w:val="case31"/>
    <w:qFormat/>
    <w:locked/>
    <w:uiPriority w:val="0"/>
    <w:rPr>
      <w:rFonts w:hint="default" w:ascii="_x000B__x000C_" w:hAnsi="_x000B__x000C_"/>
      <w:sz w:val="21"/>
      <w:szCs w:val="21"/>
    </w:rPr>
  </w:style>
  <w:style w:type="character" w:customStyle="1" w:styleId="101">
    <w:name w:val="正文文本 (26) + 间距 0 pt"/>
    <w:qFormat/>
    <w:locked/>
    <w:uiPriority w:val="0"/>
    <w:rPr>
      <w:rFonts w:ascii="宋体" w:hAnsi="宋体" w:eastAsia="宋体" w:cs="宋体"/>
      <w:color w:val="000000"/>
      <w:spacing w:val="0"/>
      <w:w w:val="100"/>
      <w:position w:val="0"/>
      <w:sz w:val="22"/>
      <w:szCs w:val="22"/>
      <w:u w:val="none"/>
      <w:lang w:val="zh-CN" w:eastAsia="zh-CN" w:bidi="zh-CN"/>
    </w:rPr>
  </w:style>
  <w:style w:type="character" w:customStyle="1" w:styleId="102">
    <w:name w:val="批注文字 字符"/>
    <w:qFormat/>
    <w:locked/>
    <w:uiPriority w:val="0"/>
    <w:rPr>
      <w:rFonts w:ascii="Times New Roman" w:hAnsi="Times New Roman"/>
      <w:kern w:val="2"/>
      <w:sz w:val="21"/>
      <w:szCs w:val="24"/>
    </w:rPr>
  </w:style>
  <w:style w:type="character" w:customStyle="1" w:styleId="103">
    <w:name w:val="批注文字 Char1"/>
    <w:semiHidden/>
    <w:qFormat/>
    <w:locked/>
    <w:uiPriority w:val="0"/>
    <w:rPr>
      <w:rFonts w:ascii="Times New Roman" w:hAnsi="Times New Roman"/>
      <w:kern w:val="2"/>
      <w:sz w:val="21"/>
      <w:szCs w:val="24"/>
    </w:rPr>
  </w:style>
  <w:style w:type="character" w:customStyle="1" w:styleId="104">
    <w:name w:val="普通文字 Char Char2"/>
    <w:qFormat/>
    <w:locked/>
    <w:uiPriority w:val="0"/>
    <w:rPr>
      <w:rFonts w:ascii="宋体" w:hAnsi="Courier New" w:eastAsia="宋体"/>
      <w:kern w:val="2"/>
      <w:sz w:val="21"/>
      <w:lang w:val="en-US" w:eastAsia="zh-CN" w:bidi="ar-SA"/>
    </w:rPr>
  </w:style>
  <w:style w:type="paragraph" w:customStyle="1" w:styleId="105">
    <w:name w:val="正文首行缩进两字符"/>
    <w:basedOn w:val="1"/>
    <w:qFormat/>
    <w:locked/>
    <w:uiPriority w:val="0"/>
    <w:pPr>
      <w:spacing w:line="360" w:lineRule="auto"/>
      <w:ind w:firstLine="200" w:firstLineChars="200"/>
    </w:pPr>
  </w:style>
  <w:style w:type="paragraph" w:customStyle="1" w:styleId="106">
    <w:name w:val="样式"/>
    <w:qFormat/>
    <w:locked/>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7">
    <w:name w:val="Table Paragraph"/>
    <w:basedOn w:val="1"/>
    <w:qFormat/>
    <w:locked/>
    <w:uiPriority w:val="1"/>
    <w:pPr>
      <w:autoSpaceDE w:val="0"/>
      <w:autoSpaceDN w:val="0"/>
      <w:jc w:val="left"/>
    </w:pPr>
    <w:rPr>
      <w:rFonts w:ascii="宋体" w:hAnsi="宋体" w:cs="宋体"/>
      <w:kern w:val="0"/>
      <w:sz w:val="22"/>
      <w:szCs w:val="22"/>
      <w:lang w:val="zh-CN" w:bidi="zh-CN"/>
    </w:rPr>
  </w:style>
  <w:style w:type="paragraph" w:customStyle="1" w:styleId="108">
    <w:name w:val="表内文字"/>
    <w:basedOn w:val="1"/>
    <w:qFormat/>
    <w:locked/>
    <w:uiPriority w:val="0"/>
    <w:pPr>
      <w:snapToGrid w:val="0"/>
      <w:spacing w:before="50" w:after="50"/>
      <w:jc w:val="center"/>
    </w:pPr>
    <w:rPr>
      <w:rFonts w:ascii="仿宋_GB2312" w:hAnsi="宋体" w:eastAsia="仿宋_GB2312"/>
      <w:b/>
      <w:color w:val="000000"/>
      <w:sz w:val="32"/>
      <w:szCs w:val="32"/>
    </w:rPr>
  </w:style>
  <w:style w:type="paragraph" w:customStyle="1" w:styleId="109">
    <w:name w:val="样式 首行缩进:  2 字符"/>
    <w:basedOn w:val="1"/>
    <w:qFormat/>
    <w:locked/>
    <w:uiPriority w:val="0"/>
    <w:pPr>
      <w:spacing w:line="400" w:lineRule="exact"/>
      <w:ind w:firstLine="200" w:firstLineChars="200"/>
    </w:pPr>
    <w:rPr>
      <w:rFonts w:cs="宋体"/>
      <w:sz w:val="24"/>
    </w:rPr>
  </w:style>
  <w:style w:type="paragraph" w:customStyle="1" w:styleId="110">
    <w:name w:val="xl22"/>
    <w:basedOn w:val="1"/>
    <w:qFormat/>
    <w:locked/>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styleId="111">
    <w:name w:val="List Paragraph"/>
    <w:basedOn w:val="1"/>
    <w:qFormat/>
    <w:locked/>
    <w:uiPriority w:val="1"/>
    <w:pPr>
      <w:ind w:firstLine="420" w:firstLineChars="200"/>
    </w:pPr>
  </w:style>
  <w:style w:type="paragraph" w:customStyle="1" w:styleId="112">
    <w:name w:val="表格"/>
    <w:basedOn w:val="1"/>
    <w:qFormat/>
    <w:locked/>
    <w:uiPriority w:val="0"/>
    <w:pPr>
      <w:spacing w:line="400" w:lineRule="exact"/>
    </w:pPr>
    <w:rPr>
      <w:sz w:val="24"/>
    </w:rPr>
  </w:style>
  <w:style w:type="paragraph" w:customStyle="1" w:styleId="113">
    <w:name w:val="样式 标题 2 + Times New Roman 四号 非加粗 段前: 5 磅 段后: 0 磅 行距: 固定值 20..."/>
    <w:basedOn w:val="4"/>
    <w:qFormat/>
    <w:locked/>
    <w:uiPriority w:val="0"/>
    <w:pPr>
      <w:spacing w:before="100" w:after="0" w:line="400" w:lineRule="exact"/>
    </w:pPr>
    <w:rPr>
      <w:rFonts w:ascii="Times New Roman" w:hAnsi="Times New Roman" w:cs="宋体"/>
      <w:b w:val="0"/>
      <w:bCs w:val="0"/>
      <w:sz w:val="28"/>
      <w:szCs w:val="20"/>
    </w:rPr>
  </w:style>
  <w:style w:type="paragraph" w:customStyle="1" w:styleId="114">
    <w:name w:val="默认段落字体 Para Char Char Char Char Char Char Char Char Char1 Char Char Char Char"/>
    <w:basedOn w:val="1"/>
    <w:qFormat/>
    <w:locked/>
    <w:uiPriority w:val="0"/>
    <w:rPr>
      <w:rFonts w:ascii="Tahoma" w:hAnsi="Tahoma"/>
      <w:sz w:val="24"/>
      <w:szCs w:val="20"/>
    </w:rPr>
  </w:style>
  <w:style w:type="paragraph" w:customStyle="1" w:styleId="115">
    <w:name w:val="Char1"/>
    <w:basedOn w:val="1"/>
    <w:qFormat/>
    <w:locked/>
    <w:uiPriority w:val="0"/>
    <w:rPr>
      <w:szCs w:val="21"/>
    </w:rPr>
  </w:style>
  <w:style w:type="paragraph" w:customStyle="1" w:styleId="116">
    <w:name w:val="样式 标题 3 + (中文) 黑体 小四 非加粗 段前: 7.8 磅 段后: 0 磅 行距: 固定值 20 磅"/>
    <w:basedOn w:val="5"/>
    <w:qFormat/>
    <w:locked/>
    <w:uiPriority w:val="0"/>
    <w:pPr>
      <w:spacing w:before="0" w:after="0" w:line="400" w:lineRule="exact"/>
    </w:pPr>
    <w:rPr>
      <w:rFonts w:eastAsia="黑体" w:cs="宋体"/>
      <w:b w:val="0"/>
      <w:bCs w:val="0"/>
      <w:sz w:val="24"/>
      <w:szCs w:val="20"/>
    </w:rPr>
  </w:style>
  <w:style w:type="paragraph" w:customStyle="1" w:styleId="117">
    <w:name w:val="纯文本1"/>
    <w:basedOn w:val="1"/>
    <w:qFormat/>
    <w:locked/>
    <w:uiPriority w:val="0"/>
    <w:rPr>
      <w:rFonts w:ascii="宋体" w:hAnsi="Courier New" w:cs="Century"/>
      <w:szCs w:val="21"/>
    </w:rPr>
  </w:style>
  <w:style w:type="paragraph" w:customStyle="1" w:styleId="118">
    <w:name w:val="正文段"/>
    <w:basedOn w:val="1"/>
    <w:qFormat/>
    <w:locked/>
    <w:uiPriority w:val="0"/>
    <w:pPr>
      <w:widowControl/>
      <w:snapToGrid w:val="0"/>
      <w:spacing w:afterLines="50"/>
      <w:ind w:firstLine="200" w:firstLineChars="200"/>
    </w:pPr>
    <w:rPr>
      <w:kern w:val="0"/>
      <w:sz w:val="24"/>
      <w:szCs w:val="20"/>
    </w:rPr>
  </w:style>
  <w:style w:type="paragraph" w:customStyle="1" w:styleId="119">
    <w:name w:val="_Style 117"/>
    <w:unhideWhenUsed/>
    <w:qFormat/>
    <w:locked/>
    <w:uiPriority w:val="99"/>
    <w:rPr>
      <w:rFonts w:ascii="Times New Roman" w:hAnsi="Times New Roman" w:eastAsia="宋体" w:cs="Times New Roman"/>
      <w:kern w:val="2"/>
      <w:sz w:val="21"/>
      <w:szCs w:val="24"/>
      <w:lang w:val="en-US" w:eastAsia="zh-CN" w:bidi="ar-SA"/>
    </w:rPr>
  </w:style>
  <w:style w:type="character" w:customStyle="1" w:styleId="120">
    <w:name w:val="批注文字 字符1"/>
    <w:qFormat/>
    <w:locked/>
    <w:uiPriority w:val="0"/>
    <w:rPr>
      <w:rFonts w:ascii="Times New Roman" w:hAnsi="Times New Roman"/>
      <w:kern w:val="2"/>
      <w:sz w:val="21"/>
      <w:szCs w:val="24"/>
    </w:rPr>
  </w:style>
  <w:style w:type="character" w:customStyle="1" w:styleId="121">
    <w:name w:val="NormalCharacter"/>
    <w:qFormat/>
    <w:uiPriority w:val="0"/>
  </w:style>
  <w:style w:type="paragraph" w:customStyle="1" w:styleId="122">
    <w:name w:val="纯文本11"/>
    <w:basedOn w:val="1"/>
    <w:next w:val="1"/>
    <w:qFormat/>
    <w:uiPriority w:val="99"/>
    <w:rPr>
      <w:rFonts w:ascii="宋体" w:hAnsi="宋体"/>
      <w:sz w:val="20"/>
      <w:szCs w:val="21"/>
    </w:rPr>
  </w:style>
  <w:style w:type="paragraph" w:customStyle="1" w:styleId="123">
    <w:name w:val="6 仿宋_GB2312"/>
    <w:basedOn w:val="1"/>
    <w:qFormat/>
    <w:uiPriority w:val="0"/>
    <w:pPr>
      <w:spacing w:line="560" w:lineRule="exact"/>
      <w:ind w:firstLine="420" w:firstLineChars="200"/>
    </w:pPr>
    <w:rPr>
      <w:rFonts w:eastAsia="仿宋_GB2312"/>
      <w:sz w:val="32"/>
      <w:szCs w:val="32"/>
    </w:rPr>
  </w:style>
  <w:style w:type="paragraph" w:customStyle="1" w:styleId="124">
    <w:name w:val="2 黑体"/>
    <w:basedOn w:val="123"/>
    <w:next w:val="123"/>
    <w:qFormat/>
    <w:uiPriority w:val="0"/>
    <w:rPr>
      <w:rFonts w:eastAsia="黑体"/>
    </w:rPr>
  </w:style>
  <w:style w:type="paragraph" w:customStyle="1" w:styleId="125">
    <w:name w:val="正文1"/>
    <w:next w:val="1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文本1"/>
    <w:basedOn w:val="125"/>
    <w:next w:val="125"/>
    <w:qFormat/>
    <w:uiPriority w:val="0"/>
    <w:rPr>
      <w:rFonts w:ascii="金山简黑体" w:hAnsi="金山简黑体" w:eastAsia="金山简黑体"/>
      <w:b/>
      <w:spacing w:val="-8"/>
      <w:sz w:val="44"/>
      <w:szCs w:val="20"/>
    </w:rPr>
  </w:style>
  <w:style w:type="character" w:customStyle="1" w:styleId="127">
    <w:name w:val="15"/>
    <w:basedOn w:val="48"/>
    <w:qFormat/>
    <w:uiPriority w:val="0"/>
    <w:rPr>
      <w:rFonts w:hint="default" w:ascii="Times New Roman" w:hAnsi="Times New Roman" w:cs="Times New Roman"/>
    </w:rPr>
  </w:style>
  <w:style w:type="character" w:customStyle="1" w:styleId="128">
    <w:name w:val="layui-layer-tabnow"/>
    <w:basedOn w:val="48"/>
    <w:qFormat/>
    <w:uiPriority w:val="0"/>
    <w:rPr>
      <w:bdr w:val="single" w:color="CCCCCC" w:sz="4" w:space="0"/>
      <w:shd w:val="clear" w:color="auto" w:fill="FFFFFF"/>
    </w:rPr>
  </w:style>
  <w:style w:type="character" w:customStyle="1" w:styleId="129">
    <w:name w:val="first-child"/>
    <w:basedOn w:val="48"/>
    <w:qFormat/>
    <w:uiPriority w:val="0"/>
  </w:style>
  <w:style w:type="character" w:customStyle="1" w:styleId="130">
    <w:name w:val="font51"/>
    <w:basedOn w:val="48"/>
    <w:qFormat/>
    <w:uiPriority w:val="0"/>
    <w:rPr>
      <w:rFonts w:hint="eastAsia" w:ascii="宋体" w:hAnsi="宋体" w:eastAsia="宋体" w:cs="宋体"/>
      <w:color w:val="000000"/>
      <w:sz w:val="22"/>
      <w:szCs w:val="22"/>
      <w:u w:val="none"/>
    </w:rPr>
  </w:style>
  <w:style w:type="character" w:customStyle="1" w:styleId="131">
    <w:name w:val="font71"/>
    <w:basedOn w:val="48"/>
    <w:qFormat/>
    <w:uiPriority w:val="0"/>
    <w:rPr>
      <w:rFonts w:hint="default" w:ascii="Times New Roman" w:hAnsi="Times New Roman" w:cs="Times New Roman"/>
      <w:color w:val="000000"/>
      <w:sz w:val="22"/>
      <w:szCs w:val="22"/>
      <w:u w:val="none"/>
    </w:rPr>
  </w:style>
  <w:style w:type="paragraph" w:customStyle="1" w:styleId="132">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33">
    <w:name w:val="目录 21"/>
    <w:basedOn w:val="125"/>
    <w:next w:val="125"/>
    <w:qFormat/>
    <w:uiPriority w:val="0"/>
    <w:pPr>
      <w:ind w:left="420"/>
    </w:pPr>
  </w:style>
  <w:style w:type="character" w:customStyle="1" w:styleId="134">
    <w:name w:val="font11"/>
    <w:basedOn w:val="48"/>
    <w:qFormat/>
    <w:uiPriority w:val="0"/>
    <w:rPr>
      <w:rFonts w:hint="eastAsia" w:ascii="宋体" w:hAnsi="宋体" w:eastAsia="宋体" w:cs="宋体"/>
      <w:color w:val="000000"/>
      <w:sz w:val="21"/>
      <w:szCs w:val="21"/>
      <w:u w:val="none"/>
    </w:rPr>
  </w:style>
  <w:style w:type="character" w:customStyle="1" w:styleId="135">
    <w:name w:val="font21"/>
    <w:basedOn w:val="48"/>
    <w:qFormat/>
    <w:uiPriority w:val="0"/>
    <w:rPr>
      <w:rFonts w:hint="default" w:ascii="Times New Roman" w:hAnsi="Times New Roman" w:cs="Times New Roman"/>
      <w:color w:val="000000"/>
      <w:sz w:val="21"/>
      <w:szCs w:val="21"/>
      <w:u w:val="none"/>
    </w:rPr>
  </w:style>
  <w:style w:type="paragraph" w:customStyle="1" w:styleId="136">
    <w:name w:val="Table Text"/>
    <w:basedOn w:val="1"/>
    <w:semiHidden/>
    <w:qFormat/>
    <w:uiPriority w:val="0"/>
    <w:rPr>
      <w:rFonts w:ascii="宋体" w:hAnsi="宋体" w:cs="宋体"/>
    </w:rPr>
  </w:style>
  <w:style w:type="table" w:customStyle="1" w:styleId="1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400c252b-67bb-460a-9cb7-56326256c078</errorID>
      <errorWord>合子</errorWord>
      <group>L1_Word</group>
      <groupName>字词问题</groupName>
      <ability>L2_Typo</ability>
      <abilityName>字词错误</abilityName>
      <candidateList>
        <item>子</item>
      </candidateList>
      <explain/>
      <paraID>1086781E</paraID>
      <start>45</start>
      <end>46</end>
      <status>modified</status>
      <modifiedWord>子</modifiedWord>
      <trackRevisions>false</trackRevisions>
    </reviewItem>
    <reviewItem>
      <errorID>cbf1a812-10a2-48d5-a301-7c0e4056d64b</errorID>
      <errorWord>合子</errorWord>
      <group>L1_Word</group>
      <groupName>字词问题</groupName>
      <ability>L2_Typo</ability>
      <abilityName>字词错误</abilityName>
      <candidateList>
        <item>子</item>
      </candidateList>
      <explain/>
      <paraID>15CEA624</paraID>
      <start>111</start>
      <end>112</end>
      <status>modified</status>
      <modifiedWord>子</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027CE-7CF5-43BD-9C62-2A50D0D97303}">
  <ds:schemaRefs/>
</ds:datastoreItem>
</file>

<file path=customXml/itemProps3.xml><?xml version="1.0" encoding="utf-8"?>
<ds:datastoreItem xmlns:ds="http://schemas.openxmlformats.org/officeDocument/2006/customXml" ds:itemID="{7e99a2f0-33b5-464c-8e2a-9a55fe7f5d46}">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108</Pages>
  <Words>51355</Words>
  <Characters>54883</Characters>
  <Lines>453</Lines>
  <Paragraphs>127</Paragraphs>
  <TotalTime>21</TotalTime>
  <ScaleCrop>false</ScaleCrop>
  <LinksUpToDate>false</LinksUpToDate>
  <CharactersWithSpaces>55044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2021-08-04T02:31:00Z</dcterms:created>
  <dc:creator>番茄花园</dc:creator>
  <cp:lastModifiedBy>何艳</cp:lastModifiedBy>
  <cp:lastPrinted>2021-08-05T07:47:00Z</cp:lastPrinted>
  <dcterms:modified xsi:type="dcterms:W3CDTF">2026-04-03T01:28:32Z</dcterms:modified>
  <dc:title>公开招标采购文件范本</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8003DC9E7EBE4B42B912B95349B3B5A3_13</vt:lpwstr>
  </property>
  <property fmtid="{D5CDD505-2E9C-101B-9397-08002B2CF9AE}" pid="4" name="KSOTemplateDocerSaveRecord">
    <vt:lpwstr>eyJoZGlkIjoiOGM3N2Q2N2Q5ZGNhOWFlMDAwOWM1NjNjZjA2MzQ0ZGUiLCJ1c2VySWQiOiI1MjI1OTQxMDYifQ==</vt:lpwstr>
  </property>
</Properties>
</file>