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428C7">
      <w:pPr>
        <w:pBdr>
          <w:bottom w:val="thickThinSmallGap" w:color="auto" w:sz="24" w:space="1"/>
        </w:pBdr>
        <w:snapToGrid w:val="0"/>
        <w:spacing w:before="156" w:beforeLines="50"/>
        <w:jc w:val="center"/>
        <w:rPr>
          <w:rFonts w:hint="eastAsia" w:ascii="宋体" w:hAnsi="宋体" w:eastAsia="宋体"/>
          <w:b/>
          <w:color w:val="auto"/>
          <w:sz w:val="44"/>
          <w:szCs w:val="44"/>
          <w:highlight w:val="none"/>
          <w:lang w:val="en-US" w:eastAsia="zh-CN"/>
        </w:rPr>
      </w:pPr>
      <w:r>
        <w:rPr>
          <w:rFonts w:hint="eastAsia" w:ascii="宋体" w:hAnsi="宋体" w:eastAsia="宋体" w:cs="Times New Roman"/>
          <w:b/>
          <w:color w:val="auto"/>
          <w:sz w:val="44"/>
          <w:szCs w:val="44"/>
          <w:highlight w:val="none"/>
          <w:lang w:eastAsia="zh-CN"/>
        </w:rPr>
        <w:t>广西骨伤医院智慧医院建设（一期）项目</w:t>
      </w:r>
    </w:p>
    <w:p w14:paraId="0DFDDE77">
      <w:pPr>
        <w:spacing w:before="312" w:beforeLines="100" w:after="156" w:afterLines="50" w:line="360" w:lineRule="auto"/>
        <w:jc w:val="center"/>
        <w:rPr>
          <w:rFonts w:hint="eastAsia" w:ascii="宋体" w:hAnsi="宋体" w:cs="宋体"/>
          <w:b/>
          <w:color w:val="auto"/>
          <w:sz w:val="44"/>
          <w:szCs w:val="44"/>
          <w:highlight w:val="none"/>
        </w:rPr>
      </w:pPr>
    </w:p>
    <w:p w14:paraId="0F6A8488">
      <w:pPr>
        <w:pStyle w:val="13"/>
        <w:rPr>
          <w:rFonts w:hint="eastAsia"/>
          <w:color w:val="auto"/>
          <w:highlight w:val="none"/>
        </w:rPr>
      </w:pPr>
    </w:p>
    <w:p w14:paraId="07065871">
      <w:pPr>
        <w:spacing w:line="360" w:lineRule="auto"/>
        <w:rPr>
          <w:rFonts w:hint="eastAsia" w:ascii="宋体" w:hAnsi="宋体" w:cs="宋体"/>
          <w:b/>
          <w:color w:val="auto"/>
          <w:sz w:val="32"/>
          <w:szCs w:val="32"/>
          <w:highlight w:val="none"/>
        </w:rPr>
      </w:pPr>
    </w:p>
    <w:p w14:paraId="461A91E2">
      <w:pPr>
        <w:spacing w:line="360" w:lineRule="auto"/>
        <w:jc w:val="center"/>
        <w:rPr>
          <w:rFonts w:hint="eastAsia" w:ascii="宋体" w:hAnsi="宋体" w:cs="宋体"/>
          <w:b/>
          <w:color w:val="auto"/>
          <w:sz w:val="32"/>
          <w:szCs w:val="32"/>
          <w:highlight w:val="none"/>
        </w:rPr>
      </w:pPr>
      <w:r>
        <w:rPr>
          <w:rFonts w:hint="eastAsia" w:ascii="宋体" w:hAnsi="宋体" w:cs="宋体"/>
          <w:color w:val="auto"/>
          <w:sz w:val="30"/>
          <w:szCs w:val="72"/>
          <w:highlight w:val="none"/>
        </w:rPr>
        <w:drawing>
          <wp:inline distT="0" distB="0" distL="114300" distR="114300">
            <wp:extent cx="2253615" cy="2253615"/>
            <wp:effectExtent l="0" t="0" r="0" b="0"/>
            <wp:docPr id="2" name="图片 2" descr="ceb6a3e180d97727ba36d00d8913d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eb6a3e180d97727ba36d00d8913d5a"/>
                    <pic:cNvPicPr>
                      <a:picLocks noChangeAspect="1"/>
                    </pic:cNvPicPr>
                  </pic:nvPicPr>
                  <pic:blipFill>
                    <a:blip r:embed="rId12"/>
                    <a:stretch>
                      <a:fillRect/>
                    </a:stretch>
                  </pic:blipFill>
                  <pic:spPr>
                    <a:xfrm>
                      <a:off x="0" y="0"/>
                      <a:ext cx="2253615" cy="2253615"/>
                    </a:xfrm>
                    <a:prstGeom prst="rect">
                      <a:avLst/>
                    </a:prstGeom>
                    <a:noFill/>
                    <a:ln>
                      <a:noFill/>
                    </a:ln>
                  </pic:spPr>
                </pic:pic>
              </a:graphicData>
            </a:graphic>
          </wp:inline>
        </w:drawing>
      </w:r>
    </w:p>
    <w:p w14:paraId="4BEA52E5">
      <w:pPr>
        <w:spacing w:line="360" w:lineRule="auto"/>
        <w:jc w:val="center"/>
        <w:rPr>
          <w:rFonts w:hint="eastAsia" w:ascii="宋体" w:hAnsi="宋体" w:cs="宋体"/>
          <w:b/>
          <w:color w:val="auto"/>
          <w:sz w:val="32"/>
          <w:szCs w:val="32"/>
          <w:highlight w:val="none"/>
        </w:rPr>
      </w:pPr>
    </w:p>
    <w:p w14:paraId="69975CA2">
      <w:pPr>
        <w:pStyle w:val="13"/>
        <w:rPr>
          <w:rFonts w:hint="eastAsia"/>
          <w:color w:val="auto"/>
          <w:highlight w:val="none"/>
        </w:rPr>
      </w:pPr>
    </w:p>
    <w:p w14:paraId="68815843">
      <w:pPr>
        <w:snapToGrid w:val="0"/>
        <w:spacing w:before="156" w:beforeLines="50" w:line="360" w:lineRule="auto"/>
        <w:jc w:val="center"/>
        <w:outlineLvl w:val="0"/>
        <w:rPr>
          <w:rFonts w:hint="eastAsia" w:ascii="宋体" w:hAnsi="宋体" w:cs="宋体"/>
          <w:b/>
          <w:bCs/>
          <w:color w:val="auto"/>
          <w:sz w:val="44"/>
          <w:szCs w:val="44"/>
          <w:highlight w:val="none"/>
        </w:rPr>
      </w:pPr>
      <w:bookmarkStart w:id="0" w:name="_Toc23980"/>
      <w:bookmarkStart w:id="1" w:name="_Toc5378"/>
      <w:bookmarkStart w:id="2" w:name="_Toc5409"/>
      <w:r>
        <w:rPr>
          <w:rFonts w:hint="eastAsia" w:ascii="宋体" w:hAnsi="宋体" w:cs="宋体"/>
          <w:b/>
          <w:bCs/>
          <w:color w:val="auto"/>
          <w:sz w:val="72"/>
          <w:szCs w:val="72"/>
          <w:highlight w:val="none"/>
          <w:lang w:val="en-US" w:eastAsia="zh-CN"/>
        </w:rPr>
        <w:t>公开招标采购</w:t>
      </w:r>
      <w:r>
        <w:rPr>
          <w:rFonts w:hint="eastAsia" w:ascii="宋体" w:hAnsi="宋体" w:cs="宋体"/>
          <w:b/>
          <w:bCs/>
          <w:color w:val="auto"/>
          <w:sz w:val="72"/>
          <w:szCs w:val="72"/>
          <w:highlight w:val="none"/>
        </w:rPr>
        <w:t>文件</w:t>
      </w:r>
      <w:bookmarkEnd w:id="0"/>
      <w:bookmarkEnd w:id="1"/>
      <w:bookmarkEnd w:id="2"/>
      <w:bookmarkStart w:id="115" w:name="_GoBack"/>
      <w:bookmarkEnd w:id="115"/>
    </w:p>
    <w:p w14:paraId="7B691012">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项目编号：GXZC202</w:t>
      </w:r>
      <w:r>
        <w:rPr>
          <w:rFonts w:hint="eastAsia" w:ascii="宋体" w:hAnsi="宋体" w:cs="宋体"/>
          <w:b/>
          <w:color w:val="auto"/>
          <w:sz w:val="32"/>
          <w:szCs w:val="32"/>
          <w:highlight w:val="none"/>
          <w:lang w:val="en-US" w:eastAsia="zh-CN"/>
        </w:rPr>
        <w:t>6</w:t>
      </w:r>
      <w:r>
        <w:rPr>
          <w:rFonts w:hint="eastAsia" w:ascii="宋体" w:hAnsi="宋体" w:cs="宋体"/>
          <w:b/>
          <w:color w:val="auto"/>
          <w:sz w:val="32"/>
          <w:szCs w:val="32"/>
          <w:highlight w:val="none"/>
        </w:rPr>
        <w:t>-G3-000742-GXZJ</w:t>
      </w:r>
    </w:p>
    <w:p w14:paraId="02F77667">
      <w:pPr>
        <w:pStyle w:val="13"/>
        <w:rPr>
          <w:rFonts w:hint="eastAsia"/>
          <w:color w:val="auto"/>
          <w:highlight w:val="none"/>
        </w:rPr>
      </w:pPr>
    </w:p>
    <w:p w14:paraId="545E334E">
      <w:pPr>
        <w:pBdr>
          <w:bottom w:val="thickThinSmallGap" w:color="auto" w:sz="24" w:space="1"/>
        </w:pBdr>
        <w:snapToGrid w:val="0"/>
        <w:spacing w:before="156" w:beforeLines="50" w:line="600" w:lineRule="exact"/>
        <w:rPr>
          <w:rFonts w:hint="eastAsia" w:ascii="宋体" w:hAnsi="宋体"/>
          <w:b/>
          <w:color w:val="auto"/>
          <w:sz w:val="36"/>
          <w:szCs w:val="36"/>
          <w:highlight w:val="none"/>
        </w:rPr>
      </w:pPr>
    </w:p>
    <w:p w14:paraId="3A2E9CD9">
      <w:pPr>
        <w:spacing w:line="360" w:lineRule="auto"/>
        <w:ind w:firstLine="964" w:firstLineChars="300"/>
        <w:rPr>
          <w:rFonts w:hint="eastAsia" w:ascii="宋体" w:hAnsi="宋体" w:cs="宋体"/>
          <w:b/>
          <w:color w:val="auto"/>
          <w:sz w:val="32"/>
          <w:szCs w:val="32"/>
          <w:highlight w:val="none"/>
        </w:rPr>
      </w:pPr>
    </w:p>
    <w:p w14:paraId="7B5C3A9C">
      <w:pPr>
        <w:spacing w:line="360" w:lineRule="auto"/>
        <w:ind w:firstLine="964" w:firstLineChars="300"/>
        <w:outlineLvl w:val="0"/>
        <w:rPr>
          <w:rFonts w:hint="eastAsia" w:ascii="宋体" w:hAnsi="宋体" w:cs="宋体"/>
          <w:b/>
          <w:color w:val="auto"/>
          <w:sz w:val="32"/>
          <w:szCs w:val="32"/>
          <w:highlight w:val="none"/>
        </w:rPr>
      </w:pPr>
      <w:bookmarkStart w:id="3" w:name="_Toc12381"/>
      <w:bookmarkStart w:id="4" w:name="_Toc29801"/>
      <w:bookmarkStart w:id="5" w:name="_Toc3407"/>
      <w:r>
        <w:rPr>
          <w:rFonts w:hint="eastAsia" w:ascii="宋体" w:hAnsi="宋体" w:cs="宋体"/>
          <w:b/>
          <w:color w:val="auto"/>
          <w:sz w:val="32"/>
          <w:szCs w:val="32"/>
          <w:highlight w:val="none"/>
        </w:rPr>
        <w:t>采 购 人：</w:t>
      </w:r>
      <w:bookmarkEnd w:id="3"/>
      <w:bookmarkEnd w:id="4"/>
      <w:bookmarkEnd w:id="5"/>
      <w:r>
        <w:rPr>
          <w:rFonts w:hint="eastAsia" w:ascii="宋体" w:hAnsi="宋体" w:cs="宋体"/>
          <w:b/>
          <w:color w:val="auto"/>
          <w:sz w:val="32"/>
          <w:szCs w:val="32"/>
          <w:highlight w:val="none"/>
        </w:rPr>
        <w:t>广西壮族自治区中医骨伤科研究所</w:t>
      </w:r>
    </w:p>
    <w:p w14:paraId="17ED9423">
      <w:pPr>
        <w:spacing w:line="360" w:lineRule="auto"/>
        <w:ind w:firstLine="964" w:firstLineChars="300"/>
        <w:rPr>
          <w:rFonts w:hint="eastAsia" w:ascii="宋体" w:hAnsi="宋体" w:cs="宋体"/>
          <w:b/>
          <w:color w:val="auto"/>
          <w:sz w:val="32"/>
          <w:szCs w:val="32"/>
          <w:highlight w:val="none"/>
        </w:rPr>
      </w:pPr>
      <w:r>
        <w:rPr>
          <w:rFonts w:hint="eastAsia" w:ascii="宋体" w:hAnsi="宋体" w:cs="宋体"/>
          <w:b/>
          <w:color w:val="auto"/>
          <w:sz w:val="32"/>
          <w:szCs w:val="32"/>
          <w:highlight w:val="none"/>
        </w:rPr>
        <w:t>采购代理机构：广西中吉银工程项目管理有限公司</w:t>
      </w:r>
    </w:p>
    <w:p w14:paraId="2C20D850">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202</w:t>
      </w:r>
      <w:r>
        <w:rPr>
          <w:rFonts w:hint="eastAsia" w:ascii="宋体" w:hAnsi="宋体" w:cs="宋体"/>
          <w:b/>
          <w:color w:val="auto"/>
          <w:sz w:val="32"/>
          <w:szCs w:val="32"/>
          <w:highlight w:val="none"/>
          <w:lang w:val="en-US" w:eastAsia="zh-CN"/>
        </w:rPr>
        <w:t>6</w:t>
      </w:r>
      <w:r>
        <w:rPr>
          <w:rFonts w:hint="eastAsia" w:ascii="宋体" w:hAnsi="宋体" w:cs="宋体"/>
          <w:b/>
          <w:color w:val="auto"/>
          <w:sz w:val="32"/>
          <w:szCs w:val="32"/>
          <w:highlight w:val="none"/>
        </w:rPr>
        <w:t>年</w:t>
      </w:r>
      <w:r>
        <w:rPr>
          <w:rFonts w:hint="eastAsia" w:ascii="宋体" w:hAnsi="宋体" w:cs="宋体"/>
          <w:b/>
          <w:color w:val="auto"/>
          <w:sz w:val="32"/>
          <w:szCs w:val="32"/>
          <w:highlight w:val="none"/>
          <w:lang w:val="en-US" w:eastAsia="zh-CN"/>
        </w:rPr>
        <w:t>4</w:t>
      </w:r>
      <w:r>
        <w:rPr>
          <w:rFonts w:hint="eastAsia" w:ascii="宋体" w:hAnsi="宋体" w:cs="宋体"/>
          <w:b/>
          <w:color w:val="auto"/>
          <w:sz w:val="32"/>
          <w:szCs w:val="32"/>
          <w:highlight w:val="none"/>
        </w:rPr>
        <w:t>月</w:t>
      </w:r>
      <w:r>
        <w:rPr>
          <w:rFonts w:hint="eastAsia" w:ascii="宋体" w:hAnsi="宋体" w:cs="宋体"/>
          <w:b/>
          <w:color w:val="auto"/>
          <w:sz w:val="32"/>
          <w:szCs w:val="32"/>
          <w:highlight w:val="none"/>
          <w:lang w:val="en-US" w:eastAsia="zh-CN"/>
        </w:rPr>
        <w:t>8</w:t>
      </w:r>
      <w:r>
        <w:rPr>
          <w:rFonts w:hint="eastAsia" w:ascii="宋体" w:hAnsi="宋体" w:cs="宋体"/>
          <w:b/>
          <w:color w:val="auto"/>
          <w:sz w:val="32"/>
          <w:szCs w:val="32"/>
          <w:highlight w:val="none"/>
        </w:rPr>
        <w:t>日</w:t>
      </w:r>
    </w:p>
    <w:p w14:paraId="46EAF143">
      <w:pPr>
        <w:pStyle w:val="28"/>
        <w:spacing w:before="120" w:after="120" w:line="360" w:lineRule="auto"/>
        <w:jc w:val="both"/>
        <w:rPr>
          <w:rFonts w:hint="eastAsia" w:hAnsi="宋体" w:cs="宋体"/>
          <w:color w:val="auto"/>
        </w:rPr>
      </w:pPr>
    </w:p>
    <w:p w14:paraId="1ED925FB">
      <w:pPr>
        <w:pStyle w:val="19"/>
        <w:kinsoku w:val="0"/>
        <w:overflowPunct w:val="0"/>
        <w:rPr>
          <w:rFonts w:hint="eastAsia" w:ascii="宋体" w:hAnsi="宋体" w:cs="宋体"/>
          <w:color w:val="auto"/>
          <w:sz w:val="40"/>
        </w:rPr>
        <w:sectPr>
          <w:footerReference r:id="rId5" w:type="first"/>
          <w:headerReference r:id="rId3" w:type="default"/>
          <w:footerReference r:id="rId4" w:type="even"/>
          <w:pgSz w:w="11906" w:h="16838"/>
          <w:pgMar w:top="1134" w:right="1304" w:bottom="1134" w:left="1304" w:header="851" w:footer="992" w:gutter="0"/>
          <w:cols w:space="720" w:num="1"/>
          <w:titlePg/>
          <w:rtlGutter w:val="0"/>
          <w:docGrid w:linePitch="312" w:charSpace="0"/>
        </w:sectPr>
      </w:pPr>
    </w:p>
    <w:p w14:paraId="78B9AA87">
      <w:pPr>
        <w:pStyle w:val="28"/>
        <w:spacing w:before="120" w:after="120" w:line="360" w:lineRule="auto"/>
        <w:jc w:val="center"/>
        <w:rPr>
          <w:rFonts w:hint="eastAsia" w:hAnsi="宋体" w:cs="宋体"/>
          <w:b/>
          <w:bCs/>
          <w:color w:val="auto"/>
        </w:rPr>
      </w:pPr>
    </w:p>
    <w:p w14:paraId="1323A74A">
      <w:pPr>
        <w:pStyle w:val="28"/>
        <w:spacing w:before="120" w:after="120" w:line="360" w:lineRule="auto"/>
        <w:jc w:val="center"/>
        <w:rPr>
          <w:rFonts w:hint="eastAsia" w:hAnsi="宋体" w:cs="宋体"/>
          <w:b/>
          <w:bCs/>
          <w:color w:val="auto"/>
          <w:sz w:val="40"/>
          <w:szCs w:val="40"/>
        </w:rPr>
      </w:pPr>
      <w:r>
        <w:rPr>
          <w:rFonts w:hint="eastAsia" w:hAnsi="宋体" w:cs="宋体"/>
          <w:b/>
          <w:bCs/>
          <w:color w:val="auto"/>
          <w:sz w:val="40"/>
          <w:szCs w:val="40"/>
        </w:rPr>
        <w:t>目    录</w:t>
      </w:r>
    </w:p>
    <w:p w14:paraId="40722B47">
      <w:pPr>
        <w:pStyle w:val="42"/>
        <w:tabs>
          <w:tab w:val="right" w:leader="dot" w:pos="9402"/>
        </w:tabs>
        <w:spacing w:line="360" w:lineRule="auto"/>
        <w:ind w:left="0" w:leftChars="0" w:firstLine="0" w:firstLineChars="0"/>
        <w:rPr>
          <w:rFonts w:hint="eastAsia" w:ascii="宋体" w:hAnsi="宋体" w:cs="宋体"/>
          <w:bCs/>
          <w:color w:val="auto"/>
          <w:sz w:val="32"/>
          <w:szCs w:val="32"/>
        </w:rPr>
      </w:pPr>
      <w:r>
        <w:rPr>
          <w:rFonts w:hint="eastAsia" w:ascii="宋体" w:hAnsi="宋体" w:cs="宋体"/>
          <w:b/>
          <w:color w:val="auto"/>
          <w:sz w:val="24"/>
        </w:rPr>
        <w:fldChar w:fldCharType="begin"/>
      </w:r>
      <w:r>
        <w:rPr>
          <w:rFonts w:hint="eastAsia" w:ascii="宋体" w:hAnsi="宋体" w:cs="宋体"/>
          <w:b/>
          <w:color w:val="auto"/>
          <w:sz w:val="24"/>
        </w:rPr>
        <w:instrText xml:space="preserve"> TOC \o "1-2" \h \z \u </w:instrText>
      </w:r>
      <w:r>
        <w:rPr>
          <w:rFonts w:hint="eastAsia" w:ascii="宋体" w:hAnsi="宋体" w:cs="宋体"/>
          <w:b/>
          <w:color w:val="auto"/>
          <w:sz w:val="24"/>
        </w:rPr>
        <w:fldChar w:fldCharType="separate"/>
      </w:r>
      <w:r>
        <w:rPr>
          <w:rFonts w:hint="eastAsia" w:ascii="宋体" w:hAnsi="宋体" w:cs="宋体"/>
          <w:bCs/>
          <w:color w:val="auto"/>
          <w:sz w:val="32"/>
          <w:szCs w:val="32"/>
        </w:rPr>
        <w:fldChar w:fldCharType="begin"/>
      </w:r>
      <w:r>
        <w:rPr>
          <w:rStyle w:val="59"/>
          <w:rFonts w:hint="eastAsia" w:ascii="宋体" w:hAnsi="宋体" w:cs="宋体"/>
          <w:bCs/>
          <w:color w:val="auto"/>
          <w:sz w:val="32"/>
          <w:szCs w:val="32"/>
        </w:rPr>
        <w:instrText xml:space="preserve"> </w:instrText>
      </w:r>
      <w:r>
        <w:rPr>
          <w:rFonts w:hint="eastAsia" w:ascii="宋体" w:hAnsi="宋体" w:cs="宋体"/>
          <w:bCs/>
          <w:color w:val="auto"/>
          <w:sz w:val="32"/>
          <w:szCs w:val="32"/>
        </w:rPr>
        <w:instrText xml:space="preserve">HYPERLINK \l "_Toc19686829"</w:instrText>
      </w:r>
      <w:r>
        <w:rPr>
          <w:rStyle w:val="59"/>
          <w:rFonts w:hint="eastAsia" w:ascii="宋体" w:hAnsi="宋体" w:cs="宋体"/>
          <w:bCs/>
          <w:color w:val="auto"/>
          <w:sz w:val="32"/>
          <w:szCs w:val="32"/>
        </w:rPr>
        <w:instrText xml:space="preserve"> </w:instrText>
      </w:r>
      <w:r>
        <w:rPr>
          <w:rFonts w:hint="eastAsia" w:ascii="宋体" w:hAnsi="宋体" w:cs="宋体"/>
          <w:bCs/>
          <w:color w:val="auto"/>
          <w:sz w:val="32"/>
          <w:szCs w:val="32"/>
        </w:rPr>
        <w:fldChar w:fldCharType="separate"/>
      </w:r>
      <w:r>
        <w:rPr>
          <w:rStyle w:val="59"/>
          <w:rFonts w:hint="eastAsia" w:ascii="宋体" w:hAnsi="宋体" w:cs="宋体"/>
          <w:bCs/>
          <w:color w:val="auto"/>
          <w:sz w:val="32"/>
          <w:szCs w:val="32"/>
        </w:rPr>
        <w:t>第一章  招标公告</w:t>
      </w:r>
      <w:r>
        <w:rPr>
          <w:rFonts w:hint="eastAsia" w:ascii="宋体" w:hAnsi="宋体" w:cs="宋体"/>
          <w:bCs/>
          <w:color w:val="auto"/>
          <w:sz w:val="32"/>
          <w:szCs w:val="32"/>
        </w:rPr>
        <w:tab/>
      </w:r>
      <w:r>
        <w:rPr>
          <w:rFonts w:hint="eastAsia" w:ascii="宋体" w:hAnsi="宋体" w:cs="宋体"/>
          <w:bCs/>
          <w:color w:val="auto"/>
          <w:sz w:val="32"/>
          <w:szCs w:val="32"/>
        </w:rPr>
        <w:fldChar w:fldCharType="begin"/>
      </w:r>
      <w:r>
        <w:rPr>
          <w:rFonts w:hint="eastAsia" w:ascii="宋体" w:hAnsi="宋体" w:cs="宋体"/>
          <w:bCs/>
          <w:color w:val="auto"/>
          <w:sz w:val="32"/>
          <w:szCs w:val="32"/>
        </w:rPr>
        <w:instrText xml:space="preserve"> PAGEREF _Toc19686829 \h </w:instrText>
      </w:r>
      <w:r>
        <w:rPr>
          <w:rFonts w:hint="eastAsia" w:ascii="宋体" w:hAnsi="宋体" w:cs="宋体"/>
          <w:bCs/>
          <w:color w:val="auto"/>
          <w:sz w:val="32"/>
          <w:szCs w:val="32"/>
        </w:rPr>
        <w:fldChar w:fldCharType="separate"/>
      </w:r>
      <w:r>
        <w:rPr>
          <w:rFonts w:hint="eastAsia" w:ascii="宋体" w:hAnsi="宋体" w:cs="宋体"/>
          <w:bCs/>
          <w:color w:val="auto"/>
          <w:sz w:val="32"/>
          <w:szCs w:val="32"/>
        </w:rPr>
        <w:t>3</w:t>
      </w:r>
      <w:r>
        <w:rPr>
          <w:rFonts w:hint="eastAsia" w:ascii="宋体" w:hAnsi="宋体" w:cs="宋体"/>
          <w:bCs/>
          <w:color w:val="auto"/>
          <w:sz w:val="32"/>
          <w:szCs w:val="32"/>
        </w:rPr>
        <w:fldChar w:fldCharType="end"/>
      </w:r>
      <w:r>
        <w:rPr>
          <w:rFonts w:hint="eastAsia" w:ascii="宋体" w:hAnsi="宋体" w:cs="宋体"/>
          <w:bCs/>
          <w:color w:val="auto"/>
          <w:sz w:val="32"/>
          <w:szCs w:val="32"/>
        </w:rPr>
        <w:fldChar w:fldCharType="end"/>
      </w:r>
    </w:p>
    <w:p w14:paraId="19561C0A">
      <w:pPr>
        <w:pStyle w:val="42"/>
        <w:tabs>
          <w:tab w:val="right" w:leader="dot" w:pos="9402"/>
        </w:tabs>
        <w:spacing w:line="360" w:lineRule="auto"/>
        <w:ind w:left="0" w:leftChars="0" w:firstLine="0" w:firstLineChars="0"/>
        <w:rPr>
          <w:rFonts w:hint="eastAsia" w:ascii="宋体" w:hAnsi="宋体" w:cs="宋体"/>
          <w:bCs/>
          <w:color w:val="auto"/>
          <w:sz w:val="32"/>
          <w:szCs w:val="32"/>
        </w:rPr>
      </w:pPr>
      <w:r>
        <w:rPr>
          <w:rFonts w:hint="eastAsia" w:ascii="宋体" w:hAnsi="宋体" w:cs="宋体"/>
          <w:bCs/>
          <w:color w:val="auto"/>
          <w:sz w:val="32"/>
          <w:szCs w:val="32"/>
        </w:rPr>
        <w:fldChar w:fldCharType="begin"/>
      </w:r>
      <w:r>
        <w:rPr>
          <w:rStyle w:val="59"/>
          <w:rFonts w:hint="eastAsia" w:ascii="宋体" w:hAnsi="宋体" w:cs="宋体"/>
          <w:bCs/>
          <w:color w:val="auto"/>
          <w:sz w:val="32"/>
          <w:szCs w:val="32"/>
        </w:rPr>
        <w:instrText xml:space="preserve"> </w:instrText>
      </w:r>
      <w:r>
        <w:rPr>
          <w:rFonts w:hint="eastAsia" w:ascii="宋体" w:hAnsi="宋体" w:cs="宋体"/>
          <w:bCs/>
          <w:color w:val="auto"/>
          <w:sz w:val="32"/>
          <w:szCs w:val="32"/>
        </w:rPr>
        <w:instrText xml:space="preserve">HYPERLINK \l "_Toc19686830"</w:instrText>
      </w:r>
      <w:r>
        <w:rPr>
          <w:rStyle w:val="59"/>
          <w:rFonts w:hint="eastAsia" w:ascii="宋体" w:hAnsi="宋体" w:cs="宋体"/>
          <w:bCs/>
          <w:color w:val="auto"/>
          <w:sz w:val="32"/>
          <w:szCs w:val="32"/>
        </w:rPr>
        <w:instrText xml:space="preserve"> </w:instrText>
      </w:r>
      <w:r>
        <w:rPr>
          <w:rFonts w:hint="eastAsia" w:ascii="宋体" w:hAnsi="宋体" w:cs="宋体"/>
          <w:bCs/>
          <w:color w:val="auto"/>
          <w:sz w:val="32"/>
          <w:szCs w:val="32"/>
        </w:rPr>
        <w:fldChar w:fldCharType="separate"/>
      </w:r>
      <w:r>
        <w:rPr>
          <w:rStyle w:val="59"/>
          <w:rFonts w:hint="eastAsia" w:ascii="宋体" w:hAnsi="宋体" w:cs="宋体"/>
          <w:bCs/>
          <w:color w:val="auto"/>
          <w:sz w:val="32"/>
          <w:szCs w:val="32"/>
        </w:rPr>
        <w:t>第二章  招标项目采购</w:t>
      </w:r>
      <w:bookmarkStart w:id="6" w:name="_Hlt54940053"/>
      <w:bookmarkStart w:id="7" w:name="_Hlt54940052"/>
      <w:r>
        <w:rPr>
          <w:rStyle w:val="59"/>
          <w:rFonts w:hint="eastAsia" w:ascii="宋体" w:hAnsi="宋体" w:cs="宋体"/>
          <w:bCs/>
          <w:color w:val="auto"/>
          <w:sz w:val="32"/>
          <w:szCs w:val="32"/>
        </w:rPr>
        <w:t>需</w:t>
      </w:r>
      <w:bookmarkEnd w:id="6"/>
      <w:bookmarkEnd w:id="7"/>
      <w:bookmarkStart w:id="8" w:name="_Hlt65491325"/>
      <w:r>
        <w:rPr>
          <w:rStyle w:val="59"/>
          <w:rFonts w:hint="eastAsia" w:ascii="宋体" w:hAnsi="宋体" w:cs="宋体"/>
          <w:bCs/>
          <w:color w:val="auto"/>
          <w:sz w:val="32"/>
          <w:szCs w:val="32"/>
        </w:rPr>
        <w:t>求</w:t>
      </w:r>
      <w:bookmarkEnd w:id="8"/>
      <w:r>
        <w:rPr>
          <w:rFonts w:hint="eastAsia" w:ascii="宋体" w:hAnsi="宋体" w:cs="宋体"/>
          <w:bCs/>
          <w:color w:val="auto"/>
          <w:sz w:val="32"/>
          <w:szCs w:val="32"/>
        </w:rPr>
        <w:tab/>
      </w:r>
      <w:r>
        <w:rPr>
          <w:rFonts w:hint="eastAsia" w:ascii="宋体" w:hAnsi="宋体" w:cs="宋体"/>
          <w:bCs/>
          <w:color w:val="auto"/>
          <w:sz w:val="32"/>
          <w:szCs w:val="32"/>
        </w:rPr>
        <w:fldChar w:fldCharType="begin"/>
      </w:r>
      <w:r>
        <w:rPr>
          <w:rFonts w:hint="eastAsia" w:ascii="宋体" w:hAnsi="宋体" w:cs="宋体"/>
          <w:bCs/>
          <w:color w:val="auto"/>
          <w:sz w:val="32"/>
          <w:szCs w:val="32"/>
        </w:rPr>
        <w:instrText xml:space="preserve"> PAGEREF _Toc19686830 \h </w:instrText>
      </w:r>
      <w:r>
        <w:rPr>
          <w:rFonts w:hint="eastAsia" w:ascii="宋体" w:hAnsi="宋体" w:cs="宋体"/>
          <w:bCs/>
          <w:color w:val="auto"/>
          <w:sz w:val="32"/>
          <w:szCs w:val="32"/>
        </w:rPr>
        <w:fldChar w:fldCharType="separate"/>
      </w:r>
      <w:r>
        <w:rPr>
          <w:rFonts w:hint="eastAsia" w:ascii="宋体" w:hAnsi="宋体" w:cs="宋体"/>
          <w:bCs/>
          <w:color w:val="auto"/>
          <w:sz w:val="32"/>
          <w:szCs w:val="32"/>
        </w:rPr>
        <w:t>6</w:t>
      </w:r>
      <w:r>
        <w:rPr>
          <w:rFonts w:hint="eastAsia" w:ascii="宋体" w:hAnsi="宋体" w:cs="宋体"/>
          <w:bCs/>
          <w:color w:val="auto"/>
          <w:sz w:val="32"/>
          <w:szCs w:val="32"/>
        </w:rPr>
        <w:fldChar w:fldCharType="end"/>
      </w:r>
      <w:r>
        <w:rPr>
          <w:rFonts w:hint="eastAsia" w:ascii="宋体" w:hAnsi="宋体" w:cs="宋体"/>
          <w:bCs/>
          <w:color w:val="auto"/>
          <w:sz w:val="32"/>
          <w:szCs w:val="32"/>
        </w:rPr>
        <w:fldChar w:fldCharType="end"/>
      </w:r>
    </w:p>
    <w:p w14:paraId="0AE39963">
      <w:pPr>
        <w:pStyle w:val="42"/>
        <w:tabs>
          <w:tab w:val="right" w:leader="dot" w:pos="9402"/>
        </w:tabs>
        <w:spacing w:line="360" w:lineRule="auto"/>
        <w:ind w:left="0" w:leftChars="0" w:firstLine="0" w:firstLineChars="0"/>
        <w:rPr>
          <w:rFonts w:hint="eastAsia" w:ascii="宋体" w:hAnsi="宋体" w:cs="宋体"/>
          <w:bCs/>
          <w:color w:val="auto"/>
          <w:sz w:val="32"/>
          <w:szCs w:val="32"/>
        </w:rPr>
      </w:pPr>
      <w:r>
        <w:rPr>
          <w:rFonts w:hint="eastAsia" w:ascii="宋体" w:hAnsi="宋体" w:cs="宋体"/>
          <w:bCs/>
          <w:color w:val="auto"/>
          <w:sz w:val="32"/>
          <w:szCs w:val="32"/>
        </w:rPr>
        <w:fldChar w:fldCharType="begin"/>
      </w:r>
      <w:r>
        <w:rPr>
          <w:rStyle w:val="59"/>
          <w:rFonts w:hint="eastAsia" w:ascii="宋体" w:hAnsi="宋体" w:cs="宋体"/>
          <w:bCs/>
          <w:color w:val="auto"/>
          <w:sz w:val="32"/>
          <w:szCs w:val="32"/>
        </w:rPr>
        <w:instrText xml:space="preserve"> </w:instrText>
      </w:r>
      <w:r>
        <w:rPr>
          <w:rFonts w:hint="eastAsia" w:ascii="宋体" w:hAnsi="宋体" w:cs="宋体"/>
          <w:bCs/>
          <w:color w:val="auto"/>
          <w:sz w:val="32"/>
          <w:szCs w:val="32"/>
        </w:rPr>
        <w:instrText xml:space="preserve">HYPERLINK \l "_Toc19686831"</w:instrText>
      </w:r>
      <w:r>
        <w:rPr>
          <w:rStyle w:val="59"/>
          <w:rFonts w:hint="eastAsia" w:ascii="宋体" w:hAnsi="宋体" w:cs="宋体"/>
          <w:bCs/>
          <w:color w:val="auto"/>
          <w:sz w:val="32"/>
          <w:szCs w:val="32"/>
        </w:rPr>
        <w:instrText xml:space="preserve"> </w:instrText>
      </w:r>
      <w:r>
        <w:rPr>
          <w:rFonts w:hint="eastAsia" w:ascii="宋体" w:hAnsi="宋体" w:cs="宋体"/>
          <w:bCs/>
          <w:color w:val="auto"/>
          <w:sz w:val="32"/>
          <w:szCs w:val="32"/>
        </w:rPr>
        <w:fldChar w:fldCharType="separate"/>
      </w:r>
      <w:r>
        <w:rPr>
          <w:rStyle w:val="59"/>
          <w:rFonts w:hint="eastAsia" w:ascii="宋体" w:hAnsi="宋体" w:cs="宋体"/>
          <w:bCs/>
          <w:color w:val="auto"/>
          <w:sz w:val="32"/>
          <w:szCs w:val="32"/>
        </w:rPr>
        <w:t>第三章  投标</w:t>
      </w:r>
      <w:bookmarkStart w:id="9" w:name="_Hlt30431883"/>
      <w:r>
        <w:rPr>
          <w:rStyle w:val="59"/>
          <w:rFonts w:hint="eastAsia" w:ascii="宋体" w:hAnsi="宋体" w:cs="宋体"/>
          <w:bCs/>
          <w:color w:val="auto"/>
          <w:sz w:val="32"/>
          <w:szCs w:val="32"/>
        </w:rPr>
        <w:t>人</w:t>
      </w:r>
      <w:bookmarkEnd w:id="9"/>
      <w:bookmarkStart w:id="10" w:name="_Hlt43803607"/>
      <w:bookmarkStart w:id="11" w:name="_Hlt43803608"/>
      <w:r>
        <w:rPr>
          <w:rStyle w:val="59"/>
          <w:rFonts w:hint="eastAsia" w:ascii="宋体" w:hAnsi="宋体" w:cs="宋体"/>
          <w:bCs/>
          <w:color w:val="auto"/>
          <w:sz w:val="32"/>
          <w:szCs w:val="32"/>
        </w:rPr>
        <w:t>须</w:t>
      </w:r>
      <w:bookmarkEnd w:id="10"/>
      <w:bookmarkEnd w:id="11"/>
      <w:r>
        <w:rPr>
          <w:rStyle w:val="59"/>
          <w:rFonts w:hint="eastAsia" w:ascii="宋体" w:hAnsi="宋体" w:cs="宋体"/>
          <w:bCs/>
          <w:color w:val="auto"/>
          <w:sz w:val="32"/>
          <w:szCs w:val="32"/>
        </w:rPr>
        <w:t>知</w:t>
      </w:r>
      <w:bookmarkStart w:id="12" w:name="_Hlt43479155"/>
      <w:bookmarkStart w:id="13" w:name="_Hlt43479156"/>
      <w:r>
        <w:rPr>
          <w:rFonts w:hint="eastAsia" w:ascii="宋体" w:hAnsi="宋体" w:cs="宋体"/>
          <w:bCs/>
          <w:color w:val="auto"/>
          <w:sz w:val="32"/>
          <w:szCs w:val="32"/>
        </w:rPr>
        <w:tab/>
      </w:r>
      <w:bookmarkEnd w:id="12"/>
      <w:bookmarkEnd w:id="13"/>
      <w:r>
        <w:rPr>
          <w:rFonts w:hint="eastAsia" w:ascii="宋体" w:hAnsi="宋体" w:cs="宋体"/>
          <w:bCs/>
          <w:color w:val="auto"/>
          <w:sz w:val="32"/>
          <w:szCs w:val="32"/>
        </w:rPr>
        <w:fldChar w:fldCharType="begin"/>
      </w:r>
      <w:r>
        <w:rPr>
          <w:rFonts w:hint="eastAsia" w:ascii="宋体" w:hAnsi="宋体" w:cs="宋体"/>
          <w:bCs/>
          <w:color w:val="auto"/>
          <w:sz w:val="32"/>
          <w:szCs w:val="32"/>
        </w:rPr>
        <w:instrText xml:space="preserve"> PAGEREF _Toc19686831 \h </w:instrText>
      </w:r>
      <w:r>
        <w:rPr>
          <w:rFonts w:hint="eastAsia" w:ascii="宋体" w:hAnsi="宋体" w:cs="宋体"/>
          <w:bCs/>
          <w:color w:val="auto"/>
          <w:sz w:val="32"/>
          <w:szCs w:val="32"/>
        </w:rPr>
        <w:fldChar w:fldCharType="separate"/>
      </w:r>
      <w:r>
        <w:rPr>
          <w:rFonts w:hint="eastAsia" w:ascii="宋体" w:hAnsi="宋体" w:cs="宋体"/>
          <w:bCs/>
          <w:color w:val="auto"/>
          <w:sz w:val="32"/>
          <w:szCs w:val="32"/>
        </w:rPr>
        <w:t>98</w:t>
      </w:r>
      <w:r>
        <w:rPr>
          <w:rFonts w:hint="eastAsia" w:ascii="宋体" w:hAnsi="宋体" w:cs="宋体"/>
          <w:bCs/>
          <w:color w:val="auto"/>
          <w:sz w:val="32"/>
          <w:szCs w:val="32"/>
        </w:rPr>
        <w:fldChar w:fldCharType="end"/>
      </w:r>
      <w:r>
        <w:rPr>
          <w:rFonts w:hint="eastAsia" w:ascii="宋体" w:hAnsi="宋体" w:cs="宋体"/>
          <w:bCs/>
          <w:color w:val="auto"/>
          <w:sz w:val="32"/>
          <w:szCs w:val="32"/>
        </w:rPr>
        <w:fldChar w:fldCharType="end"/>
      </w:r>
    </w:p>
    <w:p w14:paraId="520E9B04">
      <w:pPr>
        <w:pStyle w:val="42"/>
        <w:tabs>
          <w:tab w:val="right" w:leader="dot" w:pos="9402"/>
        </w:tabs>
        <w:spacing w:line="360" w:lineRule="auto"/>
        <w:ind w:left="0" w:leftChars="0" w:firstLine="0" w:firstLineChars="0"/>
        <w:rPr>
          <w:rFonts w:hint="eastAsia" w:ascii="宋体" w:hAnsi="宋体" w:cs="宋体"/>
          <w:bCs/>
          <w:color w:val="auto"/>
          <w:sz w:val="32"/>
          <w:szCs w:val="32"/>
        </w:rPr>
      </w:pPr>
      <w:r>
        <w:rPr>
          <w:rFonts w:hint="eastAsia" w:ascii="宋体" w:hAnsi="宋体" w:cs="宋体"/>
          <w:bCs/>
          <w:color w:val="auto"/>
          <w:sz w:val="32"/>
          <w:szCs w:val="32"/>
        </w:rPr>
        <w:fldChar w:fldCharType="begin"/>
      </w:r>
      <w:r>
        <w:rPr>
          <w:rStyle w:val="59"/>
          <w:rFonts w:hint="eastAsia" w:ascii="宋体" w:hAnsi="宋体" w:cs="宋体"/>
          <w:bCs/>
          <w:color w:val="auto"/>
          <w:sz w:val="32"/>
          <w:szCs w:val="32"/>
        </w:rPr>
        <w:instrText xml:space="preserve"> </w:instrText>
      </w:r>
      <w:r>
        <w:rPr>
          <w:rFonts w:hint="eastAsia" w:ascii="宋体" w:hAnsi="宋体" w:cs="宋体"/>
          <w:bCs/>
          <w:color w:val="auto"/>
          <w:sz w:val="32"/>
          <w:szCs w:val="32"/>
        </w:rPr>
        <w:instrText xml:space="preserve">HYPERLINK \l "_Toc19686832"</w:instrText>
      </w:r>
      <w:r>
        <w:rPr>
          <w:rStyle w:val="59"/>
          <w:rFonts w:hint="eastAsia" w:ascii="宋体" w:hAnsi="宋体" w:cs="宋体"/>
          <w:bCs/>
          <w:color w:val="auto"/>
          <w:sz w:val="32"/>
          <w:szCs w:val="32"/>
        </w:rPr>
        <w:instrText xml:space="preserve"> </w:instrText>
      </w:r>
      <w:r>
        <w:rPr>
          <w:rFonts w:hint="eastAsia" w:ascii="宋体" w:hAnsi="宋体" w:cs="宋体"/>
          <w:bCs/>
          <w:color w:val="auto"/>
          <w:sz w:val="32"/>
          <w:szCs w:val="32"/>
        </w:rPr>
        <w:fldChar w:fldCharType="separate"/>
      </w:r>
      <w:r>
        <w:rPr>
          <w:rStyle w:val="59"/>
          <w:rFonts w:hint="eastAsia" w:ascii="宋体" w:hAnsi="宋体" w:cs="宋体"/>
          <w:bCs/>
          <w:color w:val="auto"/>
          <w:sz w:val="32"/>
          <w:szCs w:val="32"/>
        </w:rPr>
        <w:t>第四章  评标方</w:t>
      </w:r>
      <w:bookmarkStart w:id="14" w:name="_Hlt43881606"/>
      <w:r>
        <w:rPr>
          <w:rStyle w:val="59"/>
          <w:rFonts w:hint="eastAsia" w:ascii="宋体" w:hAnsi="宋体" w:cs="宋体"/>
          <w:bCs/>
          <w:color w:val="auto"/>
          <w:sz w:val="32"/>
          <w:szCs w:val="32"/>
        </w:rPr>
        <w:t>法</w:t>
      </w:r>
      <w:bookmarkEnd w:id="14"/>
      <w:r>
        <w:rPr>
          <w:rStyle w:val="59"/>
          <w:rFonts w:hint="eastAsia" w:ascii="宋体" w:hAnsi="宋体" w:cs="宋体"/>
          <w:bCs/>
          <w:color w:val="auto"/>
          <w:sz w:val="32"/>
          <w:szCs w:val="32"/>
        </w:rPr>
        <w:t>及评标标准</w:t>
      </w:r>
      <w:r>
        <w:rPr>
          <w:rFonts w:hint="eastAsia" w:ascii="宋体" w:hAnsi="宋体" w:cs="宋体"/>
          <w:bCs/>
          <w:color w:val="auto"/>
          <w:sz w:val="32"/>
          <w:szCs w:val="32"/>
        </w:rPr>
        <w:tab/>
      </w:r>
      <w:r>
        <w:rPr>
          <w:rFonts w:hint="eastAsia" w:ascii="宋体" w:hAnsi="宋体" w:cs="宋体"/>
          <w:bCs/>
          <w:color w:val="auto"/>
          <w:sz w:val="32"/>
          <w:szCs w:val="32"/>
        </w:rPr>
        <w:fldChar w:fldCharType="begin"/>
      </w:r>
      <w:r>
        <w:rPr>
          <w:rFonts w:hint="eastAsia" w:ascii="宋体" w:hAnsi="宋体" w:cs="宋体"/>
          <w:bCs/>
          <w:color w:val="auto"/>
          <w:sz w:val="32"/>
          <w:szCs w:val="32"/>
        </w:rPr>
        <w:instrText xml:space="preserve"> PAGEREF _Toc19686832 \h </w:instrText>
      </w:r>
      <w:r>
        <w:rPr>
          <w:rFonts w:hint="eastAsia" w:ascii="宋体" w:hAnsi="宋体" w:cs="宋体"/>
          <w:bCs/>
          <w:color w:val="auto"/>
          <w:sz w:val="32"/>
          <w:szCs w:val="32"/>
        </w:rPr>
        <w:fldChar w:fldCharType="separate"/>
      </w:r>
      <w:r>
        <w:rPr>
          <w:rFonts w:hint="eastAsia" w:ascii="宋体" w:hAnsi="宋体" w:cs="宋体"/>
          <w:bCs/>
          <w:color w:val="auto"/>
          <w:sz w:val="32"/>
          <w:szCs w:val="32"/>
        </w:rPr>
        <w:t>117</w:t>
      </w:r>
      <w:r>
        <w:rPr>
          <w:rFonts w:hint="eastAsia" w:ascii="宋体" w:hAnsi="宋体" w:cs="宋体"/>
          <w:bCs/>
          <w:color w:val="auto"/>
          <w:sz w:val="32"/>
          <w:szCs w:val="32"/>
        </w:rPr>
        <w:fldChar w:fldCharType="end"/>
      </w:r>
      <w:r>
        <w:rPr>
          <w:rFonts w:hint="eastAsia" w:ascii="宋体" w:hAnsi="宋体" w:cs="宋体"/>
          <w:bCs/>
          <w:color w:val="auto"/>
          <w:sz w:val="32"/>
          <w:szCs w:val="32"/>
        </w:rPr>
        <w:fldChar w:fldCharType="end"/>
      </w:r>
    </w:p>
    <w:p w14:paraId="765B7A5A">
      <w:pPr>
        <w:pStyle w:val="42"/>
        <w:tabs>
          <w:tab w:val="right" w:leader="dot" w:pos="9402"/>
        </w:tabs>
        <w:spacing w:line="360" w:lineRule="auto"/>
        <w:ind w:left="0" w:leftChars="0" w:firstLine="0" w:firstLineChars="0"/>
        <w:rPr>
          <w:rFonts w:hint="eastAsia" w:ascii="宋体" w:hAnsi="宋体" w:cs="宋体"/>
          <w:bCs/>
          <w:color w:val="auto"/>
          <w:sz w:val="32"/>
          <w:szCs w:val="32"/>
        </w:rPr>
      </w:pPr>
      <w:r>
        <w:rPr>
          <w:rFonts w:hint="eastAsia" w:ascii="宋体" w:hAnsi="宋体" w:cs="宋体"/>
          <w:bCs/>
          <w:color w:val="auto"/>
          <w:sz w:val="32"/>
          <w:szCs w:val="32"/>
        </w:rPr>
        <w:fldChar w:fldCharType="begin"/>
      </w:r>
      <w:r>
        <w:rPr>
          <w:rStyle w:val="59"/>
          <w:rFonts w:hint="eastAsia" w:ascii="宋体" w:hAnsi="宋体" w:cs="宋体"/>
          <w:bCs/>
          <w:color w:val="auto"/>
          <w:sz w:val="32"/>
          <w:szCs w:val="32"/>
        </w:rPr>
        <w:instrText xml:space="preserve"> </w:instrText>
      </w:r>
      <w:r>
        <w:rPr>
          <w:rFonts w:hint="eastAsia" w:ascii="宋体" w:hAnsi="宋体" w:cs="宋体"/>
          <w:bCs/>
          <w:color w:val="auto"/>
          <w:sz w:val="32"/>
          <w:szCs w:val="32"/>
        </w:rPr>
        <w:instrText xml:space="preserve">HYPERLINK \l "_Toc19686833"</w:instrText>
      </w:r>
      <w:r>
        <w:rPr>
          <w:rStyle w:val="59"/>
          <w:rFonts w:hint="eastAsia" w:ascii="宋体" w:hAnsi="宋体" w:cs="宋体"/>
          <w:bCs/>
          <w:color w:val="auto"/>
          <w:sz w:val="32"/>
          <w:szCs w:val="32"/>
        </w:rPr>
        <w:instrText xml:space="preserve"> </w:instrText>
      </w:r>
      <w:r>
        <w:rPr>
          <w:rFonts w:hint="eastAsia" w:ascii="宋体" w:hAnsi="宋体" w:cs="宋体"/>
          <w:bCs/>
          <w:color w:val="auto"/>
          <w:sz w:val="32"/>
          <w:szCs w:val="32"/>
        </w:rPr>
        <w:fldChar w:fldCharType="separate"/>
      </w:r>
      <w:r>
        <w:rPr>
          <w:rStyle w:val="59"/>
          <w:rFonts w:hint="eastAsia" w:ascii="宋体" w:hAnsi="宋体" w:cs="宋体"/>
          <w:bCs/>
          <w:color w:val="auto"/>
          <w:sz w:val="32"/>
          <w:szCs w:val="32"/>
        </w:rPr>
        <w:t>第五章  政府采购合同主要条款</w:t>
      </w:r>
      <w:r>
        <w:rPr>
          <w:rFonts w:hint="eastAsia" w:ascii="宋体" w:hAnsi="宋体" w:cs="宋体"/>
          <w:bCs/>
          <w:color w:val="auto"/>
          <w:sz w:val="32"/>
          <w:szCs w:val="32"/>
        </w:rPr>
        <w:tab/>
      </w:r>
      <w:r>
        <w:rPr>
          <w:rFonts w:hint="eastAsia" w:ascii="宋体" w:hAnsi="宋体" w:cs="宋体"/>
          <w:bCs/>
          <w:color w:val="auto"/>
          <w:sz w:val="32"/>
          <w:szCs w:val="32"/>
        </w:rPr>
        <w:fldChar w:fldCharType="begin"/>
      </w:r>
      <w:r>
        <w:rPr>
          <w:rFonts w:hint="eastAsia" w:ascii="宋体" w:hAnsi="宋体" w:cs="宋体"/>
          <w:bCs/>
          <w:color w:val="auto"/>
          <w:sz w:val="32"/>
          <w:szCs w:val="32"/>
        </w:rPr>
        <w:instrText xml:space="preserve"> PAGEREF _Toc19686833 \h </w:instrText>
      </w:r>
      <w:r>
        <w:rPr>
          <w:rFonts w:hint="eastAsia" w:ascii="宋体" w:hAnsi="宋体" w:cs="宋体"/>
          <w:bCs/>
          <w:color w:val="auto"/>
          <w:sz w:val="32"/>
          <w:szCs w:val="32"/>
        </w:rPr>
        <w:fldChar w:fldCharType="separate"/>
      </w:r>
      <w:r>
        <w:rPr>
          <w:rFonts w:hint="eastAsia" w:ascii="宋体" w:hAnsi="宋体" w:cs="宋体"/>
          <w:bCs/>
          <w:color w:val="auto"/>
          <w:sz w:val="32"/>
          <w:szCs w:val="32"/>
        </w:rPr>
        <w:t>122</w:t>
      </w:r>
      <w:r>
        <w:rPr>
          <w:rFonts w:hint="eastAsia" w:ascii="宋体" w:hAnsi="宋体" w:cs="宋体"/>
          <w:bCs/>
          <w:color w:val="auto"/>
          <w:sz w:val="32"/>
          <w:szCs w:val="32"/>
        </w:rPr>
        <w:fldChar w:fldCharType="end"/>
      </w:r>
      <w:r>
        <w:rPr>
          <w:rFonts w:hint="eastAsia" w:ascii="宋体" w:hAnsi="宋体" w:cs="宋体"/>
          <w:bCs/>
          <w:color w:val="auto"/>
          <w:sz w:val="32"/>
          <w:szCs w:val="32"/>
        </w:rPr>
        <w:fldChar w:fldCharType="end"/>
      </w:r>
    </w:p>
    <w:p w14:paraId="73DEF6BB">
      <w:pPr>
        <w:pStyle w:val="42"/>
        <w:tabs>
          <w:tab w:val="right" w:leader="dot" w:pos="9402"/>
        </w:tabs>
        <w:spacing w:line="360" w:lineRule="auto"/>
        <w:ind w:left="0" w:leftChars="0" w:firstLine="0" w:firstLineChars="0"/>
        <w:rPr>
          <w:rFonts w:hint="eastAsia" w:ascii="宋体" w:hAnsi="宋体" w:cs="宋体"/>
          <w:bCs/>
          <w:color w:val="auto"/>
          <w:sz w:val="32"/>
          <w:szCs w:val="32"/>
        </w:rPr>
      </w:pPr>
      <w:r>
        <w:rPr>
          <w:rFonts w:hint="eastAsia" w:ascii="宋体" w:hAnsi="宋体" w:cs="宋体"/>
          <w:bCs/>
          <w:color w:val="auto"/>
          <w:sz w:val="32"/>
          <w:szCs w:val="32"/>
        </w:rPr>
        <w:fldChar w:fldCharType="begin"/>
      </w:r>
      <w:r>
        <w:rPr>
          <w:rStyle w:val="59"/>
          <w:rFonts w:hint="eastAsia" w:ascii="宋体" w:hAnsi="宋体" w:cs="宋体"/>
          <w:bCs/>
          <w:color w:val="auto"/>
          <w:sz w:val="32"/>
          <w:szCs w:val="32"/>
        </w:rPr>
        <w:instrText xml:space="preserve"> </w:instrText>
      </w:r>
      <w:r>
        <w:rPr>
          <w:rFonts w:hint="eastAsia" w:ascii="宋体" w:hAnsi="宋体" w:cs="宋体"/>
          <w:bCs/>
          <w:color w:val="auto"/>
          <w:sz w:val="32"/>
          <w:szCs w:val="32"/>
        </w:rPr>
        <w:instrText xml:space="preserve">HYPERLINK \l "_Toc19686834"</w:instrText>
      </w:r>
      <w:r>
        <w:rPr>
          <w:rStyle w:val="59"/>
          <w:rFonts w:hint="eastAsia" w:ascii="宋体" w:hAnsi="宋体" w:cs="宋体"/>
          <w:bCs/>
          <w:color w:val="auto"/>
          <w:sz w:val="32"/>
          <w:szCs w:val="32"/>
        </w:rPr>
        <w:instrText xml:space="preserve"> </w:instrText>
      </w:r>
      <w:r>
        <w:rPr>
          <w:rFonts w:hint="eastAsia" w:ascii="宋体" w:hAnsi="宋体" w:cs="宋体"/>
          <w:bCs/>
          <w:color w:val="auto"/>
          <w:sz w:val="32"/>
          <w:szCs w:val="32"/>
        </w:rPr>
        <w:fldChar w:fldCharType="separate"/>
      </w:r>
      <w:r>
        <w:rPr>
          <w:rStyle w:val="59"/>
          <w:rFonts w:hint="eastAsia" w:ascii="宋体" w:hAnsi="宋体" w:cs="宋体"/>
          <w:bCs/>
          <w:color w:val="auto"/>
          <w:sz w:val="32"/>
          <w:szCs w:val="32"/>
        </w:rPr>
        <w:t>第六章　投标文件格式</w:t>
      </w:r>
      <w:r>
        <w:rPr>
          <w:rFonts w:hint="eastAsia" w:ascii="宋体" w:hAnsi="宋体" w:cs="宋体"/>
          <w:bCs/>
          <w:color w:val="auto"/>
          <w:sz w:val="32"/>
          <w:szCs w:val="32"/>
        </w:rPr>
        <w:tab/>
      </w:r>
      <w:r>
        <w:rPr>
          <w:rFonts w:hint="eastAsia" w:ascii="宋体" w:hAnsi="宋体" w:cs="宋体"/>
          <w:bCs/>
          <w:color w:val="auto"/>
          <w:sz w:val="32"/>
          <w:szCs w:val="32"/>
        </w:rPr>
        <w:fldChar w:fldCharType="begin"/>
      </w:r>
      <w:r>
        <w:rPr>
          <w:rFonts w:hint="eastAsia" w:ascii="宋体" w:hAnsi="宋体" w:cs="宋体"/>
          <w:bCs/>
          <w:color w:val="auto"/>
          <w:sz w:val="32"/>
          <w:szCs w:val="32"/>
        </w:rPr>
        <w:instrText xml:space="preserve"> PAGEREF _Toc19686834 \h </w:instrText>
      </w:r>
      <w:r>
        <w:rPr>
          <w:rFonts w:hint="eastAsia" w:ascii="宋体" w:hAnsi="宋体" w:cs="宋体"/>
          <w:bCs/>
          <w:color w:val="auto"/>
          <w:sz w:val="32"/>
          <w:szCs w:val="32"/>
        </w:rPr>
        <w:fldChar w:fldCharType="separate"/>
      </w:r>
      <w:r>
        <w:rPr>
          <w:rFonts w:hint="eastAsia" w:ascii="宋体" w:hAnsi="宋体" w:cs="宋体"/>
          <w:bCs/>
          <w:color w:val="auto"/>
          <w:sz w:val="32"/>
          <w:szCs w:val="32"/>
        </w:rPr>
        <w:t>132</w:t>
      </w:r>
      <w:r>
        <w:rPr>
          <w:rFonts w:hint="eastAsia" w:ascii="宋体" w:hAnsi="宋体" w:cs="宋体"/>
          <w:bCs/>
          <w:color w:val="auto"/>
          <w:sz w:val="32"/>
          <w:szCs w:val="32"/>
        </w:rPr>
        <w:fldChar w:fldCharType="end"/>
      </w:r>
      <w:r>
        <w:rPr>
          <w:rFonts w:hint="eastAsia" w:ascii="宋体" w:hAnsi="宋体" w:cs="宋体"/>
          <w:bCs/>
          <w:color w:val="auto"/>
          <w:sz w:val="32"/>
          <w:szCs w:val="32"/>
        </w:rPr>
        <w:fldChar w:fldCharType="end"/>
      </w:r>
    </w:p>
    <w:p w14:paraId="1467E0EA">
      <w:pPr>
        <w:pStyle w:val="42"/>
        <w:tabs>
          <w:tab w:val="right" w:leader="dot" w:pos="9402"/>
        </w:tabs>
        <w:rPr>
          <w:rFonts w:hint="eastAsia" w:ascii="宋体" w:hAnsi="宋体" w:cs="宋体"/>
          <w:color w:val="auto"/>
          <w:szCs w:val="22"/>
        </w:rPr>
      </w:pPr>
    </w:p>
    <w:p w14:paraId="4ABFE7F4">
      <w:pPr>
        <w:spacing w:before="120" w:beforeLines="50" w:line="480" w:lineRule="exact"/>
        <w:rPr>
          <w:rFonts w:hint="eastAsia" w:ascii="宋体" w:hAnsi="宋体" w:cs="宋体"/>
          <w:color w:val="auto"/>
          <w:sz w:val="24"/>
        </w:rPr>
      </w:pPr>
      <w:r>
        <w:rPr>
          <w:rFonts w:hint="eastAsia" w:ascii="宋体" w:hAnsi="宋体" w:cs="宋体"/>
          <w:b/>
          <w:color w:val="auto"/>
          <w:sz w:val="24"/>
        </w:rPr>
        <w:fldChar w:fldCharType="end"/>
      </w:r>
    </w:p>
    <w:p w14:paraId="4A808DF1">
      <w:pPr>
        <w:spacing w:before="120" w:beforeLines="50" w:line="480" w:lineRule="exact"/>
        <w:rPr>
          <w:rFonts w:hint="eastAsia" w:ascii="宋体" w:hAnsi="宋体" w:cs="宋体"/>
          <w:color w:val="auto"/>
          <w:sz w:val="30"/>
        </w:rPr>
      </w:pPr>
    </w:p>
    <w:p w14:paraId="6EE069A6">
      <w:pPr>
        <w:rPr>
          <w:rFonts w:hint="eastAsia" w:ascii="宋体" w:hAnsi="宋体" w:cs="宋体"/>
          <w:color w:val="auto"/>
        </w:rPr>
      </w:pPr>
    </w:p>
    <w:p w14:paraId="4665B8F9">
      <w:pPr>
        <w:spacing w:before="120" w:beforeLines="50" w:line="480" w:lineRule="exact"/>
        <w:rPr>
          <w:rFonts w:hint="eastAsia" w:ascii="宋体" w:hAnsi="宋体" w:cs="宋体"/>
          <w:color w:val="auto"/>
          <w:sz w:val="30"/>
        </w:rPr>
      </w:pPr>
    </w:p>
    <w:p w14:paraId="5E59EAAB">
      <w:pPr>
        <w:spacing w:before="120" w:beforeLines="50" w:line="480" w:lineRule="exact"/>
        <w:rPr>
          <w:rFonts w:hint="eastAsia" w:ascii="宋体" w:hAnsi="宋体" w:cs="宋体"/>
          <w:color w:val="auto"/>
          <w:sz w:val="30"/>
        </w:rPr>
      </w:pPr>
    </w:p>
    <w:p w14:paraId="775E91CB">
      <w:pPr>
        <w:pStyle w:val="17"/>
        <w:rPr>
          <w:rFonts w:hint="eastAsia" w:ascii="宋体" w:hAnsi="宋体" w:cs="宋体"/>
          <w:b/>
          <w:bCs/>
          <w:color w:val="auto"/>
        </w:rPr>
      </w:pPr>
      <w:bookmarkStart w:id="15" w:name="_Toc254970489"/>
      <w:bookmarkStart w:id="16" w:name="_Toc254970630"/>
    </w:p>
    <w:p w14:paraId="5B8C59C1">
      <w:pPr>
        <w:rPr>
          <w:rFonts w:hint="eastAsia"/>
        </w:rPr>
      </w:pPr>
      <w:r>
        <w:rPr>
          <w:rFonts w:hint="eastAsia"/>
        </w:rPr>
        <w:br w:type="page"/>
      </w:r>
      <w:bookmarkStart w:id="17" w:name="_Toc19686829"/>
    </w:p>
    <w:p w14:paraId="30A618CA">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ascii="宋体" w:hAnsi="宋体" w:cs="宋体"/>
          <w:color w:val="auto"/>
        </w:rPr>
      </w:pPr>
      <w:r>
        <w:rPr>
          <w:rFonts w:hint="eastAsia" w:ascii="宋体" w:hAnsi="宋体" w:cs="宋体"/>
          <w:color w:val="auto"/>
        </w:rPr>
        <w:t>第一章</w:t>
      </w:r>
      <w:bookmarkEnd w:id="15"/>
      <w:bookmarkEnd w:id="16"/>
      <w:bookmarkEnd w:id="17"/>
      <w:bookmarkStart w:id="18" w:name="_Toc35393789"/>
      <w:bookmarkStart w:id="19" w:name="_Toc28359001"/>
      <w:r>
        <w:rPr>
          <w:rFonts w:hint="eastAsia" w:ascii="宋体" w:hAnsi="宋体" w:cs="宋体"/>
          <w:color w:val="auto"/>
        </w:rPr>
        <w:t xml:space="preserve"> 公开招标公告</w:t>
      </w:r>
      <w:bookmarkEnd w:id="18"/>
      <w:bookmarkEnd w:id="19"/>
    </w:p>
    <w:p w14:paraId="07923B36">
      <w:pPr>
        <w:spacing w:line="360" w:lineRule="auto"/>
        <w:rPr>
          <w:rFonts w:hint="eastAsia" w:ascii="宋体" w:hAnsi="宋体" w:cs="宋体"/>
          <w:color w:val="auto"/>
          <w:szCs w:val="21"/>
        </w:rPr>
      </w:pPr>
    </w:p>
    <w:p w14:paraId="7EC23421">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rPr>
      </w:pPr>
      <w:r>
        <w:rPr>
          <w:rFonts w:hint="eastAsia" w:ascii="宋体" w:hAnsi="宋体" w:cs="宋体"/>
          <w:color w:val="auto"/>
          <w:szCs w:val="21"/>
        </w:rPr>
        <w:t>项目概况</w:t>
      </w:r>
    </w:p>
    <w:p w14:paraId="56E899B5">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rPr>
      </w:pPr>
      <w:r>
        <w:rPr>
          <w:rFonts w:hint="eastAsia" w:ascii="宋体" w:hAnsi="宋体" w:cs="宋体"/>
          <w:szCs w:val="21"/>
          <w:u w:val="single"/>
        </w:rPr>
        <w:t>广西骨伤医院智慧医院建设（一期）项目</w:t>
      </w:r>
      <w:r>
        <w:rPr>
          <w:rFonts w:hint="eastAsia" w:ascii="宋体" w:hAnsi="宋体" w:cs="宋体"/>
          <w:color w:val="auto"/>
          <w:szCs w:val="21"/>
        </w:rPr>
        <w:t>招标项目的潜在投标人应在</w:t>
      </w:r>
      <w:r>
        <w:rPr>
          <w:rFonts w:hint="eastAsia" w:ascii="宋体" w:hAnsi="宋体" w:cs="宋体"/>
          <w:color w:val="auto"/>
          <w:szCs w:val="21"/>
          <w:u w:val="single"/>
        </w:rPr>
        <w:t>广西政府采购云平台（https://www.gcy.zfcg.gxzf.gov.cn/）</w:t>
      </w:r>
      <w:r>
        <w:rPr>
          <w:rFonts w:hint="eastAsia" w:ascii="宋体" w:hAnsi="宋体" w:cs="宋体"/>
          <w:color w:val="auto"/>
          <w:szCs w:val="21"/>
        </w:rPr>
        <w:t>获取招标文件，并于</w:t>
      </w:r>
      <w:r>
        <w:rPr>
          <w:rFonts w:hint="eastAsia" w:ascii="宋体" w:hAnsi="宋体" w:cs="宋体"/>
          <w:color w:val="auto"/>
          <w:szCs w:val="21"/>
          <w:u w:val="single"/>
        </w:rPr>
        <w:t>202</w:t>
      </w:r>
      <w:r>
        <w:rPr>
          <w:rFonts w:hint="eastAsia" w:ascii="宋体" w:hAnsi="宋体" w:cs="宋体"/>
          <w:color w:val="auto"/>
          <w:szCs w:val="21"/>
          <w:u w:val="single"/>
          <w:lang w:val="en-US" w:eastAsia="zh-CN"/>
        </w:rPr>
        <w:t>6</w:t>
      </w:r>
      <w:r>
        <w:rPr>
          <w:rFonts w:hint="eastAsia" w:ascii="宋体" w:hAnsi="宋体" w:cs="宋体"/>
          <w:bCs/>
          <w:color w:val="auto"/>
          <w:szCs w:val="21"/>
          <w:u w:val="single"/>
        </w:rPr>
        <w:t>年</w:t>
      </w:r>
      <w:r>
        <w:rPr>
          <w:rFonts w:hint="eastAsia" w:ascii="宋体" w:hAnsi="宋体" w:cs="宋体"/>
          <w:bCs/>
          <w:color w:val="auto"/>
          <w:szCs w:val="21"/>
          <w:u w:val="single"/>
          <w:lang w:val="en-US" w:eastAsia="zh-CN"/>
        </w:rPr>
        <w:t>4</w:t>
      </w:r>
      <w:r>
        <w:rPr>
          <w:rFonts w:hint="eastAsia" w:ascii="宋体" w:hAnsi="宋体" w:cs="宋体"/>
          <w:bCs/>
          <w:color w:val="auto"/>
          <w:szCs w:val="21"/>
          <w:u w:val="single"/>
        </w:rPr>
        <w:t>月</w:t>
      </w:r>
      <w:r>
        <w:rPr>
          <w:rFonts w:hint="eastAsia" w:ascii="宋体" w:hAnsi="宋体" w:cs="宋体"/>
          <w:bCs/>
          <w:color w:val="auto"/>
          <w:szCs w:val="21"/>
          <w:u w:val="single"/>
          <w:lang w:val="en-US" w:eastAsia="zh-CN"/>
        </w:rPr>
        <w:t>29</w:t>
      </w:r>
      <w:r>
        <w:rPr>
          <w:rFonts w:hint="eastAsia" w:ascii="宋体" w:hAnsi="宋体" w:cs="宋体"/>
          <w:bCs/>
          <w:color w:val="auto"/>
          <w:szCs w:val="21"/>
          <w:u w:val="single"/>
        </w:rPr>
        <w:t>日</w:t>
      </w:r>
      <w:r>
        <w:rPr>
          <w:rFonts w:hint="eastAsia" w:ascii="宋体" w:hAnsi="宋体" w:cs="宋体"/>
          <w:bCs/>
          <w:color w:val="auto"/>
          <w:szCs w:val="21"/>
          <w:u w:val="single"/>
          <w:lang w:val="en-US" w:eastAsia="zh-CN"/>
        </w:rPr>
        <w:t>9</w:t>
      </w:r>
      <w:r>
        <w:rPr>
          <w:rFonts w:hint="eastAsia" w:ascii="宋体" w:hAnsi="宋体" w:cs="宋体"/>
          <w:bCs/>
          <w:color w:val="auto"/>
          <w:szCs w:val="21"/>
          <w:u w:val="single"/>
        </w:rPr>
        <w:t>时</w:t>
      </w:r>
      <w:r>
        <w:rPr>
          <w:rFonts w:hint="eastAsia" w:ascii="宋体" w:hAnsi="宋体" w:cs="宋体"/>
          <w:bCs/>
          <w:color w:val="auto"/>
          <w:szCs w:val="21"/>
          <w:u w:val="single"/>
          <w:lang w:val="en-US" w:eastAsia="zh-CN"/>
        </w:rPr>
        <w:t>30</w:t>
      </w:r>
      <w:r>
        <w:rPr>
          <w:rFonts w:hint="eastAsia" w:ascii="宋体" w:hAnsi="宋体" w:cs="宋体"/>
          <w:bCs/>
          <w:color w:val="auto"/>
          <w:szCs w:val="21"/>
          <w:u w:val="single"/>
        </w:rPr>
        <w:t>分（</w:t>
      </w:r>
      <w:r>
        <w:rPr>
          <w:rFonts w:hint="eastAsia" w:ascii="宋体" w:hAnsi="宋体" w:cs="宋体"/>
          <w:bCs/>
          <w:color w:val="auto"/>
          <w:szCs w:val="21"/>
        </w:rPr>
        <w:t>北京时间）前递交投标文件</w:t>
      </w:r>
      <w:r>
        <w:rPr>
          <w:rFonts w:hint="eastAsia" w:ascii="宋体" w:hAnsi="宋体" w:cs="宋体"/>
          <w:color w:val="auto"/>
          <w:szCs w:val="21"/>
        </w:rPr>
        <w:t>。</w:t>
      </w:r>
    </w:p>
    <w:p w14:paraId="42F22C0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rPr>
      </w:pPr>
    </w:p>
    <w:p w14:paraId="23C736A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bCs/>
          <w:color w:val="auto"/>
          <w:sz w:val="24"/>
        </w:rPr>
      </w:pPr>
      <w:bookmarkStart w:id="20" w:name="_Toc28359079"/>
      <w:bookmarkStart w:id="21" w:name="_Toc28359002"/>
      <w:bookmarkStart w:id="22" w:name="_Toc35393621"/>
      <w:bookmarkStart w:id="23" w:name="_Toc35393790"/>
      <w:bookmarkStart w:id="24" w:name="_Hlk24379207"/>
      <w:r>
        <w:rPr>
          <w:rFonts w:hint="eastAsia" w:ascii="宋体" w:hAnsi="宋体" w:cs="宋体"/>
          <w:b/>
          <w:bCs/>
          <w:color w:val="auto"/>
          <w:sz w:val="24"/>
        </w:rPr>
        <w:t>一、项目基本情况</w:t>
      </w:r>
      <w:bookmarkEnd w:id="20"/>
      <w:bookmarkEnd w:id="21"/>
      <w:bookmarkEnd w:id="22"/>
      <w:bookmarkEnd w:id="23"/>
    </w:p>
    <w:p w14:paraId="30654EA2">
      <w:pPr>
        <w:keepNext w:val="0"/>
        <w:keepLines w:val="0"/>
        <w:pageBreakBefore w:val="0"/>
        <w:widowControl w:val="0"/>
        <w:kinsoku/>
        <w:wordWrap/>
        <w:overflowPunct/>
        <w:topLinePunct w:val="0"/>
        <w:autoSpaceDE/>
        <w:autoSpaceDN/>
        <w:bidi w:val="0"/>
        <w:adjustRightInd/>
        <w:snapToGrid/>
        <w:spacing w:line="400" w:lineRule="exact"/>
        <w:ind w:firstLine="630" w:firstLineChars="300"/>
        <w:textAlignment w:val="auto"/>
        <w:rPr>
          <w:rFonts w:hint="eastAsia" w:ascii="宋体" w:hAnsi="宋体" w:cs="宋体"/>
          <w:color w:val="auto"/>
          <w:szCs w:val="21"/>
        </w:rPr>
      </w:pPr>
      <w:r>
        <w:rPr>
          <w:rFonts w:hint="eastAsia" w:ascii="宋体" w:hAnsi="宋体" w:cs="宋体"/>
          <w:color w:val="auto"/>
          <w:szCs w:val="21"/>
        </w:rPr>
        <w:t>项目编号：GXZC2026-G3-000742-GXZJ</w:t>
      </w:r>
    </w:p>
    <w:p w14:paraId="632D1CFA">
      <w:pPr>
        <w:keepNext w:val="0"/>
        <w:keepLines w:val="0"/>
        <w:pageBreakBefore w:val="0"/>
        <w:widowControl w:val="0"/>
        <w:kinsoku/>
        <w:wordWrap/>
        <w:overflowPunct/>
        <w:topLinePunct w:val="0"/>
        <w:autoSpaceDE/>
        <w:autoSpaceDN/>
        <w:bidi w:val="0"/>
        <w:adjustRightInd/>
        <w:snapToGrid/>
        <w:spacing w:line="400" w:lineRule="exact"/>
        <w:ind w:firstLine="630" w:firstLineChars="300"/>
        <w:textAlignment w:val="auto"/>
        <w:rPr>
          <w:rFonts w:hint="eastAsia" w:ascii="宋体" w:hAnsi="宋体" w:eastAsia="宋体" w:cs="宋体"/>
          <w:color w:val="auto"/>
          <w:szCs w:val="21"/>
          <w:lang w:val="en-US" w:eastAsia="zh-CN"/>
        </w:rPr>
      </w:pPr>
      <w:r>
        <w:rPr>
          <w:rFonts w:hint="eastAsia" w:ascii="宋体" w:hAnsi="宋体" w:cs="宋体"/>
          <w:color w:val="auto"/>
          <w:szCs w:val="21"/>
        </w:rPr>
        <w:t>项目名称：</w:t>
      </w:r>
      <w:r>
        <w:rPr>
          <w:rFonts w:hint="eastAsia" w:ascii="宋体" w:hAnsi="宋体" w:cs="宋体"/>
          <w:szCs w:val="21"/>
        </w:rPr>
        <w:t>广西骨伤医院智慧医院建设（一期）项目</w:t>
      </w:r>
    </w:p>
    <w:p w14:paraId="2F338F39">
      <w:pPr>
        <w:keepNext w:val="0"/>
        <w:keepLines w:val="0"/>
        <w:pageBreakBefore w:val="0"/>
        <w:widowControl w:val="0"/>
        <w:kinsoku/>
        <w:wordWrap/>
        <w:overflowPunct/>
        <w:topLinePunct w:val="0"/>
        <w:autoSpaceDE/>
        <w:autoSpaceDN/>
        <w:bidi w:val="0"/>
        <w:adjustRightInd/>
        <w:snapToGrid/>
        <w:spacing w:line="400" w:lineRule="exact"/>
        <w:ind w:firstLine="630" w:firstLineChars="300"/>
        <w:textAlignment w:val="auto"/>
        <w:rPr>
          <w:rFonts w:hint="default" w:eastAsia="宋体"/>
          <w:color w:val="auto"/>
          <w:highlight w:val="green"/>
          <w:lang w:val="en-US" w:eastAsia="zh-CN"/>
        </w:rPr>
      </w:pPr>
      <w:r>
        <w:rPr>
          <w:rFonts w:ascii="宋体" w:hAnsi="宋体" w:cs="宋体"/>
          <w:color w:val="auto"/>
          <w:kern w:val="0"/>
          <w:szCs w:val="21"/>
        </w:rPr>
        <w:t>预算总金额（元）：</w:t>
      </w:r>
      <w:r>
        <w:rPr>
          <w:rFonts w:hint="eastAsia" w:ascii="宋体" w:hAnsi="宋体" w:cs="宋体"/>
          <w:color w:val="auto"/>
          <w:kern w:val="0"/>
          <w:szCs w:val="21"/>
        </w:rPr>
        <w:t>4639430</w:t>
      </w:r>
      <w:r>
        <w:rPr>
          <w:rFonts w:hint="eastAsia" w:ascii="宋体" w:hAnsi="宋体" w:cs="宋体"/>
          <w:color w:val="auto"/>
          <w:kern w:val="0"/>
          <w:szCs w:val="21"/>
          <w:lang w:val="en-US" w:eastAsia="zh-CN"/>
        </w:rPr>
        <w:t>.00</w:t>
      </w:r>
    </w:p>
    <w:p w14:paraId="0BBE5E01">
      <w:pPr>
        <w:keepNext w:val="0"/>
        <w:keepLines w:val="0"/>
        <w:pageBreakBefore w:val="0"/>
        <w:widowControl w:val="0"/>
        <w:kinsoku/>
        <w:wordWrap/>
        <w:overflowPunct/>
        <w:topLinePunct w:val="0"/>
        <w:autoSpaceDE/>
        <w:autoSpaceDN/>
        <w:bidi w:val="0"/>
        <w:adjustRightInd/>
        <w:snapToGrid/>
        <w:spacing w:line="400" w:lineRule="exact"/>
        <w:ind w:firstLine="630" w:firstLineChars="300"/>
        <w:textAlignment w:val="auto"/>
        <w:rPr>
          <w:rFonts w:ascii="宋体" w:hAnsi="宋体" w:cs="宋体"/>
          <w:color w:val="auto"/>
          <w:kern w:val="0"/>
          <w:szCs w:val="21"/>
        </w:rPr>
      </w:pPr>
      <w:r>
        <w:rPr>
          <w:rFonts w:ascii="宋体" w:hAnsi="宋体" w:cs="宋体"/>
          <w:color w:val="auto"/>
          <w:kern w:val="0"/>
          <w:szCs w:val="21"/>
        </w:rPr>
        <w:t>采购需求：</w:t>
      </w:r>
    </w:p>
    <w:p w14:paraId="341F20F1">
      <w:pPr>
        <w:keepNext w:val="0"/>
        <w:keepLines w:val="0"/>
        <w:pageBreakBefore w:val="0"/>
        <w:widowControl w:val="0"/>
        <w:kinsoku/>
        <w:wordWrap/>
        <w:overflowPunct/>
        <w:topLinePunct w:val="0"/>
        <w:autoSpaceDE/>
        <w:autoSpaceDN/>
        <w:bidi w:val="0"/>
        <w:adjustRightInd/>
        <w:snapToGrid/>
        <w:spacing w:line="400" w:lineRule="exact"/>
        <w:ind w:firstLine="630" w:firstLineChars="300"/>
        <w:textAlignment w:val="auto"/>
        <w:rPr>
          <w:rFonts w:hint="eastAsia" w:ascii="宋体" w:hAnsi="宋体"/>
          <w:color w:val="auto"/>
        </w:rPr>
      </w:pPr>
    </w:p>
    <w:p w14:paraId="5D3BC457">
      <w:pPr>
        <w:keepNext w:val="0"/>
        <w:keepLines w:val="0"/>
        <w:pageBreakBefore w:val="0"/>
        <w:widowControl w:val="0"/>
        <w:kinsoku/>
        <w:wordWrap/>
        <w:overflowPunct/>
        <w:topLinePunct w:val="0"/>
        <w:autoSpaceDE/>
        <w:autoSpaceDN/>
        <w:bidi w:val="0"/>
        <w:adjustRightInd/>
        <w:snapToGrid/>
        <w:spacing w:line="400" w:lineRule="exact"/>
        <w:ind w:firstLine="630" w:firstLineChars="300"/>
        <w:textAlignment w:val="auto"/>
        <w:rPr>
          <w:rFonts w:hint="eastAsia" w:eastAsia="宋体"/>
          <w:color w:val="auto"/>
          <w:kern w:val="0"/>
          <w:szCs w:val="21"/>
          <w:lang w:val="en-US" w:eastAsia="zh-CN"/>
        </w:rPr>
      </w:pPr>
      <w:r>
        <w:rPr>
          <w:rFonts w:hint="eastAsia" w:ascii="宋体" w:hAnsi="宋体"/>
          <w:color w:val="auto"/>
        </w:rPr>
        <w:t>标项名称：</w:t>
      </w:r>
      <w:r>
        <w:rPr>
          <w:rFonts w:hint="eastAsia" w:ascii="宋体" w:hAnsi="宋体" w:cs="宋体"/>
          <w:szCs w:val="21"/>
        </w:rPr>
        <w:t>广西骨伤医院智慧医院建设（一期）项目</w:t>
      </w:r>
      <w:r>
        <w:rPr>
          <w:rFonts w:hint="eastAsia" w:ascii="宋体" w:hAnsi="宋体"/>
          <w:color w:val="auto"/>
          <w:lang w:val="en-US" w:eastAsia="zh-CN"/>
        </w:rPr>
        <w:t xml:space="preserve"> </w:t>
      </w:r>
    </w:p>
    <w:p w14:paraId="083990BA">
      <w:pPr>
        <w:keepNext w:val="0"/>
        <w:keepLines w:val="0"/>
        <w:pageBreakBefore w:val="0"/>
        <w:widowControl w:val="0"/>
        <w:kinsoku/>
        <w:wordWrap/>
        <w:overflowPunct/>
        <w:topLinePunct w:val="0"/>
        <w:autoSpaceDE/>
        <w:autoSpaceDN/>
        <w:bidi w:val="0"/>
        <w:adjustRightInd/>
        <w:snapToGrid/>
        <w:spacing w:line="400" w:lineRule="exact"/>
        <w:ind w:firstLine="630" w:firstLineChars="300"/>
        <w:textAlignment w:val="auto"/>
        <w:rPr>
          <w:rFonts w:hint="eastAsia" w:ascii="宋体" w:hAnsi="宋体" w:eastAsia="宋体"/>
          <w:color w:val="auto"/>
          <w:lang w:eastAsia="zh-CN"/>
        </w:rPr>
      </w:pPr>
      <w:r>
        <w:rPr>
          <w:rFonts w:hint="eastAsia" w:ascii="宋体" w:hAnsi="宋体"/>
          <w:color w:val="auto"/>
        </w:rPr>
        <w:t>数量：</w:t>
      </w:r>
      <w:r>
        <w:rPr>
          <w:rFonts w:hint="eastAsia" w:ascii="宋体" w:hAnsi="宋体"/>
          <w:color w:val="auto"/>
          <w:lang w:val="en-US" w:eastAsia="zh-CN"/>
        </w:rPr>
        <w:t>1</w:t>
      </w:r>
    </w:p>
    <w:p w14:paraId="64DF47E5">
      <w:pPr>
        <w:keepNext w:val="0"/>
        <w:keepLines w:val="0"/>
        <w:pageBreakBefore w:val="0"/>
        <w:widowControl w:val="0"/>
        <w:kinsoku/>
        <w:wordWrap/>
        <w:overflowPunct/>
        <w:topLinePunct w:val="0"/>
        <w:autoSpaceDE/>
        <w:autoSpaceDN/>
        <w:bidi w:val="0"/>
        <w:adjustRightInd/>
        <w:snapToGrid/>
        <w:spacing w:line="400" w:lineRule="exact"/>
        <w:ind w:firstLine="630" w:firstLineChars="300"/>
        <w:textAlignment w:val="auto"/>
        <w:rPr>
          <w:rFonts w:hint="default" w:ascii="宋体" w:hAnsi="宋体" w:eastAsia="宋体"/>
          <w:color w:val="auto"/>
          <w:lang w:val="en-US" w:eastAsia="zh-CN"/>
        </w:rPr>
      </w:pPr>
      <w:r>
        <w:rPr>
          <w:rFonts w:hint="eastAsia" w:ascii="宋体" w:hAnsi="宋体"/>
          <w:color w:val="auto"/>
        </w:rPr>
        <w:t>预算金额（元）：4639430</w:t>
      </w:r>
      <w:r>
        <w:rPr>
          <w:rFonts w:hint="eastAsia" w:ascii="宋体" w:hAnsi="宋体"/>
          <w:color w:val="auto"/>
          <w:lang w:val="en-US" w:eastAsia="zh-CN"/>
        </w:rPr>
        <w:t>.00</w:t>
      </w:r>
    </w:p>
    <w:p w14:paraId="12466782">
      <w:pPr>
        <w:keepNext w:val="0"/>
        <w:keepLines w:val="0"/>
        <w:pageBreakBefore w:val="0"/>
        <w:widowControl w:val="0"/>
        <w:kinsoku/>
        <w:wordWrap/>
        <w:overflowPunct/>
        <w:topLinePunct w:val="0"/>
        <w:autoSpaceDE/>
        <w:autoSpaceDN/>
        <w:bidi w:val="0"/>
        <w:adjustRightInd/>
        <w:snapToGrid/>
        <w:spacing w:line="400" w:lineRule="exact"/>
        <w:ind w:firstLine="630" w:firstLineChars="300"/>
        <w:textAlignment w:val="auto"/>
        <w:rPr>
          <w:rFonts w:hint="eastAsia" w:ascii="宋体" w:cs="Arial"/>
          <w:color w:val="auto"/>
          <w:szCs w:val="21"/>
        </w:rPr>
      </w:pPr>
      <w:r>
        <w:rPr>
          <w:rFonts w:hint="eastAsia" w:ascii="宋体" w:hAnsi="宋体"/>
          <w:color w:val="auto"/>
        </w:rPr>
        <w:t>简要规格描述或项目基本概况介绍、用途：</w:t>
      </w:r>
      <w:r>
        <w:rPr>
          <w:rFonts w:hint="eastAsia" w:ascii="宋体" w:hAnsi="宋体" w:cs="宋体"/>
          <w:szCs w:val="21"/>
        </w:rPr>
        <w:t>广西骨伤医院智慧医院建设（一期）项目</w:t>
      </w:r>
      <w:r>
        <w:rPr>
          <w:rFonts w:hint="eastAsia" w:ascii="宋体" w:hAnsi="宋体" w:cs="宋体"/>
          <w:szCs w:val="21"/>
          <w:lang w:val="en-US" w:eastAsia="zh-CN"/>
        </w:rPr>
        <w:t>1套，</w:t>
      </w:r>
      <w:r>
        <w:rPr>
          <w:rFonts w:hint="eastAsia"/>
          <w:bCs/>
          <w:color w:val="auto"/>
          <w:kern w:val="0"/>
          <w:szCs w:val="21"/>
        </w:rPr>
        <w:t>具体详见本</w:t>
      </w:r>
      <w:r>
        <w:rPr>
          <w:rFonts w:hint="eastAsia"/>
          <w:bCs/>
          <w:color w:val="auto"/>
          <w:kern w:val="0"/>
          <w:szCs w:val="21"/>
          <w:lang w:val="en-US" w:eastAsia="zh-CN"/>
        </w:rPr>
        <w:t>项目</w:t>
      </w:r>
      <w:r>
        <w:rPr>
          <w:rFonts w:hint="eastAsia"/>
          <w:bCs/>
          <w:color w:val="auto"/>
          <w:kern w:val="0"/>
          <w:szCs w:val="21"/>
        </w:rPr>
        <w:t>采购需求</w:t>
      </w:r>
      <w:r>
        <w:rPr>
          <w:rFonts w:hint="eastAsia" w:ascii="宋体" w:cs="Arial"/>
          <w:color w:val="auto"/>
          <w:szCs w:val="21"/>
        </w:rPr>
        <w:t>。</w:t>
      </w:r>
    </w:p>
    <w:p w14:paraId="0539F728">
      <w:pPr>
        <w:keepNext w:val="0"/>
        <w:keepLines w:val="0"/>
        <w:pageBreakBefore w:val="0"/>
        <w:widowControl w:val="0"/>
        <w:kinsoku/>
        <w:wordWrap/>
        <w:overflowPunct/>
        <w:topLinePunct w:val="0"/>
        <w:autoSpaceDE/>
        <w:autoSpaceDN/>
        <w:bidi w:val="0"/>
        <w:adjustRightInd/>
        <w:snapToGrid/>
        <w:spacing w:line="400" w:lineRule="exact"/>
        <w:ind w:firstLine="630" w:firstLineChars="300"/>
        <w:textAlignment w:val="auto"/>
        <w:rPr>
          <w:rFonts w:hint="default" w:ascii="宋体" w:hAnsi="宋体" w:eastAsia="宋体" w:cs="Times New Roman"/>
          <w:color w:val="auto"/>
          <w:lang w:val="en-US"/>
        </w:rPr>
      </w:pPr>
      <w:r>
        <w:rPr>
          <w:rFonts w:hint="eastAsia" w:ascii="宋体" w:hAnsi="宋体"/>
          <w:color w:val="auto"/>
        </w:rPr>
        <w:t>最高限价（如</w:t>
      </w:r>
      <w:r>
        <w:rPr>
          <w:rFonts w:hint="eastAsia" w:ascii="宋体" w:hAnsi="宋体" w:eastAsia="宋体" w:cs="Times New Roman"/>
          <w:color w:val="auto"/>
        </w:rPr>
        <w:t>有）：4639430</w:t>
      </w:r>
      <w:r>
        <w:rPr>
          <w:rFonts w:hint="eastAsia" w:ascii="宋体" w:hAnsi="宋体" w:cs="Times New Roman"/>
          <w:color w:val="auto"/>
          <w:lang w:val="en-US" w:eastAsia="zh-CN"/>
        </w:rPr>
        <w:t>.00</w:t>
      </w:r>
      <w:r>
        <w:rPr>
          <w:rFonts w:hint="eastAsia" w:ascii="宋体" w:hAnsi="宋体" w:eastAsia="宋体" w:cs="Times New Roman"/>
          <w:color w:val="auto"/>
          <w:lang w:val="en-US" w:eastAsia="zh-CN"/>
        </w:rPr>
        <w:t>元</w:t>
      </w:r>
    </w:p>
    <w:p w14:paraId="58408E6C">
      <w:pPr>
        <w:keepNext w:val="0"/>
        <w:keepLines w:val="0"/>
        <w:pageBreakBefore w:val="0"/>
        <w:widowControl w:val="0"/>
        <w:kinsoku/>
        <w:wordWrap/>
        <w:overflowPunct/>
        <w:topLinePunct w:val="0"/>
        <w:autoSpaceDE/>
        <w:autoSpaceDN/>
        <w:bidi w:val="0"/>
        <w:adjustRightInd/>
        <w:snapToGrid/>
        <w:spacing w:line="400" w:lineRule="exact"/>
        <w:ind w:firstLine="630" w:firstLineChars="300"/>
        <w:textAlignment w:val="auto"/>
        <w:rPr>
          <w:rFonts w:hint="eastAsia" w:ascii="宋体" w:hAnsi="宋体" w:eastAsia="宋体" w:cs="Times New Roman"/>
          <w:color w:val="auto"/>
        </w:rPr>
      </w:pPr>
      <w:r>
        <w:rPr>
          <w:rFonts w:hint="eastAsia" w:ascii="宋体" w:hAnsi="宋体" w:eastAsia="宋体" w:cs="Times New Roman"/>
          <w:color w:val="auto"/>
        </w:rPr>
        <w:t>合同履约期限：详见本项目采购需求</w:t>
      </w:r>
      <w:r>
        <w:rPr>
          <w:rFonts w:hint="eastAsia" w:ascii="宋体" w:hAnsi="宋体" w:eastAsia="宋体" w:cs="Times New Roman"/>
          <w:color w:val="auto"/>
          <w:lang w:eastAsia="zh-CN"/>
        </w:rPr>
        <w:t>。</w:t>
      </w:r>
    </w:p>
    <w:p w14:paraId="3B1CC9D1">
      <w:pPr>
        <w:keepNext w:val="0"/>
        <w:keepLines w:val="0"/>
        <w:pageBreakBefore w:val="0"/>
        <w:widowControl w:val="0"/>
        <w:kinsoku/>
        <w:wordWrap/>
        <w:overflowPunct/>
        <w:topLinePunct w:val="0"/>
        <w:autoSpaceDE/>
        <w:autoSpaceDN/>
        <w:bidi w:val="0"/>
        <w:adjustRightInd/>
        <w:snapToGrid/>
        <w:spacing w:line="400" w:lineRule="exact"/>
        <w:ind w:firstLine="630" w:firstLineChars="300"/>
        <w:textAlignment w:val="auto"/>
        <w:rPr>
          <w:rFonts w:hint="eastAsia" w:ascii="宋体" w:hAnsi="宋体"/>
          <w:color w:val="auto"/>
        </w:rPr>
      </w:pPr>
      <w:r>
        <w:rPr>
          <w:rFonts w:hint="eastAsia" w:ascii="宋体" w:hAnsi="宋体" w:eastAsia="宋体" w:cs="Times New Roman"/>
          <w:color w:val="auto"/>
        </w:rPr>
        <w:t>本标项</w:t>
      </w:r>
      <w:r>
        <w:rPr>
          <w:rFonts w:hint="eastAsia" w:ascii="宋体" w:hAnsi="宋体" w:eastAsia="宋体" w:cs="Times New Roman"/>
          <w:color w:val="auto"/>
          <w:lang w:eastAsia="zh-CN"/>
        </w:rPr>
        <w:t>（</w:t>
      </w:r>
      <w:r>
        <w:rPr>
          <w:rFonts w:hint="eastAsia" w:ascii="宋体" w:hAnsi="宋体" w:eastAsia="宋体" w:cs="Times New Roman"/>
          <w:color w:val="auto"/>
          <w:lang w:val="en-US" w:eastAsia="zh-CN"/>
        </w:rPr>
        <w:t>否</w:t>
      </w:r>
      <w:r>
        <w:rPr>
          <w:rFonts w:hint="eastAsia" w:ascii="宋体" w:hAnsi="宋体" w:eastAsia="宋体" w:cs="Times New Roman"/>
          <w:color w:val="auto"/>
          <w:lang w:eastAsia="zh-CN"/>
        </w:rPr>
        <w:t>）</w:t>
      </w:r>
      <w:r>
        <w:rPr>
          <w:rFonts w:hint="eastAsia" w:ascii="宋体" w:hAnsi="宋体" w:eastAsia="宋体" w:cs="Times New Roman"/>
          <w:color w:val="auto"/>
        </w:rPr>
        <w:t>接受联合体</w:t>
      </w:r>
      <w:r>
        <w:rPr>
          <w:rFonts w:hint="eastAsia" w:ascii="宋体" w:hAnsi="宋体"/>
          <w:color w:val="auto"/>
        </w:rPr>
        <w:t>投标。</w:t>
      </w:r>
    </w:p>
    <w:p w14:paraId="454DFFF8">
      <w:pPr>
        <w:keepNext w:val="0"/>
        <w:keepLines w:val="0"/>
        <w:pageBreakBefore w:val="0"/>
        <w:widowControl w:val="0"/>
        <w:kinsoku/>
        <w:wordWrap/>
        <w:overflowPunct/>
        <w:topLinePunct w:val="0"/>
        <w:autoSpaceDE/>
        <w:autoSpaceDN/>
        <w:bidi w:val="0"/>
        <w:adjustRightInd/>
        <w:snapToGrid/>
        <w:spacing w:line="400" w:lineRule="exact"/>
        <w:ind w:firstLine="630" w:firstLineChars="300"/>
        <w:textAlignment w:val="auto"/>
        <w:rPr>
          <w:rFonts w:hint="default" w:ascii="宋体" w:hAnsi="宋体" w:eastAsia="宋体"/>
          <w:color w:val="auto"/>
          <w:lang w:val="en-US" w:eastAsia="zh-CN"/>
        </w:rPr>
      </w:pPr>
      <w:r>
        <w:rPr>
          <w:rFonts w:hint="eastAsia" w:ascii="宋体" w:hAnsi="宋体"/>
          <w:color w:val="auto"/>
          <w:lang w:val="en-US" w:eastAsia="zh-CN"/>
        </w:rPr>
        <w:t>备注：/</w:t>
      </w:r>
    </w:p>
    <w:bookmarkEnd w:id="24"/>
    <w:p w14:paraId="3460B44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bCs/>
          <w:color w:val="auto"/>
          <w:sz w:val="24"/>
        </w:rPr>
      </w:pPr>
      <w:bookmarkStart w:id="25" w:name="_Toc28359003"/>
      <w:bookmarkStart w:id="26" w:name="_Toc35393622"/>
      <w:bookmarkStart w:id="27" w:name="_Toc35393791"/>
      <w:bookmarkStart w:id="28" w:name="_Toc28359080"/>
      <w:r>
        <w:rPr>
          <w:rFonts w:hint="eastAsia" w:ascii="宋体" w:hAnsi="宋体" w:cs="宋体"/>
          <w:b/>
          <w:bCs/>
          <w:color w:val="auto"/>
          <w:sz w:val="24"/>
        </w:rPr>
        <w:t>二、</w:t>
      </w:r>
      <w:r>
        <w:rPr>
          <w:rFonts w:hint="eastAsia" w:ascii="宋体" w:hAnsi="宋体" w:cs="宋体"/>
          <w:b/>
          <w:bCs/>
          <w:color w:val="auto"/>
          <w:sz w:val="24"/>
          <w:lang w:val="en-US" w:eastAsia="zh-CN"/>
        </w:rPr>
        <w:t>申请</w:t>
      </w:r>
      <w:r>
        <w:rPr>
          <w:rFonts w:hint="eastAsia" w:ascii="宋体" w:hAnsi="宋体" w:cs="宋体"/>
          <w:b/>
          <w:bCs/>
          <w:color w:val="auto"/>
          <w:sz w:val="24"/>
        </w:rPr>
        <w:t>人的资格要求：</w:t>
      </w:r>
      <w:bookmarkEnd w:id="25"/>
      <w:bookmarkEnd w:id="26"/>
      <w:bookmarkEnd w:id="27"/>
      <w:bookmarkEnd w:id="28"/>
    </w:p>
    <w:p w14:paraId="2EA287B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bookmarkStart w:id="29" w:name="_Hlk51746371"/>
      <w:r>
        <w:rPr>
          <w:rFonts w:hint="eastAsia" w:ascii="宋体" w:hAnsi="宋体" w:cs="宋体"/>
          <w:color w:val="auto"/>
          <w:szCs w:val="21"/>
        </w:rPr>
        <w:t>1.满足《中华人民共和国政</w:t>
      </w:r>
      <w:r>
        <w:rPr>
          <w:rFonts w:hint="eastAsia" w:ascii="宋体" w:hAnsi="宋体" w:cs="宋体"/>
          <w:color w:val="auto"/>
          <w:szCs w:val="21"/>
          <w:highlight w:val="none"/>
        </w:rPr>
        <w:t>府采购法》第二十二条规定；</w:t>
      </w:r>
      <w:bookmarkStart w:id="30" w:name="_Toc28359081"/>
      <w:bookmarkStart w:id="31" w:name="_Toc28359004"/>
    </w:p>
    <w:p w14:paraId="7DE7986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highlight w:val="none"/>
        </w:rPr>
      </w:pPr>
      <w:r>
        <w:rPr>
          <w:rFonts w:hint="eastAsia" w:ascii="宋体" w:hAnsi="宋体" w:cs="宋体"/>
          <w:color w:val="auto"/>
          <w:szCs w:val="21"/>
          <w:highlight w:val="none"/>
        </w:rPr>
        <w:t>2.落实政府采购政策需满足的资格要求：</w:t>
      </w:r>
      <w:r>
        <w:rPr>
          <w:rFonts w:hint="eastAsia" w:ascii="宋体" w:hAnsi="宋体" w:cs="宋体"/>
          <w:color w:val="auto"/>
          <w:szCs w:val="21"/>
          <w:highlight w:val="none"/>
          <w:lang w:val="en-US" w:eastAsia="zh-CN"/>
        </w:rPr>
        <w:t>无</w:t>
      </w:r>
      <w:r>
        <w:rPr>
          <w:rFonts w:hint="eastAsia"/>
          <w:color w:val="auto"/>
          <w:highlight w:val="none"/>
        </w:rPr>
        <w:t>。</w:t>
      </w:r>
    </w:p>
    <w:p w14:paraId="5F50E9E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3.本项目的特定资格要求：</w:t>
      </w:r>
      <w:r>
        <w:rPr>
          <w:rFonts w:hint="eastAsia"/>
          <w:strike w:val="0"/>
          <w:dstrike w:val="0"/>
          <w:color w:val="auto"/>
          <w:sz w:val="21"/>
          <w:highlight w:val="none"/>
          <w:lang w:val="en-US" w:eastAsia="zh-CN"/>
        </w:rPr>
        <w:t>无。</w:t>
      </w:r>
    </w:p>
    <w:bookmarkEnd w:id="29"/>
    <w:p w14:paraId="043D749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bCs/>
          <w:color w:val="auto"/>
          <w:sz w:val="24"/>
        </w:rPr>
      </w:pPr>
      <w:bookmarkStart w:id="32" w:name="_Toc35393623"/>
      <w:bookmarkStart w:id="33" w:name="_Toc35393792"/>
      <w:r>
        <w:rPr>
          <w:rFonts w:hint="eastAsia" w:ascii="宋体" w:hAnsi="宋体" w:cs="宋体"/>
          <w:b/>
          <w:bCs/>
          <w:color w:val="auto"/>
          <w:sz w:val="24"/>
        </w:rPr>
        <w:t>三、获取招标文件</w:t>
      </w:r>
      <w:bookmarkEnd w:id="30"/>
      <w:bookmarkEnd w:id="31"/>
      <w:bookmarkEnd w:id="32"/>
      <w:bookmarkEnd w:id="33"/>
    </w:p>
    <w:p w14:paraId="30D2F168">
      <w:pPr>
        <w:keepNext w:val="0"/>
        <w:keepLines w:val="0"/>
        <w:pageBreakBefore w:val="0"/>
        <w:widowControl w:val="0"/>
        <w:kinsoku/>
        <w:wordWrap/>
        <w:overflowPunct/>
        <w:topLinePunct w:val="0"/>
        <w:autoSpaceDE/>
        <w:autoSpaceDN/>
        <w:bidi w:val="0"/>
        <w:adjustRightInd/>
        <w:snapToGrid/>
        <w:spacing w:line="400" w:lineRule="exact"/>
        <w:ind w:firstLine="540"/>
        <w:textAlignment w:val="auto"/>
        <w:rPr>
          <w:rFonts w:hint="eastAsia" w:ascii="宋体" w:hAnsi="宋体" w:eastAsia="宋体" w:cs="宋体"/>
          <w:bCs/>
          <w:color w:val="FF0000"/>
          <w:kern w:val="0"/>
          <w:szCs w:val="21"/>
        </w:rPr>
      </w:pPr>
      <w:r>
        <w:rPr>
          <w:rFonts w:hint="eastAsia" w:ascii="宋体" w:hAnsi="宋体" w:cs="宋体"/>
          <w:bCs/>
          <w:color w:val="auto"/>
          <w:kern w:val="0"/>
          <w:szCs w:val="21"/>
        </w:rPr>
        <w:t>时间：</w:t>
      </w:r>
      <w:r>
        <w:rPr>
          <w:rFonts w:hint="eastAsia" w:ascii="宋体" w:hAnsi="宋体" w:cs="宋体"/>
          <w:bCs/>
          <w:color w:val="auto"/>
          <w:kern w:val="0"/>
          <w:szCs w:val="21"/>
          <w:u w:val="single"/>
        </w:rPr>
        <w:t>202</w:t>
      </w:r>
      <w:r>
        <w:rPr>
          <w:rFonts w:hint="eastAsia" w:ascii="宋体" w:hAnsi="宋体" w:cs="宋体"/>
          <w:bCs/>
          <w:color w:val="auto"/>
          <w:kern w:val="0"/>
          <w:szCs w:val="21"/>
          <w:u w:val="single"/>
          <w:lang w:val="en-US" w:eastAsia="zh-CN"/>
        </w:rPr>
        <w:t>6</w:t>
      </w:r>
      <w:r>
        <w:rPr>
          <w:rFonts w:hint="eastAsia" w:ascii="宋体" w:hAnsi="宋体" w:cs="宋体"/>
          <w:bCs/>
          <w:color w:val="auto"/>
          <w:kern w:val="0"/>
          <w:szCs w:val="21"/>
          <w:u w:val="single"/>
        </w:rPr>
        <w:t>年</w:t>
      </w:r>
      <w:r>
        <w:rPr>
          <w:rFonts w:hint="eastAsia" w:ascii="宋体" w:hAnsi="宋体" w:cs="宋体"/>
          <w:bCs/>
          <w:color w:val="auto"/>
          <w:kern w:val="0"/>
          <w:szCs w:val="21"/>
          <w:u w:val="single"/>
          <w:lang w:val="en-US" w:eastAsia="zh-CN"/>
        </w:rPr>
        <w:t>4</w:t>
      </w:r>
      <w:r>
        <w:rPr>
          <w:rFonts w:hint="eastAsia" w:ascii="宋体" w:hAnsi="宋体" w:cs="宋体"/>
          <w:bCs/>
          <w:color w:val="auto"/>
          <w:kern w:val="0"/>
          <w:szCs w:val="21"/>
          <w:u w:val="single"/>
        </w:rPr>
        <w:t>月</w:t>
      </w:r>
      <w:r>
        <w:rPr>
          <w:rFonts w:hint="eastAsia" w:ascii="宋体" w:hAnsi="宋体" w:cs="宋体"/>
          <w:bCs/>
          <w:color w:val="auto"/>
          <w:kern w:val="0"/>
          <w:szCs w:val="21"/>
          <w:u w:val="single"/>
          <w:lang w:val="en-US" w:eastAsia="zh-CN"/>
        </w:rPr>
        <w:t>8</w:t>
      </w:r>
      <w:r>
        <w:rPr>
          <w:rFonts w:hint="eastAsia" w:ascii="宋体" w:hAnsi="宋体" w:cs="宋体"/>
          <w:bCs/>
          <w:color w:val="auto"/>
          <w:kern w:val="0"/>
          <w:szCs w:val="21"/>
          <w:u w:val="single"/>
        </w:rPr>
        <w:t>日至</w:t>
      </w:r>
      <w:r>
        <w:rPr>
          <w:rFonts w:hint="eastAsia" w:ascii="宋体" w:hAnsi="宋体"/>
          <w:color w:val="auto"/>
          <w:u w:val="single"/>
        </w:rPr>
        <w:t>202</w:t>
      </w:r>
      <w:r>
        <w:rPr>
          <w:rFonts w:hint="eastAsia" w:ascii="宋体" w:hAnsi="宋体"/>
          <w:color w:val="auto"/>
          <w:u w:val="single"/>
          <w:lang w:val="en-US" w:eastAsia="zh-CN"/>
        </w:rPr>
        <w:t>6</w:t>
      </w:r>
      <w:r>
        <w:rPr>
          <w:rFonts w:hint="eastAsia" w:ascii="宋体" w:hAnsi="宋体"/>
          <w:color w:val="auto"/>
          <w:u w:val="single"/>
        </w:rPr>
        <w:t>年</w:t>
      </w:r>
      <w:r>
        <w:rPr>
          <w:rFonts w:hint="eastAsia" w:ascii="宋体" w:hAnsi="宋体"/>
          <w:color w:val="auto"/>
          <w:u w:val="single"/>
          <w:lang w:val="en-US" w:eastAsia="zh-CN"/>
        </w:rPr>
        <w:t>4</w:t>
      </w:r>
      <w:r>
        <w:rPr>
          <w:rFonts w:hint="eastAsia" w:ascii="宋体" w:hAnsi="宋体"/>
          <w:color w:val="auto"/>
          <w:u w:val="single"/>
        </w:rPr>
        <w:t>月</w:t>
      </w:r>
      <w:r>
        <w:rPr>
          <w:rFonts w:hint="eastAsia" w:ascii="宋体" w:hAnsi="宋体"/>
          <w:color w:val="auto"/>
          <w:u w:val="single"/>
          <w:lang w:val="en-US" w:eastAsia="zh-CN"/>
        </w:rPr>
        <w:t>22</w:t>
      </w:r>
      <w:r>
        <w:rPr>
          <w:rFonts w:hint="eastAsia" w:ascii="宋体" w:hAnsi="宋体"/>
          <w:color w:val="auto"/>
          <w:u w:val="single"/>
        </w:rPr>
        <w:t>日</w:t>
      </w:r>
      <w:r>
        <w:rPr>
          <w:rFonts w:hint="eastAsia" w:ascii="宋体" w:hAnsi="宋体"/>
          <w:color w:val="auto"/>
        </w:rPr>
        <w:t>，每天上午8时30分至12时00分，下午15时00分至18时00分（北京时间，法定节假日除外）</w:t>
      </w:r>
      <w:r>
        <w:rPr>
          <w:rFonts w:hint="eastAsia" w:ascii="宋体" w:hAnsi="宋体" w:eastAsia="宋体" w:cs="宋体"/>
          <w:bCs/>
          <w:color w:val="auto"/>
          <w:kern w:val="0"/>
          <w:szCs w:val="21"/>
        </w:rPr>
        <w:t>。</w:t>
      </w:r>
    </w:p>
    <w:p w14:paraId="3813460C">
      <w:pPr>
        <w:keepNext w:val="0"/>
        <w:keepLines w:val="0"/>
        <w:pageBreakBefore w:val="0"/>
        <w:widowControl w:val="0"/>
        <w:kinsoku/>
        <w:wordWrap/>
        <w:overflowPunct/>
        <w:topLinePunct w:val="0"/>
        <w:autoSpaceDE/>
        <w:autoSpaceDN/>
        <w:bidi w:val="0"/>
        <w:adjustRightInd/>
        <w:snapToGrid/>
        <w:spacing w:line="400" w:lineRule="exact"/>
        <w:ind w:firstLine="540"/>
        <w:textAlignment w:val="auto"/>
        <w:rPr>
          <w:rFonts w:hint="eastAsia" w:ascii="宋体" w:hAnsi="宋体" w:cs="宋体"/>
          <w:bCs/>
          <w:color w:val="auto"/>
          <w:kern w:val="0"/>
          <w:szCs w:val="21"/>
        </w:rPr>
      </w:pPr>
      <w:r>
        <w:rPr>
          <w:rFonts w:hint="eastAsia" w:ascii="宋体" w:hAnsi="宋体" w:cs="宋体"/>
          <w:bCs/>
          <w:color w:val="auto"/>
          <w:kern w:val="0"/>
          <w:szCs w:val="21"/>
        </w:rPr>
        <w:t>地点（网址）：广西政府采购云平台（https://www.gcy.zfcg.gxzf.gov.cn/）。</w:t>
      </w:r>
    </w:p>
    <w:p w14:paraId="6CEBC5E9">
      <w:pPr>
        <w:keepNext w:val="0"/>
        <w:keepLines w:val="0"/>
        <w:pageBreakBefore w:val="0"/>
        <w:widowControl w:val="0"/>
        <w:kinsoku/>
        <w:wordWrap/>
        <w:overflowPunct/>
        <w:topLinePunct w:val="0"/>
        <w:autoSpaceDE/>
        <w:autoSpaceDN/>
        <w:bidi w:val="0"/>
        <w:adjustRightInd/>
        <w:snapToGrid/>
        <w:spacing w:line="400" w:lineRule="exact"/>
        <w:ind w:firstLine="540"/>
        <w:textAlignment w:val="auto"/>
        <w:rPr>
          <w:rFonts w:hint="eastAsia" w:ascii="宋体" w:hAnsi="宋体" w:cs="宋体"/>
          <w:bCs/>
          <w:color w:val="auto"/>
          <w:kern w:val="0"/>
          <w:szCs w:val="21"/>
        </w:rPr>
      </w:pPr>
      <w:r>
        <w:rPr>
          <w:rFonts w:hint="eastAsia" w:ascii="宋体" w:hAnsi="宋体" w:cs="宋体"/>
          <w:bCs/>
          <w:color w:val="auto"/>
          <w:kern w:val="0"/>
          <w:szCs w:val="21"/>
        </w:rPr>
        <w:t>方式：网上下载。本项目不提供纸质文件，潜在供应商需请登录广西政府采购云平台</w:t>
      </w:r>
      <w:r>
        <w:rPr>
          <w:rFonts w:hint="eastAsia" w:ascii="宋体" w:hAnsi="宋体" w:eastAsia="宋体" w:cs="宋体"/>
          <w:bCs/>
          <w:color w:val="auto"/>
          <w:kern w:val="0"/>
          <w:szCs w:val="21"/>
        </w:rPr>
        <w:t>（</w:t>
      </w:r>
      <w:r>
        <w:rPr>
          <w:rFonts w:hint="eastAsia" w:ascii="宋体" w:hAnsi="宋体" w:eastAsia="宋体" w:cs="宋体"/>
          <w:bCs/>
          <w:color w:val="auto"/>
          <w:kern w:val="0"/>
          <w:szCs w:val="21"/>
          <w:lang w:eastAsia="zh-CN"/>
        </w:rPr>
        <w:t>https://www.gcy.zfcg.gxzf.gov.cn/</w:t>
      </w:r>
      <w:r>
        <w:rPr>
          <w:rFonts w:hint="eastAsia" w:ascii="宋体" w:hAnsi="宋体" w:eastAsia="宋体" w:cs="宋体"/>
          <w:bCs/>
          <w:color w:val="auto"/>
          <w:kern w:val="0"/>
          <w:szCs w:val="21"/>
        </w:rPr>
        <w:t>）进</w:t>
      </w:r>
      <w:r>
        <w:rPr>
          <w:rFonts w:hint="eastAsia" w:ascii="宋体" w:hAnsi="宋体" w:cs="宋体"/>
          <w:bCs/>
          <w:color w:val="auto"/>
          <w:kern w:val="0"/>
          <w:szCs w:val="21"/>
        </w:rPr>
        <w:t>行报名并获取采购文件；未注册的供应商可在广西政府采购云平台完成注册后再行报名。如在操作过程中遇到问题或需技术支持，请致电广西政府采购云平台客服热线：</w:t>
      </w:r>
      <w:r>
        <w:rPr>
          <w:rFonts w:hint="eastAsia" w:ascii="宋体" w:hAnsi="宋体" w:cs="宋体"/>
          <w:bCs/>
          <w:color w:val="auto"/>
          <w:kern w:val="0"/>
          <w:szCs w:val="21"/>
          <w:lang w:val="en-US" w:eastAsia="zh-CN"/>
        </w:rPr>
        <w:t>95763</w:t>
      </w:r>
      <w:r>
        <w:rPr>
          <w:rFonts w:hint="eastAsia" w:ascii="宋体" w:hAnsi="宋体" w:cs="宋体"/>
          <w:bCs/>
          <w:color w:val="auto"/>
          <w:kern w:val="0"/>
          <w:szCs w:val="21"/>
        </w:rPr>
        <w:t>。提示：供应商只有在广西政府采购云平台完成获取采购文件申请并下载了采购文件后才视作依法获取采购文件（法律法规所指的供应商获取采购文件时间以供应商完成获取采购文件申请后下载采购文件的时间为准）。</w:t>
      </w:r>
    </w:p>
    <w:p w14:paraId="104D5A63">
      <w:pPr>
        <w:keepNext w:val="0"/>
        <w:keepLines w:val="0"/>
        <w:pageBreakBefore w:val="0"/>
        <w:widowControl w:val="0"/>
        <w:kinsoku/>
        <w:wordWrap/>
        <w:overflowPunct/>
        <w:topLinePunct w:val="0"/>
        <w:autoSpaceDE/>
        <w:autoSpaceDN/>
        <w:bidi w:val="0"/>
        <w:adjustRightInd/>
        <w:snapToGrid/>
        <w:spacing w:line="400" w:lineRule="exact"/>
        <w:ind w:firstLine="540"/>
        <w:textAlignment w:val="auto"/>
        <w:rPr>
          <w:rFonts w:hint="eastAsia" w:ascii="宋体" w:hAnsi="宋体" w:cs="宋体"/>
          <w:color w:val="auto"/>
          <w:szCs w:val="21"/>
        </w:rPr>
      </w:pPr>
      <w:r>
        <w:rPr>
          <w:rFonts w:hint="eastAsia" w:ascii="宋体" w:hAnsi="宋体" w:cs="宋体"/>
          <w:bCs/>
          <w:color w:val="auto"/>
          <w:kern w:val="0"/>
          <w:szCs w:val="21"/>
        </w:rPr>
        <w:t>售价（元）：0</w:t>
      </w:r>
      <w:r>
        <w:rPr>
          <w:rFonts w:hint="eastAsia" w:ascii="宋体" w:hAnsi="宋体" w:cs="宋体"/>
          <w:color w:val="auto"/>
          <w:szCs w:val="21"/>
        </w:rPr>
        <w:t xml:space="preserve">  </w:t>
      </w:r>
    </w:p>
    <w:p w14:paraId="558CC5B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bCs/>
          <w:color w:val="auto"/>
          <w:sz w:val="24"/>
        </w:rPr>
      </w:pPr>
      <w:bookmarkStart w:id="34" w:name="_Toc28359005"/>
      <w:bookmarkStart w:id="35" w:name="_Toc28359082"/>
      <w:bookmarkStart w:id="36" w:name="_Toc35393793"/>
      <w:bookmarkStart w:id="37" w:name="_Toc35393624"/>
      <w:r>
        <w:rPr>
          <w:rFonts w:hint="eastAsia" w:ascii="宋体" w:hAnsi="宋体" w:cs="宋体"/>
          <w:b/>
          <w:bCs/>
          <w:color w:val="auto"/>
          <w:sz w:val="24"/>
        </w:rPr>
        <w:t>四、提交投标文件</w:t>
      </w:r>
      <w:bookmarkEnd w:id="34"/>
      <w:bookmarkEnd w:id="35"/>
      <w:r>
        <w:rPr>
          <w:rFonts w:hint="eastAsia" w:ascii="宋体" w:hAnsi="宋体" w:cs="宋体"/>
          <w:b/>
          <w:bCs/>
          <w:color w:val="auto"/>
          <w:sz w:val="24"/>
        </w:rPr>
        <w:t>截止时间、开标时间和地点</w:t>
      </w:r>
      <w:bookmarkEnd w:id="36"/>
      <w:bookmarkEnd w:id="37"/>
    </w:p>
    <w:p w14:paraId="4C6D9DF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u w:val="single"/>
        </w:rPr>
      </w:pPr>
      <w:bookmarkStart w:id="38" w:name="_Toc35393794"/>
      <w:bookmarkStart w:id="39" w:name="_Toc28359007"/>
      <w:bookmarkStart w:id="40" w:name="_Toc28359084"/>
      <w:bookmarkStart w:id="41" w:name="_Toc35393625"/>
      <w:r>
        <w:rPr>
          <w:rFonts w:hint="eastAsia" w:ascii="宋体" w:hAnsi="宋体" w:cs="宋体"/>
          <w:bCs/>
          <w:color w:val="auto"/>
          <w:szCs w:val="21"/>
        </w:rPr>
        <w:t>提交投标文件截止时间：</w:t>
      </w:r>
      <w:r>
        <w:rPr>
          <w:rFonts w:hint="eastAsia" w:ascii="宋体" w:hAnsi="宋体"/>
          <w:color w:val="auto"/>
          <w:u w:val="single"/>
        </w:rPr>
        <w:t>202</w:t>
      </w:r>
      <w:r>
        <w:rPr>
          <w:rFonts w:hint="eastAsia" w:ascii="宋体" w:hAnsi="宋体"/>
          <w:color w:val="auto"/>
          <w:u w:val="single"/>
          <w:lang w:val="en-US" w:eastAsia="zh-CN"/>
        </w:rPr>
        <w:t>6</w:t>
      </w:r>
      <w:r>
        <w:rPr>
          <w:rFonts w:hint="eastAsia" w:ascii="宋体" w:hAnsi="宋体"/>
          <w:color w:val="auto"/>
          <w:u w:val="single"/>
        </w:rPr>
        <w:t>年</w:t>
      </w:r>
      <w:r>
        <w:rPr>
          <w:rFonts w:hint="eastAsia" w:ascii="宋体" w:hAnsi="宋体"/>
          <w:color w:val="auto"/>
          <w:u w:val="single"/>
          <w:lang w:val="en-US" w:eastAsia="zh-CN"/>
        </w:rPr>
        <w:t>4</w:t>
      </w:r>
      <w:r>
        <w:rPr>
          <w:rFonts w:hint="eastAsia" w:ascii="宋体" w:hAnsi="宋体"/>
          <w:color w:val="auto"/>
          <w:u w:val="single"/>
        </w:rPr>
        <w:t>月</w:t>
      </w:r>
      <w:r>
        <w:rPr>
          <w:rFonts w:hint="eastAsia" w:ascii="宋体" w:hAnsi="宋体"/>
          <w:color w:val="auto"/>
          <w:u w:val="single"/>
          <w:lang w:val="en-US" w:eastAsia="zh-CN"/>
        </w:rPr>
        <w:t>29</w:t>
      </w:r>
      <w:r>
        <w:rPr>
          <w:rFonts w:hint="eastAsia" w:ascii="宋体" w:hAnsi="宋体"/>
          <w:color w:val="auto"/>
          <w:u w:val="single"/>
        </w:rPr>
        <w:t>日</w:t>
      </w:r>
      <w:r>
        <w:rPr>
          <w:rFonts w:hint="eastAsia" w:ascii="宋体" w:hAnsi="宋体" w:cs="宋体"/>
          <w:bCs/>
          <w:color w:val="auto"/>
          <w:szCs w:val="21"/>
          <w:u w:val="single"/>
          <w:lang w:val="en-US" w:eastAsia="zh-CN"/>
        </w:rPr>
        <w:t>09:30</w:t>
      </w:r>
      <w:r>
        <w:rPr>
          <w:rFonts w:hint="eastAsia" w:ascii="宋体" w:hAnsi="宋体" w:cs="宋体"/>
          <w:bCs/>
          <w:color w:val="auto"/>
          <w:szCs w:val="21"/>
        </w:rPr>
        <w:t>（北京时间）。</w:t>
      </w:r>
    </w:p>
    <w:p w14:paraId="26FA0CF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rPr>
      </w:pPr>
      <w:r>
        <w:rPr>
          <w:rFonts w:hint="eastAsia" w:ascii="宋体" w:hAnsi="宋体" w:cs="宋体"/>
          <w:color w:val="auto"/>
          <w:szCs w:val="21"/>
        </w:rPr>
        <w:t>投标地点（网址）：</w:t>
      </w:r>
      <w:r>
        <w:rPr>
          <w:rFonts w:hint="eastAsia" w:ascii="宋体" w:hAnsi="宋体" w:cs="宋体"/>
          <w:color w:val="auto"/>
          <w:szCs w:val="21"/>
          <w:u w:val="single"/>
        </w:rPr>
        <w:t>广西政府采购云平台（</w:t>
      </w:r>
      <w:r>
        <w:rPr>
          <w:rFonts w:hint="eastAsia" w:ascii="宋体" w:hAnsi="宋体" w:eastAsia="宋体" w:cs="宋体"/>
          <w:bCs/>
          <w:color w:val="auto"/>
          <w:kern w:val="0"/>
          <w:szCs w:val="21"/>
          <w:u w:val="single"/>
          <w:lang w:eastAsia="zh-CN"/>
        </w:rPr>
        <w:t>https://www.gcy.zfcg.gxzf.gov.cn/</w:t>
      </w:r>
      <w:r>
        <w:rPr>
          <w:rFonts w:hint="eastAsia" w:ascii="宋体" w:hAnsi="宋体" w:cs="宋体"/>
          <w:color w:val="auto"/>
          <w:szCs w:val="21"/>
          <w:u w:val="single"/>
        </w:rPr>
        <w:t>）（本项目为全流程电子化项目，供应商应派法定代表人或委托代理人准时在线出席电子评审会议，随时关注评审进度，如在评审过程中有电子询标，应在规定的时间内对电子询标函进行澄清回复）。</w:t>
      </w:r>
    </w:p>
    <w:p w14:paraId="40FABD4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bCs/>
          <w:color w:val="auto"/>
          <w:szCs w:val="21"/>
          <w:lang w:val="en-US" w:eastAsia="zh-CN"/>
        </w:rPr>
      </w:pPr>
      <w:r>
        <w:rPr>
          <w:rFonts w:hint="eastAsia" w:ascii="宋体" w:hAnsi="宋体" w:cs="宋体"/>
          <w:bCs/>
          <w:color w:val="auto"/>
          <w:szCs w:val="21"/>
        </w:rPr>
        <w:t>开标时间：</w:t>
      </w:r>
      <w:r>
        <w:rPr>
          <w:rFonts w:hint="eastAsia" w:ascii="宋体" w:hAnsi="宋体"/>
          <w:color w:val="auto"/>
          <w:u w:val="single"/>
        </w:rPr>
        <w:t>202</w:t>
      </w:r>
      <w:r>
        <w:rPr>
          <w:rFonts w:hint="eastAsia" w:ascii="宋体" w:hAnsi="宋体"/>
          <w:color w:val="auto"/>
          <w:u w:val="single"/>
          <w:lang w:val="en-US" w:eastAsia="zh-CN"/>
        </w:rPr>
        <w:t>6</w:t>
      </w:r>
      <w:r>
        <w:rPr>
          <w:rFonts w:hint="eastAsia" w:ascii="宋体" w:hAnsi="宋体"/>
          <w:color w:val="auto"/>
          <w:u w:val="single"/>
        </w:rPr>
        <w:t>年</w:t>
      </w:r>
      <w:r>
        <w:rPr>
          <w:rFonts w:hint="eastAsia" w:ascii="宋体" w:hAnsi="宋体"/>
          <w:color w:val="auto"/>
          <w:u w:val="single"/>
          <w:lang w:val="en-US" w:eastAsia="zh-CN"/>
        </w:rPr>
        <w:t>4</w:t>
      </w:r>
      <w:r>
        <w:rPr>
          <w:rFonts w:hint="eastAsia" w:ascii="宋体" w:hAnsi="宋体"/>
          <w:color w:val="auto"/>
          <w:u w:val="single"/>
        </w:rPr>
        <w:t>月</w:t>
      </w:r>
      <w:r>
        <w:rPr>
          <w:rFonts w:hint="eastAsia" w:ascii="宋体" w:hAnsi="宋体"/>
          <w:color w:val="auto"/>
          <w:u w:val="single"/>
          <w:lang w:val="en-US" w:eastAsia="zh-CN"/>
        </w:rPr>
        <w:t>29</w:t>
      </w:r>
      <w:r>
        <w:rPr>
          <w:rFonts w:hint="eastAsia" w:ascii="宋体" w:hAnsi="宋体"/>
          <w:color w:val="auto"/>
          <w:u w:val="single"/>
        </w:rPr>
        <w:t>日</w:t>
      </w:r>
      <w:r>
        <w:rPr>
          <w:rFonts w:hint="eastAsia" w:ascii="宋体" w:hAnsi="宋体" w:cs="宋体"/>
          <w:bCs/>
          <w:color w:val="auto"/>
          <w:szCs w:val="21"/>
          <w:u w:val="single"/>
          <w:lang w:val="en-US" w:eastAsia="zh-CN"/>
        </w:rPr>
        <w:t>09:30</w:t>
      </w:r>
      <w:r>
        <w:rPr>
          <w:rFonts w:hint="eastAsia" w:ascii="宋体" w:hAnsi="宋体" w:cs="宋体"/>
          <w:bCs/>
          <w:color w:val="auto"/>
          <w:szCs w:val="21"/>
        </w:rPr>
        <w:t>（北京时间）</w:t>
      </w:r>
    </w:p>
    <w:p w14:paraId="6B2D7B2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bCs/>
          <w:color w:val="auto"/>
          <w:szCs w:val="21"/>
        </w:rPr>
      </w:pPr>
      <w:r>
        <w:rPr>
          <w:rFonts w:hint="eastAsia" w:ascii="宋体" w:hAnsi="宋体" w:cs="宋体"/>
          <w:bCs/>
          <w:color w:val="auto"/>
          <w:szCs w:val="21"/>
        </w:rPr>
        <w:t>开标地点：广西政府采购云平台电子开标大厅。</w:t>
      </w:r>
    </w:p>
    <w:p w14:paraId="397EEA3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bCs/>
          <w:color w:val="auto"/>
          <w:sz w:val="24"/>
        </w:rPr>
      </w:pPr>
      <w:r>
        <w:rPr>
          <w:rFonts w:hint="eastAsia" w:ascii="宋体" w:hAnsi="宋体" w:cs="宋体"/>
          <w:b/>
          <w:bCs/>
          <w:color w:val="auto"/>
          <w:sz w:val="24"/>
        </w:rPr>
        <w:t>五、公告期限</w:t>
      </w:r>
      <w:bookmarkEnd w:id="38"/>
      <w:bookmarkEnd w:id="39"/>
      <w:bookmarkEnd w:id="40"/>
      <w:bookmarkEnd w:id="41"/>
    </w:p>
    <w:p w14:paraId="599C1DF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kern w:val="0"/>
          <w:szCs w:val="21"/>
        </w:rPr>
      </w:pPr>
      <w:r>
        <w:rPr>
          <w:rFonts w:hint="eastAsia" w:ascii="宋体" w:hAnsi="宋体" w:cs="宋体"/>
          <w:color w:val="auto"/>
          <w:kern w:val="0"/>
          <w:szCs w:val="21"/>
        </w:rPr>
        <w:t>自本公告发布之日起5个工作日。</w:t>
      </w:r>
    </w:p>
    <w:p w14:paraId="37CC185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bCs/>
          <w:color w:val="auto"/>
          <w:sz w:val="24"/>
        </w:rPr>
      </w:pPr>
      <w:bookmarkStart w:id="42" w:name="_Toc35393626"/>
      <w:bookmarkStart w:id="43" w:name="_Toc35393795"/>
      <w:r>
        <w:rPr>
          <w:rFonts w:hint="eastAsia" w:ascii="宋体" w:hAnsi="宋体" w:cs="宋体"/>
          <w:b/>
          <w:bCs/>
          <w:color w:val="auto"/>
          <w:sz w:val="24"/>
        </w:rPr>
        <w:t>六、其他补充事宜</w:t>
      </w:r>
      <w:bookmarkEnd w:id="42"/>
      <w:bookmarkEnd w:id="43"/>
    </w:p>
    <w:p w14:paraId="1C0EB43A">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rPr>
          <w:rFonts w:hint="eastAsia" w:ascii="宋体" w:hAnsi="宋体" w:eastAsia="宋体" w:cs="宋体"/>
          <w:color w:val="auto"/>
          <w:kern w:val="0"/>
          <w:szCs w:val="21"/>
          <w:lang w:eastAsia="zh-CN"/>
        </w:rPr>
      </w:pPr>
      <w:r>
        <w:rPr>
          <w:rFonts w:hint="eastAsia" w:ascii="宋体" w:hAnsi="宋体" w:cs="宋体"/>
          <w:color w:val="auto"/>
          <w:kern w:val="0"/>
          <w:szCs w:val="21"/>
        </w:rPr>
        <w:t>1.投标保证金</w:t>
      </w:r>
      <w:r>
        <w:rPr>
          <w:rFonts w:hint="eastAsia" w:ascii="宋体" w:hAnsi="宋体" w:cs="宋体"/>
          <w:color w:val="auto"/>
          <w:kern w:val="0"/>
          <w:szCs w:val="21"/>
          <w:lang w:eastAsia="zh-CN"/>
        </w:rPr>
        <w:t>：</w:t>
      </w:r>
      <w:r>
        <w:rPr>
          <w:rFonts w:hint="eastAsia" w:ascii="宋体" w:hAnsi="宋体" w:cs="宋体"/>
          <w:color w:val="auto"/>
          <w:kern w:val="0"/>
          <w:szCs w:val="21"/>
        </w:rPr>
        <w:t>人民币</w:t>
      </w:r>
      <w:r>
        <w:rPr>
          <w:rFonts w:hint="eastAsia" w:ascii="宋体" w:hAnsi="宋体" w:cs="宋体"/>
          <w:color w:val="auto"/>
          <w:kern w:val="0"/>
          <w:szCs w:val="21"/>
          <w:u w:val="single"/>
        </w:rPr>
        <w:t xml:space="preserve"> </w:t>
      </w:r>
      <w:r>
        <w:rPr>
          <w:rFonts w:hint="eastAsia" w:ascii="宋体" w:hAnsi="宋体" w:cs="宋体"/>
          <w:color w:val="auto"/>
          <w:kern w:val="0"/>
          <w:szCs w:val="21"/>
          <w:u w:val="single"/>
          <w:lang w:val="en-US" w:eastAsia="zh-CN"/>
        </w:rPr>
        <w:t>45</w:t>
      </w:r>
      <w:r>
        <w:rPr>
          <w:rFonts w:hint="eastAsia" w:ascii="宋体" w:hAnsi="宋体" w:cs="宋体"/>
          <w:color w:val="auto"/>
          <w:kern w:val="0"/>
          <w:szCs w:val="21"/>
          <w:u w:val="single"/>
        </w:rPr>
        <w:t xml:space="preserve">000.00 </w:t>
      </w:r>
      <w:r>
        <w:rPr>
          <w:rFonts w:hint="eastAsia" w:ascii="宋体" w:hAnsi="宋体" w:cs="宋体"/>
          <w:color w:val="auto"/>
          <w:kern w:val="0"/>
          <w:szCs w:val="21"/>
        </w:rPr>
        <w:t>元。</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须足额缴纳</w:t>
      </w:r>
      <w:r>
        <w:rPr>
          <w:rFonts w:hint="eastAsia" w:ascii="宋体" w:hAnsi="宋体" w:cs="宋体"/>
          <w:color w:val="auto"/>
          <w:kern w:val="0"/>
          <w:szCs w:val="21"/>
          <w:lang w:eastAsia="zh-CN"/>
        </w:rPr>
        <w:t>）</w:t>
      </w:r>
    </w:p>
    <w:p w14:paraId="4EB00526">
      <w:pPr>
        <w:pStyle w:val="111"/>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rPr>
          <w:rFonts w:hint="eastAsia" w:ascii="宋体" w:hAnsi="宋体" w:cs="宋体"/>
          <w:color w:val="auto"/>
          <w:kern w:val="0"/>
          <w:szCs w:val="21"/>
        </w:rPr>
      </w:pPr>
      <w:r>
        <w:rPr>
          <w:rFonts w:hint="eastAsia" w:ascii="宋体" w:hAnsi="宋体" w:cs="宋体"/>
          <w:color w:val="auto"/>
          <w:kern w:val="0"/>
          <w:szCs w:val="21"/>
        </w:rPr>
        <w:t>投标保证金的交纳方式：银行转账、支票、汇票、本票或者金融、担保机构出具的保函，禁止采用现钞方式。采用银行转账方式的，在投标截止时间前交至采购代理机构指定账户并且到账（开户银行：</w:t>
      </w:r>
      <w:r>
        <w:rPr>
          <w:rFonts w:hint="eastAsia" w:ascii="宋体" w:hAnsi="宋体" w:cs="宋体"/>
          <w:color w:val="auto"/>
          <w:kern w:val="0"/>
          <w:szCs w:val="21"/>
          <w:u w:val="single"/>
        </w:rPr>
        <w:t>广西北部湾银行南宁市嘉宾支行</w:t>
      </w:r>
      <w:r>
        <w:rPr>
          <w:rFonts w:hint="eastAsia" w:ascii="宋体" w:hAnsi="宋体" w:cs="宋体"/>
          <w:color w:val="auto"/>
          <w:kern w:val="0"/>
          <w:szCs w:val="21"/>
        </w:rPr>
        <w:t>，开户名称：</w:t>
      </w:r>
      <w:r>
        <w:rPr>
          <w:rFonts w:hint="eastAsia" w:ascii="宋体" w:hAnsi="宋体" w:cs="宋体"/>
          <w:color w:val="auto"/>
          <w:kern w:val="0"/>
          <w:szCs w:val="21"/>
          <w:u w:val="single"/>
        </w:rPr>
        <w:t>广西中吉银工程项目管理有限公司</w:t>
      </w:r>
      <w:r>
        <w:rPr>
          <w:rFonts w:hint="eastAsia" w:ascii="宋体" w:hAnsi="宋体" w:cs="宋体"/>
          <w:color w:val="auto"/>
          <w:kern w:val="0"/>
          <w:szCs w:val="21"/>
        </w:rPr>
        <w:t>，银行账号：</w:t>
      </w:r>
      <w:r>
        <w:rPr>
          <w:rFonts w:hint="eastAsia" w:ascii="宋体" w:hAnsi="宋体" w:cs="宋体"/>
          <w:color w:val="auto"/>
          <w:kern w:val="0"/>
          <w:szCs w:val="21"/>
          <w:u w:val="single"/>
        </w:rPr>
        <w:t>805021372200001</w:t>
      </w:r>
      <w:r>
        <w:rPr>
          <w:rFonts w:hint="eastAsia" w:ascii="宋体" w:hAnsi="宋体" w:cs="宋体"/>
          <w:color w:val="auto"/>
          <w:kern w:val="0"/>
          <w:szCs w:val="21"/>
        </w:rPr>
        <w:t>）；采用支票、汇票、本票或者保函等方式的，在投标截止时间前，投标人必须递交单独密封的支票、汇票、本票或者保函原件。否则视为无效投标保证金。（财务部联系方式：0771-</w:t>
      </w:r>
      <w:r>
        <w:rPr>
          <w:rFonts w:hint="eastAsia" w:ascii="宋体" w:hAnsi="宋体" w:cs="宋体"/>
          <w:color w:val="auto"/>
          <w:kern w:val="0"/>
          <w:szCs w:val="21"/>
          <w:lang w:val="en-US" w:eastAsia="zh-CN"/>
        </w:rPr>
        <w:t>3147550</w:t>
      </w:r>
      <w:r>
        <w:rPr>
          <w:rFonts w:hint="eastAsia" w:ascii="宋体" w:hAnsi="宋体" w:cs="宋体"/>
          <w:color w:val="auto"/>
          <w:kern w:val="0"/>
          <w:szCs w:val="21"/>
        </w:rPr>
        <w:t>）</w:t>
      </w:r>
    </w:p>
    <w:p w14:paraId="4897A265">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firstLine="424" w:firstLineChars="202"/>
        <w:textAlignment w:val="auto"/>
        <w:rPr>
          <w:rFonts w:hint="eastAsia" w:ascii="宋体" w:hAnsi="宋体" w:cs="宋体"/>
          <w:color w:val="auto"/>
          <w:kern w:val="0"/>
          <w:szCs w:val="21"/>
        </w:rPr>
      </w:pPr>
      <w:bookmarkStart w:id="44" w:name="_Hlk37429585"/>
      <w:bookmarkStart w:id="45" w:name="_Hlk37429595"/>
      <w:r>
        <w:rPr>
          <w:rFonts w:hint="eastAsia" w:ascii="宋体" w:hAnsi="宋体" w:cs="宋体"/>
          <w:color w:val="auto"/>
          <w:kern w:val="0"/>
          <w:szCs w:val="21"/>
        </w:rPr>
        <w:t>网上查询地址</w:t>
      </w:r>
    </w:p>
    <w:bookmarkEnd w:id="44"/>
    <w:p w14:paraId="28AFF7CB">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rPr>
          <w:rFonts w:hint="eastAsia" w:ascii="宋体" w:hAnsi="宋体" w:cs="宋体"/>
          <w:color w:val="auto"/>
          <w:kern w:val="0"/>
          <w:szCs w:val="21"/>
          <w:highlight w:val="none"/>
        </w:rPr>
      </w:pPr>
      <w:r>
        <w:rPr>
          <w:rFonts w:hint="eastAsia" w:ascii="宋体" w:hAnsi="宋体" w:cs="宋体"/>
          <w:color w:val="auto"/>
          <w:kern w:val="0"/>
          <w:szCs w:val="21"/>
        </w:rPr>
        <w:t>中国政府采购网（www.ccgp.gov.cn）、广西壮族自治区政府采购网（zfcg.gxzf.gov.cn）</w:t>
      </w:r>
      <w:r>
        <w:rPr>
          <w:rFonts w:hint="eastAsia" w:ascii="宋体" w:hAnsi="宋体" w:cs="Arial"/>
          <w:color w:val="auto"/>
          <w:highlight w:val="none"/>
        </w:rPr>
        <w:t>、广西壮族自治区公共资源交易中心网（gxggzy.gxzf.gov.cn）</w:t>
      </w:r>
      <w:r>
        <w:rPr>
          <w:rFonts w:hint="eastAsia" w:ascii="宋体" w:hAnsi="宋体" w:cs="宋体"/>
          <w:color w:val="auto"/>
          <w:kern w:val="0"/>
          <w:szCs w:val="21"/>
          <w:highlight w:val="none"/>
        </w:rPr>
        <w:t>。</w:t>
      </w:r>
    </w:p>
    <w:bookmarkEnd w:id="45"/>
    <w:p w14:paraId="19C81A16">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rPr>
          <w:rFonts w:hint="eastAsia" w:ascii="宋体" w:hAnsi="宋体" w:cs="宋体"/>
          <w:color w:val="auto"/>
          <w:kern w:val="0"/>
          <w:szCs w:val="21"/>
        </w:rPr>
      </w:pPr>
      <w:bookmarkStart w:id="46" w:name="_Hlk37429674"/>
      <w:r>
        <w:rPr>
          <w:rFonts w:hint="eastAsia" w:ascii="宋体" w:hAnsi="宋体" w:cs="宋体"/>
          <w:color w:val="auto"/>
          <w:szCs w:val="21"/>
        </w:rPr>
        <w:t>3.</w:t>
      </w:r>
      <w:r>
        <w:rPr>
          <w:rFonts w:hint="eastAsia" w:ascii="宋体" w:hAnsi="宋体" w:cs="宋体"/>
          <w:color w:val="auto"/>
          <w:kern w:val="0"/>
          <w:szCs w:val="21"/>
        </w:rPr>
        <w:t>本项目需要落实的政府采购政策</w:t>
      </w:r>
    </w:p>
    <w:bookmarkEnd w:id="46"/>
    <w:p w14:paraId="5ABC5EA9">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rPr>
          <w:rFonts w:hint="eastAsia" w:ascii="宋体" w:hAnsi="宋体" w:cs="宋体"/>
          <w:color w:val="auto"/>
          <w:kern w:val="0"/>
          <w:szCs w:val="21"/>
        </w:rPr>
      </w:pPr>
      <w:r>
        <w:rPr>
          <w:rFonts w:hint="eastAsia" w:ascii="宋体" w:hAnsi="宋体" w:cs="宋体"/>
          <w:color w:val="auto"/>
          <w:kern w:val="0"/>
          <w:szCs w:val="21"/>
        </w:rPr>
        <w:t>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p>
    <w:p w14:paraId="0DB4B282">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rPr>
          <w:rFonts w:hint="eastAsia" w:ascii="宋体" w:hAnsi="宋体" w:cs="宋体"/>
          <w:color w:val="auto"/>
          <w:kern w:val="0"/>
          <w:szCs w:val="21"/>
        </w:rPr>
      </w:pPr>
      <w:r>
        <w:rPr>
          <w:rFonts w:hint="eastAsia" w:ascii="宋体" w:hAnsi="宋体" w:cs="宋体"/>
          <w:color w:val="auto"/>
          <w:kern w:val="0"/>
          <w:szCs w:val="21"/>
        </w:rPr>
        <w:t>4.在线投标响应（电子</w:t>
      </w:r>
      <w:r>
        <w:rPr>
          <w:rFonts w:hint="eastAsia" w:ascii="宋体" w:hAnsi="宋体" w:cs="宋体"/>
          <w:color w:val="auto"/>
          <w:kern w:val="0"/>
          <w:szCs w:val="21"/>
          <w:lang w:val="en-US" w:eastAsia="zh-CN"/>
        </w:rPr>
        <w:t>投</w:t>
      </w:r>
      <w:r>
        <w:rPr>
          <w:rFonts w:hint="eastAsia" w:ascii="宋体" w:hAnsi="宋体" w:cs="宋体"/>
          <w:color w:val="auto"/>
          <w:kern w:val="0"/>
          <w:szCs w:val="21"/>
        </w:rPr>
        <w:t>标）说明：</w:t>
      </w:r>
    </w:p>
    <w:p w14:paraId="69B246E8">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rPr>
          <w:rFonts w:hint="eastAsia" w:ascii="宋体" w:hAnsi="宋体" w:cs="宋体"/>
          <w:color w:val="auto"/>
          <w:kern w:val="0"/>
          <w:szCs w:val="21"/>
        </w:rPr>
      </w:pPr>
      <w:r>
        <w:rPr>
          <w:rFonts w:hint="eastAsia" w:ascii="宋体" w:hAnsi="宋体" w:cs="宋体"/>
          <w:color w:val="auto"/>
          <w:kern w:val="0"/>
          <w:szCs w:val="21"/>
        </w:rPr>
        <w:t>（1）本项目通过广西政府采购云平台实行在线投标响应（电子</w:t>
      </w:r>
      <w:r>
        <w:rPr>
          <w:rFonts w:hint="eastAsia" w:ascii="宋体" w:hAnsi="宋体" w:cs="宋体"/>
          <w:color w:val="auto"/>
          <w:kern w:val="0"/>
          <w:szCs w:val="21"/>
          <w:lang w:val="en-US" w:eastAsia="zh-CN"/>
        </w:rPr>
        <w:t>投</w:t>
      </w:r>
      <w:r>
        <w:rPr>
          <w:rFonts w:hint="eastAsia" w:ascii="宋体" w:hAnsi="宋体" w:cs="宋体"/>
          <w:color w:val="auto"/>
          <w:kern w:val="0"/>
          <w:szCs w:val="21"/>
        </w:rPr>
        <w:t>标），</w:t>
      </w:r>
      <w:r>
        <w:rPr>
          <w:rFonts w:hint="eastAsia" w:ascii="宋体" w:hAnsi="宋体" w:cs="宋体"/>
          <w:color w:val="auto"/>
          <w:kern w:val="0"/>
          <w:szCs w:val="21"/>
          <w:lang w:val="en-US" w:eastAsia="zh-CN"/>
        </w:rPr>
        <w:t>投标人</w:t>
      </w:r>
      <w:r>
        <w:rPr>
          <w:rFonts w:hint="eastAsia" w:ascii="宋体" w:hAnsi="宋体" w:cs="宋体"/>
          <w:color w:val="auto"/>
          <w:kern w:val="0"/>
          <w:szCs w:val="21"/>
        </w:rPr>
        <w:t>需要先安装“广西政府采购云平台电子交易客户端”，并按照本招标文件和广西政府采购云平台的要求，通过“广西政府采购云平台电子交易客户端”编制并加密投标文件。</w:t>
      </w:r>
      <w:r>
        <w:rPr>
          <w:rFonts w:hint="eastAsia" w:ascii="宋体" w:hAnsi="宋体" w:cs="宋体"/>
          <w:color w:val="auto"/>
          <w:kern w:val="0"/>
          <w:szCs w:val="21"/>
          <w:lang w:val="en-US" w:eastAsia="zh-CN"/>
        </w:rPr>
        <w:t>投标人</w:t>
      </w:r>
      <w:r>
        <w:rPr>
          <w:rFonts w:hint="eastAsia" w:ascii="宋体" w:hAnsi="宋体" w:cs="宋体"/>
          <w:color w:val="auto"/>
          <w:kern w:val="0"/>
          <w:szCs w:val="21"/>
        </w:rPr>
        <w:t>未按规定编制并加密的投标文件，广西政府采购云平台将予以拒收。</w:t>
      </w:r>
    </w:p>
    <w:p w14:paraId="4369BA97">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rPr>
          <w:rFonts w:hint="eastAsia" w:ascii="宋体" w:hAnsi="宋体" w:cs="宋体"/>
          <w:color w:val="auto"/>
          <w:kern w:val="0"/>
          <w:szCs w:val="21"/>
        </w:rPr>
      </w:pPr>
      <w:r>
        <w:rPr>
          <w:rFonts w:hint="eastAsia" w:ascii="宋体" w:hAnsi="宋体" w:cs="宋体"/>
          <w:color w:val="auto"/>
          <w:kern w:val="0"/>
          <w:szCs w:val="21"/>
        </w:rPr>
        <w:t>“广西政府采购云平台电子交易客户端”请自行前往广西政府采购网下载并安装；下载路径：广西政府采购网（访问地址http://zfcg.gxzf.gov.cn/）—办事服务—下载专区；通过广西政府采购云平台参与在线投标时如遇平台技术问题详询95763。</w:t>
      </w:r>
    </w:p>
    <w:p w14:paraId="0AE2F877">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rPr>
          <w:rFonts w:hint="eastAsia" w:ascii="宋体" w:hAnsi="宋体" w:cs="宋体"/>
          <w:color w:val="auto"/>
          <w:kern w:val="0"/>
          <w:szCs w:val="21"/>
        </w:rPr>
      </w:pPr>
      <w:r>
        <w:rPr>
          <w:rFonts w:hint="eastAsia" w:ascii="宋体" w:hAnsi="宋体" w:cs="宋体"/>
          <w:color w:val="auto"/>
          <w:kern w:val="0"/>
          <w:szCs w:val="21"/>
        </w:rPr>
        <w:t>（2）为确保网上操作合法、有效和安全，</w:t>
      </w:r>
      <w:r>
        <w:rPr>
          <w:rFonts w:hint="eastAsia" w:ascii="宋体" w:hAnsi="宋体" w:cs="宋体"/>
          <w:color w:val="auto"/>
          <w:kern w:val="0"/>
          <w:szCs w:val="21"/>
          <w:lang w:val="en-US" w:eastAsia="zh-CN"/>
        </w:rPr>
        <w:t>投标人</w:t>
      </w:r>
      <w:r>
        <w:rPr>
          <w:rFonts w:hint="eastAsia" w:ascii="宋体" w:hAnsi="宋体" w:cs="宋体"/>
          <w:color w:val="auto"/>
          <w:kern w:val="0"/>
          <w:szCs w:val="21"/>
        </w:rPr>
        <w:t>应当在投标文件递交截止时间前完成在</w:t>
      </w:r>
      <w:r>
        <w:rPr>
          <w:rFonts w:hint="eastAsia" w:ascii="宋体" w:hAnsi="宋体"/>
          <w:color w:val="auto"/>
        </w:rPr>
        <w:t>广西政府采购云平台</w:t>
      </w:r>
      <w:r>
        <w:rPr>
          <w:rFonts w:hint="eastAsia" w:ascii="宋体" w:hAnsi="宋体" w:cs="宋体"/>
          <w:color w:val="auto"/>
          <w:kern w:val="0"/>
          <w:szCs w:val="21"/>
        </w:rPr>
        <w:t>的身份认证，确保在电子投标过程中能够对相关数据电文进行加密和使用电子签章。使用“广西政府采购云平台电子交易客户端”需要提前申领 CA 数字证书，申领流程详见附件《CA 证书办理操作指南》（完成 CA 数字证书办理预计一周左右，建议供应商获取招标文件后立即办理）；</w:t>
      </w:r>
    </w:p>
    <w:p w14:paraId="6D6B582E">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rPr>
          <w:rFonts w:hint="eastAsia" w:ascii="宋体" w:hAnsi="宋体" w:cs="宋体"/>
          <w:color w:val="auto"/>
          <w:kern w:val="0"/>
          <w:szCs w:val="21"/>
        </w:rPr>
      </w:pPr>
      <w:r>
        <w:rPr>
          <w:rFonts w:hint="eastAsia" w:ascii="宋体" w:hAnsi="宋体" w:cs="宋体"/>
          <w:color w:val="auto"/>
          <w:kern w:val="0"/>
          <w:szCs w:val="21"/>
        </w:rPr>
        <w:t>（3）</w:t>
      </w:r>
      <w:r>
        <w:rPr>
          <w:rFonts w:hint="eastAsia" w:ascii="宋体" w:hAnsi="宋体" w:cs="宋体"/>
          <w:color w:val="auto"/>
          <w:kern w:val="0"/>
          <w:szCs w:val="21"/>
          <w:lang w:val="en-US" w:eastAsia="zh-CN"/>
        </w:rPr>
        <w:t>投标人</w:t>
      </w:r>
      <w:r>
        <w:rPr>
          <w:rFonts w:hint="eastAsia" w:ascii="宋体" w:hAnsi="宋体" w:cs="宋体"/>
          <w:color w:val="auto"/>
          <w:kern w:val="0"/>
          <w:szCs w:val="21"/>
        </w:rPr>
        <w:t>应当在投标文件递交截止时间前，将生成的“电子加密投标文件”上传递交至广西政府采购云平台。投标文件递交截止时间前可以补充、修改或者撤回电子投标文件。补充或者修改电子投标文件的，应当先行撤回原文件，补充、修改后重新传输递交，投标文件递交截止时间前未完成传输的，视为撤回投标文件。</w:t>
      </w:r>
    </w:p>
    <w:p w14:paraId="0872C195">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rPr>
          <w:rFonts w:hint="eastAsia" w:ascii="宋体" w:hAnsi="宋体" w:cs="宋体"/>
          <w:color w:val="auto"/>
          <w:kern w:val="0"/>
          <w:szCs w:val="21"/>
        </w:rPr>
      </w:pPr>
      <w:r>
        <w:rPr>
          <w:rFonts w:hint="eastAsia" w:ascii="宋体" w:hAnsi="宋体" w:cs="宋体"/>
          <w:color w:val="auto"/>
          <w:kern w:val="0"/>
          <w:szCs w:val="21"/>
        </w:rPr>
        <w:t>（4）CA证书在线解密：供应商投标时，需携带制作投标文件时用来加密的有效数字证书（CA认证）登录广西政府采购云平台电子开标大厅现场按规定时间对加密的投标文件进行解密，否则后果自负。投标文件提交截止时间后，代理机构向各供应商发出电子加密投标文件【开始解密】通知，代理机构发起解密通知后30 分钟内，投标供应商必须在此时间段内登录广西政府采购云平台，用“项目采购-开标评标”功能完成电子投标文件的解密。若供应商在规定时间内无法解密或解密失败，视为投标无效。</w:t>
      </w:r>
    </w:p>
    <w:p w14:paraId="56968C37">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rPr>
          <w:rFonts w:hint="eastAsia" w:ascii="宋体" w:hAnsi="宋体" w:cs="宋体"/>
          <w:color w:val="auto"/>
          <w:kern w:val="0"/>
          <w:szCs w:val="21"/>
        </w:rPr>
      </w:pPr>
      <w:r>
        <w:rPr>
          <w:rFonts w:hint="eastAsia" w:ascii="宋体" w:hAnsi="宋体" w:cs="宋体"/>
          <w:color w:val="auto"/>
          <w:kern w:val="0"/>
          <w:szCs w:val="21"/>
        </w:rPr>
        <w:t>5.若对项目采购电子交易系统操作有疑问，可登陆广西政府采购云平台（https://www.gcy.zfcg.gxzf.gov.cn/），点击右侧咨询小采，获取采小蜜智能服务管家帮助，或拨打广西政府采购云平台服务热线95763获取热线服务帮助。</w:t>
      </w:r>
    </w:p>
    <w:p w14:paraId="4B9F87C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bCs/>
          <w:color w:val="auto"/>
          <w:sz w:val="24"/>
          <w:highlight w:val="none"/>
        </w:rPr>
      </w:pPr>
      <w:bookmarkStart w:id="47" w:name="_Toc28359085"/>
      <w:bookmarkStart w:id="48" w:name="_Toc35393796"/>
      <w:bookmarkStart w:id="49" w:name="_Toc28359008"/>
      <w:bookmarkStart w:id="50" w:name="_Toc35393627"/>
      <w:r>
        <w:rPr>
          <w:rFonts w:hint="eastAsia" w:ascii="宋体" w:hAnsi="宋体" w:cs="宋体"/>
          <w:b/>
          <w:bCs/>
          <w:color w:val="auto"/>
          <w:sz w:val="24"/>
        </w:rPr>
        <w:t>七、对本次</w:t>
      </w:r>
      <w:r>
        <w:rPr>
          <w:rFonts w:hint="eastAsia" w:ascii="宋体" w:hAnsi="宋体" w:cs="宋体"/>
          <w:b/>
          <w:bCs/>
          <w:color w:val="auto"/>
          <w:sz w:val="24"/>
          <w:highlight w:val="none"/>
        </w:rPr>
        <w:t>招标提出询问，请按以下方式联系。</w:t>
      </w:r>
      <w:bookmarkEnd w:id="47"/>
      <w:bookmarkEnd w:id="48"/>
      <w:bookmarkEnd w:id="49"/>
      <w:bookmarkEnd w:id="50"/>
    </w:p>
    <w:p w14:paraId="51C6BAB9">
      <w:pPr>
        <w:keepNext w:val="0"/>
        <w:keepLines w:val="0"/>
        <w:pageBreakBefore w:val="0"/>
        <w:widowControl w:val="0"/>
        <w:kinsoku/>
        <w:wordWrap/>
        <w:overflowPunct/>
        <w:topLinePunct w:val="0"/>
        <w:autoSpaceDE/>
        <w:autoSpaceDN/>
        <w:bidi w:val="0"/>
        <w:adjustRightInd/>
        <w:snapToGrid/>
        <w:spacing w:line="400" w:lineRule="exact"/>
        <w:ind w:firstLine="567" w:firstLineChars="27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1.采购人信息</w:t>
      </w:r>
    </w:p>
    <w:p w14:paraId="73C44AC4">
      <w:pPr>
        <w:keepNext w:val="0"/>
        <w:keepLines w:val="0"/>
        <w:pageBreakBefore w:val="0"/>
        <w:widowControl w:val="0"/>
        <w:kinsoku/>
        <w:wordWrap/>
        <w:overflowPunct/>
        <w:topLinePunct w:val="0"/>
        <w:autoSpaceDE/>
        <w:autoSpaceDN/>
        <w:bidi w:val="0"/>
        <w:adjustRightInd/>
        <w:snapToGrid/>
        <w:spacing w:line="400" w:lineRule="exact"/>
        <w:ind w:firstLine="567" w:firstLineChars="27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s="宋体"/>
          <w:color w:val="auto"/>
          <w:szCs w:val="21"/>
          <w:highlight w:val="none"/>
          <w:u w:val="single"/>
        </w:rPr>
        <w:t>广西壮族自治区中医骨伤科研究所</w:t>
      </w:r>
    </w:p>
    <w:p w14:paraId="63A7E438">
      <w:pPr>
        <w:keepNext w:val="0"/>
        <w:keepLines w:val="0"/>
        <w:pageBreakBefore w:val="0"/>
        <w:widowControl w:val="0"/>
        <w:kinsoku/>
        <w:wordWrap/>
        <w:overflowPunct/>
        <w:topLinePunct w:val="0"/>
        <w:autoSpaceDE/>
        <w:autoSpaceDN/>
        <w:bidi w:val="0"/>
        <w:adjustRightInd/>
        <w:snapToGrid/>
        <w:spacing w:line="400" w:lineRule="exact"/>
        <w:ind w:firstLine="567" w:firstLineChars="270"/>
        <w:jc w:val="left"/>
        <w:textAlignment w:val="auto"/>
        <w:rPr>
          <w:rFonts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eastAsia="宋体" w:cs="宋体"/>
          <w:color w:val="auto"/>
          <w:szCs w:val="21"/>
          <w:highlight w:val="none"/>
          <w:u w:val="single"/>
          <w:lang w:val="en-US" w:eastAsia="zh-CN"/>
        </w:rPr>
        <w:t>南宁市青秀区东葛路1号</w:t>
      </w:r>
    </w:p>
    <w:p w14:paraId="454DE360">
      <w:pPr>
        <w:keepNext w:val="0"/>
        <w:keepLines w:val="0"/>
        <w:pageBreakBefore w:val="0"/>
        <w:widowControl w:val="0"/>
        <w:kinsoku/>
        <w:wordWrap/>
        <w:overflowPunct/>
        <w:topLinePunct w:val="0"/>
        <w:autoSpaceDE/>
        <w:autoSpaceDN/>
        <w:bidi w:val="0"/>
        <w:adjustRightInd/>
        <w:snapToGrid/>
        <w:spacing w:line="400" w:lineRule="exact"/>
        <w:ind w:firstLine="567" w:firstLineChars="270"/>
        <w:jc w:val="left"/>
        <w:textAlignment w:val="auto"/>
        <w:rPr>
          <w:rFonts w:hint="default" w:ascii="宋体" w:hAnsi="宋体" w:eastAsia="宋体" w:cs="宋体"/>
          <w:color w:val="auto"/>
          <w:szCs w:val="21"/>
          <w:highlight w:val="none"/>
          <w:lang w:val="en-US" w:eastAsia="zh-CN"/>
        </w:rPr>
      </w:pPr>
      <w:r>
        <w:rPr>
          <w:rFonts w:ascii="宋体" w:hAnsi="宋体" w:cs="宋体"/>
          <w:color w:val="auto"/>
          <w:kern w:val="0"/>
          <w:szCs w:val="21"/>
          <w:highlight w:val="none"/>
        </w:rPr>
        <w:t>项目联系人：</w:t>
      </w:r>
      <w:r>
        <w:rPr>
          <w:rFonts w:hint="eastAsia" w:ascii="宋体" w:hAnsi="宋体" w:cs="宋体"/>
          <w:color w:val="auto"/>
          <w:szCs w:val="21"/>
          <w:highlight w:val="none"/>
          <w:u w:val="single"/>
          <w:lang w:val="en-US" w:eastAsia="zh-CN"/>
        </w:rPr>
        <w:t>邓老师</w:t>
      </w:r>
    </w:p>
    <w:p w14:paraId="02B309F7">
      <w:pPr>
        <w:keepNext w:val="0"/>
        <w:keepLines w:val="0"/>
        <w:pageBreakBefore w:val="0"/>
        <w:widowControl w:val="0"/>
        <w:kinsoku/>
        <w:wordWrap/>
        <w:overflowPunct/>
        <w:topLinePunct w:val="0"/>
        <w:autoSpaceDE/>
        <w:autoSpaceDN/>
        <w:bidi w:val="0"/>
        <w:adjustRightInd/>
        <w:snapToGrid/>
        <w:spacing w:line="400" w:lineRule="exact"/>
        <w:ind w:firstLine="567" w:firstLineChars="270"/>
        <w:jc w:val="left"/>
        <w:textAlignment w:val="auto"/>
        <w:rPr>
          <w:rFonts w:hint="default" w:ascii="宋体" w:hAnsi="宋体" w:cs="宋体"/>
          <w:color w:val="auto"/>
          <w:szCs w:val="21"/>
          <w:highlight w:val="none"/>
          <w:lang w:val="en-US"/>
        </w:rPr>
      </w:pPr>
      <w:r>
        <w:rPr>
          <w:rFonts w:hint="eastAsia" w:ascii="宋体" w:hAnsi="宋体" w:cs="宋体"/>
          <w:color w:val="auto"/>
          <w:szCs w:val="21"/>
          <w:highlight w:val="none"/>
        </w:rPr>
        <w:t>项目联系方式：</w:t>
      </w:r>
      <w:bookmarkStart w:id="51" w:name="_Toc28359009"/>
      <w:bookmarkStart w:id="52" w:name="_Toc28359086"/>
      <w:r>
        <w:rPr>
          <w:rFonts w:hint="eastAsia" w:ascii="宋体" w:hAnsi="宋体" w:cs="宋体"/>
          <w:color w:val="auto"/>
          <w:szCs w:val="21"/>
          <w:highlight w:val="none"/>
          <w:u w:val="single"/>
          <w:lang w:val="en-US" w:eastAsia="zh-CN"/>
        </w:rPr>
        <w:t>0771-2622251</w:t>
      </w:r>
    </w:p>
    <w:p w14:paraId="5D481CD0">
      <w:pPr>
        <w:keepNext w:val="0"/>
        <w:keepLines w:val="0"/>
        <w:pageBreakBefore w:val="0"/>
        <w:widowControl w:val="0"/>
        <w:kinsoku/>
        <w:wordWrap/>
        <w:overflowPunct/>
        <w:topLinePunct w:val="0"/>
        <w:autoSpaceDE/>
        <w:autoSpaceDN/>
        <w:bidi w:val="0"/>
        <w:adjustRightInd/>
        <w:snapToGrid/>
        <w:spacing w:line="400" w:lineRule="exact"/>
        <w:ind w:firstLine="567" w:firstLineChars="27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2.采购代理机构信息</w:t>
      </w:r>
      <w:bookmarkEnd w:id="51"/>
      <w:bookmarkEnd w:id="52"/>
    </w:p>
    <w:p w14:paraId="2E9D38A3">
      <w:pPr>
        <w:keepNext w:val="0"/>
        <w:keepLines w:val="0"/>
        <w:pageBreakBefore w:val="0"/>
        <w:widowControl w:val="0"/>
        <w:kinsoku/>
        <w:wordWrap/>
        <w:overflowPunct/>
        <w:topLinePunct w:val="0"/>
        <w:autoSpaceDE/>
        <w:autoSpaceDN/>
        <w:bidi w:val="0"/>
        <w:adjustRightInd/>
        <w:snapToGrid/>
        <w:spacing w:line="400" w:lineRule="exact"/>
        <w:ind w:firstLine="567" w:firstLineChars="270"/>
        <w:textAlignment w:val="auto"/>
        <w:rPr>
          <w:rFonts w:hint="eastAsia" w:ascii="宋体" w:hAnsi="宋体" w:cs="宋体"/>
          <w:color w:val="auto"/>
          <w:szCs w:val="21"/>
        </w:rPr>
      </w:pPr>
      <w:r>
        <w:rPr>
          <w:rFonts w:hint="eastAsia" w:ascii="宋体" w:hAnsi="宋体" w:cs="宋体"/>
          <w:color w:val="auto"/>
          <w:szCs w:val="21"/>
        </w:rPr>
        <w:t>名 称：</w:t>
      </w:r>
      <w:r>
        <w:rPr>
          <w:rFonts w:hint="eastAsia" w:ascii="宋体" w:hAnsi="宋体" w:cs="宋体"/>
          <w:color w:val="auto"/>
          <w:szCs w:val="21"/>
          <w:u w:val="single"/>
        </w:rPr>
        <w:t>广西中吉银工程项目管理有限公司</w:t>
      </w:r>
    </w:p>
    <w:p w14:paraId="3E60100B">
      <w:pPr>
        <w:keepNext w:val="0"/>
        <w:keepLines w:val="0"/>
        <w:pageBreakBefore w:val="0"/>
        <w:widowControl w:val="0"/>
        <w:kinsoku/>
        <w:wordWrap/>
        <w:overflowPunct/>
        <w:topLinePunct w:val="0"/>
        <w:autoSpaceDE/>
        <w:autoSpaceDN/>
        <w:bidi w:val="0"/>
        <w:adjustRightInd/>
        <w:snapToGrid/>
        <w:spacing w:line="400" w:lineRule="exact"/>
        <w:ind w:firstLine="567" w:firstLineChars="270"/>
        <w:textAlignment w:val="auto"/>
        <w:rPr>
          <w:rFonts w:hint="eastAsia" w:ascii="宋体" w:hAnsi="宋体" w:cs="宋体"/>
          <w:color w:val="auto"/>
          <w:sz w:val="21"/>
          <w:szCs w:val="21"/>
          <w:u w:val="single"/>
        </w:rPr>
      </w:pPr>
      <w:r>
        <w:rPr>
          <w:rFonts w:hint="eastAsia" w:ascii="宋体" w:hAnsi="宋体" w:cs="宋体"/>
          <w:color w:val="auto"/>
          <w:szCs w:val="21"/>
        </w:rPr>
        <w:t>地　址：</w:t>
      </w:r>
      <w:r>
        <w:rPr>
          <w:rFonts w:hint="eastAsia" w:ascii="宋体" w:hAnsi="宋体" w:cs="宋体"/>
          <w:color w:val="auto"/>
          <w:szCs w:val="21"/>
          <w:highlight w:val="none"/>
          <w:u w:val="single"/>
        </w:rPr>
        <w:t>南宁市青秀区民族大道</w:t>
      </w:r>
      <w:r>
        <w:rPr>
          <w:rFonts w:hint="eastAsia" w:ascii="宋体" w:hAnsi="宋体" w:cs="宋体"/>
          <w:color w:val="auto"/>
          <w:sz w:val="21"/>
          <w:szCs w:val="21"/>
          <w:highlight w:val="none"/>
          <w:u w:val="single"/>
        </w:rPr>
        <w:t>159号凤岭·新新家园A区2栋15层</w:t>
      </w:r>
    </w:p>
    <w:p w14:paraId="179E5015">
      <w:pPr>
        <w:pStyle w:val="28"/>
        <w:keepNext w:val="0"/>
        <w:keepLines w:val="0"/>
        <w:pageBreakBefore w:val="0"/>
        <w:widowControl w:val="0"/>
        <w:kinsoku/>
        <w:wordWrap/>
        <w:overflowPunct/>
        <w:topLinePunct w:val="0"/>
        <w:autoSpaceDE/>
        <w:autoSpaceDN/>
        <w:bidi w:val="0"/>
        <w:adjustRightInd/>
        <w:snapToGrid/>
        <w:spacing w:line="400" w:lineRule="exact"/>
        <w:ind w:firstLine="567" w:firstLineChars="270"/>
        <w:textAlignment w:val="auto"/>
        <w:rPr>
          <w:rFonts w:hint="default" w:hAnsi="宋体" w:cs="宋体"/>
          <w:color w:val="auto"/>
          <w:sz w:val="21"/>
          <w:szCs w:val="21"/>
          <w:lang w:val="en-US"/>
        </w:rPr>
      </w:pPr>
      <w:r>
        <w:rPr>
          <w:rFonts w:hint="eastAsia" w:hAnsi="宋体" w:cs="宋体"/>
          <w:color w:val="auto"/>
          <w:sz w:val="21"/>
          <w:szCs w:val="21"/>
        </w:rPr>
        <w:t>项目联系人（询问）：</w:t>
      </w:r>
      <w:r>
        <w:rPr>
          <w:rFonts w:hint="eastAsia" w:hAnsi="宋体" w:cs="宋体"/>
          <w:color w:val="auto"/>
          <w:sz w:val="21"/>
          <w:szCs w:val="21"/>
          <w:u w:val="single"/>
          <w:lang w:val="en-US" w:eastAsia="zh-CN"/>
        </w:rPr>
        <w:t>米凉求</w:t>
      </w:r>
    </w:p>
    <w:p w14:paraId="28490302">
      <w:pPr>
        <w:keepNext w:val="0"/>
        <w:keepLines w:val="0"/>
        <w:pageBreakBefore w:val="0"/>
        <w:widowControl w:val="0"/>
        <w:kinsoku/>
        <w:wordWrap/>
        <w:overflowPunct/>
        <w:topLinePunct w:val="0"/>
        <w:autoSpaceDE/>
        <w:autoSpaceDN/>
        <w:bidi w:val="0"/>
        <w:adjustRightInd/>
        <w:snapToGrid/>
        <w:spacing w:line="400" w:lineRule="exact"/>
        <w:ind w:firstLine="567" w:firstLineChars="270"/>
        <w:textAlignment w:val="auto"/>
        <w:rPr>
          <w:rFonts w:hint="default" w:ascii="宋体" w:hAnsi="宋体" w:eastAsia="宋体" w:cs="宋体"/>
          <w:color w:val="auto"/>
          <w:szCs w:val="21"/>
          <w:u w:val="single"/>
          <w:lang w:val="en-US" w:eastAsia="zh-CN"/>
        </w:rPr>
      </w:pPr>
      <w:r>
        <w:rPr>
          <w:rFonts w:hint="eastAsia" w:ascii="宋体" w:hAnsi="宋体" w:cs="宋体"/>
          <w:color w:val="auto"/>
          <w:sz w:val="21"/>
          <w:szCs w:val="21"/>
        </w:rPr>
        <w:t>项目联系方式（询问）：</w:t>
      </w:r>
      <w:r>
        <w:rPr>
          <w:rFonts w:hint="eastAsia" w:ascii="宋体" w:hAnsi="宋体" w:cs="宋体"/>
          <w:color w:val="auto"/>
          <w:sz w:val="21"/>
          <w:szCs w:val="21"/>
          <w:u w:val="single"/>
        </w:rPr>
        <w:t>0771-</w:t>
      </w:r>
      <w:r>
        <w:rPr>
          <w:rFonts w:hint="eastAsia" w:ascii="宋体" w:hAnsi="宋体" w:cs="宋体"/>
          <w:color w:val="auto"/>
          <w:sz w:val="21"/>
          <w:szCs w:val="21"/>
          <w:u w:val="single"/>
          <w:lang w:val="en-US" w:eastAsia="zh-CN"/>
        </w:rPr>
        <w:t>3146887、312082</w:t>
      </w:r>
      <w:r>
        <w:rPr>
          <w:rFonts w:hint="eastAsia" w:ascii="宋体" w:hAnsi="宋体" w:cs="宋体"/>
          <w:color w:val="auto"/>
          <w:szCs w:val="21"/>
          <w:u w:val="single"/>
          <w:lang w:val="en-US" w:eastAsia="zh-CN"/>
        </w:rPr>
        <w:t>0</w:t>
      </w:r>
    </w:p>
    <w:p w14:paraId="7BA4FB1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rPr>
      </w:pPr>
    </w:p>
    <w:p w14:paraId="2ED5DA52">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cs="宋体"/>
          <w:color w:val="auto"/>
          <w:szCs w:val="21"/>
        </w:rPr>
      </w:pPr>
      <w:r>
        <w:rPr>
          <w:rFonts w:hint="eastAsia" w:ascii="宋体" w:hAnsi="宋体" w:cs="宋体"/>
          <w:color w:val="auto"/>
          <w:szCs w:val="21"/>
          <w:u w:val="single"/>
        </w:rPr>
        <w:t>广西中吉银工程项目管理有限公司</w:t>
      </w:r>
    </w:p>
    <w:p w14:paraId="21819CAD">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right"/>
        <w:textAlignment w:val="auto"/>
        <w:rPr>
          <w:rFonts w:hint="eastAsia" w:ascii="宋体" w:hAnsi="宋体" w:cs="宋体"/>
          <w:color w:val="FF0000"/>
        </w:rPr>
      </w:pPr>
      <w:r>
        <w:rPr>
          <w:rFonts w:hint="eastAsia" w:ascii="宋体" w:hAnsi="宋体" w:cs="宋体"/>
          <w:color w:val="auto"/>
          <w:szCs w:val="21"/>
          <w:u w:val="single"/>
        </w:rPr>
        <w:t>202</w:t>
      </w:r>
      <w:r>
        <w:rPr>
          <w:rFonts w:hint="eastAsia" w:ascii="宋体" w:hAnsi="宋体" w:cs="宋体"/>
          <w:color w:val="auto"/>
          <w:szCs w:val="21"/>
          <w:u w:val="single"/>
          <w:lang w:val="en-US" w:eastAsia="zh-CN"/>
        </w:rPr>
        <w:t>6</w:t>
      </w:r>
      <w:r>
        <w:rPr>
          <w:rFonts w:hint="eastAsia" w:ascii="宋体" w:hAnsi="宋体" w:cs="宋体"/>
          <w:color w:val="auto"/>
          <w:szCs w:val="21"/>
        </w:rPr>
        <w:t>年</w:t>
      </w:r>
      <w:r>
        <w:rPr>
          <w:rFonts w:hint="eastAsia" w:ascii="宋体" w:hAnsi="宋体" w:cs="宋体"/>
          <w:color w:val="auto"/>
          <w:szCs w:val="21"/>
          <w:u w:val="single"/>
          <w:lang w:val="en-US" w:eastAsia="zh-CN"/>
        </w:rPr>
        <w:t>4</w:t>
      </w:r>
      <w:r>
        <w:rPr>
          <w:rFonts w:hint="eastAsia" w:ascii="宋体" w:hAnsi="宋体" w:cs="宋体"/>
          <w:color w:val="auto"/>
          <w:szCs w:val="21"/>
        </w:rPr>
        <w:t>月</w:t>
      </w:r>
      <w:r>
        <w:rPr>
          <w:rFonts w:hint="eastAsia" w:ascii="宋体" w:hAnsi="宋体" w:cs="宋体"/>
          <w:color w:val="auto"/>
          <w:szCs w:val="21"/>
          <w:u w:val="single"/>
          <w:lang w:val="en-US" w:eastAsia="zh-CN"/>
        </w:rPr>
        <w:t>8</w:t>
      </w:r>
      <w:r>
        <w:rPr>
          <w:rFonts w:hint="eastAsia" w:ascii="宋体" w:hAnsi="宋体" w:cs="宋体"/>
          <w:color w:val="auto"/>
          <w:szCs w:val="21"/>
        </w:rPr>
        <w:t>日</w:t>
      </w:r>
    </w:p>
    <w:p w14:paraId="7850CDB3">
      <w:pPr>
        <w:snapToGrid w:val="0"/>
        <w:spacing w:line="320" w:lineRule="exact"/>
        <w:ind w:left="238"/>
        <w:jc w:val="center"/>
        <w:rPr>
          <w:rFonts w:hint="eastAsia" w:ascii="宋体" w:hAnsi="宋体" w:cs="宋体"/>
          <w:color w:val="auto"/>
          <w:sz w:val="24"/>
          <w:szCs w:val="20"/>
        </w:rPr>
      </w:pPr>
      <w:r>
        <w:rPr>
          <w:rFonts w:hint="eastAsia" w:ascii="宋体" w:hAnsi="宋体" w:cs="宋体"/>
          <w:color w:val="auto"/>
          <w:sz w:val="24"/>
          <w:szCs w:val="20"/>
        </w:rPr>
        <w:br w:type="page"/>
      </w:r>
    </w:p>
    <w:p w14:paraId="5CA371CA">
      <w:pPr>
        <w:pStyle w:val="3"/>
        <w:keepNext w:val="0"/>
        <w:keepLines w:val="0"/>
        <w:jc w:val="center"/>
        <w:rPr>
          <w:rFonts w:hint="eastAsia" w:ascii="宋体" w:hAnsi="宋体" w:eastAsia="宋体" w:cs="宋体"/>
          <w:color w:val="auto"/>
          <w:sz w:val="30"/>
          <w:szCs w:val="30"/>
        </w:rPr>
      </w:pPr>
      <w:bookmarkStart w:id="53" w:name="_Toc19686830"/>
      <w:r>
        <w:rPr>
          <w:rFonts w:hint="eastAsia" w:ascii="宋体" w:hAnsi="宋体" w:eastAsia="宋体" w:cs="宋体"/>
          <w:color w:val="auto"/>
        </w:rPr>
        <w:t>第二章  招标项目采购需求</w:t>
      </w:r>
      <w:bookmarkEnd w:id="53"/>
    </w:p>
    <w:p w14:paraId="4777F495">
      <w:pPr>
        <w:spacing w:line="360" w:lineRule="auto"/>
        <w:jc w:val="left"/>
        <w:rPr>
          <w:rFonts w:hint="eastAsia" w:ascii="宋体" w:hAnsi="宋体" w:cs="宋体"/>
          <w:b/>
          <w:bCs/>
          <w:color w:val="auto"/>
          <w:szCs w:val="21"/>
        </w:rPr>
      </w:pPr>
      <w:bookmarkStart w:id="54" w:name="_Toc254970490"/>
      <w:bookmarkStart w:id="55" w:name="_Toc254970631"/>
      <w:r>
        <w:rPr>
          <w:rFonts w:hint="eastAsia" w:ascii="宋体" w:hAnsi="宋体" w:cs="宋体"/>
          <w:b/>
          <w:bCs/>
          <w:color w:val="auto"/>
          <w:szCs w:val="21"/>
        </w:rPr>
        <w:t>说明：</w:t>
      </w:r>
    </w:p>
    <w:p w14:paraId="6B40B1E7">
      <w:pPr>
        <w:keepNext w:val="0"/>
        <w:keepLines w:val="0"/>
        <w:pageBreakBefore w:val="0"/>
        <w:widowControl w:val="0"/>
        <w:kinsoku/>
        <w:wordWrap/>
        <w:overflowPunct/>
        <w:topLinePunct w:val="0"/>
        <w:autoSpaceDE/>
        <w:autoSpaceDN/>
        <w:bidi w:val="0"/>
        <w:adjustRightInd/>
        <w:snapToGrid/>
        <w:spacing w:line="360" w:lineRule="auto"/>
        <w:ind w:firstLine="426" w:firstLineChars="202"/>
        <w:jc w:val="left"/>
        <w:textAlignment w:val="auto"/>
        <w:rPr>
          <w:rFonts w:hint="eastAsia" w:ascii="宋体" w:hAnsi="宋体" w:cs="宋体"/>
          <w:b/>
          <w:bCs/>
          <w:color w:val="auto"/>
          <w:highlight w:val="none"/>
        </w:rPr>
      </w:pPr>
      <w:r>
        <w:rPr>
          <w:rFonts w:hint="eastAsia" w:ascii="宋体" w:hAnsi="宋体" w:cs="宋体"/>
          <w:b/>
          <w:bCs/>
          <w:color w:val="auto"/>
          <w:highlight w:val="none"/>
        </w:rPr>
        <w:t>1.本需求表中标注“★”的条款均为实质性要求或条件，投标人必须作出满足或者优于该要求和条件的承诺（另有要求的除外），否则投标无效。</w:t>
      </w:r>
      <w:r>
        <w:rPr>
          <w:rFonts w:hint="eastAsia"/>
          <w:b/>
          <w:bCs/>
          <w:dstrike w:val="0"/>
          <w:color w:val="auto"/>
          <w:sz w:val="21"/>
          <w:highlight w:val="none"/>
          <w:lang w:val="en-US" w:eastAsia="zh-CN"/>
        </w:rPr>
        <w:t>标注“▲”条款为“重要技术指标”，会影响投标人的评审得分情况，但不作为无效投标条款。</w:t>
      </w:r>
    </w:p>
    <w:p w14:paraId="72DA2A57">
      <w:pPr>
        <w:keepNext w:val="0"/>
        <w:keepLines w:val="0"/>
        <w:pageBreakBefore w:val="0"/>
        <w:widowControl w:val="0"/>
        <w:kinsoku/>
        <w:wordWrap/>
        <w:overflowPunct/>
        <w:topLinePunct w:val="0"/>
        <w:autoSpaceDE/>
        <w:autoSpaceDN/>
        <w:bidi w:val="0"/>
        <w:adjustRightInd/>
        <w:snapToGrid/>
        <w:spacing w:line="360" w:lineRule="auto"/>
        <w:ind w:firstLine="426" w:firstLineChars="202"/>
        <w:jc w:val="left"/>
        <w:textAlignment w:val="auto"/>
        <w:rPr>
          <w:rFonts w:hint="eastAsia" w:ascii="宋体" w:hAnsi="宋体" w:eastAsia="宋体" w:cs="宋体"/>
          <w:b/>
          <w:bCs/>
          <w:color w:val="auto"/>
        </w:rPr>
      </w:pPr>
      <w:r>
        <w:rPr>
          <w:rFonts w:hint="eastAsia" w:ascii="宋体" w:hAnsi="宋体" w:cs="宋体"/>
          <w:b/>
          <w:bCs/>
          <w:color w:val="auto"/>
          <w:lang w:val="en-US" w:eastAsia="zh-CN"/>
        </w:rPr>
        <w:t>2.</w:t>
      </w:r>
      <w:r>
        <w:rPr>
          <w:rFonts w:hint="eastAsia" w:ascii="宋体" w:hAnsi="宋体" w:cs="宋体"/>
          <w:b/>
          <w:bCs/>
          <w:color w:val="auto"/>
        </w:rPr>
        <w:t>投标人所投标货物或服务如有国家相关标准、行业标准、地方标准或者其他标准、规范要求的按相关规定执行，若执行标准有修改或更新按最新版本执行。</w:t>
      </w:r>
    </w:p>
    <w:p w14:paraId="1A8C2CDB">
      <w:pPr>
        <w:keepNext w:val="0"/>
        <w:keepLines w:val="0"/>
        <w:pageBreakBefore w:val="0"/>
        <w:widowControl w:val="0"/>
        <w:kinsoku/>
        <w:wordWrap/>
        <w:overflowPunct/>
        <w:topLinePunct w:val="0"/>
        <w:autoSpaceDE/>
        <w:autoSpaceDN/>
        <w:bidi w:val="0"/>
        <w:adjustRightInd/>
        <w:snapToGrid/>
        <w:spacing w:line="360" w:lineRule="auto"/>
        <w:ind w:firstLine="426" w:firstLineChars="202"/>
        <w:jc w:val="left"/>
        <w:textAlignment w:val="auto"/>
        <w:rPr>
          <w:rFonts w:hint="eastAsia" w:ascii="宋体" w:hAnsi="宋体" w:eastAsia="宋体" w:cs="宋体"/>
          <w:b/>
          <w:bCs/>
          <w:color w:val="auto"/>
        </w:rPr>
      </w:pPr>
      <w:r>
        <w:rPr>
          <w:rFonts w:hint="eastAsia" w:ascii="宋体" w:hAnsi="宋体" w:eastAsia="宋体" w:cs="宋体"/>
          <w:b/>
          <w:bCs/>
          <w:color w:val="auto"/>
          <w:lang w:val="en-US" w:eastAsia="zh-CN"/>
        </w:rPr>
        <w:t xml:space="preserve">3.服务项目中伴随货物的，根据《财政部发展改革委生态环境部市场监管总局关于调整优化节能产品、环境标志产品政府采购执行机制的通知》（财库〔2019〕9 号）和《关于印发节能产品政府采购品目清单的通知》（财库〔2019〕19 号）的规定，采购需求中的产品属于节能产品政府采购品目清单内标注“★”的，投标人的投标货物必须使用政府强制采购的节能产品，投标人必须在投标文件中提供所投标产品的节能产品认证证书扫描件（加盖投标人电子公章），否则投标文件作无效处理。如本项目包含的货物属于品目清单内非标注“★”的产品时，应优先采购。 </w:t>
      </w:r>
    </w:p>
    <w:p w14:paraId="2F84D76F">
      <w:pPr>
        <w:keepNext w:val="0"/>
        <w:keepLines w:val="0"/>
        <w:pageBreakBefore w:val="0"/>
        <w:widowControl w:val="0"/>
        <w:kinsoku/>
        <w:wordWrap/>
        <w:overflowPunct/>
        <w:topLinePunct w:val="0"/>
        <w:autoSpaceDE/>
        <w:autoSpaceDN/>
        <w:bidi w:val="0"/>
        <w:adjustRightInd/>
        <w:snapToGrid/>
        <w:spacing w:line="360" w:lineRule="auto"/>
        <w:ind w:firstLine="426" w:firstLineChars="202"/>
        <w:jc w:val="left"/>
        <w:textAlignment w:val="auto"/>
        <w:rPr>
          <w:rFonts w:hint="eastAsia" w:ascii="宋体" w:hAnsi="宋体" w:cs="宋体"/>
          <w:b/>
          <w:bCs/>
          <w:color w:val="auto"/>
          <w:szCs w:val="21"/>
        </w:rPr>
      </w:pPr>
      <w:r>
        <w:rPr>
          <w:rFonts w:hint="eastAsia" w:ascii="宋体" w:hAnsi="宋体" w:cs="宋体"/>
          <w:b/>
          <w:bCs/>
          <w:color w:val="auto"/>
          <w:lang w:val="en-US" w:eastAsia="zh-CN"/>
        </w:rPr>
        <w:t>4.</w:t>
      </w:r>
      <w:r>
        <w:rPr>
          <w:rFonts w:hint="eastAsia" w:ascii="宋体" w:hAnsi="宋体" w:cs="宋体"/>
          <w:b/>
          <w:bCs/>
          <w:color w:val="auto"/>
        </w:rPr>
        <w:t>采购标的对应的中小企业划分标准所属行业：根据《关于印发中小企业划型标准规定的通知》（工信部联企业〔2011〕300号），本次采购标的属于：</w:t>
      </w:r>
      <w:r>
        <w:rPr>
          <w:rFonts w:hint="eastAsia" w:ascii="宋体" w:hAnsi="宋体"/>
          <w:b/>
          <w:bCs/>
          <w:color w:val="auto"/>
          <w:szCs w:val="21"/>
          <w:u w:val="single"/>
        </w:rPr>
        <w:t>软件和信息技术服务业</w:t>
      </w:r>
      <w:r>
        <w:rPr>
          <w:rFonts w:hint="eastAsia" w:ascii="宋体" w:hAnsi="宋体" w:cs="宋体"/>
          <w:b/>
          <w:bCs/>
          <w:color w:val="auto"/>
          <w:szCs w:val="21"/>
        </w:rPr>
        <w:t>。</w:t>
      </w:r>
    </w:p>
    <w:p w14:paraId="7E18EDD1">
      <w:pPr>
        <w:spacing w:line="360" w:lineRule="auto"/>
        <w:ind w:firstLine="308" w:firstLineChars="147"/>
        <w:jc w:val="center"/>
        <w:rPr>
          <w:rFonts w:hint="eastAsia" w:ascii="宋体" w:hAnsi="宋体" w:cs="宋体"/>
          <w:bCs/>
          <w:color w:val="auto"/>
          <w:szCs w:val="21"/>
          <w:u w:val="none"/>
          <w:lang w:val="en-US" w:eastAsia="zh-CN"/>
        </w:rPr>
      </w:pPr>
    </w:p>
    <w:p w14:paraId="1BD5E96B">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cs="宋体"/>
          <w:bCs/>
          <w:color w:val="auto"/>
          <w:sz w:val="18"/>
          <w:szCs w:val="18"/>
          <w:u w:val="none"/>
          <w:lang w:val="en-US" w:eastAsia="zh-CN"/>
        </w:rPr>
      </w:pPr>
    </w:p>
    <w:p w14:paraId="340FB20D">
      <w:pPr>
        <w:spacing w:line="400" w:lineRule="exact"/>
        <w:rPr>
          <w:rFonts w:hint="eastAsia" w:ascii="宋体" w:hAnsi="Times New Roman" w:eastAsia="宋体" w:cs="Times New Roman"/>
          <w:b/>
          <w:bCs/>
          <w:sz w:val="28"/>
          <w:szCs w:val="28"/>
        </w:rPr>
      </w:pPr>
      <w:r>
        <w:rPr>
          <w:rFonts w:hint="eastAsia" w:ascii="宋体"/>
          <w:b/>
          <w:bCs/>
          <w:sz w:val="28"/>
          <w:szCs w:val="28"/>
        </w:rPr>
        <w:t>本项目采购预</w:t>
      </w:r>
      <w:r>
        <w:rPr>
          <w:rFonts w:hint="eastAsia" w:ascii="宋体" w:hAnsi="Times New Roman" w:eastAsia="宋体" w:cs="Times New Roman"/>
          <w:b/>
          <w:bCs/>
          <w:sz w:val="28"/>
          <w:szCs w:val="28"/>
        </w:rPr>
        <w:t>算：4639430.00元（最高限价金额：4639430</w:t>
      </w:r>
      <w:r>
        <w:rPr>
          <w:rFonts w:hint="eastAsia" w:ascii="宋体" w:hAnsi="Times New Roman" w:eastAsia="宋体" w:cs="Times New Roman"/>
          <w:b/>
          <w:bCs/>
          <w:sz w:val="28"/>
          <w:szCs w:val="28"/>
          <w:lang w:val="en-US" w:eastAsia="zh-CN"/>
        </w:rPr>
        <w:t>.00</w:t>
      </w:r>
      <w:r>
        <w:rPr>
          <w:rFonts w:hint="eastAsia" w:ascii="宋体" w:hAnsi="Times New Roman" w:eastAsia="宋体" w:cs="Times New Roman"/>
          <w:b/>
          <w:bCs/>
          <w:sz w:val="28"/>
          <w:szCs w:val="28"/>
        </w:rPr>
        <w:t>元）</w:t>
      </w:r>
    </w:p>
    <w:tbl>
      <w:tblPr>
        <w:tblStyle w:val="51"/>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866"/>
        <w:gridCol w:w="1134"/>
        <w:gridCol w:w="7278"/>
      </w:tblGrid>
      <w:tr w14:paraId="2D975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noWrap w:val="0"/>
            <w:vAlign w:val="center"/>
          </w:tcPr>
          <w:p w14:paraId="56DC456C">
            <w:pPr>
              <w:jc w:val="center"/>
              <w:rPr>
                <w:b/>
              </w:rPr>
            </w:pPr>
            <w:r>
              <w:rPr>
                <w:rFonts w:hint="eastAsia"/>
                <w:b/>
              </w:rPr>
              <w:t>项号</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3567052F">
            <w:pPr>
              <w:jc w:val="center"/>
              <w:rPr>
                <w:rFonts w:hint="eastAsia" w:eastAsia="宋体"/>
                <w:b/>
                <w:lang w:val="en-US" w:eastAsia="zh-CN"/>
              </w:rPr>
            </w:pPr>
            <w:r>
              <w:rPr>
                <w:rFonts w:hint="eastAsia"/>
                <w:b/>
                <w:lang w:val="en-US" w:eastAsia="zh-CN"/>
              </w:rPr>
              <w:t>标的</w:t>
            </w:r>
          </w:p>
          <w:p w14:paraId="43AFBCDA">
            <w:pPr>
              <w:jc w:val="center"/>
              <w:rPr>
                <w:b/>
              </w:rPr>
            </w:pPr>
            <w:r>
              <w:rPr>
                <w:rFonts w:hint="eastAsia"/>
                <w:b/>
              </w:rPr>
              <w:t>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A19A2EC">
            <w:pPr>
              <w:jc w:val="center"/>
              <w:rPr>
                <w:rFonts w:hint="eastAsia" w:eastAsia="宋体"/>
                <w:b/>
                <w:color w:val="FF00FF"/>
                <w:lang w:val="en-US" w:eastAsia="zh-CN"/>
              </w:rPr>
            </w:pPr>
            <w:r>
              <w:rPr>
                <w:rFonts w:hint="eastAsia"/>
                <w:b/>
              </w:rPr>
              <w:t>数量</w:t>
            </w:r>
            <w:r>
              <w:rPr>
                <w:rFonts w:hint="eastAsia"/>
                <w:b/>
                <w:lang w:val="en-US" w:eastAsia="zh-CN"/>
              </w:rPr>
              <w:t>及</w:t>
            </w:r>
          </w:p>
          <w:p w14:paraId="35119E7B">
            <w:pPr>
              <w:jc w:val="center"/>
              <w:rPr>
                <w:b/>
              </w:rPr>
            </w:pPr>
            <w:r>
              <w:rPr>
                <w:rFonts w:hint="eastAsia"/>
                <w:b/>
              </w:rPr>
              <w:t>单位</w:t>
            </w:r>
          </w:p>
        </w:tc>
        <w:tc>
          <w:tcPr>
            <w:tcW w:w="7278" w:type="dxa"/>
            <w:tcBorders>
              <w:top w:val="single" w:color="auto" w:sz="4" w:space="0"/>
              <w:left w:val="single" w:color="auto" w:sz="4" w:space="0"/>
              <w:bottom w:val="single" w:color="auto" w:sz="4" w:space="0"/>
              <w:right w:val="single" w:color="auto" w:sz="4" w:space="0"/>
            </w:tcBorders>
            <w:noWrap w:val="0"/>
            <w:vAlign w:val="center"/>
          </w:tcPr>
          <w:p w14:paraId="5B9CA7DF">
            <w:pPr>
              <w:jc w:val="center"/>
              <w:rPr>
                <w:b/>
              </w:rPr>
            </w:pPr>
            <w:r>
              <w:rPr>
                <w:rFonts w:hint="eastAsia"/>
                <w:b/>
              </w:rPr>
              <w:t>服务内容和要求</w:t>
            </w:r>
          </w:p>
        </w:tc>
      </w:tr>
      <w:tr w14:paraId="027EE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noWrap w:val="0"/>
            <w:vAlign w:val="center"/>
          </w:tcPr>
          <w:p w14:paraId="6A6136C3">
            <w:pPr>
              <w:ind w:firstLine="105" w:firstLineChars="50"/>
              <w:rPr>
                <w:rFonts w:hint="eastAsia"/>
              </w:rPr>
            </w:pPr>
            <w:r>
              <w:rPr>
                <w:rFonts w:hint="eastAsia" w:cs="Arial"/>
                <w:color w:val="000000"/>
              </w:rPr>
              <w:t>1</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719D16EB">
            <w:pPr>
              <w:spacing w:line="400" w:lineRule="exact"/>
              <w:jc w:val="center"/>
              <w:rPr>
                <w:rFonts w:hint="eastAsia"/>
              </w:rPr>
            </w:pPr>
            <w:r>
              <w:rPr>
                <w:rFonts w:hint="eastAsia"/>
              </w:rPr>
              <w:t>广西骨伤医院智慧医院建设（一期）项目</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06D59D8">
            <w:pPr>
              <w:spacing w:line="400" w:lineRule="exact"/>
              <w:jc w:val="center"/>
              <w:rPr>
                <w:rFonts w:hint="eastAsia" w:eastAsia="宋体"/>
                <w:lang w:val="en-US" w:eastAsia="zh-CN"/>
              </w:rPr>
            </w:pPr>
            <w:r>
              <w:rPr>
                <w:rFonts w:hint="eastAsia"/>
                <w:lang w:val="en-US" w:eastAsia="zh-CN"/>
              </w:rPr>
              <w:t>1套</w:t>
            </w:r>
          </w:p>
        </w:tc>
        <w:tc>
          <w:tcPr>
            <w:tcW w:w="7278" w:type="dxa"/>
            <w:tcBorders>
              <w:top w:val="single" w:color="auto" w:sz="4" w:space="0"/>
              <w:left w:val="single" w:color="auto" w:sz="4" w:space="0"/>
              <w:bottom w:val="single" w:color="auto" w:sz="4" w:space="0"/>
              <w:right w:val="single" w:color="auto" w:sz="4" w:space="0"/>
            </w:tcBorders>
            <w:noWrap w:val="0"/>
            <w:vAlign w:val="top"/>
          </w:tcPr>
          <w:p w14:paraId="0D88AD7F">
            <w:pPr>
              <w:keepNext w:val="0"/>
              <w:keepLines w:val="0"/>
              <w:pageBreakBefore w:val="0"/>
              <w:widowControl w:val="0"/>
              <w:numPr>
                <w:ilvl w:val="0"/>
                <w:numId w:val="4"/>
              </w:numPr>
              <w:kinsoku/>
              <w:wordWrap/>
              <w:overflowPunct/>
              <w:topLinePunct w:val="0"/>
              <w:autoSpaceDE/>
              <w:autoSpaceDN/>
              <w:bidi w:val="0"/>
              <w:adjustRightInd/>
              <w:snapToGrid/>
              <w:spacing w:line="400" w:lineRule="exact"/>
              <w:jc w:val="both"/>
              <w:textAlignment w:val="auto"/>
              <w:rPr>
                <w:rFonts w:hint="eastAsia" w:ascii="宋体" w:hAnsi="宋体" w:cs="宋体"/>
                <w:b/>
                <w:bCs w:val="0"/>
                <w:szCs w:val="21"/>
              </w:rPr>
            </w:pPr>
            <w:r>
              <w:rPr>
                <w:rFonts w:hint="eastAsia" w:ascii="宋体" w:hAnsi="宋体" w:cs="宋体"/>
                <w:b/>
                <w:bCs w:val="0"/>
                <w:szCs w:val="21"/>
              </w:rPr>
              <w:t>项目概况</w:t>
            </w:r>
          </w:p>
          <w:p w14:paraId="0F40225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color w:val="000000"/>
                <w:sz w:val="21"/>
                <w:szCs w:val="21"/>
              </w:rPr>
            </w:pPr>
            <w:r>
              <w:rPr>
                <w:rFonts w:hint="eastAsia"/>
                <w:color w:val="000000"/>
                <w:sz w:val="21"/>
                <w:szCs w:val="21"/>
              </w:rPr>
              <w:t>在国家推动公立医院高质量发展及广西完善医疗卫生服务体系的政策背景下，智慧医院建设已成为医院发展的核心支撑。依据国家《关于推动公立医院高质量发展的意见》及广西《关于进一步完善广西医疗卫生服务体系的实施方案》、《广西医疗卫生服务体系“十四五”规划》，广西骨伤医院将建设以电子病历、智慧服务、智慧管理“三位一体”为核心的智慧医院信息系统。</w:t>
            </w:r>
          </w:p>
          <w:p w14:paraId="077B703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Times New Roman" w:hAnsi="Times New Roman" w:eastAsia="宋体" w:cs="Times New Roman"/>
                <w:b/>
                <w:bCs/>
                <w:color w:val="000000"/>
                <w:sz w:val="21"/>
                <w:szCs w:val="21"/>
                <w:lang w:eastAsia="zh-CN"/>
              </w:rPr>
            </w:pPr>
            <w:r>
              <w:rPr>
                <w:rFonts w:hint="eastAsia"/>
                <w:b/>
                <w:bCs/>
                <w:color w:val="000000"/>
                <w:sz w:val="21"/>
                <w:szCs w:val="21"/>
                <w:lang w:val="en-US" w:eastAsia="zh-CN"/>
              </w:rPr>
              <w:t>二、</w:t>
            </w:r>
            <w:r>
              <w:rPr>
                <w:rFonts w:hint="eastAsia" w:ascii="Times New Roman" w:hAnsi="Times New Roman" w:eastAsia="宋体" w:cs="Times New Roman"/>
                <w:b/>
                <w:bCs/>
                <w:color w:val="000000"/>
                <w:sz w:val="21"/>
                <w:szCs w:val="21"/>
              </w:rPr>
              <w:t>项目要求</w:t>
            </w:r>
          </w:p>
          <w:p w14:paraId="026C374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1.广西骨伤医院智慧医院建设项目</w:t>
            </w:r>
            <w:r>
              <w:rPr>
                <w:rFonts w:hint="eastAsia" w:ascii="Times New Roman" w:hAnsi="Times New Roman" w:eastAsia="宋体" w:cs="Times New Roman"/>
                <w:color w:val="000000"/>
                <w:sz w:val="21"/>
                <w:szCs w:val="21"/>
                <w:lang w:val="en-US" w:eastAsia="zh-CN"/>
              </w:rPr>
              <w:t>总体建设目标：</w:t>
            </w:r>
            <w:r>
              <w:rPr>
                <w:rFonts w:hint="eastAsia" w:ascii="Times New Roman" w:hAnsi="Times New Roman" w:eastAsia="宋体" w:cs="Times New Roman"/>
                <w:color w:val="000000"/>
                <w:sz w:val="21"/>
                <w:szCs w:val="21"/>
              </w:rPr>
              <w:t>以国家电子病历系统功能应用水平分级评价和医疗健康信息互联互通标准化成熟度测评为指引，旨在将广西骨伤医院建设成为国内先进、区内领先的智慧医院。远期目标为：通过</w:t>
            </w:r>
            <w:r>
              <w:rPr>
                <w:rFonts w:hint="eastAsia" w:ascii="Times New Roman" w:hAnsi="Times New Roman" w:eastAsia="宋体" w:cs="Times New Roman"/>
                <w:color w:val="000000"/>
                <w:sz w:val="21"/>
                <w:szCs w:val="21"/>
                <w:lang w:val="en-US" w:eastAsia="zh-CN"/>
              </w:rPr>
              <w:t>2</w:t>
            </w:r>
            <w:r>
              <w:rPr>
                <w:rFonts w:hint="eastAsia" w:ascii="Times New Roman" w:hAnsi="Times New Roman" w:eastAsia="宋体" w:cs="Times New Roman"/>
                <w:color w:val="000000"/>
                <w:sz w:val="21"/>
                <w:szCs w:val="21"/>
              </w:rPr>
              <w:t>-</w:t>
            </w:r>
            <w:r>
              <w:rPr>
                <w:rFonts w:hint="eastAsia" w:ascii="Times New Roman" w:hAnsi="Times New Roman" w:eastAsia="宋体" w:cs="Times New Roman"/>
                <w:color w:val="000000"/>
                <w:sz w:val="21"/>
                <w:szCs w:val="21"/>
                <w:lang w:val="en-US" w:eastAsia="zh-CN"/>
              </w:rPr>
              <w:t>4</w:t>
            </w:r>
            <w:r>
              <w:rPr>
                <w:rFonts w:hint="eastAsia" w:ascii="Times New Roman" w:hAnsi="Times New Roman" w:eastAsia="宋体" w:cs="Times New Roman"/>
                <w:color w:val="000000"/>
                <w:sz w:val="21"/>
                <w:szCs w:val="21"/>
              </w:rPr>
              <w:t>年分期建设，达到国家电子病历系统应用水平分级评价五级和国家医疗健康信息互联互通标准化成熟度测评四级甲等水平，实现临床诊疗全流程闭环、数据资产统一管理、医疗质量智能管控及患者服务便捷高效。本期项目目标</w:t>
            </w:r>
            <w:r>
              <w:rPr>
                <w:rFonts w:hint="eastAsia" w:ascii="Times New Roman" w:hAnsi="Times New Roman" w:eastAsia="宋体" w:cs="Times New Roman"/>
                <w:color w:val="000000"/>
                <w:sz w:val="21"/>
                <w:szCs w:val="21"/>
                <w:lang w:eastAsia="zh-CN"/>
              </w:rPr>
              <w:t>：</w:t>
            </w:r>
            <w:r>
              <w:rPr>
                <w:rFonts w:hint="eastAsia" w:ascii="Times New Roman" w:hAnsi="Times New Roman" w:eastAsia="宋体" w:cs="Times New Roman"/>
                <w:color w:val="000000"/>
                <w:sz w:val="21"/>
                <w:szCs w:val="21"/>
              </w:rPr>
              <w:t>以通过国家电子病历系统应用水平分级评价四级为目标进行建设。系统设计须具备平滑升级至五级的扩展能力，投标人须在技术方案中详细阐述从四级向五级升级的演进路径、建设内容及保障措施，避免未来重复投资</w:t>
            </w:r>
            <w:r>
              <w:rPr>
                <w:rFonts w:hint="eastAsia" w:ascii="Times New Roman" w:hAnsi="Times New Roman" w:eastAsia="宋体" w:cs="Times New Roman"/>
                <w:color w:val="000000"/>
                <w:sz w:val="21"/>
                <w:szCs w:val="21"/>
                <w:lang w:val="en-US" w:eastAsia="zh-CN"/>
              </w:rPr>
              <w:t>建设</w:t>
            </w:r>
            <w:r>
              <w:rPr>
                <w:rFonts w:hint="eastAsia" w:ascii="Times New Roman" w:hAnsi="Times New Roman" w:eastAsia="宋体" w:cs="Times New Roman"/>
                <w:color w:val="000000"/>
                <w:sz w:val="21"/>
                <w:szCs w:val="21"/>
              </w:rPr>
              <w:t>。</w:t>
            </w:r>
          </w:p>
          <w:p w14:paraId="7075FF2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2.标准规范建设：建立总体标准、应用规范、数据类标准等，涵盖数据元规范、代码规范、医院信息互联互通标准等，确保系统建设标准化、规范化。</w:t>
            </w:r>
          </w:p>
          <w:p w14:paraId="4D9472A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3</w:t>
            </w:r>
            <w:r>
              <w:rPr>
                <w:rFonts w:hint="eastAsia" w:ascii="Times New Roman" w:hAnsi="Times New Roman" w:eastAsia="宋体" w:cs="Times New Roman"/>
                <w:color w:val="000000"/>
                <w:sz w:val="21"/>
                <w:szCs w:val="21"/>
                <w:lang w:val="en-US" w:eastAsia="zh-CN"/>
              </w:rPr>
              <w:t>.</w:t>
            </w:r>
            <w:r>
              <w:rPr>
                <w:rFonts w:hint="eastAsia" w:ascii="Times New Roman" w:hAnsi="Times New Roman" w:eastAsia="宋体" w:cs="Times New Roman"/>
                <w:color w:val="000000"/>
                <w:sz w:val="21"/>
                <w:szCs w:val="21"/>
              </w:rPr>
              <w:t>应用系统建设：包括便民服务（全资源预约平台）、医疗服务（门急诊医疗、住院医疗、护理业务、医技管理、临床决策等系统）、医疗管理（医务管理、药事管理、数据上报、院内协同等系统）、运营管理（财务管理系统）、运维管理（综合查询报表、实施管理等系统）。</w:t>
            </w:r>
          </w:p>
          <w:p w14:paraId="08F936B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4.第三方接口建设：对接国家医保接口、国家传染病智能监测预警前置软件接口及广西全民健康信息平台接口等，实现与上级系统的数据共享。</w:t>
            </w:r>
          </w:p>
          <w:p w14:paraId="0B00289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5.电子病历评级支持：提供数据质量工具和电子病历四级评级过程支持服务，助力医院通过评级审核。</w:t>
            </w:r>
          </w:p>
          <w:p w14:paraId="63DE571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6.下属医疗机构推广：将HIS、BMR、LIS等基础医疗业务模块延伸至两个社区医疗机构。</w:t>
            </w:r>
          </w:p>
          <w:p w14:paraId="66878E8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7.安全与运维保障：完善网络安全、密码应用体系，建立健全运行维护机制，保障系统稳定安全运行。</w:t>
            </w:r>
          </w:p>
          <w:p w14:paraId="3F6ACE5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8.全系列系统技术架构要求：须采用基于浏览器的B/S（Browser/Server）多层体系架构，客户端零安装、零维护，支持通过主流浏览器访问。系统应天然支持响应式布局或提供独立的移动端门户，适配移动查房、床旁护理等场景。</w:t>
            </w:r>
          </w:p>
          <w:p w14:paraId="1385910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9.根据国家战略及医院信息化国产替代的明确方向，本项目中全系列系统须满足国产化信创要求。</w:t>
            </w:r>
          </w:p>
          <w:p w14:paraId="4B51C17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000000"/>
                <w:sz w:val="21"/>
                <w:szCs w:val="21"/>
              </w:rPr>
              <w:t>10.本项目建设须严格遵循GB/T 22239-2019《信息安全技术网络安全等级保护基本要求》 及GB/T 28448-2019《信息安全技术 网络安全等级保护测评要求》，项目涉及的核心业务系统须满足第三级安全保护能力要求。根据《密码法》、GB/T 39786、等</w:t>
            </w:r>
            <w:r>
              <w:rPr>
                <w:rFonts w:hint="eastAsia" w:ascii="Times New Roman" w:hAnsi="Times New Roman" w:eastAsia="宋体" w:cs="Times New Roman"/>
                <w:color w:val="auto"/>
                <w:sz w:val="21"/>
                <w:szCs w:val="21"/>
              </w:rPr>
              <w:t>保2.0的法定合规要求，本项目须满足GB/T 39786-2021《信息安全技术 信息系统密码应用基本要求》 第三级安全要求，并能够通过商用密码应用安全性评估（密评）。</w:t>
            </w:r>
          </w:p>
          <w:p w14:paraId="3857938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三、技术需求</w:t>
            </w:r>
          </w:p>
          <w:p w14:paraId="1ED4110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rPr>
            </w:pPr>
            <w:r>
              <w:rPr>
                <w:rFonts w:hint="eastAsia" w:ascii="Times New Roman" w:hAnsi="Times New Roman" w:eastAsia="宋体" w:cs="Times New Roman"/>
                <w:color w:val="auto"/>
                <w:sz w:val="21"/>
                <w:szCs w:val="21"/>
                <w:lang w:val="en-US" w:eastAsia="zh-CN"/>
              </w:rPr>
              <w:t>具体技术需求参数要求详见后“附件”。</w:t>
            </w:r>
          </w:p>
        </w:tc>
      </w:tr>
      <w:tr w14:paraId="65C13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862" w:type="dxa"/>
            <w:gridSpan w:val="4"/>
            <w:tcBorders>
              <w:top w:val="single" w:color="auto" w:sz="4" w:space="0"/>
              <w:left w:val="single" w:color="auto" w:sz="4" w:space="0"/>
              <w:bottom w:val="single" w:color="auto" w:sz="4" w:space="0"/>
              <w:right w:val="single" w:color="auto" w:sz="4" w:space="0"/>
            </w:tcBorders>
            <w:noWrap w:val="0"/>
            <w:vAlign w:val="center"/>
          </w:tcPr>
          <w:p w14:paraId="415B6088">
            <w:pPr>
              <w:rPr>
                <w:rFonts w:hint="eastAsia" w:ascii="新宋体" w:eastAsia="新宋体"/>
                <w:szCs w:val="21"/>
              </w:rPr>
            </w:pPr>
            <w:r>
              <w:rPr>
                <w:rFonts w:hint="eastAsia" w:ascii="宋体" w:hAnsi="宋体"/>
                <w:b/>
                <w:szCs w:val="21"/>
              </w:rPr>
              <w:t>商务</w:t>
            </w:r>
            <w:r>
              <w:rPr>
                <w:rFonts w:hint="eastAsia" w:ascii="新宋体" w:eastAsia="新宋体"/>
                <w:b/>
                <w:szCs w:val="21"/>
              </w:rPr>
              <w:t>要求表</w:t>
            </w:r>
          </w:p>
        </w:tc>
      </w:tr>
      <w:tr w14:paraId="7BA0C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719B093F">
            <w:pPr>
              <w:spacing w:line="400" w:lineRule="exact"/>
              <w:jc w:val="center"/>
              <w:rPr>
                <w:rFonts w:hint="eastAsia" w:ascii="新宋体" w:eastAsia="新宋体"/>
                <w:b/>
                <w:bCs/>
                <w:szCs w:val="21"/>
              </w:rPr>
            </w:pPr>
            <w:r>
              <w:rPr>
                <w:rFonts w:hint="eastAsia" w:ascii="新宋体" w:eastAsia="新宋体"/>
                <w:b/>
                <w:bCs/>
                <w:szCs w:val="21"/>
              </w:rPr>
              <w:t>实施期限</w:t>
            </w:r>
          </w:p>
          <w:p w14:paraId="6261DE19">
            <w:pPr>
              <w:spacing w:line="400" w:lineRule="exact"/>
              <w:jc w:val="center"/>
              <w:rPr>
                <w:rFonts w:hint="eastAsia" w:ascii="新宋体" w:eastAsia="新宋体"/>
                <w:b/>
                <w:bCs/>
                <w:szCs w:val="21"/>
              </w:rPr>
            </w:pPr>
            <w:r>
              <w:rPr>
                <w:rFonts w:hint="eastAsia" w:ascii="新宋体" w:eastAsia="新宋体"/>
                <w:b/>
                <w:bCs/>
                <w:szCs w:val="21"/>
              </w:rPr>
              <w:t>和地点</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27F97556">
            <w:pPr>
              <w:spacing w:line="400" w:lineRule="exact"/>
              <w:rPr>
                <w:rFonts w:hint="eastAsia" w:ascii="新宋体" w:eastAsia="新宋体"/>
                <w:color w:val="auto"/>
                <w:szCs w:val="21"/>
              </w:rPr>
            </w:pPr>
            <w:r>
              <w:rPr>
                <w:rFonts w:hint="eastAsia" w:ascii="新宋体" w:eastAsia="新宋体"/>
                <w:color w:val="auto"/>
                <w:szCs w:val="21"/>
              </w:rPr>
              <w:t>1、实施期限：自签订合同之日起</w:t>
            </w:r>
            <w:r>
              <w:rPr>
                <w:rFonts w:hint="eastAsia" w:ascii="新宋体" w:eastAsia="新宋体"/>
                <w:color w:val="auto"/>
                <w:szCs w:val="21"/>
                <w:lang w:val="en-US" w:eastAsia="zh-CN"/>
              </w:rPr>
              <w:t>8</w:t>
            </w:r>
            <w:r>
              <w:rPr>
                <w:rFonts w:hint="eastAsia" w:ascii="新宋体" w:eastAsia="新宋体"/>
                <w:color w:val="auto"/>
                <w:szCs w:val="21"/>
              </w:rPr>
              <w:t>个月</w:t>
            </w:r>
            <w:r>
              <w:rPr>
                <w:rFonts w:hint="eastAsia" w:ascii="新宋体" w:eastAsia="新宋体"/>
                <w:color w:val="auto"/>
                <w:szCs w:val="21"/>
                <w:lang w:val="en-US" w:eastAsia="zh-CN"/>
              </w:rPr>
              <w:t>内实施完成并通过验收</w:t>
            </w:r>
            <w:r>
              <w:rPr>
                <w:rFonts w:hint="eastAsia" w:ascii="新宋体" w:eastAsia="新宋体"/>
                <w:color w:val="auto"/>
                <w:szCs w:val="21"/>
              </w:rPr>
              <w:t>（签订合同后7天内项目团队需进场施工）。</w:t>
            </w:r>
          </w:p>
          <w:p w14:paraId="3A224EC2">
            <w:pPr>
              <w:spacing w:line="400" w:lineRule="exact"/>
              <w:rPr>
                <w:rFonts w:hint="eastAsia" w:ascii="新宋体" w:eastAsia="新宋体"/>
                <w:color w:val="auto"/>
                <w:szCs w:val="21"/>
              </w:rPr>
            </w:pPr>
            <w:r>
              <w:rPr>
                <w:rFonts w:hint="eastAsia" w:ascii="新宋体" w:eastAsia="新宋体"/>
                <w:color w:val="auto"/>
                <w:szCs w:val="21"/>
              </w:rPr>
              <w:t>2、服务地点：广西骨伤医院、南宁市长虹社区卫生服务中心、南宁市方园社区卫生服务中心。</w:t>
            </w:r>
          </w:p>
        </w:tc>
      </w:tr>
      <w:tr w14:paraId="385CD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35A72EF4">
            <w:pPr>
              <w:spacing w:line="400" w:lineRule="exact"/>
              <w:jc w:val="center"/>
              <w:rPr>
                <w:rFonts w:hint="eastAsia" w:ascii="新宋体" w:eastAsia="新宋体"/>
                <w:b/>
                <w:bCs/>
                <w:szCs w:val="21"/>
              </w:rPr>
            </w:pPr>
            <w:r>
              <w:rPr>
                <w:rFonts w:hint="eastAsia" w:ascii="新宋体" w:eastAsia="新宋体"/>
                <w:b/>
                <w:bCs/>
                <w:szCs w:val="21"/>
              </w:rPr>
              <w:t>合同签订</w:t>
            </w:r>
          </w:p>
          <w:p w14:paraId="2AC1B276">
            <w:pPr>
              <w:spacing w:line="400" w:lineRule="exact"/>
              <w:jc w:val="center"/>
              <w:rPr>
                <w:rFonts w:hint="eastAsia" w:ascii="新宋体" w:eastAsia="新宋体"/>
                <w:b/>
                <w:bCs/>
                <w:szCs w:val="21"/>
              </w:rPr>
            </w:pPr>
            <w:r>
              <w:rPr>
                <w:rFonts w:hint="eastAsia" w:ascii="新宋体" w:eastAsia="新宋体"/>
                <w:b/>
                <w:bCs/>
                <w:szCs w:val="21"/>
              </w:rPr>
              <w:t>期限</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38CA76B7">
            <w:pPr>
              <w:spacing w:line="400" w:lineRule="exact"/>
              <w:rPr>
                <w:rFonts w:hint="eastAsia" w:ascii="新宋体" w:eastAsia="新宋体"/>
                <w:color w:val="auto"/>
                <w:szCs w:val="21"/>
              </w:rPr>
            </w:pPr>
            <w:r>
              <w:rPr>
                <w:rFonts w:hint="eastAsia" w:ascii="新宋体" w:eastAsia="新宋体"/>
                <w:color w:val="auto"/>
                <w:szCs w:val="21"/>
              </w:rPr>
              <w:t>自</w:t>
            </w:r>
            <w:r>
              <w:rPr>
                <w:rFonts w:hint="eastAsia" w:ascii="新宋体" w:eastAsia="新宋体"/>
                <w:color w:val="auto"/>
                <w:szCs w:val="21"/>
                <w:lang w:val="en-US" w:eastAsia="zh-CN"/>
              </w:rPr>
              <w:t>中标</w:t>
            </w:r>
            <w:r>
              <w:rPr>
                <w:rFonts w:hint="eastAsia" w:ascii="新宋体" w:eastAsia="新宋体"/>
                <w:color w:val="auto"/>
                <w:szCs w:val="21"/>
              </w:rPr>
              <w:t>通知书发出之日起</w:t>
            </w:r>
            <w:r>
              <w:rPr>
                <w:rFonts w:hint="eastAsia" w:ascii="新宋体" w:eastAsia="新宋体"/>
                <w:color w:val="auto"/>
                <w:szCs w:val="21"/>
                <w:u w:val="single"/>
              </w:rPr>
              <w:t>15</w:t>
            </w:r>
            <w:r>
              <w:rPr>
                <w:rFonts w:hint="eastAsia" w:ascii="新宋体" w:eastAsia="新宋体"/>
                <w:color w:val="auto"/>
                <w:szCs w:val="21"/>
              </w:rPr>
              <w:t>个工作日。</w:t>
            </w:r>
          </w:p>
        </w:tc>
      </w:tr>
      <w:tr w14:paraId="6FB32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7FB08922">
            <w:pPr>
              <w:spacing w:line="400" w:lineRule="exact"/>
              <w:jc w:val="center"/>
              <w:rPr>
                <w:rFonts w:hint="eastAsia" w:ascii="新宋体" w:eastAsia="新宋体"/>
                <w:b/>
                <w:bCs/>
                <w:szCs w:val="21"/>
              </w:rPr>
            </w:pPr>
            <w:r>
              <w:rPr>
                <w:rFonts w:hint="eastAsia" w:ascii="新宋体" w:eastAsia="新宋体"/>
                <w:b/>
                <w:bCs/>
                <w:szCs w:val="21"/>
              </w:rPr>
              <w:t>质保期</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51082F63">
            <w:pPr>
              <w:spacing w:line="400" w:lineRule="exact"/>
              <w:rPr>
                <w:rFonts w:hint="eastAsia" w:ascii="新宋体" w:eastAsia="新宋体"/>
                <w:color w:val="auto"/>
                <w:szCs w:val="21"/>
              </w:rPr>
            </w:pPr>
            <w:r>
              <w:rPr>
                <w:rFonts w:hint="eastAsia" w:ascii="新宋体" w:eastAsia="新宋体"/>
                <w:color w:val="auto"/>
                <w:szCs w:val="21"/>
              </w:rPr>
              <w:t>1.★质量保证期3年，自验收合格之日起计，在质保期内提供所有软件系统升级更新，提供产品原厂家技术支持服务。（</w:t>
            </w:r>
            <w:r>
              <w:rPr>
                <w:rFonts w:hint="eastAsia"/>
                <w:lang w:val="en-US" w:eastAsia="zh-CN"/>
              </w:rPr>
              <w:t>投标文件中</w:t>
            </w:r>
            <w:r>
              <w:rPr>
                <w:rFonts w:hint="eastAsia" w:ascii="新宋体" w:eastAsia="新宋体"/>
                <w:color w:val="auto"/>
                <w:szCs w:val="21"/>
              </w:rPr>
              <w:t>提供承诺函）</w:t>
            </w:r>
          </w:p>
          <w:p w14:paraId="36CDEFB5">
            <w:pPr>
              <w:spacing w:line="400" w:lineRule="exact"/>
              <w:rPr>
                <w:rFonts w:hint="eastAsia" w:ascii="新宋体" w:eastAsia="新宋体"/>
                <w:color w:val="auto"/>
                <w:szCs w:val="21"/>
              </w:rPr>
            </w:pPr>
            <w:r>
              <w:rPr>
                <w:rFonts w:hint="eastAsia" w:ascii="新宋体" w:eastAsia="新宋体"/>
                <w:color w:val="auto"/>
                <w:szCs w:val="21"/>
              </w:rPr>
              <w:t>2.★国家或自治区政策性接口在建设期、质保期和维保期内免费。（</w:t>
            </w:r>
            <w:r>
              <w:rPr>
                <w:rFonts w:hint="eastAsia"/>
                <w:lang w:val="en-US" w:eastAsia="zh-CN"/>
              </w:rPr>
              <w:t>投标文件中</w:t>
            </w:r>
            <w:r>
              <w:rPr>
                <w:rFonts w:hint="eastAsia" w:ascii="新宋体" w:eastAsia="新宋体"/>
                <w:color w:val="auto"/>
                <w:szCs w:val="21"/>
              </w:rPr>
              <w:t>提供承诺函）</w:t>
            </w:r>
          </w:p>
          <w:p w14:paraId="752563D1">
            <w:pPr>
              <w:spacing w:line="400" w:lineRule="exact"/>
              <w:rPr>
                <w:rFonts w:hint="eastAsia" w:ascii="新宋体" w:eastAsia="新宋体"/>
                <w:color w:val="auto"/>
                <w:szCs w:val="21"/>
              </w:rPr>
            </w:pPr>
            <w:r>
              <w:rPr>
                <w:rFonts w:hint="eastAsia" w:ascii="新宋体" w:eastAsia="新宋体"/>
                <w:color w:val="auto"/>
                <w:szCs w:val="21"/>
              </w:rPr>
              <w:t>3.★</w:t>
            </w:r>
            <w:r>
              <w:rPr>
                <w:rFonts w:hint="eastAsia" w:ascii="新宋体" w:eastAsia="新宋体"/>
                <w:color w:val="auto"/>
                <w:szCs w:val="21"/>
                <w:lang w:val="en-US" w:eastAsia="zh-CN"/>
              </w:rPr>
              <w:t>建设期和</w:t>
            </w:r>
            <w:r>
              <w:rPr>
                <w:rFonts w:hint="eastAsia" w:ascii="新宋体" w:eastAsia="新宋体"/>
                <w:color w:val="auto"/>
                <w:szCs w:val="21"/>
              </w:rPr>
              <w:t>质保期内业主满足信创条件后，信创适配免费迁移。（</w:t>
            </w:r>
            <w:r>
              <w:rPr>
                <w:rFonts w:hint="eastAsia"/>
                <w:lang w:val="en-US" w:eastAsia="zh-CN"/>
              </w:rPr>
              <w:t>投标文件中</w:t>
            </w:r>
            <w:r>
              <w:rPr>
                <w:rFonts w:hint="eastAsia" w:ascii="新宋体" w:eastAsia="新宋体"/>
                <w:color w:val="auto"/>
                <w:szCs w:val="21"/>
              </w:rPr>
              <w:t>提供承诺函）</w:t>
            </w:r>
          </w:p>
          <w:p w14:paraId="6D65E0FC">
            <w:pPr>
              <w:spacing w:line="400" w:lineRule="exact"/>
              <w:rPr>
                <w:rFonts w:hint="eastAsia" w:ascii="新宋体" w:eastAsia="新宋体"/>
                <w:color w:val="auto"/>
                <w:szCs w:val="21"/>
              </w:rPr>
            </w:pPr>
            <w:r>
              <w:rPr>
                <w:rFonts w:hint="eastAsia" w:ascii="新宋体" w:eastAsia="新宋体"/>
                <w:color w:val="auto"/>
                <w:szCs w:val="21"/>
                <w:lang w:val="en-US" w:eastAsia="zh-CN"/>
              </w:rPr>
              <w:t>4.</w:t>
            </w:r>
            <w:r>
              <w:rPr>
                <w:rFonts w:hint="eastAsia" w:ascii="新宋体" w:eastAsia="新宋体"/>
                <w:color w:val="auto"/>
                <w:szCs w:val="21"/>
              </w:rPr>
              <w:t>质保期后，</w:t>
            </w:r>
            <w:r>
              <w:rPr>
                <w:rFonts w:hint="eastAsia"/>
                <w:lang w:val="en-US" w:eastAsia="zh-CN"/>
              </w:rPr>
              <w:t>每年的</w:t>
            </w:r>
            <w:r>
              <w:rPr>
                <w:rFonts w:hint="eastAsia" w:ascii="新宋体" w:eastAsia="新宋体"/>
                <w:color w:val="auto"/>
                <w:szCs w:val="21"/>
              </w:rPr>
              <w:t>维保服务金额在合同总价的8%以内，如有其他的增值服务双方友好协商。</w:t>
            </w:r>
          </w:p>
        </w:tc>
      </w:tr>
      <w:tr w14:paraId="3B2A9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5006F600">
            <w:pPr>
              <w:spacing w:line="400" w:lineRule="exact"/>
              <w:jc w:val="center"/>
              <w:rPr>
                <w:rFonts w:hint="eastAsia" w:ascii="新宋体" w:eastAsia="新宋体"/>
                <w:b/>
                <w:bCs/>
                <w:szCs w:val="21"/>
              </w:rPr>
            </w:pPr>
            <w:r>
              <w:rPr>
                <w:rFonts w:hint="eastAsia" w:ascii="新宋体" w:eastAsia="新宋体"/>
                <w:b/>
                <w:bCs/>
                <w:szCs w:val="21"/>
              </w:rPr>
              <w:t>售后服务</w:t>
            </w:r>
          </w:p>
          <w:p w14:paraId="552C2B08">
            <w:pPr>
              <w:spacing w:line="400" w:lineRule="exact"/>
              <w:jc w:val="center"/>
              <w:rPr>
                <w:rFonts w:hint="eastAsia" w:ascii="新宋体" w:eastAsia="新宋体"/>
                <w:b/>
                <w:bCs/>
                <w:szCs w:val="21"/>
              </w:rPr>
            </w:pPr>
            <w:r>
              <w:rPr>
                <w:rFonts w:hint="eastAsia" w:ascii="新宋体" w:eastAsia="新宋体"/>
                <w:b/>
                <w:bCs/>
                <w:szCs w:val="21"/>
              </w:rPr>
              <w:t>要求</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5C6505F8">
            <w:pPr>
              <w:spacing w:line="400" w:lineRule="exact"/>
              <w:rPr>
                <w:rFonts w:hint="default" w:ascii="新宋体" w:eastAsia="宋体"/>
                <w:color w:val="auto"/>
                <w:szCs w:val="21"/>
                <w:lang w:val="en-US" w:eastAsia="zh-CN"/>
              </w:rPr>
            </w:pPr>
            <w:r>
              <w:rPr>
                <w:rFonts w:hint="eastAsia" w:ascii="新宋体" w:eastAsia="新宋体"/>
                <w:color w:val="auto"/>
                <w:szCs w:val="21"/>
              </w:rPr>
              <w:t>1.售后服务技术人员要求：</w:t>
            </w:r>
            <w:r>
              <w:rPr>
                <w:rFonts w:hint="eastAsia" w:ascii="新宋体" w:eastAsia="新宋体"/>
                <w:color w:val="auto"/>
                <w:szCs w:val="21"/>
                <w:lang w:val="en-US" w:eastAsia="zh-CN"/>
              </w:rPr>
              <w:t>实施周期内不少于3人。</w:t>
            </w:r>
          </w:p>
          <w:p w14:paraId="6E7CB513">
            <w:pPr>
              <w:spacing w:line="400" w:lineRule="exact"/>
              <w:rPr>
                <w:rFonts w:hint="eastAsia" w:ascii="新宋体" w:eastAsia="新宋体"/>
                <w:color w:val="auto"/>
                <w:szCs w:val="21"/>
              </w:rPr>
            </w:pPr>
            <w:r>
              <w:rPr>
                <w:rFonts w:hint="eastAsia" w:ascii="新宋体" w:eastAsia="新宋体"/>
                <w:color w:val="auto"/>
                <w:szCs w:val="21"/>
              </w:rPr>
              <w:t>2.故障响应时间：24小时（全天候）电话支持，中标供应商接到故障通知后在2小时内到达采购人指定现场解决故障。</w:t>
            </w:r>
          </w:p>
          <w:p w14:paraId="3F53AC9C">
            <w:pPr>
              <w:spacing w:line="400" w:lineRule="exact"/>
              <w:rPr>
                <w:rFonts w:hint="eastAsia" w:ascii="新宋体" w:eastAsia="新宋体"/>
                <w:color w:val="auto"/>
                <w:szCs w:val="21"/>
              </w:rPr>
            </w:pPr>
            <w:r>
              <w:rPr>
                <w:rFonts w:hint="eastAsia" w:ascii="新宋体" w:eastAsia="新宋体"/>
                <w:color w:val="auto"/>
                <w:szCs w:val="21"/>
              </w:rPr>
              <w:t>3.系统巡检要求</w:t>
            </w:r>
            <w:r>
              <w:rPr>
                <w:rFonts w:hint="eastAsia" w:ascii="新宋体" w:eastAsia="新宋体"/>
                <w:color w:val="auto"/>
                <w:szCs w:val="21"/>
                <w:lang w:eastAsia="zh-CN"/>
              </w:rPr>
              <w:t>：</w:t>
            </w:r>
            <w:r>
              <w:rPr>
                <w:rFonts w:hint="eastAsia" w:ascii="新宋体" w:eastAsia="新宋体"/>
                <w:color w:val="auto"/>
                <w:szCs w:val="21"/>
              </w:rPr>
              <w:t>质量保证期内要求提供不少于每年2次巡检，并提供巡检报告。</w:t>
            </w:r>
          </w:p>
          <w:p w14:paraId="6144CE4D">
            <w:pPr>
              <w:spacing w:line="400" w:lineRule="exact"/>
              <w:rPr>
                <w:rFonts w:hint="eastAsia" w:ascii="新宋体" w:eastAsia="新宋体"/>
                <w:color w:val="auto"/>
                <w:szCs w:val="21"/>
              </w:rPr>
            </w:pPr>
            <w:r>
              <w:rPr>
                <w:rFonts w:hint="eastAsia" w:ascii="新宋体" w:eastAsia="新宋体"/>
                <w:color w:val="auto"/>
                <w:szCs w:val="21"/>
              </w:rPr>
              <w:t>4.入场服务要求：提供中标供应商和投标产品生产厂家服务工程师的姓名、联系方式和身份证明信息，确保该工程师未来1年内驻场提供技术服务支持，为保障项目按期完成，合同签订后一周内项目经理及技术工程师务必完成入场服务。</w:t>
            </w:r>
          </w:p>
          <w:p w14:paraId="6D1CBB06">
            <w:pPr>
              <w:spacing w:line="400" w:lineRule="exact"/>
              <w:rPr>
                <w:rFonts w:hint="eastAsia" w:ascii="新宋体" w:eastAsia="新宋体"/>
                <w:color w:val="auto"/>
                <w:szCs w:val="21"/>
              </w:rPr>
            </w:pPr>
            <w:r>
              <w:rPr>
                <w:rFonts w:hint="eastAsia" w:ascii="新宋体" w:eastAsia="新宋体"/>
                <w:color w:val="auto"/>
                <w:szCs w:val="21"/>
              </w:rPr>
              <w:t>5.在质量保证期内，中标供应商必须按采购方的业务要求，实现本项目采购的设备在不同的网络环境进行安装，确保能正常运行。其余按供应商提交的售后服务承诺书执行。所有非故意性损坏以及在要求质量标准范围内的正常使用造成的损坏均要免费维修。对因采购方人员的不正当使用所造成的损坏不归中标人负责保修，但中标人也要积极帮助采购人修理，并保证提供优惠价格的配件和服务。</w:t>
            </w:r>
          </w:p>
          <w:p w14:paraId="0C3DE3F9">
            <w:pPr>
              <w:spacing w:line="400" w:lineRule="exact"/>
              <w:rPr>
                <w:rFonts w:hint="eastAsia" w:ascii="新宋体" w:eastAsia="新宋体"/>
                <w:color w:val="auto"/>
                <w:szCs w:val="21"/>
              </w:rPr>
            </w:pPr>
            <w:r>
              <w:rPr>
                <w:rFonts w:hint="eastAsia" w:ascii="新宋体" w:eastAsia="新宋体"/>
                <w:color w:val="auto"/>
                <w:szCs w:val="21"/>
              </w:rPr>
              <w:t>6.在质保期过后，中标供应商需提供产品售后专人联系电话，并提供免费技术咨询服务；如需要维修更换零配件，价格不能高于市场价。</w:t>
            </w:r>
          </w:p>
          <w:p w14:paraId="36353232">
            <w:pPr>
              <w:spacing w:line="400" w:lineRule="exact"/>
              <w:rPr>
                <w:rFonts w:hint="eastAsia" w:ascii="新宋体" w:eastAsia="新宋体"/>
                <w:color w:val="auto"/>
                <w:szCs w:val="21"/>
              </w:rPr>
            </w:pPr>
            <w:r>
              <w:rPr>
                <w:rFonts w:hint="eastAsia" w:ascii="新宋体" w:eastAsia="新宋体"/>
                <w:color w:val="auto"/>
                <w:szCs w:val="21"/>
              </w:rPr>
              <w:t>7.培训要求：对用户提供现场原厂培训。中标供应商培训讲师到采购方现场对用户进行免费现场培训，培训人数和次数不限，一直到用户可以对设备进行熟练操作并能进行日常维护为止。</w:t>
            </w:r>
          </w:p>
          <w:p w14:paraId="71E733E7">
            <w:pPr>
              <w:spacing w:line="400" w:lineRule="exact"/>
              <w:rPr>
                <w:rFonts w:hint="eastAsia" w:ascii="新宋体" w:eastAsia="新宋体"/>
                <w:color w:val="auto"/>
                <w:szCs w:val="21"/>
              </w:rPr>
            </w:pPr>
            <w:r>
              <w:rPr>
                <w:rFonts w:hint="eastAsia" w:ascii="新宋体" w:eastAsia="新宋体"/>
                <w:color w:val="auto"/>
                <w:szCs w:val="21"/>
              </w:rPr>
              <w:t>8.备品备件要求：备有设备配件，能及时处理、更换损坏的零部件。</w:t>
            </w:r>
          </w:p>
          <w:p w14:paraId="774592DC">
            <w:pPr>
              <w:spacing w:line="400" w:lineRule="exact"/>
              <w:rPr>
                <w:rFonts w:hint="eastAsia" w:ascii="新宋体" w:eastAsia="新宋体"/>
                <w:color w:val="auto"/>
                <w:szCs w:val="21"/>
              </w:rPr>
            </w:pPr>
            <w:r>
              <w:rPr>
                <w:rFonts w:hint="eastAsia" w:ascii="新宋体" w:eastAsia="新宋体"/>
                <w:color w:val="auto"/>
                <w:szCs w:val="21"/>
              </w:rPr>
              <w:t>9.其他：提供完整的操作维修手册，其余按供应商及厂家承诺进行。</w:t>
            </w:r>
          </w:p>
        </w:tc>
      </w:tr>
      <w:tr w14:paraId="55B8E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4AE34D45">
            <w:pPr>
              <w:spacing w:line="400" w:lineRule="exact"/>
              <w:jc w:val="center"/>
              <w:rPr>
                <w:rFonts w:hint="default" w:ascii="新宋体" w:eastAsia="新宋体"/>
                <w:b/>
                <w:bCs/>
                <w:szCs w:val="21"/>
                <w:lang w:val="en-US" w:eastAsia="zh-CN"/>
              </w:rPr>
            </w:pPr>
            <w:r>
              <w:rPr>
                <w:rFonts w:hint="eastAsia" w:ascii="宋体" w:hAnsi="宋体" w:eastAsia="新宋体"/>
                <w:b/>
                <w:bCs/>
                <w:szCs w:val="21"/>
                <w:lang w:val="en-US" w:eastAsia="zh-CN"/>
              </w:rPr>
              <w:t>报价要求</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6B5F95DA">
            <w:pPr>
              <w:spacing w:line="400" w:lineRule="exact"/>
              <w:rPr>
                <w:rFonts w:hint="eastAsia" w:ascii="新宋体" w:eastAsia="宋体"/>
                <w:color w:val="auto"/>
                <w:szCs w:val="21"/>
                <w:lang w:eastAsia="zh-CN"/>
              </w:rPr>
            </w:pPr>
            <w:r>
              <w:rPr>
                <w:rFonts w:hint="eastAsia" w:ascii="新宋体" w:eastAsia="新宋体"/>
                <w:color w:val="auto"/>
                <w:szCs w:val="21"/>
              </w:rPr>
              <w:t>报价为履行本采购项目合同的所有费用，包含（但不限于）以下费用且不因各种风险或其它成本、费用等的变化而调整/增加。</w:t>
            </w:r>
            <w:r>
              <w:rPr>
                <w:rFonts w:hint="eastAsia" w:ascii="宋体" w:hAnsi="宋体"/>
                <w:color w:val="auto"/>
                <w:szCs w:val="21"/>
              </w:rPr>
              <w:t>包括但不限于项目开发建设、</w:t>
            </w:r>
            <w:r>
              <w:rPr>
                <w:rFonts w:hint="eastAsia" w:ascii="宋体" w:hAnsi="宋体"/>
                <w:color w:val="auto"/>
                <w:szCs w:val="21"/>
                <w:lang w:val="en-US" w:eastAsia="zh-CN"/>
              </w:rPr>
              <w:t>软件硬件采购费用、</w:t>
            </w:r>
            <w:r>
              <w:rPr>
                <w:rFonts w:hint="eastAsia" w:ascii="宋体" w:hAnsi="宋体"/>
                <w:color w:val="auto"/>
                <w:szCs w:val="21"/>
              </w:rPr>
              <w:t>测试、功能调整、接口费（含采购人及第三方公司）、第三方开放能力平台服务费、人员培训、差旅费、开发人员费用、运行维护、故障处理、技术服务费用、试运行、配合验收费用、保险费、采购代理服务费、系统（软件）的永久使用权利等一切完成本项目服务期限内工作全部费用的总和；除非另有明确约定，</w:t>
            </w:r>
            <w:r>
              <w:rPr>
                <w:rFonts w:hint="eastAsia" w:ascii="宋体" w:hAnsi="宋体"/>
                <w:color w:val="auto"/>
                <w:szCs w:val="21"/>
                <w:lang w:val="en-US" w:eastAsia="zh-CN"/>
              </w:rPr>
              <w:t>采购人</w:t>
            </w:r>
            <w:r>
              <w:rPr>
                <w:rFonts w:hint="eastAsia" w:ascii="宋体" w:hAnsi="宋体"/>
                <w:color w:val="auto"/>
                <w:szCs w:val="21"/>
              </w:rPr>
              <w:t>不再向</w:t>
            </w:r>
            <w:r>
              <w:rPr>
                <w:rFonts w:hint="eastAsia" w:ascii="宋体" w:hAnsi="宋体"/>
                <w:color w:val="auto"/>
                <w:szCs w:val="21"/>
                <w:lang w:val="en-US" w:eastAsia="zh-CN"/>
              </w:rPr>
              <w:t>中标供应商</w:t>
            </w:r>
            <w:r>
              <w:rPr>
                <w:rFonts w:hint="eastAsia" w:ascii="宋体" w:hAnsi="宋体"/>
                <w:color w:val="auto"/>
                <w:szCs w:val="21"/>
              </w:rPr>
              <w:t>支付任何其他费用</w:t>
            </w:r>
            <w:r>
              <w:rPr>
                <w:rFonts w:hint="eastAsia"/>
                <w:color w:val="auto"/>
                <w:lang w:eastAsia="zh-CN"/>
              </w:rPr>
              <w:t>。</w:t>
            </w:r>
          </w:p>
        </w:tc>
      </w:tr>
      <w:tr w14:paraId="1E80F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053E4B6E">
            <w:pPr>
              <w:spacing w:line="400" w:lineRule="exact"/>
              <w:jc w:val="center"/>
              <w:rPr>
                <w:rFonts w:hint="eastAsia" w:ascii="宋体" w:hAnsi="宋体" w:eastAsia="新宋体"/>
                <w:b/>
                <w:bCs/>
                <w:szCs w:val="21"/>
                <w:lang w:val="en-US" w:eastAsia="zh-CN"/>
              </w:rPr>
            </w:pPr>
            <w:r>
              <w:rPr>
                <w:rFonts w:hint="eastAsia" w:ascii="宋体" w:hAnsi="宋体" w:eastAsia="新宋体"/>
                <w:b/>
                <w:bCs/>
                <w:szCs w:val="21"/>
                <w:lang w:val="en-US" w:eastAsia="zh-CN"/>
              </w:rPr>
              <w:t>验收标准</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73B570CE">
            <w:pPr>
              <w:spacing w:line="400" w:lineRule="exact"/>
              <w:rPr>
                <w:rFonts w:hint="eastAsia" w:ascii="新宋体" w:eastAsia="新宋体"/>
                <w:color w:val="auto"/>
                <w:szCs w:val="21"/>
              </w:rPr>
            </w:pPr>
            <w:r>
              <w:rPr>
                <w:rFonts w:hint="eastAsia" w:ascii="新宋体" w:eastAsia="新宋体"/>
                <w:color w:val="auto"/>
                <w:szCs w:val="21"/>
              </w:rPr>
              <w:t>验收标准、验收方法及方案</w:t>
            </w:r>
          </w:p>
          <w:p w14:paraId="101768C3">
            <w:pPr>
              <w:spacing w:line="400" w:lineRule="exact"/>
              <w:rPr>
                <w:rFonts w:hint="eastAsia" w:ascii="新宋体" w:eastAsia="新宋体"/>
                <w:color w:val="auto"/>
                <w:szCs w:val="21"/>
              </w:rPr>
            </w:pPr>
            <w:r>
              <w:rPr>
                <w:rFonts w:hint="eastAsia" w:ascii="新宋体" w:eastAsia="新宋体"/>
                <w:color w:val="auto"/>
                <w:szCs w:val="21"/>
              </w:rPr>
              <w:t>（1）投标人按要求安装、调试至正常运行、培训完成后，用户保留30天的测试期进行验收准备，所提供软件系统能够稳定无故障运行30天之后，才能进行验收工作，验收通过后签署最终验收报告。</w:t>
            </w:r>
          </w:p>
          <w:p w14:paraId="65227ECC">
            <w:pPr>
              <w:spacing w:line="400" w:lineRule="exact"/>
              <w:rPr>
                <w:rFonts w:hint="eastAsia" w:ascii="新宋体" w:eastAsia="新宋体"/>
                <w:color w:val="auto"/>
                <w:szCs w:val="21"/>
              </w:rPr>
            </w:pPr>
            <w:r>
              <w:rPr>
                <w:rFonts w:hint="eastAsia" w:ascii="新宋体" w:eastAsia="新宋体"/>
                <w:color w:val="auto"/>
                <w:szCs w:val="21"/>
              </w:rPr>
              <w:t>（2）投标人所供货物必须是全新按国家或国际有关质量标准制造，且能满足本项目技术指标。</w:t>
            </w:r>
          </w:p>
          <w:p w14:paraId="1A3AC658">
            <w:pPr>
              <w:spacing w:line="400" w:lineRule="exact"/>
              <w:rPr>
                <w:rFonts w:hint="eastAsia" w:ascii="新宋体" w:eastAsia="新宋体"/>
                <w:color w:val="auto"/>
                <w:szCs w:val="21"/>
              </w:rPr>
            </w:pPr>
            <w:r>
              <w:rPr>
                <w:rFonts w:hint="eastAsia" w:ascii="新宋体" w:eastAsia="新宋体"/>
                <w:color w:val="auto"/>
                <w:szCs w:val="21"/>
              </w:rPr>
              <w:t>（3）验收过程中所产生的一切费用均由中标人承担，报价时应考虑相关费用。</w:t>
            </w:r>
          </w:p>
          <w:p w14:paraId="2BA9FDFC">
            <w:pPr>
              <w:spacing w:line="400" w:lineRule="exact"/>
              <w:rPr>
                <w:rFonts w:hint="eastAsia" w:ascii="新宋体" w:eastAsia="新宋体"/>
                <w:color w:val="auto"/>
                <w:szCs w:val="21"/>
              </w:rPr>
            </w:pPr>
            <w:r>
              <w:rPr>
                <w:rFonts w:hint="eastAsia" w:ascii="新宋体" w:eastAsia="新宋体"/>
                <w:color w:val="auto"/>
                <w:szCs w:val="21"/>
              </w:rPr>
              <w:t>（4）中标人在货物验收时由采购人对照采购文件的功能目标及技术指标全面核对检验，对所有要求出具的证明文件进行核查，如不符合采购文件的技术需求及提供虚假承诺的，按相关规定做退货处理及违约处理，中标人承担所有责任和费用，采购人保留进一步追究责任的权利。</w:t>
            </w:r>
          </w:p>
          <w:p w14:paraId="79E50F41">
            <w:pPr>
              <w:spacing w:line="400" w:lineRule="exact"/>
              <w:rPr>
                <w:rFonts w:hint="eastAsia" w:ascii="新宋体" w:eastAsia="新宋体"/>
                <w:color w:val="auto"/>
                <w:szCs w:val="21"/>
              </w:rPr>
            </w:pPr>
            <w:r>
              <w:rPr>
                <w:rFonts w:hint="eastAsia" w:ascii="新宋体" w:eastAsia="新宋体"/>
                <w:color w:val="auto"/>
                <w:szCs w:val="21"/>
              </w:rPr>
              <w:t>（5）检查供货范围或服务范围</w:t>
            </w:r>
          </w:p>
          <w:p w14:paraId="4CDED004">
            <w:pPr>
              <w:spacing w:line="400" w:lineRule="exact"/>
              <w:rPr>
                <w:rFonts w:hint="eastAsia" w:ascii="新宋体" w:eastAsia="新宋体"/>
                <w:color w:val="auto"/>
                <w:szCs w:val="21"/>
              </w:rPr>
            </w:pPr>
            <w:r>
              <w:rPr>
                <w:rFonts w:hint="eastAsia" w:ascii="新宋体" w:eastAsia="新宋体"/>
                <w:color w:val="auto"/>
                <w:szCs w:val="21"/>
              </w:rPr>
              <w:t>产品到达现场后，中标人应在采购人人员在场情况下当面开箱，共同清点、检查外观，作出开箱记录，双方签字确认。中标人应保证货物到达采购人指定地点完好无损，如有缺漏、损坏，由中标人负责调换、补齐或赔偿。</w:t>
            </w:r>
          </w:p>
          <w:p w14:paraId="63EB78F7">
            <w:pPr>
              <w:spacing w:line="400" w:lineRule="exact"/>
              <w:rPr>
                <w:rFonts w:hint="eastAsia" w:ascii="新宋体" w:eastAsia="新宋体"/>
                <w:color w:val="auto"/>
                <w:szCs w:val="21"/>
              </w:rPr>
            </w:pPr>
            <w:r>
              <w:rPr>
                <w:rFonts w:hint="eastAsia" w:ascii="新宋体" w:eastAsia="新宋体"/>
                <w:color w:val="auto"/>
                <w:szCs w:val="21"/>
              </w:rPr>
              <w:t>（6）中标人应提供完备的技术或服务资料、装箱单和合格证等，并派遣专业人员进行现场安装调试。</w:t>
            </w:r>
          </w:p>
          <w:p w14:paraId="4CBF7406">
            <w:pPr>
              <w:spacing w:line="400" w:lineRule="exact"/>
              <w:rPr>
                <w:rFonts w:hint="eastAsia" w:ascii="新宋体" w:eastAsia="新宋体"/>
                <w:color w:val="auto"/>
                <w:szCs w:val="21"/>
              </w:rPr>
            </w:pPr>
            <w:r>
              <w:rPr>
                <w:rFonts w:hint="eastAsia" w:ascii="新宋体" w:eastAsia="新宋体"/>
                <w:color w:val="auto"/>
                <w:szCs w:val="21"/>
              </w:rPr>
              <w:t>（7）中标人提供的货物或服务未达到招标文件规定要求，且对采购人造成损失的，由中标人承担一切责任，并赔偿所造成的损失。</w:t>
            </w:r>
          </w:p>
          <w:p w14:paraId="7470F183">
            <w:pPr>
              <w:spacing w:line="400" w:lineRule="exact"/>
              <w:rPr>
                <w:rFonts w:hint="eastAsia" w:ascii="新宋体" w:eastAsia="新宋体"/>
                <w:color w:val="auto"/>
                <w:szCs w:val="21"/>
              </w:rPr>
            </w:pPr>
            <w:r>
              <w:rPr>
                <w:rFonts w:hint="eastAsia" w:ascii="新宋体" w:eastAsia="新宋体"/>
                <w:color w:val="auto"/>
                <w:szCs w:val="21"/>
              </w:rPr>
              <w:t>（8）采购人需要制造商对中标人交付的产品或服务（包括质量、参数等）进行确认的，制造商应予以配合并出具书面意见，相关配合事项由中标人与制造商协调。</w:t>
            </w:r>
          </w:p>
          <w:p w14:paraId="068499D5">
            <w:pPr>
              <w:spacing w:line="400" w:lineRule="exact"/>
              <w:rPr>
                <w:rFonts w:hint="eastAsia" w:ascii="新宋体" w:eastAsia="新宋体"/>
                <w:color w:val="auto"/>
                <w:szCs w:val="21"/>
              </w:rPr>
            </w:pPr>
            <w:r>
              <w:rPr>
                <w:rFonts w:hint="eastAsia" w:ascii="新宋体" w:eastAsia="新宋体"/>
                <w:color w:val="auto"/>
                <w:szCs w:val="21"/>
              </w:rPr>
              <w:t>（9）产品包装材料归采购人所有。</w:t>
            </w:r>
          </w:p>
          <w:p w14:paraId="10B34B41">
            <w:pPr>
              <w:spacing w:line="400" w:lineRule="exact"/>
              <w:rPr>
                <w:rFonts w:hint="eastAsia" w:ascii="新宋体" w:eastAsia="新宋体"/>
                <w:color w:val="auto"/>
                <w:szCs w:val="21"/>
              </w:rPr>
            </w:pPr>
            <w:r>
              <w:rPr>
                <w:rFonts w:hint="eastAsia" w:ascii="新宋体" w:eastAsia="新宋体"/>
                <w:color w:val="auto"/>
                <w:szCs w:val="21"/>
              </w:rPr>
              <w:t>（10）其他未尽事宜应严格按照《关于印发广西壮族自治区政府采购项目履约验收管理办法的通知》[桂财采〔2015〕22号]以及《财政部关于进一步加强政府采购需求和履约验收管理的指导意见》[财库〔2016〕205号]规定执行。</w:t>
            </w:r>
          </w:p>
        </w:tc>
      </w:tr>
      <w:tr w14:paraId="70508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255604EA">
            <w:pPr>
              <w:spacing w:line="400" w:lineRule="exact"/>
              <w:jc w:val="center"/>
              <w:rPr>
                <w:rFonts w:hint="eastAsia" w:ascii="宋体" w:hAnsi="宋体" w:eastAsia="新宋体"/>
                <w:b/>
                <w:bCs/>
                <w:szCs w:val="21"/>
                <w:lang w:val="en-US" w:eastAsia="zh-CN"/>
              </w:rPr>
            </w:pPr>
            <w:r>
              <w:rPr>
                <w:rFonts w:hint="eastAsia" w:ascii="宋体" w:hAnsi="宋体" w:eastAsia="新宋体"/>
                <w:b/>
                <w:bCs/>
                <w:szCs w:val="21"/>
                <w:lang w:val="en-US" w:eastAsia="zh-CN"/>
              </w:rPr>
              <w:t>付款条件</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7F233EBA">
            <w:pPr>
              <w:spacing w:line="400" w:lineRule="exact"/>
              <w:rPr>
                <w:rFonts w:hint="eastAsia" w:ascii="新宋体" w:eastAsia="新宋体"/>
                <w:color w:val="auto"/>
                <w:szCs w:val="21"/>
              </w:rPr>
            </w:pPr>
            <w:r>
              <w:rPr>
                <w:rFonts w:hint="eastAsia" w:ascii="新宋体" w:eastAsia="新宋体"/>
                <w:color w:val="auto"/>
                <w:szCs w:val="21"/>
              </w:rPr>
              <w:t>（1）自签订合同之日起10个工作日内，支付合同金额</w:t>
            </w:r>
            <w:r>
              <w:rPr>
                <w:rFonts w:hint="eastAsia" w:ascii="新宋体" w:eastAsia="新宋体"/>
                <w:color w:val="auto"/>
                <w:szCs w:val="21"/>
                <w:lang w:eastAsia="zh-CN"/>
              </w:rPr>
              <w:t>的</w:t>
            </w:r>
            <w:r>
              <w:rPr>
                <w:rFonts w:hint="eastAsia" w:ascii="新宋体" w:eastAsia="新宋体"/>
                <w:color w:val="auto"/>
                <w:szCs w:val="21"/>
              </w:rPr>
              <w:t>40%；项目所有系统安装、调试完毕，上线稳定运行30日并出具上线报告后10个工作日内支付至合同金额的80%；经验收合格之日起10个工作日内支付至合同金额的100%。</w:t>
            </w:r>
          </w:p>
          <w:p w14:paraId="28A4B534">
            <w:pPr>
              <w:spacing w:line="400" w:lineRule="exact"/>
              <w:rPr>
                <w:rFonts w:hint="eastAsia" w:ascii="新宋体" w:eastAsia="新宋体"/>
                <w:color w:val="auto"/>
                <w:szCs w:val="21"/>
              </w:rPr>
            </w:pPr>
            <w:r>
              <w:rPr>
                <w:rFonts w:hint="eastAsia" w:ascii="新宋体" w:eastAsia="新宋体"/>
                <w:color w:val="auto"/>
                <w:szCs w:val="21"/>
              </w:rPr>
              <w:t>（2）每笔款项支付前，供应商应按采购人要求开具同等额度发票给采购人，采购人在收到完整的请款资料后的10个工作日内支付相应金额的</w:t>
            </w:r>
            <w:r>
              <w:rPr>
                <w:rFonts w:hint="eastAsia" w:ascii="新宋体" w:eastAsia="新宋体"/>
                <w:color w:val="auto"/>
                <w:szCs w:val="21"/>
                <w:lang w:val="en-US" w:eastAsia="zh-CN"/>
              </w:rPr>
              <w:t>合同</w:t>
            </w:r>
            <w:r>
              <w:rPr>
                <w:rFonts w:hint="eastAsia" w:ascii="新宋体" w:eastAsia="新宋体"/>
                <w:color w:val="auto"/>
                <w:szCs w:val="21"/>
              </w:rPr>
              <w:t>款给供应商。在支付周期内不计利息，如采购人有相应资金安排提前支付货款，供应商应给予配合提供相应的请款资料和开具发票等。</w:t>
            </w:r>
          </w:p>
        </w:tc>
      </w:tr>
      <w:tr w14:paraId="1B60C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266BFBD0">
            <w:pPr>
              <w:spacing w:line="400" w:lineRule="exact"/>
              <w:jc w:val="center"/>
              <w:rPr>
                <w:rFonts w:hint="eastAsia" w:ascii="宋体" w:hAnsi="宋体" w:eastAsia="新宋体"/>
                <w:b/>
                <w:bCs/>
                <w:szCs w:val="21"/>
                <w:lang w:val="en-US" w:eastAsia="zh-CN"/>
              </w:rPr>
            </w:pPr>
            <w:r>
              <w:rPr>
                <w:rFonts w:hint="eastAsia" w:ascii="宋体" w:hAnsi="宋体" w:eastAsia="新宋体"/>
                <w:b/>
                <w:bCs/>
                <w:szCs w:val="21"/>
                <w:lang w:val="en-US" w:eastAsia="zh-CN"/>
              </w:rPr>
              <w:t>履约保证金</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47950687">
            <w:pPr>
              <w:spacing w:line="400" w:lineRule="exact"/>
              <w:rPr>
                <w:rFonts w:hint="eastAsia" w:ascii="新宋体" w:eastAsia="新宋体"/>
                <w:color w:val="auto"/>
                <w:szCs w:val="21"/>
              </w:rPr>
            </w:pPr>
            <w:r>
              <w:rPr>
                <w:rFonts w:hint="eastAsia" w:ascii="新宋体" w:eastAsia="新宋体"/>
                <w:color w:val="auto"/>
                <w:szCs w:val="21"/>
              </w:rPr>
              <w:t>1.本项目收取履约保证金：履约保证金金额：按照合同金额的5%缴纳（中小企业按合同金额</w:t>
            </w:r>
            <w:r>
              <w:rPr>
                <w:rFonts w:hint="eastAsia" w:ascii="新宋体" w:eastAsia="新宋体"/>
                <w:color w:val="auto"/>
                <w:szCs w:val="21"/>
                <w:lang w:eastAsia="zh-CN"/>
              </w:rPr>
              <w:t>的</w:t>
            </w:r>
            <w:r>
              <w:rPr>
                <w:rFonts w:hint="eastAsia" w:ascii="新宋体" w:eastAsia="新宋体"/>
                <w:color w:val="auto"/>
                <w:szCs w:val="21"/>
              </w:rPr>
              <w:t>2%），在签订合同之前，中标人需把履约保证金足额交到采购人指定账户。未提交履约保证金的，不予签订本合同。</w:t>
            </w:r>
          </w:p>
          <w:p w14:paraId="20C802D5">
            <w:pPr>
              <w:spacing w:line="400" w:lineRule="exact"/>
              <w:rPr>
                <w:rFonts w:hint="eastAsia" w:ascii="新宋体" w:eastAsia="新宋体"/>
                <w:color w:val="auto"/>
                <w:szCs w:val="21"/>
              </w:rPr>
            </w:pPr>
            <w:r>
              <w:rPr>
                <w:rFonts w:hint="eastAsia" w:ascii="新宋体" w:eastAsia="新宋体"/>
                <w:color w:val="auto"/>
                <w:szCs w:val="21"/>
              </w:rPr>
              <w:t>2.履约保证金退还约定：履约保证金自投标人履行质保期责任和义务后，扣除违约金额后（如有），由采购人</w:t>
            </w:r>
            <w:r>
              <w:rPr>
                <w:rFonts w:hint="eastAsia" w:ascii="新宋体" w:eastAsia="新宋体"/>
                <w:color w:val="auto"/>
                <w:szCs w:val="21"/>
                <w:highlight w:val="none"/>
              </w:rPr>
              <w:t>于5个工作日内无息退还。</w:t>
            </w:r>
          </w:p>
          <w:p w14:paraId="5C693067">
            <w:pPr>
              <w:spacing w:line="400" w:lineRule="exact"/>
              <w:rPr>
                <w:rFonts w:hint="eastAsia" w:ascii="新宋体" w:eastAsia="新宋体"/>
                <w:b/>
                <w:bCs/>
                <w:color w:val="auto"/>
                <w:szCs w:val="21"/>
              </w:rPr>
            </w:pPr>
            <w:r>
              <w:rPr>
                <w:rFonts w:hint="eastAsia" w:ascii="新宋体" w:eastAsia="新宋体"/>
                <w:color w:val="auto"/>
                <w:szCs w:val="21"/>
                <w:lang w:val="en-US" w:eastAsia="zh-CN"/>
              </w:rPr>
              <w:t>3.</w:t>
            </w:r>
            <w:r>
              <w:rPr>
                <w:rFonts w:hint="eastAsia" w:ascii="新宋体" w:eastAsia="新宋体"/>
                <w:color w:val="auto"/>
                <w:szCs w:val="21"/>
              </w:rPr>
              <w:t>履约保证金递交方式：</w:t>
            </w:r>
            <w:r>
              <w:rPr>
                <w:rFonts w:hint="eastAsia" w:ascii="新宋体" w:eastAsia="新宋体"/>
                <w:b/>
                <w:bCs/>
                <w:color w:val="auto"/>
                <w:szCs w:val="21"/>
              </w:rPr>
              <w:t>银行转账、支票、本票或者银行出具的保函等非现金方式。</w:t>
            </w:r>
          </w:p>
          <w:p w14:paraId="0EA77FFB">
            <w:pPr>
              <w:spacing w:line="400" w:lineRule="exact"/>
              <w:ind w:firstLine="420" w:firstLineChars="200"/>
              <w:rPr>
                <w:rFonts w:hint="eastAsia" w:ascii="新宋体" w:eastAsia="新宋体"/>
                <w:b w:val="0"/>
                <w:bCs w:val="0"/>
                <w:color w:val="auto"/>
                <w:szCs w:val="21"/>
              </w:rPr>
            </w:pPr>
            <w:r>
              <w:rPr>
                <w:rFonts w:hint="eastAsia" w:ascii="新宋体" w:eastAsia="新宋体"/>
                <w:b w:val="0"/>
                <w:bCs w:val="0"/>
                <w:color w:val="auto"/>
                <w:szCs w:val="21"/>
              </w:rPr>
              <w:t>履约保证金指定账户：</w:t>
            </w:r>
          </w:p>
          <w:p w14:paraId="47987842">
            <w:pPr>
              <w:spacing w:line="400" w:lineRule="exact"/>
              <w:ind w:firstLine="420" w:firstLineChars="200"/>
              <w:rPr>
                <w:rFonts w:hint="eastAsia" w:ascii="新宋体" w:eastAsia="新宋体"/>
                <w:b w:val="0"/>
                <w:bCs w:val="0"/>
                <w:color w:val="auto"/>
                <w:szCs w:val="21"/>
              </w:rPr>
            </w:pPr>
            <w:r>
              <w:rPr>
                <w:rFonts w:hint="eastAsia" w:ascii="新宋体" w:eastAsia="新宋体"/>
                <w:b w:val="0"/>
                <w:bCs w:val="0"/>
                <w:color w:val="auto"/>
                <w:szCs w:val="21"/>
              </w:rPr>
              <w:t xml:space="preserve">开户名：广西骨伤医院 </w:t>
            </w:r>
          </w:p>
          <w:p w14:paraId="5EF0A16D">
            <w:pPr>
              <w:spacing w:line="400" w:lineRule="exact"/>
              <w:ind w:firstLine="420" w:firstLineChars="200"/>
              <w:rPr>
                <w:rFonts w:hint="eastAsia" w:ascii="新宋体" w:eastAsia="新宋体"/>
                <w:b w:val="0"/>
                <w:bCs w:val="0"/>
                <w:color w:val="auto"/>
                <w:szCs w:val="21"/>
              </w:rPr>
            </w:pPr>
            <w:r>
              <w:rPr>
                <w:rFonts w:hint="eastAsia" w:ascii="新宋体" w:eastAsia="新宋体"/>
                <w:b w:val="0"/>
                <w:bCs w:val="0"/>
                <w:color w:val="auto"/>
                <w:szCs w:val="21"/>
              </w:rPr>
              <w:t>开户行：交通银行股份有限公司南宁东葛西支行</w:t>
            </w:r>
          </w:p>
          <w:p w14:paraId="0F6AF432">
            <w:pPr>
              <w:spacing w:line="400" w:lineRule="exact"/>
              <w:ind w:firstLine="420" w:firstLineChars="200"/>
              <w:rPr>
                <w:rFonts w:hint="eastAsia" w:ascii="新宋体" w:eastAsia="新宋体"/>
                <w:color w:val="auto"/>
                <w:szCs w:val="21"/>
              </w:rPr>
            </w:pPr>
            <w:r>
              <w:rPr>
                <w:rFonts w:hint="eastAsia" w:ascii="新宋体" w:eastAsia="新宋体"/>
                <w:b w:val="0"/>
                <w:bCs w:val="0"/>
                <w:color w:val="auto"/>
                <w:szCs w:val="21"/>
              </w:rPr>
              <w:t>账  号：451060701018000175729</w:t>
            </w:r>
          </w:p>
        </w:tc>
      </w:tr>
      <w:tr w14:paraId="5B2A0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3157190B">
            <w:pPr>
              <w:spacing w:line="400" w:lineRule="exact"/>
              <w:jc w:val="center"/>
              <w:rPr>
                <w:rFonts w:hint="eastAsia" w:ascii="宋体" w:hAnsi="宋体" w:eastAsia="新宋体"/>
                <w:b/>
                <w:bCs/>
                <w:szCs w:val="21"/>
                <w:lang w:val="en-US" w:eastAsia="zh-CN"/>
              </w:rPr>
            </w:pPr>
            <w:r>
              <w:rPr>
                <w:rFonts w:hint="eastAsia" w:ascii="宋体" w:hAnsi="宋体" w:cs="宋体"/>
                <w:b/>
                <w:szCs w:val="21"/>
              </w:rPr>
              <w:t>知识产权要求</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577DEDC0">
            <w:pPr>
              <w:spacing w:line="400" w:lineRule="exact"/>
              <w:rPr>
                <w:rFonts w:hint="eastAsia" w:ascii="新宋体" w:eastAsia="新宋体"/>
                <w:color w:val="auto"/>
                <w:szCs w:val="21"/>
              </w:rPr>
            </w:pPr>
            <w:r>
              <w:rPr>
                <w:rFonts w:hint="eastAsia" w:ascii="新宋体" w:eastAsia="新宋体"/>
                <w:color w:val="auto"/>
                <w:szCs w:val="21"/>
              </w:rPr>
              <w:t>★须保证</w:t>
            </w:r>
            <w:r>
              <w:rPr>
                <w:rFonts w:hint="eastAsia" w:ascii="新宋体" w:eastAsia="新宋体"/>
                <w:color w:val="auto"/>
                <w:szCs w:val="21"/>
                <w:lang w:val="en-US" w:eastAsia="zh-CN"/>
              </w:rPr>
              <w:t>采购</w:t>
            </w:r>
            <w:r>
              <w:rPr>
                <w:rFonts w:hint="eastAsia" w:ascii="新宋体" w:eastAsia="新宋体"/>
                <w:color w:val="auto"/>
                <w:szCs w:val="21"/>
              </w:rPr>
              <w:t>人在使用过程中不受到第三方关于侵犯专利权等知识产权的指控。任何第三方如果提出指控，投标人须与第三方交涉并承担可能发生的一切法律责任和费用。（</w:t>
            </w:r>
            <w:r>
              <w:rPr>
                <w:rFonts w:hint="eastAsia"/>
                <w:lang w:val="en-US" w:eastAsia="zh-CN"/>
              </w:rPr>
              <w:t>投标文件中</w:t>
            </w:r>
            <w:r>
              <w:rPr>
                <w:rFonts w:hint="eastAsia" w:ascii="新宋体" w:eastAsia="新宋体"/>
                <w:color w:val="auto"/>
                <w:szCs w:val="21"/>
              </w:rPr>
              <w:t>提供承诺函）</w:t>
            </w:r>
          </w:p>
        </w:tc>
      </w:tr>
      <w:tr w14:paraId="39187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682B4C25">
            <w:pPr>
              <w:spacing w:line="400" w:lineRule="exact"/>
              <w:jc w:val="center"/>
              <w:rPr>
                <w:rFonts w:hint="eastAsia" w:ascii="宋体" w:hAnsi="宋体" w:eastAsia="新宋体"/>
                <w:b/>
                <w:bCs/>
                <w:szCs w:val="21"/>
                <w:lang w:val="en-US" w:eastAsia="zh-CN"/>
              </w:rPr>
            </w:pPr>
            <w:r>
              <w:rPr>
                <w:rFonts w:hint="eastAsia" w:ascii="宋体" w:hAnsi="宋体" w:eastAsia="新宋体"/>
                <w:b/>
                <w:bCs/>
                <w:szCs w:val="21"/>
                <w:lang w:val="en-US" w:eastAsia="zh-CN"/>
              </w:rPr>
              <w:t>保密要求</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458A1303">
            <w:pPr>
              <w:spacing w:line="400" w:lineRule="exact"/>
              <w:rPr>
                <w:rFonts w:hint="eastAsia" w:ascii="新宋体" w:eastAsia="新宋体"/>
                <w:color w:val="auto"/>
                <w:szCs w:val="21"/>
              </w:rPr>
            </w:pPr>
            <w:r>
              <w:rPr>
                <w:rFonts w:hint="eastAsia" w:ascii="新宋体" w:eastAsia="新宋体"/>
                <w:color w:val="auto"/>
                <w:szCs w:val="21"/>
              </w:rPr>
              <w:t>★投标人应承诺遵守知识产权与安全保密有关规定，投标人必须承诺对本项目技术文件以及由采购人提供的所有内部资料、技术文档和信息予以保密；未经采购人书面许可，不得以任何形式向第三方透露本项目标书以及本项目的任何内容；如采购人要求，投标人必须按照采购人的要求签订相关的保密协议。（</w:t>
            </w:r>
            <w:r>
              <w:rPr>
                <w:rFonts w:hint="eastAsia"/>
                <w:lang w:val="en-US" w:eastAsia="zh-CN"/>
              </w:rPr>
              <w:t>投标文件中</w:t>
            </w:r>
            <w:r>
              <w:rPr>
                <w:rFonts w:hint="eastAsia" w:ascii="新宋体" w:eastAsia="新宋体"/>
                <w:color w:val="auto"/>
                <w:szCs w:val="21"/>
              </w:rPr>
              <w:t>提供承诺函）</w:t>
            </w:r>
          </w:p>
        </w:tc>
      </w:tr>
      <w:tr w14:paraId="472C0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2D6A7BFC">
            <w:pPr>
              <w:spacing w:line="400" w:lineRule="exact"/>
              <w:jc w:val="center"/>
              <w:rPr>
                <w:rFonts w:hint="default" w:ascii="宋体" w:hAnsi="宋体" w:eastAsia="新宋体"/>
                <w:b/>
                <w:bCs/>
                <w:szCs w:val="21"/>
                <w:lang w:val="en-US" w:eastAsia="zh-CN"/>
              </w:rPr>
            </w:pPr>
            <w:r>
              <w:rPr>
                <w:rFonts w:hint="eastAsia" w:ascii="宋体" w:hAnsi="宋体" w:eastAsia="新宋体"/>
                <w:b/>
                <w:bCs/>
                <w:szCs w:val="21"/>
                <w:lang w:val="en-US" w:eastAsia="zh-CN"/>
              </w:rPr>
              <w:t>其</w:t>
            </w:r>
            <w:r>
              <w:rPr>
                <w:rFonts w:hint="eastAsia" w:ascii="宋体" w:hAnsi="宋体" w:eastAsia="新宋体"/>
                <w:b/>
                <w:bCs/>
                <w:color w:val="auto"/>
                <w:szCs w:val="21"/>
                <w:highlight w:val="none"/>
                <w:lang w:val="en-US" w:eastAsia="zh-CN"/>
              </w:rPr>
              <w:t>他要求</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15D6CB44">
            <w:pPr>
              <w:spacing w:line="400" w:lineRule="exact"/>
              <w:rPr>
                <w:rFonts w:hint="eastAsia" w:ascii="新宋体" w:eastAsia="新宋体"/>
                <w:b/>
                <w:bCs/>
                <w:color w:val="auto"/>
                <w:szCs w:val="21"/>
              </w:rPr>
            </w:pPr>
            <w:r>
              <w:rPr>
                <w:rFonts w:hint="eastAsia" w:ascii="新宋体" w:eastAsia="新宋体"/>
                <w:color w:val="auto"/>
                <w:szCs w:val="21"/>
              </w:rPr>
              <w:t>★</w:t>
            </w:r>
            <w:r>
              <w:rPr>
                <w:rFonts w:hint="eastAsia" w:ascii="新宋体" w:eastAsia="新宋体"/>
                <w:b/>
                <w:bCs/>
                <w:color w:val="auto"/>
                <w:szCs w:val="21"/>
              </w:rPr>
              <w:t>本项目中涉及采购的货物不接受进口产品投标（即通过中国海关报关验放进入中国境内且产自关境外的产品），如有此类产品参与投标的作无效投标处理。</w:t>
            </w:r>
          </w:p>
          <w:p w14:paraId="61F19977">
            <w:pPr>
              <w:spacing w:line="400" w:lineRule="exact"/>
              <w:rPr>
                <w:rFonts w:hint="eastAsia" w:ascii="新宋体" w:eastAsia="新宋体"/>
                <w:color w:val="auto"/>
                <w:szCs w:val="21"/>
                <w:lang w:eastAsia="zh-CN"/>
              </w:rPr>
            </w:pPr>
            <w:r>
              <w:rPr>
                <w:rFonts w:hint="eastAsia" w:ascii="新宋体" w:eastAsia="新宋体"/>
                <w:color w:val="auto"/>
                <w:szCs w:val="21"/>
              </w:rPr>
              <w:t>★相关货物材质、环保等级符合国家强制性或行业标准</w:t>
            </w:r>
            <w:r>
              <w:rPr>
                <w:rFonts w:hint="eastAsia" w:ascii="新宋体" w:eastAsia="新宋体"/>
                <w:color w:val="auto"/>
                <w:szCs w:val="21"/>
                <w:lang w:eastAsia="zh-CN"/>
              </w:rPr>
              <w:t>。</w:t>
            </w:r>
          </w:p>
        </w:tc>
      </w:tr>
    </w:tbl>
    <w:p w14:paraId="1FD05305">
      <w:pPr>
        <w:pStyle w:val="3"/>
        <w:rPr>
          <w:rFonts w:hint="eastAsia" w:ascii="宋体" w:hAnsi="Times New Roman" w:eastAsia="宋体" w:cs="Times New Roman"/>
          <w:b/>
          <w:bCs/>
          <w:sz w:val="24"/>
          <w:szCs w:val="24"/>
        </w:rPr>
      </w:pPr>
    </w:p>
    <w:p w14:paraId="01146A0B">
      <w:pPr>
        <w:rPr>
          <w:rFonts w:hint="eastAsia" w:ascii="Times New Roman" w:hAnsi="Times New Roman" w:eastAsia="宋体" w:cs="Times New Roman"/>
          <w:b/>
          <w:bCs/>
          <w:color w:val="FF0000"/>
          <w:sz w:val="40"/>
          <w:szCs w:val="40"/>
          <w:lang w:val="en-US" w:eastAsia="zh-CN"/>
        </w:rPr>
      </w:pPr>
      <w:r>
        <w:rPr>
          <w:rFonts w:hint="eastAsia" w:ascii="Times New Roman" w:hAnsi="Times New Roman" w:eastAsia="宋体" w:cs="Times New Roman"/>
          <w:b/>
          <w:bCs/>
          <w:color w:val="FF0000"/>
          <w:sz w:val="40"/>
          <w:szCs w:val="40"/>
          <w:lang w:val="en-US" w:eastAsia="zh-CN"/>
        </w:rPr>
        <w:br w:type="page"/>
      </w:r>
      <w:r>
        <w:rPr>
          <w:rFonts w:hint="eastAsia" w:ascii="Times New Roman" w:hAnsi="Times New Roman" w:eastAsia="宋体" w:cs="Times New Roman"/>
          <w:b/>
          <w:bCs/>
          <w:color w:val="auto"/>
          <w:sz w:val="40"/>
          <w:szCs w:val="40"/>
          <w:lang w:val="en-US" w:eastAsia="zh-CN"/>
        </w:rPr>
        <w:t>附件：</w:t>
      </w:r>
    </w:p>
    <w:tbl>
      <w:tblPr>
        <w:tblStyle w:val="51"/>
        <w:tblW w:w="99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6"/>
        <w:gridCol w:w="8"/>
      </w:tblGrid>
      <w:tr w14:paraId="56067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44" w:type="dxa"/>
            <w:gridSpan w:val="2"/>
            <w:tcBorders>
              <w:top w:val="single" w:color="auto" w:sz="4" w:space="0"/>
              <w:left w:val="single" w:color="000000" w:sz="4" w:space="0"/>
              <w:bottom w:val="single" w:color="000000" w:sz="4" w:space="0"/>
              <w:right w:val="single" w:color="000000" w:sz="4" w:space="0"/>
            </w:tcBorders>
            <w:noWrap w:val="0"/>
            <w:vAlign w:val="center"/>
          </w:tcPr>
          <w:p w14:paraId="01116A29">
            <w:pPr>
              <w:tabs>
                <w:tab w:val="left" w:pos="180"/>
                <w:tab w:val="left" w:pos="1620"/>
              </w:tabs>
              <w:jc w:val="center"/>
              <w:rPr>
                <w:rFonts w:ascii="黑体" w:hAnsi="黑体" w:eastAsia="黑体" w:cs="黑体"/>
                <w:sz w:val="28"/>
                <w:szCs w:val="28"/>
              </w:rPr>
            </w:pPr>
            <w:r>
              <w:rPr>
                <w:rFonts w:hint="eastAsia" w:ascii="黑体" w:hAnsi="黑体" w:eastAsia="黑体" w:cs="黑体"/>
                <w:sz w:val="28"/>
                <w:szCs w:val="28"/>
              </w:rPr>
              <w:t>技术需求参数</w:t>
            </w:r>
          </w:p>
          <w:p w14:paraId="4F0C56E7">
            <w:pPr>
              <w:widowControl/>
              <w:adjustRightInd w:val="0"/>
              <w:snapToGrid w:val="0"/>
              <w:ind w:firstLine="420" w:firstLineChars="200"/>
              <w:jc w:val="center"/>
            </w:pPr>
            <w:r>
              <w:rPr>
                <w:rFonts w:hint="eastAsia"/>
              </w:rPr>
              <w:t>（对服务的标准、时间、质量等详细要求）</w:t>
            </w:r>
          </w:p>
        </w:tc>
      </w:tr>
      <w:tr w14:paraId="3A5A8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44" w:type="dxa"/>
            <w:gridSpan w:val="2"/>
            <w:tcBorders>
              <w:top w:val="single" w:color="auto" w:sz="4" w:space="0"/>
              <w:left w:val="single" w:color="000000" w:sz="4" w:space="0"/>
              <w:bottom w:val="single" w:color="000000" w:sz="4" w:space="0"/>
              <w:right w:val="single" w:color="000000" w:sz="4" w:space="0"/>
            </w:tcBorders>
            <w:noWrap w:val="0"/>
            <w:vAlign w:val="center"/>
          </w:tcPr>
          <w:p w14:paraId="3630075C">
            <w:pPr>
              <w:widowControl/>
              <w:adjustRightInd w:val="0"/>
              <w:snapToGrid w:val="0"/>
              <w:jc w:val="left"/>
              <w:rPr>
                <w:rFonts w:ascii="宋体" w:hAnsi="宋体" w:cs="宋体"/>
                <w:b/>
                <w:bCs/>
              </w:rPr>
            </w:pPr>
            <w:r>
              <w:rPr>
                <w:rFonts w:hint="eastAsia" w:ascii="宋体" w:hAnsi="宋体" w:cs="宋体"/>
                <w:b/>
                <w:bCs/>
              </w:rPr>
              <w:t>总体要求：</w:t>
            </w:r>
          </w:p>
          <w:p w14:paraId="3AA0FE39">
            <w:pPr>
              <w:widowControl/>
              <w:adjustRightInd w:val="0"/>
              <w:snapToGrid w:val="0"/>
              <w:ind w:firstLine="420" w:firstLineChars="200"/>
              <w:jc w:val="left"/>
              <w:rPr>
                <w:rFonts w:hint="eastAsia" w:ascii="宋体" w:hAnsi="宋体" w:cs="宋体"/>
              </w:rPr>
            </w:pPr>
            <w:r>
              <w:rPr>
                <w:rFonts w:hint="eastAsia" w:ascii="宋体" w:hAnsi="宋体" w:cs="宋体"/>
              </w:rPr>
              <w:t>带★号的为实质性要求，不满足视为无效投标；</w:t>
            </w:r>
          </w:p>
          <w:p w14:paraId="25BA57E6">
            <w:pPr>
              <w:widowControl/>
              <w:adjustRightInd w:val="0"/>
              <w:snapToGrid w:val="0"/>
              <w:ind w:firstLine="420" w:firstLineChars="200"/>
              <w:jc w:val="left"/>
              <w:rPr>
                <w:rFonts w:ascii="宋体" w:hAnsi="宋体" w:cs="宋体"/>
              </w:rPr>
            </w:pPr>
            <w:r>
              <w:rPr>
                <w:rFonts w:hint="eastAsia" w:ascii="宋体" w:hAnsi="宋体" w:cs="宋体"/>
              </w:rPr>
              <w:t>带▲的为重要性参数；</w:t>
            </w:r>
          </w:p>
        </w:tc>
      </w:tr>
      <w:tr w14:paraId="29F6D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6150" w:hRule="atLeast"/>
          <w:jc w:val="center"/>
        </w:trPr>
        <w:tc>
          <w:tcPr>
            <w:tcW w:w="9936" w:type="dxa"/>
            <w:tcBorders>
              <w:top w:val="single" w:color="auto" w:sz="4" w:space="0"/>
              <w:left w:val="single" w:color="000000" w:sz="4" w:space="0"/>
              <w:bottom w:val="single" w:color="auto" w:sz="4" w:space="0"/>
              <w:right w:val="single" w:color="000000" w:sz="4" w:space="0"/>
            </w:tcBorders>
            <w:noWrap w:val="0"/>
            <w:vAlign w:val="center"/>
          </w:tcPr>
          <w:tbl>
            <w:tblPr>
              <w:tblStyle w:val="51"/>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804"/>
              <w:gridCol w:w="711"/>
              <w:gridCol w:w="7748"/>
            </w:tblGrid>
            <w:tr w14:paraId="3E66B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14:paraId="41B55A78">
                  <w:pPr>
                    <w:jc w:val="center"/>
                    <w:rPr>
                      <w:b/>
                      <w:bCs/>
                      <w:color w:val="000000"/>
                      <w:sz w:val="20"/>
                      <w:szCs w:val="20"/>
                    </w:rPr>
                  </w:pPr>
                  <w:r>
                    <w:rPr>
                      <w:rFonts w:hint="eastAsia"/>
                      <w:b/>
                      <w:bCs/>
                      <w:color w:val="000000"/>
                      <w:sz w:val="20"/>
                      <w:szCs w:val="20"/>
                    </w:rPr>
                    <w:t>一级指标</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74530B67">
                  <w:pPr>
                    <w:jc w:val="center"/>
                    <w:rPr>
                      <w:b/>
                      <w:bCs/>
                      <w:color w:val="000000"/>
                      <w:sz w:val="20"/>
                      <w:szCs w:val="20"/>
                    </w:rPr>
                  </w:pPr>
                  <w:r>
                    <w:rPr>
                      <w:rFonts w:hint="eastAsia"/>
                      <w:b/>
                      <w:bCs/>
                      <w:color w:val="000000"/>
                      <w:sz w:val="20"/>
                      <w:szCs w:val="20"/>
                    </w:rPr>
                    <w:t>二级指标</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58025343">
                  <w:pPr>
                    <w:jc w:val="center"/>
                    <w:rPr>
                      <w:b/>
                      <w:bCs/>
                      <w:color w:val="000000"/>
                      <w:sz w:val="20"/>
                      <w:szCs w:val="20"/>
                    </w:rPr>
                  </w:pPr>
                  <w:r>
                    <w:rPr>
                      <w:rFonts w:hint="eastAsia"/>
                      <w:b/>
                      <w:bCs/>
                      <w:color w:val="000000"/>
                      <w:sz w:val="20"/>
                      <w:szCs w:val="20"/>
                    </w:rPr>
                    <w:t>三级指标</w:t>
                  </w:r>
                </w:p>
              </w:tc>
              <w:tc>
                <w:tcPr>
                  <w:tcW w:w="7748" w:type="dxa"/>
                  <w:tcBorders>
                    <w:top w:val="single" w:color="auto" w:sz="4" w:space="0"/>
                    <w:left w:val="single" w:color="auto" w:sz="4" w:space="0"/>
                    <w:bottom w:val="single" w:color="auto" w:sz="4" w:space="0"/>
                    <w:right w:val="single" w:color="auto" w:sz="4" w:space="0"/>
                  </w:tcBorders>
                  <w:noWrap w:val="0"/>
                  <w:vAlign w:val="center"/>
                </w:tcPr>
                <w:p w14:paraId="71EB815C">
                  <w:pPr>
                    <w:jc w:val="center"/>
                    <w:rPr>
                      <w:rFonts w:ascii="Times New Roman" w:hAnsi="Times New Roman"/>
                      <w:kern w:val="0"/>
                      <w:sz w:val="20"/>
                      <w:szCs w:val="20"/>
                    </w:rPr>
                  </w:pPr>
                  <w:r>
                    <w:rPr>
                      <w:rFonts w:hint="eastAsia"/>
                      <w:b/>
                      <w:bCs/>
                      <w:color w:val="000000"/>
                      <w:sz w:val="20"/>
                      <w:szCs w:val="20"/>
                    </w:rPr>
                    <w:t>技  术  要  求</w:t>
                  </w:r>
                </w:p>
              </w:tc>
            </w:tr>
            <w:tr w14:paraId="4C1F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18" w:type="dxa"/>
                  <w:gridSpan w:val="3"/>
                  <w:tcBorders>
                    <w:top w:val="single" w:color="auto" w:sz="4" w:space="0"/>
                    <w:left w:val="single" w:color="auto" w:sz="4" w:space="0"/>
                    <w:bottom w:val="single" w:color="auto" w:sz="4" w:space="0"/>
                    <w:right w:val="single" w:color="auto" w:sz="4" w:space="0"/>
                  </w:tcBorders>
                  <w:noWrap/>
                  <w:vAlign w:val="center"/>
                </w:tcPr>
                <w:p w14:paraId="39721BA0">
                  <w:pPr>
                    <w:snapToGrid w:val="0"/>
                    <w:spacing w:line="500" w:lineRule="exact"/>
                    <w:jc w:val="center"/>
                    <w:rPr>
                      <w:color w:val="000000"/>
                      <w:sz w:val="20"/>
                      <w:szCs w:val="20"/>
                    </w:rPr>
                  </w:pPr>
                  <w:r>
                    <w:rPr>
                      <w:rFonts w:hint="eastAsia" w:ascii="宋体" w:hAnsi="宋体" w:cs="宋体"/>
                      <w:b/>
                      <w:szCs w:val="21"/>
                    </w:rPr>
                    <w:t>建设内容</w:t>
                  </w:r>
                </w:p>
              </w:tc>
              <w:tc>
                <w:tcPr>
                  <w:tcW w:w="7748" w:type="dxa"/>
                  <w:tcBorders>
                    <w:top w:val="single" w:color="auto" w:sz="4" w:space="0"/>
                    <w:left w:val="single" w:color="auto" w:sz="4" w:space="0"/>
                    <w:bottom w:val="single" w:color="auto" w:sz="4" w:space="0"/>
                    <w:right w:val="single" w:color="auto" w:sz="4" w:space="0"/>
                  </w:tcBorders>
                  <w:noWrap/>
                  <w:vAlign w:val="center"/>
                </w:tcPr>
                <w:p w14:paraId="55B30008">
                  <w:pPr>
                    <w:snapToGrid w:val="0"/>
                    <w:jc w:val="left"/>
                    <w:rPr>
                      <w:rFonts w:ascii="宋体" w:hAnsi="宋体" w:cs="宋体"/>
                      <w:szCs w:val="21"/>
                    </w:rPr>
                  </w:pPr>
                  <w:r>
                    <w:rPr>
                      <w:rFonts w:hint="eastAsia"/>
                      <w:color w:val="000000"/>
                      <w:sz w:val="20"/>
                      <w:szCs w:val="20"/>
                    </w:rPr>
                    <w:t>建设内容包括但不仅限于以下内容：</w:t>
                  </w:r>
                </w:p>
              </w:tc>
            </w:tr>
            <w:tr w14:paraId="4DFCE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3" w:type="dxa"/>
                  <w:vMerge w:val="restart"/>
                  <w:tcBorders>
                    <w:top w:val="single" w:color="auto" w:sz="4" w:space="0"/>
                    <w:left w:val="single" w:color="auto" w:sz="4" w:space="0"/>
                    <w:bottom w:val="single" w:color="auto" w:sz="4" w:space="0"/>
                    <w:right w:val="single" w:color="auto" w:sz="4" w:space="0"/>
                  </w:tcBorders>
                  <w:noWrap/>
                  <w:vAlign w:val="center"/>
                </w:tcPr>
                <w:p w14:paraId="0C5F1281">
                  <w:pPr>
                    <w:adjustRightInd w:val="0"/>
                    <w:snapToGrid w:val="0"/>
                    <w:ind w:left="128" w:leftChars="61"/>
                    <w:rPr>
                      <w:rFonts w:ascii="宋体" w:hAnsi="宋体" w:cs="宋体"/>
                      <w:b w:val="0"/>
                      <w:bCs/>
                      <w:color w:val="000000"/>
                      <w:sz w:val="21"/>
                      <w:szCs w:val="21"/>
                    </w:rPr>
                  </w:pPr>
                  <w:r>
                    <w:rPr>
                      <w:rFonts w:hint="eastAsia"/>
                      <w:b w:val="0"/>
                      <w:bCs/>
                      <w:color w:val="000000"/>
                      <w:sz w:val="21"/>
                      <w:szCs w:val="21"/>
                    </w:rPr>
                    <w:t>便民服务</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5A128B82">
                  <w:pPr>
                    <w:rPr>
                      <w:rFonts w:ascii="宋体" w:hAnsi="宋体" w:cs="宋体"/>
                      <w:b w:val="0"/>
                      <w:bCs/>
                      <w:color w:val="000000"/>
                      <w:sz w:val="21"/>
                      <w:szCs w:val="21"/>
                    </w:rPr>
                  </w:pPr>
                  <w:r>
                    <w:rPr>
                      <w:rFonts w:hint="eastAsia"/>
                      <w:b w:val="0"/>
                      <w:bCs/>
                      <w:color w:val="000000"/>
                      <w:sz w:val="21"/>
                      <w:szCs w:val="21"/>
                    </w:rPr>
                    <w:t>预约服务</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04B159F7">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b w:val="0"/>
                      <w:bCs/>
                      <w:color w:val="000000"/>
                      <w:sz w:val="21"/>
                      <w:szCs w:val="21"/>
                    </w:rPr>
                  </w:pPr>
                  <w:r>
                    <w:rPr>
                      <w:rFonts w:hint="eastAsia"/>
                      <w:b w:val="0"/>
                      <w:bCs/>
                      <w:color w:val="000000"/>
                      <w:sz w:val="21"/>
                      <w:szCs w:val="21"/>
                    </w:rPr>
                    <w:t>预约内容</w:t>
                  </w:r>
                </w:p>
              </w:tc>
              <w:tc>
                <w:tcPr>
                  <w:tcW w:w="7748" w:type="dxa"/>
                  <w:tcBorders>
                    <w:top w:val="single" w:color="auto" w:sz="4" w:space="0"/>
                    <w:left w:val="single" w:color="auto" w:sz="4" w:space="0"/>
                    <w:bottom w:val="single" w:color="auto" w:sz="4" w:space="0"/>
                    <w:right w:val="single" w:color="auto" w:sz="4" w:space="0"/>
                  </w:tcBorders>
                  <w:noWrap/>
                  <w:vAlign w:val="center"/>
                </w:tcPr>
                <w:p w14:paraId="2D0AB54A">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b/>
                      <w:sz w:val="24"/>
                      <w:szCs w:val="24"/>
                    </w:rPr>
                  </w:pPr>
                  <w:r>
                    <w:rPr>
                      <w:rFonts w:hint="eastAsia"/>
                      <w:b/>
                      <w:sz w:val="24"/>
                      <w:szCs w:val="24"/>
                    </w:rPr>
                    <w:t>门诊预约系统</w:t>
                  </w:r>
                </w:p>
                <w:p w14:paraId="6B7F91A1">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门诊预约系统包含预约管理、分诊管理、大屏叫号管理等，通过有效门诊预约管理实现门诊患者有序的就诊。</w:t>
                  </w:r>
                </w:p>
                <w:p w14:paraId="47BC9A6C">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b/>
                    </w:rPr>
                  </w:pPr>
                  <w:r>
                    <w:rPr>
                      <w:b/>
                    </w:rPr>
                    <w:t>1.1</w:t>
                  </w:r>
                  <w:r>
                    <w:rPr>
                      <w:rFonts w:hint="eastAsia"/>
                      <w:b/>
                    </w:rPr>
                    <w:t>门诊预约</w:t>
                  </w:r>
                </w:p>
                <w:p w14:paraId="51934AA4">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根据排班所生成的号源将在统一号源池进行集中管理，对外为患者提供多渠道预约服务，预约时根据预约规则进行限制，例如：年龄，性别，同班次号源重复预约等，实现号源不浪费节约医疗资源。</w:t>
                  </w:r>
                </w:p>
                <w:p w14:paraId="279736DD">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t xml:space="preserve"> 1.1.1</w:t>
                  </w:r>
                  <w:r>
                    <w:rPr>
                      <w:rFonts w:hint="eastAsia"/>
                    </w:rPr>
                    <w:t>预约规则</w:t>
                  </w:r>
                </w:p>
                <w:p w14:paraId="33DE38F7">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提供多维度的预约规则配置，包括：性别，年龄，提前预约天数和放号时间，取消预约、同班次同科室预约规则等，满足不同科室的定制化预约管理要求。</w:t>
                  </w:r>
                </w:p>
                <w:p w14:paraId="0663FDD7">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t>1.1.2</w:t>
                  </w:r>
                  <w:r>
                    <w:rPr>
                      <w:rFonts w:hint="eastAsia"/>
                    </w:rPr>
                    <w:t>放号规则</w:t>
                  </w:r>
                </w:p>
                <w:p w14:paraId="039354F7">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放号规则用于设置号源预约开放天数。根据医院需要，可给不同预约渠道分配不同的放号天数。例如：设置微信公众号放号天数为</w:t>
                  </w:r>
                  <w:r>
                    <w:t>7</w:t>
                  </w:r>
                  <w:r>
                    <w:rPr>
                      <w:rFonts w:hint="eastAsia"/>
                    </w:rPr>
                    <w:t>天，则患者可预约</w:t>
                  </w:r>
                  <w:r>
                    <w:t>7</w:t>
                  </w:r>
                  <w:r>
                    <w:rPr>
                      <w:rFonts w:hint="eastAsia"/>
                    </w:rPr>
                    <w:t>天内的号源；如给医生工作站设置放号天数</w:t>
                  </w:r>
                  <w:r>
                    <w:t>15</w:t>
                  </w:r>
                  <w:r>
                    <w:rPr>
                      <w:rFonts w:hint="eastAsia"/>
                    </w:rPr>
                    <w:t>天，则医生可帮患者预约</w:t>
                  </w:r>
                  <w:r>
                    <w:t>15</w:t>
                  </w:r>
                  <w:r>
                    <w:rPr>
                      <w:rFonts w:hint="eastAsia"/>
                    </w:rPr>
                    <w:t>天内的号源。</w:t>
                  </w:r>
                </w:p>
                <w:p w14:paraId="6E5435A0">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t xml:space="preserve"> 1.1.3</w:t>
                  </w:r>
                  <w:r>
                    <w:rPr>
                      <w:rFonts w:hint="eastAsia"/>
                    </w:rPr>
                    <w:t>性别规则</w:t>
                  </w:r>
                </w:p>
                <w:p w14:paraId="61D2F669">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系统支持预约时对性别的限制，如：男性患者不能预约妇科、产科、妇产科门诊。</w:t>
                  </w:r>
                </w:p>
                <w:p w14:paraId="2B546FD9">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t xml:space="preserve"> 1.1.4</w:t>
                  </w:r>
                  <w:r>
                    <w:rPr>
                      <w:rFonts w:hint="eastAsia"/>
                    </w:rPr>
                    <w:t>年龄规则</w:t>
                  </w:r>
                </w:p>
                <w:p w14:paraId="714018C7">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系统支持预约时对年龄的限制，如：儿科只允许</w:t>
                  </w:r>
                  <w:r>
                    <w:t>14</w:t>
                  </w:r>
                  <w:r>
                    <w:rPr>
                      <w:rFonts w:hint="eastAsia"/>
                    </w:rPr>
                    <w:t>岁以下患者预约。</w:t>
                  </w:r>
                </w:p>
                <w:p w14:paraId="2BA09018">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t xml:space="preserve"> 1.1.5</w:t>
                  </w:r>
                  <w:r>
                    <w:rPr>
                      <w:rFonts w:hint="eastAsia"/>
                    </w:rPr>
                    <w:t>黑名单</w:t>
                  </w:r>
                </w:p>
                <w:p w14:paraId="794309FA">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为防止发生黄牛倒号及患者多次爽约导致号源浪费等情况，可设定指定天数内（如</w:t>
                  </w:r>
                  <w:r>
                    <w:t>30</w:t>
                  </w:r>
                  <w:r>
                    <w:rPr>
                      <w:rFonts w:hint="eastAsia"/>
                    </w:rPr>
                    <w:t>天）爽约次数（预约未就诊）达到上限时自动将患者加入黑名单，也可设置几天后自动移除黑名单。系统支持手动将患者加入或移除黑名单。</w:t>
                  </w:r>
                </w:p>
                <w:p w14:paraId="5FEFE84C">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t xml:space="preserve"> 1.1.6</w:t>
                  </w:r>
                  <w:r>
                    <w:rPr>
                      <w:rFonts w:hint="eastAsia"/>
                    </w:rPr>
                    <w:t>同班次同科室预约规则</w:t>
                  </w:r>
                </w:p>
                <w:p w14:paraId="33F050FC">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为防止发生黄牛倒号，医院可根据需要设置相应规则：患者不可多次预约同班次、同科室医生。</w:t>
                  </w:r>
                </w:p>
                <w:p w14:paraId="0F058641">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t xml:space="preserve"> </w:t>
                  </w:r>
                  <w:r>
                    <w:rPr>
                      <w:b/>
                    </w:rPr>
                    <w:t>1.2</w:t>
                  </w:r>
                  <w:r>
                    <w:rPr>
                      <w:rFonts w:hint="eastAsia"/>
                      <w:b/>
                    </w:rPr>
                    <w:t>多渠道预约</w:t>
                  </w:r>
                </w:p>
                <w:p w14:paraId="44710EB5">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对外提供标准化接口，支持多渠道预约，如分诊台、收费窗口、自助机、微信公众号、医生工作站等（按照院内支持渠道提供）。</w:t>
                  </w:r>
                </w:p>
                <w:p w14:paraId="6AE1A863">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t xml:space="preserve"> 1.2.1</w:t>
                  </w:r>
                  <w:r>
                    <w:rPr>
                      <w:rFonts w:hint="eastAsia"/>
                    </w:rPr>
                    <w:t>分诊台预约</w:t>
                  </w:r>
                </w:p>
                <w:p w14:paraId="6CF20788">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提供分诊台预约功能，支持为患者预约该分诊台管理的科室范围的预约号源，包括预约号取号和现场号取号。</w:t>
                  </w:r>
                </w:p>
                <w:p w14:paraId="092FFE26">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t xml:space="preserve"> 1.2.2</w:t>
                  </w:r>
                  <w:r>
                    <w:rPr>
                      <w:rFonts w:hint="eastAsia"/>
                    </w:rPr>
                    <w:t>收费窗口预约</w:t>
                  </w:r>
                </w:p>
                <w:p w14:paraId="5CD8EFBA">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支持收费窗口预约功能，可为患者提供预约全院预约号。</w:t>
                  </w:r>
                </w:p>
                <w:p w14:paraId="3BC428AE">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t xml:space="preserve"> 1.2.3</w:t>
                  </w:r>
                  <w:r>
                    <w:rPr>
                      <w:rFonts w:hint="eastAsia"/>
                    </w:rPr>
                    <w:t>诊间预约</w:t>
                  </w:r>
                </w:p>
                <w:p w14:paraId="32150668">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支持医生工作站诊间的预约功能，医生在诊间可为患者预约自己或者其他医生。</w:t>
                  </w:r>
                </w:p>
                <w:p w14:paraId="3A3E612E">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t xml:space="preserve"> 1.2.4</w:t>
                  </w:r>
                  <w:r>
                    <w:rPr>
                      <w:rFonts w:hint="eastAsia"/>
                    </w:rPr>
                    <w:t>自助机预约</w:t>
                  </w:r>
                </w:p>
                <w:p w14:paraId="34518EDC">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支持与自助机对接提供自助机预约功能，支持检索医生或者按照科室</w:t>
                  </w:r>
                  <w:r>
                    <w:t>-</w:t>
                  </w:r>
                  <w:r>
                    <w:rPr>
                      <w:rFonts w:hint="eastAsia"/>
                    </w:rPr>
                    <w:t>医生进行预约。</w:t>
                  </w:r>
                </w:p>
                <w:p w14:paraId="2E59888F">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t xml:space="preserve"> 1.2.5</w:t>
                  </w:r>
                  <w:r>
                    <w:rPr>
                      <w:rFonts w:hint="eastAsia"/>
                    </w:rPr>
                    <w:t>公众号</w:t>
                  </w:r>
                  <w:r>
                    <w:t>/APP</w:t>
                  </w:r>
                  <w:r>
                    <w:rPr>
                      <w:rFonts w:hint="eastAsia"/>
                    </w:rPr>
                    <w:t>预约</w:t>
                  </w:r>
                </w:p>
                <w:p w14:paraId="6F35D76B">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支持与微信公众号或者</w:t>
                  </w:r>
                  <w:r>
                    <w:t>APP</w:t>
                  </w:r>
                  <w:r>
                    <w:rPr>
                      <w:rFonts w:hint="eastAsia"/>
                    </w:rPr>
                    <w:t>对接提供移动端的门诊预约功能，支持检索医生或者按照科室</w:t>
                  </w:r>
                  <w:r>
                    <w:t>-</w:t>
                  </w:r>
                  <w:r>
                    <w:rPr>
                      <w:rFonts w:hint="eastAsia"/>
                    </w:rPr>
                    <w:t>医生进行预约。</w:t>
                  </w:r>
                </w:p>
                <w:p w14:paraId="4EB3E53B">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t xml:space="preserve"> 1.2.6</w:t>
                  </w:r>
                  <w:r>
                    <w:rPr>
                      <w:rFonts w:hint="eastAsia"/>
                    </w:rPr>
                    <w:t>电话预约</w:t>
                  </w:r>
                </w:p>
                <w:p w14:paraId="684909E2">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支持电话预约，患者通过电话联系医院客服人员，支持客服人员通过患者身份证或者卡号为患者预约就诊医生。</w:t>
                  </w:r>
                </w:p>
                <w:p w14:paraId="76468938">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t xml:space="preserve"> 1.2.7</w:t>
                  </w:r>
                  <w:r>
                    <w:rPr>
                      <w:rFonts w:hint="eastAsia"/>
                    </w:rPr>
                    <w:t>专家号</w:t>
                  </w:r>
                  <w:r>
                    <w:t>/</w:t>
                  </w:r>
                  <w:r>
                    <w:rPr>
                      <w:rFonts w:hint="eastAsia"/>
                    </w:rPr>
                    <w:t>科室普通号预约</w:t>
                  </w:r>
                </w:p>
                <w:p w14:paraId="19403EBF">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系统支持普通号预约与专家号预约。普通号预约只预约到具体科室的号源，支持按照科室普通号进行预约，也支持多位医生共享叫号普通队列。专家号预约可预约到指定的医生，预约成功后进入该医生的队列。</w:t>
                  </w:r>
                </w:p>
                <w:p w14:paraId="1E92057A">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t xml:space="preserve"> 1.2.8</w:t>
                  </w:r>
                  <w:r>
                    <w:rPr>
                      <w:rFonts w:hint="eastAsia"/>
                    </w:rPr>
                    <w:t>取消预约</w:t>
                  </w:r>
                </w:p>
                <w:p w14:paraId="7EBA3DD4">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支持已预约的患者取消预约，取消预约支持线上取消和线下取消，取消后的号源会被释放提供给其他患者预约。</w:t>
                  </w:r>
                </w:p>
                <w:p w14:paraId="1E418F4C">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t xml:space="preserve"> 1.2.9</w:t>
                  </w:r>
                  <w:r>
                    <w:rPr>
                      <w:rFonts w:hint="eastAsia"/>
                    </w:rPr>
                    <w:t>号源查询</w:t>
                  </w:r>
                </w:p>
                <w:p w14:paraId="350961E0">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支持查看某时间段内科室医生的预约情况，包括预约人数、剩余号源情况、总号源数、已预约未签到人数及相应的特殊预约情况。</w:t>
                  </w:r>
                </w:p>
                <w:p w14:paraId="4241BF36">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t xml:space="preserve"> 1.2.10</w:t>
                  </w:r>
                  <w:r>
                    <w:rPr>
                      <w:rFonts w:hint="eastAsia"/>
                    </w:rPr>
                    <w:t>预约记录查询</w:t>
                  </w:r>
                </w:p>
                <w:p w14:paraId="5F52920A">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支持查看指定患者的预约详情，包括预约时间、预约科室、预约状态等信息。</w:t>
                  </w:r>
                </w:p>
                <w:p w14:paraId="558DAA75">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t xml:space="preserve"> </w:t>
                  </w:r>
                  <w:r>
                    <w:rPr>
                      <w:b/>
                    </w:rPr>
                    <w:t>1.3</w:t>
                  </w:r>
                  <w:r>
                    <w:rPr>
                      <w:rFonts w:hint="eastAsia"/>
                      <w:b/>
                    </w:rPr>
                    <w:t>通知管理</w:t>
                  </w:r>
                </w:p>
                <w:p w14:paraId="575E0B94">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t xml:space="preserve"> 1.3.1</w:t>
                  </w:r>
                  <w:r>
                    <w:rPr>
                      <w:rFonts w:hint="eastAsia"/>
                    </w:rPr>
                    <w:t>预约成功通知</w:t>
                  </w:r>
                </w:p>
                <w:p w14:paraId="59EB23F8">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预约成功后，系统支持以短信、公众号等形式通知患者，包括预约信息，注意事项等。</w:t>
                  </w:r>
                </w:p>
                <w:p w14:paraId="633DA92E">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t xml:space="preserve"> 1..3.2</w:t>
                  </w:r>
                  <w:r>
                    <w:rPr>
                      <w:rFonts w:hint="eastAsia"/>
                    </w:rPr>
                    <w:t>取消预约通知</w:t>
                  </w:r>
                </w:p>
                <w:p w14:paraId="15B5292C">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取消预约成功后，系统会以短信，公众号等形式通知患者。</w:t>
                  </w:r>
                </w:p>
                <w:p w14:paraId="42D92ED7">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t xml:space="preserve"> 1.3.3</w:t>
                  </w:r>
                  <w:r>
                    <w:rPr>
                      <w:rFonts w:hint="eastAsia"/>
                    </w:rPr>
                    <w:t>候诊通知</w:t>
                  </w:r>
                </w:p>
                <w:p w14:paraId="5BBD8AFF">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患者通过公众号</w:t>
                  </w:r>
                  <w:r>
                    <w:t>/</w:t>
                  </w:r>
                  <w:r>
                    <w:rPr>
                      <w:rFonts w:hint="eastAsia"/>
                    </w:rPr>
                    <w:t>自助机</w:t>
                  </w:r>
                  <w:r>
                    <w:t>/</w:t>
                  </w:r>
                  <w:r>
                    <w:rPr>
                      <w:rFonts w:hint="eastAsia"/>
                    </w:rPr>
                    <w:t>分诊台进行签到后，提供候诊队列查询和候诊通知，告知患者候诊排队情况，提醒患者及时就诊。</w:t>
                  </w:r>
                </w:p>
                <w:p w14:paraId="0B235E5A">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t xml:space="preserve"> 1.3.4</w:t>
                  </w:r>
                  <w:r>
                    <w:rPr>
                      <w:rFonts w:hint="eastAsia"/>
                    </w:rPr>
                    <w:t>停诊通知</w:t>
                  </w:r>
                </w:p>
                <w:p w14:paraId="05B24DBB">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在医生因为某些原因无法出诊或设备无法正常使用时，将会通过发送停诊通知告知预约患者，方便患者及时调整就诊时间。</w:t>
                  </w:r>
                </w:p>
                <w:p w14:paraId="1F494219">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b/>
                    </w:rPr>
                  </w:pPr>
                  <w:r>
                    <w:rPr>
                      <w:b/>
                    </w:rPr>
                    <w:t>1.4</w:t>
                  </w:r>
                  <w:r>
                    <w:rPr>
                      <w:rFonts w:hint="eastAsia"/>
                      <w:b/>
                    </w:rPr>
                    <w:t>排班管理</w:t>
                  </w:r>
                </w:p>
                <w:p w14:paraId="366C2B31">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系统通过完善的排班管理功能对科室医生进行排班操作。计划排班与临时排班并行满足医院日常排班需求，排班设置完成后根据排班生成号源，同时通过节假日管理和时令管理确保号源只在医院工作日内的上下班时间生成。为了满足不同科室的需求，系统支持不同科室个性化配置可预约渠道，并支持为不同渠道设置不同的可预约号源上限数，同时搭配便捷快速的停诊和替诊操作，使排班更加合理化和智能化。</w:t>
                  </w:r>
                </w:p>
                <w:p w14:paraId="03120A7C">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t>1.4.1</w:t>
                  </w:r>
                  <w:r>
                    <w:rPr>
                      <w:rFonts w:hint="eastAsia"/>
                    </w:rPr>
                    <w:t>计划排班管理</w:t>
                  </w:r>
                </w:p>
                <w:p w14:paraId="27403403">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系统支持对医生进行周期性计划排班，可根据各科室的医生资源，为每个医生设定周一到周日的排班计划，包括计划开始日期、计划结束日期、医生号别、坐诊诊室、各班次号源等。支持专家</w:t>
                  </w:r>
                  <w:r>
                    <w:t>/</w:t>
                  </w:r>
                  <w:r>
                    <w:rPr>
                      <w:rFonts w:hint="eastAsia"/>
                    </w:rPr>
                    <w:t>普通号、单医生多科室、单医生多号别、医生无固定诊室坐诊等多种排班模式，做到有计划有秩序的预约资源管理。</w:t>
                  </w:r>
                </w:p>
                <w:p w14:paraId="7F953999">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支持医生排班的模板化配置，能够根据模板动态生成排班，无需手动操作。号源提前生成天数可配置，系统根据生成的排班计划生成排班总览表，方便排班人员查看核对。</w:t>
                  </w:r>
                </w:p>
                <w:p w14:paraId="35CA1A12">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t>1.4.2</w:t>
                  </w:r>
                  <w:r>
                    <w:rPr>
                      <w:rFonts w:hint="eastAsia"/>
                    </w:rPr>
                    <w:t>临时排班管理</w:t>
                  </w:r>
                </w:p>
                <w:p w14:paraId="2D7B2E9E">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支持临时排班，可用于处理计划排班之外的排班。如法定节假日等需要特殊排班时，无需修改计划排班，只需添加临时排班即可。临时排班当日系统将按照临时排班生成号源替换原计划排班的号源。</w:t>
                  </w:r>
                </w:p>
                <w:p w14:paraId="7559F0CD">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t>1.4.3</w:t>
                  </w:r>
                  <w:r>
                    <w:rPr>
                      <w:rFonts w:hint="eastAsia"/>
                    </w:rPr>
                    <w:t>多渠道号源限制</w:t>
                  </w:r>
                </w:p>
                <w:p w14:paraId="2E3DE0DA">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系统支持对自助机、公众号、网站等各预约渠道号源数的上限进行限制。例如：总号源为</w:t>
                  </w:r>
                  <w:r>
                    <w:t>50</w:t>
                  </w:r>
                  <w:r>
                    <w:rPr>
                      <w:rFonts w:hint="eastAsia"/>
                    </w:rPr>
                    <w:t>，可设置自助机可预约数为</w:t>
                  </w:r>
                  <w:r>
                    <w:t>20</w:t>
                  </w:r>
                  <w:r>
                    <w:rPr>
                      <w:rFonts w:hint="eastAsia"/>
                    </w:rPr>
                    <w:t>，公众号可预约数为</w:t>
                  </w:r>
                  <w:r>
                    <w:t>30</w:t>
                  </w:r>
                  <w:r>
                    <w:rPr>
                      <w:rFonts w:hint="eastAsia"/>
                    </w:rPr>
                    <w:t>。则自助机最多可预约</w:t>
                  </w:r>
                  <w:r>
                    <w:t>20</w:t>
                  </w:r>
                  <w:r>
                    <w:rPr>
                      <w:rFonts w:hint="eastAsia"/>
                    </w:rPr>
                    <w:t>个号源，公众号最多可预约</w:t>
                  </w:r>
                  <w:r>
                    <w:t>30</w:t>
                  </w:r>
                  <w:r>
                    <w:rPr>
                      <w:rFonts w:hint="eastAsia"/>
                    </w:rPr>
                    <w:t>个号源。</w:t>
                  </w:r>
                </w:p>
                <w:p w14:paraId="1006C198">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t>1.4.4</w:t>
                  </w:r>
                  <w:r>
                    <w:rPr>
                      <w:rFonts w:hint="eastAsia"/>
                    </w:rPr>
                    <w:t>节假日管理</w:t>
                  </w:r>
                </w:p>
                <w:p w14:paraId="050B1E4C">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系统支持法定节假日时全院级的休假及补班管理。</w:t>
                  </w:r>
                </w:p>
                <w:p w14:paraId="7BE17C87">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支持法定节假日指定选择日期进行全院休假处理，如可设定</w:t>
                  </w:r>
                  <w:r>
                    <w:t>10</w:t>
                  </w:r>
                  <w:r>
                    <w:rPr>
                      <w:rFonts w:hint="eastAsia"/>
                    </w:rPr>
                    <w:t>月</w:t>
                  </w:r>
                  <w:r>
                    <w:t>1</w:t>
                  </w:r>
                  <w:r>
                    <w:rPr>
                      <w:rFonts w:hint="eastAsia"/>
                    </w:rPr>
                    <w:t>日到</w:t>
                  </w:r>
                  <w:r>
                    <w:t>10</w:t>
                  </w:r>
                  <w:r>
                    <w:rPr>
                      <w:rFonts w:hint="eastAsia"/>
                    </w:rPr>
                    <w:t>月</w:t>
                  </w:r>
                  <w:r>
                    <w:t>3</w:t>
                  </w:r>
                  <w:r>
                    <w:rPr>
                      <w:rFonts w:hint="eastAsia"/>
                    </w:rPr>
                    <w:t>日全院休假，则这期间不生成号源，无法预约。</w:t>
                  </w:r>
                </w:p>
                <w:p w14:paraId="400ECD56">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支持选择指定日期补周几的班，如设定</w:t>
                  </w:r>
                  <w:r>
                    <w:t>10</w:t>
                  </w:r>
                  <w:r>
                    <w:rPr>
                      <w:rFonts w:hint="eastAsia"/>
                    </w:rPr>
                    <w:t>月</w:t>
                  </w:r>
                  <w:r>
                    <w:t>4</w:t>
                  </w:r>
                  <w:r>
                    <w:rPr>
                      <w:rFonts w:hint="eastAsia"/>
                    </w:rPr>
                    <w:t>日全院补周五的班，则</w:t>
                  </w:r>
                  <w:r>
                    <w:t>10</w:t>
                  </w:r>
                  <w:r>
                    <w:rPr>
                      <w:rFonts w:hint="eastAsia"/>
                    </w:rPr>
                    <w:t>月</w:t>
                  </w:r>
                  <w:r>
                    <w:t>4</w:t>
                  </w:r>
                  <w:r>
                    <w:rPr>
                      <w:rFonts w:hint="eastAsia"/>
                    </w:rPr>
                    <w:t>日这天系统会根据周五的排班生成号源。</w:t>
                  </w:r>
                </w:p>
                <w:p w14:paraId="0A985950">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t>1.4.5</w:t>
                  </w:r>
                  <w:r>
                    <w:rPr>
                      <w:rFonts w:hint="eastAsia"/>
                    </w:rPr>
                    <w:t>替诊管理</w:t>
                  </w:r>
                </w:p>
                <w:p w14:paraId="3DFEB70C">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出现排班医生无法正常出诊，需要该科室的其他医生替代排班医生进行看诊时，排班管理人员可通过替诊管理将已预约排班的患者转移到替诊的医生手中，并发送替诊通知告知预约患者（需要院内支持短信</w:t>
                  </w:r>
                  <w:r>
                    <w:t>/</w:t>
                  </w:r>
                  <w:r>
                    <w:rPr>
                      <w:rFonts w:hint="eastAsia"/>
                    </w:rPr>
                    <w:t>消息推送接口对接）。</w:t>
                  </w:r>
                </w:p>
                <w:p w14:paraId="3B186F76">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t>1.4.6</w:t>
                  </w:r>
                  <w:r>
                    <w:rPr>
                      <w:rFonts w:hint="eastAsia"/>
                    </w:rPr>
                    <w:t>停诊管理</w:t>
                  </w:r>
                </w:p>
                <w:p w14:paraId="56113D60">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支持医生单次停诊和周期性停诊。停诊后将通过短信、微信公众号等渠道发送停诊通知（基于院内支持的通知渠道），提前告知已预约该医生的患者。</w:t>
                  </w:r>
                </w:p>
                <w:p w14:paraId="32BED7E6">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同时系统支持对于已停诊的医生进行一键恢复，恢复原定的计划排班并生成号源。</w:t>
                  </w:r>
                </w:p>
                <w:p w14:paraId="1B87358F">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t>1.4.7</w:t>
                  </w:r>
                  <w:r>
                    <w:rPr>
                      <w:rFonts w:hint="eastAsia"/>
                    </w:rPr>
                    <w:t>号源管理</w:t>
                  </w:r>
                </w:p>
                <w:p w14:paraId="7F42735D">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在号源详情管理可以查看所有已生成的号源信息，包括科室医生的号源使用情况和具体的号源预约信息。支持对指定医生、指定班次进行停诊及加号操作。</w:t>
                  </w:r>
                </w:p>
                <w:p w14:paraId="0FD73C61">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t>1.4.8</w:t>
                  </w:r>
                  <w:r>
                    <w:rPr>
                      <w:rFonts w:hint="eastAsia"/>
                    </w:rPr>
                    <w:t>时令管理</w:t>
                  </w:r>
                </w:p>
                <w:p w14:paraId="3ECAEDE4">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支持冬、夏时令的维护管理，医院可设定冬、夏时令开始日期与结束日期，也可根据医院提供的其他时令设定不同的排班作息时间。</w:t>
                  </w:r>
                </w:p>
              </w:tc>
            </w:tr>
            <w:tr w14:paraId="651AE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3" w:type="dxa"/>
                  <w:vMerge w:val="continue"/>
                  <w:tcBorders>
                    <w:top w:val="single" w:color="auto" w:sz="4" w:space="0"/>
                    <w:left w:val="single" w:color="auto" w:sz="4" w:space="0"/>
                    <w:bottom w:val="single" w:color="auto" w:sz="4" w:space="0"/>
                    <w:right w:val="single" w:color="auto" w:sz="4" w:space="0"/>
                  </w:tcBorders>
                  <w:noWrap w:val="0"/>
                  <w:vAlign w:val="center"/>
                </w:tcPr>
                <w:p w14:paraId="66125252">
                  <w:pPr>
                    <w:widowControl/>
                    <w:jc w:val="left"/>
                    <w:rPr>
                      <w:rFonts w:ascii="宋体" w:hAnsi="宋体" w:cs="宋体"/>
                      <w:b/>
                      <w:color w:val="000000"/>
                      <w:sz w:val="20"/>
                      <w:szCs w:val="20"/>
                    </w:rPr>
                  </w:pPr>
                </w:p>
              </w:tc>
              <w:tc>
                <w:tcPr>
                  <w:tcW w:w="804" w:type="dxa"/>
                  <w:vMerge w:val="restart"/>
                  <w:tcBorders>
                    <w:top w:val="single" w:color="auto" w:sz="4" w:space="0"/>
                    <w:left w:val="single" w:color="auto" w:sz="4" w:space="0"/>
                    <w:bottom w:val="single" w:color="auto" w:sz="4" w:space="0"/>
                    <w:right w:val="single" w:color="auto" w:sz="4" w:space="0"/>
                  </w:tcBorders>
                  <w:noWrap w:val="0"/>
                  <w:vAlign w:val="center"/>
                </w:tcPr>
                <w:p w14:paraId="5087DA41">
                  <w:pPr>
                    <w:rPr>
                      <w:rFonts w:ascii="宋体" w:hAnsi="宋体" w:cs="宋体"/>
                      <w:color w:val="000000"/>
                      <w:sz w:val="21"/>
                      <w:szCs w:val="21"/>
                    </w:rPr>
                  </w:pPr>
                  <w:r>
                    <w:rPr>
                      <w:rFonts w:hint="eastAsia"/>
                      <w:color w:val="000000"/>
                      <w:sz w:val="21"/>
                      <w:szCs w:val="21"/>
                    </w:rPr>
                    <w:t>就诊服务</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60C4BC06">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sz w:val="21"/>
                      <w:szCs w:val="21"/>
                    </w:rPr>
                  </w:pPr>
                  <w:r>
                    <w:rPr>
                      <w:rFonts w:hint="eastAsia"/>
                      <w:color w:val="000000"/>
                      <w:sz w:val="21"/>
                      <w:szCs w:val="21"/>
                    </w:rPr>
                    <w:t>挂号方式</w:t>
                  </w:r>
                </w:p>
              </w:tc>
              <w:tc>
                <w:tcPr>
                  <w:tcW w:w="7748" w:type="dxa"/>
                  <w:tcBorders>
                    <w:top w:val="single" w:color="auto" w:sz="4" w:space="0"/>
                    <w:left w:val="single" w:color="auto" w:sz="4" w:space="0"/>
                    <w:bottom w:val="single" w:color="auto" w:sz="4" w:space="0"/>
                    <w:right w:val="single" w:color="auto" w:sz="4" w:space="0"/>
                  </w:tcBorders>
                  <w:noWrap/>
                  <w:vAlign w:val="center"/>
                </w:tcPr>
                <w:p w14:paraId="2270BE08">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b/>
                      <w:sz w:val="24"/>
                      <w:szCs w:val="24"/>
                    </w:rPr>
                  </w:pPr>
                  <w:r>
                    <w:rPr>
                      <w:rFonts w:hint="eastAsia"/>
                      <w:b/>
                      <w:sz w:val="24"/>
                      <w:szCs w:val="24"/>
                    </w:rPr>
                    <w:t>门急诊挂号收费系统</w:t>
                  </w:r>
                </w:p>
                <w:p w14:paraId="1726B417">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门急诊挂号收费系统主要针对患者信息以及收费结算的管理系统，通过系统进行病人注册挂号、就诊卡管理以及门急诊费用的结算收费退费。患者入院后到收费处进行注册信息获取院内就诊卡以便后续的就诊，通过身份证或医保卡的方式读取病人信息减少收费员的操作录入成本，并且可依据患者的简述帮助患者直接进行院内科室的挂号和缴费。</w:t>
                  </w:r>
                </w:p>
                <w:p w14:paraId="2774D5BA">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b/>
                    </w:rPr>
                  </w:pPr>
                  <w:r>
                    <w:rPr>
                      <w:rFonts w:hint="eastAsia"/>
                      <w:b/>
                    </w:rPr>
                    <w:t>注册登记</w:t>
                  </w:r>
                  <w:r>
                    <w:rPr>
                      <w:b/>
                    </w:rPr>
                    <w:t>/</w:t>
                  </w:r>
                  <w:r>
                    <w:rPr>
                      <w:rFonts w:hint="eastAsia"/>
                      <w:b/>
                    </w:rPr>
                    <w:t>实名建档</w:t>
                  </w:r>
                </w:p>
                <w:p w14:paraId="49967369">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病人注册</w:t>
                  </w:r>
                </w:p>
                <w:p w14:paraId="403CC4C7">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患者入院时通过收费员进行病人信息注册获取院内就诊卡方便后续的就诊，收款员可通过就诊卡、身份证、居民健康卡、社会保障卡、金融</w:t>
                  </w:r>
                  <w:r>
                    <w:t>IC</w:t>
                  </w:r>
                  <w:r>
                    <w:rPr>
                      <w:rFonts w:hint="eastAsia"/>
                    </w:rPr>
                    <w:t>卡、市民服务卡等读取患者的基本信息，减少录入成本和准确性，提高注册效率。注册完成后在患者需要的情况下可帮助患者进行挂号预约。</w:t>
                  </w:r>
                </w:p>
                <w:p w14:paraId="1F382455">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b/>
                    </w:rPr>
                  </w:pPr>
                  <w:r>
                    <w:rPr>
                      <w:rFonts w:hint="eastAsia"/>
                      <w:b/>
                    </w:rPr>
                    <w:t>病人信息修改</w:t>
                  </w:r>
                </w:p>
                <w:p w14:paraId="103E3348">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针对于已注册患者，部分信息录入存在问题或者如电话信息更新时允许在此进行修改更新，提供修改日志查询，做到有据可循保障管理者的追溯。</w:t>
                  </w:r>
                </w:p>
                <w:p w14:paraId="59370F78">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b/>
                    </w:rPr>
                  </w:pPr>
                  <w:r>
                    <w:rPr>
                      <w:rFonts w:hint="eastAsia"/>
                      <w:b/>
                    </w:rPr>
                    <w:t>就诊卡管理</w:t>
                  </w:r>
                </w:p>
                <w:p w14:paraId="04410AE5">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患者入院注册后提供院内就诊卡，就诊卡是患者在院内的身份标识，通过卡号和</w:t>
                  </w:r>
                  <w:r>
                    <w:t>ID</w:t>
                  </w:r>
                  <w:r>
                    <w:rPr>
                      <w:rFonts w:hint="eastAsia"/>
                    </w:rPr>
                    <w:t>关联相应的患者就诊信息。患者可根据就诊卡进行就诊，收费员通过就诊卡管理进行卡的换卡、补卡、退卡等管理操作。</w:t>
                  </w:r>
                </w:p>
                <w:p w14:paraId="1C6CB6D9">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b/>
                    </w:rPr>
                  </w:pPr>
                  <w:r>
                    <w:rPr>
                      <w:rFonts w:hint="eastAsia"/>
                      <w:b/>
                    </w:rPr>
                    <w:t>换卡</w:t>
                  </w:r>
                </w:p>
                <w:p w14:paraId="736DE1BC">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当患者的实体卡存在特殊异常时，允许患者到收费窗口进行实体卡的更换，更换后患者信息会更新新的卡号，并将原卡号携带的余额自动转入到新卡中，同时系统将旧卡作废。</w:t>
                  </w:r>
                </w:p>
                <w:p w14:paraId="06306689">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b/>
                    </w:rPr>
                  </w:pPr>
                  <w:r>
                    <w:rPr>
                      <w:rFonts w:hint="eastAsia"/>
                      <w:b/>
                    </w:rPr>
                    <w:t>补卡</w:t>
                  </w:r>
                </w:p>
                <w:p w14:paraId="6539E8E9">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支持补卡，患者身份信息读取补卡。根据患者的身份证号、姓名、年龄、家庭住址、联系方式等属性检索患者信息，查询患者记录，系统自动读取患者历次办理的就诊卡号，确认患者身份之后，补发新卡。</w:t>
                  </w:r>
                </w:p>
                <w:p w14:paraId="58B58A39">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b/>
                    </w:rPr>
                  </w:pPr>
                  <w:r>
                    <w:rPr>
                      <w:rFonts w:hint="eastAsia"/>
                      <w:b/>
                    </w:rPr>
                    <w:t>退卡</w:t>
                  </w:r>
                </w:p>
                <w:p w14:paraId="5B6B2DC9">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当患者在院就诊完成且有意向对院内卡进行退卡时，收费员支持在就诊卡管理中对患者进行退卡并返还办卡押金，退卡前需要确保患者未欠费或存在余额，患者待下次入院仍可重新办理新的就诊卡。</w:t>
                  </w:r>
                </w:p>
                <w:p w14:paraId="7B1B8161">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b/>
                    </w:rPr>
                  </w:pPr>
                  <w:r>
                    <w:rPr>
                      <w:rFonts w:hint="eastAsia"/>
                      <w:b/>
                    </w:rPr>
                    <w:t>挂失</w:t>
                  </w:r>
                </w:p>
                <w:p w14:paraId="3E225AD4">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当患者意外将就诊卡丢失时支持到收费窗口进行就诊卡挂失，挂失后该就诊卡将停止使用，保护了患者的院内费用安全，防止他人拾到冒名顶替而产生不必要的麻烦，挂失时遇到病人存在未完成的项目，系统将友情提示收费员是否继续挂失行为。</w:t>
                  </w:r>
                </w:p>
                <w:p w14:paraId="5EA247AF">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b/>
                    </w:rPr>
                  </w:pPr>
                  <w:r>
                    <w:rPr>
                      <w:rFonts w:hint="eastAsia"/>
                      <w:b/>
                    </w:rPr>
                    <w:t>就诊卡修改记录</w:t>
                  </w:r>
                </w:p>
                <w:p w14:paraId="0345AA8A">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就诊卡的每次修改操作都将记录到系统中，并通过日志查询到操作人以及修改前后信息，这样保障系统中数据变更有迹可循。</w:t>
                  </w:r>
                </w:p>
                <w:p w14:paraId="6C0B5A5E">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b/>
                    </w:rPr>
                  </w:pPr>
                  <w:r>
                    <w:rPr>
                      <w:rFonts w:hint="eastAsia"/>
                      <w:b/>
                    </w:rPr>
                    <w:t>挂号服务</w:t>
                  </w:r>
                </w:p>
                <w:p w14:paraId="191361B8">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系统支持患者通过就诊卡、身份证、居民健康卡、社会保障卡、金融</w:t>
                  </w:r>
                  <w:r>
                    <w:t>IC</w:t>
                  </w:r>
                  <w:r>
                    <w:rPr>
                      <w:rFonts w:hint="eastAsia"/>
                    </w:rPr>
                    <w:t>卡、市民服务卡等读取患者的身份信息，通过患者信息办理就诊卡号相关联，为患者建档发卡，再根据患者基本情况为患者进行相应科室的挂号。</w:t>
                  </w:r>
                </w:p>
                <w:p w14:paraId="2B9D3532">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b/>
                    </w:rPr>
                  </w:pPr>
                  <w:r>
                    <w:rPr>
                      <w:rFonts w:hint="eastAsia"/>
                      <w:b/>
                    </w:rPr>
                    <w:t>注册挂号</w:t>
                  </w:r>
                </w:p>
                <w:p w14:paraId="0B31533A">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患者挂号时可选择现场挂号、预约挂号、复诊挂号、分时段挂号等不同类型的挂号服务。系统提供患者基本信息录入、患者信息修改、配置挂号限制规则，允许同一个患者同时挂多个门诊号源，支持患者选择就诊医生。收费员可实时参考各门诊当日限额与已挂号人数，确定是否允许挂号，合理分配号源避免挂号扎堆的情况产生。</w:t>
                  </w:r>
                </w:p>
                <w:p w14:paraId="73DB0C15">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b/>
                    </w:rPr>
                  </w:pPr>
                  <w:r>
                    <w:rPr>
                      <w:rFonts w:hint="eastAsia"/>
                      <w:b/>
                    </w:rPr>
                    <w:t>挂号结算</w:t>
                  </w:r>
                </w:p>
                <w:p w14:paraId="60FF672E">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结算时根据患者选择的挂号科室、就诊医生和就诊身份类别，结算患者挂号、换号、退号等相关费用。对医保患者，结算费用包括医保统筹支付金额、医保账户支付金额、个人自费金额等不同内容。患者通过多种支付方式完成线上或线下支付。</w:t>
                  </w:r>
                </w:p>
                <w:p w14:paraId="312A51E7">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b/>
                    </w:rPr>
                  </w:pPr>
                  <w:r>
                    <w:rPr>
                      <w:rFonts w:hint="eastAsia"/>
                      <w:b/>
                    </w:rPr>
                    <w:t>挂号查询</w:t>
                  </w:r>
                </w:p>
                <w:p w14:paraId="3A29DE21">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每天窗口人工服务或自助服务等渠道挂号、换号、退号等相关费用的详细信息可通过挂号查询界面进行查阅，并且能够查看到该挂号的就诊状态。支持根据患者姓名、挂号类型以及科室挂号人等查询条件对相关数据进行查询。</w:t>
                  </w:r>
                </w:p>
                <w:p w14:paraId="2A17F302">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b/>
                    </w:rPr>
                  </w:pPr>
                  <w:r>
                    <w:rPr>
                      <w:rFonts w:hint="eastAsia"/>
                      <w:b/>
                    </w:rPr>
                    <w:t>退号</w:t>
                  </w:r>
                </w:p>
                <w:p w14:paraId="120EC99B">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收费员能够查看到患者近期的挂号信息，对于尚未就诊的号源支持退号操作，默认按原支付方式进行退款，涉及医保支付费用需通过医保接口做相应处理。</w:t>
                  </w:r>
                </w:p>
              </w:tc>
            </w:tr>
            <w:tr w14:paraId="107BB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3" w:type="dxa"/>
                  <w:vMerge w:val="continue"/>
                  <w:tcBorders>
                    <w:top w:val="single" w:color="auto" w:sz="4" w:space="0"/>
                    <w:left w:val="single" w:color="auto" w:sz="4" w:space="0"/>
                    <w:bottom w:val="single" w:color="auto" w:sz="4" w:space="0"/>
                    <w:right w:val="single" w:color="auto" w:sz="4" w:space="0"/>
                  </w:tcBorders>
                  <w:noWrap w:val="0"/>
                  <w:vAlign w:val="center"/>
                </w:tcPr>
                <w:p w14:paraId="25769EA3">
                  <w:pPr>
                    <w:widowControl/>
                    <w:jc w:val="left"/>
                    <w:rPr>
                      <w:rFonts w:ascii="宋体" w:hAnsi="宋体" w:cs="宋体"/>
                      <w:b/>
                      <w:color w:val="000000"/>
                      <w:sz w:val="20"/>
                      <w:szCs w:val="20"/>
                    </w:rPr>
                  </w:pPr>
                </w:p>
              </w:tc>
              <w:tc>
                <w:tcPr>
                  <w:tcW w:w="804" w:type="dxa"/>
                  <w:vMerge w:val="continue"/>
                  <w:tcBorders>
                    <w:top w:val="single" w:color="auto" w:sz="4" w:space="0"/>
                    <w:left w:val="single" w:color="auto" w:sz="4" w:space="0"/>
                    <w:bottom w:val="single" w:color="auto" w:sz="4" w:space="0"/>
                    <w:right w:val="single" w:color="auto" w:sz="4" w:space="0"/>
                  </w:tcBorders>
                  <w:noWrap w:val="0"/>
                  <w:vAlign w:val="center"/>
                </w:tcPr>
                <w:p w14:paraId="7F28D532">
                  <w:pPr>
                    <w:widowControl/>
                    <w:jc w:val="left"/>
                    <w:rPr>
                      <w:rFonts w:ascii="宋体" w:hAnsi="宋体" w:cs="宋体"/>
                      <w:color w:val="000000"/>
                      <w:sz w:val="20"/>
                      <w:szCs w:val="20"/>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21637AD1">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sz w:val="21"/>
                      <w:szCs w:val="21"/>
                    </w:rPr>
                  </w:pPr>
                  <w:r>
                    <w:rPr>
                      <w:rFonts w:hint="eastAsia"/>
                      <w:color w:val="000000"/>
                      <w:sz w:val="21"/>
                      <w:szCs w:val="21"/>
                    </w:rPr>
                    <w:t>排队叫号</w:t>
                  </w:r>
                </w:p>
              </w:tc>
              <w:tc>
                <w:tcPr>
                  <w:tcW w:w="7748" w:type="dxa"/>
                  <w:tcBorders>
                    <w:top w:val="single" w:color="auto" w:sz="4" w:space="0"/>
                    <w:left w:val="single" w:color="auto" w:sz="4" w:space="0"/>
                    <w:bottom w:val="single" w:color="auto" w:sz="4" w:space="0"/>
                    <w:right w:val="single" w:color="auto" w:sz="4" w:space="0"/>
                  </w:tcBorders>
                  <w:noWrap/>
                  <w:vAlign w:val="center"/>
                </w:tcPr>
                <w:p w14:paraId="3CF174F5">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b/>
                      <w:sz w:val="24"/>
                      <w:szCs w:val="24"/>
                    </w:rPr>
                  </w:pPr>
                  <w:r>
                    <w:rPr>
                      <w:rFonts w:hint="eastAsia"/>
                      <w:b/>
                      <w:sz w:val="24"/>
                      <w:szCs w:val="24"/>
                    </w:rPr>
                    <w:t>门诊分诊管理</w:t>
                  </w:r>
                </w:p>
                <w:p w14:paraId="1A7DDBEA">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门诊分诊管理帮助分诊人员根据情况，可调整患者看诊优先次序，可通过签到、回诊上屏、优先叫号等分诊规则实现分诊队列调整，解决患者在看病中所遇到的各种排队、拥挤和混乱等现象，避免患者反复进出诊室、打乱诊疗秩序。</w:t>
                  </w:r>
                </w:p>
                <w:p w14:paraId="47DD9156">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b/>
                    </w:rPr>
                  </w:pPr>
                  <w:r>
                    <w:rPr>
                      <w:b/>
                    </w:rPr>
                    <w:t>1.1</w:t>
                  </w:r>
                  <w:r>
                    <w:rPr>
                      <w:rFonts w:hint="eastAsia"/>
                      <w:b/>
                    </w:rPr>
                    <w:t>查看候诊情况</w:t>
                  </w:r>
                </w:p>
                <w:p w14:paraId="5F5105A1">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支持分诊台护士在队列管理中对多个诊室队列进行管理，可实时同步各科室的候诊情况，帮助护士实时掌握候诊情况，包括未签到、候诊、呼叫中、已过号、已就诊等排队情况。护士还可查看号源使用情况及呼叫情况。</w:t>
                  </w:r>
                </w:p>
                <w:p w14:paraId="71EA816E">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b/>
                    </w:rPr>
                  </w:pPr>
                  <w:r>
                    <w:rPr>
                      <w:b/>
                    </w:rPr>
                    <w:t>1.2</w:t>
                  </w:r>
                  <w:r>
                    <w:rPr>
                      <w:rFonts w:hint="eastAsia"/>
                      <w:b/>
                    </w:rPr>
                    <w:t>签到管理</w:t>
                  </w:r>
                </w:p>
                <w:p w14:paraId="72595171">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t>1.2.1.</w:t>
                  </w:r>
                  <w:r>
                    <w:rPr>
                      <w:rFonts w:hint="eastAsia"/>
                    </w:rPr>
                    <w:t>正常签到时间规则</w:t>
                  </w:r>
                </w:p>
                <w:p w14:paraId="4FA68EB0">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可设置提前多少分钟、延后多少分钟可签到。例如：设置提前</w:t>
                  </w:r>
                  <w:r>
                    <w:t>30</w:t>
                  </w:r>
                  <w:r>
                    <w:rPr>
                      <w:rFonts w:hint="eastAsia"/>
                    </w:rPr>
                    <w:t>分钟、延后</w:t>
                  </w:r>
                  <w:r>
                    <w:t>30</w:t>
                  </w:r>
                  <w:r>
                    <w:rPr>
                      <w:rFonts w:hint="eastAsia"/>
                    </w:rPr>
                    <w:t>分钟，则预约到</w:t>
                  </w:r>
                  <w:r>
                    <w:t>8:00-8:30</w:t>
                  </w:r>
                  <w:r>
                    <w:rPr>
                      <w:rFonts w:hint="eastAsia"/>
                    </w:rPr>
                    <w:t>的患者，可在</w:t>
                  </w:r>
                  <w:r>
                    <w:t>7:30-9:00</w:t>
                  </w:r>
                  <w:r>
                    <w:rPr>
                      <w:rFonts w:hint="eastAsia"/>
                    </w:rPr>
                    <w:t>正常签到。</w:t>
                  </w:r>
                </w:p>
                <w:p w14:paraId="694D5521">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或可设置各班次的具体可签到时间。例如：设置上午号源可签到时间为</w:t>
                  </w:r>
                  <w:r>
                    <w:t>7:30-12:00</w:t>
                  </w:r>
                  <w:r>
                    <w:rPr>
                      <w:rFonts w:hint="eastAsia"/>
                    </w:rPr>
                    <w:t>，则预约在上午时段的患者在</w:t>
                  </w:r>
                  <w:r>
                    <w:t>7:30-12:00</w:t>
                  </w:r>
                  <w:r>
                    <w:rPr>
                      <w:rFonts w:hint="eastAsia"/>
                    </w:rPr>
                    <w:t>都可以正常签到。</w:t>
                  </w:r>
                </w:p>
                <w:p w14:paraId="47C0EC2B">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t>1.2.2.</w:t>
                  </w:r>
                  <w:r>
                    <w:rPr>
                      <w:rFonts w:hint="eastAsia"/>
                    </w:rPr>
                    <w:t>正常签到候诊顺序</w:t>
                  </w:r>
                </w:p>
                <w:p w14:paraId="14166202">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若根据时间段预约，则预约在同一时段内的患者，先签到先就诊。</w:t>
                  </w:r>
                </w:p>
                <w:p w14:paraId="41505D60">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若根据时间点预约，则按照患者预约号源的先后顺序进行排队候诊。</w:t>
                  </w:r>
                </w:p>
                <w:p w14:paraId="08B2839F">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b/>
                    </w:rPr>
                  </w:pPr>
                  <w:r>
                    <w:rPr>
                      <w:b/>
                    </w:rPr>
                    <w:t>1.3</w:t>
                  </w:r>
                  <w:r>
                    <w:rPr>
                      <w:rFonts w:hint="eastAsia"/>
                      <w:b/>
                    </w:rPr>
                    <w:t>迟到管理</w:t>
                  </w:r>
                </w:p>
                <w:p w14:paraId="26EDC528">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主要针对未能按时签到的患者设定的管理规则。迟到规则支持对迟到时间范围进行设置，例如：可设置超过预约时间</w:t>
                  </w:r>
                  <w:r>
                    <w:t>30</w:t>
                  </w:r>
                  <w:r>
                    <w:rPr>
                      <w:rFonts w:hint="eastAsia"/>
                    </w:rPr>
                    <w:t>分钟后未签到视为迟到。</w:t>
                  </w:r>
                </w:p>
                <w:p w14:paraId="3728FF89">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迟到规则支持对迟到患者设置延后看诊顺序。</w:t>
                  </w:r>
                </w:p>
                <w:p w14:paraId="1C6F137B">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t>1.3.1.</w:t>
                  </w:r>
                  <w:r>
                    <w:rPr>
                      <w:rFonts w:hint="eastAsia"/>
                    </w:rPr>
                    <w:t>迟到患者原预约号源失效，患者需重新预约。</w:t>
                  </w:r>
                </w:p>
                <w:p w14:paraId="74D81CB6">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t>1.3.2.</w:t>
                  </w:r>
                  <w:r>
                    <w:rPr>
                      <w:rFonts w:hint="eastAsia"/>
                    </w:rPr>
                    <w:t>迟到患者签到后排在当前时间段的最后一个，即医生优先看诊同一时段未迟到的患者。</w:t>
                  </w:r>
                </w:p>
                <w:p w14:paraId="5F6986BD">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t>1.3.3.</w:t>
                  </w:r>
                  <w:r>
                    <w:rPr>
                      <w:rFonts w:hint="eastAsia"/>
                    </w:rPr>
                    <w:t>迟到患者签到后自动延后几位。</w:t>
                  </w:r>
                </w:p>
                <w:p w14:paraId="633E1359">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t>1</w:t>
                  </w:r>
                  <w:r>
                    <w:rPr>
                      <w:b/>
                    </w:rPr>
                    <w:t>.4</w:t>
                  </w:r>
                  <w:r>
                    <w:rPr>
                      <w:rFonts w:hint="eastAsia"/>
                      <w:b/>
                    </w:rPr>
                    <w:t>过号管理</w:t>
                  </w:r>
                </w:p>
                <w:p w14:paraId="5988068E">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主要针对已签到但是未能及时就诊的患者进行二次叫号。系统支持多种过号规则。</w:t>
                  </w:r>
                </w:p>
                <w:p w14:paraId="33E167F2">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t>1.4.1.</w:t>
                  </w:r>
                  <w:r>
                    <w:rPr>
                      <w:rFonts w:hint="eastAsia"/>
                    </w:rPr>
                    <w:t>过号患者安排在当前时间段的最后一位。</w:t>
                  </w:r>
                </w:p>
                <w:p w14:paraId="6554DBA1">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t>1.4.2.</w:t>
                  </w:r>
                  <w:r>
                    <w:rPr>
                      <w:rFonts w:hint="eastAsia"/>
                    </w:rPr>
                    <w:t>过号后自动延后几位。</w:t>
                  </w:r>
                </w:p>
                <w:p w14:paraId="0BE3C232">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b/>
                    </w:rPr>
                  </w:pPr>
                  <w:r>
                    <w:rPr>
                      <w:b/>
                    </w:rPr>
                    <w:t>1.5</w:t>
                  </w:r>
                  <w:r>
                    <w:rPr>
                      <w:rFonts w:hint="eastAsia"/>
                      <w:b/>
                    </w:rPr>
                    <w:t>回诊管理</w:t>
                  </w:r>
                </w:p>
                <w:p w14:paraId="314EA622">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患者优先回诊到原医生，若回诊当天跨班次原医生无排班，则可选择同科室其他医生进行回诊。</w:t>
                  </w:r>
                </w:p>
                <w:p w14:paraId="7D80FAB0">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t>1.5.1.</w:t>
                  </w:r>
                  <w:r>
                    <w:rPr>
                      <w:rFonts w:hint="eastAsia"/>
                    </w:rPr>
                    <w:t>回诊天数管理</w:t>
                  </w:r>
                </w:p>
                <w:p w14:paraId="64E86960">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回诊规则用于配置回诊患者的预约规则，回诊规则支持设置可回诊天数，例如：设置回诊天数设为</w:t>
                  </w:r>
                  <w:r>
                    <w:t>3</w:t>
                  </w:r>
                  <w:r>
                    <w:rPr>
                      <w:rFonts w:hint="eastAsia"/>
                    </w:rPr>
                    <w:t>，则</w:t>
                  </w:r>
                  <w:r>
                    <w:t>3</w:t>
                  </w:r>
                  <w:r>
                    <w:rPr>
                      <w:rFonts w:hint="eastAsia"/>
                    </w:rPr>
                    <w:t>天内患者看诊相同科室时无需重新挂号，直接到院进行回诊签到即可。</w:t>
                  </w:r>
                </w:p>
                <w:p w14:paraId="06B53E15">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t>1.5.2.</w:t>
                  </w:r>
                  <w:r>
                    <w:rPr>
                      <w:rFonts w:hint="eastAsia"/>
                    </w:rPr>
                    <w:t>回诊顺序管理</w:t>
                  </w:r>
                </w:p>
                <w:p w14:paraId="67664F08">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支持对回诊患者候诊队列顺序进行配置，提供多种方式可自行配置。</w:t>
                  </w:r>
                </w:p>
                <w:p w14:paraId="7DF6DE77">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可配置间隔几个初诊号插入一个回诊号，即隔几插</w:t>
                  </w:r>
                  <w:r>
                    <w:t>1</w:t>
                  </w:r>
                  <w:r>
                    <w:rPr>
                      <w:rFonts w:hint="eastAsia"/>
                    </w:rPr>
                    <w:t>。例如：设置隔</w:t>
                  </w:r>
                  <w:r>
                    <w:t>2</w:t>
                  </w:r>
                  <w:r>
                    <w:rPr>
                      <w:rFonts w:hint="eastAsia"/>
                    </w:rPr>
                    <w:t>插</w:t>
                  </w:r>
                  <w:r>
                    <w:t>1</w:t>
                  </w:r>
                  <w:r>
                    <w:rPr>
                      <w:rFonts w:hint="eastAsia"/>
                    </w:rPr>
                    <w:t>，则回诊患者签到后，分诊排队队列自动根据配置规则，在</w:t>
                  </w:r>
                  <w:r>
                    <w:t>2</w:t>
                  </w:r>
                  <w:r>
                    <w:rPr>
                      <w:rFonts w:hint="eastAsia"/>
                    </w:rPr>
                    <w:t>个初诊号源后插入</w:t>
                  </w:r>
                  <w:r>
                    <w:t>1</w:t>
                  </w:r>
                  <w:r>
                    <w:rPr>
                      <w:rFonts w:hint="eastAsia"/>
                    </w:rPr>
                    <w:t>个回诊号，即可实现</w:t>
                  </w:r>
                  <w:r>
                    <w:t>2</w:t>
                  </w:r>
                  <w:r>
                    <w:rPr>
                      <w:rFonts w:hint="eastAsia"/>
                    </w:rPr>
                    <w:t>个初诊患者、</w:t>
                  </w:r>
                  <w:r>
                    <w:t>1</w:t>
                  </w:r>
                  <w:r>
                    <w:rPr>
                      <w:rFonts w:hint="eastAsia"/>
                    </w:rPr>
                    <w:t>个回诊患者交替看诊。</w:t>
                  </w:r>
                </w:p>
                <w:p w14:paraId="04F96E29">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b/>
                    </w:rPr>
                  </w:pPr>
                  <w:r>
                    <w:rPr>
                      <w:b/>
                    </w:rPr>
                    <w:t>1.6</w:t>
                  </w:r>
                  <w:r>
                    <w:rPr>
                      <w:rFonts w:hint="eastAsia"/>
                      <w:b/>
                    </w:rPr>
                    <w:t>优先管理</w:t>
                  </w:r>
                </w:p>
                <w:p w14:paraId="0EB8DC29">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支持对老人、儿童、军人及孕妇等特殊身份的患者配置不同的优先规则。例如：可设置</w:t>
                  </w:r>
                  <w:r>
                    <w:t>70</w:t>
                  </w:r>
                  <w:r>
                    <w:rPr>
                      <w:rFonts w:hint="eastAsia"/>
                    </w:rPr>
                    <w:t>岁老人签到后自动插入到当前队列的第一位，则</w:t>
                  </w:r>
                  <w:r>
                    <w:t>70</w:t>
                  </w:r>
                  <w:r>
                    <w:rPr>
                      <w:rFonts w:hint="eastAsia"/>
                    </w:rPr>
                    <w:t>岁老人可免除长时间的等候优先看诊。</w:t>
                  </w:r>
                </w:p>
                <w:p w14:paraId="73232B80">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b/>
                    </w:rPr>
                  </w:pPr>
                  <w:r>
                    <w:rPr>
                      <w:b/>
                    </w:rPr>
                    <w:t>1.7</w:t>
                  </w:r>
                  <w:r>
                    <w:rPr>
                      <w:rFonts w:hint="eastAsia"/>
                      <w:b/>
                    </w:rPr>
                    <w:t>动态加号</w:t>
                  </w:r>
                </w:p>
                <w:p w14:paraId="1BCDB554">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分诊人员可以根据号源剩余情况及候诊情况，给指定医生进行加号，加号后患者即可在预约渠道进行预约，从而避免发生因患者迟到爽约导致医生空闲等情况。</w:t>
                  </w:r>
                </w:p>
                <w:p w14:paraId="61041FDF">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b/>
                    </w:rPr>
                  </w:pPr>
                  <w:r>
                    <w:rPr>
                      <w:b/>
                    </w:rPr>
                    <w:t>1.8</w:t>
                  </w:r>
                  <w:r>
                    <w:rPr>
                      <w:rFonts w:hint="eastAsia"/>
                      <w:b/>
                    </w:rPr>
                    <w:t>锁号管理</w:t>
                  </w:r>
                </w:p>
                <w:p w14:paraId="6BF82284">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医生临时有事无法继续看诊时，可通过锁号功能将后续未预约号源锁号，被锁号的号源无法预约。</w:t>
                  </w:r>
                </w:p>
                <w:p w14:paraId="0E71D8C7">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b/>
                    </w:rPr>
                  </w:pPr>
                  <w:r>
                    <w:rPr>
                      <w:b/>
                    </w:rPr>
                    <w:t>1.9</w:t>
                  </w:r>
                  <w:r>
                    <w:rPr>
                      <w:rFonts w:hint="eastAsia"/>
                      <w:b/>
                    </w:rPr>
                    <w:t>转诊管理</w:t>
                  </w:r>
                </w:p>
                <w:p w14:paraId="17ED1BCD">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已签到患者需要更换医生时，支持通过转诊功能，转诊到指定医生的指定号源。原号源自动释放，可给其他患者预约。</w:t>
                  </w:r>
                </w:p>
                <w:p w14:paraId="59024BF4">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b/>
                    </w:rPr>
                  </w:pPr>
                  <w:r>
                    <w:rPr>
                      <w:b/>
                    </w:rPr>
                    <w:t>1.10</w:t>
                  </w:r>
                  <w:r>
                    <w:rPr>
                      <w:rFonts w:hint="eastAsia"/>
                      <w:b/>
                    </w:rPr>
                    <w:t>诊室变更</w:t>
                  </w:r>
                </w:p>
                <w:p w14:paraId="5BFDC99D">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因特殊情况医生需要更换坐诊诊室时，可通过分诊台变更诊室，同步更新大屏显示信息，医生叫号时会通知患者到新诊室就诊。</w:t>
                  </w:r>
                </w:p>
                <w:p w14:paraId="4D8A813E">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b/>
                    </w:rPr>
                  </w:pPr>
                  <w:r>
                    <w:rPr>
                      <w:b/>
                    </w:rPr>
                    <w:t>1.11</w:t>
                  </w:r>
                  <w:r>
                    <w:rPr>
                      <w:rFonts w:hint="eastAsia"/>
                      <w:b/>
                    </w:rPr>
                    <w:t>门诊药房发药</w:t>
                  </w:r>
                </w:p>
                <w:p w14:paraId="6563FFCC">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系统自动接单后，前台发药窗口可以看到待发药列表（待上屏），系统支持手动、自动上屏。发药页面可查询待发药患者的处方信息，系统对特殊药品也进行了标识（毒麻精、冰箱药品），便于药师提醒患者保存及用药注意事项。</w:t>
                  </w:r>
                </w:p>
                <w:p w14:paraId="21B876C0">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页面针对不同发药状态的患者，也进行相应的区分，包括待上屏、正在呼叫、已下屏的患者，方便药师快速查询定位患者，系统对发药过程中各种异常情况做全面的考虑和设计，例如患者走错窗口，插卡提示患者应该到</w:t>
                  </w:r>
                  <w:r>
                    <w:t>X</w:t>
                  </w:r>
                  <w:r>
                    <w:rPr>
                      <w:rFonts w:hint="eastAsia"/>
                    </w:rPr>
                    <w:t>号窗口取药；患者长时间未取药，系统支持手动下屏等</w:t>
                  </w:r>
                </w:p>
                <w:p w14:paraId="0E82955D">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b/>
                    </w:rPr>
                  </w:pPr>
                  <w:r>
                    <w:rPr>
                      <w:b/>
                    </w:rPr>
                    <w:t>1.12</w:t>
                  </w:r>
                  <w:r>
                    <w:rPr>
                      <w:rFonts w:hint="eastAsia"/>
                      <w:b/>
                    </w:rPr>
                    <w:t>患者呼叫上屏</w:t>
                  </w:r>
                </w:p>
                <w:p w14:paraId="46F748FB">
                  <w:pPr>
                    <w:pStyle w:val="131"/>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pPr>
                  <w:r>
                    <w:rPr>
                      <w:rFonts w:hint="eastAsia"/>
                    </w:rPr>
                    <w:t>系统支持与第三方大屏系统对接，通过配置第三方大屏地址，当药师叫号上屏后，通过大屏系统呼叫患者排队取药。</w:t>
                  </w:r>
                </w:p>
              </w:tc>
            </w:tr>
            <w:tr w14:paraId="23B51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3" w:type="dxa"/>
                  <w:vMerge w:val="restart"/>
                  <w:tcBorders>
                    <w:top w:val="single" w:color="auto" w:sz="4" w:space="0"/>
                    <w:left w:val="single" w:color="auto" w:sz="4" w:space="0"/>
                    <w:bottom w:val="single" w:color="auto" w:sz="4" w:space="0"/>
                    <w:right w:val="single" w:color="auto" w:sz="4" w:space="0"/>
                  </w:tcBorders>
                  <w:noWrap/>
                  <w:vAlign w:val="center"/>
                </w:tcPr>
                <w:p w14:paraId="43573E84">
                  <w:pPr>
                    <w:rPr>
                      <w:rFonts w:ascii="宋体" w:hAnsi="宋体" w:cs="宋体"/>
                      <w:b w:val="0"/>
                      <w:bCs/>
                      <w:color w:val="000000"/>
                      <w:sz w:val="21"/>
                      <w:szCs w:val="21"/>
                    </w:rPr>
                  </w:pPr>
                  <w:r>
                    <w:rPr>
                      <w:rFonts w:hint="eastAsia"/>
                      <w:b w:val="0"/>
                      <w:bCs/>
                      <w:color w:val="000000"/>
                      <w:sz w:val="21"/>
                      <w:szCs w:val="21"/>
                    </w:rPr>
                    <w:t>医疗服务</w:t>
                  </w:r>
                </w:p>
              </w:tc>
              <w:tc>
                <w:tcPr>
                  <w:tcW w:w="804" w:type="dxa"/>
                  <w:vMerge w:val="restart"/>
                  <w:tcBorders>
                    <w:top w:val="single" w:color="auto" w:sz="4" w:space="0"/>
                    <w:left w:val="single" w:color="auto" w:sz="4" w:space="0"/>
                    <w:bottom w:val="single" w:color="auto" w:sz="4" w:space="0"/>
                    <w:right w:val="single" w:color="auto" w:sz="4" w:space="0"/>
                  </w:tcBorders>
                  <w:noWrap w:val="0"/>
                  <w:vAlign w:val="center"/>
                </w:tcPr>
                <w:p w14:paraId="246988BA">
                  <w:pPr>
                    <w:rPr>
                      <w:rFonts w:ascii="宋体" w:hAnsi="宋体" w:cs="宋体"/>
                      <w:bCs/>
                      <w:color w:val="000000"/>
                      <w:sz w:val="21"/>
                      <w:szCs w:val="21"/>
                    </w:rPr>
                  </w:pPr>
                  <w:r>
                    <w:rPr>
                      <w:rFonts w:hint="eastAsia"/>
                      <w:bCs/>
                      <w:color w:val="000000"/>
                      <w:sz w:val="21"/>
                      <w:szCs w:val="21"/>
                    </w:rPr>
                    <w:t>医疗业务（门急诊）</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76E419B3">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宋体"/>
                      <w:bCs/>
                      <w:color w:val="000000"/>
                      <w:sz w:val="21"/>
                      <w:szCs w:val="21"/>
                    </w:rPr>
                  </w:pPr>
                  <w:r>
                    <w:rPr>
                      <w:rFonts w:hint="eastAsia"/>
                      <w:bCs/>
                      <w:color w:val="000000"/>
                      <w:sz w:val="21"/>
                      <w:szCs w:val="21"/>
                    </w:rPr>
                    <w:t>门急诊电子病历</w:t>
                  </w:r>
                </w:p>
              </w:tc>
              <w:tc>
                <w:tcPr>
                  <w:tcW w:w="7748" w:type="dxa"/>
                  <w:tcBorders>
                    <w:top w:val="single" w:color="auto" w:sz="4" w:space="0"/>
                    <w:left w:val="single" w:color="auto" w:sz="4" w:space="0"/>
                    <w:bottom w:val="single" w:color="auto" w:sz="4" w:space="0"/>
                    <w:right w:val="single" w:color="auto" w:sz="4" w:space="0"/>
                  </w:tcBorders>
                  <w:noWrap/>
                  <w:vAlign w:val="center"/>
                </w:tcPr>
                <w:p w14:paraId="25BAAD96">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门诊电子病历系统</w:t>
                  </w:r>
                </w:p>
                <w:p w14:paraId="48DE3765">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门诊电子病历是在门诊医疗活动中，医护人员通过问诊、查体、辅助检查、诊断、治疗等医疗活动获得有关资料，并进行归纳、分析、整理形成的医疗活动记录。</w:t>
                  </w:r>
                </w:p>
                <w:p w14:paraId="529027DB">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门诊电子病历系统按照《病历书写基本规范》要求，确保病历书写及时、完整、规范。支持集成到医疗机构的门诊医生工作站中，采用结构化结合自由文本的录入模式书写病历，提供历史病历、检查检验报告查阅、病种引用等辅助病历快速书写。</w:t>
                  </w:r>
                </w:p>
                <w:p w14:paraId="564A9488">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门诊电子病历首页</w:t>
                  </w:r>
                </w:p>
                <w:p w14:paraId="0B6F5299">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按照《医疗机构门（急）诊病案首页质量管理规定（试行）》要求，在患者完成就诊后能按自动汇总患者一般信息、诊断、治疗费用等信息。</w:t>
                  </w:r>
                </w:p>
                <w:p w14:paraId="69802487">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病历分类和模板</w:t>
                  </w:r>
                </w:p>
                <w:p w14:paraId="79F0179D">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门诊电子病历主要包括初诊电子病历、复诊电子病历、电子传染病报告、电子出生证明和电子死亡医学证明等。</w:t>
                  </w:r>
                </w:p>
                <w:p w14:paraId="3D29167D">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提供结构化病历模板、内容段落模板两级模板。结构化模板可包含单选项、多选项、必填项、填空、不可修改文本等元素，在病历书写过程中更好的引导和提示医生书写内容的形式和必填项。</w:t>
                  </w:r>
                </w:p>
                <w:p w14:paraId="54CFC185">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病历内容</w:t>
                  </w:r>
                </w:p>
                <w:p w14:paraId="36513FBF">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门诊病历首页内容包括患者姓名、性别、出生年月日、民族、婚姻状况、职业、工作单位、住址、药物过敏史等项目。病历记录书写内容包括初诊标识、就诊时间、科别、主诉、现病史、既往史，阳性体征、必要的阴性体征、辅助检查结果、诊断及治疗意见和医师签名等。系统会根据医生的书写习惯和词汇书写频率，在书写的时候，自动匹配联想接下来的内容。</w:t>
                  </w:r>
                </w:p>
                <w:p w14:paraId="6F3E89ED">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诊断录入</w:t>
                  </w:r>
                </w:p>
                <w:p w14:paraId="5114A957">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疾病诊断采用</w:t>
                  </w:r>
                  <w:r>
                    <w:t>ICD10</w:t>
                  </w:r>
                  <w:r>
                    <w:rPr>
                      <w:rFonts w:hint="eastAsia"/>
                    </w:rPr>
                    <w:t>疾病分类编码作为诊断字典，可模糊检索诊断名称定位诊断，可查看诊断编码、传染病标识等信息，也可对疾病诊断补充进行说明。医院可自定义诊断，对应到</w:t>
                  </w:r>
                  <w:r>
                    <w:t>ICD10</w:t>
                  </w:r>
                  <w:r>
                    <w:rPr>
                      <w:rFonts w:hint="eastAsia"/>
                    </w:rPr>
                    <w:t>疾病分类编码，医生在下诊断的时候可以选择自定义诊断字典。有中医业务的医院在下诊断的时候，需要同时下达中医证型和病名，在保存诊断时，会进行校验提示。</w:t>
                  </w:r>
                </w:p>
                <w:p w14:paraId="3EA3CA5E">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续写病历</w:t>
                  </w:r>
                </w:p>
                <w:p w14:paraId="2B32E8FC">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针对复诊患者，可选择初诊病历进行查看初诊的病历信息，复诊医生可以在初诊病历的基础上进行本来病历内容的书写。当出现初诊医生和复诊医生不是同一个人时，病历上会同时保存这两个医生的签名，医生可以根据当前患者的实际情况补充录入诊断信息。（</w:t>
                  </w:r>
                  <w:r>
                    <w:rPr>
                      <w:rFonts w:hint="eastAsia"/>
                      <w:lang w:val="en-US" w:eastAsia="zh-CN"/>
                    </w:rPr>
                    <w:t>投标文件中</w:t>
                  </w:r>
                  <w:r>
                    <w:rPr>
                      <w:rFonts w:hint="eastAsia"/>
                    </w:rPr>
                    <w:t>提供系统功能截图）</w:t>
                  </w:r>
                </w:p>
                <w:p w14:paraId="23DDFE38">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离线病历保存</w:t>
                  </w:r>
                </w:p>
                <w:p w14:paraId="0BAFE689">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在工作过程中，如果程序因为网络、断电等情况异常关闭，病历来不及保存，系统支持自动离线保存病历，当程序恢复工作，再次打开系统时，可选择是否恢复之前书写的病历，减少因为意外情况导致医生重复工作的增加。（</w:t>
                  </w:r>
                  <w:r>
                    <w:rPr>
                      <w:rFonts w:hint="eastAsia"/>
                      <w:lang w:val="en-US" w:eastAsia="zh-CN"/>
                    </w:rPr>
                    <w:t>投标文件中</w:t>
                  </w:r>
                  <w:r>
                    <w:rPr>
                      <w:rFonts w:hint="eastAsia"/>
                    </w:rPr>
                    <w:t>提供系统功能截图）</w:t>
                  </w:r>
                </w:p>
                <w:p w14:paraId="08663CFF">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rPr>
                      <w:rFonts w:hint="eastAsia"/>
                      <w:b/>
                    </w:rPr>
                    <w:t>传染病上报</w:t>
                  </w:r>
                </w:p>
                <w:p w14:paraId="0E4776B0">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医生诊治过程中，发现患者属于传染病类型，需及时上报。系统在医生录入传染病诊断后，提示医生需要进行传染病上报，医生可根据实际情况选择立即上报或者填写暂不上报原因。系统提供电子传染病报告卡由医生填写，并对必填项等填报规则内置校验。对于患者要求的开具疾病证明需求，支持引用病人基本信息和诊断信息，填充疾病证明的内容。</w:t>
                  </w:r>
                </w:p>
                <w:p w14:paraId="179B38CB">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病种引用</w:t>
                  </w:r>
                </w:p>
                <w:p w14:paraId="09AFB859">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医生在病历书写过程中，可对病历进行按专业归类并另存为病种模板，在下次书写病历时，可根据患者的主诉等信息，快速引用相似病种模板，支持在引用后的病种模板基础上，根据实际情况修改病历，保存病历，从而快速完成病历的书写。病种共享权限分为个人、科室、全院，支持根据个人、科室、全院不同的行政范围维护病种模板，使用模板。</w:t>
                  </w:r>
                </w:p>
                <w:p w14:paraId="0C8E79FD">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辅助工具</w:t>
                  </w:r>
                </w:p>
                <w:p w14:paraId="12C667B9">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t>1.</w:t>
                  </w:r>
                  <w:r>
                    <w:rPr>
                      <w:rFonts w:hint="eastAsia"/>
                    </w:rPr>
                    <w:t>提供辅助工具，可输入常用字符、特殊字符，满足多种格式的书写需求。</w:t>
                  </w:r>
                </w:p>
                <w:p w14:paraId="6CE99FFD">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t>2.</w:t>
                  </w:r>
                  <w:r>
                    <w:rPr>
                      <w:rFonts w:hint="eastAsia"/>
                    </w:rPr>
                    <w:t>提供结构化模板辅助录入功能，也可自由文本录入。</w:t>
                  </w:r>
                </w:p>
                <w:p w14:paraId="793D4389">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t>3.</w:t>
                  </w:r>
                  <w:r>
                    <w:rPr>
                      <w:rFonts w:hint="eastAsia"/>
                    </w:rPr>
                    <w:t>可在病历记录中嵌入图片、表格、多媒体数据并进行编辑。</w:t>
                  </w:r>
                </w:p>
                <w:p w14:paraId="0F6C197E">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t>4.</w:t>
                  </w:r>
                  <w:r>
                    <w:rPr>
                      <w:rFonts w:hint="eastAsia"/>
                    </w:rPr>
                    <w:t>常用术语词库辅助录入，术语词库包括症状名称、体征名称、疾病名称、药物名称、手术名称、操作名称等。</w:t>
                  </w:r>
                </w:p>
                <w:p w14:paraId="63392A94">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t>5.</w:t>
                  </w:r>
                  <w:r>
                    <w:rPr>
                      <w:rFonts w:hint="eastAsia"/>
                    </w:rPr>
                    <w:t>提供智能录入功能，根据书写习惯，智能联系上下文书写病历。</w:t>
                  </w:r>
                </w:p>
                <w:p w14:paraId="3F71A03B">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文档段管理</w:t>
                  </w:r>
                </w:p>
                <w:p w14:paraId="24A05AA7">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对于医生常用的词组、文档片段、段落内容，支持维护成模板，在病历书写中可一键引用，便于书写和提高书写效率。文档段新增支持医生自由维护个人文档段或科室文档段。支持文档段关联病历结构化节点，在引用时可自动匹配结构化节点，准确引用文档段内容，填充节点信息。也支持对文档段进行修改、删除、目录排序等操作。</w:t>
                  </w:r>
                </w:p>
                <w:p w14:paraId="2D31E305">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检查检验数据引用</w:t>
                  </w:r>
                </w:p>
                <w:p w14:paraId="68A6BDFB">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支持查看历次就诊的检查检验报告数据，对报告结果可进行全部或部分引用到病历中。</w:t>
                  </w:r>
                </w:p>
                <w:p w14:paraId="783CF893">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历史数据引用</w:t>
                  </w:r>
                </w:p>
                <w:p w14:paraId="48D011B9">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病历书写可查阅患者在本机构的历次就诊信息，包含个人身份识别的基本信息、检查检验信息、处方处置信息、既往病历信息。在查阅信息过程中，对于与本次诊疗相关的信息，可一键引用到当前病历，既浏览了病人的病史和生命体征，又快速完成病历的书写。</w:t>
                  </w:r>
                </w:p>
                <w:p w14:paraId="7E005E12">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处方引用</w:t>
                  </w:r>
                </w:p>
                <w:p w14:paraId="32BB4F1C">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本次就诊开治的处方和处置记录，可设置引用处方的具体内容，支持一键引用至病历中，不需重复录入，完成病历用药和处置描述模块的快速填充。</w:t>
                  </w:r>
                </w:p>
                <w:p w14:paraId="0D1A10BD">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病历打印</w:t>
                  </w:r>
                </w:p>
                <w:p w14:paraId="56488693">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提供门诊电子病历诊间打印，支持门诊电子病历导出到本地。</w:t>
                  </w:r>
                </w:p>
                <w:p w14:paraId="2BAF23D0">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病历修改日志</w:t>
                  </w:r>
                </w:p>
                <w:p w14:paraId="4521B1F3">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rPr>
                      <w:rFonts w:ascii="宋体" w:hAnsi="宋体" w:cs="宋体"/>
                      <w:szCs w:val="21"/>
                    </w:rPr>
                  </w:pPr>
                  <w:r>
                    <w:rPr>
                      <w:rFonts w:hint="eastAsia"/>
                    </w:rPr>
                    <w:t>支持病历修改操作记录日志，对于病历书写修改痕迹，通过颜色和下划线在病历中高亮显示标识，也支持在病历详细结构化节点修改记录查看。</w:t>
                  </w:r>
                </w:p>
              </w:tc>
            </w:tr>
            <w:tr w14:paraId="695B2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3" w:type="dxa"/>
                  <w:vMerge w:val="continue"/>
                  <w:tcBorders>
                    <w:top w:val="single" w:color="auto" w:sz="4" w:space="0"/>
                    <w:left w:val="single" w:color="auto" w:sz="4" w:space="0"/>
                    <w:bottom w:val="single" w:color="auto" w:sz="4" w:space="0"/>
                    <w:right w:val="single" w:color="auto" w:sz="4" w:space="0"/>
                  </w:tcBorders>
                  <w:noWrap w:val="0"/>
                  <w:vAlign w:val="center"/>
                </w:tcPr>
                <w:p w14:paraId="7F4537D4">
                  <w:pPr>
                    <w:widowControl/>
                    <w:jc w:val="left"/>
                    <w:rPr>
                      <w:rFonts w:ascii="宋体" w:hAnsi="宋体" w:cs="宋体"/>
                      <w:b/>
                      <w:color w:val="000000"/>
                      <w:sz w:val="20"/>
                      <w:szCs w:val="20"/>
                    </w:rPr>
                  </w:pPr>
                </w:p>
              </w:tc>
              <w:tc>
                <w:tcPr>
                  <w:tcW w:w="804" w:type="dxa"/>
                  <w:vMerge w:val="continue"/>
                  <w:tcBorders>
                    <w:top w:val="single" w:color="auto" w:sz="4" w:space="0"/>
                    <w:left w:val="single" w:color="auto" w:sz="4" w:space="0"/>
                    <w:bottom w:val="single" w:color="auto" w:sz="4" w:space="0"/>
                    <w:right w:val="single" w:color="auto" w:sz="4" w:space="0"/>
                  </w:tcBorders>
                  <w:noWrap w:val="0"/>
                  <w:vAlign w:val="center"/>
                </w:tcPr>
                <w:p w14:paraId="3D59E850">
                  <w:pPr>
                    <w:widowControl/>
                    <w:jc w:val="left"/>
                    <w:rPr>
                      <w:rFonts w:ascii="宋体" w:hAnsi="宋体" w:cs="宋体"/>
                      <w:color w:val="000000"/>
                      <w:sz w:val="20"/>
                      <w:szCs w:val="20"/>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09C7D90B">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宋体"/>
                      <w:color w:val="000000"/>
                      <w:sz w:val="21"/>
                      <w:szCs w:val="21"/>
                    </w:rPr>
                  </w:pPr>
                  <w:r>
                    <w:rPr>
                      <w:rFonts w:hint="eastAsia"/>
                      <w:color w:val="000000"/>
                      <w:sz w:val="21"/>
                      <w:szCs w:val="21"/>
                    </w:rPr>
                    <w:t>门急诊处方和处置管理</w:t>
                  </w:r>
                </w:p>
              </w:tc>
              <w:tc>
                <w:tcPr>
                  <w:tcW w:w="7748" w:type="dxa"/>
                  <w:tcBorders>
                    <w:top w:val="single" w:color="auto" w:sz="4" w:space="0"/>
                    <w:left w:val="single" w:color="auto" w:sz="4" w:space="0"/>
                    <w:bottom w:val="single" w:color="auto" w:sz="4" w:space="0"/>
                    <w:right w:val="single" w:color="auto" w:sz="4" w:space="0"/>
                  </w:tcBorders>
                  <w:noWrap/>
                  <w:vAlign w:val="center"/>
                </w:tcPr>
                <w:p w14:paraId="24942AAD">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rPr>
                      <w:b/>
                      <w:sz w:val="24"/>
                      <w:szCs w:val="24"/>
                    </w:rPr>
                  </w:pPr>
                  <w:r>
                    <w:rPr>
                      <w:rFonts w:hint="eastAsia"/>
                      <w:b/>
                      <w:sz w:val="24"/>
                      <w:szCs w:val="24"/>
                    </w:rPr>
                    <w:t>门诊医生工作站</w:t>
                  </w:r>
                </w:p>
                <w:p w14:paraId="3111CAE5">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实现门急诊处方、检查、检验、治疗、手术等处方和处置的全流程管理。具体功能包括：处方和处置的录入、审核、分析等。所有处方处置录入和处理时显示患者支付方式、医保信息、药物过敏等标志。支持结构化或自由文本等多种方式录入、复制历史处方处置记录、处方处置合理性检查、处方处置费用实时自动计算、健康档案信息调阅、医保政策查询、合规性自动检查和提示功能。可以在门诊医生站进行诊间医技预约、床位预约等操作。</w:t>
                  </w:r>
                </w:p>
                <w:p w14:paraId="27A29971">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处方录入</w:t>
                  </w:r>
                </w:p>
                <w:p w14:paraId="6EC4E038">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支持药品处方录入，包括药品名称、剂型、规格、剂量、使用频次、天数、给药途径、数量、滴速、录入时间、使用备注、执行药房、皮试类型等内容。自动获取和显示药品字典信息。可以引用模板、常用项目、历史处方等数据开具处方。</w:t>
                  </w:r>
                </w:p>
                <w:p w14:paraId="3909D134">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rPr>
                      <w:b/>
                    </w:rPr>
                  </w:pPr>
                  <w:bookmarkStart w:id="56" w:name="OLE_LINK223"/>
                  <w:bookmarkStart w:id="57" w:name="OLE_LINK222"/>
                  <w:r>
                    <w:rPr>
                      <w:rFonts w:hint="eastAsia"/>
                      <w:b/>
                    </w:rPr>
                    <w:t>中药处方录入</w:t>
                  </w:r>
                </w:p>
                <w:p w14:paraId="79028EAA">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中药处方能提供按治疗类别的中药方剂名称索引及自动导入功能。</w:t>
                  </w:r>
                </w:p>
                <w:bookmarkEnd w:id="56"/>
                <w:bookmarkEnd w:id="57"/>
                <w:p w14:paraId="1D6BCA59">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药品字典录入</w:t>
                  </w:r>
                </w:p>
                <w:p w14:paraId="4DE312DD">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可以自动获取药品字典，查看药品名称、医保编码、规格、剂型、零售价、各药房库存等信息，支持模糊检索药品名称，选择药品后，带入药品的默认用药方法和执行科室等信息，快速填充处方的部分信息。</w:t>
                  </w:r>
                </w:p>
                <w:p w14:paraId="6D47087E">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模板引用录入</w:t>
                  </w:r>
                </w:p>
                <w:p w14:paraId="4F5493CB">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医生在开治处方的时候，可以把药品名称、用药方法、剂量、频次、天数等信息另存为处方模板，在下次开治处方的时候可以一键引用处方模板的药品信息。也可以查看病人的历史处方，支持一键引用药品名称、用药方法、剂量、频次、天数等信息，完成处方的快速开治。对于慢性病人需要开治的慢性药品，提供慢性药品信息的数据集，由医生根据需要去选择要开治的药品。在医生日常的处方开治过程中，会记录医生高频开治的药品信息，医生可以在自己的常用药品数据里，选择本次要开的药品信息，实现处方的开治。</w:t>
                  </w:r>
                </w:p>
                <w:p w14:paraId="79FA4629">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检验申请</w:t>
                  </w:r>
                </w:p>
                <w:p w14:paraId="765F6E89">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自动获取和显示检验项目字典信息，包括项目名称、取材部位、标本材料、价格、医保费用类别等信息。录入检验申请时自动获取患者的基本信息和临床诊疗信息。支持检验申请加急、重复检验项目提醒、检验申请执行状态查询、检验项目的参考知识、检验结果与报告数据获取等。支持模板和常用项目，历史处方引用录入。</w:t>
                  </w:r>
                </w:p>
                <w:p w14:paraId="6957F2BB">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检验项目字典申请</w:t>
                  </w:r>
                </w:p>
                <w:p w14:paraId="78B042B3">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支持自动获取检验项目，查看项目价项明细，可通过项目分类或模糊检索项目关键字查找要申请的检验项目，选择项目后，带入默认的次数和检验标本，快速填充检验项目的部分信息。</w:t>
                  </w:r>
                </w:p>
                <w:p w14:paraId="080A9F41">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检验项目模板引用申请</w:t>
                  </w:r>
                </w:p>
                <w:p w14:paraId="6F70B68E">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医生在开具检验项目的时候，可以把项目名称、标本等信息另存为模板，在下次开具检验项目的时候可以一键引用模板的项目信息。也可以查看病人的历史处方，支持一键引用检验项目名称、标本等信息，完成项目的快速开治。在医生日常的项目开具过程中，会记录医生高频开治的项目信息，医生可以在自己的常用项目数据里，选择本次要开的检验项目信息，实现项目的开治。</w:t>
                  </w:r>
                </w:p>
                <w:p w14:paraId="73A11B46">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检查申请</w:t>
                  </w:r>
                </w:p>
                <w:p w14:paraId="7714AFEC">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自动获取和显示检查项目字典信息，包括项目名称、检查部位、价格、医保费用类别等信息。录入申请时自动获取患者的基本信息和临床诊疗信息。支持申请检查加急、重复检查项目提醒、检查申请执行状态查询、提供检查项目的参考知识、检查报告和图像查</w:t>
                  </w:r>
                  <w:r>
                    <w:rPr>
                      <w:rFonts w:hint="eastAsia"/>
                      <w:highlight w:val="none"/>
                    </w:rPr>
                    <w:t>阅等</w:t>
                  </w:r>
                  <w:r>
                    <w:rPr>
                      <w:rFonts w:hint="eastAsia"/>
                      <w:highlight w:val="none"/>
                      <w:lang w:eastAsia="zh-CN"/>
                    </w:rPr>
                    <w:t>，</w:t>
                  </w:r>
                  <w:r>
                    <w:rPr>
                      <w:rFonts w:hint="eastAsia"/>
                      <w:highlight w:val="none"/>
                    </w:rPr>
                    <w:t>支持查阅报告时，根据结果和患者诊断、生理指标、历史检查结果对比等自动检查并给</w:t>
                  </w:r>
                  <w:r>
                    <w:rPr>
                      <w:rFonts w:hint="eastAsia"/>
                    </w:rPr>
                    <w:t>出提示。</w:t>
                  </w:r>
                </w:p>
                <w:p w14:paraId="2344A9CC">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检查项目字典申请</w:t>
                  </w:r>
                </w:p>
                <w:p w14:paraId="6E31D368">
                  <w:pPr>
                    <w:pStyle w:val="131"/>
                    <w:keepNext w:val="0"/>
                    <w:keepLines w:val="0"/>
                    <w:pageBreakBefore w:val="0"/>
                    <w:widowControl w:val="0"/>
                    <w:kinsoku/>
                    <w:wordWrap/>
                    <w:overflowPunct/>
                    <w:topLinePunct w:val="0"/>
                    <w:autoSpaceDE/>
                    <w:autoSpaceDN/>
                    <w:bidi w:val="0"/>
                    <w:adjustRightInd/>
                    <w:spacing w:line="360" w:lineRule="exact"/>
                    <w:ind w:firstLine="0"/>
                    <w:textAlignment w:val="auto"/>
                  </w:pPr>
                  <w:r>
                    <w:rPr>
                      <w:rFonts w:hint="eastAsia"/>
                    </w:rPr>
                    <w:t>支持自动获取检查项目字典信息，可选择对应的项目查看价项明细，可模糊检索检查项目选择开具。支持自动获取检查项目，查看项目价项明细，可通过项目分类或模糊检索项目关键字查找要申请的检查项目，选择项目后，带入默认的次数和检查标本，快速填充检查项目的部分信息。</w:t>
                  </w:r>
                </w:p>
                <w:p w14:paraId="7002DC06">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检查项目模板引用申请</w:t>
                  </w:r>
                </w:p>
                <w:p w14:paraId="3F0EBE6D">
                  <w:pPr>
                    <w:pStyle w:val="131"/>
                    <w:keepNext w:val="0"/>
                    <w:keepLines w:val="0"/>
                    <w:pageBreakBefore w:val="0"/>
                    <w:widowControl w:val="0"/>
                    <w:kinsoku/>
                    <w:wordWrap/>
                    <w:overflowPunct/>
                    <w:topLinePunct w:val="0"/>
                    <w:autoSpaceDE/>
                    <w:autoSpaceDN/>
                    <w:bidi w:val="0"/>
                    <w:adjustRightInd/>
                    <w:spacing w:line="360" w:lineRule="exact"/>
                    <w:ind w:firstLine="0"/>
                    <w:textAlignment w:val="auto"/>
                  </w:pPr>
                  <w:r>
                    <w:rPr>
                      <w:rFonts w:hint="eastAsia"/>
                    </w:rPr>
                    <w:t>医生在开具检查项目的时候，可以把项目名称、部位、执行科室等信息另存为模板，在下次开具检查项目的时候可以一键引用模板的项目信息。也可以查看病人的历史处方，支持一键引用检查项目名称、部位等信息，完成项目的快速开治。在医生日常的项目开具过程中，会记录医生高频开治的项目信息，医生可以在自己的常用项目数据里，选择本次要开的检查项目信息，实现项目的开治。</w:t>
                  </w:r>
                </w:p>
                <w:p w14:paraId="1CFF59AC">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手术、治疗申请</w:t>
                  </w:r>
                </w:p>
                <w:p w14:paraId="074DFB0E">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自动获取和显示手术、治疗项目字典信息，包括项目名称、价格、医保费用类别等信息。在录入申请时可以自动获取患者的病人姓名、性别、年龄等基本信息和过敏史、传染史等临床诊疗信息。支持申请加急、重复项目提示、申请执行状态查询、项目的参考知识等。</w:t>
                  </w:r>
                </w:p>
                <w:p w14:paraId="499DBC21">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字典录入申请</w:t>
                  </w:r>
                </w:p>
                <w:p w14:paraId="3FCB8203">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自动获取和显示手术、治疗项目字典信息，包括项目名称、价格、医保费用类别等信息，可对应查看项目的价项信息，项目的知识参考。可以通过关键字模糊检索需要申请的项目和手术，选择项目后，自动带入项目名称、执行科室等信息，快速完成开治。</w:t>
                  </w:r>
                </w:p>
                <w:p w14:paraId="08C5F4EF">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模板引用申请</w:t>
                  </w:r>
                </w:p>
                <w:p w14:paraId="3063F382">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医生在开具手术、治疗项目的时候，可以把项目名称、执行科室等信息另存为模板，在下次开具项目的时候可以一键引用模板的项目信息。也可以查看病人的历史处方，支持一键引用项目名称、执行科室等信息，完成项目的快速开治。在医生日常的项目开具过程中，会记录医生高频开治的项目信息，医生可以在自己的常用项目数据里，选择本次要开的项目信息，实现项目的开治。</w:t>
                  </w:r>
                </w:p>
                <w:p w14:paraId="48BC1A06">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处方处置模板</w:t>
                  </w:r>
                </w:p>
                <w:p w14:paraId="407D6763">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支持在开治处方处置的时候，把当前的处方处置另存为模板，并可根据需要设置模板的使用范围和模板关联的诊断，在下次开治处方处置的时候，可以根据当前病人的诊断快速定位到符合诊断的医嘱模板，可以选择模板快速引用开治。对已经保存过的模板，可以进行模板名称、使用权限范围、关联诊断、处方处置内容的修改和个人模板的授权设置，修改后的模板也可重新另存为新的模板使用。对于不需要的模板也可进行删除操作。</w:t>
                  </w:r>
                </w:p>
                <w:p w14:paraId="33F8BA7C">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申请单书写查看</w:t>
                  </w:r>
                </w:p>
                <w:p w14:paraId="754CB64A">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电子化的申请单书写，在书写的时候可自动填入病人的基本信息和临床诊疗信息，可以根据填写状态和申请单类型查找申请单。在申请单列表可以看到申请单的当前状态，项目名称和项目类别等信息，也可以根据需要打印申请单。</w:t>
                  </w:r>
                </w:p>
                <w:p w14:paraId="1ECE23CE">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诊疗项目扣费执行</w:t>
                  </w:r>
                </w:p>
                <w:p w14:paraId="15254680">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rPr>
                      <w:rFonts w:ascii="宋体" w:hAnsi="宋体" w:cs="宋体"/>
                      <w:szCs w:val="21"/>
                    </w:rPr>
                  </w:pPr>
                  <w:r>
                    <w:rPr>
                      <w:rFonts w:hint="eastAsia"/>
                    </w:rPr>
                    <w:t>本科室执行的诊疗项目，在保存处置的时候，可以直接进行扣费和执行，也可在执行界面进行扣费和执行。</w:t>
                  </w:r>
                </w:p>
              </w:tc>
            </w:tr>
            <w:tr w14:paraId="7262B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3" w:type="dxa"/>
                  <w:vMerge w:val="continue"/>
                  <w:tcBorders>
                    <w:top w:val="single" w:color="auto" w:sz="4" w:space="0"/>
                    <w:left w:val="single" w:color="auto" w:sz="4" w:space="0"/>
                    <w:bottom w:val="single" w:color="auto" w:sz="4" w:space="0"/>
                    <w:right w:val="single" w:color="auto" w:sz="4" w:space="0"/>
                  </w:tcBorders>
                  <w:noWrap w:val="0"/>
                  <w:vAlign w:val="center"/>
                </w:tcPr>
                <w:p w14:paraId="5B31E2AB">
                  <w:pPr>
                    <w:widowControl/>
                    <w:jc w:val="left"/>
                    <w:rPr>
                      <w:rFonts w:ascii="宋体" w:hAnsi="宋体" w:cs="宋体"/>
                      <w:b/>
                      <w:color w:val="000000"/>
                      <w:sz w:val="20"/>
                      <w:szCs w:val="20"/>
                    </w:rPr>
                  </w:pPr>
                </w:p>
              </w:tc>
              <w:tc>
                <w:tcPr>
                  <w:tcW w:w="804" w:type="dxa"/>
                  <w:vMerge w:val="restart"/>
                  <w:tcBorders>
                    <w:top w:val="single" w:color="auto" w:sz="4" w:space="0"/>
                    <w:left w:val="single" w:color="auto" w:sz="4" w:space="0"/>
                    <w:bottom w:val="single" w:color="auto" w:sz="4" w:space="0"/>
                    <w:right w:val="single" w:color="auto" w:sz="4" w:space="0"/>
                  </w:tcBorders>
                  <w:noWrap w:val="0"/>
                  <w:vAlign w:val="center"/>
                </w:tcPr>
                <w:p w14:paraId="43CA8B19">
                  <w:pPr>
                    <w:rPr>
                      <w:rFonts w:ascii="宋体" w:hAnsi="宋体" w:cs="宋体"/>
                      <w:color w:val="000000"/>
                      <w:sz w:val="21"/>
                      <w:szCs w:val="21"/>
                    </w:rPr>
                  </w:pPr>
                  <w:r>
                    <w:rPr>
                      <w:rFonts w:hint="eastAsia"/>
                      <w:color w:val="000000"/>
                      <w:sz w:val="21"/>
                      <w:szCs w:val="21"/>
                    </w:rPr>
                    <w:t>医疗业务（住院）</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21647261">
                  <w:pPr>
                    <w:pageBreakBefore w:val="0"/>
                    <w:widowControl w:val="0"/>
                    <w:kinsoku/>
                    <w:wordWrap/>
                    <w:overflowPunct/>
                    <w:topLinePunct w:val="0"/>
                    <w:autoSpaceDE/>
                    <w:autoSpaceDN/>
                    <w:bidi w:val="0"/>
                    <w:adjustRightInd/>
                    <w:spacing w:line="360" w:lineRule="exact"/>
                    <w:textAlignment w:val="auto"/>
                    <w:rPr>
                      <w:rFonts w:ascii="宋体" w:hAnsi="宋体" w:cs="宋体"/>
                      <w:color w:val="000000"/>
                      <w:sz w:val="21"/>
                      <w:szCs w:val="21"/>
                    </w:rPr>
                  </w:pPr>
                  <w:r>
                    <w:rPr>
                      <w:rFonts w:hint="eastAsia"/>
                      <w:color w:val="000000"/>
                      <w:sz w:val="21"/>
                      <w:szCs w:val="21"/>
                    </w:rPr>
                    <w:t>住院病历书写</w:t>
                  </w:r>
                </w:p>
              </w:tc>
              <w:tc>
                <w:tcPr>
                  <w:tcW w:w="7748" w:type="dxa"/>
                  <w:tcBorders>
                    <w:top w:val="single" w:color="auto" w:sz="4" w:space="0"/>
                    <w:left w:val="single" w:color="auto" w:sz="4" w:space="0"/>
                    <w:bottom w:val="single" w:color="auto" w:sz="4" w:space="0"/>
                    <w:right w:val="single" w:color="auto" w:sz="4" w:space="0"/>
                  </w:tcBorders>
                  <w:noWrap/>
                  <w:vAlign w:val="center"/>
                </w:tcPr>
                <w:p w14:paraId="0A318F9A">
                  <w:pPr>
                    <w:pStyle w:val="131"/>
                    <w:pageBreakBefore w:val="0"/>
                    <w:widowControl w:val="0"/>
                    <w:kinsoku/>
                    <w:wordWrap/>
                    <w:overflowPunct/>
                    <w:topLinePunct w:val="0"/>
                    <w:autoSpaceDE/>
                    <w:autoSpaceDN/>
                    <w:bidi w:val="0"/>
                    <w:adjustRightInd/>
                    <w:spacing w:line="360" w:lineRule="exact"/>
                    <w:ind w:firstLine="0"/>
                    <w:jc w:val="left"/>
                    <w:textAlignment w:val="auto"/>
                    <w:rPr>
                      <w:b/>
                      <w:sz w:val="24"/>
                      <w:szCs w:val="24"/>
                    </w:rPr>
                  </w:pPr>
                  <w:r>
                    <w:rPr>
                      <w:rFonts w:hint="eastAsia"/>
                      <w:b/>
                      <w:sz w:val="24"/>
                      <w:szCs w:val="24"/>
                    </w:rPr>
                    <w:t>住院电子病历系统</w:t>
                  </w:r>
                </w:p>
                <w:p w14:paraId="78F98EF8">
                  <w:pPr>
                    <w:pStyle w:val="131"/>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住院电子病历系统按照《病历书写基本规范》要求，提供完整的、方便的、结构化病历书写功能以及书写权限控制。</w:t>
                  </w:r>
                </w:p>
                <w:p w14:paraId="286E0424">
                  <w:pPr>
                    <w:pStyle w:val="131"/>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病历编辑器</w:t>
                  </w:r>
                </w:p>
                <w:p w14:paraId="223208AE">
                  <w:pPr>
                    <w:pStyle w:val="131"/>
                    <w:pageBreakBefore w:val="0"/>
                    <w:widowControl w:val="0"/>
                    <w:kinsoku/>
                    <w:wordWrap/>
                    <w:overflowPunct/>
                    <w:topLinePunct w:val="0"/>
                    <w:autoSpaceDE/>
                    <w:autoSpaceDN/>
                    <w:bidi w:val="0"/>
                    <w:adjustRightInd/>
                    <w:spacing w:line="360" w:lineRule="exact"/>
                    <w:ind w:firstLine="0"/>
                    <w:jc w:val="left"/>
                    <w:textAlignment w:val="auto"/>
                  </w:pPr>
                  <w:r>
                    <w:t>1.</w:t>
                  </w:r>
                  <w:r>
                    <w:rPr>
                      <w:rFonts w:hint="eastAsia"/>
                    </w:rPr>
                    <w:t>提供电子病历编辑器，涵盖病历书写的基本文字编辑功能和病历专业书写工具，包含：文字字体颜色、段落、表格插入、图片插入、医学表达式、牙位图等功能。</w:t>
                  </w:r>
                </w:p>
                <w:p w14:paraId="6842402B">
                  <w:pPr>
                    <w:pStyle w:val="131"/>
                    <w:pageBreakBefore w:val="0"/>
                    <w:widowControl w:val="0"/>
                    <w:kinsoku/>
                    <w:wordWrap/>
                    <w:overflowPunct/>
                    <w:topLinePunct w:val="0"/>
                    <w:autoSpaceDE/>
                    <w:autoSpaceDN/>
                    <w:bidi w:val="0"/>
                    <w:adjustRightInd/>
                    <w:spacing w:line="360" w:lineRule="exact"/>
                    <w:ind w:firstLine="0"/>
                    <w:jc w:val="left"/>
                    <w:textAlignment w:val="auto"/>
                  </w:pPr>
                  <w:r>
                    <w:t>2.</w:t>
                  </w:r>
                  <w:r>
                    <w:rPr>
                      <w:rFonts w:hint="eastAsia"/>
                    </w:rPr>
                    <w:t>编辑器打印支持打印预览、按页数打印、双面打印、按指定区域打印、隔页打、续打等功能。</w:t>
                  </w:r>
                </w:p>
                <w:p w14:paraId="76FFCF6D">
                  <w:pPr>
                    <w:pStyle w:val="131"/>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病历创建</w:t>
                  </w:r>
                </w:p>
                <w:p w14:paraId="51BC938A">
                  <w:pPr>
                    <w:pStyle w:val="131"/>
                    <w:pageBreakBefore w:val="0"/>
                    <w:widowControl w:val="0"/>
                    <w:kinsoku/>
                    <w:wordWrap/>
                    <w:overflowPunct/>
                    <w:topLinePunct w:val="0"/>
                    <w:autoSpaceDE/>
                    <w:autoSpaceDN/>
                    <w:bidi w:val="0"/>
                    <w:adjustRightInd/>
                    <w:spacing w:line="360" w:lineRule="exact"/>
                    <w:ind w:firstLine="0"/>
                    <w:jc w:val="left"/>
                    <w:textAlignment w:val="auto"/>
                  </w:pPr>
                  <w:r>
                    <w:t>1.</w:t>
                  </w:r>
                  <w:r>
                    <w:rPr>
                      <w:rFonts w:hint="eastAsia"/>
                    </w:rPr>
                    <w:t>支持按照指定病历类型使用系统提供的标准病历模板或者自定的病历模板进行创建病历。</w:t>
                  </w:r>
                </w:p>
                <w:p w14:paraId="165B4714">
                  <w:pPr>
                    <w:pStyle w:val="131"/>
                    <w:pageBreakBefore w:val="0"/>
                    <w:widowControl w:val="0"/>
                    <w:kinsoku/>
                    <w:wordWrap/>
                    <w:overflowPunct/>
                    <w:topLinePunct w:val="0"/>
                    <w:autoSpaceDE/>
                    <w:autoSpaceDN/>
                    <w:bidi w:val="0"/>
                    <w:adjustRightInd/>
                    <w:spacing w:line="360" w:lineRule="exact"/>
                    <w:ind w:firstLine="0"/>
                    <w:jc w:val="left"/>
                    <w:textAlignment w:val="auto"/>
                  </w:pPr>
                  <w:r>
                    <w:t>2.</w:t>
                  </w:r>
                  <w:r>
                    <w:rPr>
                      <w:rFonts w:hint="eastAsia"/>
                    </w:rPr>
                    <w:t>支持针对手术病历可以关联具体的手术信息进行创建，相关手术的所有记录都在对应手术下。</w:t>
                  </w:r>
                </w:p>
                <w:p w14:paraId="33185F8E">
                  <w:pPr>
                    <w:pStyle w:val="131"/>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病历结构化</w:t>
                  </w:r>
                </w:p>
                <w:p w14:paraId="367254F3">
                  <w:pPr>
                    <w:pStyle w:val="131"/>
                    <w:pageBreakBefore w:val="0"/>
                    <w:widowControl w:val="0"/>
                    <w:kinsoku/>
                    <w:wordWrap/>
                    <w:overflowPunct/>
                    <w:topLinePunct w:val="0"/>
                    <w:autoSpaceDE/>
                    <w:autoSpaceDN/>
                    <w:bidi w:val="0"/>
                    <w:adjustRightInd/>
                    <w:spacing w:line="360" w:lineRule="exact"/>
                    <w:ind w:firstLine="0"/>
                    <w:jc w:val="left"/>
                    <w:textAlignment w:val="auto"/>
                  </w:pPr>
                  <w:r>
                    <w:t>1.</w:t>
                  </w:r>
                  <w:r>
                    <w:rPr>
                      <w:rFonts w:hint="eastAsia"/>
                    </w:rPr>
                    <w:t>支持病历结构化书写，提供文本、数字、日期、表格、下拉单选、下拉多选、级联录入、联想段落录入等多种录入方式。</w:t>
                  </w:r>
                </w:p>
                <w:p w14:paraId="5C528C09">
                  <w:pPr>
                    <w:pStyle w:val="131"/>
                    <w:pageBreakBefore w:val="0"/>
                    <w:widowControl w:val="0"/>
                    <w:kinsoku/>
                    <w:wordWrap/>
                    <w:overflowPunct/>
                    <w:topLinePunct w:val="0"/>
                    <w:autoSpaceDE/>
                    <w:autoSpaceDN/>
                    <w:bidi w:val="0"/>
                    <w:adjustRightInd/>
                    <w:spacing w:line="360" w:lineRule="exact"/>
                    <w:ind w:firstLine="0"/>
                    <w:jc w:val="left"/>
                    <w:textAlignment w:val="auto"/>
                  </w:pPr>
                  <w:r>
                    <w:t>2.</w:t>
                  </w:r>
                  <w:r>
                    <w:rPr>
                      <w:rFonts w:hint="eastAsia"/>
                    </w:rPr>
                    <w:t>支持病历数据按照数据元进行结构化解析，将病历填写的数据（例如：主诉、现病史等）存储到指定表和字段，方便数据获取查询。</w:t>
                  </w:r>
                </w:p>
                <w:p w14:paraId="6AC7F615">
                  <w:pPr>
                    <w:pStyle w:val="131"/>
                    <w:pageBreakBefore w:val="0"/>
                    <w:widowControl w:val="0"/>
                    <w:kinsoku/>
                    <w:wordWrap/>
                    <w:overflowPunct/>
                    <w:topLinePunct w:val="0"/>
                    <w:autoSpaceDE/>
                    <w:autoSpaceDN/>
                    <w:bidi w:val="0"/>
                    <w:adjustRightInd/>
                    <w:spacing w:line="360" w:lineRule="exact"/>
                    <w:ind w:firstLine="0"/>
                    <w:jc w:val="left"/>
                    <w:textAlignment w:val="auto"/>
                  </w:pPr>
                  <w:r>
                    <w:t>3.</w:t>
                  </w:r>
                  <w:r>
                    <w:rPr>
                      <w:rFonts w:hint="eastAsia"/>
                    </w:rPr>
                    <w:t>能够根据病历模板上需要填写的信息，自动从病人临床信息和其他结构化病历已存储信息获取填充到病历上，无需医生手工填写，例如：病人基本信息、诊断信息、主诉、现病史等。</w:t>
                  </w:r>
                </w:p>
                <w:p w14:paraId="2B043640">
                  <w:pPr>
                    <w:pStyle w:val="131"/>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病程记录</w:t>
                  </w:r>
                </w:p>
                <w:p w14:paraId="331DB6B9">
                  <w:pPr>
                    <w:pStyle w:val="131"/>
                    <w:pageBreakBefore w:val="0"/>
                    <w:widowControl w:val="0"/>
                    <w:kinsoku/>
                    <w:wordWrap/>
                    <w:overflowPunct/>
                    <w:topLinePunct w:val="0"/>
                    <w:autoSpaceDE/>
                    <w:autoSpaceDN/>
                    <w:bidi w:val="0"/>
                    <w:adjustRightInd/>
                    <w:spacing w:line="360" w:lineRule="exact"/>
                    <w:ind w:firstLine="0"/>
                    <w:jc w:val="left"/>
                    <w:textAlignment w:val="auto"/>
                  </w:pPr>
                  <w:r>
                    <w:t>1.</w:t>
                  </w:r>
                  <w:r>
                    <w:rPr>
                      <w:rFonts w:hint="eastAsia"/>
                    </w:rPr>
                    <w:t>支持病程记录联合浏览，将所有病程合并成一份文档进行浏览和打印，联合浏览时支持转科患者的病程记录题头科室信息根据实际书写时科室自动切换显示，支持转床患者的病程记录题头床位信息自动根据实际书写时床位自动切换显示。</w:t>
                  </w:r>
                </w:p>
                <w:p w14:paraId="28313F46">
                  <w:pPr>
                    <w:pStyle w:val="131"/>
                    <w:pageBreakBefore w:val="0"/>
                    <w:widowControl w:val="0"/>
                    <w:kinsoku/>
                    <w:wordWrap/>
                    <w:overflowPunct/>
                    <w:topLinePunct w:val="0"/>
                    <w:autoSpaceDE/>
                    <w:autoSpaceDN/>
                    <w:bidi w:val="0"/>
                    <w:adjustRightInd/>
                    <w:spacing w:line="360" w:lineRule="exact"/>
                    <w:ind w:firstLine="0"/>
                    <w:jc w:val="left"/>
                    <w:textAlignment w:val="auto"/>
                  </w:pPr>
                  <w:r>
                    <w:t>2.</w:t>
                  </w:r>
                  <w:r>
                    <w:rPr>
                      <w:rFonts w:hint="eastAsia"/>
                    </w:rPr>
                    <w:t>支持书写病程时能够方便浏览其他病程并引用，能够修改病程记录时间。</w:t>
                  </w:r>
                </w:p>
                <w:p w14:paraId="7E63E3E5">
                  <w:pPr>
                    <w:pStyle w:val="131"/>
                    <w:pageBreakBefore w:val="0"/>
                    <w:widowControl w:val="0"/>
                    <w:kinsoku/>
                    <w:wordWrap/>
                    <w:overflowPunct/>
                    <w:topLinePunct w:val="0"/>
                    <w:autoSpaceDE/>
                    <w:autoSpaceDN/>
                    <w:bidi w:val="0"/>
                    <w:adjustRightInd/>
                    <w:spacing w:line="360" w:lineRule="exact"/>
                    <w:ind w:firstLine="0"/>
                    <w:jc w:val="left"/>
                    <w:textAlignment w:val="auto"/>
                  </w:pPr>
                  <w:r>
                    <w:t>3.</w:t>
                  </w:r>
                  <w:r>
                    <w:rPr>
                      <w:rFonts w:hint="eastAsia"/>
                    </w:rPr>
                    <w:t>支持病程默认按照病程记录时间升序进行列表展示，用户可调整病历列表展示顺序。</w:t>
                  </w:r>
                </w:p>
                <w:p w14:paraId="4ED08197">
                  <w:pPr>
                    <w:pStyle w:val="131"/>
                    <w:pageBreakBefore w:val="0"/>
                    <w:widowControl w:val="0"/>
                    <w:kinsoku/>
                    <w:wordWrap/>
                    <w:overflowPunct/>
                    <w:topLinePunct w:val="0"/>
                    <w:autoSpaceDE/>
                    <w:autoSpaceDN/>
                    <w:bidi w:val="0"/>
                    <w:adjustRightInd/>
                    <w:spacing w:line="360" w:lineRule="exact"/>
                    <w:ind w:firstLine="0"/>
                    <w:jc w:val="left"/>
                    <w:textAlignment w:val="auto"/>
                  </w:pPr>
                  <w:r>
                    <w:t>4.</w:t>
                  </w:r>
                  <w:r>
                    <w:rPr>
                      <w:rFonts w:hint="eastAsia"/>
                    </w:rPr>
                    <w:t>支持记录病程记录打印的最后位置，下次打印时在前次位置后续打。</w:t>
                  </w:r>
                </w:p>
                <w:p w14:paraId="1F6BB803">
                  <w:pPr>
                    <w:pStyle w:val="131"/>
                    <w:pageBreakBefore w:val="0"/>
                    <w:widowControl w:val="0"/>
                    <w:kinsoku/>
                    <w:wordWrap/>
                    <w:overflowPunct/>
                    <w:topLinePunct w:val="0"/>
                    <w:autoSpaceDE/>
                    <w:autoSpaceDN/>
                    <w:bidi w:val="0"/>
                    <w:adjustRightInd/>
                    <w:spacing w:line="360" w:lineRule="exact"/>
                    <w:ind w:firstLine="0"/>
                    <w:jc w:val="left"/>
                    <w:textAlignment w:val="auto"/>
                  </w:pPr>
                  <w:r>
                    <w:rPr>
                      <w:rFonts w:hint="eastAsia"/>
                      <w:b/>
                    </w:rPr>
                    <w:t>诊断录入</w:t>
                  </w:r>
                </w:p>
                <w:p w14:paraId="3AB3B90D">
                  <w:pPr>
                    <w:pStyle w:val="131"/>
                    <w:pageBreakBefore w:val="0"/>
                    <w:widowControl w:val="0"/>
                    <w:kinsoku/>
                    <w:wordWrap/>
                    <w:overflowPunct/>
                    <w:topLinePunct w:val="0"/>
                    <w:autoSpaceDE/>
                    <w:autoSpaceDN/>
                    <w:bidi w:val="0"/>
                    <w:adjustRightInd/>
                    <w:spacing w:line="360" w:lineRule="exact"/>
                    <w:ind w:firstLine="0"/>
                    <w:jc w:val="left"/>
                    <w:textAlignment w:val="auto"/>
                  </w:pPr>
                  <w:r>
                    <w:t>1.</w:t>
                  </w:r>
                  <w:r>
                    <w:rPr>
                      <w:rFonts w:hint="eastAsia"/>
                    </w:rPr>
                    <w:t>支持诊断独立录入，录入后可以将诊断信息同步到病历里需要写诊断的节点。</w:t>
                  </w:r>
                </w:p>
                <w:p w14:paraId="7C91AE6A">
                  <w:pPr>
                    <w:pStyle w:val="131"/>
                    <w:pageBreakBefore w:val="0"/>
                    <w:widowControl w:val="0"/>
                    <w:kinsoku/>
                    <w:wordWrap/>
                    <w:overflowPunct/>
                    <w:topLinePunct w:val="0"/>
                    <w:autoSpaceDE/>
                    <w:autoSpaceDN/>
                    <w:bidi w:val="0"/>
                    <w:adjustRightInd/>
                    <w:spacing w:line="360" w:lineRule="exact"/>
                    <w:ind w:firstLine="0"/>
                    <w:jc w:val="left"/>
                    <w:textAlignment w:val="auto"/>
                  </w:pPr>
                  <w:r>
                    <w:t>2.</w:t>
                  </w:r>
                  <w:r>
                    <w:rPr>
                      <w:rFonts w:hint="eastAsia"/>
                    </w:rPr>
                    <w:t>支持录入和查看患者住院期间的所有诊断，可直接引用患者已录入诊断，支持父子诊断录入。</w:t>
                  </w:r>
                </w:p>
                <w:p w14:paraId="51A93A48">
                  <w:pPr>
                    <w:pStyle w:val="131"/>
                    <w:pageBreakBefore w:val="0"/>
                    <w:widowControl w:val="0"/>
                    <w:kinsoku/>
                    <w:wordWrap/>
                    <w:overflowPunct/>
                    <w:topLinePunct w:val="0"/>
                    <w:autoSpaceDE/>
                    <w:autoSpaceDN/>
                    <w:bidi w:val="0"/>
                    <w:adjustRightInd/>
                    <w:spacing w:line="360" w:lineRule="exact"/>
                    <w:ind w:firstLine="0"/>
                    <w:jc w:val="left"/>
                    <w:textAlignment w:val="auto"/>
                  </w:pPr>
                  <w:r>
                    <w:t>3.</w:t>
                  </w:r>
                  <w:r>
                    <w:rPr>
                      <w:rFonts w:hint="eastAsia"/>
                    </w:rPr>
                    <w:t>可查询患者既往住院录入的诊断并支持引用诊断，引用时支持诊断编码有效性校验，对失效诊断编码进行提示。</w:t>
                  </w:r>
                </w:p>
                <w:p w14:paraId="7F483F96">
                  <w:pPr>
                    <w:pStyle w:val="131"/>
                    <w:pageBreakBefore w:val="0"/>
                    <w:widowControl w:val="0"/>
                    <w:kinsoku/>
                    <w:wordWrap/>
                    <w:overflowPunct/>
                    <w:topLinePunct w:val="0"/>
                    <w:autoSpaceDE/>
                    <w:autoSpaceDN/>
                    <w:bidi w:val="0"/>
                    <w:adjustRightInd/>
                    <w:spacing w:line="360" w:lineRule="exact"/>
                    <w:ind w:firstLine="0"/>
                    <w:jc w:val="left"/>
                    <w:textAlignment w:val="auto"/>
                  </w:pPr>
                  <w:r>
                    <w:t>4.</w:t>
                  </w:r>
                  <w:r>
                    <w:rPr>
                      <w:rFonts w:hint="eastAsia"/>
                    </w:rPr>
                    <w:t>支持录入诊断后对符合临床路径患者进行入路径提示。</w:t>
                  </w:r>
                </w:p>
                <w:p w14:paraId="2C63431E">
                  <w:pPr>
                    <w:pStyle w:val="131"/>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病历痕迹记录</w:t>
                  </w:r>
                </w:p>
                <w:p w14:paraId="555E68B5">
                  <w:pPr>
                    <w:pStyle w:val="131"/>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能够记录病历操作人日志，包含创建人、创建时间、修改人、修改时间等。</w:t>
                  </w:r>
                </w:p>
                <w:p w14:paraId="15C9FE2A">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能够在病历上按不同颜色标识出不同用户的修改痕迹，例如标识删除的文字、新增的文字，提供痕迹列表总览病历内容所有修改记录，支持根据列表定位到病历修改点。</w:t>
                  </w:r>
                </w:p>
                <w:p w14:paraId="67E993CA">
                  <w:pPr>
                    <w:pStyle w:val="8"/>
                    <w:pageBreakBefore w:val="0"/>
                    <w:widowControl w:val="0"/>
                    <w:kinsoku/>
                    <w:wordWrap/>
                    <w:overflowPunct/>
                    <w:topLinePunct w:val="0"/>
                    <w:autoSpaceDE/>
                    <w:autoSpaceDN/>
                    <w:bidi w:val="0"/>
                    <w:adjustRightInd/>
                    <w:spacing w:line="360" w:lineRule="exact"/>
                    <w:textAlignment w:val="auto"/>
                  </w:pPr>
                  <w:r>
                    <w:rPr>
                      <w:rFonts w:hint="eastAsia"/>
                    </w:rPr>
                    <w:t>病历复制粘贴权限控制</w:t>
                  </w:r>
                </w:p>
                <w:p w14:paraId="1CD6B668">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支持根据医院要求设置不同等级的粘贴权限，包含：是否允许从</w:t>
                  </w:r>
                  <w:r>
                    <w:t>HIS</w:t>
                  </w:r>
                  <w:r>
                    <w:rPr>
                      <w:rFonts w:hint="eastAsia"/>
                    </w:rPr>
                    <w:t>系统外部复制粘贴，是否允许从其他患者的病历复制粘贴，是否允许从该患者的其他病历复制粘贴，支持以上权限叠加生效。</w:t>
                  </w:r>
                </w:p>
                <w:p w14:paraId="22393E61">
                  <w:pPr>
                    <w:pStyle w:val="8"/>
                    <w:pageBreakBefore w:val="0"/>
                    <w:widowControl w:val="0"/>
                    <w:kinsoku/>
                    <w:wordWrap/>
                    <w:overflowPunct/>
                    <w:topLinePunct w:val="0"/>
                    <w:autoSpaceDE/>
                    <w:autoSpaceDN/>
                    <w:bidi w:val="0"/>
                    <w:adjustRightInd/>
                    <w:spacing w:line="360" w:lineRule="exact"/>
                    <w:textAlignment w:val="auto"/>
                  </w:pPr>
                  <w:r>
                    <w:rPr>
                      <w:rFonts w:hint="eastAsia"/>
                    </w:rPr>
                    <w:t>病历签名</w:t>
                  </w:r>
                </w:p>
                <w:p w14:paraId="22B90AD6">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提供住院病历记录双签名功能，当由实习医师、试用期医务人员书写病历时，应当经过本医疗机构注册的医师审阅、修改，并保留书写者与审阅者的双签名。</w:t>
                  </w:r>
                </w:p>
                <w:p w14:paraId="48BA332A">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支持与数字签名厂商进行对接后进行病历数字签名，可插入一个或者多个用户的签名图片，可查看数字签名的时间戳等信息。</w:t>
                  </w:r>
                </w:p>
                <w:p w14:paraId="7D0E890D">
                  <w:pPr>
                    <w:pStyle w:val="8"/>
                    <w:pageBreakBefore w:val="0"/>
                    <w:widowControl w:val="0"/>
                    <w:kinsoku/>
                    <w:wordWrap/>
                    <w:overflowPunct/>
                    <w:topLinePunct w:val="0"/>
                    <w:autoSpaceDE/>
                    <w:autoSpaceDN/>
                    <w:bidi w:val="0"/>
                    <w:adjustRightInd/>
                    <w:spacing w:line="360" w:lineRule="exact"/>
                    <w:textAlignment w:val="auto"/>
                  </w:pPr>
                  <w:r>
                    <w:rPr>
                      <w:rFonts w:hint="eastAsia"/>
                    </w:rPr>
                    <w:t>病历独占</w:t>
                  </w:r>
                </w:p>
                <w:p w14:paraId="53802828">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支持患者的同一份病历在多个客户端同时打开，在多人都能够打开编辑该病历时，按照打开时间先后顺序进行编辑权限设置，第一个打开的人为编辑，后面打开的人为只读，并提示用户由谁在哪台电脑上在编辑病历。</w:t>
                  </w:r>
                </w:p>
                <w:p w14:paraId="6F549BB8">
                  <w:pPr>
                    <w:pStyle w:val="131"/>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病历异常恢复</w:t>
                  </w:r>
                </w:p>
                <w:p w14:paraId="1978B7DE">
                  <w:pPr>
                    <w:pStyle w:val="131"/>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▲支持针对在病历编辑过程中，对未进行保存的病历每</w:t>
                  </w:r>
                  <w:r>
                    <w:t>30</w:t>
                  </w:r>
                  <w:r>
                    <w:rPr>
                      <w:rFonts w:hint="eastAsia"/>
                    </w:rPr>
                    <w:t>秒进行自动存储在本地</w:t>
                  </w:r>
                  <w:r>
                    <w:t>sqlit</w:t>
                  </w:r>
                  <w:r>
                    <w:rPr>
                      <w:rFonts w:hint="eastAsia"/>
                    </w:rPr>
                    <w:t>数据库，病历保存成功后缓存文件自动删除。</w:t>
                  </w:r>
                </w:p>
                <w:p w14:paraId="793EAA15">
                  <w:pPr>
                    <w:pStyle w:val="131"/>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支持当出现网络故障、操作系统故障等异常情况后重新打开该病历时，系统可自动侦测是否存在缓存文件，当有缓存文件用户可通过缓存备份进行恢复病历文档。（</w:t>
                  </w:r>
                  <w:r>
                    <w:rPr>
                      <w:rFonts w:hint="eastAsia"/>
                      <w:lang w:val="en-US" w:eastAsia="zh-CN"/>
                    </w:rPr>
                    <w:t>投标文件中</w:t>
                  </w:r>
                  <w:r>
                    <w:rPr>
                      <w:rFonts w:hint="eastAsia"/>
                    </w:rPr>
                    <w:t>提供系统功能截图）</w:t>
                  </w:r>
                </w:p>
                <w:p w14:paraId="0E13DEE7">
                  <w:pPr>
                    <w:pStyle w:val="131"/>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文档段管理</w:t>
                  </w:r>
                </w:p>
                <w:p w14:paraId="074F2B74">
                  <w:pPr>
                    <w:pStyle w:val="131"/>
                    <w:pageBreakBefore w:val="0"/>
                    <w:widowControl w:val="0"/>
                    <w:kinsoku/>
                    <w:wordWrap/>
                    <w:overflowPunct/>
                    <w:topLinePunct w:val="0"/>
                    <w:autoSpaceDE/>
                    <w:autoSpaceDN/>
                    <w:bidi w:val="0"/>
                    <w:adjustRightInd/>
                    <w:spacing w:line="360" w:lineRule="exact"/>
                    <w:ind w:firstLine="0"/>
                    <w:jc w:val="left"/>
                    <w:textAlignment w:val="auto"/>
                  </w:pPr>
                  <w:r>
                    <w:t>1.</w:t>
                  </w:r>
                  <w:r>
                    <w:rPr>
                      <w:rFonts w:hint="eastAsia"/>
                    </w:rPr>
                    <w:t>支持医生自由维护文档段类别与内容，可设置使用范围为个人或科室，支持将所有文档段共享到其他科室使用。</w:t>
                  </w:r>
                </w:p>
                <w:p w14:paraId="799184DE">
                  <w:pPr>
                    <w:pStyle w:val="131"/>
                    <w:pageBreakBefore w:val="0"/>
                    <w:widowControl w:val="0"/>
                    <w:kinsoku/>
                    <w:wordWrap/>
                    <w:overflowPunct/>
                    <w:topLinePunct w:val="0"/>
                    <w:autoSpaceDE/>
                    <w:autoSpaceDN/>
                    <w:bidi w:val="0"/>
                    <w:adjustRightInd/>
                    <w:spacing w:line="360" w:lineRule="exact"/>
                    <w:ind w:firstLine="0"/>
                    <w:jc w:val="left"/>
                    <w:textAlignment w:val="auto"/>
                  </w:pPr>
                  <w:r>
                    <w:t>2.</w:t>
                  </w:r>
                  <w:r>
                    <w:rPr>
                      <w:rFonts w:hint="eastAsia"/>
                    </w:rPr>
                    <w:t>文档段支持插入数据元进行结构化录入。</w:t>
                  </w:r>
                </w:p>
                <w:p w14:paraId="2E4C5D88">
                  <w:pPr>
                    <w:pStyle w:val="131"/>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文档段支持关联病历节点，配置后可自动引用到病历对应节点内。</w:t>
                  </w:r>
                </w:p>
                <w:p w14:paraId="482CD637">
                  <w:pPr>
                    <w:pStyle w:val="131"/>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数据查看与引用</w:t>
                  </w:r>
                </w:p>
                <w:p w14:paraId="79F1BECC">
                  <w:pPr>
                    <w:pStyle w:val="131"/>
                    <w:pageBreakBefore w:val="0"/>
                    <w:widowControl w:val="0"/>
                    <w:kinsoku/>
                    <w:wordWrap/>
                    <w:overflowPunct/>
                    <w:topLinePunct w:val="0"/>
                    <w:autoSpaceDE/>
                    <w:autoSpaceDN/>
                    <w:bidi w:val="0"/>
                    <w:adjustRightInd/>
                    <w:spacing w:line="360" w:lineRule="exact"/>
                    <w:ind w:firstLine="0"/>
                    <w:jc w:val="left"/>
                    <w:textAlignment w:val="auto"/>
                  </w:pPr>
                  <w:r>
                    <w:t>1.</w:t>
                  </w:r>
                  <w:r>
                    <w:rPr>
                      <w:rFonts w:hint="eastAsia"/>
                    </w:rPr>
                    <w:t>支持查看和引用用户个人以及科室、共享到科室的文档段内容。</w:t>
                  </w:r>
                </w:p>
                <w:p w14:paraId="2A16ADA4">
                  <w:pPr>
                    <w:pStyle w:val="131"/>
                    <w:pageBreakBefore w:val="0"/>
                    <w:widowControl w:val="0"/>
                    <w:kinsoku/>
                    <w:wordWrap/>
                    <w:overflowPunct/>
                    <w:topLinePunct w:val="0"/>
                    <w:autoSpaceDE/>
                    <w:autoSpaceDN/>
                    <w:bidi w:val="0"/>
                    <w:adjustRightInd/>
                    <w:spacing w:line="360" w:lineRule="exact"/>
                    <w:ind w:firstLine="0"/>
                    <w:textAlignment w:val="auto"/>
                  </w:pPr>
                  <w:r>
                    <w:t>2.</w:t>
                  </w:r>
                  <w:r>
                    <w:rPr>
                      <w:rFonts w:hint="eastAsia"/>
                    </w:rPr>
                    <w:t>支持查看和引用患者本次住院以及既往住院和门诊的检验结果，可快速过滤检验异常结果，可配置检验结果引用格式，在引用时按照指定格式引用，支持多个结果批量引用。</w:t>
                  </w:r>
                </w:p>
                <w:p w14:paraId="29EA2EB3">
                  <w:pPr>
                    <w:pStyle w:val="131"/>
                    <w:pageBreakBefore w:val="0"/>
                    <w:widowControl w:val="0"/>
                    <w:kinsoku/>
                    <w:wordWrap/>
                    <w:overflowPunct/>
                    <w:topLinePunct w:val="0"/>
                    <w:autoSpaceDE/>
                    <w:autoSpaceDN/>
                    <w:bidi w:val="0"/>
                    <w:adjustRightInd/>
                    <w:spacing w:line="360" w:lineRule="exact"/>
                    <w:ind w:firstLine="0"/>
                    <w:textAlignment w:val="auto"/>
                  </w:pPr>
                  <w:r>
                    <w:t>3.</w:t>
                  </w:r>
                  <w:r>
                    <w:rPr>
                      <w:rFonts w:hint="eastAsia"/>
                    </w:rPr>
                    <w:t>支持查看和引用患者本次住院以及既往住院和门诊的检查结果，可查看检查图像报告，支持引用检查结果说明。</w:t>
                  </w:r>
                </w:p>
                <w:p w14:paraId="0DCAD250">
                  <w:pPr>
                    <w:pStyle w:val="131"/>
                    <w:pageBreakBefore w:val="0"/>
                    <w:widowControl w:val="0"/>
                    <w:kinsoku/>
                    <w:wordWrap/>
                    <w:overflowPunct/>
                    <w:topLinePunct w:val="0"/>
                    <w:autoSpaceDE/>
                    <w:autoSpaceDN/>
                    <w:bidi w:val="0"/>
                    <w:adjustRightInd/>
                    <w:spacing w:line="360" w:lineRule="exact"/>
                    <w:ind w:firstLine="0"/>
                    <w:textAlignment w:val="auto"/>
                  </w:pPr>
                  <w:r>
                    <w:t>4.</w:t>
                  </w:r>
                  <w:r>
                    <w:rPr>
                      <w:rFonts w:hint="eastAsia"/>
                    </w:rPr>
                    <w:t>支持按时间和医嘱状态查看和引用患者医嘱记录内容。</w:t>
                  </w:r>
                </w:p>
                <w:p w14:paraId="6216D3B0">
                  <w:pPr>
                    <w:pStyle w:val="131"/>
                    <w:pageBreakBefore w:val="0"/>
                    <w:widowControl w:val="0"/>
                    <w:kinsoku/>
                    <w:wordWrap/>
                    <w:overflowPunct/>
                    <w:topLinePunct w:val="0"/>
                    <w:autoSpaceDE/>
                    <w:autoSpaceDN/>
                    <w:bidi w:val="0"/>
                    <w:adjustRightInd/>
                    <w:spacing w:line="360" w:lineRule="exact"/>
                    <w:ind w:firstLine="0"/>
                    <w:textAlignment w:val="auto"/>
                  </w:pPr>
                  <w:r>
                    <w:t>5.</w:t>
                  </w:r>
                  <w:r>
                    <w:rPr>
                      <w:rFonts w:hint="eastAsia"/>
                    </w:rPr>
                    <w:t>支持按时间查看和引用患者护理记录结构化内容。</w:t>
                  </w:r>
                </w:p>
                <w:p w14:paraId="02AA2C79">
                  <w:pPr>
                    <w:pStyle w:val="131"/>
                    <w:pageBreakBefore w:val="0"/>
                    <w:widowControl w:val="0"/>
                    <w:kinsoku/>
                    <w:wordWrap/>
                    <w:overflowPunct/>
                    <w:topLinePunct w:val="0"/>
                    <w:autoSpaceDE/>
                    <w:autoSpaceDN/>
                    <w:bidi w:val="0"/>
                    <w:adjustRightInd/>
                    <w:spacing w:line="360" w:lineRule="exact"/>
                    <w:ind w:firstLine="0"/>
                    <w:jc w:val="left"/>
                    <w:textAlignment w:val="auto"/>
                  </w:pPr>
                  <w:r>
                    <w:t>6.</w:t>
                  </w:r>
                  <w:r>
                    <w:rPr>
                      <w:rFonts w:hint="eastAsia"/>
                    </w:rPr>
                    <w:t>支持查看和引用患者本次住院和既往住院的所有类型的诊断内容。</w:t>
                  </w:r>
                </w:p>
                <w:p w14:paraId="7E93F329">
                  <w:pPr>
                    <w:pStyle w:val="131"/>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病历权限</w:t>
                  </w:r>
                </w:p>
                <w:p w14:paraId="637235D3">
                  <w:pPr>
                    <w:pStyle w:val="131"/>
                    <w:pageBreakBefore w:val="0"/>
                    <w:widowControl w:val="0"/>
                    <w:kinsoku/>
                    <w:wordWrap/>
                    <w:overflowPunct/>
                    <w:topLinePunct w:val="0"/>
                    <w:autoSpaceDE/>
                    <w:autoSpaceDN/>
                    <w:bidi w:val="0"/>
                    <w:adjustRightInd/>
                    <w:spacing w:line="360" w:lineRule="exact"/>
                    <w:ind w:firstLine="0"/>
                    <w:jc w:val="left"/>
                    <w:textAlignment w:val="auto"/>
                  </w:pPr>
                  <w:r>
                    <w:t>1.</w:t>
                  </w:r>
                  <w:r>
                    <w:rPr>
                      <w:rFonts w:hint="eastAsia"/>
                    </w:rPr>
                    <w:t>支持按照角色创建对应病历，例如医生可创建医生病历，护士可创建护理病历。</w:t>
                  </w:r>
                </w:p>
                <w:p w14:paraId="6F6FB7C7">
                  <w:pPr>
                    <w:pStyle w:val="131"/>
                    <w:pageBreakBefore w:val="0"/>
                    <w:widowControl w:val="0"/>
                    <w:kinsoku/>
                    <w:wordWrap/>
                    <w:overflowPunct/>
                    <w:topLinePunct w:val="0"/>
                    <w:autoSpaceDE/>
                    <w:autoSpaceDN/>
                    <w:bidi w:val="0"/>
                    <w:adjustRightInd/>
                    <w:spacing w:line="360" w:lineRule="exact"/>
                    <w:ind w:firstLine="0"/>
                    <w:jc w:val="left"/>
                    <w:textAlignment w:val="auto"/>
                  </w:pPr>
                  <w:r>
                    <w:t>2.</w:t>
                  </w:r>
                  <w:r>
                    <w:rPr>
                      <w:rFonts w:hint="eastAsia"/>
                    </w:rPr>
                    <w:t>支持病历里内容按角色书写，医护共同书写病历可区分医护书写区域，非对应角色可写区域打开为只读。</w:t>
                  </w:r>
                </w:p>
                <w:p w14:paraId="0748BA42">
                  <w:pPr>
                    <w:pStyle w:val="131"/>
                    <w:pageBreakBefore w:val="0"/>
                    <w:widowControl w:val="0"/>
                    <w:kinsoku/>
                    <w:wordWrap/>
                    <w:overflowPunct/>
                    <w:topLinePunct w:val="0"/>
                    <w:autoSpaceDE/>
                    <w:autoSpaceDN/>
                    <w:bidi w:val="0"/>
                    <w:adjustRightInd/>
                    <w:spacing w:line="360" w:lineRule="exact"/>
                    <w:ind w:firstLine="0"/>
                    <w:jc w:val="left"/>
                    <w:textAlignment w:val="auto"/>
                  </w:pPr>
                  <w:r>
                    <w:t>3.</w:t>
                  </w:r>
                  <w:r>
                    <w:rPr>
                      <w:rFonts w:hint="eastAsia"/>
                    </w:rPr>
                    <w:t>支持对病历里患者的个人信息进行保护，非主管医生或者接管患者的医疗组人员打开病历时，患者的个人信息进行特殊处理。</w:t>
                  </w:r>
                </w:p>
                <w:p w14:paraId="5E410719">
                  <w:pPr>
                    <w:pStyle w:val="131"/>
                    <w:pageBreakBefore w:val="0"/>
                    <w:widowControl w:val="0"/>
                    <w:kinsoku/>
                    <w:wordWrap/>
                    <w:overflowPunct/>
                    <w:topLinePunct w:val="0"/>
                    <w:autoSpaceDE/>
                    <w:autoSpaceDN/>
                    <w:bidi w:val="0"/>
                    <w:adjustRightInd/>
                    <w:spacing w:line="360" w:lineRule="exact"/>
                    <w:ind w:firstLine="0"/>
                    <w:jc w:val="left"/>
                    <w:textAlignment w:val="auto"/>
                  </w:pPr>
                  <w:r>
                    <w:t>4.</w:t>
                  </w:r>
                  <w:r>
                    <w:rPr>
                      <w:rFonts w:hint="eastAsia"/>
                    </w:rPr>
                    <w:t>提供上级医师审签病历的功能，允许上级医师修改并修改下级医师创建的病历记录，上级医生修改后下级医生不可再修改病历。</w:t>
                  </w:r>
                </w:p>
                <w:p w14:paraId="46F89C8E">
                  <w:pPr>
                    <w:pStyle w:val="131"/>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支持配置患者转科后哪些病历可续写。</w:t>
                  </w:r>
                </w:p>
                <w:p w14:paraId="5FA7D7B3">
                  <w:pPr>
                    <w:pStyle w:val="131"/>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病历内容质控</w:t>
                  </w:r>
                </w:p>
                <w:p w14:paraId="60DDCDA0">
                  <w:pPr>
                    <w:pStyle w:val="131"/>
                    <w:pageBreakBefore w:val="0"/>
                    <w:widowControl w:val="0"/>
                    <w:kinsoku/>
                    <w:wordWrap/>
                    <w:overflowPunct/>
                    <w:topLinePunct w:val="0"/>
                    <w:autoSpaceDE/>
                    <w:autoSpaceDN/>
                    <w:bidi w:val="0"/>
                    <w:adjustRightInd/>
                    <w:spacing w:line="360" w:lineRule="exact"/>
                    <w:ind w:firstLine="0"/>
                    <w:jc w:val="left"/>
                    <w:textAlignment w:val="auto"/>
                  </w:pPr>
                  <w:r>
                    <w:t>1.</w:t>
                  </w:r>
                  <w:r>
                    <w:rPr>
                      <w:rFonts w:hint="eastAsia"/>
                    </w:rPr>
                    <w:t>提供病历质控自查功能，医师可通过病历质控自查功能对病历缺陷进行提醒。</w:t>
                  </w:r>
                </w:p>
                <w:p w14:paraId="6BACFEEA">
                  <w:pPr>
                    <w:pStyle w:val="131"/>
                    <w:pageBreakBefore w:val="0"/>
                    <w:widowControl w:val="0"/>
                    <w:kinsoku/>
                    <w:wordWrap/>
                    <w:overflowPunct/>
                    <w:topLinePunct w:val="0"/>
                    <w:autoSpaceDE/>
                    <w:autoSpaceDN/>
                    <w:bidi w:val="0"/>
                    <w:adjustRightInd/>
                    <w:spacing w:line="360" w:lineRule="exact"/>
                    <w:ind w:firstLine="0"/>
                    <w:jc w:val="left"/>
                    <w:textAlignment w:val="auto"/>
                  </w:pPr>
                  <w:r>
                    <w:t>2.</w:t>
                  </w:r>
                  <w:r>
                    <w:rPr>
                      <w:rFonts w:hint="eastAsia"/>
                    </w:rPr>
                    <w:t>提供病历保存质控提醒，针对病历中的重要缺陷，支持医生病历保存时的质控提醒，可根据管理要求设置为“仅提醒可保存”或“不能保存”。</w:t>
                  </w:r>
                </w:p>
                <w:p w14:paraId="5DCC20A8">
                  <w:pPr>
                    <w:pStyle w:val="131"/>
                    <w:pageBreakBefore w:val="0"/>
                    <w:widowControl w:val="0"/>
                    <w:kinsoku/>
                    <w:wordWrap/>
                    <w:overflowPunct/>
                    <w:topLinePunct w:val="0"/>
                    <w:autoSpaceDE/>
                    <w:autoSpaceDN/>
                    <w:bidi w:val="0"/>
                    <w:adjustRightInd/>
                    <w:spacing w:line="360" w:lineRule="exact"/>
                    <w:ind w:firstLine="0"/>
                    <w:textAlignment w:val="auto"/>
                  </w:pPr>
                  <w:r>
                    <w:t>3.</w:t>
                  </w:r>
                  <w:r>
                    <w:rPr>
                      <w:rFonts w:hint="eastAsia"/>
                    </w:rPr>
                    <w:t>提供医师病历自评功能。病人出院后，可按照病案质量要求进行评分，支持自动评分和手动评分，并自动计算和显示病历质量的等级情况。</w:t>
                  </w:r>
                </w:p>
                <w:p w14:paraId="22926D1F">
                  <w:pPr>
                    <w:pStyle w:val="131"/>
                    <w:pageBreakBefore w:val="0"/>
                    <w:widowControl w:val="0"/>
                    <w:kinsoku/>
                    <w:wordWrap/>
                    <w:overflowPunct/>
                    <w:topLinePunct w:val="0"/>
                    <w:autoSpaceDE/>
                    <w:autoSpaceDN/>
                    <w:bidi w:val="0"/>
                    <w:adjustRightInd/>
                    <w:spacing w:line="360" w:lineRule="exact"/>
                    <w:ind w:firstLine="0"/>
                    <w:textAlignment w:val="auto"/>
                  </w:pPr>
                  <w:r>
                    <w:t>4.</w:t>
                  </w:r>
                  <w:r>
                    <w:rPr>
                      <w:rFonts w:hint="eastAsia"/>
                    </w:rPr>
                    <w:t>提供病历质控消息应用。针对病历质控问题，能够通过消息提醒方式实时通知相关医师。</w:t>
                  </w:r>
                </w:p>
                <w:p w14:paraId="2C32DE2B">
                  <w:pPr>
                    <w:pStyle w:val="131"/>
                    <w:pageBreakBefore w:val="0"/>
                    <w:widowControl w:val="0"/>
                    <w:kinsoku/>
                    <w:wordWrap/>
                    <w:overflowPunct/>
                    <w:topLinePunct w:val="0"/>
                    <w:autoSpaceDE/>
                    <w:autoSpaceDN/>
                    <w:bidi w:val="0"/>
                    <w:adjustRightInd/>
                    <w:spacing w:line="360" w:lineRule="exact"/>
                    <w:ind w:firstLine="0"/>
                    <w:jc w:val="left"/>
                    <w:textAlignment w:val="auto"/>
                  </w:pPr>
                  <w:r>
                    <w:t>5.</w:t>
                  </w:r>
                  <w:r>
                    <w:rPr>
                      <w:rFonts w:hint="eastAsia"/>
                    </w:rPr>
                    <w:t>提供质控缺陷智能定位功能。针对医师收到的病历质控消息，可直接点击质控消息并定位到缺陷位置，同时可查看对病历缺陷内容的评价和要求。</w:t>
                  </w:r>
                </w:p>
                <w:p w14:paraId="51183A5D">
                  <w:pPr>
                    <w:pStyle w:val="131"/>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病历传染病上报</w:t>
                  </w:r>
                </w:p>
                <w:p w14:paraId="41E1B03E">
                  <w:pPr>
                    <w:pStyle w:val="131"/>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提供电子传染病报告填写和上报的功能，根据患者诊断自动触发上报录入界面。</w:t>
                  </w:r>
                </w:p>
                <w:p w14:paraId="10DC2C84">
                  <w:pPr>
                    <w:pStyle w:val="131"/>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病历证明</w:t>
                  </w:r>
                </w:p>
                <w:p w14:paraId="2B327404">
                  <w:pPr>
                    <w:pStyle w:val="131"/>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提供电子死亡医学证明填写和上报功能，也提供疾病证明等其他证明材料。</w:t>
                  </w:r>
                </w:p>
                <w:p w14:paraId="3E815310">
                  <w:pPr>
                    <w:pStyle w:val="131"/>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交接班病历</w:t>
                  </w:r>
                </w:p>
                <w:p w14:paraId="4850F3AD">
                  <w:pPr>
                    <w:pStyle w:val="131"/>
                    <w:pageBreakBefore w:val="0"/>
                    <w:widowControl w:val="0"/>
                    <w:kinsoku/>
                    <w:wordWrap/>
                    <w:overflowPunct/>
                    <w:topLinePunct w:val="0"/>
                    <w:autoSpaceDE/>
                    <w:autoSpaceDN/>
                    <w:bidi w:val="0"/>
                    <w:adjustRightInd/>
                    <w:spacing w:line="360" w:lineRule="exact"/>
                    <w:ind w:firstLine="0"/>
                    <w:jc w:val="left"/>
                    <w:textAlignment w:val="auto"/>
                    <w:rPr>
                      <w:rFonts w:ascii="宋体" w:hAnsi="宋体" w:cs="宋体"/>
                      <w:szCs w:val="21"/>
                    </w:rPr>
                  </w:pPr>
                  <w:r>
                    <w:rPr>
                      <w:rFonts w:hint="eastAsia"/>
                    </w:rPr>
                    <w:t>提供住院医师交接班记录功能。可根据模板自动生成交接班记录，内容可包括科室患者概况，新入院、病危、手术、特殊检查等患者的基本信息和诊疗情况，再由交接班医师签名存档。</w:t>
                  </w:r>
                </w:p>
              </w:tc>
            </w:tr>
            <w:tr w14:paraId="7B9DF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3" w:type="dxa"/>
                  <w:vMerge w:val="continue"/>
                  <w:tcBorders>
                    <w:top w:val="single" w:color="auto" w:sz="4" w:space="0"/>
                    <w:left w:val="single" w:color="auto" w:sz="4" w:space="0"/>
                    <w:bottom w:val="single" w:color="auto" w:sz="4" w:space="0"/>
                    <w:right w:val="single" w:color="auto" w:sz="4" w:space="0"/>
                  </w:tcBorders>
                  <w:noWrap w:val="0"/>
                  <w:vAlign w:val="center"/>
                </w:tcPr>
                <w:p w14:paraId="72380E42">
                  <w:pPr>
                    <w:widowControl/>
                    <w:jc w:val="left"/>
                    <w:rPr>
                      <w:rFonts w:ascii="宋体" w:hAnsi="宋体" w:cs="宋体"/>
                      <w:b/>
                      <w:color w:val="000000"/>
                      <w:sz w:val="20"/>
                      <w:szCs w:val="20"/>
                    </w:rPr>
                  </w:pPr>
                </w:p>
              </w:tc>
              <w:tc>
                <w:tcPr>
                  <w:tcW w:w="804" w:type="dxa"/>
                  <w:vMerge w:val="continue"/>
                  <w:tcBorders>
                    <w:top w:val="single" w:color="auto" w:sz="4" w:space="0"/>
                    <w:left w:val="single" w:color="auto" w:sz="4" w:space="0"/>
                    <w:bottom w:val="single" w:color="auto" w:sz="4" w:space="0"/>
                    <w:right w:val="single" w:color="auto" w:sz="4" w:space="0"/>
                  </w:tcBorders>
                  <w:noWrap w:val="0"/>
                  <w:vAlign w:val="center"/>
                </w:tcPr>
                <w:p w14:paraId="35F69D6E">
                  <w:pPr>
                    <w:widowControl/>
                    <w:jc w:val="left"/>
                    <w:rPr>
                      <w:rFonts w:ascii="宋体" w:hAnsi="宋体" w:cs="宋体"/>
                      <w:color w:val="000000"/>
                      <w:sz w:val="20"/>
                      <w:szCs w:val="20"/>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38DE30A3">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宋体"/>
                      <w:color w:val="000000"/>
                      <w:sz w:val="20"/>
                      <w:szCs w:val="20"/>
                    </w:rPr>
                  </w:pPr>
                  <w:r>
                    <w:rPr>
                      <w:rFonts w:hint="eastAsia"/>
                      <w:color w:val="000000"/>
                      <w:sz w:val="21"/>
                      <w:szCs w:val="21"/>
                    </w:rPr>
                    <w:t>住院医嘱管理</w:t>
                  </w:r>
                </w:p>
              </w:tc>
              <w:tc>
                <w:tcPr>
                  <w:tcW w:w="7748" w:type="dxa"/>
                  <w:tcBorders>
                    <w:top w:val="single" w:color="auto" w:sz="4" w:space="0"/>
                    <w:left w:val="single" w:color="auto" w:sz="4" w:space="0"/>
                    <w:bottom w:val="single" w:color="auto" w:sz="4" w:space="0"/>
                    <w:right w:val="single" w:color="auto" w:sz="4" w:space="0"/>
                  </w:tcBorders>
                  <w:noWrap/>
                  <w:vAlign w:val="center"/>
                </w:tcPr>
                <w:p w14:paraId="0C3B5492">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rPr>
                      <w:b/>
                      <w:sz w:val="24"/>
                      <w:szCs w:val="24"/>
                    </w:rPr>
                  </w:pPr>
                  <w:r>
                    <w:rPr>
                      <w:rFonts w:hint="eastAsia"/>
                      <w:b/>
                      <w:sz w:val="24"/>
                      <w:szCs w:val="24"/>
                    </w:rPr>
                    <w:t>住院医生工作站</w:t>
                  </w:r>
                </w:p>
                <w:p w14:paraId="7B7A9428">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医嘱管理</w:t>
                  </w:r>
                </w:p>
                <w:p w14:paraId="7746E102">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实现住院用药、检查、检验、手术、治疗、输血等医嘱管理。具体功能包括</w:t>
                  </w:r>
                  <w:r>
                    <w:t>:</w:t>
                  </w:r>
                  <w:r>
                    <w:rPr>
                      <w:rFonts w:hint="eastAsia"/>
                    </w:rPr>
                    <w:t>医嘱录入、检验检验申请、医嘱管理、医嘱打印以及医嘱校验。</w:t>
                  </w:r>
                </w:p>
                <w:p w14:paraId="4815CB0D">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医嘱录入</w:t>
                  </w:r>
                </w:p>
                <w:p w14:paraId="4D8DDB85">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t>1.</w:t>
                  </w:r>
                  <w:r>
                    <w:rPr>
                      <w:rFonts w:hint="eastAsia"/>
                    </w:rPr>
                    <w:t>支持长期医嘱和临时医嘱的录入，包括检查、检验、处方、治疗处置、卫生材料、手术、输血、护理、会诊、转科、出院等。</w:t>
                  </w:r>
                </w:p>
                <w:p w14:paraId="0566325D">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t>2.</w:t>
                  </w:r>
                  <w:r>
                    <w:rPr>
                      <w:rFonts w:hint="eastAsia"/>
                    </w:rPr>
                    <w:t>支持将常用的医嘱项目作为一个医嘱模板保存，录入时可根据医嘱模板快速录入多个项目，支持对引用项目的项目代码有效性进行验证，能够对失效项目提示。</w:t>
                  </w:r>
                </w:p>
                <w:p w14:paraId="527FE236">
                  <w:pPr>
                    <w:pStyle w:val="131"/>
                    <w:keepNext w:val="0"/>
                    <w:keepLines w:val="0"/>
                    <w:pageBreakBefore w:val="0"/>
                    <w:widowControl w:val="0"/>
                    <w:kinsoku/>
                    <w:wordWrap/>
                    <w:overflowPunct/>
                    <w:topLinePunct w:val="0"/>
                    <w:autoSpaceDE/>
                    <w:autoSpaceDN/>
                    <w:bidi w:val="0"/>
                    <w:adjustRightInd/>
                    <w:spacing w:line="360" w:lineRule="exact"/>
                    <w:ind w:firstLine="0"/>
                    <w:textAlignment w:val="auto"/>
                  </w:pPr>
                  <w:r>
                    <w:t>3.</w:t>
                  </w:r>
                  <w:r>
                    <w:rPr>
                      <w:rFonts w:hint="eastAsia"/>
                    </w:rPr>
                    <w:t>所有医嘱均提供备注，医生可以输入相关注意事项。</w:t>
                  </w:r>
                </w:p>
                <w:p w14:paraId="2BBE64FC">
                  <w:pPr>
                    <w:pStyle w:val="131"/>
                    <w:keepNext w:val="0"/>
                    <w:keepLines w:val="0"/>
                    <w:pageBreakBefore w:val="0"/>
                    <w:widowControl w:val="0"/>
                    <w:kinsoku/>
                    <w:wordWrap/>
                    <w:overflowPunct/>
                    <w:topLinePunct w:val="0"/>
                    <w:autoSpaceDE/>
                    <w:autoSpaceDN/>
                    <w:bidi w:val="0"/>
                    <w:adjustRightInd/>
                    <w:spacing w:line="360" w:lineRule="exact"/>
                    <w:ind w:firstLine="0"/>
                    <w:textAlignment w:val="auto"/>
                  </w:pPr>
                  <w:r>
                    <w:t>4.</w:t>
                  </w:r>
                  <w:r>
                    <w:rPr>
                      <w:rFonts w:hint="eastAsia"/>
                    </w:rPr>
                    <w:t>支持根据医生的处方权、抗生素分级管理、特殊药品</w:t>
                  </w:r>
                  <w:r>
                    <w:t>(</w:t>
                  </w:r>
                  <w:r>
                    <w:rPr>
                      <w:rFonts w:hint="eastAsia"/>
                    </w:rPr>
                    <w:t>毒麻、精神类等</w:t>
                  </w:r>
                  <w:r>
                    <w:t>)</w:t>
                  </w:r>
                  <w:r>
                    <w:rPr>
                      <w:rFonts w:hint="eastAsia"/>
                    </w:rPr>
                    <w:t>权限、手术权限等判断是否能够开具对应医嘱。</w:t>
                  </w:r>
                </w:p>
                <w:p w14:paraId="3ECC83B0">
                  <w:pPr>
                    <w:pStyle w:val="131"/>
                    <w:keepNext w:val="0"/>
                    <w:keepLines w:val="0"/>
                    <w:pageBreakBefore w:val="0"/>
                    <w:widowControl w:val="0"/>
                    <w:kinsoku/>
                    <w:wordWrap/>
                    <w:overflowPunct/>
                    <w:topLinePunct w:val="0"/>
                    <w:autoSpaceDE/>
                    <w:autoSpaceDN/>
                    <w:bidi w:val="0"/>
                    <w:adjustRightInd/>
                    <w:spacing w:line="360" w:lineRule="exact"/>
                    <w:ind w:firstLine="0"/>
                    <w:textAlignment w:val="auto"/>
                  </w:pPr>
                  <w:r>
                    <w:t>5.</w:t>
                  </w:r>
                  <w:r>
                    <w:rPr>
                      <w:rFonts w:hint="eastAsia"/>
                    </w:rPr>
                    <w:t>支持与合理用药与临床决策系统对接，在开医嘱时给予提示，如药品剂量、药品相互作用、配伍禁忌、适应证等的自动提醒与检索功能。</w:t>
                  </w:r>
                </w:p>
                <w:p w14:paraId="67242FED">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t>6.</w:t>
                  </w:r>
                  <w:r>
                    <w:rPr>
                      <w:rFonts w:hint="eastAsia"/>
                    </w:rPr>
                    <w:t>系统支持在医生站开立医嘱时，选择医嘱开始时间的范围，根据实际需要选择当前时间之后的日期、时间。</w:t>
                  </w:r>
                </w:p>
                <w:p w14:paraId="61740F93">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检验、检查申请单</w:t>
                  </w:r>
                </w:p>
                <w:p w14:paraId="72B977DF">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t>1.</w:t>
                  </w:r>
                  <w:r>
                    <w:rPr>
                      <w:rFonts w:hint="eastAsia"/>
                    </w:rPr>
                    <w:t>支持检查检验医嘱自动生成对应申请单并提示用户填写，申请单中的主诉、现病史等基本信息支持从病历中可自动获取填充。</w:t>
                  </w:r>
                </w:p>
                <w:p w14:paraId="3ED85C8A">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rPr>
                      <w:rFonts w:hint="eastAsia"/>
                      <w:b/>
                    </w:rPr>
                  </w:pPr>
                  <w:r>
                    <w:rPr>
                      <w:rFonts w:hint="eastAsia"/>
                      <w:b/>
                    </w:rPr>
                    <w:t>医嘱管理</w:t>
                  </w:r>
                </w:p>
                <w:p w14:paraId="5447EF5B">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rPr>
                      <w:rFonts w:hint="eastAsia"/>
                      <w:lang w:val="en-US" w:eastAsia="zh-CN"/>
                    </w:rPr>
                    <w:t>1</w:t>
                  </w:r>
                  <w:r>
                    <w:t>.</w:t>
                  </w:r>
                  <w:r>
                    <w:rPr>
                      <w:rFonts w:hint="eastAsia"/>
                    </w:rPr>
                    <w:t>支持对医嘱进行作废或停止申请，护士可接收申请并审核，审核后医嘱不能被执行。</w:t>
                  </w:r>
                </w:p>
                <w:p w14:paraId="34BB13DF">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系统支持在停止医嘱的操作窗口中，由医生选择停止时间，该时间可以是已经停止的医嘱的实际停止时间，也可以是计划停止的时间。</w:t>
                  </w:r>
                </w:p>
                <w:p w14:paraId="719A4D4C">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rPr>
                      <w:rFonts w:hint="eastAsia"/>
                      <w:lang w:val="en-US" w:eastAsia="zh-CN"/>
                    </w:rPr>
                    <w:t>2</w:t>
                  </w:r>
                  <w:r>
                    <w:t>.</w:t>
                  </w:r>
                  <w:r>
                    <w:rPr>
                      <w:rFonts w:hint="eastAsia"/>
                    </w:rPr>
                    <w:t>相关部门接收并查询患者相关的检查、检验、诊断、处方、治疗处理、手术、输血、转科、出院等诊疗信息以及相关的费用信息，在医嘱有效的状态下对医嘱进行执行操作，医嘱执行后医生不能再对医嘱进行作废，医嘱执行时自动计费。</w:t>
                  </w:r>
                </w:p>
                <w:p w14:paraId="0623C95B">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医嘱打印</w:t>
                  </w:r>
                </w:p>
                <w:p w14:paraId="1AD1882C">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提供长期医嘱、临时医嘱打印功能，支持医嘱单的部分选择打印、按页数打印、续打、重打。</w:t>
                  </w:r>
                </w:p>
                <w:p w14:paraId="13570F11">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医嘱校验</w:t>
                  </w:r>
                </w:p>
                <w:p w14:paraId="7E131104">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可配置诊疗项目校验规则，例如项目性别限制、项目是否允许重复开具等校验规则，支持在医嘱发送时进行规则校验并提示。</w:t>
                  </w:r>
                </w:p>
                <w:p w14:paraId="7004CE1E">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审批管理</w:t>
                  </w:r>
                </w:p>
                <w:p w14:paraId="6C426C28">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实现各类医疗流程的审批管理，支持审批类型有：会诊审批、用血审批、自备药审批等。</w:t>
                  </w:r>
                </w:p>
                <w:p w14:paraId="65EDEA81">
                  <w:pPr>
                    <w:pStyle w:val="131"/>
                    <w:keepNext w:val="0"/>
                    <w:keepLines w:val="0"/>
                    <w:pageBreakBefore w:val="0"/>
                    <w:widowControl w:val="0"/>
                    <w:kinsoku/>
                    <w:wordWrap/>
                    <w:overflowPunct/>
                    <w:topLinePunct w:val="0"/>
                    <w:autoSpaceDE/>
                    <w:autoSpaceDN/>
                    <w:bidi w:val="0"/>
                    <w:adjustRightInd/>
                    <w:spacing w:line="360" w:lineRule="exact"/>
                    <w:ind w:firstLine="0"/>
                    <w:textAlignment w:val="auto"/>
                  </w:pPr>
                  <w:r>
                    <w:rPr>
                      <w:rFonts w:hint="eastAsia"/>
                    </w:rPr>
                    <w:t>提供审批工作流配置模块，能够支持医院各类特有的审批流程配置。</w:t>
                  </w:r>
                </w:p>
                <w:p w14:paraId="0D272747">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会诊审批</w:t>
                  </w:r>
                </w:p>
                <w:p w14:paraId="709BF1F8">
                  <w:pPr>
                    <w:pStyle w:val="131"/>
                    <w:keepNext w:val="0"/>
                    <w:keepLines w:val="0"/>
                    <w:pageBreakBefore w:val="0"/>
                    <w:widowControl w:val="0"/>
                    <w:kinsoku/>
                    <w:wordWrap/>
                    <w:overflowPunct/>
                    <w:topLinePunct w:val="0"/>
                    <w:autoSpaceDE/>
                    <w:autoSpaceDN/>
                    <w:bidi w:val="0"/>
                    <w:adjustRightInd/>
                    <w:spacing w:line="360" w:lineRule="exact"/>
                    <w:ind w:firstLine="0"/>
                    <w:textAlignment w:val="auto"/>
                  </w:pPr>
                  <w:r>
                    <w:rPr>
                      <w:rFonts w:hint="eastAsia"/>
                    </w:rPr>
                    <w:t>支持配置科室人员会诊审批权限。</w:t>
                  </w:r>
                </w:p>
                <w:p w14:paraId="0376C8FD">
                  <w:pPr>
                    <w:pStyle w:val="131"/>
                    <w:keepNext w:val="0"/>
                    <w:keepLines w:val="0"/>
                    <w:pageBreakBefore w:val="0"/>
                    <w:widowControl w:val="0"/>
                    <w:kinsoku/>
                    <w:wordWrap/>
                    <w:overflowPunct/>
                    <w:topLinePunct w:val="0"/>
                    <w:autoSpaceDE/>
                    <w:autoSpaceDN/>
                    <w:bidi w:val="0"/>
                    <w:adjustRightInd/>
                    <w:spacing w:line="360" w:lineRule="exact"/>
                    <w:ind w:firstLine="0"/>
                    <w:textAlignment w:val="auto"/>
                  </w:pPr>
                  <w:r>
                    <w:rPr>
                      <w:rFonts w:hint="eastAsia"/>
                    </w:rPr>
                    <w:t>支持查看所以请求到本科室的会诊申请流程信息，包含会诊申请单、会诊患者信息等。</w:t>
                  </w:r>
                </w:p>
                <w:p w14:paraId="212E89F3">
                  <w:pPr>
                    <w:pStyle w:val="131"/>
                    <w:keepNext w:val="0"/>
                    <w:keepLines w:val="0"/>
                    <w:pageBreakBefore w:val="0"/>
                    <w:widowControl w:val="0"/>
                    <w:kinsoku/>
                    <w:wordWrap/>
                    <w:overflowPunct/>
                    <w:topLinePunct w:val="0"/>
                    <w:autoSpaceDE/>
                    <w:autoSpaceDN/>
                    <w:bidi w:val="0"/>
                    <w:adjustRightInd/>
                    <w:spacing w:line="360" w:lineRule="exact"/>
                    <w:ind w:firstLine="0"/>
                    <w:textAlignment w:val="auto"/>
                  </w:pPr>
                  <w:r>
                    <w:rPr>
                      <w:rFonts w:hint="eastAsia"/>
                    </w:rPr>
                    <w:t>支持对跨科室的会诊申请进行审批操作。</w:t>
                  </w:r>
                </w:p>
                <w:p w14:paraId="700D62F8">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输血审批</w:t>
                  </w:r>
                </w:p>
                <w:p w14:paraId="12D59DFA">
                  <w:pPr>
                    <w:pStyle w:val="131"/>
                    <w:keepNext w:val="0"/>
                    <w:keepLines w:val="0"/>
                    <w:pageBreakBefore w:val="0"/>
                    <w:widowControl w:val="0"/>
                    <w:kinsoku/>
                    <w:wordWrap/>
                    <w:overflowPunct/>
                    <w:topLinePunct w:val="0"/>
                    <w:autoSpaceDE/>
                    <w:autoSpaceDN/>
                    <w:bidi w:val="0"/>
                    <w:adjustRightInd/>
                    <w:spacing w:line="360" w:lineRule="exact"/>
                    <w:ind w:firstLine="0"/>
                    <w:textAlignment w:val="auto"/>
                  </w:pPr>
                  <w:r>
                    <w:rPr>
                      <w:rFonts w:hint="eastAsia"/>
                    </w:rPr>
                    <w:t>支持配置科室人员输血审批权限。</w:t>
                  </w:r>
                </w:p>
                <w:p w14:paraId="2861D1B4">
                  <w:pPr>
                    <w:pStyle w:val="131"/>
                    <w:keepNext w:val="0"/>
                    <w:keepLines w:val="0"/>
                    <w:pageBreakBefore w:val="0"/>
                    <w:widowControl w:val="0"/>
                    <w:kinsoku/>
                    <w:wordWrap/>
                    <w:overflowPunct/>
                    <w:topLinePunct w:val="0"/>
                    <w:autoSpaceDE/>
                    <w:autoSpaceDN/>
                    <w:bidi w:val="0"/>
                    <w:adjustRightInd/>
                    <w:spacing w:line="360" w:lineRule="exact"/>
                    <w:ind w:firstLine="0"/>
                    <w:textAlignment w:val="auto"/>
                  </w:pPr>
                  <w:r>
                    <w:rPr>
                      <w:rFonts w:hint="eastAsia"/>
                    </w:rPr>
                    <w:t>支持查看输血申请流程信息，包含输血申请单、输血患者信息等。</w:t>
                  </w:r>
                </w:p>
                <w:p w14:paraId="61E3BC77">
                  <w:pPr>
                    <w:pStyle w:val="131"/>
                    <w:keepNext w:val="0"/>
                    <w:keepLines w:val="0"/>
                    <w:pageBreakBefore w:val="0"/>
                    <w:widowControl w:val="0"/>
                    <w:kinsoku/>
                    <w:wordWrap/>
                    <w:overflowPunct/>
                    <w:topLinePunct w:val="0"/>
                    <w:autoSpaceDE/>
                    <w:autoSpaceDN/>
                    <w:bidi w:val="0"/>
                    <w:adjustRightInd/>
                    <w:spacing w:line="360" w:lineRule="exact"/>
                    <w:ind w:firstLine="0"/>
                    <w:textAlignment w:val="auto"/>
                  </w:pPr>
                  <w:r>
                    <w:rPr>
                      <w:rFonts w:hint="eastAsia"/>
                    </w:rPr>
                    <w:t>支持本科室需要输血的患者输血申请进行审批。</w:t>
                  </w:r>
                </w:p>
                <w:p w14:paraId="4060196A">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自备药审批</w:t>
                  </w:r>
                </w:p>
                <w:p w14:paraId="615FA8EC">
                  <w:pPr>
                    <w:pStyle w:val="131"/>
                    <w:keepNext w:val="0"/>
                    <w:keepLines w:val="0"/>
                    <w:pageBreakBefore w:val="0"/>
                    <w:widowControl w:val="0"/>
                    <w:kinsoku/>
                    <w:wordWrap/>
                    <w:overflowPunct/>
                    <w:topLinePunct w:val="0"/>
                    <w:autoSpaceDE/>
                    <w:autoSpaceDN/>
                    <w:bidi w:val="0"/>
                    <w:adjustRightInd/>
                    <w:spacing w:line="360" w:lineRule="exact"/>
                    <w:ind w:firstLine="0"/>
                    <w:textAlignment w:val="auto"/>
                  </w:pPr>
                  <w:r>
                    <w:rPr>
                      <w:rFonts w:hint="eastAsia"/>
                    </w:rPr>
                    <w:t>支持配置科室人员自备药审批权限。</w:t>
                  </w:r>
                </w:p>
                <w:p w14:paraId="1AC1BA11">
                  <w:pPr>
                    <w:pStyle w:val="131"/>
                    <w:keepNext w:val="0"/>
                    <w:keepLines w:val="0"/>
                    <w:pageBreakBefore w:val="0"/>
                    <w:widowControl w:val="0"/>
                    <w:kinsoku/>
                    <w:wordWrap/>
                    <w:overflowPunct/>
                    <w:topLinePunct w:val="0"/>
                    <w:autoSpaceDE/>
                    <w:autoSpaceDN/>
                    <w:bidi w:val="0"/>
                    <w:adjustRightInd/>
                    <w:spacing w:line="360" w:lineRule="exact"/>
                    <w:ind w:firstLine="0"/>
                    <w:textAlignment w:val="auto"/>
                  </w:pPr>
                  <w:r>
                    <w:rPr>
                      <w:rFonts w:hint="eastAsia"/>
                    </w:rPr>
                    <w:t>支持查看自备药申请流程信息，包含自备药申请单、自备药患者信息等。</w:t>
                  </w:r>
                </w:p>
                <w:p w14:paraId="7F7EEF3D">
                  <w:pPr>
                    <w:pStyle w:val="131"/>
                    <w:keepNext w:val="0"/>
                    <w:keepLines w:val="0"/>
                    <w:pageBreakBefore w:val="0"/>
                    <w:widowControl w:val="0"/>
                    <w:kinsoku/>
                    <w:wordWrap/>
                    <w:overflowPunct/>
                    <w:topLinePunct w:val="0"/>
                    <w:autoSpaceDE/>
                    <w:autoSpaceDN/>
                    <w:bidi w:val="0"/>
                    <w:adjustRightInd/>
                    <w:spacing w:line="360" w:lineRule="exact"/>
                    <w:ind w:firstLine="0"/>
                    <w:textAlignment w:val="auto"/>
                  </w:pPr>
                  <w:r>
                    <w:rPr>
                      <w:rFonts w:hint="eastAsia"/>
                    </w:rPr>
                    <w:t>支持本科室需要自备药的患者自备药申请进行审批。</w:t>
                  </w:r>
                </w:p>
                <w:p w14:paraId="715145CC">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审批工作流配置</w:t>
                  </w:r>
                </w:p>
                <w:p w14:paraId="171D24FF">
                  <w:pPr>
                    <w:pStyle w:val="131"/>
                    <w:keepNext w:val="0"/>
                    <w:keepLines w:val="0"/>
                    <w:pageBreakBefore w:val="0"/>
                    <w:widowControl w:val="0"/>
                    <w:kinsoku/>
                    <w:wordWrap/>
                    <w:overflowPunct/>
                    <w:topLinePunct w:val="0"/>
                    <w:autoSpaceDE/>
                    <w:autoSpaceDN/>
                    <w:bidi w:val="0"/>
                    <w:adjustRightInd/>
                    <w:spacing w:line="360" w:lineRule="exact"/>
                    <w:ind w:firstLine="0"/>
                    <w:textAlignment w:val="auto"/>
                  </w:pPr>
                  <w:r>
                    <w:rPr>
                      <w:rFonts w:hint="eastAsia"/>
                    </w:rPr>
                    <w:t>提供审批流程配置模块，支持对审批节点、审批人角色、审批通知对象、对应业务申请单以及审批后的下一个流程进行自定义配置。</w:t>
                  </w:r>
                </w:p>
                <w:p w14:paraId="0712FF61">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rPr>
                      <w:b/>
                      <w:sz w:val="24"/>
                      <w:szCs w:val="24"/>
                    </w:rPr>
                  </w:pPr>
                  <w:r>
                    <w:rPr>
                      <w:rFonts w:hint="eastAsia"/>
                      <w:b/>
                      <w:sz w:val="24"/>
                      <w:szCs w:val="24"/>
                    </w:rPr>
                    <w:t>费用管理</w:t>
                  </w:r>
                </w:p>
                <w:p w14:paraId="1DDDE668">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费用管理有住院病人费用担保、住院单据扣费和住院退费管理等功能。</w:t>
                  </w:r>
                </w:p>
                <w:p w14:paraId="4E77FFF3">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病人费用担保</w:t>
                  </w:r>
                </w:p>
                <w:p w14:paraId="709547FB">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支持为病人设置担保费用以及担保金额，调整病人就医欠费额度，支持设置担保额度、担保有效期，可以手动取消担保。</w:t>
                  </w:r>
                </w:p>
                <w:p w14:paraId="33105046">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住院单据扣费</w:t>
                  </w:r>
                </w:p>
                <w:p w14:paraId="24D96EB8">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住院单据扣费可以对病人治疗过程中产生的费用项目进行扣费与作废，还可以补开遗漏的收费项目。</w:t>
                  </w:r>
                </w:p>
                <w:p w14:paraId="0A54D053">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住院退费管理</w:t>
                  </w:r>
                </w:p>
                <w:p w14:paraId="06EF3DB7">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住院退费管理可以对病人本次住院已经收费的项目进行退费开单、退费执行以及退费查询，支持指定数量部分退费。</w:t>
                  </w:r>
                </w:p>
                <w:p w14:paraId="13FFAA6B">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rPr>
                      <w:b/>
                      <w:sz w:val="24"/>
                      <w:szCs w:val="24"/>
                    </w:rPr>
                  </w:pPr>
                  <w:r>
                    <w:rPr>
                      <w:rFonts w:hint="eastAsia"/>
                      <w:b/>
                      <w:sz w:val="24"/>
                      <w:szCs w:val="24"/>
                    </w:rPr>
                    <w:t>患者管理</w:t>
                  </w:r>
                </w:p>
                <w:p w14:paraId="00573AB1">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实现患者床位导航、患者陪护以及</w:t>
                  </w:r>
                  <w:r>
                    <w:t>GCP</w:t>
                  </w:r>
                  <w:r>
                    <w:rPr>
                      <w:rFonts w:hint="eastAsia"/>
                    </w:rPr>
                    <w:t>病人登记等功能。</w:t>
                  </w:r>
                </w:p>
                <w:p w14:paraId="533517C5">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床位导航</w:t>
                  </w:r>
                </w:p>
                <w:p w14:paraId="7A757DD3">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床位导航可以查看本科室所有病人的床位信息，并且支持各类患者标识的展示。另外还支持各类病人的查看，方便医生快速定位病人。</w:t>
                  </w:r>
                </w:p>
                <w:p w14:paraId="324052AF">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患者陪护</w:t>
                  </w:r>
                </w:p>
                <w:p w14:paraId="2BADFA42">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支持对陪护患者的人员进行登记，包含登记人员的身份证、电话等基本信息以及疫苗等健康信息。</w:t>
                  </w:r>
                </w:p>
                <w:p w14:paraId="50C7DB49">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支持对陪护人员进行特殊项目开单，例如核酸检测等。</w:t>
                  </w:r>
                </w:p>
                <w:p w14:paraId="4BCB2424">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特殊患者管理</w:t>
                  </w:r>
                </w:p>
                <w:p w14:paraId="12F6070A">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t>1.</w:t>
                  </w:r>
                  <w:r>
                    <w:rPr>
                      <w:rFonts w:hint="eastAsia"/>
                    </w:rPr>
                    <w:t>提供黑名单人员类型字典功能。包括：精神病史、攻击性暴力行为、高危传染病、经济纠纷等，可根据医院要求增添修改。</w:t>
                  </w:r>
                </w:p>
                <w:p w14:paraId="6725D3B4">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t>2.</w:t>
                  </w:r>
                  <w:r>
                    <w:rPr>
                      <w:rFonts w:hint="eastAsia"/>
                    </w:rPr>
                    <w:t>支持医生对特殊人员进行标识。</w:t>
                  </w:r>
                </w:p>
                <w:p w14:paraId="2979C399">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rPr>
                      <w:lang w:bidi="ar"/>
                    </w:rPr>
                  </w:pPr>
                  <w:r>
                    <w:t>3.</w:t>
                  </w:r>
                  <w:r>
                    <w:rPr>
                      <w:rFonts w:hint="eastAsia"/>
                    </w:rPr>
                    <w:t>支持诊室医师对黑名单人员接诊时，系统界面患者基本信息栏中，黑名单患者姓名自动以红色加粗字体显示</w:t>
                  </w:r>
                  <w:r>
                    <w:rPr>
                      <w:rFonts w:hint="eastAsia"/>
                      <w:lang w:bidi="ar"/>
                    </w:rPr>
                    <w:t>。</w:t>
                  </w:r>
                </w:p>
                <w:p w14:paraId="0F528445">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rPr>
                      <w:b/>
                      <w:sz w:val="24"/>
                      <w:szCs w:val="24"/>
                    </w:rPr>
                  </w:pPr>
                  <w:r>
                    <w:rPr>
                      <w:rFonts w:hint="eastAsia"/>
                      <w:b/>
                      <w:sz w:val="24"/>
                      <w:szCs w:val="24"/>
                    </w:rPr>
                    <w:t>数据管理</w:t>
                  </w:r>
                </w:p>
                <w:p w14:paraId="39EBA906">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数据管理实现自定义模板维护和管理、医疗组维护、附属账号管理、自定义诊断和手术等功能。</w:t>
                  </w:r>
                </w:p>
                <w:p w14:paraId="514C49A1">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自定义病历模板维护</w:t>
                  </w:r>
                </w:p>
                <w:p w14:paraId="5F0E1781">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t>1.</w:t>
                  </w:r>
                  <w:r>
                    <w:rPr>
                      <w:rFonts w:hint="eastAsia"/>
                    </w:rPr>
                    <w:t>支持医生制作指定类型的自定义病历模板，例如病程记录和知情同意书类型病历，医生可以在模板上录入相关内容以及插入各类书写控件，新建病历时可选择对应自定义模板。</w:t>
                  </w:r>
                </w:p>
                <w:p w14:paraId="069775B1">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t>2.</w:t>
                  </w:r>
                  <w:r>
                    <w:rPr>
                      <w:rFonts w:hint="eastAsia"/>
                    </w:rPr>
                    <w:t>支持医生从个人已经书写完成的病历另存为个人的病历模板，下次新建病历模板时可使用该模板快速生成病历。</w:t>
                  </w:r>
                </w:p>
                <w:p w14:paraId="699DD740">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t>3.</w:t>
                  </w:r>
                  <w:r>
                    <w:rPr>
                      <w:rFonts w:hint="eastAsia"/>
                    </w:rPr>
                    <w:t>支持设置自定义模板的使用范围，可支持个人使用或者所在科室通用，科室通用模板需在科主任审核后可使用。</w:t>
                  </w:r>
                </w:p>
                <w:p w14:paraId="1CBDEB9F">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医疗组维护</w:t>
                  </w:r>
                </w:p>
                <w:p w14:paraId="40B2EC65">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t>1.</w:t>
                  </w:r>
                  <w:r>
                    <w:rPr>
                      <w:rFonts w:hint="eastAsia"/>
                    </w:rPr>
                    <w:t>支持配置科室医疗组维护人员权限。</w:t>
                  </w:r>
                </w:p>
                <w:p w14:paraId="0E3D254D">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t>2.</w:t>
                  </w:r>
                  <w:r>
                    <w:rPr>
                      <w:rFonts w:hint="eastAsia"/>
                    </w:rPr>
                    <w:t>支持一个科室可创建多个医疗组，科室医生可在多个医疗组中。</w:t>
                  </w:r>
                </w:p>
                <w:p w14:paraId="0641D7C9">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t>3.</w:t>
                  </w:r>
                  <w:r>
                    <w:rPr>
                      <w:rFonts w:hint="eastAsia"/>
                    </w:rPr>
                    <w:t>支持配置医疗组人员权限级别，一个用户在一个医疗组只能有一个权限等级，业务进行权限判断时使用分配的权限级别。</w:t>
                  </w:r>
                </w:p>
                <w:p w14:paraId="14B12B40">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附属账号管理</w:t>
                  </w:r>
                </w:p>
                <w:p w14:paraId="63A4623C">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t>1.</w:t>
                  </w:r>
                  <w:r>
                    <w:rPr>
                      <w:rFonts w:hint="eastAsia"/>
                    </w:rPr>
                    <w:t>支持医生或者管理部门创建附属账号，账号绑定在导师主账号下，可分发导师已有的菜单权限给附属账号，可分发指定业务权限给附属账号。</w:t>
                  </w:r>
                </w:p>
                <w:p w14:paraId="23169A4C">
                  <w:pPr>
                    <w:pStyle w:val="131"/>
                    <w:keepNext w:val="0"/>
                    <w:keepLines w:val="0"/>
                    <w:pageBreakBefore w:val="0"/>
                    <w:widowControl w:val="0"/>
                    <w:kinsoku/>
                    <w:wordWrap/>
                    <w:overflowPunct/>
                    <w:topLinePunct w:val="0"/>
                    <w:autoSpaceDE/>
                    <w:autoSpaceDN/>
                    <w:bidi w:val="0"/>
                    <w:adjustRightInd/>
                    <w:spacing w:line="360" w:lineRule="exact"/>
                    <w:ind w:firstLine="0"/>
                    <w:textAlignment w:val="auto"/>
                  </w:pPr>
                  <w:r>
                    <w:t>2.</w:t>
                  </w:r>
                  <w:r>
                    <w:rPr>
                      <w:rFonts w:hint="eastAsia"/>
                    </w:rPr>
                    <w:t>附属账号使用业务时，支持默认签名为附加上导师。</w:t>
                  </w:r>
                </w:p>
                <w:p w14:paraId="2FDE8BAA">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t>3.</w:t>
                  </w:r>
                  <w:r>
                    <w:rPr>
                      <w:rFonts w:hint="eastAsia"/>
                    </w:rPr>
                    <w:t>支持附属账号自主申请科室流转，由接收科室审批并进行权限分发后可流转到对应科室。</w:t>
                  </w:r>
                </w:p>
                <w:p w14:paraId="4965578E">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自定义诊断</w:t>
                  </w:r>
                  <w:r>
                    <w:rPr>
                      <w:b/>
                    </w:rPr>
                    <w:t>/</w:t>
                  </w:r>
                  <w:r>
                    <w:rPr>
                      <w:rFonts w:hint="eastAsia"/>
                      <w:b/>
                    </w:rPr>
                    <w:t>手术</w:t>
                  </w:r>
                </w:p>
                <w:p w14:paraId="5A574066">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支持医生进行自定义诊断</w:t>
                  </w:r>
                  <w:r>
                    <w:t>/</w:t>
                  </w:r>
                  <w:r>
                    <w:rPr>
                      <w:rFonts w:hint="eastAsia"/>
                    </w:rPr>
                    <w:t>手术申请，由病案室进行编码确认后在临床使用过程中即可使用该诊断或手术。</w:t>
                  </w:r>
                </w:p>
                <w:p w14:paraId="7A7C1306">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医嘱模板管理</w:t>
                  </w:r>
                </w:p>
                <w:p w14:paraId="5D3494B7">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t>1.</w:t>
                  </w:r>
                  <w:r>
                    <w:rPr>
                      <w:rFonts w:hint="eastAsia"/>
                    </w:rPr>
                    <w:t>提供医院、科室、医生常用的长期医嘱和临时医嘱模板，并提供模板可视化管理和维护功能。</w:t>
                  </w:r>
                </w:p>
                <w:p w14:paraId="03A34F1C">
                  <w:pPr>
                    <w:pStyle w:val="131"/>
                    <w:keepNext w:val="0"/>
                    <w:keepLines w:val="0"/>
                    <w:pageBreakBefore w:val="0"/>
                    <w:widowControl w:val="0"/>
                    <w:kinsoku/>
                    <w:wordWrap/>
                    <w:overflowPunct/>
                    <w:topLinePunct w:val="0"/>
                    <w:autoSpaceDE/>
                    <w:autoSpaceDN/>
                    <w:bidi w:val="0"/>
                    <w:adjustRightInd/>
                    <w:spacing w:line="360" w:lineRule="exact"/>
                    <w:ind w:firstLine="0"/>
                    <w:textAlignment w:val="auto"/>
                    <w:rPr>
                      <w:rFonts w:ascii="宋体" w:hAnsi="宋体" w:cs="宋体"/>
                      <w:szCs w:val="21"/>
                    </w:rPr>
                  </w:pPr>
                  <w:r>
                    <w:t>2.</w:t>
                  </w:r>
                  <w:r>
                    <w:rPr>
                      <w:rFonts w:hint="eastAsia"/>
                    </w:rPr>
                    <w:t>提供编辑模板需要的统一的诊断和药品字典。</w:t>
                  </w:r>
                </w:p>
              </w:tc>
            </w:tr>
            <w:tr w14:paraId="3B9C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3" w:type="dxa"/>
                  <w:vMerge w:val="continue"/>
                  <w:tcBorders>
                    <w:top w:val="single" w:color="auto" w:sz="4" w:space="0"/>
                    <w:left w:val="single" w:color="auto" w:sz="4" w:space="0"/>
                    <w:bottom w:val="single" w:color="auto" w:sz="4" w:space="0"/>
                    <w:right w:val="single" w:color="auto" w:sz="4" w:space="0"/>
                  </w:tcBorders>
                  <w:noWrap w:val="0"/>
                  <w:vAlign w:val="center"/>
                </w:tcPr>
                <w:p w14:paraId="186A140F">
                  <w:pPr>
                    <w:widowControl/>
                    <w:jc w:val="left"/>
                    <w:rPr>
                      <w:rFonts w:ascii="宋体" w:hAnsi="宋体" w:cs="宋体"/>
                      <w:b/>
                      <w:color w:val="000000"/>
                      <w:sz w:val="20"/>
                      <w:szCs w:val="20"/>
                    </w:rPr>
                  </w:pPr>
                </w:p>
              </w:tc>
              <w:tc>
                <w:tcPr>
                  <w:tcW w:w="804" w:type="dxa"/>
                  <w:vMerge w:val="continue"/>
                  <w:tcBorders>
                    <w:top w:val="single" w:color="auto" w:sz="4" w:space="0"/>
                    <w:left w:val="single" w:color="auto" w:sz="4" w:space="0"/>
                    <w:bottom w:val="single" w:color="auto" w:sz="4" w:space="0"/>
                    <w:right w:val="single" w:color="auto" w:sz="4" w:space="0"/>
                  </w:tcBorders>
                  <w:noWrap w:val="0"/>
                  <w:vAlign w:val="center"/>
                </w:tcPr>
                <w:p w14:paraId="4A9A2C48">
                  <w:pPr>
                    <w:widowControl/>
                    <w:jc w:val="left"/>
                    <w:rPr>
                      <w:rFonts w:ascii="宋体" w:hAnsi="宋体" w:cs="宋体"/>
                      <w:color w:val="000000"/>
                      <w:sz w:val="20"/>
                      <w:szCs w:val="20"/>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259E1265">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宋体"/>
                      <w:color w:val="000000"/>
                      <w:sz w:val="20"/>
                      <w:szCs w:val="20"/>
                    </w:rPr>
                  </w:pPr>
                  <w:r>
                    <w:rPr>
                      <w:rFonts w:hint="eastAsia"/>
                      <w:color w:val="000000"/>
                      <w:sz w:val="21"/>
                      <w:szCs w:val="21"/>
                    </w:rPr>
                    <w:t>临床路径管理</w:t>
                  </w:r>
                </w:p>
              </w:tc>
              <w:tc>
                <w:tcPr>
                  <w:tcW w:w="7748" w:type="dxa"/>
                  <w:tcBorders>
                    <w:top w:val="single" w:color="auto" w:sz="4" w:space="0"/>
                    <w:left w:val="single" w:color="auto" w:sz="4" w:space="0"/>
                    <w:bottom w:val="single" w:color="auto" w:sz="4" w:space="0"/>
                    <w:right w:val="single" w:color="auto" w:sz="4" w:space="0"/>
                  </w:tcBorders>
                  <w:noWrap/>
                  <w:vAlign w:val="center"/>
                </w:tcPr>
                <w:p w14:paraId="45113EC9">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rPr>
                      <w:b/>
                      <w:sz w:val="24"/>
                      <w:szCs w:val="24"/>
                    </w:rPr>
                  </w:pPr>
                  <w:r>
                    <w:rPr>
                      <w:rFonts w:hint="eastAsia"/>
                      <w:b/>
                      <w:sz w:val="24"/>
                      <w:szCs w:val="24"/>
                    </w:rPr>
                    <w:t>临床路径管理系统</w:t>
                  </w:r>
                </w:p>
                <w:p w14:paraId="4B56474A">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按照《临床路径管理指导原则</w:t>
                  </w:r>
                  <w:r>
                    <w:t>(</w:t>
                  </w:r>
                  <w:r>
                    <w:rPr>
                      <w:rFonts w:hint="eastAsia"/>
                    </w:rPr>
                    <w:t>试行</w:t>
                  </w:r>
                  <w:r>
                    <w:t>)</w:t>
                  </w:r>
                  <w:r>
                    <w:rPr>
                      <w:rFonts w:hint="eastAsia"/>
                    </w:rPr>
                    <w:t>》，实现疾病规范化的医疗服务。具体功能包括：病种定义、路径医嘱方案维护、医嘱方案管理、进入路径规则管理等。</w:t>
                  </w:r>
                </w:p>
                <w:p w14:paraId="1F741393">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病种定义</w:t>
                  </w:r>
                </w:p>
                <w:p w14:paraId="11839F70">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定义需要执行临床路径的病种，支持指定病种适用的科室、路径费用设置、路径审核、路径停用配置等。</w:t>
                  </w:r>
                </w:p>
                <w:p w14:paraId="22A7854B">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路径医嘱方案维护</w:t>
                  </w:r>
                </w:p>
                <w:p w14:paraId="777DF800">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t>1.</w:t>
                  </w:r>
                  <w:r>
                    <w:rPr>
                      <w:rFonts w:hint="eastAsia"/>
                    </w:rPr>
                    <w:t>支持以时间为主线对路径表单内容进行定义，针对不同病种制定不同临床路径，一个病种可制定多条治疗路径和子路径。</w:t>
                  </w:r>
                </w:p>
                <w:p w14:paraId="21DF69BE">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t>2.</w:t>
                  </w:r>
                  <w:r>
                    <w:rPr>
                      <w:rFonts w:hint="eastAsia"/>
                    </w:rPr>
                    <w:t>支持设置每个路径的准入条件及性别，以及路径日（阶段日）需完成治疗内容，路径内容主要包括常规诊疗项目、检验项目、检查项目、药品、手术项目、营养项目、护理项目、中医特色治疗项目等，同时针对路径支持设置豁免变异项目。</w:t>
                  </w:r>
                </w:p>
                <w:p w14:paraId="7A6293D6">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医嘱方案管理</w:t>
                  </w:r>
                </w:p>
                <w:p w14:paraId="2E4762FC">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t>1.</w:t>
                  </w:r>
                  <w:r>
                    <w:rPr>
                      <w:rFonts w:hint="eastAsia"/>
                    </w:rPr>
                    <w:t>提供常用模板的配置功能，如医嘱模板、护理模板、检查模板、检验模板、手术模板等。</w:t>
                  </w:r>
                </w:p>
                <w:p w14:paraId="08009D72">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t>2.</w:t>
                  </w:r>
                  <w:r>
                    <w:rPr>
                      <w:rFonts w:hint="eastAsia"/>
                    </w:rPr>
                    <w:t>支持模板按不同属性分类，如按模板类型、西医诊断分类。</w:t>
                  </w:r>
                </w:p>
                <w:p w14:paraId="4976EEDD">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t>3.</w:t>
                  </w:r>
                  <w:r>
                    <w:rPr>
                      <w:rFonts w:hint="eastAsia"/>
                    </w:rPr>
                    <w:t>在设置临床路径时，支持调用临床路径内容模板对模板进行选择性引用，支持在模板引用后修改，模板类型至少包括引用时间模板</w:t>
                  </w:r>
                  <w:r>
                    <w:t>(</w:t>
                  </w:r>
                  <w:r>
                    <w:rPr>
                      <w:rFonts w:hint="eastAsia"/>
                    </w:rPr>
                    <w:t>如入院第一天所需完成的项目和术后三天所需完成的项目</w:t>
                  </w:r>
                  <w:r>
                    <w:t>)</w:t>
                  </w:r>
                  <w:r>
                    <w:rPr>
                      <w:rFonts w:hint="eastAsia"/>
                    </w:rPr>
                    <w:t>、引用临床业务模板</w:t>
                  </w:r>
                  <w:r>
                    <w:t>(</w:t>
                  </w:r>
                  <w:r>
                    <w:rPr>
                      <w:rFonts w:hint="eastAsia"/>
                    </w:rPr>
                    <w:t>如医嘱模板、护理模板、检查模板、检验模板等</w:t>
                  </w:r>
                  <w:r>
                    <w:t>)</w:t>
                  </w:r>
                  <w:r>
                    <w:rPr>
                      <w:rFonts w:hint="eastAsia"/>
                    </w:rPr>
                    <w:t>、引用执行人类型模板</w:t>
                  </w:r>
                  <w:r>
                    <w:t>(</w:t>
                  </w:r>
                  <w:r>
                    <w:rPr>
                      <w:rFonts w:hint="eastAsia"/>
                    </w:rPr>
                    <w:t>如护理人员模板等</w:t>
                  </w:r>
                  <w:r>
                    <w:t>)</w:t>
                  </w:r>
                  <w:r>
                    <w:rPr>
                      <w:rFonts w:hint="eastAsia"/>
                    </w:rPr>
                    <w:t>。</w:t>
                  </w:r>
                </w:p>
                <w:p w14:paraId="1C968DEB">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进入路径规则管理</w:t>
                  </w:r>
                </w:p>
                <w:p w14:paraId="3F34529C">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t>1.</w:t>
                  </w:r>
                  <w:r>
                    <w:rPr>
                      <w:rFonts w:hint="eastAsia"/>
                    </w:rPr>
                    <w:t>提供多种入径判断规则配置，如西医诊断名称匹配、中医诊断名称匹配、中医证型名称匹配等、年龄性别匹配等多种条件组合。</w:t>
                  </w:r>
                </w:p>
                <w:p w14:paraId="2E9120C0">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t>2.</w:t>
                  </w:r>
                  <w:r>
                    <w:rPr>
                      <w:rFonts w:hint="eastAsia"/>
                    </w:rPr>
                    <w:t>支持配置医生录入路径相关诊断时自动提示进入入径和医生将病人进入入径两种方式规则。</w:t>
                  </w:r>
                </w:p>
                <w:p w14:paraId="06F81597">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路径执行管理</w:t>
                  </w:r>
                </w:p>
                <w:p w14:paraId="0CEC7676">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支持医生对患者的路径项目进行执行和停止。</w:t>
                  </w:r>
                </w:p>
                <w:p w14:paraId="4BBC13D3">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路径变异规则管理</w:t>
                  </w:r>
                </w:p>
                <w:p w14:paraId="6F67A099">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t>1.</w:t>
                  </w:r>
                  <w:r>
                    <w:rPr>
                      <w:rFonts w:hint="eastAsia"/>
                    </w:rPr>
                    <w:t>提供多种变异规则配置，包括完整性规则：路径中规定必须限时完成的路径内容，未完成路径必须填写变异原因。</w:t>
                  </w:r>
                </w:p>
                <w:p w14:paraId="655158D6">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t>2.</w:t>
                  </w:r>
                  <w:r>
                    <w:rPr>
                      <w:rFonts w:hint="eastAsia"/>
                    </w:rPr>
                    <w:t>支持医生在路径变异时输入变异原因。</w:t>
                  </w:r>
                </w:p>
                <w:p w14:paraId="461C55DC">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退出路径规则管理</w:t>
                  </w:r>
                </w:p>
                <w:p w14:paraId="3FAA3040">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t>1.</w:t>
                  </w:r>
                  <w:r>
                    <w:rPr>
                      <w:rFonts w:hint="eastAsia"/>
                    </w:rPr>
                    <w:t>支持设置路径准出条件，如治愈、好转、未愈等情况；</w:t>
                  </w:r>
                </w:p>
                <w:p w14:paraId="0546363C">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t>2.</w:t>
                  </w:r>
                  <w:r>
                    <w:rPr>
                      <w:rFonts w:hint="eastAsia"/>
                    </w:rPr>
                    <w:t>支持未按准出条件出路径时提示录入医生异常退出路径原因。</w:t>
                  </w:r>
                </w:p>
                <w:p w14:paraId="7AD90424">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查询统计</w:t>
                  </w:r>
                </w:p>
                <w:p w14:paraId="60A8A1BB">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rPr>
                      <w:rFonts w:ascii="宋体" w:hAnsi="宋体" w:cs="宋体"/>
                      <w:szCs w:val="21"/>
                    </w:rPr>
                  </w:pPr>
                  <w:r>
                    <w:rPr>
                      <w:rFonts w:hint="eastAsia"/>
                    </w:rPr>
                    <w:t>提供面向医院管理层、临床科室管理者、临床路径执行者等不同角色级别的查询功能。包括全院级、科室级使用的各个临床路径的使用人次、变更人次、终止人次、完成人次、执行率、治愈率、变异率、平均住院费用、平均住院天数等指标的统计分析。</w:t>
                  </w:r>
                </w:p>
              </w:tc>
            </w:tr>
            <w:tr w14:paraId="0B955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3" w:type="dxa"/>
                  <w:vMerge w:val="continue"/>
                  <w:tcBorders>
                    <w:top w:val="single" w:color="auto" w:sz="4" w:space="0"/>
                    <w:left w:val="single" w:color="auto" w:sz="4" w:space="0"/>
                    <w:bottom w:val="single" w:color="auto" w:sz="4" w:space="0"/>
                    <w:right w:val="single" w:color="auto" w:sz="4" w:space="0"/>
                  </w:tcBorders>
                  <w:noWrap w:val="0"/>
                  <w:vAlign w:val="center"/>
                </w:tcPr>
                <w:p w14:paraId="4A88EB8B">
                  <w:pPr>
                    <w:widowControl/>
                    <w:jc w:val="left"/>
                    <w:rPr>
                      <w:rFonts w:ascii="宋体" w:hAnsi="宋体" w:cs="宋体"/>
                      <w:b/>
                      <w:color w:val="000000"/>
                      <w:sz w:val="20"/>
                      <w:szCs w:val="20"/>
                    </w:rPr>
                  </w:pPr>
                </w:p>
              </w:tc>
              <w:tc>
                <w:tcPr>
                  <w:tcW w:w="804" w:type="dxa"/>
                  <w:vMerge w:val="restart"/>
                  <w:tcBorders>
                    <w:top w:val="single" w:color="auto" w:sz="4" w:space="0"/>
                    <w:left w:val="single" w:color="auto" w:sz="4" w:space="0"/>
                    <w:bottom w:val="single" w:color="auto" w:sz="4" w:space="0"/>
                    <w:right w:val="single" w:color="auto" w:sz="4" w:space="0"/>
                  </w:tcBorders>
                  <w:noWrap w:val="0"/>
                  <w:vAlign w:val="center"/>
                </w:tcPr>
                <w:p w14:paraId="2C05A3EB">
                  <w:pPr>
                    <w:rPr>
                      <w:rFonts w:ascii="宋体" w:hAnsi="宋体" w:cs="宋体"/>
                      <w:color w:val="000000"/>
                      <w:sz w:val="21"/>
                      <w:szCs w:val="21"/>
                    </w:rPr>
                  </w:pPr>
                  <w:r>
                    <w:rPr>
                      <w:rFonts w:hint="eastAsia"/>
                      <w:color w:val="000000"/>
                      <w:sz w:val="21"/>
                      <w:szCs w:val="21"/>
                    </w:rPr>
                    <w:t>护理业务</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201E36AE">
                  <w:pPr>
                    <w:pageBreakBefore w:val="0"/>
                    <w:widowControl w:val="0"/>
                    <w:kinsoku/>
                    <w:wordWrap/>
                    <w:overflowPunct/>
                    <w:topLinePunct w:val="0"/>
                    <w:autoSpaceDE/>
                    <w:autoSpaceDN/>
                    <w:bidi w:val="0"/>
                    <w:adjustRightInd/>
                    <w:spacing w:line="360" w:lineRule="exact"/>
                    <w:textAlignment w:val="auto"/>
                    <w:rPr>
                      <w:rFonts w:ascii="宋体" w:hAnsi="宋体" w:cs="宋体"/>
                      <w:color w:val="000000"/>
                      <w:sz w:val="21"/>
                      <w:szCs w:val="21"/>
                    </w:rPr>
                  </w:pPr>
                  <w:r>
                    <w:rPr>
                      <w:rFonts w:hint="eastAsia"/>
                      <w:color w:val="000000"/>
                      <w:sz w:val="21"/>
                      <w:szCs w:val="21"/>
                    </w:rPr>
                    <w:t>护理记录</w:t>
                  </w:r>
                </w:p>
              </w:tc>
              <w:tc>
                <w:tcPr>
                  <w:tcW w:w="7748" w:type="dxa"/>
                  <w:tcBorders>
                    <w:top w:val="single" w:color="auto" w:sz="4" w:space="0"/>
                    <w:left w:val="single" w:color="auto" w:sz="4" w:space="0"/>
                    <w:bottom w:val="single" w:color="auto" w:sz="4" w:space="0"/>
                    <w:right w:val="single" w:color="auto" w:sz="4" w:space="0"/>
                  </w:tcBorders>
                  <w:noWrap/>
                  <w:vAlign w:val="center"/>
                </w:tcPr>
                <w:p w14:paraId="2426C6DE">
                  <w:pPr>
                    <w:pStyle w:val="7"/>
                    <w:pageBreakBefore w:val="0"/>
                    <w:widowControl w:val="0"/>
                    <w:kinsoku/>
                    <w:wordWrap/>
                    <w:overflowPunct/>
                    <w:topLinePunct w:val="0"/>
                    <w:autoSpaceDE/>
                    <w:autoSpaceDN/>
                    <w:bidi w:val="0"/>
                    <w:adjustRightInd/>
                    <w:spacing w:line="360" w:lineRule="exact"/>
                    <w:textAlignment w:val="auto"/>
                    <w:rPr>
                      <w:rFonts w:ascii="Calibri"/>
                      <w:sz w:val="21"/>
                    </w:rPr>
                  </w:pPr>
                  <w:r>
                    <w:rPr>
                      <w:rFonts w:hint="eastAsia"/>
                    </w:rPr>
                    <w:t>护理电子病历系统</w:t>
                  </w:r>
                </w:p>
                <w:p w14:paraId="4D4CBDC1">
                  <w:pPr>
                    <w:pStyle w:val="131"/>
                    <w:pageBreakBefore w:val="0"/>
                    <w:widowControl w:val="0"/>
                    <w:kinsoku/>
                    <w:wordWrap/>
                    <w:overflowPunct/>
                    <w:topLinePunct w:val="0"/>
                    <w:autoSpaceDE/>
                    <w:autoSpaceDN/>
                    <w:bidi w:val="0"/>
                    <w:adjustRightInd/>
                    <w:spacing w:line="360" w:lineRule="exact"/>
                    <w:ind w:firstLine="0"/>
                    <w:textAlignment w:val="auto"/>
                    <w:rPr>
                      <w:rFonts w:ascii="宋体" w:hAnsi="宋体"/>
                      <w:szCs w:val="24"/>
                    </w:rPr>
                  </w:pPr>
                  <w:r>
                    <w:rPr>
                      <w:rFonts w:hint="eastAsia"/>
                    </w:rPr>
                    <w:t>协助护理人员对患者的病情观察和实施护理措施的记载，包括病人、体温单、医嘱单、护理入院录、首次护程录、一般患者护理记录、特殊患者护理记录等项目，并能够根据相应记录生成各类图表。</w:t>
                  </w:r>
                </w:p>
                <w:p w14:paraId="1B91A9D2">
                  <w:pPr>
                    <w:pStyle w:val="8"/>
                    <w:pageBreakBefore w:val="0"/>
                    <w:widowControl w:val="0"/>
                    <w:kinsoku/>
                    <w:wordWrap/>
                    <w:overflowPunct/>
                    <w:topLinePunct w:val="0"/>
                    <w:autoSpaceDE/>
                    <w:autoSpaceDN/>
                    <w:bidi w:val="0"/>
                    <w:adjustRightInd/>
                    <w:spacing w:line="360" w:lineRule="exact"/>
                    <w:textAlignment w:val="auto"/>
                    <w:rPr>
                      <w:rFonts w:hint="eastAsia"/>
                    </w:rPr>
                  </w:pPr>
                  <w:r>
                    <w:rPr>
                      <w:rFonts w:hint="eastAsia"/>
                    </w:rPr>
                    <w:t>护理文书</w:t>
                  </w:r>
                </w:p>
                <w:p w14:paraId="604ED923">
                  <w:pPr>
                    <w:pStyle w:val="131"/>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护理记录</w:t>
                  </w:r>
                </w:p>
                <w:p w14:paraId="30A78C77">
                  <w:pPr>
                    <w:pStyle w:val="131"/>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支持根据科室需求选择不同护理记录模板录入，录入时支持从体温单、医嘱、历史护理记录、检查检验报告等进行引用录入，可使用辅助输入及智能联想书写方式快速录入病情措施，支持指定日期范围和全部打印，持根据时间范围进行入出量统计和自动插入到护理记录里。</w:t>
                  </w:r>
                </w:p>
                <w:p w14:paraId="2059EF64">
                  <w:pPr>
                    <w:pStyle w:val="131"/>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体征录入</w:t>
                  </w:r>
                </w:p>
                <w:p w14:paraId="6B266F98">
                  <w:pPr>
                    <w:pStyle w:val="131"/>
                    <w:pageBreakBefore w:val="0"/>
                    <w:widowControl w:val="0"/>
                    <w:kinsoku/>
                    <w:wordWrap/>
                    <w:overflowPunct/>
                    <w:topLinePunct w:val="0"/>
                    <w:autoSpaceDE/>
                    <w:autoSpaceDN/>
                    <w:bidi w:val="0"/>
                    <w:adjustRightInd/>
                    <w:spacing w:line="360" w:lineRule="exact"/>
                    <w:ind w:firstLine="0"/>
                    <w:jc w:val="left"/>
                    <w:textAlignment w:val="auto"/>
                  </w:pPr>
                  <w:r>
                    <w:t>1.</w:t>
                  </w:r>
                  <w:r>
                    <w:rPr>
                      <w:rFonts w:hint="eastAsia"/>
                    </w:rPr>
                    <w:t>支持所见即所得录入体征信息，录入体征信息时同时自动生成体温单，可录入患者各项体征、出入量等护理信息以及手术、过敏史等其他患者临床信息。</w:t>
                  </w:r>
                </w:p>
                <w:p w14:paraId="017BAA86">
                  <w:pPr>
                    <w:pStyle w:val="131"/>
                    <w:pageBreakBefore w:val="0"/>
                    <w:widowControl w:val="0"/>
                    <w:kinsoku/>
                    <w:wordWrap/>
                    <w:overflowPunct/>
                    <w:topLinePunct w:val="0"/>
                    <w:autoSpaceDE/>
                    <w:autoSpaceDN/>
                    <w:bidi w:val="0"/>
                    <w:adjustRightInd/>
                    <w:spacing w:line="360" w:lineRule="exact"/>
                    <w:ind w:firstLine="0"/>
                    <w:jc w:val="left"/>
                    <w:textAlignment w:val="auto"/>
                  </w:pPr>
                  <w:r>
                    <w:t>2.</w:t>
                  </w:r>
                  <w:r>
                    <w:rPr>
                      <w:rFonts w:hint="eastAsia"/>
                    </w:rPr>
                    <w:t>支持预先定义好的验证规则，对患者体征</w:t>
                  </w:r>
                  <w:r>
                    <w:t>(</w:t>
                  </w:r>
                  <w:r>
                    <w:rPr>
                      <w:rFonts w:hint="eastAsia"/>
                    </w:rPr>
                    <w:t>体温、血压、呼吸</w:t>
                  </w:r>
                  <w:r>
                    <w:t>)</w:t>
                  </w:r>
                  <w:r>
                    <w:rPr>
                      <w:rFonts w:hint="eastAsia"/>
                    </w:rPr>
                    <w:t>等进行验证，对于不合理或者错误的录入，自动给出验证结果并提示护士。</w:t>
                  </w:r>
                </w:p>
                <w:p w14:paraId="2404DF33">
                  <w:pPr>
                    <w:pStyle w:val="131"/>
                    <w:pageBreakBefore w:val="0"/>
                    <w:widowControl w:val="0"/>
                    <w:kinsoku/>
                    <w:wordWrap/>
                    <w:overflowPunct/>
                    <w:topLinePunct w:val="0"/>
                    <w:autoSpaceDE/>
                    <w:autoSpaceDN/>
                    <w:bidi w:val="0"/>
                    <w:adjustRightInd/>
                    <w:spacing w:line="360" w:lineRule="exact"/>
                    <w:ind w:firstLine="0"/>
                    <w:jc w:val="left"/>
                    <w:textAlignment w:val="auto"/>
                  </w:pPr>
                  <w:r>
                    <w:t>3.</w:t>
                  </w:r>
                  <w:r>
                    <w:rPr>
                      <w:rFonts w:hint="eastAsia"/>
                    </w:rPr>
                    <w:t>可根据科室需求自定义配置体征录入项目。</w:t>
                  </w:r>
                </w:p>
                <w:p w14:paraId="07587461">
                  <w:pPr>
                    <w:pStyle w:val="131"/>
                    <w:pageBreakBefore w:val="0"/>
                    <w:widowControl w:val="0"/>
                    <w:kinsoku/>
                    <w:wordWrap/>
                    <w:overflowPunct/>
                    <w:topLinePunct w:val="0"/>
                    <w:autoSpaceDE/>
                    <w:autoSpaceDN/>
                    <w:bidi w:val="0"/>
                    <w:adjustRightInd/>
                    <w:spacing w:line="360" w:lineRule="exact"/>
                    <w:ind w:firstLine="0"/>
                    <w:jc w:val="left"/>
                    <w:textAlignment w:val="auto"/>
                  </w:pPr>
                  <w:r>
                    <w:t>4.</w:t>
                  </w:r>
                  <w:r>
                    <w:rPr>
                      <w:rFonts w:hint="eastAsia"/>
                    </w:rPr>
                    <w:t>支持在一个界面同时批量录入科室患者的体征信息，可进行全键盘操作快速录入，支持母婴分开进行批量录入体征信息。</w:t>
                  </w:r>
                </w:p>
                <w:p w14:paraId="0CC65F4F">
                  <w:pPr>
                    <w:pStyle w:val="131"/>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护理评估</w:t>
                  </w:r>
                </w:p>
                <w:p w14:paraId="72E2586D">
                  <w:pPr>
                    <w:pStyle w:val="131"/>
                    <w:pageBreakBefore w:val="0"/>
                    <w:widowControl w:val="0"/>
                    <w:kinsoku/>
                    <w:wordWrap/>
                    <w:overflowPunct/>
                    <w:topLinePunct w:val="0"/>
                    <w:autoSpaceDE/>
                    <w:autoSpaceDN/>
                    <w:bidi w:val="0"/>
                    <w:adjustRightInd/>
                    <w:spacing w:line="360" w:lineRule="exact"/>
                    <w:ind w:firstLine="0"/>
                    <w:jc w:val="left"/>
                    <w:textAlignment w:val="auto"/>
                  </w:pPr>
                  <w:r>
                    <w:t>1.</w:t>
                  </w:r>
                  <w:r>
                    <w:rPr>
                      <w:rFonts w:hint="eastAsia"/>
                    </w:rPr>
                    <w:t>支持创建各类结构化护理相关评估单，评估单内容支持自动以格式以及项目。</w:t>
                  </w:r>
                </w:p>
                <w:p w14:paraId="28B36D3F">
                  <w:pPr>
                    <w:pStyle w:val="131"/>
                    <w:pageBreakBefore w:val="0"/>
                    <w:widowControl w:val="0"/>
                    <w:kinsoku/>
                    <w:wordWrap/>
                    <w:overflowPunct/>
                    <w:topLinePunct w:val="0"/>
                    <w:autoSpaceDE/>
                    <w:autoSpaceDN/>
                    <w:bidi w:val="0"/>
                    <w:adjustRightInd/>
                    <w:spacing w:line="360" w:lineRule="exact"/>
                    <w:ind w:firstLine="0"/>
                    <w:jc w:val="left"/>
                    <w:textAlignment w:val="auto"/>
                  </w:pPr>
                  <w:r>
                    <w:t>2.</w:t>
                  </w:r>
                  <w:r>
                    <w:rPr>
                      <w:rFonts w:hint="eastAsia"/>
                    </w:rPr>
                    <w:t>护理评估能够自动计算分数，评估异常可触发护理决策进行提，评估分数能引用到相关病历。</w:t>
                  </w:r>
                </w:p>
                <w:p w14:paraId="134E0FD5">
                  <w:pPr>
                    <w:pStyle w:val="131"/>
                    <w:pageBreakBefore w:val="0"/>
                    <w:widowControl w:val="0"/>
                    <w:kinsoku/>
                    <w:wordWrap/>
                    <w:overflowPunct/>
                    <w:topLinePunct w:val="0"/>
                    <w:autoSpaceDE/>
                    <w:autoSpaceDN/>
                    <w:bidi w:val="0"/>
                    <w:adjustRightInd/>
                    <w:spacing w:line="360" w:lineRule="exact"/>
                    <w:ind w:firstLine="0"/>
                    <w:jc w:val="left"/>
                    <w:textAlignment w:val="auto"/>
                  </w:pPr>
                  <w:r>
                    <w:t>3.</w:t>
                  </w:r>
                  <w:r>
                    <w:rPr>
                      <w:rFonts w:hint="eastAsia"/>
                    </w:rPr>
                    <w:t>评估内容可生成趋势图便于了解病人病情变化以及护理效果。</w:t>
                  </w:r>
                </w:p>
                <w:p w14:paraId="28EC14ED">
                  <w:pPr>
                    <w:pStyle w:val="131"/>
                    <w:pageBreakBefore w:val="0"/>
                    <w:widowControl w:val="0"/>
                    <w:kinsoku/>
                    <w:wordWrap/>
                    <w:overflowPunct/>
                    <w:topLinePunct w:val="0"/>
                    <w:autoSpaceDE/>
                    <w:autoSpaceDN/>
                    <w:bidi w:val="0"/>
                    <w:adjustRightInd/>
                    <w:spacing w:line="360" w:lineRule="exact"/>
                    <w:ind w:firstLine="0"/>
                    <w:jc w:val="left"/>
                    <w:textAlignment w:val="auto"/>
                  </w:pPr>
                  <w:r>
                    <w:t>4.</w:t>
                  </w:r>
                  <w:r>
                    <w:rPr>
                      <w:rFonts w:hint="eastAsia"/>
                    </w:rPr>
                    <w:t>评估结果可以生成患者特殊标识用于临床，如有压疮风险病人生成压疮标识，医护能够快速了解病人特殊情况。</w:t>
                  </w:r>
                </w:p>
                <w:p w14:paraId="0943FCE3">
                  <w:pPr>
                    <w:pStyle w:val="131"/>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产程图</w:t>
                  </w:r>
                </w:p>
                <w:p w14:paraId="09D24207">
                  <w:pPr>
                    <w:pStyle w:val="131"/>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可根据孕妇情况录入宫缩时间、产程时段、孕次、孕周、胎盘娩出时间等信息，记录各个检查时间段宫口、宫缩情况以及胎心、胎方位等胎儿信息，根据录入的信息自动生成产程图，所见即所得。</w:t>
                  </w:r>
                </w:p>
                <w:p w14:paraId="127F368C">
                  <w:pPr>
                    <w:pStyle w:val="131"/>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支持自定义配置产程图录入界面的录入项目。</w:t>
                  </w:r>
                </w:p>
                <w:p w14:paraId="7793EDE2">
                  <w:pPr>
                    <w:pStyle w:val="131"/>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婴儿登记</w:t>
                  </w:r>
                </w:p>
                <w:p w14:paraId="3BC5EA27">
                  <w:pPr>
                    <w:pStyle w:val="131"/>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支持登记婴儿身高、体重、出生日期、分娩方式、孕周、产次、</w:t>
                  </w:r>
                  <w:r>
                    <w:t>Apgar</w:t>
                  </w:r>
                  <w:r>
                    <w:rPr>
                      <w:rFonts w:hint="eastAsia"/>
                    </w:rPr>
                    <w:t>评分等信息，支持多个婴儿一起登记。</w:t>
                  </w:r>
                </w:p>
                <w:p w14:paraId="4142CFC0">
                  <w:pPr>
                    <w:pStyle w:val="131"/>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护理会诊</w:t>
                  </w:r>
                </w:p>
                <w:p w14:paraId="50F7A208">
                  <w:pPr>
                    <w:pStyle w:val="131"/>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支持护理进行会诊，护士可以发起会诊，填写会诊申请单，描述病人护理情况，选择需要会诊的护理科室或者护理人员。被要求护理科室或者护理人员可以接受应答会诊，进行会诊意见书写。</w:t>
                  </w:r>
                </w:p>
                <w:p w14:paraId="743637E6">
                  <w:pPr>
                    <w:pStyle w:val="131"/>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护理记录维护</w:t>
                  </w:r>
                </w:p>
                <w:p w14:paraId="0E6E0B87">
                  <w:pPr>
                    <w:pStyle w:val="131"/>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可进行个性化定制各类护理表单格式和录入内容，包含护理录入项目的名称、代码、关联字典、录入方式以及正确性校验等属性。</w:t>
                  </w:r>
                </w:p>
                <w:p w14:paraId="1B1B596F">
                  <w:pPr>
                    <w:pStyle w:val="131"/>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可以根据科室需求自定义维护出入量录入项目。</w:t>
                  </w:r>
                </w:p>
                <w:p w14:paraId="6155349C">
                  <w:pPr>
                    <w:pStyle w:val="8"/>
                    <w:pageBreakBefore w:val="0"/>
                    <w:widowControl w:val="0"/>
                    <w:kinsoku/>
                    <w:wordWrap/>
                    <w:overflowPunct/>
                    <w:topLinePunct w:val="0"/>
                    <w:autoSpaceDE/>
                    <w:autoSpaceDN/>
                    <w:bidi w:val="0"/>
                    <w:adjustRightInd/>
                    <w:spacing w:line="360" w:lineRule="exact"/>
                    <w:textAlignment w:val="auto"/>
                  </w:pPr>
                  <w:r>
                    <w:rPr>
                      <w:rFonts w:hint="eastAsia"/>
                    </w:rPr>
                    <w:t>批量录入</w:t>
                  </w:r>
                </w:p>
                <w:p w14:paraId="7BD8F8BF">
                  <w:pPr>
                    <w:pStyle w:val="131"/>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批量录入成人体温单</w:t>
                  </w:r>
                </w:p>
                <w:p w14:paraId="1A3D7B46">
                  <w:pPr>
                    <w:pStyle w:val="131"/>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可批量进行成人体征信息录入，支持按照时间点选择需要录入体温信息的病人，录入项目支持自定义增加录入项目，录入时支持全键盘录入，录入完成可选择病人打印体温单。</w:t>
                  </w:r>
                </w:p>
                <w:p w14:paraId="78997A05">
                  <w:pPr>
                    <w:pStyle w:val="131"/>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批量录入婴儿体温单</w:t>
                  </w:r>
                </w:p>
                <w:p w14:paraId="2495B5B2">
                  <w:pPr>
                    <w:pStyle w:val="131"/>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可批量进行婴儿体征信息录入，支持按照时间点选择需要录入体温信息的婴儿，录入项目支持自定义增加录入项目，录入时支持全键盘录入，录入完成可选择病人打印体温单。</w:t>
                  </w:r>
                </w:p>
                <w:p w14:paraId="76161B5A">
                  <w:pPr>
                    <w:pStyle w:val="131"/>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表格病历批量录入</w:t>
                  </w:r>
                </w:p>
                <w:p w14:paraId="3DA2CFCF">
                  <w:pPr>
                    <w:pStyle w:val="131"/>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可对表格式的护理评估进行批量录入，支持选择表格病历模板进行录入，支持批量录入不同时间的评估信息，根据录入的评估项自动计算分数。</w:t>
                  </w:r>
                </w:p>
                <w:p w14:paraId="45E17813">
                  <w:pPr>
                    <w:pStyle w:val="8"/>
                    <w:pageBreakBefore w:val="0"/>
                    <w:widowControl w:val="0"/>
                    <w:kinsoku/>
                    <w:wordWrap/>
                    <w:overflowPunct/>
                    <w:topLinePunct w:val="0"/>
                    <w:autoSpaceDE/>
                    <w:autoSpaceDN/>
                    <w:bidi w:val="0"/>
                    <w:adjustRightInd/>
                    <w:spacing w:line="360" w:lineRule="exact"/>
                    <w:textAlignment w:val="auto"/>
                  </w:pPr>
                  <w:r>
                    <w:rPr>
                      <w:rFonts w:hint="eastAsia"/>
                    </w:rPr>
                    <w:t>护理质量管理质控</w:t>
                  </w:r>
                </w:p>
                <w:p w14:paraId="430F596B">
                  <w:pPr>
                    <w:pStyle w:val="131"/>
                    <w:pageBreakBefore w:val="0"/>
                    <w:widowControl w:val="0"/>
                    <w:kinsoku/>
                    <w:wordWrap/>
                    <w:overflowPunct/>
                    <w:topLinePunct w:val="0"/>
                    <w:autoSpaceDE/>
                    <w:autoSpaceDN/>
                    <w:bidi w:val="0"/>
                    <w:adjustRightInd/>
                    <w:spacing w:line="360" w:lineRule="exact"/>
                    <w:ind w:firstLine="0"/>
                    <w:textAlignment w:val="auto"/>
                  </w:pPr>
                  <w:r>
                    <w:t>1.</w:t>
                  </w:r>
                  <w:r>
                    <w:rPr>
                      <w:rFonts w:hint="eastAsia"/>
                    </w:rPr>
                    <w:t>对护理记录质量问题以消息形式提示护士；护士通过点击消息快速查看问题记录的缺陷情况，自动定位缺陷位置便于护士的及时修改；护士在护理记录录入时，能根据护理质量验证规则对输入项目进行验证及提醒。</w:t>
                  </w:r>
                </w:p>
                <w:p w14:paraId="3A7CBB64">
                  <w:pPr>
                    <w:pStyle w:val="131"/>
                    <w:pageBreakBefore w:val="0"/>
                    <w:widowControl w:val="0"/>
                    <w:kinsoku/>
                    <w:wordWrap/>
                    <w:overflowPunct/>
                    <w:topLinePunct w:val="0"/>
                    <w:autoSpaceDE/>
                    <w:autoSpaceDN/>
                    <w:bidi w:val="0"/>
                    <w:adjustRightInd/>
                    <w:spacing w:line="360" w:lineRule="exact"/>
                    <w:ind w:firstLine="0"/>
                    <w:textAlignment w:val="auto"/>
                    <w:rPr>
                      <w:rFonts w:ascii="宋体" w:hAnsi="宋体" w:cs="宋体"/>
                      <w:szCs w:val="21"/>
                    </w:rPr>
                  </w:pPr>
                  <w:r>
                    <w:t>2.</w:t>
                  </w:r>
                  <w:r>
                    <w:rPr>
                      <w:rFonts w:hint="eastAsia"/>
                    </w:rPr>
                    <w:t>护理管理部门或护士根据护理管理部门质控要求，对重点患者进行筛查管理和质量统计分析</w:t>
                  </w:r>
                  <w:r>
                    <w:t>(</w:t>
                  </w:r>
                  <w:r>
                    <w:rPr>
                      <w:rFonts w:hint="eastAsia"/>
                    </w:rPr>
                    <w:t>如</w:t>
                  </w:r>
                  <w:r>
                    <w:t>:</w:t>
                  </w:r>
                  <w:r>
                    <w:rPr>
                      <w:rFonts w:hint="eastAsia"/>
                    </w:rPr>
                    <w:t>危重患者、围术期患者、院内感染患者、高度跌倒风险患者等</w:t>
                  </w:r>
                  <w:r>
                    <w:t>)</w:t>
                  </w:r>
                  <w:r>
                    <w:rPr>
                      <w:rFonts w:hint="eastAsia"/>
                    </w:rPr>
                    <w:t>，并将问题以消息的形式发送给护士。</w:t>
                  </w:r>
                </w:p>
              </w:tc>
            </w:tr>
            <w:tr w14:paraId="6E6A0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3" w:type="dxa"/>
                  <w:vMerge w:val="continue"/>
                  <w:tcBorders>
                    <w:top w:val="single" w:color="auto" w:sz="4" w:space="0"/>
                    <w:left w:val="single" w:color="auto" w:sz="4" w:space="0"/>
                    <w:bottom w:val="single" w:color="auto" w:sz="4" w:space="0"/>
                    <w:right w:val="single" w:color="auto" w:sz="4" w:space="0"/>
                  </w:tcBorders>
                  <w:noWrap w:val="0"/>
                  <w:vAlign w:val="center"/>
                </w:tcPr>
                <w:p w14:paraId="081FC5B3">
                  <w:pPr>
                    <w:widowControl/>
                    <w:jc w:val="left"/>
                    <w:rPr>
                      <w:rFonts w:ascii="宋体" w:hAnsi="宋体" w:cs="宋体"/>
                      <w:b/>
                      <w:color w:val="000000"/>
                      <w:sz w:val="20"/>
                      <w:szCs w:val="20"/>
                    </w:rPr>
                  </w:pPr>
                </w:p>
              </w:tc>
              <w:tc>
                <w:tcPr>
                  <w:tcW w:w="804" w:type="dxa"/>
                  <w:vMerge w:val="continue"/>
                  <w:tcBorders>
                    <w:top w:val="single" w:color="auto" w:sz="4" w:space="0"/>
                    <w:left w:val="single" w:color="auto" w:sz="4" w:space="0"/>
                    <w:bottom w:val="single" w:color="auto" w:sz="4" w:space="0"/>
                    <w:right w:val="single" w:color="auto" w:sz="4" w:space="0"/>
                  </w:tcBorders>
                  <w:noWrap w:val="0"/>
                  <w:vAlign w:val="center"/>
                </w:tcPr>
                <w:p w14:paraId="41825560">
                  <w:pPr>
                    <w:widowControl/>
                    <w:jc w:val="left"/>
                    <w:rPr>
                      <w:rFonts w:ascii="宋体" w:hAnsi="宋体" w:cs="宋体"/>
                      <w:color w:val="000000"/>
                      <w:sz w:val="20"/>
                      <w:szCs w:val="20"/>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4CD09392">
                  <w:pPr>
                    <w:pageBreakBefore w:val="0"/>
                    <w:widowControl w:val="0"/>
                    <w:kinsoku/>
                    <w:wordWrap/>
                    <w:overflowPunct/>
                    <w:topLinePunct w:val="0"/>
                    <w:autoSpaceDE/>
                    <w:autoSpaceDN/>
                    <w:bidi w:val="0"/>
                    <w:adjustRightInd/>
                    <w:spacing w:line="360" w:lineRule="exact"/>
                    <w:textAlignment w:val="auto"/>
                    <w:rPr>
                      <w:rFonts w:ascii="宋体" w:hAnsi="宋体" w:cs="宋体"/>
                      <w:color w:val="000000"/>
                      <w:sz w:val="20"/>
                      <w:szCs w:val="20"/>
                    </w:rPr>
                  </w:pPr>
                  <w:r>
                    <w:rPr>
                      <w:rFonts w:hint="eastAsia"/>
                      <w:color w:val="000000"/>
                      <w:sz w:val="21"/>
                      <w:szCs w:val="21"/>
                    </w:rPr>
                    <w:t>非药品医嘱执行</w:t>
                  </w:r>
                </w:p>
              </w:tc>
              <w:tc>
                <w:tcPr>
                  <w:tcW w:w="7748" w:type="dxa"/>
                  <w:tcBorders>
                    <w:top w:val="single" w:color="auto" w:sz="4" w:space="0"/>
                    <w:left w:val="single" w:color="auto" w:sz="4" w:space="0"/>
                    <w:bottom w:val="single" w:color="auto" w:sz="4" w:space="0"/>
                    <w:right w:val="single" w:color="auto" w:sz="4" w:space="0"/>
                  </w:tcBorders>
                  <w:noWrap/>
                  <w:vAlign w:val="center"/>
                </w:tcPr>
                <w:p w14:paraId="3DE28E83">
                  <w:pPr>
                    <w:pStyle w:val="7"/>
                    <w:pageBreakBefore w:val="0"/>
                    <w:widowControl w:val="0"/>
                    <w:kinsoku/>
                    <w:wordWrap/>
                    <w:overflowPunct/>
                    <w:topLinePunct w:val="0"/>
                    <w:autoSpaceDE/>
                    <w:autoSpaceDN/>
                    <w:bidi w:val="0"/>
                    <w:adjustRightInd/>
                    <w:spacing w:line="360" w:lineRule="exact"/>
                    <w:textAlignment w:val="auto"/>
                    <w:rPr>
                      <w:rFonts w:ascii="Calibri"/>
                      <w:sz w:val="21"/>
                    </w:rPr>
                  </w:pPr>
                  <w:r>
                    <w:rPr>
                      <w:rFonts w:hint="eastAsia"/>
                    </w:rPr>
                    <w:t>住院护士工作站</w:t>
                  </w:r>
                </w:p>
                <w:p w14:paraId="54EC13C1">
                  <w:pPr>
                    <w:pStyle w:val="8"/>
                    <w:pageBreakBefore w:val="0"/>
                    <w:widowControl w:val="0"/>
                    <w:kinsoku/>
                    <w:wordWrap/>
                    <w:overflowPunct/>
                    <w:topLinePunct w:val="0"/>
                    <w:autoSpaceDE/>
                    <w:autoSpaceDN/>
                    <w:bidi w:val="0"/>
                    <w:adjustRightInd/>
                    <w:spacing w:line="360" w:lineRule="exact"/>
                    <w:textAlignment w:val="auto"/>
                  </w:pPr>
                  <w:r>
                    <w:rPr>
                      <w:rFonts w:hint="eastAsia"/>
                    </w:rPr>
                    <w:t>医嘱管理</w:t>
                  </w:r>
                </w:p>
                <w:p w14:paraId="17601950">
                  <w:pPr>
                    <w:pStyle w:val="131"/>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医嘱处理</w:t>
                  </w:r>
                </w:p>
                <w:p w14:paraId="76F5CCDF">
                  <w:pPr>
                    <w:pStyle w:val="131"/>
                    <w:pageBreakBefore w:val="0"/>
                    <w:widowControl w:val="0"/>
                    <w:kinsoku/>
                    <w:wordWrap/>
                    <w:overflowPunct/>
                    <w:topLinePunct w:val="0"/>
                    <w:autoSpaceDE/>
                    <w:autoSpaceDN/>
                    <w:bidi w:val="0"/>
                    <w:adjustRightInd/>
                    <w:spacing w:line="360" w:lineRule="exact"/>
                    <w:ind w:firstLine="0"/>
                    <w:jc w:val="left"/>
                    <w:textAlignment w:val="auto"/>
                  </w:pPr>
                  <w:r>
                    <w:t>1.</w:t>
                  </w:r>
                  <w:r>
                    <w:rPr>
                      <w:rFonts w:hint="eastAsia"/>
                    </w:rPr>
                    <w:t>提供医嘱统一处理界面，无需反复切换系统，支持在一个页面下进行医嘱校对、医嘱申请、用药打印、护理打印、医嘱查询、停嘱审核、作废审核、费用处理等护理日常工作。</w:t>
                  </w:r>
                </w:p>
                <w:p w14:paraId="5755072C">
                  <w:pPr>
                    <w:pStyle w:val="131"/>
                    <w:pageBreakBefore w:val="0"/>
                    <w:widowControl w:val="0"/>
                    <w:kinsoku/>
                    <w:wordWrap/>
                    <w:overflowPunct/>
                    <w:topLinePunct w:val="0"/>
                    <w:autoSpaceDE/>
                    <w:autoSpaceDN/>
                    <w:bidi w:val="0"/>
                    <w:adjustRightInd/>
                    <w:spacing w:line="360" w:lineRule="exact"/>
                    <w:ind w:firstLine="0"/>
                    <w:jc w:val="left"/>
                    <w:textAlignment w:val="auto"/>
                  </w:pPr>
                  <w:r>
                    <w:t>2.</w:t>
                  </w:r>
                  <w:r>
                    <w:rPr>
                      <w:rFonts w:hint="eastAsia"/>
                    </w:rPr>
                    <w:t>支持同时对全区多个病人的医嘱一起显示与处理，可根据用户所选的医嘱批量进行校对和申请执行等操作。</w:t>
                  </w:r>
                </w:p>
                <w:p w14:paraId="5FFF7702">
                  <w:pPr>
                    <w:pStyle w:val="131"/>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医嘱校对</w:t>
                  </w:r>
                </w:p>
                <w:p w14:paraId="378023F0">
                  <w:pPr>
                    <w:pStyle w:val="131"/>
                    <w:pageBreakBefore w:val="0"/>
                    <w:widowControl w:val="0"/>
                    <w:kinsoku/>
                    <w:wordWrap/>
                    <w:overflowPunct/>
                    <w:topLinePunct w:val="0"/>
                    <w:autoSpaceDE/>
                    <w:autoSpaceDN/>
                    <w:bidi w:val="0"/>
                    <w:adjustRightInd/>
                    <w:spacing w:line="360" w:lineRule="exact"/>
                    <w:ind w:firstLine="0"/>
                    <w:jc w:val="left"/>
                    <w:textAlignment w:val="auto"/>
                  </w:pPr>
                  <w:r>
                    <w:t>1.</w:t>
                  </w:r>
                  <w:r>
                    <w:rPr>
                      <w:rFonts w:hint="eastAsia"/>
                    </w:rPr>
                    <w:t>支持长期医嘱和临时医嘱进行分开校对，校对时能够根据患者情况进行校对判断，例如患者有皮试但未登记皮试结果不能校对正确等。</w:t>
                  </w:r>
                </w:p>
                <w:p w14:paraId="11F535B8">
                  <w:pPr>
                    <w:pStyle w:val="131"/>
                    <w:pageBreakBefore w:val="0"/>
                    <w:widowControl w:val="0"/>
                    <w:kinsoku/>
                    <w:wordWrap/>
                    <w:overflowPunct/>
                    <w:topLinePunct w:val="0"/>
                    <w:autoSpaceDE/>
                    <w:autoSpaceDN/>
                    <w:bidi w:val="0"/>
                    <w:adjustRightInd/>
                    <w:spacing w:line="360" w:lineRule="exact"/>
                    <w:ind w:firstLine="0"/>
                    <w:jc w:val="left"/>
                    <w:textAlignment w:val="auto"/>
                  </w:pPr>
                  <w:r>
                    <w:t>2.</w:t>
                  </w:r>
                  <w:r>
                    <w:rPr>
                      <w:rFonts w:hint="eastAsia"/>
                    </w:rPr>
                    <w:t>校对医嘱时能够根据长期医嘱的频次自动拆分成多天的摆药单。</w:t>
                  </w:r>
                </w:p>
                <w:p w14:paraId="730D22EA">
                  <w:pPr>
                    <w:pStyle w:val="131"/>
                    <w:pageBreakBefore w:val="0"/>
                    <w:widowControl w:val="0"/>
                    <w:kinsoku/>
                    <w:wordWrap/>
                    <w:overflowPunct/>
                    <w:topLinePunct w:val="0"/>
                    <w:autoSpaceDE/>
                    <w:autoSpaceDN/>
                    <w:bidi w:val="0"/>
                    <w:adjustRightInd/>
                    <w:spacing w:line="360" w:lineRule="exact"/>
                    <w:ind w:firstLine="0"/>
                    <w:jc w:val="left"/>
                    <w:textAlignment w:val="auto"/>
                  </w:pPr>
                  <w:r>
                    <w:t>3.</w:t>
                  </w:r>
                  <w:r>
                    <w:rPr>
                      <w:rFonts w:hint="eastAsia"/>
                    </w:rPr>
                    <w:t>支持根据医嘱属性、病人状态等条件筛选医嘱进行查看和校对，支持母亲和婴儿的医嘱分开校对，多胎情况下可以查看和校对指定胎的医嘱。</w:t>
                  </w:r>
                </w:p>
                <w:p w14:paraId="4426B45B">
                  <w:pPr>
                    <w:pStyle w:val="131"/>
                    <w:pageBreakBefore w:val="0"/>
                    <w:widowControl w:val="0"/>
                    <w:kinsoku/>
                    <w:wordWrap/>
                    <w:overflowPunct/>
                    <w:topLinePunct w:val="0"/>
                    <w:autoSpaceDE/>
                    <w:autoSpaceDN/>
                    <w:bidi w:val="0"/>
                    <w:adjustRightInd/>
                    <w:spacing w:line="360" w:lineRule="exact"/>
                    <w:ind w:firstLine="0"/>
                    <w:jc w:val="left"/>
                    <w:textAlignment w:val="auto"/>
                  </w:pPr>
                  <w:r>
                    <w:t>4.</w:t>
                  </w:r>
                  <w:r>
                    <w:rPr>
                      <w:rFonts w:hint="eastAsia"/>
                    </w:rPr>
                    <w:t>支持校对时对有问题的医嘱回退给医生。</w:t>
                  </w:r>
                </w:p>
                <w:p w14:paraId="65AFB8DC">
                  <w:pPr>
                    <w:pStyle w:val="131"/>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支持对全区多个病人的医嘱批量进行校对。</w:t>
                  </w:r>
                </w:p>
                <w:p w14:paraId="0169AD96">
                  <w:pPr>
                    <w:pStyle w:val="131"/>
                    <w:pageBreakBefore w:val="0"/>
                    <w:widowControl w:val="0"/>
                    <w:kinsoku/>
                    <w:wordWrap/>
                    <w:overflowPunct/>
                    <w:topLinePunct w:val="0"/>
                    <w:autoSpaceDE/>
                    <w:autoSpaceDN/>
                    <w:bidi w:val="0"/>
                    <w:adjustRightInd/>
                    <w:spacing w:line="360" w:lineRule="exact"/>
                    <w:ind w:firstLine="0"/>
                    <w:jc w:val="left"/>
                    <w:textAlignment w:val="auto"/>
                    <w:rPr>
                      <w:rFonts w:hint="eastAsia"/>
                      <w:b/>
                    </w:rPr>
                  </w:pPr>
                  <w:r>
                    <w:rPr>
                      <w:rFonts w:hint="eastAsia"/>
                      <w:b/>
                    </w:rPr>
                    <w:t>医嘱申请执行</w:t>
                  </w:r>
                </w:p>
                <w:p w14:paraId="7A7A6F8A">
                  <w:pPr>
                    <w:pStyle w:val="131"/>
                    <w:pageBreakBefore w:val="0"/>
                    <w:widowControl w:val="0"/>
                    <w:kinsoku/>
                    <w:wordWrap/>
                    <w:overflowPunct/>
                    <w:topLinePunct w:val="0"/>
                    <w:autoSpaceDE/>
                    <w:autoSpaceDN/>
                    <w:bidi w:val="0"/>
                    <w:adjustRightInd/>
                    <w:spacing w:line="360" w:lineRule="exact"/>
                    <w:ind w:firstLine="0"/>
                    <w:jc w:val="left"/>
                    <w:textAlignment w:val="auto"/>
                  </w:pPr>
                  <w:r>
                    <w:rPr>
                      <w:rFonts w:hint="eastAsia"/>
                      <w:lang w:val="en-US" w:eastAsia="zh-CN"/>
                    </w:rPr>
                    <w:t>1</w:t>
                  </w:r>
                  <w:r>
                    <w:t>.</w:t>
                  </w:r>
                  <w:r>
                    <w:rPr>
                      <w:rFonts w:hint="eastAsia"/>
                    </w:rPr>
                    <w:t>支持对药品和非药品分开申请执行，药品类支持修改发药药房以及用药方法。</w:t>
                  </w:r>
                </w:p>
                <w:p w14:paraId="5208F841">
                  <w:pPr>
                    <w:pStyle w:val="131"/>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支持添加执行医嘱需要附加的费用项目，例如输液接瓶费等，可将常用项目配置为模板，下次可使用模板快速添加。</w:t>
                  </w:r>
                </w:p>
                <w:p w14:paraId="498AB2E0">
                  <w:pPr>
                    <w:pStyle w:val="131"/>
                    <w:pageBreakBefore w:val="0"/>
                    <w:widowControl w:val="0"/>
                    <w:kinsoku/>
                    <w:wordWrap/>
                    <w:overflowPunct/>
                    <w:topLinePunct w:val="0"/>
                    <w:autoSpaceDE/>
                    <w:autoSpaceDN/>
                    <w:bidi w:val="0"/>
                    <w:adjustRightInd/>
                    <w:spacing w:line="360" w:lineRule="exact"/>
                    <w:ind w:firstLine="0"/>
                    <w:jc w:val="left"/>
                    <w:textAlignment w:val="auto"/>
                  </w:pPr>
                  <w:r>
                    <w:rPr>
                      <w:rFonts w:hint="eastAsia"/>
                      <w:lang w:val="en-US" w:eastAsia="zh-CN"/>
                    </w:rPr>
                    <w:t>2</w:t>
                  </w:r>
                  <w:r>
                    <w:t>.</w:t>
                  </w:r>
                  <w:r>
                    <w:rPr>
                      <w:rFonts w:hint="eastAsia"/>
                    </w:rPr>
                    <w:t>支持通过药品、非药品、性质、剂型、药房、按需给药、用药日期、胎数等进行过滤显示医嘱。</w:t>
                  </w:r>
                </w:p>
                <w:p w14:paraId="3DB3D5F2">
                  <w:pPr>
                    <w:pStyle w:val="131"/>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医嘱查询</w:t>
                  </w:r>
                </w:p>
                <w:p w14:paraId="1E8730D0">
                  <w:pPr>
                    <w:pStyle w:val="131"/>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支持按照病人以及医嘱状态查询病人所有医嘱信息，支持直接进行医嘱打印。</w:t>
                  </w:r>
                </w:p>
                <w:p w14:paraId="27C2F2A4">
                  <w:pPr>
                    <w:pStyle w:val="131"/>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停嘱审核</w:t>
                  </w:r>
                </w:p>
                <w:p w14:paraId="1A776983">
                  <w:pPr>
                    <w:pStyle w:val="131"/>
                    <w:pageBreakBefore w:val="0"/>
                    <w:widowControl w:val="0"/>
                    <w:kinsoku/>
                    <w:wordWrap/>
                    <w:overflowPunct/>
                    <w:topLinePunct w:val="0"/>
                    <w:autoSpaceDE/>
                    <w:autoSpaceDN/>
                    <w:bidi w:val="0"/>
                    <w:adjustRightInd/>
                    <w:spacing w:line="360" w:lineRule="exact"/>
                    <w:ind w:firstLine="0"/>
                    <w:jc w:val="left"/>
                    <w:textAlignment w:val="auto"/>
                  </w:pPr>
                  <w:r>
                    <w:t>1.</w:t>
                  </w:r>
                  <w:r>
                    <w:rPr>
                      <w:rFonts w:hint="eastAsia"/>
                    </w:rPr>
                    <w:t>支持对医生提交的患者在执行的医嘱的停嘱申请进行审核，支持回退审核申请。</w:t>
                  </w:r>
                </w:p>
                <w:p w14:paraId="62E60289">
                  <w:pPr>
                    <w:pStyle w:val="131"/>
                    <w:pageBreakBefore w:val="0"/>
                    <w:widowControl w:val="0"/>
                    <w:kinsoku/>
                    <w:wordWrap/>
                    <w:overflowPunct/>
                    <w:topLinePunct w:val="0"/>
                    <w:autoSpaceDE/>
                    <w:autoSpaceDN/>
                    <w:bidi w:val="0"/>
                    <w:adjustRightInd/>
                    <w:spacing w:line="360" w:lineRule="exact"/>
                    <w:ind w:firstLine="0"/>
                    <w:jc w:val="left"/>
                    <w:textAlignment w:val="auto"/>
                  </w:pPr>
                  <w:r>
                    <w:t>2.</w:t>
                  </w:r>
                  <w:r>
                    <w:rPr>
                      <w:rFonts w:hint="eastAsia"/>
                    </w:rPr>
                    <w:t>系统支持自动过滤待审核患者给护士。</w:t>
                  </w:r>
                </w:p>
                <w:p w14:paraId="457B9305">
                  <w:pPr>
                    <w:pStyle w:val="131"/>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作废医嘱审核</w:t>
                  </w:r>
                </w:p>
                <w:p w14:paraId="260C86F1">
                  <w:pPr>
                    <w:pStyle w:val="131"/>
                    <w:pageBreakBefore w:val="0"/>
                    <w:widowControl w:val="0"/>
                    <w:kinsoku/>
                    <w:wordWrap/>
                    <w:overflowPunct/>
                    <w:topLinePunct w:val="0"/>
                    <w:autoSpaceDE/>
                    <w:autoSpaceDN/>
                    <w:bidi w:val="0"/>
                    <w:adjustRightInd/>
                    <w:spacing w:line="360" w:lineRule="exact"/>
                    <w:ind w:firstLine="0"/>
                    <w:jc w:val="left"/>
                    <w:textAlignment w:val="auto"/>
                  </w:pPr>
                  <w:r>
                    <w:t>1.</w:t>
                  </w:r>
                  <w:r>
                    <w:rPr>
                      <w:rFonts w:hint="eastAsia"/>
                    </w:rPr>
                    <w:t>支持对医生提交的患者在执行的医嘱的作废申请进行审核，支持回退审核申请。</w:t>
                  </w:r>
                </w:p>
                <w:p w14:paraId="09CB2E07">
                  <w:pPr>
                    <w:pStyle w:val="131"/>
                    <w:pageBreakBefore w:val="0"/>
                    <w:widowControl w:val="0"/>
                    <w:kinsoku/>
                    <w:wordWrap/>
                    <w:overflowPunct/>
                    <w:topLinePunct w:val="0"/>
                    <w:autoSpaceDE/>
                    <w:autoSpaceDN/>
                    <w:bidi w:val="0"/>
                    <w:adjustRightInd/>
                    <w:spacing w:line="360" w:lineRule="exact"/>
                    <w:ind w:firstLine="0"/>
                    <w:textAlignment w:val="auto"/>
                  </w:pPr>
                  <w:r>
                    <w:t>2.</w:t>
                  </w:r>
                  <w:r>
                    <w:rPr>
                      <w:rFonts w:hint="eastAsia"/>
                    </w:rPr>
                    <w:t>系统支持自动过滤待审核患者给护士。</w:t>
                  </w:r>
                </w:p>
                <w:p w14:paraId="23B4FA6D">
                  <w:pPr>
                    <w:pStyle w:val="8"/>
                    <w:pageBreakBefore w:val="0"/>
                    <w:widowControl w:val="0"/>
                    <w:kinsoku/>
                    <w:wordWrap/>
                    <w:overflowPunct/>
                    <w:topLinePunct w:val="0"/>
                    <w:autoSpaceDE/>
                    <w:autoSpaceDN/>
                    <w:bidi w:val="0"/>
                    <w:adjustRightInd/>
                    <w:spacing w:line="360" w:lineRule="exact"/>
                    <w:textAlignment w:val="auto"/>
                  </w:pPr>
                  <w:r>
                    <w:rPr>
                      <w:rFonts w:hint="eastAsia"/>
                    </w:rPr>
                    <w:t>床位管理</w:t>
                  </w:r>
                </w:p>
                <w:p w14:paraId="386B6C46">
                  <w:pPr>
                    <w:pStyle w:val="131"/>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床位管理</w:t>
                  </w:r>
                </w:p>
                <w:p w14:paraId="12001FA1">
                  <w:pPr>
                    <w:pStyle w:val="131"/>
                    <w:pageBreakBefore w:val="0"/>
                    <w:widowControl w:val="0"/>
                    <w:kinsoku/>
                    <w:wordWrap/>
                    <w:overflowPunct/>
                    <w:topLinePunct w:val="0"/>
                    <w:autoSpaceDE/>
                    <w:autoSpaceDN/>
                    <w:bidi w:val="0"/>
                    <w:adjustRightInd/>
                    <w:spacing w:line="360" w:lineRule="exact"/>
                    <w:ind w:firstLine="0"/>
                    <w:jc w:val="left"/>
                    <w:textAlignment w:val="auto"/>
                  </w:pPr>
                  <w:r>
                    <w:t>1.</w:t>
                  </w:r>
                  <w:r>
                    <w:rPr>
                      <w:rFonts w:hint="eastAsia"/>
                    </w:rPr>
                    <w:t>支持维护本病区床位的床位号、床位类型、床位等级、属性、清洁状态、隔离状态、房间号、地理位置、排序号等信息。</w:t>
                  </w:r>
                </w:p>
                <w:p w14:paraId="581DB8C8">
                  <w:pPr>
                    <w:pStyle w:val="131"/>
                    <w:pageBreakBefore w:val="0"/>
                    <w:widowControl w:val="0"/>
                    <w:kinsoku/>
                    <w:wordWrap/>
                    <w:overflowPunct/>
                    <w:topLinePunct w:val="0"/>
                    <w:autoSpaceDE/>
                    <w:autoSpaceDN/>
                    <w:bidi w:val="0"/>
                    <w:adjustRightInd/>
                    <w:spacing w:line="360" w:lineRule="exact"/>
                    <w:ind w:firstLine="0"/>
                    <w:jc w:val="left"/>
                    <w:textAlignment w:val="auto"/>
                  </w:pPr>
                  <w:r>
                    <w:t>2.</w:t>
                  </w:r>
                  <w:r>
                    <w:rPr>
                      <w:rFonts w:hint="eastAsia"/>
                    </w:rPr>
                    <w:t>支持查看和维护床位费属性以及床位绑定的费用项目。</w:t>
                  </w:r>
                </w:p>
                <w:p w14:paraId="68C9E7C0">
                  <w:pPr>
                    <w:pStyle w:val="131"/>
                    <w:pageBreakBefore w:val="0"/>
                    <w:widowControl w:val="0"/>
                    <w:kinsoku/>
                    <w:wordWrap/>
                    <w:overflowPunct/>
                    <w:topLinePunct w:val="0"/>
                    <w:autoSpaceDE/>
                    <w:autoSpaceDN/>
                    <w:bidi w:val="0"/>
                    <w:adjustRightInd/>
                    <w:spacing w:line="360" w:lineRule="exact"/>
                    <w:ind w:firstLine="0"/>
                    <w:jc w:val="left"/>
                    <w:textAlignment w:val="auto"/>
                  </w:pPr>
                  <w:r>
                    <w:t>3.</w:t>
                  </w:r>
                  <w:r>
                    <w:rPr>
                      <w:rFonts w:hint="eastAsia"/>
                    </w:rPr>
                    <w:t>可根据床位属性等条件筛选查询床位信息。</w:t>
                  </w:r>
                </w:p>
                <w:p w14:paraId="0107671B">
                  <w:pPr>
                    <w:pStyle w:val="131"/>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床位导航</w:t>
                  </w:r>
                </w:p>
                <w:p w14:paraId="4D8FCE00">
                  <w:pPr>
                    <w:pStyle w:val="131"/>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提供床位导航展示页面，显示患者的护理等级、患者入出转状态、护理评估结果、手术状态等信息，支持在导航上快速进入业务处理界面，例如患者转科、出院等业务界面。</w:t>
                  </w:r>
                </w:p>
                <w:p w14:paraId="5D23C382">
                  <w:pPr>
                    <w:pStyle w:val="8"/>
                    <w:pageBreakBefore w:val="0"/>
                    <w:widowControl w:val="0"/>
                    <w:kinsoku/>
                    <w:wordWrap/>
                    <w:overflowPunct/>
                    <w:topLinePunct w:val="0"/>
                    <w:autoSpaceDE/>
                    <w:autoSpaceDN/>
                    <w:bidi w:val="0"/>
                    <w:adjustRightInd/>
                    <w:spacing w:line="360" w:lineRule="exact"/>
                    <w:textAlignment w:val="auto"/>
                  </w:pPr>
                  <w:r>
                    <w:rPr>
                      <w:rFonts w:hint="eastAsia"/>
                    </w:rPr>
                    <w:t>费用管理</w:t>
                  </w:r>
                </w:p>
                <w:p w14:paraId="4DA9BCF7">
                  <w:pPr>
                    <w:pStyle w:val="131"/>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住院单据扣费</w:t>
                  </w:r>
                </w:p>
                <w:p w14:paraId="1DCF804E">
                  <w:pPr>
                    <w:pStyle w:val="131"/>
                    <w:pageBreakBefore w:val="0"/>
                    <w:widowControl w:val="0"/>
                    <w:kinsoku/>
                    <w:wordWrap/>
                    <w:overflowPunct/>
                    <w:topLinePunct w:val="0"/>
                    <w:autoSpaceDE/>
                    <w:autoSpaceDN/>
                    <w:bidi w:val="0"/>
                    <w:adjustRightInd/>
                    <w:spacing w:line="360" w:lineRule="exact"/>
                    <w:ind w:firstLine="0"/>
                    <w:jc w:val="left"/>
                    <w:textAlignment w:val="auto"/>
                  </w:pPr>
                  <w:r>
                    <w:t>1.</w:t>
                  </w:r>
                  <w:r>
                    <w:rPr>
                      <w:rFonts w:hint="eastAsia"/>
                    </w:rPr>
                    <w:t>支持查看用药的各种材料费、诊疗费等需要扣费的项目并进行直接扣费。</w:t>
                  </w:r>
                </w:p>
                <w:p w14:paraId="641E57B9">
                  <w:pPr>
                    <w:pStyle w:val="131"/>
                    <w:pageBreakBefore w:val="0"/>
                    <w:widowControl w:val="0"/>
                    <w:kinsoku/>
                    <w:wordWrap/>
                    <w:overflowPunct/>
                    <w:topLinePunct w:val="0"/>
                    <w:autoSpaceDE/>
                    <w:autoSpaceDN/>
                    <w:bidi w:val="0"/>
                    <w:adjustRightInd/>
                    <w:spacing w:line="360" w:lineRule="exact"/>
                    <w:ind w:firstLine="0"/>
                    <w:jc w:val="left"/>
                    <w:textAlignment w:val="auto"/>
                  </w:pPr>
                  <w:r>
                    <w:t>2.</w:t>
                  </w:r>
                  <w:r>
                    <w:rPr>
                      <w:rFonts w:hint="eastAsia"/>
                    </w:rPr>
                    <w:t>支持新增诊疗或材料费用项目单据，可将常用项目配置成单据模板，下次可使用单据快速新增。</w:t>
                  </w:r>
                </w:p>
                <w:p w14:paraId="1A2279A1">
                  <w:pPr>
                    <w:pStyle w:val="131"/>
                    <w:pageBreakBefore w:val="0"/>
                    <w:widowControl w:val="0"/>
                    <w:kinsoku/>
                    <w:wordWrap/>
                    <w:overflowPunct/>
                    <w:topLinePunct w:val="0"/>
                    <w:autoSpaceDE/>
                    <w:autoSpaceDN/>
                    <w:bidi w:val="0"/>
                    <w:adjustRightInd/>
                    <w:spacing w:line="360" w:lineRule="exact"/>
                    <w:ind w:firstLine="0"/>
                    <w:jc w:val="left"/>
                    <w:textAlignment w:val="auto"/>
                  </w:pPr>
                  <w:r>
                    <w:t>3.</w:t>
                  </w:r>
                  <w:r>
                    <w:rPr>
                      <w:rFonts w:hint="eastAsia"/>
                    </w:rPr>
                    <w:t>支持对皮试单据进行皮试结果登记，可根据皮试结果控制是否执行单据。</w:t>
                  </w:r>
                </w:p>
                <w:p w14:paraId="21233B0A">
                  <w:pPr>
                    <w:pStyle w:val="131"/>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住院退费管理</w:t>
                  </w:r>
                </w:p>
                <w:p w14:paraId="7CB06EC0">
                  <w:pPr>
                    <w:pStyle w:val="131"/>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支持按照需要退费的数量进行退费单开具，执行科室审核后可进行退费，支持退费单状态查询。</w:t>
                  </w:r>
                </w:p>
                <w:p w14:paraId="7F36FBFA">
                  <w:pPr>
                    <w:pStyle w:val="131"/>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预交金预警</w:t>
                  </w:r>
                </w:p>
                <w:p w14:paraId="4CC9D6DB">
                  <w:pPr>
                    <w:pStyle w:val="131"/>
                    <w:pageBreakBefore w:val="0"/>
                    <w:widowControl w:val="0"/>
                    <w:kinsoku/>
                    <w:wordWrap/>
                    <w:overflowPunct/>
                    <w:topLinePunct w:val="0"/>
                    <w:autoSpaceDE/>
                    <w:autoSpaceDN/>
                    <w:bidi w:val="0"/>
                    <w:adjustRightInd/>
                    <w:spacing w:line="360" w:lineRule="exact"/>
                    <w:ind w:firstLine="0"/>
                    <w:jc w:val="left"/>
                    <w:textAlignment w:val="auto"/>
                  </w:pPr>
                  <w:r>
                    <w:t>1.</w:t>
                  </w:r>
                  <w:r>
                    <w:rPr>
                      <w:rFonts w:hint="eastAsia"/>
                    </w:rPr>
                    <w:t>支持查询当前病区的患者预交金信息。</w:t>
                  </w:r>
                </w:p>
                <w:p w14:paraId="0BBD7E7C">
                  <w:pPr>
                    <w:pStyle w:val="131"/>
                    <w:pageBreakBefore w:val="0"/>
                    <w:widowControl w:val="0"/>
                    <w:kinsoku/>
                    <w:wordWrap/>
                    <w:overflowPunct/>
                    <w:topLinePunct w:val="0"/>
                    <w:autoSpaceDE/>
                    <w:autoSpaceDN/>
                    <w:bidi w:val="0"/>
                    <w:adjustRightInd/>
                    <w:spacing w:line="360" w:lineRule="exact"/>
                    <w:ind w:firstLine="0"/>
                    <w:jc w:val="left"/>
                    <w:textAlignment w:val="auto"/>
                  </w:pPr>
                  <w:r>
                    <w:t>2.</w:t>
                  </w:r>
                  <w:r>
                    <w:rPr>
                      <w:rFonts w:hint="eastAsia"/>
                    </w:rPr>
                    <w:t>支持配置设定预交金预警阀值，根据设定的值进行查询超过阀值的病人，可以打印超过阀值病人的催交单。</w:t>
                  </w:r>
                </w:p>
                <w:p w14:paraId="159A225B">
                  <w:pPr>
                    <w:pStyle w:val="8"/>
                    <w:pageBreakBefore w:val="0"/>
                    <w:widowControl w:val="0"/>
                    <w:kinsoku/>
                    <w:wordWrap/>
                    <w:overflowPunct/>
                    <w:topLinePunct w:val="0"/>
                    <w:autoSpaceDE/>
                    <w:autoSpaceDN/>
                    <w:bidi w:val="0"/>
                    <w:adjustRightInd/>
                    <w:spacing w:line="360" w:lineRule="exact"/>
                    <w:textAlignment w:val="auto"/>
                  </w:pPr>
                  <w:r>
                    <w:rPr>
                      <w:rFonts w:hint="eastAsia"/>
                    </w:rPr>
                    <w:t>患者管理</w:t>
                  </w:r>
                </w:p>
                <w:p w14:paraId="3B4F4FFA">
                  <w:pPr>
                    <w:pStyle w:val="131"/>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入科</w:t>
                  </w:r>
                </w:p>
                <w:p w14:paraId="11494781">
                  <w:pPr>
                    <w:pStyle w:val="131"/>
                    <w:pageBreakBefore w:val="0"/>
                    <w:widowControl w:val="0"/>
                    <w:kinsoku/>
                    <w:wordWrap/>
                    <w:overflowPunct/>
                    <w:topLinePunct w:val="0"/>
                    <w:autoSpaceDE/>
                    <w:autoSpaceDN/>
                    <w:bidi w:val="0"/>
                    <w:adjustRightInd/>
                    <w:spacing w:line="360" w:lineRule="exact"/>
                    <w:ind w:firstLine="0"/>
                    <w:jc w:val="left"/>
                    <w:textAlignment w:val="auto"/>
                  </w:pPr>
                  <w:r>
                    <w:t>1.</w:t>
                  </w:r>
                  <w:r>
                    <w:rPr>
                      <w:rFonts w:hint="eastAsia"/>
                    </w:rPr>
                    <w:t>支持查询待入科、待转入、待迁入、取消入科、取消转入、取消迁出、取消挂床、取消出院等各个状态需要入科的患者。</w:t>
                  </w:r>
                </w:p>
                <w:p w14:paraId="16CFCE2A">
                  <w:pPr>
                    <w:pStyle w:val="131"/>
                    <w:pageBreakBefore w:val="0"/>
                    <w:widowControl w:val="0"/>
                    <w:kinsoku/>
                    <w:wordWrap/>
                    <w:overflowPunct/>
                    <w:topLinePunct w:val="0"/>
                    <w:autoSpaceDE/>
                    <w:autoSpaceDN/>
                    <w:bidi w:val="0"/>
                    <w:adjustRightInd/>
                    <w:spacing w:line="360" w:lineRule="exact"/>
                    <w:ind w:firstLine="0"/>
                    <w:jc w:val="left"/>
                    <w:textAlignment w:val="auto"/>
                  </w:pPr>
                  <w:r>
                    <w:t>2.</w:t>
                  </w:r>
                  <w:r>
                    <w:rPr>
                      <w:rFonts w:hint="eastAsia"/>
                    </w:rPr>
                    <w:t>支持对患者进行分配主管医生、主管护士、床位等。</w:t>
                  </w:r>
                </w:p>
                <w:p w14:paraId="7F27D1B9">
                  <w:pPr>
                    <w:pStyle w:val="131"/>
                    <w:pageBreakBefore w:val="0"/>
                    <w:widowControl w:val="0"/>
                    <w:kinsoku/>
                    <w:wordWrap/>
                    <w:overflowPunct/>
                    <w:topLinePunct w:val="0"/>
                    <w:autoSpaceDE/>
                    <w:autoSpaceDN/>
                    <w:bidi w:val="0"/>
                    <w:adjustRightInd/>
                    <w:spacing w:line="360" w:lineRule="exact"/>
                    <w:ind w:firstLine="0"/>
                    <w:jc w:val="left"/>
                    <w:textAlignment w:val="auto"/>
                  </w:pPr>
                  <w:r>
                    <w:t>3.</w:t>
                  </w:r>
                  <w:r>
                    <w:rPr>
                      <w:rFonts w:hint="eastAsia"/>
                    </w:rPr>
                    <w:t>支持入科任务提示与执行，包含入院评估、入院体征录入、入院宣教等。</w:t>
                  </w:r>
                </w:p>
                <w:p w14:paraId="427433DC">
                  <w:pPr>
                    <w:pStyle w:val="131"/>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转科</w:t>
                  </w:r>
                </w:p>
                <w:p w14:paraId="09292059">
                  <w:pPr>
                    <w:pStyle w:val="131"/>
                    <w:pageBreakBefore w:val="0"/>
                    <w:widowControl w:val="0"/>
                    <w:kinsoku/>
                    <w:wordWrap/>
                    <w:overflowPunct/>
                    <w:topLinePunct w:val="0"/>
                    <w:autoSpaceDE/>
                    <w:autoSpaceDN/>
                    <w:bidi w:val="0"/>
                    <w:adjustRightInd/>
                    <w:spacing w:line="360" w:lineRule="exact"/>
                    <w:ind w:firstLine="0"/>
                    <w:jc w:val="left"/>
                    <w:textAlignment w:val="auto"/>
                  </w:pPr>
                  <w:r>
                    <w:t>1.</w:t>
                  </w:r>
                  <w:r>
                    <w:rPr>
                      <w:rFonts w:hint="eastAsia"/>
                    </w:rPr>
                    <w:t>支持对患者进行转科操作，包含处理患者未完事项以及设置转入科室信息。</w:t>
                  </w:r>
                </w:p>
                <w:p w14:paraId="146E5DDF">
                  <w:pPr>
                    <w:pStyle w:val="131"/>
                    <w:pageBreakBefore w:val="0"/>
                    <w:widowControl w:val="0"/>
                    <w:kinsoku/>
                    <w:wordWrap/>
                    <w:overflowPunct/>
                    <w:topLinePunct w:val="0"/>
                    <w:autoSpaceDE/>
                    <w:autoSpaceDN/>
                    <w:bidi w:val="0"/>
                    <w:adjustRightInd/>
                    <w:spacing w:line="360" w:lineRule="exact"/>
                    <w:ind w:firstLine="0"/>
                    <w:jc w:val="left"/>
                    <w:textAlignment w:val="auto"/>
                  </w:pPr>
                  <w:r>
                    <w:t>2.</w:t>
                  </w:r>
                  <w:r>
                    <w:rPr>
                      <w:rFonts w:hint="eastAsia"/>
                    </w:rPr>
                    <w:t>能够查看待转科病人摆药单、未扣费用、退药单、退费单、医嘱等信息，能够提示护士患者待处理的医嘱以及单据的数量并且能够在界面直接处理。</w:t>
                  </w:r>
                </w:p>
                <w:p w14:paraId="1675C896">
                  <w:pPr>
                    <w:pStyle w:val="131"/>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出院</w:t>
                  </w:r>
                </w:p>
                <w:p w14:paraId="54302F57">
                  <w:pPr>
                    <w:pStyle w:val="131"/>
                    <w:pageBreakBefore w:val="0"/>
                    <w:widowControl w:val="0"/>
                    <w:kinsoku/>
                    <w:wordWrap/>
                    <w:overflowPunct/>
                    <w:topLinePunct w:val="0"/>
                    <w:autoSpaceDE/>
                    <w:autoSpaceDN/>
                    <w:bidi w:val="0"/>
                    <w:adjustRightInd/>
                    <w:spacing w:line="360" w:lineRule="exact"/>
                    <w:ind w:firstLine="0"/>
                    <w:jc w:val="left"/>
                    <w:textAlignment w:val="auto"/>
                  </w:pPr>
                  <w:r>
                    <w:t>1.</w:t>
                  </w:r>
                  <w:r>
                    <w:rPr>
                      <w:rFonts w:hint="eastAsia"/>
                    </w:rPr>
                    <w:t>支持对患者进行出院操作，包含处理患者未完事项以及设置患者为出院状态。</w:t>
                  </w:r>
                </w:p>
                <w:p w14:paraId="7AFFB7BF">
                  <w:pPr>
                    <w:pStyle w:val="131"/>
                    <w:pageBreakBefore w:val="0"/>
                    <w:widowControl w:val="0"/>
                    <w:kinsoku/>
                    <w:wordWrap/>
                    <w:overflowPunct/>
                    <w:topLinePunct w:val="0"/>
                    <w:autoSpaceDE/>
                    <w:autoSpaceDN/>
                    <w:bidi w:val="0"/>
                    <w:adjustRightInd/>
                    <w:spacing w:line="360" w:lineRule="exact"/>
                    <w:ind w:firstLine="0"/>
                    <w:textAlignment w:val="auto"/>
                  </w:pPr>
                  <w:r>
                    <w:t>2.</w:t>
                  </w:r>
                  <w:r>
                    <w:rPr>
                      <w:rFonts w:hint="eastAsia"/>
                    </w:rPr>
                    <w:t>能够查看待出院病人摆药单、未扣费用、退药单、退费单、医嘱等信息，能够提示护士患者待处理的医嘱以及单据的数量并且能够在界面直接处理。</w:t>
                  </w:r>
                </w:p>
                <w:p w14:paraId="24CDC4AC">
                  <w:pPr>
                    <w:pStyle w:val="131"/>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迁出</w:t>
                  </w:r>
                </w:p>
                <w:p w14:paraId="007C9127">
                  <w:pPr>
                    <w:pStyle w:val="131"/>
                    <w:pageBreakBefore w:val="0"/>
                    <w:widowControl w:val="0"/>
                    <w:kinsoku/>
                    <w:wordWrap/>
                    <w:overflowPunct/>
                    <w:topLinePunct w:val="0"/>
                    <w:autoSpaceDE/>
                    <w:autoSpaceDN/>
                    <w:bidi w:val="0"/>
                    <w:adjustRightInd/>
                    <w:spacing w:line="360" w:lineRule="exact"/>
                    <w:ind w:firstLine="0"/>
                    <w:jc w:val="left"/>
                    <w:textAlignment w:val="auto"/>
                  </w:pPr>
                  <w:r>
                    <w:t>1.</w:t>
                  </w:r>
                  <w:r>
                    <w:rPr>
                      <w:rFonts w:hint="eastAsia"/>
                    </w:rPr>
                    <w:t>支持对患者进行护理迁出操作，包含处理患者未完事项以及设置迁入科室信息和原因。</w:t>
                  </w:r>
                </w:p>
                <w:p w14:paraId="374B9AB6">
                  <w:pPr>
                    <w:pStyle w:val="131"/>
                    <w:pageBreakBefore w:val="0"/>
                    <w:widowControl w:val="0"/>
                    <w:kinsoku/>
                    <w:wordWrap/>
                    <w:overflowPunct/>
                    <w:topLinePunct w:val="0"/>
                    <w:autoSpaceDE/>
                    <w:autoSpaceDN/>
                    <w:bidi w:val="0"/>
                    <w:adjustRightInd/>
                    <w:spacing w:line="360" w:lineRule="exact"/>
                    <w:ind w:firstLine="0"/>
                    <w:jc w:val="left"/>
                    <w:textAlignment w:val="auto"/>
                  </w:pPr>
                  <w:r>
                    <w:t>1.</w:t>
                  </w:r>
                  <w:r>
                    <w:rPr>
                      <w:rFonts w:hint="eastAsia"/>
                    </w:rPr>
                    <w:t>能够查看待迁出病人摆药单、未扣费用、退药单、退费单、医嘱等信息，能够提示护士患者待处理的医嘱以及单据的数量并且能够在界面直接处理。</w:t>
                  </w:r>
                </w:p>
                <w:p w14:paraId="2EB98589">
                  <w:pPr>
                    <w:pStyle w:val="131"/>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挂床</w:t>
                  </w:r>
                </w:p>
                <w:p w14:paraId="0402AF54">
                  <w:pPr>
                    <w:pStyle w:val="131"/>
                    <w:pageBreakBefore w:val="0"/>
                    <w:widowControl w:val="0"/>
                    <w:kinsoku/>
                    <w:wordWrap/>
                    <w:overflowPunct/>
                    <w:topLinePunct w:val="0"/>
                    <w:autoSpaceDE/>
                    <w:autoSpaceDN/>
                    <w:bidi w:val="0"/>
                    <w:adjustRightInd/>
                    <w:spacing w:line="360" w:lineRule="exact"/>
                    <w:ind w:firstLine="0"/>
                    <w:jc w:val="left"/>
                    <w:textAlignment w:val="auto"/>
                  </w:pPr>
                  <w:r>
                    <w:t>1.</w:t>
                  </w:r>
                  <w:r>
                    <w:rPr>
                      <w:rFonts w:hint="eastAsia"/>
                    </w:rPr>
                    <w:t>支持对患者进行挂床操作，包含处理患者未完事项以及设置患者为挂床状态。</w:t>
                  </w:r>
                </w:p>
                <w:p w14:paraId="5666372A">
                  <w:pPr>
                    <w:pStyle w:val="131"/>
                    <w:pageBreakBefore w:val="0"/>
                    <w:widowControl w:val="0"/>
                    <w:kinsoku/>
                    <w:wordWrap/>
                    <w:overflowPunct/>
                    <w:topLinePunct w:val="0"/>
                    <w:autoSpaceDE/>
                    <w:autoSpaceDN/>
                    <w:bidi w:val="0"/>
                    <w:adjustRightInd/>
                    <w:spacing w:line="360" w:lineRule="exact"/>
                    <w:ind w:firstLine="0"/>
                    <w:jc w:val="left"/>
                    <w:textAlignment w:val="auto"/>
                  </w:pPr>
                  <w:r>
                    <w:t>2.</w:t>
                  </w:r>
                  <w:r>
                    <w:rPr>
                      <w:rFonts w:hint="eastAsia"/>
                    </w:rPr>
                    <w:t>能够查看待挂床病人摆药单、未扣费用、退药单、退费单、医嘱等信息，能够提示护士患者待处理的医嘱以及单据的数量并且能够在界面直接处理。</w:t>
                  </w:r>
                </w:p>
                <w:p w14:paraId="3A6E3973">
                  <w:pPr>
                    <w:pStyle w:val="131"/>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住院信息修改</w:t>
                  </w:r>
                </w:p>
                <w:p w14:paraId="48F4969C">
                  <w:pPr>
                    <w:pStyle w:val="131"/>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支持修改住院患者的住院信息，包含患者基本信息和住院信息，支持更新的数据同步到病历等其他系统。</w:t>
                  </w:r>
                </w:p>
                <w:p w14:paraId="56600897">
                  <w:pPr>
                    <w:pStyle w:val="131"/>
                    <w:pageBreakBefore w:val="0"/>
                    <w:widowControl w:val="0"/>
                    <w:kinsoku/>
                    <w:wordWrap/>
                    <w:overflowPunct/>
                    <w:topLinePunct w:val="0"/>
                    <w:autoSpaceDE/>
                    <w:autoSpaceDN/>
                    <w:bidi w:val="0"/>
                    <w:adjustRightInd/>
                    <w:spacing w:line="360" w:lineRule="exact"/>
                    <w:ind w:firstLine="0"/>
                    <w:jc w:val="left"/>
                    <w:textAlignment w:val="auto"/>
                  </w:pPr>
                  <w:r>
                    <w:rPr>
                      <w:rFonts w:hint="eastAsia"/>
                      <w:b/>
                    </w:rPr>
                    <w:t>共享病人分发</w:t>
                  </w:r>
                </w:p>
                <w:p w14:paraId="401469B5">
                  <w:pPr>
                    <w:pStyle w:val="131"/>
                    <w:pageBreakBefore w:val="0"/>
                    <w:widowControl w:val="0"/>
                    <w:kinsoku/>
                    <w:wordWrap/>
                    <w:overflowPunct/>
                    <w:topLinePunct w:val="0"/>
                    <w:autoSpaceDE/>
                    <w:autoSpaceDN/>
                    <w:bidi w:val="0"/>
                    <w:adjustRightInd/>
                    <w:spacing w:line="360" w:lineRule="exact"/>
                    <w:ind w:firstLine="0"/>
                    <w:jc w:val="left"/>
                    <w:textAlignment w:val="auto"/>
                  </w:pPr>
                  <w:r>
                    <w:t>1.</w:t>
                  </w:r>
                  <w:r>
                    <w:rPr>
                      <w:rFonts w:hint="eastAsia"/>
                    </w:rPr>
                    <w:t>支持将病人共享给其他病区进行护理操作，可设置共享的有效时间范围以及收回共享病人，可批量进行共享病人分发。</w:t>
                  </w:r>
                </w:p>
                <w:p w14:paraId="2DD4BD11">
                  <w:pPr>
                    <w:pStyle w:val="131"/>
                    <w:pageBreakBefore w:val="0"/>
                    <w:widowControl w:val="0"/>
                    <w:kinsoku/>
                    <w:wordWrap/>
                    <w:overflowPunct/>
                    <w:topLinePunct w:val="0"/>
                    <w:autoSpaceDE/>
                    <w:autoSpaceDN/>
                    <w:bidi w:val="0"/>
                    <w:adjustRightInd/>
                    <w:spacing w:line="360" w:lineRule="exact"/>
                    <w:ind w:firstLine="0"/>
                    <w:jc w:val="left"/>
                    <w:textAlignment w:val="auto"/>
                  </w:pPr>
                  <w:r>
                    <w:t>2.</w:t>
                  </w:r>
                  <w:r>
                    <w:rPr>
                      <w:rFonts w:hint="eastAsia"/>
                    </w:rPr>
                    <w:t>支持对共享过来的病人进行医生文书查看以及护理记录书写。</w:t>
                  </w:r>
                </w:p>
                <w:p w14:paraId="5EC07DCB">
                  <w:pPr>
                    <w:pStyle w:val="131"/>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患者陪护</w:t>
                  </w:r>
                </w:p>
                <w:p w14:paraId="1A6E4D2D">
                  <w:pPr>
                    <w:pStyle w:val="131"/>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支持对陪护患者的人员进行登记，包含登记人员的身份证、电话等基本信息以及疫苗等健康信息。</w:t>
                  </w:r>
                </w:p>
                <w:p w14:paraId="66B75526">
                  <w:pPr>
                    <w:pStyle w:val="8"/>
                    <w:pageBreakBefore w:val="0"/>
                    <w:widowControl w:val="0"/>
                    <w:kinsoku/>
                    <w:wordWrap/>
                    <w:overflowPunct/>
                    <w:topLinePunct w:val="0"/>
                    <w:autoSpaceDE/>
                    <w:autoSpaceDN/>
                    <w:bidi w:val="0"/>
                    <w:adjustRightInd/>
                    <w:spacing w:line="360" w:lineRule="exact"/>
                    <w:textAlignment w:val="auto"/>
                  </w:pPr>
                  <w:r>
                    <w:rPr>
                      <w:rFonts w:hint="eastAsia"/>
                    </w:rPr>
                    <w:t>打印管理</w:t>
                  </w:r>
                </w:p>
                <w:p w14:paraId="37245E46">
                  <w:pPr>
                    <w:pStyle w:val="131"/>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用药打印</w:t>
                  </w:r>
                </w:p>
                <w:p w14:paraId="6B778C75">
                  <w:pPr>
                    <w:pStyle w:val="131"/>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支持按照医院定制格式打印输液卡、执行单、巡视单、床头卡、口服卡等，支持按单个病人打印或多个病人合并打印。</w:t>
                  </w:r>
                </w:p>
                <w:p w14:paraId="094A23DA">
                  <w:pPr>
                    <w:pStyle w:val="131"/>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费用清单打印</w:t>
                  </w:r>
                </w:p>
                <w:p w14:paraId="30A3B0EC">
                  <w:pPr>
                    <w:pStyle w:val="131"/>
                    <w:pageBreakBefore w:val="0"/>
                    <w:widowControl w:val="0"/>
                    <w:kinsoku/>
                    <w:wordWrap/>
                    <w:overflowPunct/>
                    <w:topLinePunct w:val="0"/>
                    <w:autoSpaceDE/>
                    <w:autoSpaceDN/>
                    <w:bidi w:val="0"/>
                    <w:adjustRightInd/>
                    <w:spacing w:line="360" w:lineRule="exact"/>
                    <w:ind w:firstLine="0"/>
                    <w:jc w:val="left"/>
                    <w:textAlignment w:val="auto"/>
                  </w:pPr>
                  <w:r>
                    <w:t>1.</w:t>
                  </w:r>
                  <w:r>
                    <w:rPr>
                      <w:rFonts w:hint="eastAsia"/>
                    </w:rPr>
                    <w:t>支持根据医院格式打印指定患者的费用清单信息，支持切换不同的清单格式模板。</w:t>
                  </w:r>
                </w:p>
                <w:p w14:paraId="56D7441E">
                  <w:pPr>
                    <w:pStyle w:val="131"/>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护理打印</w:t>
                  </w:r>
                </w:p>
                <w:p w14:paraId="131620E3">
                  <w:pPr>
                    <w:pStyle w:val="131"/>
                    <w:pageBreakBefore w:val="0"/>
                    <w:widowControl w:val="0"/>
                    <w:kinsoku/>
                    <w:wordWrap/>
                    <w:overflowPunct/>
                    <w:topLinePunct w:val="0"/>
                    <w:autoSpaceDE/>
                    <w:autoSpaceDN/>
                    <w:bidi w:val="0"/>
                    <w:adjustRightInd/>
                    <w:spacing w:line="360" w:lineRule="exact"/>
                    <w:ind w:firstLine="0"/>
                    <w:jc w:val="left"/>
                    <w:textAlignment w:val="auto"/>
                  </w:pPr>
                  <w:r>
                    <w:t>2.</w:t>
                  </w:r>
                  <w:r>
                    <w:rPr>
                      <w:rFonts w:hint="eastAsia"/>
                    </w:rPr>
                    <w:t>支持根据医院自定义格式选择病人打印医嘱执行单、医嘱本、指引单等，可以选择不同的格式模板进行打印，支持按照床位或者项目进行排序打印。</w:t>
                  </w:r>
                </w:p>
                <w:p w14:paraId="5D1DBA23">
                  <w:pPr>
                    <w:pStyle w:val="131"/>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变更医嘱打印</w:t>
                  </w:r>
                </w:p>
                <w:p w14:paraId="53BEC9D7">
                  <w:pPr>
                    <w:pStyle w:val="131"/>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支持当每日医嘱变更时打印医生今天新开、停嘱、作废的医嘱。</w:t>
                  </w:r>
                </w:p>
                <w:p w14:paraId="3BCA70BB">
                  <w:pPr>
                    <w:pStyle w:val="131"/>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医嘱打印</w:t>
                  </w:r>
                </w:p>
                <w:p w14:paraId="65ADFB88">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医嘱打印支持打印患者的长期医嘱单和临时医嘱单，可以按照奇偶页、指定页数进行打印、续打和重打。</w:t>
                  </w:r>
                </w:p>
                <w:p w14:paraId="0B91D598">
                  <w:pPr>
                    <w:pStyle w:val="8"/>
                    <w:pageBreakBefore w:val="0"/>
                    <w:widowControl w:val="0"/>
                    <w:kinsoku/>
                    <w:wordWrap/>
                    <w:overflowPunct/>
                    <w:topLinePunct w:val="0"/>
                    <w:autoSpaceDE/>
                    <w:autoSpaceDN/>
                    <w:bidi w:val="0"/>
                    <w:adjustRightInd/>
                    <w:spacing w:line="360" w:lineRule="exact"/>
                    <w:textAlignment w:val="auto"/>
                  </w:pPr>
                  <w:r>
                    <w:rPr>
                      <w:rFonts w:hint="eastAsia"/>
                    </w:rPr>
                    <w:t>科室事务</w:t>
                  </w:r>
                </w:p>
                <w:p w14:paraId="4651A02E">
                  <w:pPr>
                    <w:pStyle w:val="131"/>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交班本</w:t>
                  </w:r>
                </w:p>
                <w:p w14:paraId="425DA41D">
                  <w:pPr>
                    <w:pStyle w:val="131"/>
                    <w:pageBreakBefore w:val="0"/>
                    <w:widowControl w:val="0"/>
                    <w:kinsoku/>
                    <w:wordWrap/>
                    <w:overflowPunct/>
                    <w:topLinePunct w:val="0"/>
                    <w:autoSpaceDE/>
                    <w:autoSpaceDN/>
                    <w:bidi w:val="0"/>
                    <w:adjustRightInd/>
                    <w:spacing w:line="360" w:lineRule="exact"/>
                    <w:ind w:firstLine="0"/>
                    <w:jc w:val="left"/>
                    <w:textAlignment w:val="auto"/>
                  </w:pPr>
                  <w:r>
                    <w:t>1.</w:t>
                  </w:r>
                  <w:r>
                    <w:rPr>
                      <w:rFonts w:hint="eastAsia"/>
                    </w:rPr>
                    <w:t>可根据患者状态、护理评估结果快速选择需要交接班的患者。</w:t>
                  </w:r>
                </w:p>
                <w:p w14:paraId="305ED322">
                  <w:pPr>
                    <w:pStyle w:val="131"/>
                    <w:pageBreakBefore w:val="0"/>
                    <w:widowControl w:val="0"/>
                    <w:kinsoku/>
                    <w:wordWrap/>
                    <w:overflowPunct/>
                    <w:topLinePunct w:val="0"/>
                    <w:autoSpaceDE/>
                    <w:autoSpaceDN/>
                    <w:bidi w:val="0"/>
                    <w:adjustRightInd/>
                    <w:spacing w:line="360" w:lineRule="exact"/>
                    <w:ind w:firstLine="0"/>
                    <w:jc w:val="left"/>
                    <w:textAlignment w:val="auto"/>
                  </w:pPr>
                  <w:r>
                    <w:t>2.</w:t>
                  </w:r>
                  <w:r>
                    <w:rPr>
                      <w:rFonts w:hint="eastAsia"/>
                    </w:rPr>
                    <w:t>支持按护理责任组交接患者。</w:t>
                  </w:r>
                </w:p>
                <w:p w14:paraId="5E552845">
                  <w:pPr>
                    <w:pStyle w:val="131"/>
                    <w:pageBreakBefore w:val="0"/>
                    <w:widowControl w:val="0"/>
                    <w:kinsoku/>
                    <w:wordWrap/>
                    <w:overflowPunct/>
                    <w:topLinePunct w:val="0"/>
                    <w:autoSpaceDE/>
                    <w:autoSpaceDN/>
                    <w:bidi w:val="0"/>
                    <w:adjustRightInd/>
                    <w:spacing w:line="360" w:lineRule="exact"/>
                    <w:ind w:firstLine="0"/>
                    <w:jc w:val="left"/>
                    <w:textAlignment w:val="auto"/>
                  </w:pPr>
                  <w:r>
                    <w:t>3.</w:t>
                  </w:r>
                  <w:r>
                    <w:rPr>
                      <w:rFonts w:hint="eastAsia"/>
                    </w:rPr>
                    <w:t>支持引用患者体征、检查检验、手术、医嘱等信息到交班本。</w:t>
                  </w:r>
                </w:p>
                <w:p w14:paraId="1D7158AA">
                  <w:pPr>
                    <w:pStyle w:val="131"/>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责任组</w:t>
                  </w:r>
                </w:p>
                <w:p w14:paraId="2DEB6491">
                  <w:pPr>
                    <w:pStyle w:val="131"/>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支持维护病区的护士责任组，包含分发责任组人员以及责任组管理床位范围。</w:t>
                  </w:r>
                </w:p>
                <w:p w14:paraId="2AA53067">
                  <w:pPr>
                    <w:pStyle w:val="131"/>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科室药品管理</w:t>
                  </w:r>
                </w:p>
                <w:p w14:paraId="75BECB5C">
                  <w:pPr>
                    <w:pStyle w:val="131"/>
                    <w:pageBreakBefore w:val="0"/>
                    <w:widowControl w:val="0"/>
                    <w:kinsoku/>
                    <w:wordWrap/>
                    <w:overflowPunct/>
                    <w:topLinePunct w:val="0"/>
                    <w:autoSpaceDE/>
                    <w:autoSpaceDN/>
                    <w:bidi w:val="0"/>
                    <w:adjustRightInd/>
                    <w:spacing w:line="360" w:lineRule="exact"/>
                    <w:ind w:firstLine="0"/>
                    <w:textAlignment w:val="auto"/>
                  </w:pPr>
                  <w:r>
                    <w:t>1.</w:t>
                  </w:r>
                  <w:r>
                    <w:rPr>
                      <w:rFonts w:hint="eastAsia"/>
                    </w:rPr>
                    <w:t>支持科室开具本科需要药房备药的药品申请单，药房可接收申请单并进行审核摆药。</w:t>
                  </w:r>
                </w:p>
                <w:p w14:paraId="68D44F7F">
                  <w:pPr>
                    <w:pStyle w:val="131"/>
                    <w:pageBreakBefore w:val="0"/>
                    <w:widowControl w:val="0"/>
                    <w:kinsoku/>
                    <w:wordWrap/>
                    <w:overflowPunct/>
                    <w:topLinePunct w:val="0"/>
                    <w:autoSpaceDE/>
                    <w:autoSpaceDN/>
                    <w:bidi w:val="0"/>
                    <w:adjustRightInd/>
                    <w:spacing w:line="360" w:lineRule="exact"/>
                    <w:ind w:firstLine="0"/>
                    <w:textAlignment w:val="auto"/>
                  </w:pPr>
                  <w:r>
                    <w:t>2.</w:t>
                  </w:r>
                  <w:r>
                    <w:rPr>
                      <w:rFonts w:hint="eastAsia"/>
                    </w:rPr>
                    <w:t>支持将常用的备药申请单存为模板，下次申请时可使用模板快速申请。</w:t>
                  </w:r>
                </w:p>
                <w:p w14:paraId="6B0C1D1E">
                  <w:pPr>
                    <w:pStyle w:val="131"/>
                    <w:pageBreakBefore w:val="0"/>
                    <w:widowControl w:val="0"/>
                    <w:kinsoku/>
                    <w:wordWrap/>
                    <w:overflowPunct/>
                    <w:topLinePunct w:val="0"/>
                    <w:autoSpaceDE/>
                    <w:autoSpaceDN/>
                    <w:bidi w:val="0"/>
                    <w:adjustRightInd/>
                    <w:spacing w:line="360" w:lineRule="exact"/>
                    <w:ind w:firstLine="0"/>
                    <w:jc w:val="left"/>
                    <w:textAlignment w:val="auto"/>
                  </w:pPr>
                  <w:r>
                    <w:t>3.</w:t>
                  </w:r>
                  <w:r>
                    <w:rPr>
                      <w:rFonts w:hint="eastAsia"/>
                    </w:rPr>
                    <w:t>支持查询药品申领状态以及历史备药详情。</w:t>
                  </w:r>
                </w:p>
                <w:p w14:paraId="07E42F29">
                  <w:pPr>
                    <w:pStyle w:val="131"/>
                    <w:pageBreakBefore w:val="0"/>
                    <w:widowControl w:val="0"/>
                    <w:kinsoku/>
                    <w:wordWrap/>
                    <w:overflowPunct/>
                    <w:topLinePunct w:val="0"/>
                    <w:autoSpaceDE/>
                    <w:autoSpaceDN/>
                    <w:bidi w:val="0"/>
                    <w:adjustRightInd/>
                    <w:spacing w:line="360" w:lineRule="exact"/>
                    <w:ind w:firstLine="0"/>
                    <w:jc w:val="left"/>
                    <w:textAlignment w:val="auto"/>
                    <w:rPr>
                      <w:b/>
                    </w:rPr>
                  </w:pPr>
                  <w:r>
                    <w:rPr>
                      <w:rFonts w:hint="eastAsia"/>
                      <w:b/>
                    </w:rPr>
                    <w:t>文档段维护</w:t>
                  </w:r>
                </w:p>
                <w:p w14:paraId="0B8F49E7">
                  <w:pPr>
                    <w:pStyle w:val="131"/>
                    <w:pageBreakBefore w:val="0"/>
                    <w:widowControl w:val="0"/>
                    <w:kinsoku/>
                    <w:wordWrap/>
                    <w:overflowPunct/>
                    <w:topLinePunct w:val="0"/>
                    <w:autoSpaceDE/>
                    <w:autoSpaceDN/>
                    <w:bidi w:val="0"/>
                    <w:adjustRightInd/>
                    <w:spacing w:line="360" w:lineRule="exact"/>
                    <w:ind w:firstLine="0"/>
                    <w:jc w:val="left"/>
                    <w:textAlignment w:val="auto"/>
                  </w:pPr>
                  <w:r>
                    <w:t>1.</w:t>
                  </w:r>
                  <w:r>
                    <w:rPr>
                      <w:rFonts w:hint="eastAsia"/>
                    </w:rPr>
                    <w:t>支持维护书写护理相关记录的文档段内容，包含文字描述以及各类书写控件。</w:t>
                  </w:r>
                </w:p>
                <w:p w14:paraId="0F2A13AC">
                  <w:pPr>
                    <w:pStyle w:val="131"/>
                    <w:pageBreakBefore w:val="0"/>
                    <w:widowControl w:val="0"/>
                    <w:kinsoku/>
                    <w:wordWrap/>
                    <w:overflowPunct/>
                    <w:topLinePunct w:val="0"/>
                    <w:autoSpaceDE/>
                    <w:autoSpaceDN/>
                    <w:bidi w:val="0"/>
                    <w:adjustRightInd/>
                    <w:spacing w:line="360" w:lineRule="exact"/>
                    <w:ind w:firstLine="0"/>
                    <w:textAlignment w:val="auto"/>
                  </w:pPr>
                  <w:r>
                    <w:t>2.</w:t>
                  </w:r>
                  <w:r>
                    <w:rPr>
                      <w:rFonts w:hint="eastAsia"/>
                    </w:rPr>
                    <w:t>支持设置文档段的使用范围：个人使用或者全科室通用。</w:t>
                  </w:r>
                </w:p>
                <w:p w14:paraId="65D8C100">
                  <w:pPr>
                    <w:pStyle w:val="131"/>
                    <w:pageBreakBefore w:val="0"/>
                    <w:widowControl w:val="0"/>
                    <w:kinsoku/>
                    <w:wordWrap/>
                    <w:overflowPunct/>
                    <w:topLinePunct w:val="0"/>
                    <w:autoSpaceDE/>
                    <w:autoSpaceDN/>
                    <w:bidi w:val="0"/>
                    <w:adjustRightInd/>
                    <w:spacing w:line="360" w:lineRule="exact"/>
                    <w:ind w:firstLine="0"/>
                    <w:textAlignment w:val="auto"/>
                    <w:rPr>
                      <w:rFonts w:ascii="宋体" w:hAnsi="宋体" w:cs="宋体"/>
                      <w:szCs w:val="21"/>
                    </w:rPr>
                  </w:pPr>
                  <w:r>
                    <w:t>3.</w:t>
                  </w:r>
                  <w:r>
                    <w:rPr>
                      <w:rFonts w:hint="eastAsia"/>
                    </w:rPr>
                    <w:t>支持将文档段全部内容共享到其他科室使用。</w:t>
                  </w:r>
                </w:p>
              </w:tc>
            </w:tr>
            <w:tr w14:paraId="1F359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3" w:type="dxa"/>
                  <w:vMerge w:val="continue"/>
                  <w:tcBorders>
                    <w:top w:val="single" w:color="auto" w:sz="4" w:space="0"/>
                    <w:left w:val="single" w:color="auto" w:sz="4" w:space="0"/>
                    <w:bottom w:val="single" w:color="auto" w:sz="4" w:space="0"/>
                    <w:right w:val="single" w:color="auto" w:sz="4" w:space="0"/>
                  </w:tcBorders>
                  <w:noWrap w:val="0"/>
                  <w:vAlign w:val="center"/>
                </w:tcPr>
                <w:p w14:paraId="354A65A7">
                  <w:pPr>
                    <w:widowControl/>
                    <w:jc w:val="left"/>
                    <w:rPr>
                      <w:rFonts w:ascii="宋体" w:hAnsi="宋体" w:cs="宋体"/>
                      <w:b/>
                      <w:color w:val="000000"/>
                      <w:sz w:val="20"/>
                      <w:szCs w:val="20"/>
                    </w:rPr>
                  </w:pPr>
                </w:p>
              </w:tc>
              <w:tc>
                <w:tcPr>
                  <w:tcW w:w="804" w:type="dxa"/>
                  <w:vMerge w:val="continue"/>
                  <w:tcBorders>
                    <w:top w:val="single" w:color="auto" w:sz="4" w:space="0"/>
                    <w:left w:val="single" w:color="auto" w:sz="4" w:space="0"/>
                    <w:bottom w:val="single" w:color="auto" w:sz="4" w:space="0"/>
                    <w:right w:val="single" w:color="auto" w:sz="4" w:space="0"/>
                  </w:tcBorders>
                  <w:noWrap w:val="0"/>
                  <w:vAlign w:val="center"/>
                </w:tcPr>
                <w:p w14:paraId="559246B8">
                  <w:pPr>
                    <w:widowControl/>
                    <w:jc w:val="left"/>
                    <w:rPr>
                      <w:rFonts w:ascii="宋体" w:hAnsi="宋体" w:cs="宋体"/>
                      <w:color w:val="000000"/>
                      <w:sz w:val="20"/>
                      <w:szCs w:val="20"/>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41F5E6F1">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sz w:val="21"/>
                      <w:szCs w:val="21"/>
                    </w:rPr>
                  </w:pPr>
                  <w:r>
                    <w:rPr>
                      <w:rFonts w:hint="eastAsia"/>
                      <w:color w:val="000000"/>
                      <w:sz w:val="21"/>
                      <w:szCs w:val="21"/>
                    </w:rPr>
                    <w:t>药品医嘱执行</w:t>
                  </w:r>
                </w:p>
              </w:tc>
              <w:tc>
                <w:tcPr>
                  <w:tcW w:w="7748" w:type="dxa"/>
                  <w:tcBorders>
                    <w:top w:val="single" w:color="auto" w:sz="4" w:space="0"/>
                    <w:left w:val="single" w:color="auto" w:sz="4" w:space="0"/>
                    <w:bottom w:val="single" w:color="auto" w:sz="4" w:space="0"/>
                    <w:right w:val="single" w:color="auto" w:sz="4" w:space="0"/>
                  </w:tcBorders>
                  <w:noWrap/>
                  <w:vAlign w:val="center"/>
                </w:tcPr>
                <w:p w14:paraId="72A7FCAB">
                  <w:pPr>
                    <w:pStyle w:val="131"/>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ascii="宋体" w:hAnsi="宋体" w:cs="宋体"/>
                      <w:szCs w:val="21"/>
                    </w:rPr>
                  </w:pPr>
                  <w:r>
                    <w:t>1.</w:t>
                  </w:r>
                  <w:r>
                    <w:rPr>
                      <w:rFonts w:hint="eastAsia"/>
                    </w:rPr>
                    <w:t>为保证用药安全，通过患者身份及药品的核对实现针剂、口服药、外用药等全过程管理。</w:t>
                  </w:r>
                  <w:r>
                    <w:br w:type="textWrapping"/>
                  </w:r>
                  <w:r>
                    <w:t>2.</w:t>
                  </w:r>
                  <w:r>
                    <w:rPr>
                      <w:rFonts w:hint="eastAsia"/>
                    </w:rPr>
                    <w:t>具备配药管理、标签管理、患者身份查对、药品查对、患者及医嘱信息自动获取和比对等功能。</w:t>
                  </w:r>
                </w:p>
              </w:tc>
            </w:tr>
            <w:tr w14:paraId="44DED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3" w:type="dxa"/>
                  <w:vMerge w:val="continue"/>
                  <w:tcBorders>
                    <w:top w:val="single" w:color="auto" w:sz="4" w:space="0"/>
                    <w:left w:val="single" w:color="auto" w:sz="4" w:space="0"/>
                    <w:bottom w:val="single" w:color="auto" w:sz="4" w:space="0"/>
                    <w:right w:val="single" w:color="auto" w:sz="4" w:space="0"/>
                  </w:tcBorders>
                  <w:noWrap w:val="0"/>
                  <w:vAlign w:val="center"/>
                </w:tcPr>
                <w:p w14:paraId="41E31CD0">
                  <w:pPr>
                    <w:widowControl/>
                    <w:jc w:val="left"/>
                    <w:rPr>
                      <w:rFonts w:ascii="宋体" w:hAnsi="宋体" w:cs="宋体"/>
                      <w:b/>
                      <w:color w:val="000000"/>
                      <w:sz w:val="20"/>
                      <w:szCs w:val="20"/>
                    </w:rPr>
                  </w:pPr>
                </w:p>
              </w:tc>
              <w:tc>
                <w:tcPr>
                  <w:tcW w:w="804" w:type="dxa"/>
                  <w:vMerge w:val="continue"/>
                  <w:tcBorders>
                    <w:top w:val="single" w:color="auto" w:sz="4" w:space="0"/>
                    <w:left w:val="single" w:color="auto" w:sz="4" w:space="0"/>
                    <w:bottom w:val="single" w:color="auto" w:sz="4" w:space="0"/>
                    <w:right w:val="single" w:color="auto" w:sz="4" w:space="0"/>
                  </w:tcBorders>
                  <w:noWrap w:val="0"/>
                  <w:vAlign w:val="center"/>
                </w:tcPr>
                <w:p w14:paraId="60965C60">
                  <w:pPr>
                    <w:widowControl/>
                    <w:jc w:val="left"/>
                    <w:rPr>
                      <w:rFonts w:ascii="宋体" w:hAnsi="宋体" w:cs="宋体"/>
                      <w:color w:val="000000"/>
                      <w:sz w:val="20"/>
                      <w:szCs w:val="20"/>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7C8F0695">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sz w:val="21"/>
                      <w:szCs w:val="21"/>
                    </w:rPr>
                  </w:pPr>
                  <w:r>
                    <w:rPr>
                      <w:rFonts w:hint="eastAsia"/>
                      <w:color w:val="000000"/>
                      <w:sz w:val="21"/>
                      <w:szCs w:val="21"/>
                    </w:rPr>
                    <w:t>输液管理</w:t>
                  </w:r>
                </w:p>
              </w:tc>
              <w:tc>
                <w:tcPr>
                  <w:tcW w:w="7748" w:type="dxa"/>
                  <w:tcBorders>
                    <w:top w:val="single" w:color="auto" w:sz="4" w:space="0"/>
                    <w:left w:val="single" w:color="auto" w:sz="4" w:space="0"/>
                    <w:bottom w:val="single" w:color="auto" w:sz="4" w:space="0"/>
                    <w:right w:val="single" w:color="auto" w:sz="4" w:space="0"/>
                  </w:tcBorders>
                  <w:noWrap/>
                  <w:vAlign w:val="center"/>
                </w:tcPr>
                <w:p w14:paraId="121C3379">
                  <w:pPr>
                    <w:pStyle w:val="131"/>
                    <w:keepNext w:val="0"/>
                    <w:keepLines w:val="0"/>
                    <w:pageBreakBefore w:val="0"/>
                    <w:widowControl w:val="0"/>
                    <w:kinsoku/>
                    <w:wordWrap/>
                    <w:overflowPunct/>
                    <w:topLinePunct w:val="0"/>
                    <w:autoSpaceDE/>
                    <w:autoSpaceDN/>
                    <w:bidi w:val="0"/>
                    <w:adjustRightInd/>
                    <w:snapToGrid/>
                    <w:spacing w:line="360" w:lineRule="exact"/>
                    <w:ind w:firstLine="0"/>
                    <w:textAlignment w:val="auto"/>
                    <w:rPr>
                      <w:b/>
                      <w:sz w:val="24"/>
                      <w:szCs w:val="24"/>
                    </w:rPr>
                  </w:pPr>
                  <w:r>
                    <w:rPr>
                      <w:rFonts w:hint="eastAsia"/>
                      <w:b/>
                      <w:sz w:val="24"/>
                      <w:szCs w:val="24"/>
                    </w:rPr>
                    <w:t>门诊护理业务</w:t>
                  </w:r>
                </w:p>
                <w:p w14:paraId="473FBB58">
                  <w:pPr>
                    <w:pStyle w:val="131"/>
                    <w:keepNext w:val="0"/>
                    <w:keepLines w:val="0"/>
                    <w:pageBreakBefore w:val="0"/>
                    <w:widowControl w:val="0"/>
                    <w:kinsoku/>
                    <w:wordWrap/>
                    <w:overflowPunct/>
                    <w:topLinePunct w:val="0"/>
                    <w:autoSpaceDE/>
                    <w:autoSpaceDN/>
                    <w:bidi w:val="0"/>
                    <w:adjustRightInd/>
                    <w:snapToGrid/>
                    <w:spacing w:line="360" w:lineRule="exact"/>
                    <w:ind w:firstLine="0"/>
                    <w:textAlignment w:val="auto"/>
                    <w:rPr>
                      <w:b/>
                    </w:rPr>
                  </w:pPr>
                  <w:r>
                    <w:rPr>
                      <w:rFonts w:hint="eastAsia"/>
                      <w:b/>
                    </w:rPr>
                    <w:t>门诊护士工作站</w:t>
                  </w:r>
                </w:p>
                <w:p w14:paraId="79826FB8">
                  <w:pPr>
                    <w:pStyle w:val="131"/>
                    <w:keepNext w:val="0"/>
                    <w:keepLines w:val="0"/>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支持门诊单据扣费、执行、退费操作，实现科室备药的领用申请，支持皮试结果登记和查询。实现病人病史、费用等基本信息的查看。</w:t>
                  </w:r>
                </w:p>
                <w:p w14:paraId="695401CC">
                  <w:pPr>
                    <w:pStyle w:val="131"/>
                    <w:keepNext w:val="0"/>
                    <w:keepLines w:val="0"/>
                    <w:pageBreakBefore w:val="0"/>
                    <w:widowControl w:val="0"/>
                    <w:kinsoku/>
                    <w:wordWrap/>
                    <w:overflowPunct/>
                    <w:topLinePunct w:val="0"/>
                    <w:autoSpaceDE/>
                    <w:autoSpaceDN/>
                    <w:bidi w:val="0"/>
                    <w:adjustRightInd/>
                    <w:snapToGrid/>
                    <w:spacing w:line="360" w:lineRule="exact"/>
                    <w:ind w:firstLine="0"/>
                    <w:textAlignment w:val="auto"/>
                    <w:rPr>
                      <w:b/>
                    </w:rPr>
                  </w:pPr>
                  <w:r>
                    <w:rPr>
                      <w:rFonts w:hint="eastAsia"/>
                      <w:b/>
                    </w:rPr>
                    <w:t>门诊单据扣费</w:t>
                  </w:r>
                </w:p>
                <w:p w14:paraId="22A33C32">
                  <w:pPr>
                    <w:pStyle w:val="131"/>
                    <w:keepNext w:val="0"/>
                    <w:keepLines w:val="0"/>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支持门诊单据的新开、扣费、执行，可通过检索查询病人的单据金额，申请时间、申请科室等单据信息。对于不需要执行的单据，可以进行作废处理。</w:t>
                  </w:r>
                </w:p>
                <w:p w14:paraId="1CDB31CB">
                  <w:pPr>
                    <w:pStyle w:val="131"/>
                    <w:keepNext w:val="0"/>
                    <w:keepLines w:val="0"/>
                    <w:pageBreakBefore w:val="0"/>
                    <w:widowControl w:val="0"/>
                    <w:kinsoku/>
                    <w:wordWrap/>
                    <w:overflowPunct/>
                    <w:topLinePunct w:val="0"/>
                    <w:autoSpaceDE/>
                    <w:autoSpaceDN/>
                    <w:bidi w:val="0"/>
                    <w:adjustRightInd/>
                    <w:snapToGrid/>
                    <w:spacing w:line="360" w:lineRule="exact"/>
                    <w:ind w:firstLine="0"/>
                    <w:textAlignment w:val="auto"/>
                    <w:rPr>
                      <w:b/>
                    </w:rPr>
                  </w:pPr>
                  <w:r>
                    <w:rPr>
                      <w:rFonts w:hint="eastAsia"/>
                      <w:b/>
                    </w:rPr>
                    <w:t>模板维护</w:t>
                  </w:r>
                </w:p>
                <w:p w14:paraId="321C023B">
                  <w:pPr>
                    <w:pStyle w:val="131"/>
                    <w:keepNext w:val="0"/>
                    <w:keepLines w:val="0"/>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对于常用的项目和诊疗，可以维护成模板，在新开的时候，可以直接引用模板新开单据。模板可设置使用范围权限，分为个人模板、科室模板、全院模板，根据选择的使用范围，在调用模板的时候，显示相应的模板信息进行调用。</w:t>
                  </w:r>
                </w:p>
                <w:p w14:paraId="1C4F0935">
                  <w:pPr>
                    <w:pStyle w:val="131"/>
                    <w:keepNext w:val="0"/>
                    <w:keepLines w:val="0"/>
                    <w:pageBreakBefore w:val="0"/>
                    <w:widowControl w:val="0"/>
                    <w:kinsoku/>
                    <w:wordWrap/>
                    <w:overflowPunct/>
                    <w:topLinePunct w:val="0"/>
                    <w:autoSpaceDE/>
                    <w:autoSpaceDN/>
                    <w:bidi w:val="0"/>
                    <w:adjustRightInd/>
                    <w:snapToGrid/>
                    <w:spacing w:line="360" w:lineRule="exact"/>
                    <w:ind w:firstLine="0"/>
                    <w:textAlignment w:val="auto"/>
                    <w:rPr>
                      <w:b/>
                    </w:rPr>
                  </w:pPr>
                  <w:r>
                    <w:rPr>
                      <w:rFonts w:hint="eastAsia"/>
                      <w:b/>
                    </w:rPr>
                    <w:t>皮试管理</w:t>
                  </w:r>
                </w:p>
                <w:p w14:paraId="4622D234">
                  <w:pPr>
                    <w:pStyle w:val="131"/>
                    <w:keepNext w:val="0"/>
                    <w:keepLines w:val="0"/>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对于一些门诊病人开需要皮试的药品，病人需要根据医院具体的皮试流程，去做皮试，护士在皮试结果出来后，对皮试结果进行录入，并且会同步到病人的基本信息显示区，当病人有多种皮试药物需要皮试时，可以增加多条皮试记录，记录皮试类型、皮试药品、皮试时间、皮试结果等信息，对皮试结果阳性的病人在保存皮试结果时弹出提示，再次提醒护士。</w:t>
                  </w:r>
                </w:p>
                <w:p w14:paraId="2C8A27F6">
                  <w:pPr>
                    <w:pStyle w:val="131"/>
                    <w:keepNext w:val="0"/>
                    <w:keepLines w:val="0"/>
                    <w:pageBreakBefore w:val="0"/>
                    <w:widowControl w:val="0"/>
                    <w:kinsoku/>
                    <w:wordWrap/>
                    <w:overflowPunct/>
                    <w:topLinePunct w:val="0"/>
                    <w:autoSpaceDE/>
                    <w:autoSpaceDN/>
                    <w:bidi w:val="0"/>
                    <w:adjustRightInd/>
                    <w:snapToGrid/>
                    <w:spacing w:line="360" w:lineRule="exact"/>
                    <w:ind w:firstLine="0"/>
                    <w:textAlignment w:val="auto"/>
                    <w:rPr>
                      <w:b/>
                    </w:rPr>
                  </w:pPr>
                  <w:r>
                    <w:rPr>
                      <w:rFonts w:hint="eastAsia"/>
                      <w:b/>
                    </w:rPr>
                    <w:t>门诊退费管理</w:t>
                  </w:r>
                </w:p>
                <w:p w14:paraId="4ADCBB8B">
                  <w:pPr>
                    <w:pStyle w:val="131"/>
                    <w:keepNext w:val="0"/>
                    <w:keepLines w:val="0"/>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支持门诊单据部分退费开单或全部退费开单，并且可执行退费单。支持通过退费时间、单据状态等信息查询病人的退费单据信息，可查看病人扣费项目、数量、时间等单据信息，并且可以查看单据退费状态、操作人、操作科室，一目了然查看单据的退费进度。</w:t>
                  </w:r>
                </w:p>
                <w:p w14:paraId="540D9182">
                  <w:pPr>
                    <w:pStyle w:val="131"/>
                    <w:keepNext w:val="0"/>
                    <w:keepLines w:val="0"/>
                    <w:pageBreakBefore w:val="0"/>
                    <w:widowControl w:val="0"/>
                    <w:kinsoku/>
                    <w:wordWrap/>
                    <w:overflowPunct/>
                    <w:topLinePunct w:val="0"/>
                    <w:autoSpaceDE/>
                    <w:autoSpaceDN/>
                    <w:bidi w:val="0"/>
                    <w:adjustRightInd/>
                    <w:snapToGrid/>
                    <w:spacing w:line="360" w:lineRule="exact"/>
                    <w:ind w:firstLine="0"/>
                    <w:textAlignment w:val="auto"/>
                    <w:rPr>
                      <w:b/>
                    </w:rPr>
                  </w:pPr>
                  <w:r>
                    <w:rPr>
                      <w:rFonts w:hint="eastAsia"/>
                      <w:b/>
                    </w:rPr>
                    <w:t>门诊费用清单</w:t>
                  </w:r>
                </w:p>
                <w:p w14:paraId="0769AFD8">
                  <w:pPr>
                    <w:pStyle w:val="131"/>
                    <w:keepNext w:val="0"/>
                    <w:keepLines w:val="0"/>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支持按不同格式展示病人门诊费用清单并打印。可通过选择病人列表或读卡等多种入口查询并定位病人，可查看病人姓名、年龄、费用、余额等基本信息，费用项目、数量、单位、单价、总额、医保比例等费用清单明细内容。</w:t>
                  </w:r>
                </w:p>
                <w:p w14:paraId="72F1FD58">
                  <w:pPr>
                    <w:pStyle w:val="131"/>
                    <w:keepNext w:val="0"/>
                    <w:keepLines w:val="0"/>
                    <w:pageBreakBefore w:val="0"/>
                    <w:widowControl w:val="0"/>
                    <w:kinsoku/>
                    <w:wordWrap/>
                    <w:overflowPunct/>
                    <w:topLinePunct w:val="0"/>
                    <w:autoSpaceDE/>
                    <w:autoSpaceDN/>
                    <w:bidi w:val="0"/>
                    <w:adjustRightInd/>
                    <w:snapToGrid/>
                    <w:spacing w:line="360" w:lineRule="exact"/>
                    <w:ind w:firstLine="0"/>
                    <w:textAlignment w:val="auto"/>
                    <w:rPr>
                      <w:b/>
                    </w:rPr>
                  </w:pPr>
                  <w:r>
                    <w:rPr>
                      <w:rFonts w:hint="eastAsia"/>
                      <w:b/>
                    </w:rPr>
                    <w:t>门急诊输液管理</w:t>
                  </w:r>
                </w:p>
                <w:p w14:paraId="005ED85E">
                  <w:pPr>
                    <w:pStyle w:val="131"/>
                    <w:keepNext w:val="0"/>
                    <w:keepLines w:val="0"/>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门急诊输液管理具备功能菜单导航，医护人员可通过</w:t>
                  </w:r>
                  <w:r>
                    <w:t>PC</w:t>
                  </w:r>
                  <w:r>
                    <w:rPr>
                      <w:rFonts w:hint="eastAsia"/>
                    </w:rPr>
                    <w:t>端查询当前床位资源的使用情况，为患者进行转床、清床、入床等操作，避免床位资源的浪费；同时可查询患者处方记录、查询患者的处方执行记录等信息。</w:t>
                  </w:r>
                </w:p>
                <w:p w14:paraId="45BA064C">
                  <w:pPr>
                    <w:pStyle w:val="131"/>
                    <w:keepNext w:val="0"/>
                    <w:keepLines w:val="0"/>
                    <w:pageBreakBefore w:val="0"/>
                    <w:widowControl w:val="0"/>
                    <w:kinsoku/>
                    <w:wordWrap/>
                    <w:overflowPunct/>
                    <w:topLinePunct w:val="0"/>
                    <w:autoSpaceDE/>
                    <w:autoSpaceDN/>
                    <w:bidi w:val="0"/>
                    <w:adjustRightInd/>
                    <w:snapToGrid/>
                    <w:spacing w:line="360" w:lineRule="exact"/>
                    <w:ind w:firstLine="0"/>
                    <w:textAlignment w:val="auto"/>
                    <w:rPr>
                      <w:b/>
                    </w:rPr>
                  </w:pPr>
                  <w:r>
                    <w:rPr>
                      <w:rFonts w:hint="eastAsia"/>
                      <w:b/>
                    </w:rPr>
                    <w:t>床位维护</w:t>
                  </w:r>
                </w:p>
                <w:p w14:paraId="5D85C4E8">
                  <w:pPr>
                    <w:pStyle w:val="131"/>
                    <w:keepNext w:val="0"/>
                    <w:keepLines w:val="0"/>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支持增加、修改和查询输液室的输液区和床</w:t>
                  </w:r>
                  <w:r>
                    <w:t>/</w:t>
                  </w:r>
                  <w:r>
                    <w:rPr>
                      <w:rFonts w:hint="eastAsia"/>
                    </w:rPr>
                    <w:t>座位。</w:t>
                  </w:r>
                </w:p>
                <w:p w14:paraId="43187BC1">
                  <w:pPr>
                    <w:pStyle w:val="131"/>
                    <w:keepNext w:val="0"/>
                    <w:keepLines w:val="0"/>
                    <w:pageBreakBefore w:val="0"/>
                    <w:widowControl w:val="0"/>
                    <w:kinsoku/>
                    <w:wordWrap/>
                    <w:overflowPunct/>
                    <w:topLinePunct w:val="0"/>
                    <w:autoSpaceDE/>
                    <w:autoSpaceDN/>
                    <w:bidi w:val="0"/>
                    <w:adjustRightInd/>
                    <w:snapToGrid/>
                    <w:spacing w:line="360" w:lineRule="exact"/>
                    <w:ind w:firstLine="0"/>
                    <w:textAlignment w:val="auto"/>
                  </w:pPr>
                  <w:r>
                    <w:rPr>
                      <w:rFonts w:hint="eastAsia"/>
                      <w:b/>
                    </w:rPr>
                    <w:t>床位管理</w:t>
                  </w:r>
                </w:p>
                <w:p w14:paraId="57AD967D">
                  <w:pPr>
                    <w:pStyle w:val="131"/>
                    <w:keepNext w:val="0"/>
                    <w:keepLines w:val="0"/>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支持各输液区的床位使用情况查看、支持对在床病人进行清床、换床、用药查询、补打排队号以及一键清床、批量清床操作。</w:t>
                  </w:r>
                </w:p>
                <w:p w14:paraId="4B1C9C8A">
                  <w:pPr>
                    <w:pStyle w:val="131"/>
                    <w:keepNext w:val="0"/>
                    <w:keepLines w:val="0"/>
                    <w:pageBreakBefore w:val="0"/>
                    <w:widowControl w:val="0"/>
                    <w:kinsoku/>
                    <w:wordWrap/>
                    <w:overflowPunct/>
                    <w:topLinePunct w:val="0"/>
                    <w:autoSpaceDE/>
                    <w:autoSpaceDN/>
                    <w:bidi w:val="0"/>
                    <w:adjustRightInd/>
                    <w:snapToGrid/>
                    <w:spacing w:line="360" w:lineRule="exact"/>
                    <w:ind w:firstLine="0"/>
                    <w:textAlignment w:val="auto"/>
                  </w:pPr>
                  <w:r>
                    <w:rPr>
                      <w:rFonts w:hint="eastAsia"/>
                      <w:b/>
                    </w:rPr>
                    <w:t>输液登记</w:t>
                  </w:r>
                </w:p>
                <w:p w14:paraId="11E28A31">
                  <w:pPr>
                    <w:pStyle w:val="131"/>
                    <w:keepNext w:val="0"/>
                    <w:keepLines w:val="0"/>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支持手动输入卡号或读卡等方式获取患者基本信息和处方信息，支持为患者分配床位、打印输液瓶签、打印输液卡、打印病人标签。支持根据开单时间、输液室等条件筛选可配药的数据记录。</w:t>
                  </w:r>
                </w:p>
                <w:p w14:paraId="6B235642">
                  <w:pPr>
                    <w:pStyle w:val="131"/>
                    <w:keepNext w:val="0"/>
                    <w:keepLines w:val="0"/>
                    <w:pageBreakBefore w:val="0"/>
                    <w:widowControl w:val="0"/>
                    <w:kinsoku/>
                    <w:wordWrap/>
                    <w:overflowPunct/>
                    <w:topLinePunct w:val="0"/>
                    <w:autoSpaceDE/>
                    <w:autoSpaceDN/>
                    <w:bidi w:val="0"/>
                    <w:adjustRightInd/>
                    <w:snapToGrid/>
                    <w:spacing w:line="360" w:lineRule="exact"/>
                    <w:ind w:firstLine="0"/>
                    <w:textAlignment w:val="auto"/>
                    <w:rPr>
                      <w:b/>
                    </w:rPr>
                  </w:pPr>
                  <w:r>
                    <w:rPr>
                      <w:rFonts w:hint="eastAsia"/>
                      <w:b/>
                    </w:rPr>
                    <w:t>输液执行</w:t>
                  </w:r>
                </w:p>
                <w:p w14:paraId="568243D4">
                  <w:pPr>
                    <w:pStyle w:val="131"/>
                    <w:keepNext w:val="0"/>
                    <w:keepLines w:val="0"/>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支持通过读卡获取单个患者的输液药品信息，对患者进行输液执行登记。支持根据选择的输液室和日期查询目前所有在床换患者的用药信息。</w:t>
                  </w:r>
                </w:p>
              </w:tc>
            </w:tr>
            <w:tr w14:paraId="707DF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3" w:type="dxa"/>
                  <w:vMerge w:val="continue"/>
                  <w:tcBorders>
                    <w:top w:val="single" w:color="auto" w:sz="4" w:space="0"/>
                    <w:left w:val="single" w:color="auto" w:sz="4" w:space="0"/>
                    <w:bottom w:val="single" w:color="auto" w:sz="4" w:space="0"/>
                    <w:right w:val="single" w:color="auto" w:sz="4" w:space="0"/>
                  </w:tcBorders>
                  <w:noWrap w:val="0"/>
                  <w:vAlign w:val="center"/>
                </w:tcPr>
                <w:p w14:paraId="3679C426">
                  <w:pPr>
                    <w:widowControl/>
                    <w:jc w:val="left"/>
                    <w:rPr>
                      <w:rFonts w:ascii="宋体" w:hAnsi="宋体" w:cs="宋体"/>
                      <w:b/>
                      <w:color w:val="000000"/>
                      <w:sz w:val="20"/>
                      <w:szCs w:val="20"/>
                    </w:rPr>
                  </w:pPr>
                </w:p>
              </w:tc>
              <w:tc>
                <w:tcPr>
                  <w:tcW w:w="804" w:type="dxa"/>
                  <w:vMerge w:val="continue"/>
                  <w:tcBorders>
                    <w:top w:val="single" w:color="auto" w:sz="4" w:space="0"/>
                    <w:left w:val="single" w:color="auto" w:sz="4" w:space="0"/>
                    <w:bottom w:val="single" w:color="auto" w:sz="4" w:space="0"/>
                    <w:right w:val="single" w:color="auto" w:sz="4" w:space="0"/>
                  </w:tcBorders>
                  <w:noWrap w:val="0"/>
                  <w:vAlign w:val="center"/>
                </w:tcPr>
                <w:p w14:paraId="230A0F22">
                  <w:pPr>
                    <w:widowControl/>
                    <w:jc w:val="left"/>
                    <w:rPr>
                      <w:rFonts w:ascii="宋体" w:hAnsi="宋体" w:cs="宋体"/>
                      <w:color w:val="000000"/>
                      <w:sz w:val="21"/>
                      <w:szCs w:val="21"/>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0DA34B77">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sz w:val="21"/>
                      <w:szCs w:val="21"/>
                    </w:rPr>
                  </w:pPr>
                  <w:r>
                    <w:rPr>
                      <w:rFonts w:hint="eastAsia"/>
                      <w:color w:val="000000"/>
                      <w:sz w:val="21"/>
                      <w:szCs w:val="21"/>
                    </w:rPr>
                    <w:t>护理信息提醒</w:t>
                  </w:r>
                </w:p>
              </w:tc>
              <w:tc>
                <w:tcPr>
                  <w:tcW w:w="7748" w:type="dxa"/>
                  <w:tcBorders>
                    <w:top w:val="single" w:color="auto" w:sz="4" w:space="0"/>
                    <w:left w:val="single" w:color="auto" w:sz="4" w:space="0"/>
                    <w:bottom w:val="single" w:color="auto" w:sz="4" w:space="0"/>
                    <w:right w:val="single" w:color="auto" w:sz="4" w:space="0"/>
                  </w:tcBorders>
                  <w:noWrap/>
                  <w:vAlign w:val="center"/>
                </w:tcPr>
                <w:p w14:paraId="22F95CE9">
                  <w:pPr>
                    <w:pStyle w:val="131"/>
                    <w:keepNext w:val="0"/>
                    <w:keepLines w:val="0"/>
                    <w:pageBreakBefore w:val="0"/>
                    <w:widowControl w:val="0"/>
                    <w:kinsoku/>
                    <w:wordWrap/>
                    <w:overflowPunct/>
                    <w:topLinePunct w:val="0"/>
                    <w:autoSpaceDE/>
                    <w:autoSpaceDN/>
                    <w:bidi w:val="0"/>
                    <w:adjustRightInd/>
                    <w:snapToGrid/>
                    <w:spacing w:line="360" w:lineRule="exact"/>
                    <w:ind w:firstLine="0"/>
                    <w:textAlignment w:val="auto"/>
                  </w:pPr>
                  <w:r>
                    <w:t>1.</w:t>
                  </w:r>
                  <w:r>
                    <w:rPr>
                      <w:rFonts w:hint="eastAsia"/>
                    </w:rPr>
                    <w:t>规范护理相关信息提醒的内容、流程等。</w:t>
                  </w:r>
                  <w:r>
                    <w:br w:type="textWrapping"/>
                  </w:r>
                  <w:r>
                    <w:t>2.</w:t>
                  </w:r>
                  <w:r>
                    <w:rPr>
                      <w:rFonts w:hint="eastAsia"/>
                    </w:rPr>
                    <w:t>具备书写错误、内容完整性、书写及时性、内容重复、未执行医嘱、护理审核医嘱、检验结果、检查结果、检验危急值、检查危急值、费用、输液完成等提醒功能。</w:t>
                  </w:r>
                </w:p>
              </w:tc>
            </w:tr>
            <w:tr w14:paraId="7333C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3" w:type="dxa"/>
                  <w:vMerge w:val="continue"/>
                  <w:tcBorders>
                    <w:top w:val="single" w:color="auto" w:sz="4" w:space="0"/>
                    <w:left w:val="single" w:color="auto" w:sz="4" w:space="0"/>
                    <w:bottom w:val="single" w:color="auto" w:sz="4" w:space="0"/>
                    <w:right w:val="single" w:color="auto" w:sz="4" w:space="0"/>
                  </w:tcBorders>
                  <w:noWrap w:val="0"/>
                  <w:vAlign w:val="center"/>
                </w:tcPr>
                <w:p w14:paraId="40701DE7">
                  <w:pPr>
                    <w:widowControl/>
                    <w:jc w:val="left"/>
                    <w:rPr>
                      <w:rFonts w:ascii="宋体" w:hAnsi="宋体" w:cs="宋体"/>
                      <w:b/>
                      <w:color w:val="000000"/>
                      <w:sz w:val="20"/>
                      <w:szCs w:val="20"/>
                    </w:rPr>
                  </w:pPr>
                </w:p>
              </w:tc>
              <w:tc>
                <w:tcPr>
                  <w:tcW w:w="804" w:type="dxa"/>
                  <w:vMerge w:val="restart"/>
                  <w:tcBorders>
                    <w:top w:val="single" w:color="auto" w:sz="4" w:space="0"/>
                    <w:left w:val="single" w:color="auto" w:sz="4" w:space="0"/>
                    <w:bottom w:val="single" w:color="auto" w:sz="4" w:space="0"/>
                    <w:right w:val="single" w:color="auto" w:sz="4" w:space="0"/>
                  </w:tcBorders>
                  <w:noWrap w:val="0"/>
                  <w:vAlign w:val="center"/>
                </w:tcPr>
                <w:p w14:paraId="47A694E9">
                  <w:pPr>
                    <w:rPr>
                      <w:rFonts w:ascii="宋体" w:hAnsi="宋体" w:cs="宋体"/>
                      <w:color w:val="000000"/>
                      <w:sz w:val="21"/>
                      <w:szCs w:val="21"/>
                    </w:rPr>
                  </w:pPr>
                  <w:r>
                    <w:rPr>
                      <w:rFonts w:hint="eastAsia"/>
                      <w:color w:val="000000"/>
                      <w:sz w:val="21"/>
                      <w:szCs w:val="21"/>
                    </w:rPr>
                    <w:t>医技业务</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3DF5CF68">
                  <w:pPr>
                    <w:pageBreakBefore w:val="0"/>
                    <w:widowControl w:val="0"/>
                    <w:kinsoku/>
                    <w:wordWrap/>
                    <w:overflowPunct/>
                    <w:topLinePunct w:val="0"/>
                    <w:autoSpaceDE/>
                    <w:autoSpaceDN/>
                    <w:bidi w:val="0"/>
                    <w:adjustRightInd/>
                    <w:spacing w:line="360" w:lineRule="exact"/>
                    <w:textAlignment w:val="auto"/>
                    <w:rPr>
                      <w:rFonts w:ascii="宋体" w:hAnsi="宋体" w:cs="宋体"/>
                      <w:color w:val="000000"/>
                      <w:sz w:val="21"/>
                      <w:szCs w:val="21"/>
                    </w:rPr>
                  </w:pPr>
                  <w:r>
                    <w:rPr>
                      <w:rFonts w:hint="eastAsia"/>
                      <w:color w:val="000000"/>
                      <w:sz w:val="21"/>
                      <w:szCs w:val="21"/>
                    </w:rPr>
                    <w:t>临床检验信息管理</w:t>
                  </w:r>
                </w:p>
              </w:tc>
              <w:tc>
                <w:tcPr>
                  <w:tcW w:w="7748" w:type="dxa"/>
                  <w:tcBorders>
                    <w:top w:val="single" w:color="auto" w:sz="4" w:space="0"/>
                    <w:left w:val="single" w:color="auto" w:sz="4" w:space="0"/>
                    <w:bottom w:val="single" w:color="auto" w:sz="4" w:space="0"/>
                    <w:right w:val="single" w:color="auto" w:sz="4" w:space="0"/>
                  </w:tcBorders>
                  <w:noWrap/>
                  <w:vAlign w:val="center"/>
                </w:tcPr>
                <w:p w14:paraId="35708F8A">
                  <w:pPr>
                    <w:pStyle w:val="7"/>
                    <w:pageBreakBefore w:val="0"/>
                    <w:widowControl w:val="0"/>
                    <w:kinsoku/>
                    <w:wordWrap/>
                    <w:overflowPunct/>
                    <w:topLinePunct w:val="0"/>
                    <w:autoSpaceDE/>
                    <w:autoSpaceDN/>
                    <w:bidi w:val="0"/>
                    <w:adjustRightInd/>
                    <w:spacing w:line="360" w:lineRule="exact"/>
                    <w:textAlignment w:val="auto"/>
                    <w:rPr>
                      <w:rFonts w:ascii="Calibri"/>
                      <w:sz w:val="21"/>
                    </w:rPr>
                  </w:pPr>
                  <w:r>
                    <w:rPr>
                      <w:rFonts w:hint="eastAsia"/>
                    </w:rPr>
                    <w:t>临床检验信息管理系统</w:t>
                  </w:r>
                </w:p>
                <w:p w14:paraId="625B1A47">
                  <w:pPr>
                    <w:pStyle w:val="131"/>
                    <w:pageBreakBefore w:val="0"/>
                    <w:widowControl w:val="0"/>
                    <w:kinsoku/>
                    <w:wordWrap/>
                    <w:overflowPunct/>
                    <w:topLinePunct w:val="0"/>
                    <w:autoSpaceDE/>
                    <w:autoSpaceDN/>
                    <w:bidi w:val="0"/>
                    <w:adjustRightInd/>
                    <w:spacing w:line="360" w:lineRule="exact"/>
                    <w:ind w:firstLine="0"/>
                    <w:textAlignment w:val="auto"/>
                    <w:rPr>
                      <w:b/>
                      <w:sz w:val="24"/>
                      <w:szCs w:val="24"/>
                    </w:rPr>
                  </w:pPr>
                  <w:r>
                    <w:rPr>
                      <w:b/>
                      <w:sz w:val="24"/>
                      <w:szCs w:val="24"/>
                    </w:rPr>
                    <w:t>1.</w:t>
                  </w:r>
                  <w:r>
                    <w:rPr>
                      <w:rFonts w:hint="eastAsia"/>
                      <w:b/>
                      <w:sz w:val="24"/>
                      <w:szCs w:val="24"/>
                    </w:rPr>
                    <w:t>采血条码管理</w:t>
                  </w:r>
                </w:p>
                <w:p w14:paraId="6D822A5E">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条码管理</w:t>
                  </w:r>
                </w:p>
                <w:p w14:paraId="61CF7354">
                  <w:pPr>
                    <w:pStyle w:val="131"/>
                    <w:pageBreakBefore w:val="0"/>
                    <w:widowControl w:val="0"/>
                    <w:kinsoku/>
                    <w:wordWrap/>
                    <w:overflowPunct/>
                    <w:topLinePunct w:val="0"/>
                    <w:autoSpaceDE/>
                    <w:autoSpaceDN/>
                    <w:bidi w:val="0"/>
                    <w:adjustRightInd/>
                    <w:spacing w:line="360" w:lineRule="exact"/>
                    <w:ind w:firstLine="0"/>
                    <w:textAlignment w:val="auto"/>
                  </w:pPr>
                  <w:r>
                    <w:t>1)</w:t>
                  </w:r>
                  <w:r>
                    <w:tab/>
                  </w:r>
                  <w:r>
                    <w:rPr>
                      <w:rFonts w:hint="eastAsia"/>
                    </w:rPr>
                    <w:t>支持打印条码与预置条码两种模式；</w:t>
                  </w:r>
                </w:p>
                <w:p w14:paraId="02DB6F60">
                  <w:pPr>
                    <w:pStyle w:val="131"/>
                    <w:pageBreakBefore w:val="0"/>
                    <w:widowControl w:val="0"/>
                    <w:kinsoku/>
                    <w:wordWrap/>
                    <w:overflowPunct/>
                    <w:topLinePunct w:val="0"/>
                    <w:autoSpaceDE/>
                    <w:autoSpaceDN/>
                    <w:bidi w:val="0"/>
                    <w:adjustRightInd/>
                    <w:spacing w:line="360" w:lineRule="exact"/>
                    <w:ind w:firstLine="0"/>
                    <w:textAlignment w:val="auto"/>
                  </w:pPr>
                  <w:r>
                    <w:t>2)</w:t>
                  </w:r>
                  <w:r>
                    <w:tab/>
                  </w:r>
                  <w:r>
                    <w:rPr>
                      <w:rFonts w:hint="eastAsia"/>
                    </w:rPr>
                    <w:t>支持条码重打</w:t>
                  </w:r>
                </w:p>
                <w:p w14:paraId="0C36DF98">
                  <w:pPr>
                    <w:pStyle w:val="131"/>
                    <w:pageBreakBefore w:val="0"/>
                    <w:widowControl w:val="0"/>
                    <w:kinsoku/>
                    <w:wordWrap/>
                    <w:overflowPunct/>
                    <w:topLinePunct w:val="0"/>
                    <w:autoSpaceDE/>
                    <w:autoSpaceDN/>
                    <w:bidi w:val="0"/>
                    <w:adjustRightInd/>
                    <w:spacing w:line="360" w:lineRule="exact"/>
                    <w:ind w:firstLine="0"/>
                    <w:textAlignment w:val="auto"/>
                  </w:pPr>
                  <w:r>
                    <w:t>3)</w:t>
                  </w:r>
                  <w:r>
                    <w:tab/>
                  </w:r>
                  <w:r>
                    <w:rPr>
                      <w:rFonts w:hint="eastAsia"/>
                    </w:rPr>
                    <w:t>支持门诊取消采样</w:t>
                  </w:r>
                </w:p>
                <w:p w14:paraId="7F0E6AE1">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智能回执单管理</w:t>
                  </w:r>
                </w:p>
                <w:p w14:paraId="3F114394">
                  <w:pPr>
                    <w:pStyle w:val="131"/>
                    <w:pageBreakBefore w:val="0"/>
                    <w:widowControl w:val="0"/>
                    <w:kinsoku/>
                    <w:wordWrap/>
                    <w:overflowPunct/>
                    <w:topLinePunct w:val="0"/>
                    <w:autoSpaceDE/>
                    <w:autoSpaceDN/>
                    <w:bidi w:val="0"/>
                    <w:adjustRightInd/>
                    <w:spacing w:line="360" w:lineRule="exact"/>
                    <w:ind w:firstLine="0"/>
                    <w:textAlignment w:val="auto"/>
                  </w:pPr>
                  <w:r>
                    <w:t>1)</w:t>
                  </w:r>
                  <w:r>
                    <w:tab/>
                  </w:r>
                  <w:r>
                    <w:rPr>
                      <w:rFonts w:hint="eastAsia"/>
                    </w:rPr>
                    <w:t>取报告时间根据采集时间精确计算；</w:t>
                  </w:r>
                </w:p>
                <w:p w14:paraId="25F14A3C">
                  <w:pPr>
                    <w:pStyle w:val="131"/>
                    <w:pageBreakBefore w:val="0"/>
                    <w:widowControl w:val="0"/>
                    <w:kinsoku/>
                    <w:wordWrap/>
                    <w:overflowPunct/>
                    <w:topLinePunct w:val="0"/>
                    <w:autoSpaceDE/>
                    <w:autoSpaceDN/>
                    <w:bidi w:val="0"/>
                    <w:adjustRightInd/>
                    <w:spacing w:line="360" w:lineRule="exact"/>
                    <w:ind w:firstLine="0"/>
                    <w:textAlignment w:val="auto"/>
                  </w:pPr>
                  <w:r>
                    <w:t>2)</w:t>
                  </w:r>
                  <w:r>
                    <w:tab/>
                  </w:r>
                  <w:r>
                    <w:rPr>
                      <w:rFonts w:hint="eastAsia"/>
                    </w:rPr>
                    <w:t>可设置节假日，取报告时间自动过滤节假日顺延；</w:t>
                  </w:r>
                </w:p>
                <w:p w14:paraId="348F34FE">
                  <w:pPr>
                    <w:pStyle w:val="131"/>
                    <w:pageBreakBefore w:val="0"/>
                    <w:widowControl w:val="0"/>
                    <w:kinsoku/>
                    <w:wordWrap/>
                    <w:overflowPunct/>
                    <w:topLinePunct w:val="0"/>
                    <w:autoSpaceDE/>
                    <w:autoSpaceDN/>
                    <w:bidi w:val="0"/>
                    <w:adjustRightInd/>
                    <w:spacing w:line="360" w:lineRule="exact"/>
                    <w:ind w:firstLine="0"/>
                    <w:textAlignment w:val="auto"/>
                  </w:pPr>
                  <w:r>
                    <w:t>3)</w:t>
                  </w:r>
                  <w:r>
                    <w:tab/>
                  </w:r>
                  <w:r>
                    <w:rPr>
                      <w:rFonts w:hint="eastAsia"/>
                    </w:rPr>
                    <w:t>回单可打印一维码、二维码。</w:t>
                  </w:r>
                </w:p>
                <w:p w14:paraId="52D739D7">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门诊标本流转</w:t>
                  </w:r>
                </w:p>
                <w:p w14:paraId="536EA0F8">
                  <w:pPr>
                    <w:pStyle w:val="131"/>
                    <w:pageBreakBefore w:val="0"/>
                    <w:widowControl w:val="0"/>
                    <w:kinsoku/>
                    <w:wordWrap/>
                    <w:overflowPunct/>
                    <w:topLinePunct w:val="0"/>
                    <w:autoSpaceDE/>
                    <w:autoSpaceDN/>
                    <w:bidi w:val="0"/>
                    <w:adjustRightInd/>
                    <w:spacing w:line="360" w:lineRule="exact"/>
                    <w:ind w:firstLine="0"/>
                    <w:textAlignment w:val="auto"/>
                  </w:pPr>
                  <w:r>
                    <w:t>1)</w:t>
                  </w:r>
                  <w:r>
                    <w:tab/>
                  </w:r>
                  <w:r>
                    <w:rPr>
                      <w:rFonts w:hint="eastAsia"/>
                    </w:rPr>
                    <w:t>门诊采样确认</w:t>
                  </w:r>
                </w:p>
                <w:p w14:paraId="2C262EFE">
                  <w:pPr>
                    <w:pStyle w:val="131"/>
                    <w:pageBreakBefore w:val="0"/>
                    <w:widowControl w:val="0"/>
                    <w:kinsoku/>
                    <w:wordWrap/>
                    <w:overflowPunct/>
                    <w:topLinePunct w:val="0"/>
                    <w:autoSpaceDE/>
                    <w:autoSpaceDN/>
                    <w:bidi w:val="0"/>
                    <w:adjustRightInd/>
                    <w:spacing w:line="360" w:lineRule="exact"/>
                    <w:ind w:firstLine="0"/>
                    <w:textAlignment w:val="auto"/>
                  </w:pPr>
                  <w:r>
                    <w:t>2)</w:t>
                  </w:r>
                  <w:r>
                    <w:tab/>
                  </w:r>
                  <w:r>
                    <w:rPr>
                      <w:rFonts w:hint="eastAsia"/>
                    </w:rPr>
                    <w:t>门诊标本送出</w:t>
                  </w:r>
                </w:p>
                <w:p w14:paraId="5004D375">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智能合并、拆分</w:t>
                  </w:r>
                </w:p>
                <w:p w14:paraId="0E57F270">
                  <w:pPr>
                    <w:pStyle w:val="131"/>
                    <w:pageBreakBefore w:val="0"/>
                    <w:widowControl w:val="0"/>
                    <w:kinsoku/>
                    <w:wordWrap/>
                    <w:overflowPunct/>
                    <w:topLinePunct w:val="0"/>
                    <w:autoSpaceDE/>
                    <w:autoSpaceDN/>
                    <w:bidi w:val="0"/>
                    <w:adjustRightInd/>
                    <w:spacing w:line="360" w:lineRule="exact"/>
                    <w:ind w:firstLine="0"/>
                    <w:textAlignment w:val="auto"/>
                  </w:pPr>
                  <w:r>
                    <w:t>1)</w:t>
                  </w:r>
                  <w:r>
                    <w:tab/>
                  </w:r>
                  <w:r>
                    <w:rPr>
                      <w:rFonts w:hint="eastAsia"/>
                    </w:rPr>
                    <w:t>自动按照标本类型、采集要求、检验项目等条件合并</w:t>
                  </w:r>
                </w:p>
                <w:p w14:paraId="2771A332">
                  <w:pPr>
                    <w:pStyle w:val="131"/>
                    <w:pageBreakBefore w:val="0"/>
                    <w:widowControl w:val="0"/>
                    <w:kinsoku/>
                    <w:wordWrap/>
                    <w:overflowPunct/>
                    <w:topLinePunct w:val="0"/>
                    <w:autoSpaceDE/>
                    <w:autoSpaceDN/>
                    <w:bidi w:val="0"/>
                    <w:adjustRightInd/>
                    <w:spacing w:line="360" w:lineRule="exact"/>
                    <w:ind w:firstLine="0"/>
                    <w:textAlignment w:val="auto"/>
                  </w:pPr>
                  <w:r>
                    <w:t>2)</w:t>
                  </w:r>
                  <w:r>
                    <w:tab/>
                  </w:r>
                  <w:r>
                    <w:rPr>
                      <w:rFonts w:hint="eastAsia"/>
                    </w:rPr>
                    <w:t>自动按照拆分规则进行条码拆分，例如：糖耐量等</w:t>
                  </w:r>
                </w:p>
                <w:p w14:paraId="7498717F">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门诊采血知识库</w:t>
                  </w:r>
                </w:p>
                <w:p w14:paraId="0F0EDF37">
                  <w:pPr>
                    <w:pStyle w:val="131"/>
                    <w:pageBreakBefore w:val="0"/>
                    <w:widowControl w:val="0"/>
                    <w:kinsoku/>
                    <w:wordWrap/>
                    <w:overflowPunct/>
                    <w:topLinePunct w:val="0"/>
                    <w:autoSpaceDE/>
                    <w:autoSpaceDN/>
                    <w:bidi w:val="0"/>
                    <w:adjustRightInd/>
                    <w:spacing w:line="360" w:lineRule="exact"/>
                    <w:ind w:firstLine="0"/>
                    <w:textAlignment w:val="auto"/>
                  </w:pPr>
                  <w:r>
                    <w:t>1)</w:t>
                  </w:r>
                  <w:r>
                    <w:tab/>
                  </w:r>
                  <w:r>
                    <w:rPr>
                      <w:rFonts w:hint="eastAsia"/>
                    </w:rPr>
                    <w:t>自动显示提醒采血管颜色、采血量</w:t>
                  </w:r>
                </w:p>
                <w:p w14:paraId="69966E5A">
                  <w:pPr>
                    <w:pStyle w:val="131"/>
                    <w:pageBreakBefore w:val="0"/>
                    <w:widowControl w:val="0"/>
                    <w:kinsoku/>
                    <w:wordWrap/>
                    <w:overflowPunct/>
                    <w:topLinePunct w:val="0"/>
                    <w:autoSpaceDE/>
                    <w:autoSpaceDN/>
                    <w:bidi w:val="0"/>
                    <w:adjustRightInd/>
                    <w:spacing w:line="360" w:lineRule="exact"/>
                    <w:ind w:firstLine="0"/>
                    <w:textAlignment w:val="auto"/>
                  </w:pPr>
                  <w:r>
                    <w:t>2)</w:t>
                  </w:r>
                  <w:r>
                    <w:tab/>
                  </w:r>
                  <w:r>
                    <w:rPr>
                      <w:rFonts w:hint="eastAsia"/>
                    </w:rPr>
                    <w:t>对标本类型错误、性别错误等实时报警提示；</w:t>
                  </w:r>
                </w:p>
                <w:p w14:paraId="5354B40D">
                  <w:pPr>
                    <w:pStyle w:val="131"/>
                    <w:pageBreakBefore w:val="0"/>
                    <w:widowControl w:val="0"/>
                    <w:kinsoku/>
                    <w:wordWrap/>
                    <w:overflowPunct/>
                    <w:topLinePunct w:val="0"/>
                    <w:autoSpaceDE/>
                    <w:autoSpaceDN/>
                    <w:bidi w:val="0"/>
                    <w:adjustRightInd/>
                    <w:spacing w:line="360" w:lineRule="exact"/>
                    <w:ind w:firstLine="0"/>
                    <w:textAlignment w:val="auto"/>
                  </w:pPr>
                  <w:r>
                    <w:t>3)</w:t>
                  </w:r>
                  <w:r>
                    <w:tab/>
                  </w:r>
                  <w:r>
                    <w:rPr>
                      <w:rFonts w:hint="eastAsia"/>
                    </w:rPr>
                    <w:t>具备检验知识库浏览功能，可在线查看项目的知识库内容</w:t>
                  </w:r>
                </w:p>
                <w:p w14:paraId="62813865">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其他</w:t>
                  </w:r>
                </w:p>
                <w:p w14:paraId="2D75ABFC">
                  <w:pPr>
                    <w:pStyle w:val="131"/>
                    <w:pageBreakBefore w:val="0"/>
                    <w:widowControl w:val="0"/>
                    <w:kinsoku/>
                    <w:wordWrap/>
                    <w:overflowPunct/>
                    <w:topLinePunct w:val="0"/>
                    <w:autoSpaceDE/>
                    <w:autoSpaceDN/>
                    <w:bidi w:val="0"/>
                    <w:adjustRightInd/>
                    <w:spacing w:line="360" w:lineRule="exact"/>
                    <w:ind w:firstLine="0"/>
                    <w:textAlignment w:val="auto"/>
                  </w:pPr>
                  <w:r>
                    <w:t>1)</w:t>
                  </w:r>
                  <w:r>
                    <w:tab/>
                  </w:r>
                  <w:r>
                    <w:rPr>
                      <w:rFonts w:hint="eastAsia"/>
                    </w:rPr>
                    <w:t>智能预交金确费：可按照项目条码智能生成试管费进行确费</w:t>
                  </w:r>
                </w:p>
                <w:p w14:paraId="732F1FD8">
                  <w:pPr>
                    <w:pStyle w:val="131"/>
                    <w:pageBreakBefore w:val="0"/>
                    <w:widowControl w:val="0"/>
                    <w:kinsoku/>
                    <w:wordWrap/>
                    <w:overflowPunct/>
                    <w:topLinePunct w:val="0"/>
                    <w:autoSpaceDE/>
                    <w:autoSpaceDN/>
                    <w:bidi w:val="0"/>
                    <w:adjustRightInd/>
                    <w:spacing w:line="360" w:lineRule="exact"/>
                    <w:ind w:firstLine="0"/>
                    <w:textAlignment w:val="auto"/>
                  </w:pPr>
                  <w:r>
                    <w:t>2)</w:t>
                  </w:r>
                  <w:r>
                    <w:tab/>
                  </w:r>
                  <w:r>
                    <w:rPr>
                      <w:rFonts w:hint="eastAsia"/>
                    </w:rPr>
                    <w:t>核酸混检：支持核酸混检功能，并且混检后合并的条码支持签收入库；</w:t>
                  </w:r>
                </w:p>
                <w:p w14:paraId="0CC8F8BD">
                  <w:pPr>
                    <w:pStyle w:val="131"/>
                    <w:pageBreakBefore w:val="0"/>
                    <w:widowControl w:val="0"/>
                    <w:kinsoku/>
                    <w:wordWrap/>
                    <w:overflowPunct/>
                    <w:topLinePunct w:val="0"/>
                    <w:autoSpaceDE/>
                    <w:autoSpaceDN/>
                    <w:bidi w:val="0"/>
                    <w:adjustRightInd/>
                    <w:spacing w:line="360" w:lineRule="exact"/>
                    <w:ind w:firstLine="0"/>
                    <w:textAlignment w:val="auto"/>
                  </w:pPr>
                  <w:r>
                    <w:t>3)</w:t>
                  </w:r>
                  <w:r>
                    <w:tab/>
                  </w:r>
                  <w:r>
                    <w:rPr>
                      <w:rFonts w:hint="eastAsia"/>
                    </w:rPr>
                    <w:t>标本跟踪查询：支持标本全流程查询，可查看标本绑定，签收，入库，发布报告、撤销、拒绝等信息；</w:t>
                  </w:r>
                </w:p>
                <w:p w14:paraId="2FBB27B6">
                  <w:pPr>
                    <w:pStyle w:val="131"/>
                    <w:pageBreakBefore w:val="0"/>
                    <w:widowControl w:val="0"/>
                    <w:kinsoku/>
                    <w:wordWrap/>
                    <w:overflowPunct/>
                    <w:topLinePunct w:val="0"/>
                    <w:autoSpaceDE/>
                    <w:autoSpaceDN/>
                    <w:bidi w:val="0"/>
                    <w:adjustRightInd/>
                    <w:spacing w:line="360" w:lineRule="exact"/>
                    <w:ind w:firstLine="0"/>
                    <w:textAlignment w:val="auto"/>
                  </w:pPr>
                  <w:r>
                    <w:t>4)</w:t>
                  </w:r>
                  <w:r>
                    <w:tab/>
                  </w:r>
                  <w:r>
                    <w:rPr>
                      <w:rFonts w:hint="eastAsia"/>
                    </w:rPr>
                    <w:t>补充项目录入：如用药情况等，备注情况可下载至常规，微生物等系统，支持特殊项目录入填报信息功能，如内生肌酐清除率试验；</w:t>
                  </w:r>
                </w:p>
                <w:p w14:paraId="5875C49F">
                  <w:pPr>
                    <w:pStyle w:val="131"/>
                    <w:pageBreakBefore w:val="0"/>
                    <w:widowControl w:val="0"/>
                    <w:kinsoku/>
                    <w:wordWrap/>
                    <w:overflowPunct/>
                    <w:topLinePunct w:val="0"/>
                    <w:autoSpaceDE/>
                    <w:autoSpaceDN/>
                    <w:bidi w:val="0"/>
                    <w:adjustRightInd/>
                    <w:spacing w:line="360" w:lineRule="exact"/>
                    <w:ind w:firstLine="0"/>
                    <w:textAlignment w:val="auto"/>
                  </w:pPr>
                  <w:r>
                    <w:t>5)</w:t>
                  </w:r>
                  <w:r>
                    <w:tab/>
                  </w:r>
                  <w:r>
                    <w:rPr>
                      <w:rFonts w:hint="eastAsia"/>
                    </w:rPr>
                    <w:t>特殊患者提醒：精神病、传染病等特殊患者标记功能，提醒采集护士注意防护；</w:t>
                  </w:r>
                </w:p>
                <w:p w14:paraId="5AB1A7BF">
                  <w:pPr>
                    <w:pStyle w:val="131"/>
                    <w:pageBreakBefore w:val="0"/>
                    <w:widowControl w:val="0"/>
                    <w:kinsoku/>
                    <w:wordWrap/>
                    <w:overflowPunct/>
                    <w:topLinePunct w:val="0"/>
                    <w:autoSpaceDE/>
                    <w:autoSpaceDN/>
                    <w:bidi w:val="0"/>
                    <w:adjustRightInd/>
                    <w:spacing w:line="360" w:lineRule="exact"/>
                    <w:ind w:firstLine="0"/>
                    <w:textAlignment w:val="auto"/>
                  </w:pPr>
                  <w:r>
                    <w:t>6)</w:t>
                  </w:r>
                  <w:r>
                    <w:tab/>
                  </w:r>
                  <w:r>
                    <w:rPr>
                      <w:rFonts w:hint="eastAsia"/>
                    </w:rPr>
                    <w:t>支持采样时拍照；</w:t>
                  </w:r>
                </w:p>
                <w:p w14:paraId="18753B8C">
                  <w:pPr>
                    <w:pStyle w:val="131"/>
                    <w:pageBreakBefore w:val="0"/>
                    <w:widowControl w:val="0"/>
                    <w:kinsoku/>
                    <w:wordWrap/>
                    <w:overflowPunct/>
                    <w:topLinePunct w:val="0"/>
                    <w:autoSpaceDE/>
                    <w:autoSpaceDN/>
                    <w:bidi w:val="0"/>
                    <w:adjustRightInd/>
                    <w:spacing w:line="360" w:lineRule="exact"/>
                    <w:ind w:firstLine="0"/>
                    <w:textAlignment w:val="auto"/>
                  </w:pPr>
                  <w:r>
                    <w:t>7)</w:t>
                  </w:r>
                  <w:r>
                    <w:tab/>
                  </w:r>
                  <w:r>
                    <w:rPr>
                      <w:rFonts w:hint="eastAsia"/>
                    </w:rPr>
                    <w:t>信息加密：支持特殊病人信息加密</w:t>
                  </w:r>
                </w:p>
                <w:p w14:paraId="662B093C">
                  <w:pPr>
                    <w:pStyle w:val="131"/>
                    <w:pageBreakBefore w:val="0"/>
                    <w:widowControl w:val="0"/>
                    <w:kinsoku/>
                    <w:wordWrap/>
                    <w:overflowPunct/>
                    <w:topLinePunct w:val="0"/>
                    <w:autoSpaceDE/>
                    <w:autoSpaceDN/>
                    <w:bidi w:val="0"/>
                    <w:adjustRightInd/>
                    <w:spacing w:line="360" w:lineRule="exact"/>
                    <w:ind w:firstLine="0"/>
                    <w:textAlignment w:val="auto"/>
                    <w:rPr>
                      <w:b/>
                      <w:sz w:val="24"/>
                      <w:szCs w:val="24"/>
                    </w:rPr>
                  </w:pPr>
                  <w:r>
                    <w:rPr>
                      <w:b/>
                      <w:sz w:val="24"/>
                      <w:szCs w:val="24"/>
                    </w:rPr>
                    <w:t>2.</w:t>
                  </w:r>
                  <w:r>
                    <w:rPr>
                      <w:rFonts w:hint="eastAsia"/>
                      <w:b/>
                      <w:sz w:val="24"/>
                      <w:szCs w:val="24"/>
                    </w:rPr>
                    <w:t>标本流转</w:t>
                  </w:r>
                </w:p>
                <w:p w14:paraId="6EA14FD5">
                  <w:pPr>
                    <w:pStyle w:val="131"/>
                    <w:pageBreakBefore w:val="0"/>
                    <w:widowControl w:val="0"/>
                    <w:kinsoku/>
                    <w:wordWrap/>
                    <w:overflowPunct/>
                    <w:topLinePunct w:val="0"/>
                    <w:autoSpaceDE/>
                    <w:autoSpaceDN/>
                    <w:bidi w:val="0"/>
                    <w:adjustRightInd/>
                    <w:spacing w:line="360" w:lineRule="exact"/>
                    <w:ind w:firstLine="0"/>
                    <w:textAlignment w:val="auto"/>
                  </w:pPr>
                  <w:r>
                    <w:t>1)</w:t>
                  </w:r>
                  <w:r>
                    <w:tab/>
                  </w:r>
                  <w:r>
                    <w:rPr>
                      <w:rFonts w:hint="eastAsia"/>
                    </w:rPr>
                    <w:t>标本分拣机集成</w:t>
                  </w:r>
                </w:p>
                <w:p w14:paraId="1AC071B5">
                  <w:pPr>
                    <w:pStyle w:val="131"/>
                    <w:pageBreakBefore w:val="0"/>
                    <w:widowControl w:val="0"/>
                    <w:kinsoku/>
                    <w:wordWrap/>
                    <w:overflowPunct/>
                    <w:topLinePunct w:val="0"/>
                    <w:autoSpaceDE/>
                    <w:autoSpaceDN/>
                    <w:bidi w:val="0"/>
                    <w:adjustRightInd/>
                    <w:spacing w:line="360" w:lineRule="exact"/>
                    <w:ind w:firstLine="0"/>
                    <w:textAlignment w:val="auto"/>
                  </w:pPr>
                  <w:r>
                    <w:t>2)</w:t>
                  </w:r>
                  <w:r>
                    <w:tab/>
                  </w:r>
                  <w:r>
                    <w:rPr>
                      <w:rFonts w:hint="eastAsia"/>
                    </w:rPr>
                    <w:t>包条码接收</w:t>
                  </w:r>
                </w:p>
                <w:p w14:paraId="3D56400C">
                  <w:pPr>
                    <w:pStyle w:val="131"/>
                    <w:pageBreakBefore w:val="0"/>
                    <w:widowControl w:val="0"/>
                    <w:kinsoku/>
                    <w:wordWrap/>
                    <w:overflowPunct/>
                    <w:topLinePunct w:val="0"/>
                    <w:autoSpaceDE/>
                    <w:autoSpaceDN/>
                    <w:bidi w:val="0"/>
                    <w:adjustRightInd/>
                    <w:spacing w:line="360" w:lineRule="exact"/>
                    <w:ind w:firstLine="0"/>
                    <w:textAlignment w:val="auto"/>
                  </w:pPr>
                  <w:r>
                    <w:t>3)</w:t>
                  </w:r>
                  <w:r>
                    <w:tab/>
                  </w:r>
                  <w:r>
                    <w:rPr>
                      <w:rFonts w:hint="eastAsia"/>
                    </w:rPr>
                    <w:t>单个条码接收</w:t>
                  </w:r>
                </w:p>
                <w:p w14:paraId="06A5E10C">
                  <w:pPr>
                    <w:pStyle w:val="131"/>
                    <w:pageBreakBefore w:val="0"/>
                    <w:widowControl w:val="0"/>
                    <w:kinsoku/>
                    <w:wordWrap/>
                    <w:overflowPunct/>
                    <w:topLinePunct w:val="0"/>
                    <w:autoSpaceDE/>
                    <w:autoSpaceDN/>
                    <w:bidi w:val="0"/>
                    <w:adjustRightInd/>
                    <w:spacing w:line="360" w:lineRule="exact"/>
                    <w:ind w:firstLine="0"/>
                    <w:textAlignment w:val="auto"/>
                  </w:pPr>
                  <w:r>
                    <w:t>4)</w:t>
                  </w:r>
                  <w:r>
                    <w:tab/>
                  </w:r>
                  <w:r>
                    <w:rPr>
                      <w:rFonts w:hint="eastAsia"/>
                    </w:rPr>
                    <w:t>护工签名</w:t>
                  </w:r>
                </w:p>
                <w:p w14:paraId="42EEA4E2">
                  <w:pPr>
                    <w:pStyle w:val="131"/>
                    <w:pageBreakBefore w:val="0"/>
                    <w:widowControl w:val="0"/>
                    <w:kinsoku/>
                    <w:wordWrap/>
                    <w:overflowPunct/>
                    <w:topLinePunct w:val="0"/>
                    <w:autoSpaceDE/>
                    <w:autoSpaceDN/>
                    <w:bidi w:val="0"/>
                    <w:adjustRightInd/>
                    <w:spacing w:line="360" w:lineRule="exact"/>
                    <w:ind w:firstLine="0"/>
                    <w:textAlignment w:val="auto"/>
                  </w:pPr>
                  <w:r>
                    <w:t>5)</w:t>
                  </w:r>
                  <w:r>
                    <w:tab/>
                  </w:r>
                  <w:r>
                    <w:rPr>
                      <w:rFonts w:hint="eastAsia"/>
                    </w:rPr>
                    <w:t>标签重打</w:t>
                  </w:r>
                </w:p>
                <w:p w14:paraId="297A3575">
                  <w:pPr>
                    <w:pStyle w:val="131"/>
                    <w:pageBreakBefore w:val="0"/>
                    <w:widowControl w:val="0"/>
                    <w:kinsoku/>
                    <w:wordWrap/>
                    <w:overflowPunct/>
                    <w:topLinePunct w:val="0"/>
                    <w:autoSpaceDE/>
                    <w:autoSpaceDN/>
                    <w:bidi w:val="0"/>
                    <w:adjustRightInd/>
                    <w:spacing w:line="360" w:lineRule="exact"/>
                    <w:ind w:firstLine="0"/>
                    <w:textAlignment w:val="auto"/>
                  </w:pPr>
                  <w:r>
                    <w:t>6)</w:t>
                  </w:r>
                  <w:r>
                    <w:tab/>
                  </w:r>
                  <w:r>
                    <w:rPr>
                      <w:rFonts w:hint="eastAsia"/>
                    </w:rPr>
                    <w:t>外送标本送出</w:t>
                  </w:r>
                </w:p>
                <w:p w14:paraId="7B41688A">
                  <w:pPr>
                    <w:pStyle w:val="131"/>
                    <w:pageBreakBefore w:val="0"/>
                    <w:widowControl w:val="0"/>
                    <w:kinsoku/>
                    <w:wordWrap/>
                    <w:overflowPunct/>
                    <w:topLinePunct w:val="0"/>
                    <w:autoSpaceDE/>
                    <w:autoSpaceDN/>
                    <w:bidi w:val="0"/>
                    <w:adjustRightInd/>
                    <w:spacing w:line="360" w:lineRule="exact"/>
                    <w:ind w:firstLine="0"/>
                    <w:textAlignment w:val="auto"/>
                    <w:rPr>
                      <w:b/>
                      <w:sz w:val="24"/>
                      <w:szCs w:val="24"/>
                    </w:rPr>
                  </w:pPr>
                  <w:r>
                    <w:rPr>
                      <w:b/>
                      <w:sz w:val="24"/>
                      <w:szCs w:val="24"/>
                    </w:rPr>
                    <w:t>3.</w:t>
                  </w:r>
                  <w:r>
                    <w:rPr>
                      <w:rFonts w:hint="eastAsia"/>
                      <w:b/>
                      <w:sz w:val="24"/>
                      <w:szCs w:val="24"/>
                    </w:rPr>
                    <w:t>检验自动编号</w:t>
                  </w:r>
                </w:p>
                <w:p w14:paraId="34C071B1">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自动编号规则设置</w:t>
                  </w:r>
                </w:p>
                <w:p w14:paraId="39884F05">
                  <w:pPr>
                    <w:pStyle w:val="131"/>
                    <w:pageBreakBefore w:val="0"/>
                    <w:widowControl w:val="0"/>
                    <w:kinsoku/>
                    <w:wordWrap/>
                    <w:overflowPunct/>
                    <w:topLinePunct w:val="0"/>
                    <w:autoSpaceDE/>
                    <w:autoSpaceDN/>
                    <w:bidi w:val="0"/>
                    <w:adjustRightInd/>
                    <w:spacing w:line="360" w:lineRule="exact"/>
                    <w:ind w:firstLine="0"/>
                    <w:textAlignment w:val="auto"/>
                  </w:pPr>
                  <w:r>
                    <w:t>1)</w:t>
                  </w:r>
                  <w:r>
                    <w:tab/>
                  </w:r>
                  <w:r>
                    <w:rPr>
                      <w:rFonts w:hint="eastAsia"/>
                    </w:rPr>
                    <w:t>申请项目设置自动编号分组</w:t>
                  </w:r>
                </w:p>
                <w:p w14:paraId="48229C75">
                  <w:pPr>
                    <w:pStyle w:val="131"/>
                    <w:pageBreakBefore w:val="0"/>
                    <w:widowControl w:val="0"/>
                    <w:kinsoku/>
                    <w:wordWrap/>
                    <w:overflowPunct/>
                    <w:topLinePunct w:val="0"/>
                    <w:autoSpaceDE/>
                    <w:autoSpaceDN/>
                    <w:bidi w:val="0"/>
                    <w:adjustRightInd/>
                    <w:spacing w:line="360" w:lineRule="exact"/>
                    <w:ind w:firstLine="0"/>
                    <w:textAlignment w:val="auto"/>
                  </w:pPr>
                  <w:r>
                    <w:t>2)</w:t>
                  </w:r>
                  <w:r>
                    <w:tab/>
                  </w:r>
                  <w:r>
                    <w:rPr>
                      <w:rFonts w:hint="eastAsia"/>
                    </w:rPr>
                    <w:t>设置自动编号开始样本号、结束样本号</w:t>
                  </w:r>
                </w:p>
                <w:p w14:paraId="72D84745">
                  <w:pPr>
                    <w:pStyle w:val="131"/>
                    <w:pageBreakBefore w:val="0"/>
                    <w:widowControl w:val="0"/>
                    <w:kinsoku/>
                    <w:wordWrap/>
                    <w:overflowPunct/>
                    <w:topLinePunct w:val="0"/>
                    <w:autoSpaceDE/>
                    <w:autoSpaceDN/>
                    <w:bidi w:val="0"/>
                    <w:adjustRightInd/>
                    <w:spacing w:line="360" w:lineRule="exact"/>
                    <w:ind w:firstLine="0"/>
                    <w:textAlignment w:val="auto"/>
                  </w:pPr>
                  <w:r>
                    <w:t>3)</w:t>
                  </w:r>
                  <w:r>
                    <w:tab/>
                  </w:r>
                  <w:r>
                    <w:rPr>
                      <w:rFonts w:hint="eastAsia"/>
                    </w:rPr>
                    <w:t>设置周几检验</w:t>
                  </w:r>
                </w:p>
                <w:p w14:paraId="2ECD1058">
                  <w:pPr>
                    <w:pStyle w:val="131"/>
                    <w:pageBreakBefore w:val="0"/>
                    <w:widowControl w:val="0"/>
                    <w:kinsoku/>
                    <w:wordWrap/>
                    <w:overflowPunct/>
                    <w:topLinePunct w:val="0"/>
                    <w:autoSpaceDE/>
                    <w:autoSpaceDN/>
                    <w:bidi w:val="0"/>
                    <w:adjustRightInd/>
                    <w:spacing w:line="360" w:lineRule="exact"/>
                    <w:ind w:firstLine="0"/>
                    <w:textAlignment w:val="auto"/>
                  </w:pPr>
                  <w:r>
                    <w:t>4)</w:t>
                  </w:r>
                  <w:r>
                    <w:tab/>
                  </w:r>
                  <w:r>
                    <w:rPr>
                      <w:rFonts w:hint="eastAsia"/>
                    </w:rPr>
                    <w:t>设置样本号格式</w:t>
                  </w:r>
                </w:p>
                <w:p w14:paraId="6A15BEF4">
                  <w:pPr>
                    <w:pStyle w:val="131"/>
                    <w:pageBreakBefore w:val="0"/>
                    <w:widowControl w:val="0"/>
                    <w:kinsoku/>
                    <w:wordWrap/>
                    <w:overflowPunct/>
                    <w:topLinePunct w:val="0"/>
                    <w:autoSpaceDE/>
                    <w:autoSpaceDN/>
                    <w:bidi w:val="0"/>
                    <w:adjustRightInd/>
                    <w:spacing w:line="360" w:lineRule="exact"/>
                    <w:ind w:firstLine="0"/>
                    <w:textAlignment w:val="auto"/>
                  </w:pPr>
                  <w:r>
                    <w:t>5)</w:t>
                  </w:r>
                  <w:r>
                    <w:tab/>
                  </w:r>
                  <w:r>
                    <w:rPr>
                      <w:rFonts w:hint="eastAsia"/>
                    </w:rPr>
                    <w:t>设置规则适用病人类型</w:t>
                  </w:r>
                </w:p>
                <w:p w14:paraId="7252EB2F">
                  <w:pPr>
                    <w:pStyle w:val="131"/>
                    <w:pageBreakBefore w:val="0"/>
                    <w:widowControl w:val="0"/>
                    <w:kinsoku/>
                    <w:wordWrap/>
                    <w:overflowPunct/>
                    <w:topLinePunct w:val="0"/>
                    <w:autoSpaceDE/>
                    <w:autoSpaceDN/>
                    <w:bidi w:val="0"/>
                    <w:adjustRightInd/>
                    <w:spacing w:line="360" w:lineRule="exact"/>
                    <w:ind w:firstLine="0"/>
                    <w:textAlignment w:val="auto"/>
                  </w:pPr>
                  <w:r>
                    <w:t>6)</w:t>
                  </w:r>
                  <w:r>
                    <w:tab/>
                  </w:r>
                  <w:r>
                    <w:rPr>
                      <w:rFonts w:hint="eastAsia"/>
                    </w:rPr>
                    <w:t>设置规则适用急诊类型</w:t>
                  </w:r>
                </w:p>
                <w:p w14:paraId="10395874">
                  <w:pPr>
                    <w:pStyle w:val="131"/>
                    <w:pageBreakBefore w:val="0"/>
                    <w:widowControl w:val="0"/>
                    <w:kinsoku/>
                    <w:wordWrap/>
                    <w:overflowPunct/>
                    <w:topLinePunct w:val="0"/>
                    <w:autoSpaceDE/>
                    <w:autoSpaceDN/>
                    <w:bidi w:val="0"/>
                    <w:adjustRightInd/>
                    <w:spacing w:line="360" w:lineRule="exact"/>
                    <w:ind w:firstLine="0"/>
                    <w:textAlignment w:val="auto"/>
                  </w:pPr>
                  <w:r>
                    <w:t>7)</w:t>
                  </w:r>
                  <w:r>
                    <w:tab/>
                  </w:r>
                  <w:r>
                    <w:rPr>
                      <w:rFonts w:hint="eastAsia"/>
                    </w:rPr>
                    <w:t>设置规则适用标本类型</w:t>
                  </w:r>
                </w:p>
                <w:p w14:paraId="05AC8847">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自动编号使用场景</w:t>
                  </w:r>
                </w:p>
                <w:p w14:paraId="75D0EF62">
                  <w:pPr>
                    <w:pStyle w:val="131"/>
                    <w:pageBreakBefore w:val="0"/>
                    <w:widowControl w:val="0"/>
                    <w:kinsoku/>
                    <w:wordWrap/>
                    <w:overflowPunct/>
                    <w:topLinePunct w:val="0"/>
                    <w:autoSpaceDE/>
                    <w:autoSpaceDN/>
                    <w:bidi w:val="0"/>
                    <w:adjustRightInd/>
                    <w:spacing w:line="360" w:lineRule="exact"/>
                    <w:ind w:firstLine="0"/>
                    <w:textAlignment w:val="auto"/>
                  </w:pPr>
                  <w:r>
                    <w:t>1)</w:t>
                  </w:r>
                  <w:r>
                    <w:tab/>
                  </w:r>
                  <w:r>
                    <w:rPr>
                      <w:rFonts w:hint="eastAsia"/>
                    </w:rPr>
                    <w:t>采血打印完成后根据预设规则自动分配实验室样本号</w:t>
                  </w:r>
                </w:p>
                <w:p w14:paraId="6253BBDE">
                  <w:pPr>
                    <w:pStyle w:val="131"/>
                    <w:pageBreakBefore w:val="0"/>
                    <w:widowControl w:val="0"/>
                    <w:kinsoku/>
                    <w:wordWrap/>
                    <w:overflowPunct/>
                    <w:topLinePunct w:val="0"/>
                    <w:autoSpaceDE/>
                    <w:autoSpaceDN/>
                    <w:bidi w:val="0"/>
                    <w:adjustRightInd/>
                    <w:spacing w:line="360" w:lineRule="exact"/>
                    <w:ind w:firstLine="0"/>
                    <w:textAlignment w:val="auto"/>
                  </w:pPr>
                  <w:r>
                    <w:t>2)</w:t>
                  </w:r>
                  <w:r>
                    <w:tab/>
                  </w:r>
                  <w:r>
                    <w:rPr>
                      <w:rFonts w:hint="eastAsia"/>
                    </w:rPr>
                    <w:t>标本签收后根据预设规则自动分配实验室样本号</w:t>
                  </w:r>
                </w:p>
                <w:p w14:paraId="41F21754">
                  <w:pPr>
                    <w:pStyle w:val="131"/>
                    <w:pageBreakBefore w:val="0"/>
                    <w:widowControl w:val="0"/>
                    <w:kinsoku/>
                    <w:wordWrap/>
                    <w:overflowPunct/>
                    <w:topLinePunct w:val="0"/>
                    <w:autoSpaceDE/>
                    <w:autoSpaceDN/>
                    <w:bidi w:val="0"/>
                    <w:adjustRightInd/>
                    <w:spacing w:line="360" w:lineRule="exact"/>
                    <w:ind w:firstLine="0"/>
                    <w:textAlignment w:val="auto"/>
                  </w:pPr>
                  <w:r>
                    <w:t>3)</w:t>
                  </w:r>
                  <w:r>
                    <w:tab/>
                  </w:r>
                  <w:r>
                    <w:rPr>
                      <w:rFonts w:hint="eastAsia"/>
                    </w:rPr>
                    <w:t>标本上机后根据预设规则自动分配实验室样本号</w:t>
                  </w:r>
                </w:p>
                <w:p w14:paraId="41E31AC9">
                  <w:pPr>
                    <w:pStyle w:val="131"/>
                    <w:pageBreakBefore w:val="0"/>
                    <w:widowControl w:val="0"/>
                    <w:kinsoku/>
                    <w:wordWrap/>
                    <w:overflowPunct/>
                    <w:topLinePunct w:val="0"/>
                    <w:autoSpaceDE/>
                    <w:autoSpaceDN/>
                    <w:bidi w:val="0"/>
                    <w:adjustRightInd/>
                    <w:spacing w:line="360" w:lineRule="exact"/>
                    <w:ind w:firstLine="0"/>
                    <w:textAlignment w:val="auto"/>
                  </w:pPr>
                  <w:r>
                    <w:t>4)</w:t>
                  </w:r>
                  <w:r>
                    <w:tab/>
                  </w:r>
                  <w:r>
                    <w:rPr>
                      <w:rFonts w:hint="eastAsia"/>
                    </w:rPr>
                    <w:t>完成检测后根据预设规则自动分配实验室样本号</w:t>
                  </w:r>
                </w:p>
                <w:p w14:paraId="01761425">
                  <w:pPr>
                    <w:pStyle w:val="131"/>
                    <w:pageBreakBefore w:val="0"/>
                    <w:widowControl w:val="0"/>
                    <w:kinsoku/>
                    <w:wordWrap/>
                    <w:overflowPunct/>
                    <w:topLinePunct w:val="0"/>
                    <w:autoSpaceDE/>
                    <w:autoSpaceDN/>
                    <w:bidi w:val="0"/>
                    <w:adjustRightInd/>
                    <w:spacing w:line="360" w:lineRule="exact"/>
                    <w:ind w:firstLine="0"/>
                    <w:textAlignment w:val="auto"/>
                    <w:rPr>
                      <w:b/>
                      <w:sz w:val="24"/>
                      <w:szCs w:val="24"/>
                    </w:rPr>
                  </w:pPr>
                  <w:r>
                    <w:rPr>
                      <w:b/>
                      <w:sz w:val="24"/>
                      <w:szCs w:val="24"/>
                    </w:rPr>
                    <w:t>4.</w:t>
                  </w:r>
                  <w:r>
                    <w:rPr>
                      <w:rFonts w:hint="eastAsia"/>
                      <w:b/>
                      <w:sz w:val="24"/>
                      <w:szCs w:val="24"/>
                    </w:rPr>
                    <w:t>检验日常管理</w:t>
                  </w:r>
                </w:p>
                <w:p w14:paraId="112FE648">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个性化设置</w:t>
                  </w:r>
                </w:p>
                <w:p w14:paraId="4C22044E">
                  <w:pPr>
                    <w:pStyle w:val="131"/>
                    <w:pageBreakBefore w:val="0"/>
                    <w:widowControl w:val="0"/>
                    <w:kinsoku/>
                    <w:wordWrap/>
                    <w:overflowPunct/>
                    <w:topLinePunct w:val="0"/>
                    <w:autoSpaceDE/>
                    <w:autoSpaceDN/>
                    <w:bidi w:val="0"/>
                    <w:adjustRightInd/>
                    <w:spacing w:line="360" w:lineRule="exact"/>
                    <w:ind w:firstLine="0"/>
                    <w:textAlignment w:val="auto"/>
                  </w:pPr>
                  <w:r>
                    <w:t>1)</w:t>
                  </w:r>
                  <w:r>
                    <w:tab/>
                  </w:r>
                  <w:r>
                    <w:rPr>
                      <w:rFonts w:hint="eastAsia"/>
                    </w:rPr>
                    <w:t>界面分辨率自定义</w:t>
                  </w:r>
                </w:p>
                <w:p w14:paraId="3AFC2FB4">
                  <w:pPr>
                    <w:pStyle w:val="131"/>
                    <w:pageBreakBefore w:val="0"/>
                    <w:widowControl w:val="0"/>
                    <w:kinsoku/>
                    <w:wordWrap/>
                    <w:overflowPunct/>
                    <w:topLinePunct w:val="0"/>
                    <w:autoSpaceDE/>
                    <w:autoSpaceDN/>
                    <w:bidi w:val="0"/>
                    <w:adjustRightInd/>
                    <w:spacing w:line="360" w:lineRule="exact"/>
                    <w:ind w:firstLine="0"/>
                    <w:textAlignment w:val="auto"/>
                  </w:pPr>
                  <w:r>
                    <w:t>2)</w:t>
                  </w:r>
                  <w:r>
                    <w:tab/>
                  </w:r>
                  <w:r>
                    <w:rPr>
                      <w:rFonts w:hint="eastAsia"/>
                    </w:rPr>
                    <w:t>患者信息顺序调整自定义</w:t>
                  </w:r>
                </w:p>
                <w:p w14:paraId="565355CB">
                  <w:pPr>
                    <w:pStyle w:val="131"/>
                    <w:pageBreakBefore w:val="0"/>
                    <w:widowControl w:val="0"/>
                    <w:kinsoku/>
                    <w:wordWrap/>
                    <w:overflowPunct/>
                    <w:topLinePunct w:val="0"/>
                    <w:autoSpaceDE/>
                    <w:autoSpaceDN/>
                    <w:bidi w:val="0"/>
                    <w:adjustRightInd/>
                    <w:spacing w:line="360" w:lineRule="exact"/>
                    <w:ind w:firstLine="0"/>
                    <w:textAlignment w:val="auto"/>
                  </w:pPr>
                  <w:r>
                    <w:t>3)</w:t>
                  </w:r>
                  <w:r>
                    <w:tab/>
                  </w:r>
                  <w:r>
                    <w:rPr>
                      <w:rFonts w:hint="eastAsia"/>
                    </w:rPr>
                    <w:t>结果框显示列调整自定义</w:t>
                  </w:r>
                </w:p>
                <w:p w14:paraId="05FDA916">
                  <w:pPr>
                    <w:pStyle w:val="131"/>
                    <w:pageBreakBefore w:val="0"/>
                    <w:widowControl w:val="0"/>
                    <w:kinsoku/>
                    <w:wordWrap/>
                    <w:overflowPunct/>
                    <w:topLinePunct w:val="0"/>
                    <w:autoSpaceDE/>
                    <w:autoSpaceDN/>
                    <w:bidi w:val="0"/>
                    <w:adjustRightInd/>
                    <w:spacing w:line="360" w:lineRule="exact"/>
                    <w:ind w:firstLine="0"/>
                    <w:textAlignment w:val="auto"/>
                  </w:pPr>
                  <w:r>
                    <w:t>4)</w:t>
                  </w:r>
                  <w:r>
                    <w:tab/>
                  </w:r>
                  <w:r>
                    <w:rPr>
                      <w:rFonts w:hint="eastAsia"/>
                    </w:rPr>
                    <w:t>结果状态颜色自定义</w:t>
                  </w:r>
                </w:p>
                <w:p w14:paraId="781401A9">
                  <w:pPr>
                    <w:pStyle w:val="131"/>
                    <w:pageBreakBefore w:val="0"/>
                    <w:widowControl w:val="0"/>
                    <w:kinsoku/>
                    <w:wordWrap/>
                    <w:overflowPunct/>
                    <w:topLinePunct w:val="0"/>
                    <w:autoSpaceDE/>
                    <w:autoSpaceDN/>
                    <w:bidi w:val="0"/>
                    <w:adjustRightInd/>
                    <w:spacing w:line="360" w:lineRule="exact"/>
                    <w:ind w:firstLine="0"/>
                    <w:textAlignment w:val="auto"/>
                  </w:pPr>
                  <w:r>
                    <w:t>5)</w:t>
                  </w:r>
                  <w:r>
                    <w:tab/>
                  </w:r>
                  <w:r>
                    <w:rPr>
                      <w:rFonts w:hint="eastAsia"/>
                    </w:rPr>
                    <w:t>可以根据报告单元自定义调整</w:t>
                  </w:r>
                </w:p>
                <w:p w14:paraId="4FF99533">
                  <w:pPr>
                    <w:pStyle w:val="131"/>
                    <w:pageBreakBefore w:val="0"/>
                    <w:widowControl w:val="0"/>
                    <w:kinsoku/>
                    <w:wordWrap/>
                    <w:overflowPunct/>
                    <w:topLinePunct w:val="0"/>
                    <w:autoSpaceDE/>
                    <w:autoSpaceDN/>
                    <w:bidi w:val="0"/>
                    <w:adjustRightInd/>
                    <w:spacing w:line="360" w:lineRule="exact"/>
                    <w:ind w:firstLine="0"/>
                    <w:textAlignment w:val="auto"/>
                  </w:pPr>
                  <w:r>
                    <w:t>6)</w:t>
                  </w:r>
                  <w:r>
                    <w:tab/>
                  </w:r>
                  <w:r>
                    <w:rPr>
                      <w:rFonts w:hint="eastAsia"/>
                    </w:rPr>
                    <w:t>自定义右键功能</w:t>
                  </w:r>
                </w:p>
                <w:p w14:paraId="04C7997E">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信息录入</w:t>
                  </w:r>
                </w:p>
                <w:p w14:paraId="124B1476">
                  <w:pPr>
                    <w:pStyle w:val="131"/>
                    <w:pageBreakBefore w:val="0"/>
                    <w:widowControl w:val="0"/>
                    <w:kinsoku/>
                    <w:wordWrap/>
                    <w:overflowPunct/>
                    <w:topLinePunct w:val="0"/>
                    <w:autoSpaceDE/>
                    <w:autoSpaceDN/>
                    <w:bidi w:val="0"/>
                    <w:adjustRightInd/>
                    <w:spacing w:line="360" w:lineRule="exact"/>
                    <w:ind w:firstLine="0"/>
                    <w:textAlignment w:val="auto"/>
                  </w:pPr>
                  <w:r>
                    <w:t>1)</w:t>
                  </w:r>
                  <w:r>
                    <w:tab/>
                  </w:r>
                  <w:r>
                    <w:rPr>
                      <w:rFonts w:hint="eastAsia"/>
                    </w:rPr>
                    <w:t>单个扫描条码核收</w:t>
                  </w:r>
                </w:p>
                <w:p w14:paraId="43504F8A">
                  <w:pPr>
                    <w:pStyle w:val="131"/>
                    <w:pageBreakBefore w:val="0"/>
                    <w:widowControl w:val="0"/>
                    <w:kinsoku/>
                    <w:wordWrap/>
                    <w:overflowPunct/>
                    <w:topLinePunct w:val="0"/>
                    <w:autoSpaceDE/>
                    <w:autoSpaceDN/>
                    <w:bidi w:val="0"/>
                    <w:adjustRightInd/>
                    <w:spacing w:line="360" w:lineRule="exact"/>
                    <w:ind w:firstLine="0"/>
                    <w:textAlignment w:val="auto"/>
                  </w:pPr>
                  <w:r>
                    <w:t>2)</w:t>
                  </w:r>
                  <w:r>
                    <w:tab/>
                  </w:r>
                  <w:r>
                    <w:rPr>
                      <w:rFonts w:hint="eastAsia"/>
                    </w:rPr>
                    <w:t>批量扫描条码核收</w:t>
                  </w:r>
                </w:p>
                <w:p w14:paraId="75FCED57">
                  <w:pPr>
                    <w:pStyle w:val="131"/>
                    <w:pageBreakBefore w:val="0"/>
                    <w:widowControl w:val="0"/>
                    <w:kinsoku/>
                    <w:wordWrap/>
                    <w:overflowPunct/>
                    <w:topLinePunct w:val="0"/>
                    <w:autoSpaceDE/>
                    <w:autoSpaceDN/>
                    <w:bidi w:val="0"/>
                    <w:adjustRightInd/>
                    <w:spacing w:line="360" w:lineRule="exact"/>
                    <w:ind w:firstLine="0"/>
                    <w:textAlignment w:val="auto"/>
                  </w:pPr>
                  <w:r>
                    <w:t>3)</w:t>
                  </w:r>
                  <w:r>
                    <w:tab/>
                  </w:r>
                  <w:r>
                    <w:rPr>
                      <w:rFonts w:hint="eastAsia"/>
                    </w:rPr>
                    <w:t>自动获取采血自动编号样本信息</w:t>
                  </w:r>
                </w:p>
                <w:p w14:paraId="3BE105B4">
                  <w:pPr>
                    <w:pStyle w:val="131"/>
                    <w:pageBreakBefore w:val="0"/>
                    <w:widowControl w:val="0"/>
                    <w:kinsoku/>
                    <w:wordWrap/>
                    <w:overflowPunct/>
                    <w:topLinePunct w:val="0"/>
                    <w:autoSpaceDE/>
                    <w:autoSpaceDN/>
                    <w:bidi w:val="0"/>
                    <w:adjustRightInd/>
                    <w:spacing w:line="360" w:lineRule="exact"/>
                    <w:ind w:firstLine="0"/>
                    <w:textAlignment w:val="auto"/>
                  </w:pPr>
                  <w:r>
                    <w:t>4)</w:t>
                  </w:r>
                  <w:r>
                    <w:tab/>
                  </w:r>
                  <w:r>
                    <w:rPr>
                      <w:rFonts w:hint="eastAsia"/>
                    </w:rPr>
                    <w:t>核收按照自动编号规则编号</w:t>
                  </w:r>
                </w:p>
                <w:p w14:paraId="7D107CB5">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数据处理功能</w:t>
                  </w:r>
                </w:p>
                <w:p w14:paraId="0857E758">
                  <w:pPr>
                    <w:pStyle w:val="131"/>
                    <w:pageBreakBefore w:val="0"/>
                    <w:widowControl w:val="0"/>
                    <w:kinsoku/>
                    <w:wordWrap/>
                    <w:overflowPunct/>
                    <w:topLinePunct w:val="0"/>
                    <w:autoSpaceDE/>
                    <w:autoSpaceDN/>
                    <w:bidi w:val="0"/>
                    <w:adjustRightInd/>
                    <w:spacing w:line="360" w:lineRule="exact"/>
                    <w:ind w:firstLine="0"/>
                    <w:textAlignment w:val="auto"/>
                  </w:pPr>
                  <w:r>
                    <w:t>1)</w:t>
                  </w:r>
                  <w:r>
                    <w:tab/>
                  </w:r>
                  <w:r>
                    <w:rPr>
                      <w:rFonts w:hint="eastAsia"/>
                    </w:rPr>
                    <w:t>所有操作都有日志记录</w:t>
                  </w:r>
                </w:p>
                <w:p w14:paraId="536246D5">
                  <w:pPr>
                    <w:pStyle w:val="131"/>
                    <w:pageBreakBefore w:val="0"/>
                    <w:widowControl w:val="0"/>
                    <w:kinsoku/>
                    <w:wordWrap/>
                    <w:overflowPunct/>
                    <w:topLinePunct w:val="0"/>
                    <w:autoSpaceDE/>
                    <w:autoSpaceDN/>
                    <w:bidi w:val="0"/>
                    <w:adjustRightInd/>
                    <w:spacing w:line="360" w:lineRule="exact"/>
                    <w:ind w:firstLine="0"/>
                    <w:textAlignment w:val="auto"/>
                  </w:pPr>
                  <w:r>
                    <w:t>2)</w:t>
                  </w:r>
                  <w:r>
                    <w:tab/>
                  </w:r>
                  <w:r>
                    <w:rPr>
                      <w:rFonts w:hint="eastAsia"/>
                    </w:rPr>
                    <w:t>支持对报告的项目数据进行批量校正，可对指定项目，通过普通公式或特殊公式来校正数据结果；</w:t>
                  </w:r>
                </w:p>
                <w:p w14:paraId="5A9CB073">
                  <w:pPr>
                    <w:pStyle w:val="131"/>
                    <w:pageBreakBefore w:val="0"/>
                    <w:widowControl w:val="0"/>
                    <w:kinsoku/>
                    <w:wordWrap/>
                    <w:overflowPunct/>
                    <w:topLinePunct w:val="0"/>
                    <w:autoSpaceDE/>
                    <w:autoSpaceDN/>
                    <w:bidi w:val="0"/>
                    <w:adjustRightInd/>
                    <w:spacing w:line="360" w:lineRule="exact"/>
                    <w:ind w:firstLine="0"/>
                    <w:textAlignment w:val="auto"/>
                  </w:pPr>
                  <w:r>
                    <w:t>3)</w:t>
                  </w:r>
                  <w:r>
                    <w:tab/>
                  </w:r>
                  <w:r>
                    <w:rPr>
                      <w:rFonts w:hint="eastAsia"/>
                    </w:rPr>
                    <w:t>方便的数据增加、删除、修改操作；</w:t>
                  </w:r>
                </w:p>
                <w:p w14:paraId="19BA0E4B">
                  <w:pPr>
                    <w:pStyle w:val="131"/>
                    <w:pageBreakBefore w:val="0"/>
                    <w:widowControl w:val="0"/>
                    <w:kinsoku/>
                    <w:wordWrap/>
                    <w:overflowPunct/>
                    <w:topLinePunct w:val="0"/>
                    <w:autoSpaceDE/>
                    <w:autoSpaceDN/>
                    <w:bidi w:val="0"/>
                    <w:adjustRightInd/>
                    <w:spacing w:line="360" w:lineRule="exact"/>
                    <w:ind w:firstLine="0"/>
                    <w:textAlignment w:val="auto"/>
                  </w:pPr>
                  <w:r>
                    <w:t>4)</w:t>
                  </w:r>
                  <w:r>
                    <w:tab/>
                  </w:r>
                  <w:r>
                    <w:rPr>
                      <w:rFonts w:hint="eastAsia"/>
                    </w:rPr>
                    <w:t>支持单个项目增加</w:t>
                  </w:r>
                </w:p>
                <w:p w14:paraId="4A6B7621">
                  <w:pPr>
                    <w:pStyle w:val="131"/>
                    <w:pageBreakBefore w:val="0"/>
                    <w:widowControl w:val="0"/>
                    <w:kinsoku/>
                    <w:wordWrap/>
                    <w:overflowPunct/>
                    <w:topLinePunct w:val="0"/>
                    <w:autoSpaceDE/>
                    <w:autoSpaceDN/>
                    <w:bidi w:val="0"/>
                    <w:adjustRightInd/>
                    <w:spacing w:line="360" w:lineRule="exact"/>
                    <w:ind w:firstLine="0"/>
                    <w:textAlignment w:val="auto"/>
                  </w:pPr>
                  <w:r>
                    <w:t>5)</w:t>
                  </w:r>
                  <w:r>
                    <w:tab/>
                  </w:r>
                  <w:r>
                    <w:rPr>
                      <w:rFonts w:hint="eastAsia"/>
                    </w:rPr>
                    <w:t>支持批输入项目模板</w:t>
                  </w:r>
                </w:p>
                <w:p w14:paraId="4E654524">
                  <w:pPr>
                    <w:pStyle w:val="131"/>
                    <w:pageBreakBefore w:val="0"/>
                    <w:widowControl w:val="0"/>
                    <w:kinsoku/>
                    <w:wordWrap/>
                    <w:overflowPunct/>
                    <w:topLinePunct w:val="0"/>
                    <w:autoSpaceDE/>
                    <w:autoSpaceDN/>
                    <w:bidi w:val="0"/>
                    <w:adjustRightInd/>
                    <w:spacing w:line="360" w:lineRule="exact"/>
                    <w:ind w:firstLine="0"/>
                    <w:textAlignment w:val="auto"/>
                  </w:pPr>
                  <w:r>
                    <w:t>6)</w:t>
                  </w:r>
                  <w:r>
                    <w:tab/>
                  </w:r>
                  <w:r>
                    <w:rPr>
                      <w:rFonts w:hint="eastAsia"/>
                    </w:rPr>
                    <w:t>支持条码重打</w:t>
                  </w:r>
                </w:p>
                <w:p w14:paraId="16A58E3B">
                  <w:pPr>
                    <w:pStyle w:val="131"/>
                    <w:pageBreakBefore w:val="0"/>
                    <w:widowControl w:val="0"/>
                    <w:kinsoku/>
                    <w:wordWrap/>
                    <w:overflowPunct/>
                    <w:topLinePunct w:val="0"/>
                    <w:autoSpaceDE/>
                    <w:autoSpaceDN/>
                    <w:bidi w:val="0"/>
                    <w:adjustRightInd/>
                    <w:spacing w:line="360" w:lineRule="exact"/>
                    <w:ind w:firstLine="0"/>
                    <w:textAlignment w:val="auto"/>
                  </w:pPr>
                  <w:r>
                    <w:t>7)</w:t>
                  </w:r>
                  <w:r>
                    <w:tab/>
                  </w:r>
                  <w:r>
                    <w:rPr>
                      <w:rFonts w:hint="eastAsia"/>
                    </w:rPr>
                    <w:t>多种形式的结果自动合并功能；</w:t>
                  </w:r>
                </w:p>
                <w:p w14:paraId="7A65BE33">
                  <w:pPr>
                    <w:pStyle w:val="131"/>
                    <w:pageBreakBefore w:val="0"/>
                    <w:widowControl w:val="0"/>
                    <w:kinsoku/>
                    <w:wordWrap/>
                    <w:overflowPunct/>
                    <w:topLinePunct w:val="0"/>
                    <w:autoSpaceDE/>
                    <w:autoSpaceDN/>
                    <w:bidi w:val="0"/>
                    <w:adjustRightInd/>
                    <w:spacing w:line="360" w:lineRule="exact"/>
                    <w:ind w:firstLine="0"/>
                    <w:textAlignment w:val="auto"/>
                  </w:pPr>
                  <w:r>
                    <w:t>8)</w:t>
                  </w:r>
                  <w:r>
                    <w:tab/>
                  </w:r>
                  <w:r>
                    <w:rPr>
                      <w:rFonts w:hint="eastAsia"/>
                    </w:rPr>
                    <w:t>自动复查标本处理功能，能记录多次复查结果</w:t>
                  </w:r>
                </w:p>
                <w:p w14:paraId="57FE1EE6">
                  <w:pPr>
                    <w:pStyle w:val="131"/>
                    <w:pageBreakBefore w:val="0"/>
                    <w:widowControl w:val="0"/>
                    <w:kinsoku/>
                    <w:wordWrap/>
                    <w:overflowPunct/>
                    <w:topLinePunct w:val="0"/>
                    <w:autoSpaceDE/>
                    <w:autoSpaceDN/>
                    <w:bidi w:val="0"/>
                    <w:adjustRightInd/>
                    <w:spacing w:line="360" w:lineRule="exact"/>
                    <w:ind w:firstLine="0"/>
                    <w:textAlignment w:val="auto"/>
                  </w:pPr>
                  <w:r>
                    <w:t>9)</w:t>
                  </w:r>
                  <w:r>
                    <w:tab/>
                  </w:r>
                  <w:r>
                    <w:rPr>
                      <w:rFonts w:hint="eastAsia"/>
                    </w:rPr>
                    <w:t>手工复查标记，输入复查结果</w:t>
                  </w:r>
                </w:p>
                <w:p w14:paraId="688733A2">
                  <w:pPr>
                    <w:pStyle w:val="131"/>
                    <w:pageBreakBefore w:val="0"/>
                    <w:widowControl w:val="0"/>
                    <w:kinsoku/>
                    <w:wordWrap/>
                    <w:overflowPunct/>
                    <w:topLinePunct w:val="0"/>
                    <w:autoSpaceDE/>
                    <w:autoSpaceDN/>
                    <w:bidi w:val="0"/>
                    <w:adjustRightInd/>
                    <w:spacing w:line="360" w:lineRule="exact"/>
                    <w:ind w:firstLine="0"/>
                    <w:textAlignment w:val="auto"/>
                  </w:pPr>
                  <w:r>
                    <w:t>10)</w:t>
                  </w:r>
                  <w:r>
                    <w:tab/>
                  </w:r>
                  <w:r>
                    <w:rPr>
                      <w:rFonts w:hint="eastAsia"/>
                    </w:rPr>
                    <w:t>手工费用补给</w:t>
                  </w:r>
                </w:p>
                <w:p w14:paraId="5E853D57">
                  <w:pPr>
                    <w:pStyle w:val="131"/>
                    <w:pageBreakBefore w:val="0"/>
                    <w:widowControl w:val="0"/>
                    <w:kinsoku/>
                    <w:wordWrap/>
                    <w:overflowPunct/>
                    <w:topLinePunct w:val="0"/>
                    <w:autoSpaceDE/>
                    <w:autoSpaceDN/>
                    <w:bidi w:val="0"/>
                    <w:adjustRightInd/>
                    <w:spacing w:line="360" w:lineRule="exact"/>
                    <w:ind w:firstLine="0"/>
                    <w:textAlignment w:val="auto"/>
                  </w:pPr>
                  <w:r>
                    <w:t>11)</w:t>
                  </w:r>
                  <w:r>
                    <w:tab/>
                  </w:r>
                  <w:r>
                    <w:rPr>
                      <w:rFonts w:hint="eastAsia"/>
                    </w:rPr>
                    <w:t>支持手工镜检功能；</w:t>
                  </w:r>
                </w:p>
                <w:p w14:paraId="6EF73FAF">
                  <w:pPr>
                    <w:pStyle w:val="131"/>
                    <w:pageBreakBefore w:val="0"/>
                    <w:widowControl w:val="0"/>
                    <w:kinsoku/>
                    <w:wordWrap/>
                    <w:overflowPunct/>
                    <w:topLinePunct w:val="0"/>
                    <w:autoSpaceDE/>
                    <w:autoSpaceDN/>
                    <w:bidi w:val="0"/>
                    <w:adjustRightInd/>
                    <w:spacing w:line="360" w:lineRule="exact"/>
                    <w:ind w:firstLine="0"/>
                    <w:textAlignment w:val="auto"/>
                  </w:pPr>
                  <w:r>
                    <w:t>12)</w:t>
                  </w:r>
                  <w:r>
                    <w:tab/>
                  </w:r>
                  <w:r>
                    <w:rPr>
                      <w:rFonts w:hint="eastAsia"/>
                    </w:rPr>
                    <w:t>支持单个、批量报告打印</w:t>
                  </w:r>
                </w:p>
                <w:p w14:paraId="142C12B9">
                  <w:pPr>
                    <w:pStyle w:val="131"/>
                    <w:pageBreakBefore w:val="0"/>
                    <w:widowControl w:val="0"/>
                    <w:kinsoku/>
                    <w:wordWrap/>
                    <w:overflowPunct/>
                    <w:topLinePunct w:val="0"/>
                    <w:autoSpaceDE/>
                    <w:autoSpaceDN/>
                    <w:bidi w:val="0"/>
                    <w:adjustRightInd/>
                    <w:spacing w:line="360" w:lineRule="exact"/>
                    <w:ind w:firstLine="0"/>
                    <w:textAlignment w:val="auto"/>
                  </w:pPr>
                  <w:r>
                    <w:t>13)</w:t>
                  </w:r>
                  <w:r>
                    <w:tab/>
                  </w:r>
                  <w:r>
                    <w:rPr>
                      <w:rFonts w:hint="eastAsia"/>
                    </w:rPr>
                    <w:t>支持单个、批量标本审核</w:t>
                  </w:r>
                </w:p>
                <w:p w14:paraId="246DB461">
                  <w:pPr>
                    <w:pStyle w:val="131"/>
                    <w:pageBreakBefore w:val="0"/>
                    <w:widowControl w:val="0"/>
                    <w:kinsoku/>
                    <w:wordWrap/>
                    <w:overflowPunct/>
                    <w:topLinePunct w:val="0"/>
                    <w:autoSpaceDE/>
                    <w:autoSpaceDN/>
                    <w:bidi w:val="0"/>
                    <w:adjustRightInd/>
                    <w:spacing w:line="360" w:lineRule="exact"/>
                    <w:ind w:firstLine="0"/>
                    <w:textAlignment w:val="auto"/>
                  </w:pPr>
                  <w:r>
                    <w:t>14)</w:t>
                  </w:r>
                  <w:r>
                    <w:tab/>
                  </w:r>
                  <w:r>
                    <w:rPr>
                      <w:rFonts w:hint="eastAsia"/>
                    </w:rPr>
                    <w:t>支持报告解除审核</w:t>
                  </w:r>
                </w:p>
                <w:p w14:paraId="201D6ACA">
                  <w:pPr>
                    <w:pStyle w:val="131"/>
                    <w:pageBreakBefore w:val="0"/>
                    <w:widowControl w:val="0"/>
                    <w:kinsoku/>
                    <w:wordWrap/>
                    <w:overflowPunct/>
                    <w:topLinePunct w:val="0"/>
                    <w:autoSpaceDE/>
                    <w:autoSpaceDN/>
                    <w:bidi w:val="0"/>
                    <w:adjustRightInd/>
                    <w:spacing w:line="360" w:lineRule="exact"/>
                    <w:ind w:firstLine="0"/>
                    <w:textAlignment w:val="auto"/>
                  </w:pPr>
                  <w:r>
                    <w:t>15)</w:t>
                  </w:r>
                  <w:r>
                    <w:tab/>
                  </w:r>
                  <w:r>
                    <w:rPr>
                      <w:rFonts w:hint="eastAsia"/>
                    </w:rPr>
                    <w:t>支持标本合并</w:t>
                  </w:r>
                </w:p>
                <w:p w14:paraId="401362AB">
                  <w:pPr>
                    <w:pStyle w:val="131"/>
                    <w:pageBreakBefore w:val="0"/>
                    <w:widowControl w:val="0"/>
                    <w:kinsoku/>
                    <w:wordWrap/>
                    <w:overflowPunct/>
                    <w:topLinePunct w:val="0"/>
                    <w:autoSpaceDE/>
                    <w:autoSpaceDN/>
                    <w:bidi w:val="0"/>
                    <w:adjustRightInd/>
                    <w:spacing w:line="360" w:lineRule="exact"/>
                    <w:ind w:firstLine="0"/>
                    <w:textAlignment w:val="auto"/>
                  </w:pPr>
                  <w:r>
                    <w:t>16)</w:t>
                  </w:r>
                  <w:r>
                    <w:tab/>
                  </w:r>
                  <w:r>
                    <w:rPr>
                      <w:rFonts w:hint="eastAsia"/>
                    </w:rPr>
                    <w:t>支持标本审核、报告审核以及结果审核；</w:t>
                  </w:r>
                </w:p>
                <w:p w14:paraId="372A71C3">
                  <w:pPr>
                    <w:pStyle w:val="131"/>
                    <w:pageBreakBefore w:val="0"/>
                    <w:widowControl w:val="0"/>
                    <w:kinsoku/>
                    <w:wordWrap/>
                    <w:overflowPunct/>
                    <w:topLinePunct w:val="0"/>
                    <w:autoSpaceDE/>
                    <w:autoSpaceDN/>
                    <w:bidi w:val="0"/>
                    <w:adjustRightInd/>
                    <w:spacing w:line="360" w:lineRule="exact"/>
                    <w:ind w:firstLine="0"/>
                    <w:textAlignment w:val="auto"/>
                  </w:pPr>
                  <w:r>
                    <w:t>17)</w:t>
                  </w:r>
                  <w:r>
                    <w:tab/>
                  </w:r>
                  <w:r>
                    <w:rPr>
                      <w:rFonts w:hint="eastAsia"/>
                    </w:rPr>
                    <w:t>支持填写报告备注</w:t>
                  </w:r>
                </w:p>
                <w:p w14:paraId="7B18EE2C">
                  <w:pPr>
                    <w:pStyle w:val="131"/>
                    <w:pageBreakBefore w:val="0"/>
                    <w:widowControl w:val="0"/>
                    <w:kinsoku/>
                    <w:wordWrap/>
                    <w:overflowPunct/>
                    <w:topLinePunct w:val="0"/>
                    <w:autoSpaceDE/>
                    <w:autoSpaceDN/>
                    <w:bidi w:val="0"/>
                    <w:adjustRightInd/>
                    <w:spacing w:line="360" w:lineRule="exact"/>
                    <w:ind w:firstLine="0"/>
                    <w:textAlignment w:val="auto"/>
                  </w:pPr>
                  <w:r>
                    <w:t>18)</w:t>
                  </w:r>
                  <w:r>
                    <w:tab/>
                  </w:r>
                  <w:r>
                    <w:rPr>
                      <w:rFonts w:hint="eastAsia"/>
                    </w:rPr>
                    <w:t>支持填写实验室意见</w:t>
                  </w:r>
                </w:p>
                <w:p w14:paraId="596189AD">
                  <w:pPr>
                    <w:pStyle w:val="131"/>
                    <w:pageBreakBefore w:val="0"/>
                    <w:widowControl w:val="0"/>
                    <w:kinsoku/>
                    <w:wordWrap/>
                    <w:overflowPunct/>
                    <w:topLinePunct w:val="0"/>
                    <w:autoSpaceDE/>
                    <w:autoSpaceDN/>
                    <w:bidi w:val="0"/>
                    <w:adjustRightInd/>
                    <w:spacing w:line="360" w:lineRule="exact"/>
                    <w:ind w:firstLine="0"/>
                    <w:textAlignment w:val="auto"/>
                  </w:pPr>
                  <w:r>
                    <w:t>19)</w:t>
                  </w:r>
                  <w:r>
                    <w:tab/>
                  </w:r>
                  <w:r>
                    <w:rPr>
                      <w:rFonts w:hint="eastAsia"/>
                    </w:rPr>
                    <w:t>支持报告</w:t>
                  </w:r>
                  <w:r>
                    <w:t xml:space="preserve"> TAT </w:t>
                  </w:r>
                  <w:r>
                    <w:rPr>
                      <w:rFonts w:hint="eastAsia"/>
                    </w:rPr>
                    <w:t>超时报警；</w:t>
                  </w:r>
                </w:p>
                <w:p w14:paraId="41278465">
                  <w:pPr>
                    <w:pStyle w:val="131"/>
                    <w:pageBreakBefore w:val="0"/>
                    <w:widowControl w:val="0"/>
                    <w:kinsoku/>
                    <w:wordWrap/>
                    <w:overflowPunct/>
                    <w:topLinePunct w:val="0"/>
                    <w:autoSpaceDE/>
                    <w:autoSpaceDN/>
                    <w:bidi w:val="0"/>
                    <w:adjustRightInd/>
                    <w:spacing w:line="360" w:lineRule="exact"/>
                    <w:ind w:firstLine="0"/>
                    <w:textAlignment w:val="auto"/>
                  </w:pPr>
                  <w:r>
                    <w:t>20)</w:t>
                  </w:r>
                  <w:r>
                    <w:tab/>
                  </w:r>
                  <w:r>
                    <w:rPr>
                      <w:rFonts w:hint="eastAsia"/>
                    </w:rPr>
                    <w:t>支持急诊、危机值结果自动报警；</w:t>
                  </w:r>
                </w:p>
                <w:p w14:paraId="26B6C55B">
                  <w:pPr>
                    <w:pStyle w:val="131"/>
                    <w:pageBreakBefore w:val="0"/>
                    <w:widowControl w:val="0"/>
                    <w:kinsoku/>
                    <w:wordWrap/>
                    <w:overflowPunct/>
                    <w:topLinePunct w:val="0"/>
                    <w:autoSpaceDE/>
                    <w:autoSpaceDN/>
                    <w:bidi w:val="0"/>
                    <w:adjustRightInd/>
                    <w:spacing w:line="360" w:lineRule="exact"/>
                    <w:ind w:firstLine="0"/>
                    <w:textAlignment w:val="auto"/>
                  </w:pPr>
                  <w:r>
                    <w:t>21)</w:t>
                  </w:r>
                  <w:r>
                    <w:tab/>
                  </w:r>
                  <w:r>
                    <w:rPr>
                      <w:rFonts w:hint="eastAsia"/>
                    </w:rPr>
                    <w:t>能进行不同日期的检验结果处理；</w:t>
                  </w:r>
                </w:p>
                <w:p w14:paraId="7C9B7DDD">
                  <w:pPr>
                    <w:pStyle w:val="131"/>
                    <w:pageBreakBefore w:val="0"/>
                    <w:widowControl w:val="0"/>
                    <w:kinsoku/>
                    <w:wordWrap/>
                    <w:overflowPunct/>
                    <w:topLinePunct w:val="0"/>
                    <w:autoSpaceDE/>
                    <w:autoSpaceDN/>
                    <w:bidi w:val="0"/>
                    <w:adjustRightInd/>
                    <w:spacing w:line="360" w:lineRule="exact"/>
                    <w:ind w:firstLine="0"/>
                    <w:textAlignment w:val="auto"/>
                  </w:pPr>
                  <w:r>
                    <w:t>22)</w:t>
                  </w:r>
                  <w:r>
                    <w:tab/>
                  </w:r>
                  <w:r>
                    <w:rPr>
                      <w:rFonts w:hint="eastAsia"/>
                    </w:rPr>
                    <w:t>支持电子签名系统对接</w:t>
                  </w:r>
                </w:p>
                <w:p w14:paraId="26692B78">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特殊功能</w:t>
                  </w:r>
                </w:p>
                <w:p w14:paraId="7EBE45A8">
                  <w:pPr>
                    <w:pStyle w:val="131"/>
                    <w:pageBreakBefore w:val="0"/>
                    <w:widowControl w:val="0"/>
                    <w:kinsoku/>
                    <w:wordWrap/>
                    <w:overflowPunct/>
                    <w:topLinePunct w:val="0"/>
                    <w:autoSpaceDE/>
                    <w:autoSpaceDN/>
                    <w:bidi w:val="0"/>
                    <w:adjustRightInd/>
                    <w:spacing w:line="360" w:lineRule="exact"/>
                    <w:ind w:firstLine="0"/>
                    <w:textAlignment w:val="auto"/>
                  </w:pPr>
                  <w:r>
                    <w:t>1)</w:t>
                  </w:r>
                  <w:r>
                    <w:tab/>
                  </w:r>
                  <w:r>
                    <w:rPr>
                      <w:rFonts w:hint="eastAsia"/>
                    </w:rPr>
                    <w:t>支持查看电子病历</w:t>
                  </w:r>
                </w:p>
                <w:p w14:paraId="2CB7EB96">
                  <w:pPr>
                    <w:pStyle w:val="131"/>
                    <w:pageBreakBefore w:val="0"/>
                    <w:widowControl w:val="0"/>
                    <w:kinsoku/>
                    <w:wordWrap/>
                    <w:overflowPunct/>
                    <w:topLinePunct w:val="0"/>
                    <w:autoSpaceDE/>
                    <w:autoSpaceDN/>
                    <w:bidi w:val="0"/>
                    <w:adjustRightInd/>
                    <w:spacing w:line="360" w:lineRule="exact"/>
                    <w:ind w:firstLine="0"/>
                    <w:textAlignment w:val="auto"/>
                  </w:pPr>
                  <w:r>
                    <w:t>2)</w:t>
                  </w:r>
                  <w:r>
                    <w:tab/>
                  </w:r>
                  <w:r>
                    <w:rPr>
                      <w:rFonts w:hint="eastAsia"/>
                    </w:rPr>
                    <w:t>支持病人信息加密</w:t>
                  </w:r>
                </w:p>
                <w:p w14:paraId="021EAB90">
                  <w:pPr>
                    <w:pStyle w:val="131"/>
                    <w:pageBreakBefore w:val="0"/>
                    <w:widowControl w:val="0"/>
                    <w:kinsoku/>
                    <w:wordWrap/>
                    <w:overflowPunct/>
                    <w:topLinePunct w:val="0"/>
                    <w:autoSpaceDE/>
                    <w:autoSpaceDN/>
                    <w:bidi w:val="0"/>
                    <w:adjustRightInd/>
                    <w:spacing w:line="360" w:lineRule="exact"/>
                    <w:ind w:firstLine="0"/>
                    <w:textAlignment w:val="auto"/>
                  </w:pPr>
                  <w:r>
                    <w:t>3)</w:t>
                  </w:r>
                  <w:r>
                    <w:tab/>
                  </w:r>
                  <w:r>
                    <w:rPr>
                      <w:rFonts w:hint="eastAsia"/>
                    </w:rPr>
                    <w:t>支持图像窗口悬浮</w:t>
                  </w:r>
                </w:p>
                <w:p w14:paraId="430437D7">
                  <w:pPr>
                    <w:pStyle w:val="131"/>
                    <w:pageBreakBefore w:val="0"/>
                    <w:widowControl w:val="0"/>
                    <w:kinsoku/>
                    <w:wordWrap/>
                    <w:overflowPunct/>
                    <w:topLinePunct w:val="0"/>
                    <w:autoSpaceDE/>
                    <w:autoSpaceDN/>
                    <w:bidi w:val="0"/>
                    <w:adjustRightInd/>
                    <w:spacing w:line="360" w:lineRule="exact"/>
                    <w:ind w:firstLine="0"/>
                    <w:textAlignment w:val="auto"/>
                  </w:pPr>
                  <w:r>
                    <w:t>4)</w:t>
                  </w:r>
                  <w:r>
                    <w:tab/>
                  </w:r>
                  <w:r>
                    <w:rPr>
                      <w:rFonts w:hint="eastAsia"/>
                    </w:rPr>
                    <w:t>集成检验知识库内容</w:t>
                  </w:r>
                </w:p>
                <w:p w14:paraId="74695987">
                  <w:pPr>
                    <w:pStyle w:val="131"/>
                    <w:pageBreakBefore w:val="0"/>
                    <w:widowControl w:val="0"/>
                    <w:kinsoku/>
                    <w:wordWrap/>
                    <w:overflowPunct/>
                    <w:topLinePunct w:val="0"/>
                    <w:autoSpaceDE/>
                    <w:autoSpaceDN/>
                    <w:bidi w:val="0"/>
                    <w:adjustRightInd/>
                    <w:spacing w:line="360" w:lineRule="exact"/>
                    <w:ind w:firstLine="0"/>
                    <w:textAlignment w:val="auto"/>
                    <w:rPr>
                      <w:b/>
                      <w:sz w:val="24"/>
                      <w:szCs w:val="24"/>
                    </w:rPr>
                  </w:pPr>
                  <w:r>
                    <w:rPr>
                      <w:b/>
                      <w:sz w:val="24"/>
                      <w:szCs w:val="24"/>
                    </w:rPr>
                    <w:t>5.</w:t>
                  </w:r>
                  <w:r>
                    <w:rPr>
                      <w:rFonts w:hint="eastAsia"/>
                      <w:b/>
                      <w:sz w:val="24"/>
                      <w:szCs w:val="24"/>
                    </w:rPr>
                    <w:t>图文报告</w:t>
                  </w:r>
                </w:p>
                <w:p w14:paraId="3781E7AD">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图像采集</w:t>
                  </w:r>
                </w:p>
                <w:p w14:paraId="6374B83A">
                  <w:pPr>
                    <w:pStyle w:val="131"/>
                    <w:pageBreakBefore w:val="0"/>
                    <w:widowControl w:val="0"/>
                    <w:kinsoku/>
                    <w:wordWrap/>
                    <w:overflowPunct/>
                    <w:topLinePunct w:val="0"/>
                    <w:autoSpaceDE/>
                    <w:autoSpaceDN/>
                    <w:bidi w:val="0"/>
                    <w:adjustRightInd/>
                    <w:spacing w:line="360" w:lineRule="exact"/>
                    <w:ind w:firstLine="0"/>
                    <w:textAlignment w:val="auto"/>
                  </w:pPr>
                  <w:r>
                    <w:t>1)</w:t>
                  </w:r>
                  <w:r>
                    <w:tab/>
                  </w:r>
                  <w:r>
                    <w:rPr>
                      <w:rFonts w:hint="eastAsia"/>
                    </w:rPr>
                    <w:t>显微镜图像采集：通过集成显微镜摄像头直接进行图像采集，形成图文报告</w:t>
                  </w:r>
                </w:p>
                <w:p w14:paraId="770EB8E5">
                  <w:pPr>
                    <w:pStyle w:val="131"/>
                    <w:pageBreakBefore w:val="0"/>
                    <w:widowControl w:val="0"/>
                    <w:kinsoku/>
                    <w:wordWrap/>
                    <w:overflowPunct/>
                    <w:topLinePunct w:val="0"/>
                    <w:autoSpaceDE/>
                    <w:autoSpaceDN/>
                    <w:bidi w:val="0"/>
                    <w:adjustRightInd/>
                    <w:spacing w:line="360" w:lineRule="exact"/>
                    <w:ind w:firstLine="0"/>
                    <w:textAlignment w:val="auto"/>
                  </w:pPr>
                  <w:r>
                    <w:t>2)</w:t>
                  </w:r>
                  <w:r>
                    <w:tab/>
                  </w:r>
                  <w:r>
                    <w:rPr>
                      <w:rFonts w:hint="eastAsia"/>
                    </w:rPr>
                    <w:t>自动读取第三方图片：通过接口自动读取第三方系统的图片，形成图文报告</w:t>
                  </w:r>
                </w:p>
                <w:p w14:paraId="5E01D897">
                  <w:pPr>
                    <w:pStyle w:val="131"/>
                    <w:pageBreakBefore w:val="0"/>
                    <w:widowControl w:val="0"/>
                    <w:kinsoku/>
                    <w:wordWrap/>
                    <w:overflowPunct/>
                    <w:topLinePunct w:val="0"/>
                    <w:autoSpaceDE/>
                    <w:autoSpaceDN/>
                    <w:bidi w:val="0"/>
                    <w:adjustRightInd/>
                    <w:spacing w:line="360" w:lineRule="exact"/>
                    <w:ind w:firstLine="0"/>
                    <w:textAlignment w:val="auto"/>
                  </w:pPr>
                  <w:r>
                    <w:t>3)</w:t>
                  </w:r>
                  <w:r>
                    <w:tab/>
                  </w:r>
                  <w:r>
                    <w:rPr>
                      <w:rFonts w:hint="eastAsia"/>
                    </w:rPr>
                    <w:t>手工导入：可以手工选择已经形成的图片，导入到</w:t>
                  </w:r>
                  <w:r>
                    <w:t>LIS</w:t>
                  </w:r>
                  <w:r>
                    <w:rPr>
                      <w:rFonts w:hint="eastAsia"/>
                    </w:rPr>
                    <w:t>系统中形成图文报告</w:t>
                  </w:r>
                </w:p>
                <w:p w14:paraId="7E1C9E8E">
                  <w:pPr>
                    <w:pStyle w:val="131"/>
                    <w:pageBreakBefore w:val="0"/>
                    <w:widowControl w:val="0"/>
                    <w:kinsoku/>
                    <w:wordWrap/>
                    <w:overflowPunct/>
                    <w:topLinePunct w:val="0"/>
                    <w:autoSpaceDE/>
                    <w:autoSpaceDN/>
                    <w:bidi w:val="0"/>
                    <w:adjustRightInd/>
                    <w:spacing w:line="360" w:lineRule="exact"/>
                    <w:ind w:firstLine="0"/>
                    <w:textAlignment w:val="auto"/>
                  </w:pPr>
                  <w:r>
                    <w:t>4)</w:t>
                  </w:r>
                  <w:r>
                    <w:tab/>
                  </w:r>
                  <w:r>
                    <w:rPr>
                      <w:rFonts w:hint="eastAsia"/>
                    </w:rPr>
                    <w:t>图片种类至少包括：骨髓图像、脱离细胞图像、染色体图像、精子运动图像、尿粪沉渣镜检图像、蛋白电泳曲线图、蛋白电泳条带图、血细胞直方图、血细胞散点图、流式细胞散点图、基因图谱、标本照片等。</w:t>
                  </w:r>
                </w:p>
                <w:p w14:paraId="0E09C62E">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报告格式</w:t>
                  </w:r>
                </w:p>
                <w:p w14:paraId="64711B2D">
                  <w:pPr>
                    <w:pStyle w:val="131"/>
                    <w:pageBreakBefore w:val="0"/>
                    <w:widowControl w:val="0"/>
                    <w:kinsoku/>
                    <w:wordWrap/>
                    <w:overflowPunct/>
                    <w:topLinePunct w:val="0"/>
                    <w:autoSpaceDE/>
                    <w:autoSpaceDN/>
                    <w:bidi w:val="0"/>
                    <w:adjustRightInd/>
                    <w:spacing w:line="360" w:lineRule="exact"/>
                    <w:ind w:firstLine="0"/>
                    <w:textAlignment w:val="auto"/>
                  </w:pPr>
                  <w:r>
                    <w:t>1)</w:t>
                  </w:r>
                  <w:r>
                    <w:tab/>
                  </w:r>
                  <w:r>
                    <w:rPr>
                      <w:rFonts w:hint="eastAsia"/>
                    </w:rPr>
                    <w:t>报告设计功能强大、方便、实用，普通用户均可设计出漂亮、强悍、专业的报告单。</w:t>
                  </w:r>
                </w:p>
                <w:p w14:paraId="0C6E8EDB">
                  <w:pPr>
                    <w:pStyle w:val="131"/>
                    <w:pageBreakBefore w:val="0"/>
                    <w:widowControl w:val="0"/>
                    <w:kinsoku/>
                    <w:wordWrap/>
                    <w:overflowPunct/>
                    <w:topLinePunct w:val="0"/>
                    <w:autoSpaceDE/>
                    <w:autoSpaceDN/>
                    <w:bidi w:val="0"/>
                    <w:adjustRightInd/>
                    <w:spacing w:line="360" w:lineRule="exact"/>
                    <w:ind w:firstLine="0"/>
                    <w:textAlignment w:val="auto"/>
                  </w:pPr>
                  <w:r>
                    <w:t>2)</w:t>
                  </w:r>
                  <w:r>
                    <w:tab/>
                  </w:r>
                  <w:r>
                    <w:rPr>
                      <w:rFonts w:hint="eastAsia"/>
                    </w:rPr>
                    <w:t>提供院标添加功能，添加院标简单可实现。</w:t>
                  </w:r>
                </w:p>
                <w:p w14:paraId="3F7AA972">
                  <w:pPr>
                    <w:pStyle w:val="131"/>
                    <w:pageBreakBefore w:val="0"/>
                    <w:widowControl w:val="0"/>
                    <w:kinsoku/>
                    <w:wordWrap/>
                    <w:overflowPunct/>
                    <w:topLinePunct w:val="0"/>
                    <w:autoSpaceDE/>
                    <w:autoSpaceDN/>
                    <w:bidi w:val="0"/>
                    <w:adjustRightInd/>
                    <w:spacing w:line="360" w:lineRule="exact"/>
                    <w:ind w:firstLine="0"/>
                    <w:textAlignment w:val="auto"/>
                  </w:pPr>
                  <w:r>
                    <w:t>3)</w:t>
                  </w:r>
                  <w:r>
                    <w:tab/>
                  </w:r>
                  <w:r>
                    <w:rPr>
                      <w:rFonts w:hint="eastAsia"/>
                    </w:rPr>
                    <w:t>可以和电子签名系统对接</w:t>
                  </w:r>
                </w:p>
                <w:p w14:paraId="073AC32A">
                  <w:pPr>
                    <w:pStyle w:val="131"/>
                    <w:pageBreakBefore w:val="0"/>
                    <w:widowControl w:val="0"/>
                    <w:kinsoku/>
                    <w:wordWrap/>
                    <w:overflowPunct/>
                    <w:topLinePunct w:val="0"/>
                    <w:autoSpaceDE/>
                    <w:autoSpaceDN/>
                    <w:bidi w:val="0"/>
                    <w:adjustRightInd/>
                    <w:spacing w:line="360" w:lineRule="exact"/>
                    <w:ind w:firstLine="0"/>
                    <w:textAlignment w:val="auto"/>
                  </w:pPr>
                  <w:r>
                    <w:t>4)</w:t>
                  </w:r>
                  <w:r>
                    <w:tab/>
                  </w:r>
                  <w:r>
                    <w:rPr>
                      <w:rFonts w:hint="eastAsia"/>
                    </w:rPr>
                    <w:t>提供报告单上所有项目的自定义功能：病人信息、图片框数量等。</w:t>
                  </w:r>
                </w:p>
                <w:p w14:paraId="0D815D58">
                  <w:pPr>
                    <w:pStyle w:val="131"/>
                    <w:pageBreakBefore w:val="0"/>
                    <w:widowControl w:val="0"/>
                    <w:kinsoku/>
                    <w:wordWrap/>
                    <w:overflowPunct/>
                    <w:topLinePunct w:val="0"/>
                    <w:autoSpaceDE/>
                    <w:autoSpaceDN/>
                    <w:bidi w:val="0"/>
                    <w:adjustRightInd/>
                    <w:spacing w:line="360" w:lineRule="exact"/>
                    <w:ind w:firstLine="0"/>
                    <w:textAlignment w:val="auto"/>
                  </w:pPr>
                  <w:r>
                    <w:t>5)</w:t>
                  </w:r>
                  <w:r>
                    <w:tab/>
                  </w:r>
                  <w:r>
                    <w:rPr>
                      <w:rFonts w:hint="eastAsia"/>
                    </w:rPr>
                    <w:t>报告所有项目的位置、大小、数量、颜色、字体均可自由调整</w:t>
                  </w:r>
                </w:p>
                <w:p w14:paraId="0EB402FD">
                  <w:pPr>
                    <w:pStyle w:val="131"/>
                    <w:pageBreakBefore w:val="0"/>
                    <w:widowControl w:val="0"/>
                    <w:kinsoku/>
                    <w:wordWrap/>
                    <w:overflowPunct/>
                    <w:topLinePunct w:val="0"/>
                    <w:autoSpaceDE/>
                    <w:autoSpaceDN/>
                    <w:bidi w:val="0"/>
                    <w:adjustRightInd/>
                    <w:spacing w:line="360" w:lineRule="exact"/>
                    <w:ind w:firstLine="0"/>
                    <w:textAlignment w:val="auto"/>
                    <w:rPr>
                      <w:b/>
                      <w:sz w:val="24"/>
                      <w:szCs w:val="24"/>
                    </w:rPr>
                  </w:pPr>
                  <w:r>
                    <w:rPr>
                      <w:b/>
                      <w:sz w:val="24"/>
                      <w:szCs w:val="24"/>
                    </w:rPr>
                    <w:t>6.</w:t>
                  </w:r>
                  <w:r>
                    <w:rPr>
                      <w:rFonts w:hint="eastAsia"/>
                      <w:b/>
                      <w:sz w:val="24"/>
                      <w:szCs w:val="24"/>
                    </w:rPr>
                    <w:t>骨髓报告</w:t>
                  </w:r>
                </w:p>
                <w:p w14:paraId="6F8A630D">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图像采集</w:t>
                  </w:r>
                </w:p>
                <w:p w14:paraId="61B74E35">
                  <w:pPr>
                    <w:pStyle w:val="131"/>
                    <w:pageBreakBefore w:val="0"/>
                    <w:widowControl w:val="0"/>
                    <w:kinsoku/>
                    <w:wordWrap/>
                    <w:overflowPunct/>
                    <w:topLinePunct w:val="0"/>
                    <w:autoSpaceDE/>
                    <w:autoSpaceDN/>
                    <w:bidi w:val="0"/>
                    <w:adjustRightInd/>
                    <w:spacing w:line="360" w:lineRule="exact"/>
                    <w:ind w:firstLine="0"/>
                    <w:textAlignment w:val="auto"/>
                  </w:pPr>
                  <w:r>
                    <w:t>1)</w:t>
                  </w:r>
                  <w:r>
                    <w:tab/>
                  </w:r>
                  <w:r>
                    <w:rPr>
                      <w:rFonts w:hint="eastAsia"/>
                    </w:rPr>
                    <w:t>显微镜图像采集：通过集成显微镜摄像头直接进行图像采集，形成图文报告</w:t>
                  </w:r>
                </w:p>
                <w:p w14:paraId="281ECF78">
                  <w:pPr>
                    <w:pStyle w:val="131"/>
                    <w:pageBreakBefore w:val="0"/>
                    <w:widowControl w:val="0"/>
                    <w:kinsoku/>
                    <w:wordWrap/>
                    <w:overflowPunct/>
                    <w:topLinePunct w:val="0"/>
                    <w:autoSpaceDE/>
                    <w:autoSpaceDN/>
                    <w:bidi w:val="0"/>
                    <w:adjustRightInd/>
                    <w:spacing w:line="360" w:lineRule="exact"/>
                    <w:ind w:firstLine="0"/>
                    <w:textAlignment w:val="auto"/>
                  </w:pPr>
                  <w:r>
                    <w:t>2)</w:t>
                  </w:r>
                  <w:r>
                    <w:tab/>
                  </w:r>
                  <w:r>
                    <w:rPr>
                      <w:rFonts w:hint="eastAsia"/>
                    </w:rPr>
                    <w:t>自动读取第三方图片：通过接口自动读取第三方系统的图片，形成图文报告</w:t>
                  </w:r>
                </w:p>
                <w:p w14:paraId="432B407D">
                  <w:pPr>
                    <w:pStyle w:val="131"/>
                    <w:pageBreakBefore w:val="0"/>
                    <w:widowControl w:val="0"/>
                    <w:kinsoku/>
                    <w:wordWrap/>
                    <w:overflowPunct/>
                    <w:topLinePunct w:val="0"/>
                    <w:autoSpaceDE/>
                    <w:autoSpaceDN/>
                    <w:bidi w:val="0"/>
                    <w:adjustRightInd/>
                    <w:spacing w:line="360" w:lineRule="exact"/>
                    <w:ind w:firstLine="0"/>
                    <w:textAlignment w:val="auto"/>
                  </w:pPr>
                  <w:r>
                    <w:t>3)</w:t>
                  </w:r>
                  <w:r>
                    <w:tab/>
                  </w:r>
                  <w:r>
                    <w:rPr>
                      <w:rFonts w:hint="eastAsia"/>
                    </w:rPr>
                    <w:t>手工导入：可以手工选择已经形成的图片，导入到</w:t>
                  </w:r>
                  <w:r>
                    <w:t>LIS</w:t>
                  </w:r>
                  <w:r>
                    <w:rPr>
                      <w:rFonts w:hint="eastAsia"/>
                    </w:rPr>
                    <w:t>系统中形成图文报告</w:t>
                  </w:r>
                </w:p>
                <w:p w14:paraId="282D163F">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图像查看、处理</w:t>
                  </w:r>
                </w:p>
                <w:p w14:paraId="091523DC">
                  <w:pPr>
                    <w:pStyle w:val="131"/>
                    <w:pageBreakBefore w:val="0"/>
                    <w:widowControl w:val="0"/>
                    <w:kinsoku/>
                    <w:wordWrap/>
                    <w:overflowPunct/>
                    <w:topLinePunct w:val="0"/>
                    <w:autoSpaceDE/>
                    <w:autoSpaceDN/>
                    <w:bidi w:val="0"/>
                    <w:adjustRightInd/>
                    <w:spacing w:line="360" w:lineRule="exact"/>
                    <w:ind w:firstLine="0"/>
                    <w:textAlignment w:val="auto"/>
                  </w:pPr>
                  <w:r>
                    <w:t>1)</w:t>
                  </w:r>
                  <w:r>
                    <w:tab/>
                  </w:r>
                  <w:r>
                    <w:rPr>
                      <w:rFonts w:hint="eastAsia"/>
                    </w:rPr>
                    <w:t>可随时放大、缩小查看采集后的图片</w:t>
                  </w:r>
                </w:p>
                <w:p w14:paraId="32A4FBC1">
                  <w:pPr>
                    <w:pStyle w:val="131"/>
                    <w:pageBreakBefore w:val="0"/>
                    <w:widowControl w:val="0"/>
                    <w:kinsoku/>
                    <w:wordWrap/>
                    <w:overflowPunct/>
                    <w:topLinePunct w:val="0"/>
                    <w:autoSpaceDE/>
                    <w:autoSpaceDN/>
                    <w:bidi w:val="0"/>
                    <w:adjustRightInd/>
                    <w:spacing w:line="360" w:lineRule="exact"/>
                    <w:ind w:firstLine="0"/>
                    <w:textAlignment w:val="auto"/>
                  </w:pPr>
                  <w:r>
                    <w:t>2)</w:t>
                  </w:r>
                  <w:r>
                    <w:tab/>
                  </w:r>
                  <w:r>
                    <w:rPr>
                      <w:rFonts w:hint="eastAsia"/>
                    </w:rPr>
                    <w:t>可对图像进行删除、排序</w:t>
                  </w:r>
                </w:p>
                <w:p w14:paraId="60DE8046">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诊断模版</w:t>
                  </w:r>
                </w:p>
                <w:p w14:paraId="40974318">
                  <w:pPr>
                    <w:pStyle w:val="131"/>
                    <w:pageBreakBefore w:val="0"/>
                    <w:widowControl w:val="0"/>
                    <w:kinsoku/>
                    <w:wordWrap/>
                    <w:overflowPunct/>
                    <w:topLinePunct w:val="0"/>
                    <w:autoSpaceDE/>
                    <w:autoSpaceDN/>
                    <w:bidi w:val="0"/>
                    <w:adjustRightInd/>
                    <w:spacing w:line="360" w:lineRule="exact"/>
                    <w:ind w:firstLine="0"/>
                    <w:textAlignment w:val="auto"/>
                  </w:pPr>
                  <w:r>
                    <w:t>1)</w:t>
                  </w:r>
                  <w:r>
                    <w:tab/>
                  </w:r>
                  <w:r>
                    <w:rPr>
                      <w:rFonts w:hint="eastAsia"/>
                    </w:rPr>
                    <w:t>特征、结论可以编辑模板</w:t>
                  </w:r>
                </w:p>
                <w:p w14:paraId="2A5F171D">
                  <w:pPr>
                    <w:pStyle w:val="131"/>
                    <w:pageBreakBefore w:val="0"/>
                    <w:widowControl w:val="0"/>
                    <w:kinsoku/>
                    <w:wordWrap/>
                    <w:overflowPunct/>
                    <w:topLinePunct w:val="0"/>
                    <w:autoSpaceDE/>
                    <w:autoSpaceDN/>
                    <w:bidi w:val="0"/>
                    <w:adjustRightInd/>
                    <w:spacing w:line="360" w:lineRule="exact"/>
                    <w:ind w:firstLine="0"/>
                    <w:textAlignment w:val="auto"/>
                  </w:pPr>
                  <w:r>
                    <w:t>2)</w:t>
                  </w:r>
                  <w:r>
                    <w:tab/>
                  </w:r>
                  <w:r>
                    <w:rPr>
                      <w:rFonts w:hint="eastAsia"/>
                    </w:rPr>
                    <w:t>报告界面可进行模板选择和编辑</w:t>
                  </w:r>
                </w:p>
                <w:p w14:paraId="2AF2845D">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报告格式</w:t>
                  </w:r>
                </w:p>
                <w:p w14:paraId="791CA231">
                  <w:pPr>
                    <w:pStyle w:val="131"/>
                    <w:pageBreakBefore w:val="0"/>
                    <w:widowControl w:val="0"/>
                    <w:kinsoku/>
                    <w:wordWrap/>
                    <w:overflowPunct/>
                    <w:topLinePunct w:val="0"/>
                    <w:autoSpaceDE/>
                    <w:autoSpaceDN/>
                    <w:bidi w:val="0"/>
                    <w:adjustRightInd/>
                    <w:spacing w:line="360" w:lineRule="exact"/>
                    <w:ind w:firstLine="0"/>
                    <w:textAlignment w:val="auto"/>
                  </w:pPr>
                  <w:r>
                    <w:t>1)</w:t>
                  </w:r>
                  <w:r>
                    <w:tab/>
                  </w:r>
                  <w:r>
                    <w:rPr>
                      <w:rFonts w:hint="eastAsia"/>
                    </w:rPr>
                    <w:t>报告设计功能强大、方便、实用，普通用户均可设计出漂亮、强悍、专业的报告单。</w:t>
                  </w:r>
                </w:p>
                <w:p w14:paraId="1235590C">
                  <w:pPr>
                    <w:pStyle w:val="131"/>
                    <w:pageBreakBefore w:val="0"/>
                    <w:widowControl w:val="0"/>
                    <w:kinsoku/>
                    <w:wordWrap/>
                    <w:overflowPunct/>
                    <w:topLinePunct w:val="0"/>
                    <w:autoSpaceDE/>
                    <w:autoSpaceDN/>
                    <w:bidi w:val="0"/>
                    <w:adjustRightInd/>
                    <w:spacing w:line="360" w:lineRule="exact"/>
                    <w:ind w:firstLine="0"/>
                    <w:textAlignment w:val="auto"/>
                  </w:pPr>
                  <w:r>
                    <w:t>2)</w:t>
                  </w:r>
                  <w:r>
                    <w:tab/>
                  </w:r>
                  <w:r>
                    <w:rPr>
                      <w:rFonts w:hint="eastAsia"/>
                    </w:rPr>
                    <w:t>提供院标添加功能，添加院标简单可实现。</w:t>
                  </w:r>
                </w:p>
                <w:p w14:paraId="0EC6E54F">
                  <w:pPr>
                    <w:pStyle w:val="131"/>
                    <w:pageBreakBefore w:val="0"/>
                    <w:widowControl w:val="0"/>
                    <w:kinsoku/>
                    <w:wordWrap/>
                    <w:overflowPunct/>
                    <w:topLinePunct w:val="0"/>
                    <w:autoSpaceDE/>
                    <w:autoSpaceDN/>
                    <w:bidi w:val="0"/>
                    <w:adjustRightInd/>
                    <w:spacing w:line="360" w:lineRule="exact"/>
                    <w:ind w:firstLine="0"/>
                    <w:textAlignment w:val="auto"/>
                  </w:pPr>
                  <w:r>
                    <w:t>3)</w:t>
                  </w:r>
                  <w:r>
                    <w:tab/>
                  </w:r>
                  <w:r>
                    <w:rPr>
                      <w:rFonts w:hint="eastAsia"/>
                    </w:rPr>
                    <w:t>可以和电子签名系统对接</w:t>
                  </w:r>
                </w:p>
                <w:p w14:paraId="3A5B144D">
                  <w:pPr>
                    <w:pStyle w:val="131"/>
                    <w:pageBreakBefore w:val="0"/>
                    <w:widowControl w:val="0"/>
                    <w:kinsoku/>
                    <w:wordWrap/>
                    <w:overflowPunct/>
                    <w:topLinePunct w:val="0"/>
                    <w:autoSpaceDE/>
                    <w:autoSpaceDN/>
                    <w:bidi w:val="0"/>
                    <w:adjustRightInd/>
                    <w:spacing w:line="360" w:lineRule="exact"/>
                    <w:ind w:firstLine="0"/>
                    <w:textAlignment w:val="auto"/>
                  </w:pPr>
                  <w:r>
                    <w:t>4)</w:t>
                  </w:r>
                  <w:r>
                    <w:tab/>
                  </w:r>
                  <w:r>
                    <w:rPr>
                      <w:rFonts w:hint="eastAsia"/>
                    </w:rPr>
                    <w:t>提供报告单上所有项目的自定义功能：病人信息、图片框数量等。</w:t>
                  </w:r>
                </w:p>
                <w:p w14:paraId="0264E95C">
                  <w:pPr>
                    <w:pStyle w:val="131"/>
                    <w:pageBreakBefore w:val="0"/>
                    <w:widowControl w:val="0"/>
                    <w:kinsoku/>
                    <w:wordWrap/>
                    <w:overflowPunct/>
                    <w:topLinePunct w:val="0"/>
                    <w:autoSpaceDE/>
                    <w:autoSpaceDN/>
                    <w:bidi w:val="0"/>
                    <w:adjustRightInd/>
                    <w:spacing w:line="360" w:lineRule="exact"/>
                    <w:ind w:firstLine="0"/>
                    <w:textAlignment w:val="auto"/>
                  </w:pPr>
                  <w:r>
                    <w:t>5)</w:t>
                  </w:r>
                  <w:r>
                    <w:tab/>
                  </w:r>
                  <w:r>
                    <w:rPr>
                      <w:rFonts w:hint="eastAsia"/>
                    </w:rPr>
                    <w:t>报告所有项目的位置、大小、数量、颜色、字体均可自由调整</w:t>
                  </w:r>
                </w:p>
                <w:p w14:paraId="7ECE5093">
                  <w:pPr>
                    <w:pStyle w:val="131"/>
                    <w:pageBreakBefore w:val="0"/>
                    <w:widowControl w:val="0"/>
                    <w:kinsoku/>
                    <w:wordWrap/>
                    <w:overflowPunct/>
                    <w:topLinePunct w:val="0"/>
                    <w:autoSpaceDE/>
                    <w:autoSpaceDN/>
                    <w:bidi w:val="0"/>
                    <w:adjustRightInd/>
                    <w:spacing w:line="360" w:lineRule="exact"/>
                    <w:ind w:firstLine="0"/>
                    <w:textAlignment w:val="auto"/>
                    <w:rPr>
                      <w:b/>
                      <w:sz w:val="24"/>
                      <w:szCs w:val="24"/>
                    </w:rPr>
                  </w:pPr>
                  <w:r>
                    <w:rPr>
                      <w:b/>
                      <w:sz w:val="24"/>
                      <w:szCs w:val="24"/>
                    </w:rPr>
                    <w:t>7.</w:t>
                  </w:r>
                  <w:r>
                    <w:rPr>
                      <w:rFonts w:hint="eastAsia"/>
                      <w:b/>
                      <w:sz w:val="24"/>
                      <w:szCs w:val="24"/>
                    </w:rPr>
                    <w:t>仪器数据联机</w:t>
                  </w:r>
                </w:p>
                <w:p w14:paraId="1ED30211">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仪器联机方式</w:t>
                  </w:r>
                </w:p>
                <w:p w14:paraId="68E27AFB">
                  <w:pPr>
                    <w:pStyle w:val="131"/>
                    <w:pageBreakBefore w:val="0"/>
                    <w:widowControl w:val="0"/>
                    <w:kinsoku/>
                    <w:wordWrap/>
                    <w:overflowPunct/>
                    <w:topLinePunct w:val="0"/>
                    <w:autoSpaceDE/>
                    <w:autoSpaceDN/>
                    <w:bidi w:val="0"/>
                    <w:adjustRightInd/>
                    <w:spacing w:line="360" w:lineRule="exact"/>
                    <w:ind w:firstLine="0"/>
                    <w:textAlignment w:val="auto"/>
                  </w:pPr>
                  <w:r>
                    <w:t>1)</w:t>
                  </w:r>
                  <w:r>
                    <w:tab/>
                  </w:r>
                  <w:r>
                    <w:rPr>
                      <w:rFonts w:hint="eastAsia"/>
                    </w:rPr>
                    <w:t>支持</w:t>
                  </w:r>
                  <w:r>
                    <w:t xml:space="preserve"> RS232</w:t>
                  </w:r>
                  <w:r>
                    <w:rPr>
                      <w:rFonts w:hint="eastAsia"/>
                    </w:rPr>
                    <w:t>通讯</w:t>
                  </w:r>
                </w:p>
                <w:p w14:paraId="367F436A">
                  <w:pPr>
                    <w:pStyle w:val="131"/>
                    <w:pageBreakBefore w:val="0"/>
                    <w:widowControl w:val="0"/>
                    <w:kinsoku/>
                    <w:wordWrap/>
                    <w:overflowPunct/>
                    <w:topLinePunct w:val="0"/>
                    <w:autoSpaceDE/>
                    <w:autoSpaceDN/>
                    <w:bidi w:val="0"/>
                    <w:adjustRightInd/>
                    <w:spacing w:line="360" w:lineRule="exact"/>
                    <w:ind w:firstLine="0"/>
                    <w:textAlignment w:val="auto"/>
                  </w:pPr>
                  <w:r>
                    <w:t>2)</w:t>
                  </w:r>
                  <w:r>
                    <w:tab/>
                  </w:r>
                  <w:r>
                    <w:rPr>
                      <w:rFonts w:hint="eastAsia"/>
                    </w:rPr>
                    <w:t>支持</w:t>
                  </w:r>
                  <w:r>
                    <w:t xml:space="preserve">TCP/IP </w:t>
                  </w:r>
                  <w:r>
                    <w:rPr>
                      <w:rFonts w:hint="eastAsia"/>
                    </w:rPr>
                    <w:t>通讯；</w:t>
                  </w:r>
                </w:p>
                <w:p w14:paraId="51F58AF4">
                  <w:pPr>
                    <w:pStyle w:val="131"/>
                    <w:pageBreakBefore w:val="0"/>
                    <w:widowControl w:val="0"/>
                    <w:kinsoku/>
                    <w:wordWrap/>
                    <w:overflowPunct/>
                    <w:topLinePunct w:val="0"/>
                    <w:autoSpaceDE/>
                    <w:autoSpaceDN/>
                    <w:bidi w:val="0"/>
                    <w:adjustRightInd/>
                    <w:spacing w:line="360" w:lineRule="exact"/>
                    <w:ind w:firstLine="0"/>
                    <w:textAlignment w:val="auto"/>
                  </w:pPr>
                  <w:r>
                    <w:t>3)</w:t>
                  </w:r>
                  <w:r>
                    <w:tab/>
                  </w:r>
                  <w:r>
                    <w:rPr>
                      <w:rFonts w:hint="eastAsia"/>
                    </w:rPr>
                    <w:t>支持读取仪器软件数据库</w:t>
                  </w:r>
                </w:p>
                <w:p w14:paraId="44AF4B9B">
                  <w:pPr>
                    <w:pStyle w:val="131"/>
                    <w:pageBreakBefore w:val="0"/>
                    <w:widowControl w:val="0"/>
                    <w:kinsoku/>
                    <w:wordWrap/>
                    <w:overflowPunct/>
                    <w:topLinePunct w:val="0"/>
                    <w:autoSpaceDE/>
                    <w:autoSpaceDN/>
                    <w:bidi w:val="0"/>
                    <w:adjustRightInd/>
                    <w:spacing w:line="360" w:lineRule="exact"/>
                    <w:ind w:firstLine="0"/>
                    <w:textAlignment w:val="auto"/>
                  </w:pPr>
                  <w:r>
                    <w:t>4)</w:t>
                  </w:r>
                  <w:r>
                    <w:tab/>
                  </w:r>
                  <w:r>
                    <w:rPr>
                      <w:rFonts w:hint="eastAsia"/>
                    </w:rPr>
                    <w:t>支持读取仪器软件文件</w:t>
                  </w:r>
                </w:p>
                <w:p w14:paraId="23C960CC">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仪器联机内容</w:t>
                  </w:r>
                </w:p>
                <w:p w14:paraId="7A07019E">
                  <w:pPr>
                    <w:pStyle w:val="131"/>
                    <w:pageBreakBefore w:val="0"/>
                    <w:widowControl w:val="0"/>
                    <w:kinsoku/>
                    <w:wordWrap/>
                    <w:overflowPunct/>
                    <w:topLinePunct w:val="0"/>
                    <w:autoSpaceDE/>
                    <w:autoSpaceDN/>
                    <w:bidi w:val="0"/>
                    <w:adjustRightInd/>
                    <w:spacing w:line="360" w:lineRule="exact"/>
                    <w:ind w:firstLine="0"/>
                    <w:textAlignment w:val="auto"/>
                  </w:pPr>
                  <w:r>
                    <w:t>1)</w:t>
                  </w:r>
                  <w:r>
                    <w:tab/>
                  </w:r>
                  <w:r>
                    <w:rPr>
                      <w:rFonts w:hint="eastAsia"/>
                    </w:rPr>
                    <w:t>支持仪器传输结果解析</w:t>
                  </w:r>
                </w:p>
                <w:p w14:paraId="29B24716">
                  <w:pPr>
                    <w:pStyle w:val="131"/>
                    <w:pageBreakBefore w:val="0"/>
                    <w:widowControl w:val="0"/>
                    <w:kinsoku/>
                    <w:wordWrap/>
                    <w:overflowPunct/>
                    <w:topLinePunct w:val="0"/>
                    <w:autoSpaceDE/>
                    <w:autoSpaceDN/>
                    <w:bidi w:val="0"/>
                    <w:adjustRightInd/>
                    <w:spacing w:line="360" w:lineRule="exact"/>
                    <w:ind w:firstLine="0"/>
                    <w:textAlignment w:val="auto"/>
                  </w:pPr>
                  <w:r>
                    <w:t>2)</w:t>
                  </w:r>
                  <w:r>
                    <w:tab/>
                  </w:r>
                  <w:r>
                    <w:rPr>
                      <w:rFonts w:hint="eastAsia"/>
                    </w:rPr>
                    <w:t>支持仪器传输图形解析</w:t>
                  </w:r>
                </w:p>
                <w:p w14:paraId="3A92D542">
                  <w:pPr>
                    <w:pStyle w:val="131"/>
                    <w:pageBreakBefore w:val="0"/>
                    <w:widowControl w:val="0"/>
                    <w:kinsoku/>
                    <w:wordWrap/>
                    <w:overflowPunct/>
                    <w:topLinePunct w:val="0"/>
                    <w:autoSpaceDE/>
                    <w:autoSpaceDN/>
                    <w:bidi w:val="0"/>
                    <w:adjustRightInd/>
                    <w:spacing w:line="360" w:lineRule="exact"/>
                    <w:ind w:firstLine="0"/>
                    <w:textAlignment w:val="auto"/>
                  </w:pPr>
                  <w:r>
                    <w:t>3)</w:t>
                  </w:r>
                  <w:r>
                    <w:tab/>
                  </w:r>
                  <w:r>
                    <w:rPr>
                      <w:rFonts w:hint="eastAsia"/>
                    </w:rPr>
                    <w:t>支持仪器结果报警信息解析</w:t>
                  </w:r>
                </w:p>
                <w:p w14:paraId="507A2558">
                  <w:pPr>
                    <w:pStyle w:val="131"/>
                    <w:pageBreakBefore w:val="0"/>
                    <w:widowControl w:val="0"/>
                    <w:kinsoku/>
                    <w:wordWrap/>
                    <w:overflowPunct/>
                    <w:topLinePunct w:val="0"/>
                    <w:autoSpaceDE/>
                    <w:autoSpaceDN/>
                    <w:bidi w:val="0"/>
                    <w:adjustRightInd/>
                    <w:spacing w:line="360" w:lineRule="exact"/>
                    <w:ind w:firstLine="0"/>
                    <w:textAlignment w:val="auto"/>
                  </w:pPr>
                  <w:r>
                    <w:t>4)</w:t>
                  </w:r>
                  <w:r>
                    <w:tab/>
                  </w:r>
                  <w:r>
                    <w:rPr>
                      <w:rFonts w:hint="eastAsia"/>
                    </w:rPr>
                    <w:t>支持仪器质控结果解析</w:t>
                  </w:r>
                </w:p>
                <w:p w14:paraId="3A17351D">
                  <w:pPr>
                    <w:pStyle w:val="131"/>
                    <w:pageBreakBefore w:val="0"/>
                    <w:widowControl w:val="0"/>
                    <w:kinsoku/>
                    <w:wordWrap/>
                    <w:overflowPunct/>
                    <w:topLinePunct w:val="0"/>
                    <w:autoSpaceDE/>
                    <w:autoSpaceDN/>
                    <w:bidi w:val="0"/>
                    <w:adjustRightInd/>
                    <w:spacing w:line="360" w:lineRule="exact"/>
                    <w:ind w:firstLine="0"/>
                    <w:textAlignment w:val="auto"/>
                    <w:rPr>
                      <w:b/>
                      <w:sz w:val="24"/>
                      <w:szCs w:val="24"/>
                    </w:rPr>
                  </w:pPr>
                  <w:r>
                    <w:rPr>
                      <w:b/>
                      <w:sz w:val="24"/>
                      <w:szCs w:val="24"/>
                    </w:rPr>
                    <w:t>8.</w:t>
                  </w:r>
                  <w:r>
                    <w:rPr>
                      <w:rFonts w:hint="eastAsia"/>
                      <w:b/>
                      <w:sz w:val="24"/>
                      <w:szCs w:val="24"/>
                    </w:rPr>
                    <w:t>流水线联机</w:t>
                  </w:r>
                </w:p>
                <w:p w14:paraId="44E37884">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支持的流水线内容</w:t>
                  </w:r>
                </w:p>
                <w:p w14:paraId="40B583ED">
                  <w:pPr>
                    <w:pStyle w:val="131"/>
                    <w:pageBreakBefore w:val="0"/>
                    <w:widowControl w:val="0"/>
                    <w:kinsoku/>
                    <w:wordWrap/>
                    <w:overflowPunct/>
                    <w:topLinePunct w:val="0"/>
                    <w:autoSpaceDE/>
                    <w:autoSpaceDN/>
                    <w:bidi w:val="0"/>
                    <w:adjustRightInd/>
                    <w:spacing w:line="360" w:lineRule="exact"/>
                    <w:ind w:firstLine="0"/>
                    <w:textAlignment w:val="auto"/>
                  </w:pPr>
                  <w:r>
                    <w:t>1)</w:t>
                  </w:r>
                  <w:r>
                    <w:tab/>
                  </w:r>
                  <w:r>
                    <w:rPr>
                      <w:rFonts w:hint="eastAsia"/>
                    </w:rPr>
                    <w:t>支持通过中间体软件实现对流水线、前处理集成；</w:t>
                  </w:r>
                </w:p>
                <w:p w14:paraId="1F028A0F">
                  <w:pPr>
                    <w:pStyle w:val="131"/>
                    <w:pageBreakBefore w:val="0"/>
                    <w:widowControl w:val="0"/>
                    <w:kinsoku/>
                    <w:wordWrap/>
                    <w:overflowPunct/>
                    <w:topLinePunct w:val="0"/>
                    <w:autoSpaceDE/>
                    <w:autoSpaceDN/>
                    <w:bidi w:val="0"/>
                    <w:adjustRightInd/>
                    <w:spacing w:line="360" w:lineRule="exact"/>
                    <w:ind w:firstLine="0"/>
                    <w:textAlignment w:val="auto"/>
                  </w:pPr>
                  <w:r>
                    <w:t>2)</w:t>
                  </w:r>
                  <w:r>
                    <w:tab/>
                  </w:r>
                  <w:r>
                    <w:rPr>
                      <w:rFonts w:hint="eastAsia"/>
                    </w:rPr>
                    <w:t>支持直接对流水线、前处理各个模块通讯并作集成；</w:t>
                  </w:r>
                </w:p>
                <w:p w14:paraId="08E69B0B">
                  <w:pPr>
                    <w:pStyle w:val="131"/>
                    <w:pageBreakBefore w:val="0"/>
                    <w:widowControl w:val="0"/>
                    <w:kinsoku/>
                    <w:wordWrap/>
                    <w:overflowPunct/>
                    <w:topLinePunct w:val="0"/>
                    <w:autoSpaceDE/>
                    <w:autoSpaceDN/>
                    <w:bidi w:val="0"/>
                    <w:adjustRightInd/>
                    <w:spacing w:line="360" w:lineRule="exact"/>
                    <w:ind w:firstLine="0"/>
                    <w:textAlignment w:val="auto"/>
                  </w:pPr>
                  <w:r>
                    <w:t>3)</w:t>
                  </w:r>
                  <w:r>
                    <w:tab/>
                  </w:r>
                  <w:r>
                    <w:rPr>
                      <w:rFonts w:hint="eastAsia"/>
                    </w:rPr>
                    <w:t>支持流水线、前处理全过程通讯（上机、离心、抜盖、分样、上线、下线、归档）；</w:t>
                  </w:r>
                </w:p>
                <w:p w14:paraId="6355BF6E">
                  <w:pPr>
                    <w:pStyle w:val="131"/>
                    <w:pageBreakBefore w:val="0"/>
                    <w:widowControl w:val="0"/>
                    <w:kinsoku/>
                    <w:wordWrap/>
                    <w:overflowPunct/>
                    <w:topLinePunct w:val="0"/>
                    <w:autoSpaceDE/>
                    <w:autoSpaceDN/>
                    <w:bidi w:val="0"/>
                    <w:adjustRightInd/>
                    <w:spacing w:line="360" w:lineRule="exact"/>
                    <w:ind w:firstLine="0"/>
                    <w:textAlignment w:val="auto"/>
                  </w:pPr>
                  <w:r>
                    <w:t>4)</w:t>
                  </w:r>
                  <w:r>
                    <w:tab/>
                  </w:r>
                  <w:r>
                    <w:rPr>
                      <w:rFonts w:hint="eastAsia"/>
                    </w:rPr>
                    <w:t>支持流水线、前处理报警信息采集；</w:t>
                  </w:r>
                </w:p>
                <w:p w14:paraId="12DFAFB2">
                  <w:pPr>
                    <w:pStyle w:val="131"/>
                    <w:pageBreakBefore w:val="0"/>
                    <w:widowControl w:val="0"/>
                    <w:kinsoku/>
                    <w:wordWrap/>
                    <w:overflowPunct/>
                    <w:topLinePunct w:val="0"/>
                    <w:autoSpaceDE/>
                    <w:autoSpaceDN/>
                    <w:bidi w:val="0"/>
                    <w:adjustRightInd/>
                    <w:spacing w:line="360" w:lineRule="exact"/>
                    <w:ind w:firstLine="0"/>
                    <w:textAlignment w:val="auto"/>
                  </w:pPr>
                  <w:r>
                    <w:t>5)</w:t>
                  </w:r>
                  <w:r>
                    <w:tab/>
                  </w:r>
                  <w:r>
                    <w:rPr>
                      <w:rFonts w:hint="eastAsia"/>
                    </w:rPr>
                    <w:t>支持流水线、前处理技术审核信息采集；</w:t>
                  </w:r>
                </w:p>
                <w:p w14:paraId="4DB4FBB2">
                  <w:pPr>
                    <w:pStyle w:val="131"/>
                    <w:pageBreakBefore w:val="0"/>
                    <w:widowControl w:val="0"/>
                    <w:kinsoku/>
                    <w:wordWrap/>
                    <w:overflowPunct/>
                    <w:topLinePunct w:val="0"/>
                    <w:autoSpaceDE/>
                    <w:autoSpaceDN/>
                    <w:bidi w:val="0"/>
                    <w:adjustRightInd/>
                    <w:spacing w:line="360" w:lineRule="exact"/>
                    <w:ind w:firstLine="0"/>
                    <w:textAlignment w:val="auto"/>
                  </w:pPr>
                  <w:r>
                    <w:t>6)</w:t>
                  </w:r>
                  <w:r>
                    <w:tab/>
                  </w:r>
                  <w:r>
                    <w:rPr>
                      <w:rFonts w:hint="eastAsia"/>
                    </w:rPr>
                    <w:t>采集检验数据的分析单元和检验完成时间；</w:t>
                  </w:r>
                </w:p>
                <w:p w14:paraId="6BE8FBB2">
                  <w:pPr>
                    <w:pStyle w:val="131"/>
                    <w:pageBreakBefore w:val="0"/>
                    <w:widowControl w:val="0"/>
                    <w:kinsoku/>
                    <w:wordWrap/>
                    <w:overflowPunct/>
                    <w:topLinePunct w:val="0"/>
                    <w:autoSpaceDE/>
                    <w:autoSpaceDN/>
                    <w:bidi w:val="0"/>
                    <w:adjustRightInd/>
                    <w:spacing w:line="360" w:lineRule="exact"/>
                    <w:ind w:firstLine="0"/>
                    <w:textAlignment w:val="auto"/>
                  </w:pPr>
                  <w:r>
                    <w:t>7)</w:t>
                  </w:r>
                  <w:r>
                    <w:tab/>
                  </w:r>
                  <w:r>
                    <w:rPr>
                      <w:rFonts w:hint="eastAsia"/>
                    </w:rPr>
                    <w:t>支持流水线、前处理对检验标本自动核收；</w:t>
                  </w:r>
                </w:p>
                <w:p w14:paraId="6D4DE805">
                  <w:pPr>
                    <w:pStyle w:val="131"/>
                    <w:pageBreakBefore w:val="0"/>
                    <w:widowControl w:val="0"/>
                    <w:kinsoku/>
                    <w:wordWrap/>
                    <w:overflowPunct/>
                    <w:topLinePunct w:val="0"/>
                    <w:autoSpaceDE/>
                    <w:autoSpaceDN/>
                    <w:bidi w:val="0"/>
                    <w:adjustRightInd/>
                    <w:spacing w:line="360" w:lineRule="exact"/>
                    <w:ind w:firstLine="0"/>
                    <w:textAlignment w:val="auto"/>
                  </w:pPr>
                  <w:r>
                    <w:t>8)</w:t>
                  </w:r>
                  <w:r>
                    <w:tab/>
                  </w:r>
                  <w:r>
                    <w:rPr>
                      <w:rFonts w:hint="eastAsia"/>
                    </w:rPr>
                    <w:t>支持流水线、前处理线上线下标本分配管理；</w:t>
                  </w:r>
                </w:p>
                <w:p w14:paraId="1F35F575">
                  <w:pPr>
                    <w:pStyle w:val="131"/>
                    <w:pageBreakBefore w:val="0"/>
                    <w:widowControl w:val="0"/>
                    <w:kinsoku/>
                    <w:wordWrap/>
                    <w:overflowPunct/>
                    <w:topLinePunct w:val="0"/>
                    <w:autoSpaceDE/>
                    <w:autoSpaceDN/>
                    <w:bidi w:val="0"/>
                    <w:adjustRightInd/>
                    <w:spacing w:line="360" w:lineRule="exact"/>
                    <w:ind w:firstLine="0"/>
                    <w:textAlignment w:val="auto"/>
                  </w:pPr>
                  <w:r>
                    <w:t>9)</w:t>
                  </w:r>
                  <w:r>
                    <w:tab/>
                  </w:r>
                  <w:r>
                    <w:rPr>
                      <w:rFonts w:hint="eastAsia"/>
                    </w:rPr>
                    <w:t>支持流水线、前处理标本自动编号；</w:t>
                  </w:r>
                </w:p>
                <w:p w14:paraId="767F2768">
                  <w:pPr>
                    <w:pStyle w:val="131"/>
                    <w:pageBreakBefore w:val="0"/>
                    <w:widowControl w:val="0"/>
                    <w:kinsoku/>
                    <w:wordWrap/>
                    <w:overflowPunct/>
                    <w:topLinePunct w:val="0"/>
                    <w:autoSpaceDE/>
                    <w:autoSpaceDN/>
                    <w:bidi w:val="0"/>
                    <w:adjustRightInd/>
                    <w:spacing w:line="360" w:lineRule="exact"/>
                    <w:ind w:firstLine="0"/>
                    <w:textAlignment w:val="auto"/>
                  </w:pPr>
                  <w:r>
                    <w:t>10)</w:t>
                  </w:r>
                  <w:r>
                    <w:tab/>
                  </w:r>
                  <w:r>
                    <w:rPr>
                      <w:rFonts w:hint="eastAsia"/>
                    </w:rPr>
                    <w:t>实现对流水线、前处理的异常监控；</w:t>
                  </w:r>
                </w:p>
                <w:p w14:paraId="383BB2A5">
                  <w:pPr>
                    <w:pStyle w:val="131"/>
                    <w:pageBreakBefore w:val="0"/>
                    <w:widowControl w:val="0"/>
                    <w:kinsoku/>
                    <w:wordWrap/>
                    <w:overflowPunct/>
                    <w:topLinePunct w:val="0"/>
                    <w:autoSpaceDE/>
                    <w:autoSpaceDN/>
                    <w:bidi w:val="0"/>
                    <w:adjustRightInd/>
                    <w:spacing w:line="360" w:lineRule="exact"/>
                    <w:ind w:firstLine="0"/>
                    <w:textAlignment w:val="auto"/>
                    <w:rPr>
                      <w:b/>
                      <w:sz w:val="24"/>
                      <w:szCs w:val="24"/>
                    </w:rPr>
                  </w:pPr>
                  <w:r>
                    <w:rPr>
                      <w:b/>
                      <w:sz w:val="24"/>
                      <w:szCs w:val="24"/>
                    </w:rPr>
                    <w:t>9.</w:t>
                  </w:r>
                  <w:r>
                    <w:rPr>
                      <w:rFonts w:hint="eastAsia"/>
                      <w:b/>
                      <w:sz w:val="24"/>
                      <w:szCs w:val="24"/>
                    </w:rPr>
                    <w:t>检验报告管理</w:t>
                  </w:r>
                </w:p>
                <w:p w14:paraId="27FDC7E1">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报告格式调整</w:t>
                  </w:r>
                </w:p>
                <w:p w14:paraId="5ADCBBC3">
                  <w:pPr>
                    <w:pStyle w:val="131"/>
                    <w:pageBreakBefore w:val="0"/>
                    <w:widowControl w:val="0"/>
                    <w:kinsoku/>
                    <w:wordWrap/>
                    <w:overflowPunct/>
                    <w:topLinePunct w:val="0"/>
                    <w:autoSpaceDE/>
                    <w:autoSpaceDN/>
                    <w:bidi w:val="0"/>
                    <w:adjustRightInd/>
                    <w:spacing w:line="360" w:lineRule="exact"/>
                    <w:ind w:firstLine="0"/>
                    <w:textAlignment w:val="auto"/>
                  </w:pPr>
                  <w:r>
                    <w:t>1)</w:t>
                  </w:r>
                  <w:r>
                    <w:tab/>
                  </w:r>
                  <w:r>
                    <w:rPr>
                      <w:rFonts w:hint="eastAsia"/>
                    </w:rPr>
                    <w:t>报告格式调整统一管理</w:t>
                  </w:r>
                </w:p>
                <w:p w14:paraId="115670AE">
                  <w:pPr>
                    <w:pStyle w:val="131"/>
                    <w:pageBreakBefore w:val="0"/>
                    <w:widowControl w:val="0"/>
                    <w:kinsoku/>
                    <w:wordWrap/>
                    <w:overflowPunct/>
                    <w:topLinePunct w:val="0"/>
                    <w:autoSpaceDE/>
                    <w:autoSpaceDN/>
                    <w:bidi w:val="0"/>
                    <w:adjustRightInd/>
                    <w:spacing w:line="360" w:lineRule="exact"/>
                    <w:ind w:firstLine="0"/>
                    <w:textAlignment w:val="auto"/>
                  </w:pPr>
                  <w:r>
                    <w:t>2)</w:t>
                  </w:r>
                  <w:r>
                    <w:tab/>
                  </w:r>
                  <w:r>
                    <w:rPr>
                      <w:rFonts w:hint="eastAsia"/>
                    </w:rPr>
                    <w:t>报告设计功能强大、方便、实用，普通用户均可设计出漂亮、强悍、专业的报告单。</w:t>
                  </w:r>
                </w:p>
                <w:p w14:paraId="0508C1E3">
                  <w:pPr>
                    <w:pStyle w:val="131"/>
                    <w:pageBreakBefore w:val="0"/>
                    <w:widowControl w:val="0"/>
                    <w:kinsoku/>
                    <w:wordWrap/>
                    <w:overflowPunct/>
                    <w:topLinePunct w:val="0"/>
                    <w:autoSpaceDE/>
                    <w:autoSpaceDN/>
                    <w:bidi w:val="0"/>
                    <w:adjustRightInd/>
                    <w:spacing w:line="360" w:lineRule="exact"/>
                    <w:ind w:firstLine="0"/>
                    <w:textAlignment w:val="auto"/>
                  </w:pPr>
                  <w:r>
                    <w:t>3)</w:t>
                  </w:r>
                  <w:r>
                    <w:tab/>
                  </w:r>
                  <w:r>
                    <w:rPr>
                      <w:rFonts w:hint="eastAsia"/>
                    </w:rPr>
                    <w:t>提供报告单上所有项目的自定义功能：病人信息、图片框数量等。</w:t>
                  </w:r>
                </w:p>
                <w:p w14:paraId="43697755">
                  <w:pPr>
                    <w:pStyle w:val="131"/>
                    <w:pageBreakBefore w:val="0"/>
                    <w:widowControl w:val="0"/>
                    <w:kinsoku/>
                    <w:wordWrap/>
                    <w:overflowPunct/>
                    <w:topLinePunct w:val="0"/>
                    <w:autoSpaceDE/>
                    <w:autoSpaceDN/>
                    <w:bidi w:val="0"/>
                    <w:adjustRightInd/>
                    <w:spacing w:line="360" w:lineRule="exact"/>
                    <w:ind w:firstLine="0"/>
                    <w:textAlignment w:val="auto"/>
                  </w:pPr>
                  <w:r>
                    <w:t>4)</w:t>
                  </w:r>
                  <w:r>
                    <w:tab/>
                  </w:r>
                  <w:r>
                    <w:rPr>
                      <w:rFonts w:hint="eastAsia"/>
                    </w:rPr>
                    <w:t>报告所有项目的位置、大小、数量、颜色、字体均可自由调整</w:t>
                  </w:r>
                </w:p>
                <w:p w14:paraId="34C114B7">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报告单格式</w:t>
                  </w:r>
                </w:p>
                <w:p w14:paraId="6DD1E64E">
                  <w:pPr>
                    <w:pStyle w:val="131"/>
                    <w:pageBreakBefore w:val="0"/>
                    <w:widowControl w:val="0"/>
                    <w:kinsoku/>
                    <w:wordWrap/>
                    <w:overflowPunct/>
                    <w:topLinePunct w:val="0"/>
                    <w:autoSpaceDE/>
                    <w:autoSpaceDN/>
                    <w:bidi w:val="0"/>
                    <w:adjustRightInd/>
                    <w:spacing w:line="360" w:lineRule="exact"/>
                    <w:ind w:firstLine="0"/>
                    <w:textAlignment w:val="auto"/>
                  </w:pPr>
                  <w:r>
                    <w:t>1)</w:t>
                  </w:r>
                  <w:r>
                    <w:tab/>
                  </w:r>
                  <w:r>
                    <w:rPr>
                      <w:rFonts w:hint="eastAsia"/>
                    </w:rPr>
                    <w:t>报告单支持打印院标</w:t>
                  </w:r>
                </w:p>
                <w:p w14:paraId="63D56560">
                  <w:pPr>
                    <w:pStyle w:val="131"/>
                    <w:pageBreakBefore w:val="0"/>
                    <w:widowControl w:val="0"/>
                    <w:kinsoku/>
                    <w:wordWrap/>
                    <w:overflowPunct/>
                    <w:topLinePunct w:val="0"/>
                    <w:autoSpaceDE/>
                    <w:autoSpaceDN/>
                    <w:bidi w:val="0"/>
                    <w:adjustRightInd/>
                    <w:spacing w:line="360" w:lineRule="exact"/>
                    <w:ind w:firstLine="0"/>
                    <w:textAlignment w:val="auto"/>
                  </w:pPr>
                  <w:r>
                    <w:t>2)</w:t>
                  </w:r>
                  <w:r>
                    <w:tab/>
                  </w:r>
                  <w:r>
                    <w:rPr>
                      <w:rFonts w:hint="eastAsia"/>
                    </w:rPr>
                    <w:t>可以和电子签名对接，支持打印电子签名</w:t>
                  </w:r>
                </w:p>
                <w:p w14:paraId="08EB579B">
                  <w:pPr>
                    <w:pStyle w:val="131"/>
                    <w:pageBreakBefore w:val="0"/>
                    <w:widowControl w:val="0"/>
                    <w:kinsoku/>
                    <w:wordWrap/>
                    <w:overflowPunct/>
                    <w:topLinePunct w:val="0"/>
                    <w:autoSpaceDE/>
                    <w:autoSpaceDN/>
                    <w:bidi w:val="0"/>
                    <w:adjustRightInd/>
                    <w:spacing w:line="360" w:lineRule="exact"/>
                    <w:ind w:firstLine="0"/>
                    <w:textAlignment w:val="auto"/>
                  </w:pPr>
                  <w:r>
                    <w:t>3)</w:t>
                  </w:r>
                  <w:r>
                    <w:tab/>
                  </w:r>
                  <w:r>
                    <w:rPr>
                      <w:rFonts w:hint="eastAsia"/>
                    </w:rPr>
                    <w:t>报告单支持打印二维码</w:t>
                  </w:r>
                </w:p>
                <w:p w14:paraId="014EC3EA">
                  <w:pPr>
                    <w:pStyle w:val="131"/>
                    <w:pageBreakBefore w:val="0"/>
                    <w:widowControl w:val="0"/>
                    <w:kinsoku/>
                    <w:wordWrap/>
                    <w:overflowPunct/>
                    <w:topLinePunct w:val="0"/>
                    <w:autoSpaceDE/>
                    <w:autoSpaceDN/>
                    <w:bidi w:val="0"/>
                    <w:adjustRightInd/>
                    <w:spacing w:line="360" w:lineRule="exact"/>
                    <w:ind w:firstLine="0"/>
                    <w:textAlignment w:val="auto"/>
                  </w:pPr>
                  <w:r>
                    <w:t>4)</w:t>
                  </w:r>
                  <w:r>
                    <w:tab/>
                  </w:r>
                  <w:r>
                    <w:rPr>
                      <w:rFonts w:hint="eastAsia"/>
                    </w:rPr>
                    <w:t>报告单支持二维码验证真伪</w:t>
                  </w:r>
                </w:p>
                <w:p w14:paraId="62D4666C">
                  <w:pPr>
                    <w:pStyle w:val="131"/>
                    <w:pageBreakBefore w:val="0"/>
                    <w:widowControl w:val="0"/>
                    <w:kinsoku/>
                    <w:wordWrap/>
                    <w:overflowPunct/>
                    <w:topLinePunct w:val="0"/>
                    <w:autoSpaceDE/>
                    <w:autoSpaceDN/>
                    <w:bidi w:val="0"/>
                    <w:adjustRightInd/>
                    <w:spacing w:line="360" w:lineRule="exact"/>
                    <w:ind w:firstLine="0"/>
                    <w:textAlignment w:val="auto"/>
                    <w:rPr>
                      <w:b/>
                      <w:sz w:val="24"/>
                      <w:szCs w:val="24"/>
                    </w:rPr>
                  </w:pPr>
                  <w:r>
                    <w:rPr>
                      <w:b/>
                      <w:sz w:val="24"/>
                      <w:szCs w:val="24"/>
                    </w:rPr>
                    <w:t>10.</w:t>
                  </w:r>
                  <w:r>
                    <w:rPr>
                      <w:rFonts w:hint="eastAsia"/>
                      <w:b/>
                      <w:sz w:val="24"/>
                      <w:szCs w:val="24"/>
                    </w:rPr>
                    <w:t>临床报告浏览管理</w:t>
                  </w:r>
                </w:p>
                <w:p w14:paraId="717FB9D4">
                  <w:pPr>
                    <w:pStyle w:val="131"/>
                    <w:pageBreakBefore w:val="0"/>
                    <w:widowControl w:val="0"/>
                    <w:kinsoku/>
                    <w:wordWrap/>
                    <w:overflowPunct/>
                    <w:topLinePunct w:val="0"/>
                    <w:autoSpaceDE/>
                    <w:autoSpaceDN/>
                    <w:bidi w:val="0"/>
                    <w:adjustRightInd/>
                    <w:spacing w:line="360" w:lineRule="exact"/>
                    <w:ind w:firstLine="0"/>
                    <w:textAlignment w:val="auto"/>
                  </w:pPr>
                  <w:r>
                    <w:t>1)</w:t>
                  </w:r>
                  <w:r>
                    <w:tab/>
                  </w:r>
                  <w:r>
                    <w:rPr>
                      <w:rFonts w:hint="eastAsia"/>
                    </w:rPr>
                    <w:t>采用浏览器查看可以集成到医院第三方系统中</w:t>
                  </w:r>
                </w:p>
                <w:p w14:paraId="661F0A75">
                  <w:pPr>
                    <w:pStyle w:val="131"/>
                    <w:pageBreakBefore w:val="0"/>
                    <w:widowControl w:val="0"/>
                    <w:kinsoku/>
                    <w:wordWrap/>
                    <w:overflowPunct/>
                    <w:topLinePunct w:val="0"/>
                    <w:autoSpaceDE/>
                    <w:autoSpaceDN/>
                    <w:bidi w:val="0"/>
                    <w:adjustRightInd/>
                    <w:spacing w:line="360" w:lineRule="exact"/>
                    <w:ind w:firstLine="0"/>
                    <w:textAlignment w:val="auto"/>
                  </w:pPr>
                  <w:r>
                    <w:t>2)</w:t>
                  </w:r>
                  <w:r>
                    <w:tab/>
                  </w:r>
                  <w:r>
                    <w:rPr>
                      <w:rFonts w:hint="eastAsia"/>
                    </w:rPr>
                    <w:t>提供专业的对检验报告、数据进行浏览、阅读、打印、分析的工具；</w:t>
                  </w:r>
                </w:p>
                <w:p w14:paraId="6BE981DE">
                  <w:pPr>
                    <w:pStyle w:val="131"/>
                    <w:pageBreakBefore w:val="0"/>
                    <w:widowControl w:val="0"/>
                    <w:kinsoku/>
                    <w:wordWrap/>
                    <w:overflowPunct/>
                    <w:topLinePunct w:val="0"/>
                    <w:autoSpaceDE/>
                    <w:autoSpaceDN/>
                    <w:bidi w:val="0"/>
                    <w:adjustRightInd/>
                    <w:spacing w:line="360" w:lineRule="exact"/>
                    <w:ind w:firstLine="0"/>
                    <w:textAlignment w:val="auto"/>
                  </w:pPr>
                  <w:r>
                    <w:t>3)</w:t>
                  </w:r>
                  <w:r>
                    <w:tab/>
                  </w:r>
                  <w:r>
                    <w:rPr>
                      <w:rFonts w:hint="eastAsia"/>
                    </w:rPr>
                    <w:t>含盖所有种类的检验报告，包括：常规检验报告、微生物检验报告、图像检验报告；</w:t>
                  </w:r>
                </w:p>
                <w:p w14:paraId="0CB999F3">
                  <w:pPr>
                    <w:pStyle w:val="131"/>
                    <w:pageBreakBefore w:val="0"/>
                    <w:widowControl w:val="0"/>
                    <w:kinsoku/>
                    <w:wordWrap/>
                    <w:overflowPunct/>
                    <w:topLinePunct w:val="0"/>
                    <w:autoSpaceDE/>
                    <w:autoSpaceDN/>
                    <w:bidi w:val="0"/>
                    <w:adjustRightInd/>
                    <w:spacing w:line="360" w:lineRule="exact"/>
                    <w:ind w:firstLine="0"/>
                    <w:textAlignment w:val="auto"/>
                  </w:pPr>
                  <w:r>
                    <w:t>4)</w:t>
                  </w:r>
                  <w:r>
                    <w:tab/>
                  </w:r>
                  <w:r>
                    <w:rPr>
                      <w:rFonts w:hint="eastAsia"/>
                    </w:rPr>
                    <w:t>提供报告单每张打印功能；</w:t>
                  </w:r>
                </w:p>
                <w:p w14:paraId="3C190EBF">
                  <w:pPr>
                    <w:pStyle w:val="131"/>
                    <w:pageBreakBefore w:val="0"/>
                    <w:widowControl w:val="0"/>
                    <w:kinsoku/>
                    <w:wordWrap/>
                    <w:overflowPunct/>
                    <w:topLinePunct w:val="0"/>
                    <w:autoSpaceDE/>
                    <w:autoSpaceDN/>
                    <w:bidi w:val="0"/>
                    <w:adjustRightInd/>
                    <w:spacing w:line="360" w:lineRule="exact"/>
                    <w:ind w:firstLine="0"/>
                    <w:textAlignment w:val="auto"/>
                  </w:pPr>
                  <w:r>
                    <w:t>5)</w:t>
                  </w:r>
                  <w:r>
                    <w:tab/>
                  </w:r>
                  <w:r>
                    <w:rPr>
                      <w:rFonts w:hint="eastAsia"/>
                    </w:rPr>
                    <w:t>提供报告单合并打印功能；</w:t>
                  </w:r>
                </w:p>
                <w:p w14:paraId="25EA6675">
                  <w:pPr>
                    <w:pStyle w:val="131"/>
                    <w:pageBreakBefore w:val="0"/>
                    <w:widowControl w:val="0"/>
                    <w:kinsoku/>
                    <w:wordWrap/>
                    <w:overflowPunct/>
                    <w:topLinePunct w:val="0"/>
                    <w:autoSpaceDE/>
                    <w:autoSpaceDN/>
                    <w:bidi w:val="0"/>
                    <w:adjustRightInd/>
                    <w:spacing w:line="360" w:lineRule="exact"/>
                    <w:ind w:firstLine="0"/>
                    <w:textAlignment w:val="auto"/>
                  </w:pPr>
                  <w:r>
                    <w:t>6)</w:t>
                  </w:r>
                  <w:r>
                    <w:tab/>
                  </w:r>
                  <w:r>
                    <w:rPr>
                      <w:rFonts w:hint="eastAsia"/>
                    </w:rPr>
                    <w:t>提供历史检验结果比较</w:t>
                  </w:r>
                </w:p>
                <w:p w14:paraId="7D13FCC0">
                  <w:pPr>
                    <w:pStyle w:val="131"/>
                    <w:pageBreakBefore w:val="0"/>
                    <w:widowControl w:val="0"/>
                    <w:kinsoku/>
                    <w:wordWrap/>
                    <w:overflowPunct/>
                    <w:topLinePunct w:val="0"/>
                    <w:autoSpaceDE/>
                    <w:autoSpaceDN/>
                    <w:bidi w:val="0"/>
                    <w:adjustRightInd/>
                    <w:spacing w:line="360" w:lineRule="exact"/>
                    <w:ind w:firstLine="0"/>
                    <w:textAlignment w:val="auto"/>
                  </w:pPr>
                  <w:r>
                    <w:t>7)</w:t>
                  </w:r>
                  <w:r>
                    <w:tab/>
                  </w:r>
                  <w:r>
                    <w:rPr>
                      <w:rFonts w:hint="eastAsia"/>
                    </w:rPr>
                    <w:t>提供检验结果的分析功能；</w:t>
                  </w:r>
                </w:p>
                <w:p w14:paraId="01F61FCE">
                  <w:pPr>
                    <w:pStyle w:val="131"/>
                    <w:pageBreakBefore w:val="0"/>
                    <w:widowControl w:val="0"/>
                    <w:kinsoku/>
                    <w:wordWrap/>
                    <w:overflowPunct/>
                    <w:topLinePunct w:val="0"/>
                    <w:autoSpaceDE/>
                    <w:autoSpaceDN/>
                    <w:bidi w:val="0"/>
                    <w:adjustRightInd/>
                    <w:spacing w:line="360" w:lineRule="exact"/>
                    <w:ind w:firstLine="0"/>
                    <w:textAlignment w:val="auto"/>
                  </w:pPr>
                  <w:r>
                    <w:t>8)</w:t>
                  </w:r>
                  <w:r>
                    <w:tab/>
                  </w:r>
                  <w:r>
                    <w:rPr>
                      <w:rFonts w:hint="eastAsia"/>
                    </w:rPr>
                    <w:t>提供检验结果一键复制</w:t>
                  </w:r>
                </w:p>
                <w:p w14:paraId="115F96D0">
                  <w:pPr>
                    <w:pStyle w:val="131"/>
                    <w:pageBreakBefore w:val="0"/>
                    <w:widowControl w:val="0"/>
                    <w:kinsoku/>
                    <w:wordWrap/>
                    <w:overflowPunct/>
                    <w:topLinePunct w:val="0"/>
                    <w:autoSpaceDE/>
                    <w:autoSpaceDN/>
                    <w:bidi w:val="0"/>
                    <w:adjustRightInd/>
                    <w:spacing w:line="360" w:lineRule="exact"/>
                    <w:ind w:firstLine="0"/>
                    <w:textAlignment w:val="auto"/>
                  </w:pPr>
                  <w:r>
                    <w:t>9)</w:t>
                  </w:r>
                  <w:r>
                    <w:tab/>
                  </w:r>
                  <w:r>
                    <w:rPr>
                      <w:rFonts w:hint="eastAsia"/>
                    </w:rPr>
                    <w:t>提供检验项目直接链接到相关知识库功能。</w:t>
                  </w:r>
                </w:p>
                <w:p w14:paraId="1B52B687">
                  <w:pPr>
                    <w:pStyle w:val="131"/>
                    <w:pageBreakBefore w:val="0"/>
                    <w:widowControl w:val="0"/>
                    <w:kinsoku/>
                    <w:wordWrap/>
                    <w:overflowPunct/>
                    <w:topLinePunct w:val="0"/>
                    <w:autoSpaceDE/>
                    <w:autoSpaceDN/>
                    <w:bidi w:val="0"/>
                    <w:adjustRightInd/>
                    <w:spacing w:line="360" w:lineRule="exact"/>
                    <w:ind w:firstLine="0"/>
                    <w:textAlignment w:val="auto"/>
                    <w:rPr>
                      <w:b/>
                      <w:sz w:val="24"/>
                      <w:szCs w:val="24"/>
                    </w:rPr>
                  </w:pPr>
                  <w:r>
                    <w:rPr>
                      <w:b/>
                      <w:sz w:val="24"/>
                      <w:szCs w:val="24"/>
                    </w:rPr>
                    <w:t>11.</w:t>
                  </w:r>
                  <w:r>
                    <w:rPr>
                      <w:rFonts w:hint="eastAsia"/>
                      <w:b/>
                      <w:sz w:val="24"/>
                      <w:szCs w:val="24"/>
                    </w:rPr>
                    <w:t>自助取单</w:t>
                  </w:r>
                </w:p>
                <w:p w14:paraId="4A60678E">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功能自定义</w:t>
                  </w:r>
                </w:p>
                <w:p w14:paraId="4EE1EBDC">
                  <w:pPr>
                    <w:pStyle w:val="131"/>
                    <w:pageBreakBefore w:val="0"/>
                    <w:widowControl w:val="0"/>
                    <w:kinsoku/>
                    <w:wordWrap/>
                    <w:overflowPunct/>
                    <w:topLinePunct w:val="0"/>
                    <w:autoSpaceDE/>
                    <w:autoSpaceDN/>
                    <w:bidi w:val="0"/>
                    <w:adjustRightInd/>
                    <w:spacing w:line="360" w:lineRule="exact"/>
                    <w:ind w:firstLine="0"/>
                    <w:textAlignment w:val="auto"/>
                  </w:pPr>
                  <w:r>
                    <w:t>1)</w:t>
                  </w:r>
                  <w:r>
                    <w:tab/>
                  </w:r>
                  <w:r>
                    <w:rPr>
                      <w:rFonts w:hint="eastAsia"/>
                    </w:rPr>
                    <w:t>界面背景自定义</w:t>
                  </w:r>
                </w:p>
                <w:p w14:paraId="5D5FFFE3">
                  <w:pPr>
                    <w:pStyle w:val="131"/>
                    <w:pageBreakBefore w:val="0"/>
                    <w:widowControl w:val="0"/>
                    <w:kinsoku/>
                    <w:wordWrap/>
                    <w:overflowPunct/>
                    <w:topLinePunct w:val="0"/>
                    <w:autoSpaceDE/>
                    <w:autoSpaceDN/>
                    <w:bidi w:val="0"/>
                    <w:adjustRightInd/>
                    <w:spacing w:line="360" w:lineRule="exact"/>
                    <w:ind w:firstLine="0"/>
                    <w:textAlignment w:val="auto"/>
                  </w:pPr>
                  <w:r>
                    <w:t>2)</w:t>
                  </w:r>
                  <w:r>
                    <w:tab/>
                  </w:r>
                  <w:r>
                    <w:rPr>
                      <w:rFonts w:hint="eastAsia"/>
                    </w:rPr>
                    <w:t>界面分布格式自定义</w:t>
                  </w:r>
                </w:p>
                <w:p w14:paraId="62E98306">
                  <w:pPr>
                    <w:pStyle w:val="131"/>
                    <w:pageBreakBefore w:val="0"/>
                    <w:widowControl w:val="0"/>
                    <w:kinsoku/>
                    <w:wordWrap/>
                    <w:overflowPunct/>
                    <w:topLinePunct w:val="0"/>
                    <w:autoSpaceDE/>
                    <w:autoSpaceDN/>
                    <w:bidi w:val="0"/>
                    <w:adjustRightInd/>
                    <w:spacing w:line="360" w:lineRule="exact"/>
                    <w:ind w:firstLine="0"/>
                    <w:textAlignment w:val="auto"/>
                  </w:pPr>
                  <w:r>
                    <w:t>3)</w:t>
                  </w:r>
                  <w:r>
                    <w:tab/>
                  </w:r>
                  <w:r>
                    <w:rPr>
                      <w:rFonts w:hint="eastAsia"/>
                    </w:rPr>
                    <w:t>界面提示语句自定义</w:t>
                  </w:r>
                </w:p>
                <w:p w14:paraId="7EFDCA97">
                  <w:pPr>
                    <w:pStyle w:val="131"/>
                    <w:pageBreakBefore w:val="0"/>
                    <w:widowControl w:val="0"/>
                    <w:kinsoku/>
                    <w:wordWrap/>
                    <w:overflowPunct/>
                    <w:topLinePunct w:val="0"/>
                    <w:autoSpaceDE/>
                    <w:autoSpaceDN/>
                    <w:bidi w:val="0"/>
                    <w:adjustRightInd/>
                    <w:spacing w:line="360" w:lineRule="exact"/>
                    <w:ind w:firstLine="0"/>
                    <w:textAlignment w:val="auto"/>
                  </w:pPr>
                  <w:r>
                    <w:t>4)</w:t>
                  </w:r>
                  <w:r>
                    <w:tab/>
                  </w:r>
                  <w:r>
                    <w:rPr>
                      <w:rFonts w:hint="eastAsia"/>
                    </w:rPr>
                    <w:t>界面提示文字自定义</w:t>
                  </w:r>
                </w:p>
                <w:p w14:paraId="236231C2">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取卡介质</w:t>
                  </w:r>
                </w:p>
                <w:p w14:paraId="1E564287">
                  <w:pPr>
                    <w:pStyle w:val="131"/>
                    <w:pageBreakBefore w:val="0"/>
                    <w:widowControl w:val="0"/>
                    <w:kinsoku/>
                    <w:wordWrap/>
                    <w:overflowPunct/>
                    <w:topLinePunct w:val="0"/>
                    <w:autoSpaceDE/>
                    <w:autoSpaceDN/>
                    <w:bidi w:val="0"/>
                    <w:adjustRightInd/>
                    <w:spacing w:line="360" w:lineRule="exact"/>
                    <w:ind w:firstLine="0"/>
                    <w:textAlignment w:val="auto"/>
                  </w:pPr>
                  <w:r>
                    <w:t>1)</w:t>
                  </w:r>
                  <w:r>
                    <w:tab/>
                  </w:r>
                  <w:r>
                    <w:rPr>
                      <w:rFonts w:hint="eastAsia"/>
                    </w:rPr>
                    <w:t>支持回执单</w:t>
                  </w:r>
                </w:p>
                <w:p w14:paraId="5CC7CE59">
                  <w:pPr>
                    <w:pStyle w:val="131"/>
                    <w:pageBreakBefore w:val="0"/>
                    <w:widowControl w:val="0"/>
                    <w:kinsoku/>
                    <w:wordWrap/>
                    <w:overflowPunct/>
                    <w:topLinePunct w:val="0"/>
                    <w:autoSpaceDE/>
                    <w:autoSpaceDN/>
                    <w:bidi w:val="0"/>
                    <w:adjustRightInd/>
                    <w:spacing w:line="360" w:lineRule="exact"/>
                    <w:ind w:firstLine="0"/>
                    <w:textAlignment w:val="auto"/>
                  </w:pPr>
                  <w:r>
                    <w:t>2)</w:t>
                  </w:r>
                  <w:r>
                    <w:tab/>
                  </w:r>
                  <w:r>
                    <w:rPr>
                      <w:rFonts w:hint="eastAsia"/>
                    </w:rPr>
                    <w:t>支持就诊卡</w:t>
                  </w:r>
                </w:p>
                <w:p w14:paraId="6374962E">
                  <w:pPr>
                    <w:pStyle w:val="131"/>
                    <w:pageBreakBefore w:val="0"/>
                    <w:widowControl w:val="0"/>
                    <w:kinsoku/>
                    <w:wordWrap/>
                    <w:overflowPunct/>
                    <w:topLinePunct w:val="0"/>
                    <w:autoSpaceDE/>
                    <w:autoSpaceDN/>
                    <w:bidi w:val="0"/>
                    <w:adjustRightInd/>
                    <w:spacing w:line="360" w:lineRule="exact"/>
                    <w:ind w:firstLine="0"/>
                    <w:textAlignment w:val="auto"/>
                  </w:pPr>
                  <w:r>
                    <w:t>3)</w:t>
                  </w:r>
                  <w:r>
                    <w:tab/>
                  </w:r>
                  <w:r>
                    <w:rPr>
                      <w:rFonts w:hint="eastAsia"/>
                    </w:rPr>
                    <w:t>支持医保卡</w:t>
                  </w:r>
                </w:p>
                <w:p w14:paraId="5506DAE7">
                  <w:pPr>
                    <w:pStyle w:val="131"/>
                    <w:pageBreakBefore w:val="0"/>
                    <w:widowControl w:val="0"/>
                    <w:kinsoku/>
                    <w:wordWrap/>
                    <w:overflowPunct/>
                    <w:topLinePunct w:val="0"/>
                    <w:autoSpaceDE/>
                    <w:autoSpaceDN/>
                    <w:bidi w:val="0"/>
                    <w:adjustRightInd/>
                    <w:spacing w:line="360" w:lineRule="exact"/>
                    <w:ind w:firstLine="0"/>
                    <w:textAlignment w:val="auto"/>
                  </w:pPr>
                  <w:r>
                    <w:t>4)</w:t>
                  </w:r>
                  <w:r>
                    <w:tab/>
                  </w:r>
                  <w:r>
                    <w:rPr>
                      <w:rFonts w:hint="eastAsia"/>
                    </w:rPr>
                    <w:t>支持身份证</w:t>
                  </w:r>
                </w:p>
                <w:p w14:paraId="63DB0697">
                  <w:pPr>
                    <w:pStyle w:val="131"/>
                    <w:pageBreakBefore w:val="0"/>
                    <w:widowControl w:val="0"/>
                    <w:kinsoku/>
                    <w:wordWrap/>
                    <w:overflowPunct/>
                    <w:topLinePunct w:val="0"/>
                    <w:autoSpaceDE/>
                    <w:autoSpaceDN/>
                    <w:bidi w:val="0"/>
                    <w:adjustRightInd/>
                    <w:spacing w:line="360" w:lineRule="exact"/>
                    <w:ind w:firstLine="0"/>
                    <w:textAlignment w:val="auto"/>
                  </w:pPr>
                  <w:r>
                    <w:t>5)</w:t>
                  </w:r>
                  <w:r>
                    <w:tab/>
                  </w:r>
                  <w:r>
                    <w:rPr>
                      <w:rFonts w:hint="eastAsia"/>
                    </w:rPr>
                    <w:t>支持手工输入</w:t>
                  </w:r>
                </w:p>
                <w:p w14:paraId="0DBF2EC8">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常见报告提示</w:t>
                  </w:r>
                </w:p>
                <w:p w14:paraId="64833402">
                  <w:pPr>
                    <w:pStyle w:val="131"/>
                    <w:pageBreakBefore w:val="0"/>
                    <w:widowControl w:val="0"/>
                    <w:kinsoku/>
                    <w:wordWrap/>
                    <w:overflowPunct/>
                    <w:topLinePunct w:val="0"/>
                    <w:autoSpaceDE/>
                    <w:autoSpaceDN/>
                    <w:bidi w:val="0"/>
                    <w:adjustRightInd/>
                    <w:spacing w:line="360" w:lineRule="exact"/>
                    <w:ind w:firstLine="0"/>
                    <w:textAlignment w:val="auto"/>
                  </w:pPr>
                  <w:r>
                    <w:t>1)</w:t>
                  </w:r>
                  <w:r>
                    <w:tab/>
                  </w:r>
                  <w:r>
                    <w:rPr>
                      <w:rFonts w:hint="eastAsia"/>
                    </w:rPr>
                    <w:t>无打印报告信息提示；</w:t>
                  </w:r>
                </w:p>
                <w:p w14:paraId="4BA0AFE5">
                  <w:pPr>
                    <w:pStyle w:val="131"/>
                    <w:pageBreakBefore w:val="0"/>
                    <w:widowControl w:val="0"/>
                    <w:kinsoku/>
                    <w:wordWrap/>
                    <w:overflowPunct/>
                    <w:topLinePunct w:val="0"/>
                    <w:autoSpaceDE/>
                    <w:autoSpaceDN/>
                    <w:bidi w:val="0"/>
                    <w:adjustRightInd/>
                    <w:spacing w:line="360" w:lineRule="exact"/>
                    <w:ind w:firstLine="0"/>
                    <w:textAlignment w:val="auto"/>
                  </w:pPr>
                  <w:r>
                    <w:t>2)</w:t>
                  </w:r>
                  <w:r>
                    <w:tab/>
                  </w:r>
                  <w:r>
                    <w:rPr>
                      <w:rFonts w:hint="eastAsia"/>
                    </w:rPr>
                    <w:t>正在检验报告信息提示</w:t>
                  </w:r>
                  <w:r>
                    <w:t>;</w:t>
                  </w:r>
                </w:p>
                <w:p w14:paraId="46C5BBB4">
                  <w:pPr>
                    <w:pStyle w:val="131"/>
                    <w:pageBreakBefore w:val="0"/>
                    <w:widowControl w:val="0"/>
                    <w:kinsoku/>
                    <w:wordWrap/>
                    <w:overflowPunct/>
                    <w:topLinePunct w:val="0"/>
                    <w:autoSpaceDE/>
                    <w:autoSpaceDN/>
                    <w:bidi w:val="0"/>
                    <w:adjustRightInd/>
                    <w:spacing w:line="360" w:lineRule="exact"/>
                    <w:ind w:firstLine="0"/>
                    <w:textAlignment w:val="auto"/>
                  </w:pPr>
                  <w:r>
                    <w:t>3)</w:t>
                  </w:r>
                  <w:r>
                    <w:tab/>
                  </w:r>
                  <w:r>
                    <w:rPr>
                      <w:rFonts w:hint="eastAsia"/>
                    </w:rPr>
                    <w:t>可打印报告信息提示；</w:t>
                  </w:r>
                </w:p>
                <w:p w14:paraId="34EA492B">
                  <w:pPr>
                    <w:pStyle w:val="131"/>
                    <w:pageBreakBefore w:val="0"/>
                    <w:widowControl w:val="0"/>
                    <w:kinsoku/>
                    <w:wordWrap/>
                    <w:overflowPunct/>
                    <w:topLinePunct w:val="0"/>
                    <w:autoSpaceDE/>
                    <w:autoSpaceDN/>
                    <w:bidi w:val="0"/>
                    <w:adjustRightInd/>
                    <w:spacing w:line="360" w:lineRule="exact"/>
                    <w:ind w:firstLine="0"/>
                    <w:textAlignment w:val="auto"/>
                  </w:pPr>
                  <w:r>
                    <w:t>4)</w:t>
                  </w:r>
                  <w:r>
                    <w:tab/>
                  </w:r>
                  <w:r>
                    <w:rPr>
                      <w:rFonts w:hint="eastAsia"/>
                    </w:rPr>
                    <w:t>特殊报告信息提示；</w:t>
                  </w:r>
                </w:p>
                <w:p w14:paraId="3A280366">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异常报告打印</w:t>
                  </w:r>
                </w:p>
                <w:p w14:paraId="7E526BFB">
                  <w:pPr>
                    <w:pStyle w:val="131"/>
                    <w:pageBreakBefore w:val="0"/>
                    <w:widowControl w:val="0"/>
                    <w:kinsoku/>
                    <w:wordWrap/>
                    <w:overflowPunct/>
                    <w:topLinePunct w:val="0"/>
                    <w:autoSpaceDE/>
                    <w:autoSpaceDN/>
                    <w:bidi w:val="0"/>
                    <w:adjustRightInd/>
                    <w:spacing w:line="360" w:lineRule="exact"/>
                    <w:ind w:firstLine="0"/>
                    <w:textAlignment w:val="auto"/>
                  </w:pPr>
                  <w:r>
                    <w:t>1)</w:t>
                  </w:r>
                  <w:r>
                    <w:tab/>
                  </w:r>
                  <w:r>
                    <w:rPr>
                      <w:rFonts w:hint="eastAsia"/>
                    </w:rPr>
                    <w:t>门诊重新采血单打印</w:t>
                  </w:r>
                </w:p>
                <w:p w14:paraId="4309E84D">
                  <w:pPr>
                    <w:pStyle w:val="131"/>
                    <w:pageBreakBefore w:val="0"/>
                    <w:widowControl w:val="0"/>
                    <w:kinsoku/>
                    <w:wordWrap/>
                    <w:overflowPunct/>
                    <w:topLinePunct w:val="0"/>
                    <w:autoSpaceDE/>
                    <w:autoSpaceDN/>
                    <w:bidi w:val="0"/>
                    <w:adjustRightInd/>
                    <w:spacing w:line="360" w:lineRule="exact"/>
                    <w:ind w:firstLine="0"/>
                    <w:textAlignment w:val="auto"/>
                  </w:pPr>
                  <w:r>
                    <w:t>2)</w:t>
                  </w:r>
                  <w:r>
                    <w:tab/>
                  </w:r>
                  <w:r>
                    <w:rPr>
                      <w:rFonts w:hint="eastAsia"/>
                    </w:rPr>
                    <w:t>门诊报告延时单打印</w:t>
                  </w:r>
                </w:p>
                <w:p w14:paraId="13EC8FDF">
                  <w:pPr>
                    <w:pStyle w:val="131"/>
                    <w:pageBreakBefore w:val="0"/>
                    <w:widowControl w:val="0"/>
                    <w:kinsoku/>
                    <w:wordWrap/>
                    <w:overflowPunct/>
                    <w:topLinePunct w:val="0"/>
                    <w:autoSpaceDE/>
                    <w:autoSpaceDN/>
                    <w:bidi w:val="0"/>
                    <w:adjustRightInd/>
                    <w:spacing w:line="360" w:lineRule="exact"/>
                    <w:ind w:firstLine="0"/>
                    <w:textAlignment w:val="auto"/>
                    <w:rPr>
                      <w:b/>
                      <w:sz w:val="24"/>
                      <w:szCs w:val="24"/>
                    </w:rPr>
                  </w:pPr>
                  <w:r>
                    <w:rPr>
                      <w:b/>
                      <w:sz w:val="24"/>
                      <w:szCs w:val="24"/>
                    </w:rPr>
                    <w:t>12.</w:t>
                  </w:r>
                  <w:r>
                    <w:rPr>
                      <w:rFonts w:hint="eastAsia"/>
                      <w:b/>
                      <w:sz w:val="24"/>
                      <w:szCs w:val="24"/>
                    </w:rPr>
                    <w:t>实验室全流程监控</w:t>
                  </w:r>
                </w:p>
                <w:p w14:paraId="4D3C83C5">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计划维护功能</w:t>
                  </w:r>
                </w:p>
                <w:p w14:paraId="77E5B406">
                  <w:pPr>
                    <w:pStyle w:val="131"/>
                    <w:pageBreakBefore w:val="0"/>
                    <w:widowControl w:val="0"/>
                    <w:kinsoku/>
                    <w:wordWrap/>
                    <w:overflowPunct/>
                    <w:topLinePunct w:val="0"/>
                    <w:autoSpaceDE/>
                    <w:autoSpaceDN/>
                    <w:bidi w:val="0"/>
                    <w:adjustRightInd/>
                    <w:spacing w:line="360" w:lineRule="exact"/>
                    <w:ind w:firstLine="0"/>
                    <w:textAlignment w:val="auto"/>
                  </w:pPr>
                  <w:r>
                    <w:t>1)</w:t>
                  </w:r>
                  <w:r>
                    <w:tab/>
                  </w:r>
                  <w:r>
                    <w:rPr>
                      <w:rFonts w:hint="eastAsia"/>
                    </w:rPr>
                    <w:t>对系统的主要业务流程全面引入计划管理，以便对主要业务做到全程监控，开单</w:t>
                  </w:r>
                  <w:r>
                    <w:t>--</w:t>
                  </w:r>
                  <w:r>
                    <w:rPr>
                      <w:rFonts w:hint="eastAsia"/>
                    </w:rPr>
                    <w:t>采样</w:t>
                  </w:r>
                  <w:r>
                    <w:t>--</w:t>
                  </w:r>
                  <w:r>
                    <w:rPr>
                      <w:rFonts w:hint="eastAsia"/>
                    </w:rPr>
                    <w:t>送出</w:t>
                  </w:r>
                  <w:r>
                    <w:t>--</w:t>
                  </w:r>
                  <w:r>
                    <w:rPr>
                      <w:rFonts w:hint="eastAsia"/>
                    </w:rPr>
                    <w:t>接收</w:t>
                  </w:r>
                  <w:r>
                    <w:t>--</w:t>
                  </w:r>
                  <w:r>
                    <w:rPr>
                      <w:rFonts w:hint="eastAsia"/>
                    </w:rPr>
                    <w:t>报告都可以自定义计划。</w:t>
                  </w:r>
                </w:p>
                <w:p w14:paraId="18E4D1C4">
                  <w:pPr>
                    <w:pStyle w:val="131"/>
                    <w:pageBreakBefore w:val="0"/>
                    <w:widowControl w:val="0"/>
                    <w:kinsoku/>
                    <w:wordWrap/>
                    <w:overflowPunct/>
                    <w:topLinePunct w:val="0"/>
                    <w:autoSpaceDE/>
                    <w:autoSpaceDN/>
                    <w:bidi w:val="0"/>
                    <w:adjustRightInd/>
                    <w:spacing w:line="360" w:lineRule="exact"/>
                    <w:ind w:firstLine="0"/>
                    <w:textAlignment w:val="auto"/>
                  </w:pPr>
                  <w:r>
                    <w:t>2)</w:t>
                  </w:r>
                  <w:r>
                    <w:tab/>
                  </w:r>
                  <w:r>
                    <w:rPr>
                      <w:rFonts w:hint="eastAsia"/>
                    </w:rPr>
                    <w:t>可以针对门、急诊、住院病人分别制定计划。</w:t>
                  </w:r>
                </w:p>
                <w:p w14:paraId="4261F3A2">
                  <w:pPr>
                    <w:pStyle w:val="131"/>
                    <w:pageBreakBefore w:val="0"/>
                    <w:widowControl w:val="0"/>
                    <w:kinsoku/>
                    <w:wordWrap/>
                    <w:overflowPunct/>
                    <w:topLinePunct w:val="0"/>
                    <w:autoSpaceDE/>
                    <w:autoSpaceDN/>
                    <w:bidi w:val="0"/>
                    <w:adjustRightInd/>
                    <w:spacing w:line="360" w:lineRule="exact"/>
                    <w:ind w:firstLine="0"/>
                    <w:textAlignment w:val="auto"/>
                  </w:pPr>
                  <w:r>
                    <w:t>3)</w:t>
                  </w:r>
                  <w:r>
                    <w:tab/>
                  </w:r>
                  <w:r>
                    <w:rPr>
                      <w:rFonts w:hint="eastAsia"/>
                    </w:rPr>
                    <w:t>可以针对不同的标本类型</w:t>
                  </w:r>
                  <w:r>
                    <w:t>/</w:t>
                  </w:r>
                  <w:r>
                    <w:rPr>
                      <w:rFonts w:hint="eastAsia"/>
                    </w:rPr>
                    <w:t>分单类别</w:t>
                  </w:r>
                  <w:r>
                    <w:t>/</w:t>
                  </w:r>
                  <w:r>
                    <w:rPr>
                      <w:rFonts w:hint="eastAsia"/>
                    </w:rPr>
                    <w:t>加急标志</w:t>
                  </w:r>
                  <w:r>
                    <w:t>/</w:t>
                  </w:r>
                  <w:r>
                    <w:rPr>
                      <w:rFonts w:hint="eastAsia"/>
                    </w:rPr>
                    <w:t>检验项目制定计划。</w:t>
                  </w:r>
                </w:p>
                <w:p w14:paraId="55E1119A">
                  <w:pPr>
                    <w:pStyle w:val="131"/>
                    <w:pageBreakBefore w:val="0"/>
                    <w:widowControl w:val="0"/>
                    <w:kinsoku/>
                    <w:wordWrap/>
                    <w:overflowPunct/>
                    <w:topLinePunct w:val="0"/>
                    <w:autoSpaceDE/>
                    <w:autoSpaceDN/>
                    <w:bidi w:val="0"/>
                    <w:adjustRightInd/>
                    <w:spacing w:line="360" w:lineRule="exact"/>
                    <w:ind w:firstLine="0"/>
                    <w:textAlignment w:val="auto"/>
                  </w:pPr>
                  <w:r>
                    <w:t>4)</w:t>
                  </w:r>
                  <w:r>
                    <w:tab/>
                  </w:r>
                  <w:r>
                    <w:rPr>
                      <w:rFonts w:hint="eastAsia"/>
                    </w:rPr>
                    <w:t>标本流转到各个环节时，根据预设规则会提前自动提醒或者报警，避免遗漏、超时。</w:t>
                  </w:r>
                </w:p>
                <w:p w14:paraId="6F08DFF7">
                  <w:pPr>
                    <w:pStyle w:val="131"/>
                    <w:pageBreakBefore w:val="0"/>
                    <w:widowControl w:val="0"/>
                    <w:kinsoku/>
                    <w:wordWrap/>
                    <w:overflowPunct/>
                    <w:topLinePunct w:val="0"/>
                    <w:autoSpaceDE/>
                    <w:autoSpaceDN/>
                    <w:bidi w:val="0"/>
                    <w:adjustRightInd/>
                    <w:spacing w:line="360" w:lineRule="exact"/>
                    <w:ind w:firstLine="0"/>
                    <w:textAlignment w:val="auto"/>
                  </w:pPr>
                  <w:r>
                    <w:t>5)</w:t>
                  </w:r>
                  <w:r>
                    <w:tab/>
                  </w:r>
                  <w:r>
                    <w:rPr>
                      <w:rFonts w:hint="eastAsia"/>
                    </w:rPr>
                    <w:t>标本流转全过程监控，每个节点操作信息可查看与统计分析。</w:t>
                  </w:r>
                </w:p>
                <w:p w14:paraId="54005854">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常见监控提醒方式</w:t>
                  </w:r>
                </w:p>
                <w:p w14:paraId="2C099393">
                  <w:pPr>
                    <w:pStyle w:val="131"/>
                    <w:pageBreakBefore w:val="0"/>
                    <w:widowControl w:val="0"/>
                    <w:kinsoku/>
                    <w:wordWrap/>
                    <w:overflowPunct/>
                    <w:topLinePunct w:val="0"/>
                    <w:autoSpaceDE/>
                    <w:autoSpaceDN/>
                    <w:bidi w:val="0"/>
                    <w:adjustRightInd/>
                    <w:spacing w:line="360" w:lineRule="exact"/>
                    <w:ind w:firstLine="0"/>
                    <w:textAlignment w:val="auto"/>
                  </w:pPr>
                  <w:r>
                    <w:t>1)</w:t>
                  </w:r>
                  <w:r>
                    <w:tab/>
                  </w:r>
                  <w:r>
                    <w:rPr>
                      <w:rFonts w:hint="eastAsia"/>
                    </w:rPr>
                    <w:t>软件弹窗提醒</w:t>
                  </w:r>
                </w:p>
                <w:p w14:paraId="4A19A7FB">
                  <w:pPr>
                    <w:pStyle w:val="131"/>
                    <w:pageBreakBefore w:val="0"/>
                    <w:widowControl w:val="0"/>
                    <w:kinsoku/>
                    <w:wordWrap/>
                    <w:overflowPunct/>
                    <w:topLinePunct w:val="0"/>
                    <w:autoSpaceDE/>
                    <w:autoSpaceDN/>
                    <w:bidi w:val="0"/>
                    <w:adjustRightInd/>
                    <w:spacing w:line="360" w:lineRule="exact"/>
                    <w:ind w:firstLine="0"/>
                    <w:textAlignment w:val="auto"/>
                  </w:pPr>
                  <w:r>
                    <w:t>2)</w:t>
                  </w:r>
                  <w:r>
                    <w:tab/>
                  </w:r>
                  <w:r>
                    <w:rPr>
                      <w:rFonts w:hint="eastAsia"/>
                    </w:rPr>
                    <w:t>大屏提醒</w:t>
                  </w:r>
                </w:p>
                <w:p w14:paraId="66C850B8">
                  <w:pPr>
                    <w:pStyle w:val="131"/>
                    <w:pageBreakBefore w:val="0"/>
                    <w:widowControl w:val="0"/>
                    <w:kinsoku/>
                    <w:wordWrap/>
                    <w:overflowPunct/>
                    <w:topLinePunct w:val="0"/>
                    <w:autoSpaceDE/>
                    <w:autoSpaceDN/>
                    <w:bidi w:val="0"/>
                    <w:adjustRightInd/>
                    <w:spacing w:line="360" w:lineRule="exact"/>
                    <w:ind w:firstLine="0"/>
                    <w:textAlignment w:val="auto"/>
                  </w:pPr>
                  <w:r>
                    <w:t>3)</w:t>
                  </w:r>
                  <w:r>
                    <w:tab/>
                  </w:r>
                  <w:r>
                    <w:rPr>
                      <w:rFonts w:hint="eastAsia"/>
                    </w:rPr>
                    <w:t>短信提醒</w:t>
                  </w:r>
                </w:p>
                <w:p w14:paraId="11062D22">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常见提醒功能</w:t>
                  </w:r>
                </w:p>
                <w:p w14:paraId="5B3FC017">
                  <w:pPr>
                    <w:pStyle w:val="131"/>
                    <w:pageBreakBefore w:val="0"/>
                    <w:widowControl w:val="0"/>
                    <w:kinsoku/>
                    <w:wordWrap/>
                    <w:overflowPunct/>
                    <w:topLinePunct w:val="0"/>
                    <w:autoSpaceDE/>
                    <w:autoSpaceDN/>
                    <w:bidi w:val="0"/>
                    <w:adjustRightInd/>
                    <w:spacing w:line="360" w:lineRule="exact"/>
                    <w:ind w:firstLine="0"/>
                    <w:textAlignment w:val="auto"/>
                  </w:pPr>
                  <w:r>
                    <w:t>1)</w:t>
                  </w:r>
                  <w:r>
                    <w:tab/>
                  </w:r>
                  <w:r>
                    <w:rPr>
                      <w:rFonts w:hint="eastAsia"/>
                    </w:rPr>
                    <w:t>样本采集时效监控</w:t>
                  </w:r>
                </w:p>
                <w:p w14:paraId="24CD1380">
                  <w:pPr>
                    <w:pStyle w:val="131"/>
                    <w:pageBreakBefore w:val="0"/>
                    <w:widowControl w:val="0"/>
                    <w:kinsoku/>
                    <w:wordWrap/>
                    <w:overflowPunct/>
                    <w:topLinePunct w:val="0"/>
                    <w:autoSpaceDE/>
                    <w:autoSpaceDN/>
                    <w:bidi w:val="0"/>
                    <w:adjustRightInd/>
                    <w:spacing w:line="360" w:lineRule="exact"/>
                    <w:ind w:firstLine="0"/>
                    <w:textAlignment w:val="auto"/>
                  </w:pPr>
                  <w:r>
                    <w:t>2)</w:t>
                  </w:r>
                  <w:r>
                    <w:tab/>
                  </w:r>
                  <w:r>
                    <w:rPr>
                      <w:rFonts w:hint="eastAsia"/>
                    </w:rPr>
                    <w:t>临床标本流转时效监控</w:t>
                  </w:r>
                </w:p>
                <w:p w14:paraId="508EB669">
                  <w:pPr>
                    <w:pStyle w:val="131"/>
                    <w:pageBreakBefore w:val="0"/>
                    <w:widowControl w:val="0"/>
                    <w:kinsoku/>
                    <w:wordWrap/>
                    <w:overflowPunct/>
                    <w:topLinePunct w:val="0"/>
                    <w:autoSpaceDE/>
                    <w:autoSpaceDN/>
                    <w:bidi w:val="0"/>
                    <w:adjustRightInd/>
                    <w:spacing w:line="360" w:lineRule="exact"/>
                    <w:ind w:firstLine="0"/>
                    <w:textAlignment w:val="auto"/>
                  </w:pPr>
                  <w:r>
                    <w:t>3)</w:t>
                  </w:r>
                  <w:r>
                    <w:tab/>
                  </w:r>
                  <w:r>
                    <w:rPr>
                      <w:rFonts w:hint="eastAsia"/>
                    </w:rPr>
                    <w:t>临床与实验室交接时效监控</w:t>
                  </w:r>
                </w:p>
                <w:p w14:paraId="4A1D5AB7">
                  <w:pPr>
                    <w:pStyle w:val="131"/>
                    <w:pageBreakBefore w:val="0"/>
                    <w:widowControl w:val="0"/>
                    <w:kinsoku/>
                    <w:wordWrap/>
                    <w:overflowPunct/>
                    <w:topLinePunct w:val="0"/>
                    <w:autoSpaceDE/>
                    <w:autoSpaceDN/>
                    <w:bidi w:val="0"/>
                    <w:adjustRightInd/>
                    <w:spacing w:line="360" w:lineRule="exact"/>
                    <w:ind w:firstLine="0"/>
                    <w:textAlignment w:val="auto"/>
                    <w:rPr>
                      <w:b/>
                      <w:sz w:val="24"/>
                      <w:szCs w:val="24"/>
                    </w:rPr>
                  </w:pPr>
                  <w:r>
                    <w:rPr>
                      <w:b/>
                      <w:sz w:val="24"/>
                      <w:szCs w:val="24"/>
                    </w:rPr>
                    <w:t>13.</w:t>
                  </w:r>
                  <w:r>
                    <w:rPr>
                      <w:rFonts w:hint="eastAsia"/>
                      <w:b/>
                      <w:sz w:val="24"/>
                      <w:szCs w:val="24"/>
                    </w:rPr>
                    <w:t>不合格标本管理</w:t>
                  </w:r>
                </w:p>
                <w:p w14:paraId="25CD9370">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不合格标本字典管理</w:t>
                  </w:r>
                </w:p>
                <w:p w14:paraId="193DCA7B">
                  <w:pPr>
                    <w:pStyle w:val="131"/>
                    <w:pageBreakBefore w:val="0"/>
                    <w:widowControl w:val="0"/>
                    <w:kinsoku/>
                    <w:wordWrap/>
                    <w:overflowPunct/>
                    <w:topLinePunct w:val="0"/>
                    <w:autoSpaceDE/>
                    <w:autoSpaceDN/>
                    <w:bidi w:val="0"/>
                    <w:adjustRightInd/>
                    <w:spacing w:line="360" w:lineRule="exact"/>
                    <w:ind w:firstLine="0"/>
                    <w:textAlignment w:val="auto"/>
                  </w:pPr>
                  <w:r>
                    <w:t>1)</w:t>
                  </w:r>
                  <w:r>
                    <w:tab/>
                  </w:r>
                  <w:r>
                    <w:rPr>
                      <w:rFonts w:hint="eastAsia"/>
                    </w:rPr>
                    <w:t>不合格标本类型标准化，包括：标本容器错误、标本类型错误、标本采集量不合格、标本容器损坏、标本丢失、标签损坏、脂血、溶血、抗凝标本凝集、微生物标本污染、采集时机不准确、运转时间不当、运转温度不当、信息错误、信息与完整、其它等；</w:t>
                  </w:r>
                </w:p>
                <w:p w14:paraId="294E5164">
                  <w:pPr>
                    <w:pStyle w:val="131"/>
                    <w:pageBreakBefore w:val="0"/>
                    <w:widowControl w:val="0"/>
                    <w:kinsoku/>
                    <w:wordWrap/>
                    <w:overflowPunct/>
                    <w:topLinePunct w:val="0"/>
                    <w:autoSpaceDE/>
                    <w:autoSpaceDN/>
                    <w:bidi w:val="0"/>
                    <w:adjustRightInd/>
                    <w:spacing w:line="360" w:lineRule="exact"/>
                    <w:ind w:firstLine="0"/>
                    <w:textAlignment w:val="auto"/>
                  </w:pPr>
                  <w:r>
                    <w:t>2)</w:t>
                  </w:r>
                  <w:r>
                    <w:tab/>
                  </w:r>
                  <w:r>
                    <w:rPr>
                      <w:rFonts w:hint="eastAsia"/>
                    </w:rPr>
                    <w:t>支持用户自定义不合格类型并与标准作对照；</w:t>
                  </w:r>
                </w:p>
                <w:p w14:paraId="001CB695">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不合格标本检验科管理</w:t>
                  </w:r>
                </w:p>
                <w:p w14:paraId="7E85A70C">
                  <w:pPr>
                    <w:pStyle w:val="131"/>
                    <w:pageBreakBefore w:val="0"/>
                    <w:widowControl w:val="0"/>
                    <w:kinsoku/>
                    <w:wordWrap/>
                    <w:overflowPunct/>
                    <w:topLinePunct w:val="0"/>
                    <w:autoSpaceDE/>
                    <w:autoSpaceDN/>
                    <w:bidi w:val="0"/>
                    <w:adjustRightInd/>
                    <w:spacing w:line="360" w:lineRule="exact"/>
                    <w:ind w:firstLine="0"/>
                    <w:textAlignment w:val="auto"/>
                  </w:pPr>
                  <w:r>
                    <w:t>1)</w:t>
                  </w:r>
                  <w:r>
                    <w:tab/>
                  </w:r>
                  <w:r>
                    <w:rPr>
                      <w:rFonts w:hint="eastAsia"/>
                    </w:rPr>
                    <w:t>不合格标本退回</w:t>
                  </w:r>
                </w:p>
                <w:p w14:paraId="771E3D4C">
                  <w:pPr>
                    <w:pStyle w:val="131"/>
                    <w:pageBreakBefore w:val="0"/>
                    <w:widowControl w:val="0"/>
                    <w:kinsoku/>
                    <w:wordWrap/>
                    <w:overflowPunct/>
                    <w:topLinePunct w:val="0"/>
                    <w:autoSpaceDE/>
                    <w:autoSpaceDN/>
                    <w:bidi w:val="0"/>
                    <w:adjustRightInd/>
                    <w:spacing w:line="360" w:lineRule="exact"/>
                    <w:ind w:firstLine="0"/>
                    <w:textAlignment w:val="auto"/>
                  </w:pPr>
                  <w:r>
                    <w:t>2)</w:t>
                  </w:r>
                  <w:r>
                    <w:tab/>
                  </w:r>
                  <w:r>
                    <w:rPr>
                      <w:rFonts w:hint="eastAsia"/>
                    </w:rPr>
                    <w:t>部分不合格标本登记备注信息</w:t>
                  </w:r>
                </w:p>
                <w:p w14:paraId="7D2F6ABF">
                  <w:pPr>
                    <w:pStyle w:val="131"/>
                    <w:pageBreakBefore w:val="0"/>
                    <w:widowControl w:val="0"/>
                    <w:kinsoku/>
                    <w:wordWrap/>
                    <w:overflowPunct/>
                    <w:topLinePunct w:val="0"/>
                    <w:autoSpaceDE/>
                    <w:autoSpaceDN/>
                    <w:bidi w:val="0"/>
                    <w:adjustRightInd/>
                    <w:spacing w:line="360" w:lineRule="exact"/>
                    <w:ind w:firstLine="0"/>
                    <w:textAlignment w:val="auto"/>
                  </w:pPr>
                  <w:r>
                    <w:t>3)</w:t>
                  </w:r>
                  <w:r>
                    <w:tab/>
                  </w:r>
                  <w:r>
                    <w:rPr>
                      <w:rFonts w:hint="eastAsia"/>
                    </w:rPr>
                    <w:t>不合格标本拍照</w:t>
                  </w:r>
                </w:p>
                <w:p w14:paraId="40A7D464">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不合格标本临床管理</w:t>
                  </w:r>
                </w:p>
                <w:p w14:paraId="3B5123AC">
                  <w:pPr>
                    <w:pStyle w:val="131"/>
                    <w:pageBreakBefore w:val="0"/>
                    <w:widowControl w:val="0"/>
                    <w:kinsoku/>
                    <w:wordWrap/>
                    <w:overflowPunct/>
                    <w:topLinePunct w:val="0"/>
                    <w:autoSpaceDE/>
                    <w:autoSpaceDN/>
                    <w:bidi w:val="0"/>
                    <w:adjustRightInd/>
                    <w:spacing w:line="360" w:lineRule="exact"/>
                    <w:ind w:firstLine="0"/>
                    <w:textAlignment w:val="auto"/>
                  </w:pPr>
                  <w:r>
                    <w:t>1)</w:t>
                  </w:r>
                  <w:r>
                    <w:tab/>
                  </w:r>
                  <w:r>
                    <w:rPr>
                      <w:rFonts w:hint="eastAsia"/>
                    </w:rPr>
                    <w:t>不合格标本临床提醒</w:t>
                  </w:r>
                </w:p>
                <w:p w14:paraId="3C51C6C8">
                  <w:pPr>
                    <w:pStyle w:val="131"/>
                    <w:pageBreakBefore w:val="0"/>
                    <w:widowControl w:val="0"/>
                    <w:kinsoku/>
                    <w:wordWrap/>
                    <w:overflowPunct/>
                    <w:topLinePunct w:val="0"/>
                    <w:autoSpaceDE/>
                    <w:autoSpaceDN/>
                    <w:bidi w:val="0"/>
                    <w:adjustRightInd/>
                    <w:spacing w:line="360" w:lineRule="exact"/>
                    <w:ind w:firstLine="0"/>
                    <w:textAlignment w:val="auto"/>
                  </w:pPr>
                  <w:r>
                    <w:t>2)</w:t>
                  </w:r>
                  <w:r>
                    <w:tab/>
                  </w:r>
                  <w:r>
                    <w:rPr>
                      <w:rFonts w:hint="eastAsia"/>
                    </w:rPr>
                    <w:t>不合格标本临床确认</w:t>
                  </w:r>
                </w:p>
                <w:p w14:paraId="51519469">
                  <w:pPr>
                    <w:pStyle w:val="131"/>
                    <w:pageBreakBefore w:val="0"/>
                    <w:widowControl w:val="0"/>
                    <w:kinsoku/>
                    <w:wordWrap/>
                    <w:overflowPunct/>
                    <w:topLinePunct w:val="0"/>
                    <w:autoSpaceDE/>
                    <w:autoSpaceDN/>
                    <w:bidi w:val="0"/>
                    <w:adjustRightInd/>
                    <w:spacing w:line="360" w:lineRule="exact"/>
                    <w:ind w:firstLine="0"/>
                    <w:textAlignment w:val="auto"/>
                  </w:pPr>
                  <w:r>
                    <w:t>3)</w:t>
                  </w:r>
                  <w:r>
                    <w:tab/>
                  </w:r>
                  <w:r>
                    <w:rPr>
                      <w:rFonts w:hint="eastAsia"/>
                    </w:rPr>
                    <w:t>不合格标本临床作废</w:t>
                  </w:r>
                </w:p>
                <w:p w14:paraId="635BB7DE">
                  <w:pPr>
                    <w:pStyle w:val="131"/>
                    <w:pageBreakBefore w:val="0"/>
                    <w:widowControl w:val="0"/>
                    <w:kinsoku/>
                    <w:wordWrap/>
                    <w:overflowPunct/>
                    <w:topLinePunct w:val="0"/>
                    <w:autoSpaceDE/>
                    <w:autoSpaceDN/>
                    <w:bidi w:val="0"/>
                    <w:adjustRightInd/>
                    <w:spacing w:line="360" w:lineRule="exact"/>
                    <w:ind w:firstLine="0"/>
                    <w:textAlignment w:val="auto"/>
                  </w:pPr>
                  <w:r>
                    <w:t>4)</w:t>
                  </w:r>
                  <w:r>
                    <w:tab/>
                  </w:r>
                  <w:r>
                    <w:rPr>
                      <w:rFonts w:hint="eastAsia"/>
                    </w:rPr>
                    <w:t>不合格标本临床重打</w:t>
                  </w:r>
                </w:p>
                <w:p w14:paraId="082C2125">
                  <w:pPr>
                    <w:pStyle w:val="131"/>
                    <w:pageBreakBefore w:val="0"/>
                    <w:widowControl w:val="0"/>
                    <w:kinsoku/>
                    <w:wordWrap/>
                    <w:overflowPunct/>
                    <w:topLinePunct w:val="0"/>
                    <w:autoSpaceDE/>
                    <w:autoSpaceDN/>
                    <w:bidi w:val="0"/>
                    <w:adjustRightInd/>
                    <w:spacing w:line="360" w:lineRule="exact"/>
                    <w:ind w:firstLine="0"/>
                    <w:textAlignment w:val="auto"/>
                    <w:rPr>
                      <w:b/>
                      <w:sz w:val="24"/>
                      <w:szCs w:val="24"/>
                    </w:rPr>
                  </w:pPr>
                  <w:r>
                    <w:rPr>
                      <w:b/>
                      <w:sz w:val="24"/>
                      <w:szCs w:val="24"/>
                    </w:rPr>
                    <w:t>14.</w:t>
                  </w:r>
                  <w:r>
                    <w:rPr>
                      <w:rFonts w:hint="eastAsia"/>
                      <w:b/>
                      <w:sz w:val="24"/>
                      <w:szCs w:val="24"/>
                    </w:rPr>
                    <w:t>危急值闭环</w:t>
                  </w:r>
                </w:p>
                <w:p w14:paraId="7753B460">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危急值设置</w:t>
                  </w:r>
                </w:p>
                <w:p w14:paraId="46E6DD22">
                  <w:pPr>
                    <w:pStyle w:val="131"/>
                    <w:pageBreakBefore w:val="0"/>
                    <w:widowControl w:val="0"/>
                    <w:kinsoku/>
                    <w:wordWrap/>
                    <w:overflowPunct/>
                    <w:topLinePunct w:val="0"/>
                    <w:autoSpaceDE/>
                    <w:autoSpaceDN/>
                    <w:bidi w:val="0"/>
                    <w:adjustRightInd/>
                    <w:spacing w:line="360" w:lineRule="exact"/>
                    <w:ind w:firstLine="0"/>
                    <w:textAlignment w:val="auto"/>
                  </w:pPr>
                  <w:r>
                    <w:t>1)</w:t>
                  </w:r>
                  <w:r>
                    <w:tab/>
                  </w:r>
                  <w:r>
                    <w:rPr>
                      <w:rFonts w:hint="eastAsia"/>
                    </w:rPr>
                    <w:t>支持按照性别设置危急值</w:t>
                  </w:r>
                </w:p>
                <w:p w14:paraId="44040596">
                  <w:pPr>
                    <w:pStyle w:val="131"/>
                    <w:pageBreakBefore w:val="0"/>
                    <w:widowControl w:val="0"/>
                    <w:kinsoku/>
                    <w:wordWrap/>
                    <w:overflowPunct/>
                    <w:topLinePunct w:val="0"/>
                    <w:autoSpaceDE/>
                    <w:autoSpaceDN/>
                    <w:bidi w:val="0"/>
                    <w:adjustRightInd/>
                    <w:spacing w:line="360" w:lineRule="exact"/>
                    <w:ind w:firstLine="0"/>
                    <w:textAlignment w:val="auto"/>
                  </w:pPr>
                  <w:r>
                    <w:t>2)</w:t>
                  </w:r>
                  <w:r>
                    <w:tab/>
                  </w:r>
                  <w:r>
                    <w:rPr>
                      <w:rFonts w:hint="eastAsia"/>
                    </w:rPr>
                    <w:t>支持按照年龄设置危急值</w:t>
                  </w:r>
                </w:p>
                <w:p w14:paraId="22976E2D">
                  <w:pPr>
                    <w:pStyle w:val="131"/>
                    <w:pageBreakBefore w:val="0"/>
                    <w:widowControl w:val="0"/>
                    <w:kinsoku/>
                    <w:wordWrap/>
                    <w:overflowPunct/>
                    <w:topLinePunct w:val="0"/>
                    <w:autoSpaceDE/>
                    <w:autoSpaceDN/>
                    <w:bidi w:val="0"/>
                    <w:adjustRightInd/>
                    <w:spacing w:line="360" w:lineRule="exact"/>
                    <w:ind w:firstLine="0"/>
                    <w:textAlignment w:val="auto"/>
                  </w:pPr>
                  <w:r>
                    <w:t>3)</w:t>
                  </w:r>
                  <w:r>
                    <w:tab/>
                  </w:r>
                  <w:r>
                    <w:rPr>
                      <w:rFonts w:hint="eastAsia"/>
                    </w:rPr>
                    <w:t>支持按照标本类型设置危急值</w:t>
                  </w:r>
                </w:p>
                <w:p w14:paraId="5206FA6E">
                  <w:pPr>
                    <w:pStyle w:val="131"/>
                    <w:pageBreakBefore w:val="0"/>
                    <w:widowControl w:val="0"/>
                    <w:kinsoku/>
                    <w:wordWrap/>
                    <w:overflowPunct/>
                    <w:topLinePunct w:val="0"/>
                    <w:autoSpaceDE/>
                    <w:autoSpaceDN/>
                    <w:bidi w:val="0"/>
                    <w:adjustRightInd/>
                    <w:spacing w:line="360" w:lineRule="exact"/>
                    <w:ind w:firstLine="0"/>
                    <w:textAlignment w:val="auto"/>
                  </w:pPr>
                  <w:r>
                    <w:t>4)</w:t>
                  </w:r>
                  <w:r>
                    <w:tab/>
                  </w:r>
                  <w:r>
                    <w:rPr>
                      <w:rFonts w:hint="eastAsia"/>
                    </w:rPr>
                    <w:t>支持按照诊断设置危急值</w:t>
                  </w:r>
                </w:p>
                <w:p w14:paraId="6B0569C0">
                  <w:pPr>
                    <w:pStyle w:val="131"/>
                    <w:pageBreakBefore w:val="0"/>
                    <w:widowControl w:val="0"/>
                    <w:kinsoku/>
                    <w:wordWrap/>
                    <w:overflowPunct/>
                    <w:topLinePunct w:val="0"/>
                    <w:autoSpaceDE/>
                    <w:autoSpaceDN/>
                    <w:bidi w:val="0"/>
                    <w:adjustRightInd/>
                    <w:spacing w:line="360" w:lineRule="exact"/>
                    <w:ind w:firstLine="0"/>
                    <w:textAlignment w:val="auto"/>
                  </w:pPr>
                  <w:r>
                    <w:t>5)</w:t>
                  </w:r>
                  <w:r>
                    <w:tab/>
                  </w:r>
                  <w:r>
                    <w:rPr>
                      <w:rFonts w:hint="eastAsia"/>
                    </w:rPr>
                    <w:t>支持按照生理周期设置危急值</w:t>
                  </w:r>
                </w:p>
                <w:p w14:paraId="6455C02F">
                  <w:pPr>
                    <w:pStyle w:val="131"/>
                    <w:pageBreakBefore w:val="0"/>
                    <w:widowControl w:val="0"/>
                    <w:kinsoku/>
                    <w:wordWrap/>
                    <w:overflowPunct/>
                    <w:topLinePunct w:val="0"/>
                    <w:autoSpaceDE/>
                    <w:autoSpaceDN/>
                    <w:bidi w:val="0"/>
                    <w:adjustRightInd/>
                    <w:spacing w:line="360" w:lineRule="exact"/>
                    <w:ind w:firstLine="0"/>
                    <w:textAlignment w:val="auto"/>
                  </w:pPr>
                  <w:r>
                    <w:t>6)</w:t>
                  </w:r>
                  <w:r>
                    <w:tab/>
                  </w:r>
                  <w:r>
                    <w:rPr>
                      <w:rFonts w:hint="eastAsia"/>
                    </w:rPr>
                    <w:t>支持按照科室设置危急值</w:t>
                  </w:r>
                </w:p>
                <w:p w14:paraId="2F4F8042">
                  <w:pPr>
                    <w:pStyle w:val="131"/>
                    <w:pageBreakBefore w:val="0"/>
                    <w:widowControl w:val="0"/>
                    <w:kinsoku/>
                    <w:wordWrap/>
                    <w:overflowPunct/>
                    <w:topLinePunct w:val="0"/>
                    <w:autoSpaceDE/>
                    <w:autoSpaceDN/>
                    <w:bidi w:val="0"/>
                    <w:adjustRightInd/>
                    <w:spacing w:line="360" w:lineRule="exact"/>
                    <w:ind w:firstLine="0"/>
                    <w:textAlignment w:val="auto"/>
                  </w:pPr>
                  <w:r>
                    <w:t>7)</w:t>
                  </w:r>
                  <w:r>
                    <w:tab/>
                  </w:r>
                  <w:r>
                    <w:rPr>
                      <w:rFonts w:hint="eastAsia"/>
                    </w:rPr>
                    <w:t>支持相邻两次结果差异大时进行危急值设置</w:t>
                  </w:r>
                </w:p>
                <w:p w14:paraId="72D7B88F">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危急值上报方式</w:t>
                  </w:r>
                </w:p>
                <w:p w14:paraId="6C535906">
                  <w:pPr>
                    <w:pStyle w:val="131"/>
                    <w:pageBreakBefore w:val="0"/>
                    <w:widowControl w:val="0"/>
                    <w:kinsoku/>
                    <w:wordWrap/>
                    <w:overflowPunct/>
                    <w:topLinePunct w:val="0"/>
                    <w:autoSpaceDE/>
                    <w:autoSpaceDN/>
                    <w:bidi w:val="0"/>
                    <w:adjustRightInd/>
                    <w:spacing w:line="360" w:lineRule="exact"/>
                    <w:ind w:firstLine="0"/>
                    <w:textAlignment w:val="auto"/>
                  </w:pPr>
                  <w:r>
                    <w:t>1)</w:t>
                  </w:r>
                  <w:r>
                    <w:tab/>
                  </w:r>
                  <w:r>
                    <w:rPr>
                      <w:rFonts w:hint="eastAsia"/>
                    </w:rPr>
                    <w:t>支持危急值短信上报</w:t>
                  </w:r>
                </w:p>
                <w:p w14:paraId="360EA074">
                  <w:pPr>
                    <w:pStyle w:val="131"/>
                    <w:pageBreakBefore w:val="0"/>
                    <w:widowControl w:val="0"/>
                    <w:kinsoku/>
                    <w:wordWrap/>
                    <w:overflowPunct/>
                    <w:topLinePunct w:val="0"/>
                    <w:autoSpaceDE/>
                    <w:autoSpaceDN/>
                    <w:bidi w:val="0"/>
                    <w:adjustRightInd/>
                    <w:spacing w:line="360" w:lineRule="exact"/>
                    <w:ind w:firstLine="0"/>
                    <w:textAlignment w:val="auto"/>
                  </w:pPr>
                  <w:r>
                    <w:t>2)</w:t>
                  </w:r>
                  <w:r>
                    <w:tab/>
                  </w:r>
                  <w:r>
                    <w:rPr>
                      <w:rFonts w:hint="eastAsia"/>
                    </w:rPr>
                    <w:t>支持网络上报</w:t>
                  </w:r>
                </w:p>
                <w:p w14:paraId="50306FE6">
                  <w:pPr>
                    <w:pStyle w:val="131"/>
                    <w:pageBreakBefore w:val="0"/>
                    <w:widowControl w:val="0"/>
                    <w:kinsoku/>
                    <w:wordWrap/>
                    <w:overflowPunct/>
                    <w:topLinePunct w:val="0"/>
                    <w:autoSpaceDE/>
                    <w:autoSpaceDN/>
                    <w:bidi w:val="0"/>
                    <w:adjustRightInd/>
                    <w:spacing w:line="360" w:lineRule="exact"/>
                    <w:ind w:firstLine="0"/>
                    <w:textAlignment w:val="auto"/>
                  </w:pPr>
                  <w:r>
                    <w:t>3)</w:t>
                  </w:r>
                  <w:r>
                    <w:tab/>
                  </w:r>
                  <w:r>
                    <w:rPr>
                      <w:rFonts w:hint="eastAsia"/>
                    </w:rPr>
                    <w:t>支持通过接口上报到</w:t>
                  </w:r>
                  <w:r>
                    <w:t>HIS</w:t>
                  </w:r>
                </w:p>
                <w:p w14:paraId="0732CCB6">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临床危急值弹窗</w:t>
                  </w:r>
                </w:p>
                <w:p w14:paraId="47E000E3">
                  <w:pPr>
                    <w:pStyle w:val="131"/>
                    <w:pageBreakBefore w:val="0"/>
                    <w:widowControl w:val="0"/>
                    <w:kinsoku/>
                    <w:wordWrap/>
                    <w:overflowPunct/>
                    <w:topLinePunct w:val="0"/>
                    <w:autoSpaceDE/>
                    <w:autoSpaceDN/>
                    <w:bidi w:val="0"/>
                    <w:adjustRightInd/>
                    <w:spacing w:line="360" w:lineRule="exact"/>
                    <w:ind w:firstLine="0"/>
                    <w:textAlignment w:val="auto"/>
                  </w:pPr>
                  <w:r>
                    <w:t>1)</w:t>
                  </w:r>
                  <w:r>
                    <w:tab/>
                  </w:r>
                  <w:r>
                    <w:rPr>
                      <w:rFonts w:hint="eastAsia"/>
                    </w:rPr>
                    <w:t>支持临床右下角弹窗</w:t>
                  </w:r>
                </w:p>
                <w:p w14:paraId="517A5B13">
                  <w:pPr>
                    <w:pStyle w:val="131"/>
                    <w:pageBreakBefore w:val="0"/>
                    <w:widowControl w:val="0"/>
                    <w:kinsoku/>
                    <w:wordWrap/>
                    <w:overflowPunct/>
                    <w:topLinePunct w:val="0"/>
                    <w:autoSpaceDE/>
                    <w:autoSpaceDN/>
                    <w:bidi w:val="0"/>
                    <w:adjustRightInd/>
                    <w:spacing w:line="360" w:lineRule="exact"/>
                    <w:ind w:firstLine="0"/>
                    <w:textAlignment w:val="auto"/>
                  </w:pPr>
                  <w:r>
                    <w:t>2)</w:t>
                  </w:r>
                  <w:r>
                    <w:tab/>
                  </w:r>
                  <w:r>
                    <w:rPr>
                      <w:rFonts w:hint="eastAsia"/>
                    </w:rPr>
                    <w:t>支持临床全屏弹窗</w:t>
                  </w:r>
                </w:p>
                <w:p w14:paraId="26541F4D">
                  <w:pPr>
                    <w:pStyle w:val="131"/>
                    <w:pageBreakBefore w:val="0"/>
                    <w:widowControl w:val="0"/>
                    <w:kinsoku/>
                    <w:wordWrap/>
                    <w:overflowPunct/>
                    <w:topLinePunct w:val="0"/>
                    <w:autoSpaceDE/>
                    <w:autoSpaceDN/>
                    <w:bidi w:val="0"/>
                    <w:adjustRightInd/>
                    <w:spacing w:line="360" w:lineRule="exact"/>
                    <w:ind w:firstLine="0"/>
                    <w:textAlignment w:val="auto"/>
                  </w:pPr>
                  <w:r>
                    <w:t>3)</w:t>
                  </w:r>
                  <w:r>
                    <w:tab/>
                  </w:r>
                  <w:r>
                    <w:rPr>
                      <w:rFonts w:hint="eastAsia"/>
                    </w:rPr>
                    <w:t>支持锁屏弹窗</w:t>
                  </w:r>
                </w:p>
                <w:p w14:paraId="7B98C9AA">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危急值记录</w:t>
                  </w:r>
                </w:p>
                <w:p w14:paraId="3F60CABA">
                  <w:pPr>
                    <w:pStyle w:val="131"/>
                    <w:pageBreakBefore w:val="0"/>
                    <w:widowControl w:val="0"/>
                    <w:kinsoku/>
                    <w:wordWrap/>
                    <w:overflowPunct/>
                    <w:topLinePunct w:val="0"/>
                    <w:autoSpaceDE/>
                    <w:autoSpaceDN/>
                    <w:bidi w:val="0"/>
                    <w:adjustRightInd/>
                    <w:spacing w:line="360" w:lineRule="exact"/>
                    <w:ind w:firstLine="0"/>
                    <w:textAlignment w:val="auto"/>
                  </w:pPr>
                  <w:r>
                    <w:t>1)</w:t>
                  </w:r>
                  <w:r>
                    <w:tab/>
                  </w:r>
                  <w:r>
                    <w:rPr>
                      <w:rFonts w:hint="eastAsia"/>
                    </w:rPr>
                    <w:t>检验危急值报警时间</w:t>
                  </w:r>
                </w:p>
                <w:p w14:paraId="4D08751B">
                  <w:pPr>
                    <w:pStyle w:val="131"/>
                    <w:pageBreakBefore w:val="0"/>
                    <w:widowControl w:val="0"/>
                    <w:kinsoku/>
                    <w:wordWrap/>
                    <w:overflowPunct/>
                    <w:topLinePunct w:val="0"/>
                    <w:autoSpaceDE/>
                    <w:autoSpaceDN/>
                    <w:bidi w:val="0"/>
                    <w:adjustRightInd/>
                    <w:spacing w:line="360" w:lineRule="exact"/>
                    <w:ind w:firstLine="0"/>
                    <w:textAlignment w:val="auto"/>
                  </w:pPr>
                  <w:r>
                    <w:t>2)</w:t>
                  </w:r>
                  <w:r>
                    <w:tab/>
                  </w:r>
                  <w:r>
                    <w:rPr>
                      <w:rFonts w:hint="eastAsia"/>
                    </w:rPr>
                    <w:t>检验危急值复核完成时间</w:t>
                  </w:r>
                </w:p>
                <w:p w14:paraId="562A2880">
                  <w:pPr>
                    <w:pStyle w:val="131"/>
                    <w:pageBreakBefore w:val="0"/>
                    <w:widowControl w:val="0"/>
                    <w:kinsoku/>
                    <w:wordWrap/>
                    <w:overflowPunct/>
                    <w:topLinePunct w:val="0"/>
                    <w:autoSpaceDE/>
                    <w:autoSpaceDN/>
                    <w:bidi w:val="0"/>
                    <w:adjustRightInd/>
                    <w:spacing w:line="360" w:lineRule="exact"/>
                    <w:ind w:firstLine="0"/>
                    <w:textAlignment w:val="auto"/>
                  </w:pPr>
                  <w:r>
                    <w:t>3)</w:t>
                  </w:r>
                  <w:r>
                    <w:tab/>
                  </w:r>
                  <w:r>
                    <w:rPr>
                      <w:rFonts w:hint="eastAsia"/>
                    </w:rPr>
                    <w:t>检验危急值上报时间</w:t>
                  </w:r>
                </w:p>
                <w:p w14:paraId="3DFDB629">
                  <w:pPr>
                    <w:pStyle w:val="131"/>
                    <w:pageBreakBefore w:val="0"/>
                    <w:widowControl w:val="0"/>
                    <w:kinsoku/>
                    <w:wordWrap/>
                    <w:overflowPunct/>
                    <w:topLinePunct w:val="0"/>
                    <w:autoSpaceDE/>
                    <w:autoSpaceDN/>
                    <w:bidi w:val="0"/>
                    <w:adjustRightInd/>
                    <w:spacing w:line="360" w:lineRule="exact"/>
                    <w:ind w:firstLine="0"/>
                    <w:textAlignment w:val="auto"/>
                  </w:pPr>
                  <w:r>
                    <w:t>4)</w:t>
                  </w:r>
                  <w:r>
                    <w:tab/>
                  </w:r>
                  <w:r>
                    <w:rPr>
                      <w:rFonts w:hint="eastAsia"/>
                    </w:rPr>
                    <w:t>临床危急值阅读时间</w:t>
                  </w:r>
                </w:p>
                <w:p w14:paraId="0F7088E2">
                  <w:pPr>
                    <w:pStyle w:val="131"/>
                    <w:pageBreakBefore w:val="0"/>
                    <w:widowControl w:val="0"/>
                    <w:kinsoku/>
                    <w:wordWrap/>
                    <w:overflowPunct/>
                    <w:topLinePunct w:val="0"/>
                    <w:autoSpaceDE/>
                    <w:autoSpaceDN/>
                    <w:bidi w:val="0"/>
                    <w:adjustRightInd/>
                    <w:spacing w:line="360" w:lineRule="exact"/>
                    <w:ind w:firstLine="0"/>
                    <w:textAlignment w:val="auto"/>
                  </w:pPr>
                  <w:r>
                    <w:t>5)</w:t>
                  </w:r>
                  <w:r>
                    <w:tab/>
                  </w:r>
                  <w:r>
                    <w:rPr>
                      <w:rFonts w:hint="eastAsia"/>
                    </w:rPr>
                    <w:t>危急值上报超时时间</w:t>
                  </w:r>
                </w:p>
                <w:p w14:paraId="1D30DA49">
                  <w:pPr>
                    <w:pStyle w:val="131"/>
                    <w:pageBreakBefore w:val="0"/>
                    <w:widowControl w:val="0"/>
                    <w:kinsoku/>
                    <w:wordWrap/>
                    <w:overflowPunct/>
                    <w:topLinePunct w:val="0"/>
                    <w:autoSpaceDE/>
                    <w:autoSpaceDN/>
                    <w:bidi w:val="0"/>
                    <w:adjustRightInd/>
                    <w:spacing w:line="360" w:lineRule="exact"/>
                    <w:ind w:firstLine="0"/>
                    <w:textAlignment w:val="auto"/>
                  </w:pPr>
                  <w:r>
                    <w:t>6)</w:t>
                  </w:r>
                  <w:r>
                    <w:tab/>
                  </w:r>
                  <w:r>
                    <w:rPr>
                      <w:rFonts w:hint="eastAsia"/>
                    </w:rPr>
                    <w:t>危急值确认超时时间</w:t>
                  </w:r>
                </w:p>
                <w:p w14:paraId="61BFA5EB">
                  <w:pPr>
                    <w:pStyle w:val="131"/>
                    <w:pageBreakBefore w:val="0"/>
                    <w:widowControl w:val="0"/>
                    <w:kinsoku/>
                    <w:wordWrap/>
                    <w:overflowPunct/>
                    <w:topLinePunct w:val="0"/>
                    <w:autoSpaceDE/>
                    <w:autoSpaceDN/>
                    <w:bidi w:val="0"/>
                    <w:adjustRightInd/>
                    <w:spacing w:line="360" w:lineRule="exact"/>
                    <w:ind w:firstLine="0"/>
                    <w:textAlignment w:val="auto"/>
                    <w:rPr>
                      <w:b/>
                      <w:sz w:val="24"/>
                      <w:szCs w:val="24"/>
                    </w:rPr>
                  </w:pPr>
                  <w:r>
                    <w:rPr>
                      <w:b/>
                      <w:sz w:val="24"/>
                      <w:szCs w:val="24"/>
                    </w:rPr>
                    <w:t>15.</w:t>
                  </w:r>
                  <w:r>
                    <w:rPr>
                      <w:rFonts w:hint="eastAsia"/>
                      <w:b/>
                      <w:sz w:val="24"/>
                      <w:szCs w:val="24"/>
                    </w:rPr>
                    <w:t>复查标本管理</w:t>
                  </w:r>
                </w:p>
                <w:p w14:paraId="5395F355">
                  <w:pPr>
                    <w:pStyle w:val="131"/>
                    <w:pageBreakBefore w:val="0"/>
                    <w:widowControl w:val="0"/>
                    <w:kinsoku/>
                    <w:wordWrap/>
                    <w:overflowPunct/>
                    <w:topLinePunct w:val="0"/>
                    <w:autoSpaceDE/>
                    <w:autoSpaceDN/>
                    <w:bidi w:val="0"/>
                    <w:adjustRightInd/>
                    <w:spacing w:line="360" w:lineRule="exact"/>
                    <w:ind w:firstLine="0"/>
                    <w:textAlignment w:val="auto"/>
                  </w:pPr>
                  <w:r>
                    <w:t>1)</w:t>
                  </w:r>
                  <w:r>
                    <w:tab/>
                  </w:r>
                  <w:r>
                    <w:rPr>
                      <w:rFonts w:hint="eastAsia"/>
                    </w:rPr>
                    <w:t>能够根据预先设定的审核规则对复查标本进行自动筛选；</w:t>
                  </w:r>
                </w:p>
                <w:p w14:paraId="4E29856F">
                  <w:pPr>
                    <w:pStyle w:val="131"/>
                    <w:pageBreakBefore w:val="0"/>
                    <w:widowControl w:val="0"/>
                    <w:kinsoku/>
                    <w:wordWrap/>
                    <w:overflowPunct/>
                    <w:topLinePunct w:val="0"/>
                    <w:autoSpaceDE/>
                    <w:autoSpaceDN/>
                    <w:bidi w:val="0"/>
                    <w:adjustRightInd/>
                    <w:spacing w:line="360" w:lineRule="exact"/>
                    <w:ind w:firstLine="0"/>
                    <w:textAlignment w:val="auto"/>
                  </w:pPr>
                  <w:r>
                    <w:t>2)</w:t>
                  </w:r>
                  <w:r>
                    <w:tab/>
                  </w:r>
                  <w:r>
                    <w:rPr>
                      <w:rFonts w:hint="eastAsia"/>
                    </w:rPr>
                    <w:t>能够准确、完整记录每次复查情况和结果记录；</w:t>
                  </w:r>
                </w:p>
                <w:p w14:paraId="6AA9707C">
                  <w:pPr>
                    <w:pStyle w:val="131"/>
                    <w:pageBreakBefore w:val="0"/>
                    <w:widowControl w:val="0"/>
                    <w:kinsoku/>
                    <w:wordWrap/>
                    <w:overflowPunct/>
                    <w:topLinePunct w:val="0"/>
                    <w:autoSpaceDE/>
                    <w:autoSpaceDN/>
                    <w:bidi w:val="0"/>
                    <w:adjustRightInd/>
                    <w:spacing w:line="360" w:lineRule="exact"/>
                    <w:ind w:firstLine="0"/>
                    <w:textAlignment w:val="auto"/>
                  </w:pPr>
                  <w:r>
                    <w:t>3)</w:t>
                  </w:r>
                  <w:r>
                    <w:tab/>
                  </w:r>
                  <w:r>
                    <w:rPr>
                      <w:rFonts w:hint="eastAsia"/>
                    </w:rPr>
                    <w:t>手工项目能够标记复查，输入复查结果；</w:t>
                  </w:r>
                </w:p>
                <w:p w14:paraId="69213DD5">
                  <w:pPr>
                    <w:pStyle w:val="131"/>
                    <w:pageBreakBefore w:val="0"/>
                    <w:widowControl w:val="0"/>
                    <w:kinsoku/>
                    <w:wordWrap/>
                    <w:overflowPunct/>
                    <w:topLinePunct w:val="0"/>
                    <w:autoSpaceDE/>
                    <w:autoSpaceDN/>
                    <w:bidi w:val="0"/>
                    <w:adjustRightInd/>
                    <w:spacing w:line="360" w:lineRule="exact"/>
                    <w:ind w:firstLine="0"/>
                    <w:textAlignment w:val="auto"/>
                  </w:pPr>
                  <w:r>
                    <w:t>4)</w:t>
                  </w:r>
                  <w:r>
                    <w:tab/>
                  </w:r>
                  <w:r>
                    <w:rPr>
                      <w:rFonts w:hint="eastAsia"/>
                    </w:rPr>
                    <w:t>能够对复查率进行统计和分析。</w:t>
                  </w:r>
                </w:p>
                <w:p w14:paraId="2377F8AC">
                  <w:pPr>
                    <w:pStyle w:val="131"/>
                    <w:pageBreakBefore w:val="0"/>
                    <w:widowControl w:val="0"/>
                    <w:kinsoku/>
                    <w:wordWrap/>
                    <w:overflowPunct/>
                    <w:topLinePunct w:val="0"/>
                    <w:autoSpaceDE/>
                    <w:autoSpaceDN/>
                    <w:bidi w:val="0"/>
                    <w:adjustRightInd/>
                    <w:spacing w:line="360" w:lineRule="exact"/>
                    <w:ind w:firstLine="0"/>
                    <w:textAlignment w:val="auto"/>
                    <w:rPr>
                      <w:b/>
                      <w:sz w:val="24"/>
                      <w:szCs w:val="24"/>
                    </w:rPr>
                  </w:pPr>
                  <w:r>
                    <w:rPr>
                      <w:b/>
                      <w:sz w:val="24"/>
                      <w:szCs w:val="24"/>
                    </w:rPr>
                    <w:t>16.</w:t>
                  </w:r>
                  <w:r>
                    <w:rPr>
                      <w:rFonts w:hint="eastAsia"/>
                      <w:b/>
                      <w:sz w:val="24"/>
                      <w:szCs w:val="24"/>
                    </w:rPr>
                    <w:t>大屏管理</w:t>
                  </w:r>
                </w:p>
                <w:p w14:paraId="32997937">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大屏设置</w:t>
                  </w:r>
                </w:p>
                <w:p w14:paraId="7D11D06F">
                  <w:pPr>
                    <w:pStyle w:val="131"/>
                    <w:pageBreakBefore w:val="0"/>
                    <w:widowControl w:val="0"/>
                    <w:kinsoku/>
                    <w:wordWrap/>
                    <w:overflowPunct/>
                    <w:topLinePunct w:val="0"/>
                    <w:autoSpaceDE/>
                    <w:autoSpaceDN/>
                    <w:bidi w:val="0"/>
                    <w:adjustRightInd/>
                    <w:spacing w:line="360" w:lineRule="exact"/>
                    <w:ind w:firstLine="0"/>
                    <w:textAlignment w:val="auto"/>
                  </w:pPr>
                  <w:r>
                    <w:t>1)</w:t>
                  </w:r>
                  <w:r>
                    <w:tab/>
                  </w:r>
                  <w:r>
                    <w:rPr>
                      <w:rFonts w:hint="eastAsia"/>
                    </w:rPr>
                    <w:t>背景颜色自定义</w:t>
                  </w:r>
                </w:p>
                <w:p w14:paraId="0ED7ADAF">
                  <w:pPr>
                    <w:pStyle w:val="131"/>
                    <w:pageBreakBefore w:val="0"/>
                    <w:widowControl w:val="0"/>
                    <w:kinsoku/>
                    <w:wordWrap/>
                    <w:overflowPunct/>
                    <w:topLinePunct w:val="0"/>
                    <w:autoSpaceDE/>
                    <w:autoSpaceDN/>
                    <w:bidi w:val="0"/>
                    <w:adjustRightInd/>
                    <w:spacing w:line="360" w:lineRule="exact"/>
                    <w:ind w:firstLine="0"/>
                    <w:textAlignment w:val="auto"/>
                  </w:pPr>
                  <w:r>
                    <w:t>2)</w:t>
                  </w:r>
                  <w:r>
                    <w:tab/>
                  </w:r>
                  <w:r>
                    <w:t>X\Y</w:t>
                  </w:r>
                  <w:r>
                    <w:rPr>
                      <w:rFonts w:hint="eastAsia"/>
                    </w:rPr>
                    <w:t>轴自定义</w:t>
                  </w:r>
                </w:p>
                <w:p w14:paraId="1F7FAF63">
                  <w:pPr>
                    <w:pStyle w:val="131"/>
                    <w:pageBreakBefore w:val="0"/>
                    <w:widowControl w:val="0"/>
                    <w:kinsoku/>
                    <w:wordWrap/>
                    <w:overflowPunct/>
                    <w:topLinePunct w:val="0"/>
                    <w:autoSpaceDE/>
                    <w:autoSpaceDN/>
                    <w:bidi w:val="0"/>
                    <w:adjustRightInd/>
                    <w:spacing w:line="360" w:lineRule="exact"/>
                    <w:ind w:firstLine="0"/>
                    <w:textAlignment w:val="auto"/>
                  </w:pPr>
                  <w:r>
                    <w:t>3)</w:t>
                  </w:r>
                  <w:r>
                    <w:tab/>
                  </w:r>
                  <w:r>
                    <w:rPr>
                      <w:rFonts w:hint="eastAsia"/>
                    </w:rPr>
                    <w:t>刷新周期自定义</w:t>
                  </w:r>
                </w:p>
                <w:p w14:paraId="67EAF9A9">
                  <w:pPr>
                    <w:pStyle w:val="131"/>
                    <w:pageBreakBefore w:val="0"/>
                    <w:widowControl w:val="0"/>
                    <w:kinsoku/>
                    <w:wordWrap/>
                    <w:overflowPunct/>
                    <w:topLinePunct w:val="0"/>
                    <w:autoSpaceDE/>
                    <w:autoSpaceDN/>
                    <w:bidi w:val="0"/>
                    <w:adjustRightInd/>
                    <w:spacing w:line="360" w:lineRule="exact"/>
                    <w:ind w:firstLine="0"/>
                    <w:textAlignment w:val="auto"/>
                  </w:pPr>
                  <w:r>
                    <w:t>4)</w:t>
                  </w:r>
                  <w:r>
                    <w:tab/>
                  </w:r>
                  <w:r>
                    <w:t>SQL</w:t>
                  </w:r>
                  <w:r>
                    <w:rPr>
                      <w:rFonts w:hint="eastAsia"/>
                    </w:rPr>
                    <w:t>语句自定义</w:t>
                  </w:r>
                </w:p>
                <w:p w14:paraId="11C9884C">
                  <w:pPr>
                    <w:pStyle w:val="131"/>
                    <w:pageBreakBefore w:val="0"/>
                    <w:widowControl w:val="0"/>
                    <w:kinsoku/>
                    <w:wordWrap/>
                    <w:overflowPunct/>
                    <w:topLinePunct w:val="0"/>
                    <w:autoSpaceDE/>
                    <w:autoSpaceDN/>
                    <w:bidi w:val="0"/>
                    <w:adjustRightInd/>
                    <w:spacing w:line="360" w:lineRule="exact"/>
                    <w:ind w:firstLine="0"/>
                    <w:textAlignment w:val="auto"/>
                  </w:pPr>
                  <w:r>
                    <w:t>5)</w:t>
                  </w:r>
                  <w:r>
                    <w:tab/>
                  </w:r>
                  <w:r>
                    <w:rPr>
                      <w:rFonts w:hint="eastAsia"/>
                    </w:rPr>
                    <w:t>展现形式自定义</w:t>
                  </w:r>
                </w:p>
                <w:p w14:paraId="1D8C1923">
                  <w:pPr>
                    <w:pStyle w:val="131"/>
                    <w:pageBreakBefore w:val="0"/>
                    <w:widowControl w:val="0"/>
                    <w:kinsoku/>
                    <w:wordWrap/>
                    <w:overflowPunct/>
                    <w:topLinePunct w:val="0"/>
                    <w:autoSpaceDE/>
                    <w:autoSpaceDN/>
                    <w:bidi w:val="0"/>
                    <w:adjustRightInd/>
                    <w:spacing w:line="360" w:lineRule="exact"/>
                    <w:ind w:firstLine="0"/>
                    <w:textAlignment w:val="auto"/>
                    <w:rPr>
                      <w:b/>
                      <w:sz w:val="24"/>
                      <w:szCs w:val="24"/>
                    </w:rPr>
                  </w:pPr>
                  <w:r>
                    <w:rPr>
                      <w:b/>
                      <w:sz w:val="24"/>
                      <w:szCs w:val="24"/>
                    </w:rPr>
                    <w:t>17.</w:t>
                  </w:r>
                  <w:r>
                    <w:rPr>
                      <w:rFonts w:hint="eastAsia"/>
                      <w:b/>
                      <w:sz w:val="24"/>
                      <w:szCs w:val="24"/>
                    </w:rPr>
                    <w:t>自动审核</w:t>
                  </w:r>
                </w:p>
                <w:p w14:paraId="323CAF5B">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自动审核启用</w:t>
                  </w:r>
                </w:p>
                <w:p w14:paraId="5735FF60">
                  <w:pPr>
                    <w:pStyle w:val="131"/>
                    <w:pageBreakBefore w:val="0"/>
                    <w:widowControl w:val="0"/>
                    <w:kinsoku/>
                    <w:wordWrap/>
                    <w:overflowPunct/>
                    <w:topLinePunct w:val="0"/>
                    <w:autoSpaceDE/>
                    <w:autoSpaceDN/>
                    <w:bidi w:val="0"/>
                    <w:adjustRightInd/>
                    <w:spacing w:line="360" w:lineRule="exact"/>
                    <w:ind w:firstLine="0"/>
                    <w:textAlignment w:val="auto"/>
                  </w:pPr>
                  <w:r>
                    <w:t>1)</w:t>
                  </w:r>
                  <w:r>
                    <w:tab/>
                  </w:r>
                  <w:r>
                    <w:rPr>
                      <w:rFonts w:hint="eastAsia"/>
                    </w:rPr>
                    <w:t>支持按照项目启用</w:t>
                  </w:r>
                </w:p>
                <w:p w14:paraId="79F06CFC">
                  <w:pPr>
                    <w:pStyle w:val="131"/>
                    <w:pageBreakBefore w:val="0"/>
                    <w:widowControl w:val="0"/>
                    <w:kinsoku/>
                    <w:wordWrap/>
                    <w:overflowPunct/>
                    <w:topLinePunct w:val="0"/>
                    <w:autoSpaceDE/>
                    <w:autoSpaceDN/>
                    <w:bidi w:val="0"/>
                    <w:adjustRightInd/>
                    <w:spacing w:line="360" w:lineRule="exact"/>
                    <w:ind w:firstLine="0"/>
                    <w:textAlignment w:val="auto"/>
                  </w:pPr>
                  <w:r>
                    <w:t>2)</w:t>
                  </w:r>
                  <w:r>
                    <w:tab/>
                  </w:r>
                  <w:r>
                    <w:rPr>
                      <w:rFonts w:hint="eastAsia"/>
                    </w:rPr>
                    <w:t>支持按照报告单元启用</w:t>
                  </w:r>
                </w:p>
                <w:p w14:paraId="65342C9A">
                  <w:pPr>
                    <w:pStyle w:val="131"/>
                    <w:pageBreakBefore w:val="0"/>
                    <w:widowControl w:val="0"/>
                    <w:kinsoku/>
                    <w:wordWrap/>
                    <w:overflowPunct/>
                    <w:topLinePunct w:val="0"/>
                    <w:autoSpaceDE/>
                    <w:autoSpaceDN/>
                    <w:bidi w:val="0"/>
                    <w:adjustRightInd/>
                    <w:spacing w:line="360" w:lineRule="exact"/>
                    <w:ind w:firstLine="0"/>
                    <w:textAlignment w:val="auto"/>
                  </w:pPr>
                  <w:r>
                    <w:t>3)</w:t>
                  </w:r>
                  <w:r>
                    <w:tab/>
                  </w:r>
                  <w:r>
                    <w:rPr>
                      <w:rFonts w:hint="eastAsia"/>
                    </w:rPr>
                    <w:t>支持按照仪器启用</w:t>
                  </w:r>
                </w:p>
                <w:p w14:paraId="1FD6B8E9">
                  <w:pPr>
                    <w:pStyle w:val="131"/>
                    <w:pageBreakBefore w:val="0"/>
                    <w:widowControl w:val="0"/>
                    <w:kinsoku/>
                    <w:wordWrap/>
                    <w:overflowPunct/>
                    <w:topLinePunct w:val="0"/>
                    <w:autoSpaceDE/>
                    <w:autoSpaceDN/>
                    <w:bidi w:val="0"/>
                    <w:adjustRightInd/>
                    <w:spacing w:line="360" w:lineRule="exact"/>
                    <w:ind w:firstLine="0"/>
                    <w:textAlignment w:val="auto"/>
                  </w:pPr>
                  <w:r>
                    <w:t>4)</w:t>
                  </w:r>
                  <w:r>
                    <w:tab/>
                  </w:r>
                  <w:r>
                    <w:rPr>
                      <w:rFonts w:hint="eastAsia"/>
                    </w:rPr>
                    <w:t>支持按照病人类型启用</w:t>
                  </w:r>
                </w:p>
                <w:p w14:paraId="7F8AD09F">
                  <w:pPr>
                    <w:pStyle w:val="131"/>
                    <w:pageBreakBefore w:val="0"/>
                    <w:widowControl w:val="0"/>
                    <w:kinsoku/>
                    <w:wordWrap/>
                    <w:overflowPunct/>
                    <w:topLinePunct w:val="0"/>
                    <w:autoSpaceDE/>
                    <w:autoSpaceDN/>
                    <w:bidi w:val="0"/>
                    <w:adjustRightInd/>
                    <w:spacing w:line="360" w:lineRule="exact"/>
                    <w:ind w:firstLine="0"/>
                    <w:textAlignment w:val="auto"/>
                  </w:pPr>
                  <w:r>
                    <w:t>5)</w:t>
                  </w:r>
                  <w:r>
                    <w:tab/>
                  </w:r>
                  <w:r>
                    <w:rPr>
                      <w:rFonts w:hint="eastAsia"/>
                    </w:rPr>
                    <w:t>支持按照标本区间启用</w:t>
                  </w:r>
                </w:p>
                <w:p w14:paraId="67690ABB">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自动审核规则分析</w:t>
                  </w:r>
                </w:p>
                <w:p w14:paraId="1DCA3C50">
                  <w:pPr>
                    <w:pStyle w:val="131"/>
                    <w:pageBreakBefore w:val="0"/>
                    <w:widowControl w:val="0"/>
                    <w:kinsoku/>
                    <w:wordWrap/>
                    <w:overflowPunct/>
                    <w:topLinePunct w:val="0"/>
                    <w:autoSpaceDE/>
                    <w:autoSpaceDN/>
                    <w:bidi w:val="0"/>
                    <w:adjustRightInd/>
                    <w:spacing w:line="360" w:lineRule="exact"/>
                    <w:ind w:firstLine="0"/>
                    <w:textAlignment w:val="auto"/>
                  </w:pPr>
                  <w:r>
                    <w:t>1)</w:t>
                  </w:r>
                  <w:r>
                    <w:tab/>
                  </w:r>
                  <w:r>
                    <w:rPr>
                      <w:rFonts w:hint="eastAsia"/>
                    </w:rPr>
                    <w:t>自动审核范围分析</w:t>
                  </w:r>
                </w:p>
                <w:p w14:paraId="741355BB">
                  <w:pPr>
                    <w:pStyle w:val="131"/>
                    <w:pageBreakBefore w:val="0"/>
                    <w:widowControl w:val="0"/>
                    <w:kinsoku/>
                    <w:wordWrap/>
                    <w:overflowPunct/>
                    <w:topLinePunct w:val="0"/>
                    <w:autoSpaceDE/>
                    <w:autoSpaceDN/>
                    <w:bidi w:val="0"/>
                    <w:adjustRightInd/>
                    <w:spacing w:line="360" w:lineRule="exact"/>
                    <w:ind w:firstLine="0"/>
                    <w:textAlignment w:val="auto"/>
                  </w:pPr>
                  <w:r>
                    <w:t>2)</w:t>
                  </w:r>
                  <w:r>
                    <w:tab/>
                  </w:r>
                  <w:r>
                    <w:rPr>
                      <w:rFonts w:hint="eastAsia"/>
                    </w:rPr>
                    <w:t>危急值范围分析</w:t>
                  </w:r>
                </w:p>
                <w:p w14:paraId="4B0484F1">
                  <w:pPr>
                    <w:pStyle w:val="131"/>
                    <w:pageBreakBefore w:val="0"/>
                    <w:widowControl w:val="0"/>
                    <w:kinsoku/>
                    <w:wordWrap/>
                    <w:overflowPunct/>
                    <w:topLinePunct w:val="0"/>
                    <w:autoSpaceDE/>
                    <w:autoSpaceDN/>
                    <w:bidi w:val="0"/>
                    <w:adjustRightInd/>
                    <w:spacing w:line="360" w:lineRule="exact"/>
                    <w:ind w:firstLine="0"/>
                    <w:textAlignment w:val="auto"/>
                  </w:pPr>
                  <w:r>
                    <w:t>3)</w:t>
                  </w:r>
                  <w:r>
                    <w:tab/>
                  </w:r>
                  <w:r>
                    <w:rPr>
                      <w:rFonts w:hint="eastAsia"/>
                    </w:rPr>
                    <w:t>项目质控分析</w:t>
                  </w:r>
                </w:p>
                <w:p w14:paraId="00AD3C2E">
                  <w:pPr>
                    <w:pStyle w:val="131"/>
                    <w:pageBreakBefore w:val="0"/>
                    <w:widowControl w:val="0"/>
                    <w:kinsoku/>
                    <w:wordWrap/>
                    <w:overflowPunct/>
                    <w:topLinePunct w:val="0"/>
                    <w:autoSpaceDE/>
                    <w:autoSpaceDN/>
                    <w:bidi w:val="0"/>
                    <w:adjustRightInd/>
                    <w:spacing w:line="360" w:lineRule="exact"/>
                    <w:ind w:firstLine="0"/>
                    <w:textAlignment w:val="auto"/>
                  </w:pPr>
                  <w:r>
                    <w:t>4)</w:t>
                  </w:r>
                  <w:r>
                    <w:tab/>
                  </w:r>
                  <w:r>
                    <w:rPr>
                      <w:rFonts w:hint="eastAsia"/>
                    </w:rPr>
                    <w:t>仪器报警信息分析</w:t>
                  </w:r>
                </w:p>
                <w:p w14:paraId="3F16B43F">
                  <w:pPr>
                    <w:pStyle w:val="131"/>
                    <w:pageBreakBefore w:val="0"/>
                    <w:widowControl w:val="0"/>
                    <w:kinsoku/>
                    <w:wordWrap/>
                    <w:overflowPunct/>
                    <w:topLinePunct w:val="0"/>
                    <w:autoSpaceDE/>
                    <w:autoSpaceDN/>
                    <w:bidi w:val="0"/>
                    <w:adjustRightInd/>
                    <w:spacing w:line="360" w:lineRule="exact"/>
                    <w:ind w:firstLine="0"/>
                    <w:textAlignment w:val="auto"/>
                  </w:pPr>
                  <w:r>
                    <w:t>5)</w:t>
                  </w:r>
                  <w:r>
                    <w:tab/>
                  </w:r>
                  <w:r>
                    <w:rPr>
                      <w:rFonts w:hint="eastAsia"/>
                    </w:rPr>
                    <w:t>项目差值分析</w:t>
                  </w:r>
                </w:p>
                <w:p w14:paraId="5B58E72D">
                  <w:pPr>
                    <w:pStyle w:val="131"/>
                    <w:pageBreakBefore w:val="0"/>
                    <w:widowControl w:val="0"/>
                    <w:kinsoku/>
                    <w:wordWrap/>
                    <w:overflowPunct/>
                    <w:topLinePunct w:val="0"/>
                    <w:autoSpaceDE/>
                    <w:autoSpaceDN/>
                    <w:bidi w:val="0"/>
                    <w:adjustRightInd/>
                    <w:spacing w:line="360" w:lineRule="exact"/>
                    <w:ind w:firstLine="0"/>
                    <w:textAlignment w:val="auto"/>
                  </w:pPr>
                  <w:r>
                    <w:t>6)</w:t>
                  </w:r>
                  <w:r>
                    <w:tab/>
                  </w:r>
                  <w:r>
                    <w:rPr>
                      <w:rFonts w:hint="eastAsia"/>
                    </w:rPr>
                    <w:t>项目逻辑分析</w:t>
                  </w:r>
                </w:p>
                <w:p w14:paraId="516FE202">
                  <w:pPr>
                    <w:pStyle w:val="131"/>
                    <w:pageBreakBefore w:val="0"/>
                    <w:widowControl w:val="0"/>
                    <w:kinsoku/>
                    <w:wordWrap/>
                    <w:overflowPunct/>
                    <w:topLinePunct w:val="0"/>
                    <w:autoSpaceDE/>
                    <w:autoSpaceDN/>
                    <w:bidi w:val="0"/>
                    <w:adjustRightInd/>
                    <w:spacing w:line="360" w:lineRule="exact"/>
                    <w:ind w:firstLine="0"/>
                    <w:textAlignment w:val="auto"/>
                  </w:pPr>
                  <w:r>
                    <w:t>7)</w:t>
                  </w:r>
                  <w:r>
                    <w:tab/>
                  </w:r>
                  <w:r>
                    <w:rPr>
                      <w:rFonts w:hint="eastAsia"/>
                    </w:rPr>
                    <w:t>项目关联性分析</w:t>
                  </w:r>
                </w:p>
                <w:p w14:paraId="229A1C60">
                  <w:pPr>
                    <w:pStyle w:val="131"/>
                    <w:pageBreakBefore w:val="0"/>
                    <w:widowControl w:val="0"/>
                    <w:kinsoku/>
                    <w:wordWrap/>
                    <w:overflowPunct/>
                    <w:topLinePunct w:val="0"/>
                    <w:autoSpaceDE/>
                    <w:autoSpaceDN/>
                    <w:bidi w:val="0"/>
                    <w:adjustRightInd/>
                    <w:spacing w:line="360" w:lineRule="exact"/>
                    <w:ind w:firstLine="0"/>
                    <w:textAlignment w:val="auto"/>
                  </w:pPr>
                  <w:r>
                    <w:t>8)</w:t>
                  </w:r>
                  <w:r>
                    <w:tab/>
                  </w:r>
                  <w:r>
                    <w:rPr>
                      <w:rFonts w:hint="eastAsia"/>
                    </w:rPr>
                    <w:t>项目未收费分析</w:t>
                  </w:r>
                </w:p>
                <w:p w14:paraId="41EFF8A8">
                  <w:pPr>
                    <w:pStyle w:val="131"/>
                    <w:pageBreakBefore w:val="0"/>
                    <w:widowControl w:val="0"/>
                    <w:kinsoku/>
                    <w:wordWrap/>
                    <w:overflowPunct/>
                    <w:topLinePunct w:val="0"/>
                    <w:autoSpaceDE/>
                    <w:autoSpaceDN/>
                    <w:bidi w:val="0"/>
                    <w:adjustRightInd/>
                    <w:spacing w:line="360" w:lineRule="exact"/>
                    <w:ind w:firstLine="0"/>
                    <w:textAlignment w:val="auto"/>
                  </w:pPr>
                  <w:r>
                    <w:t>9)</w:t>
                  </w:r>
                  <w:r>
                    <w:tab/>
                  </w:r>
                  <w:r>
                    <w:rPr>
                      <w:rFonts w:hint="eastAsia"/>
                    </w:rPr>
                    <w:t>项目是否漏做分析</w:t>
                  </w:r>
                </w:p>
                <w:p w14:paraId="517F43A0">
                  <w:pPr>
                    <w:pStyle w:val="131"/>
                    <w:pageBreakBefore w:val="0"/>
                    <w:widowControl w:val="0"/>
                    <w:kinsoku/>
                    <w:wordWrap/>
                    <w:overflowPunct/>
                    <w:topLinePunct w:val="0"/>
                    <w:autoSpaceDE/>
                    <w:autoSpaceDN/>
                    <w:bidi w:val="0"/>
                    <w:adjustRightInd/>
                    <w:spacing w:line="360" w:lineRule="exact"/>
                    <w:ind w:firstLine="0"/>
                    <w:textAlignment w:val="auto"/>
                    <w:rPr>
                      <w:b/>
                      <w:sz w:val="24"/>
                      <w:szCs w:val="24"/>
                    </w:rPr>
                  </w:pPr>
                  <w:r>
                    <w:rPr>
                      <w:b/>
                      <w:sz w:val="24"/>
                      <w:szCs w:val="24"/>
                    </w:rPr>
                    <w:t>18.</w:t>
                  </w:r>
                  <w:r>
                    <w:rPr>
                      <w:rFonts w:hint="eastAsia"/>
                      <w:b/>
                      <w:sz w:val="24"/>
                      <w:szCs w:val="24"/>
                    </w:rPr>
                    <w:t>质控管理系统</w:t>
                  </w:r>
                </w:p>
                <w:p w14:paraId="610316D2">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基础数据维护</w:t>
                  </w:r>
                </w:p>
                <w:p w14:paraId="22495B29">
                  <w:pPr>
                    <w:pStyle w:val="131"/>
                    <w:pageBreakBefore w:val="0"/>
                    <w:widowControl w:val="0"/>
                    <w:kinsoku/>
                    <w:wordWrap/>
                    <w:overflowPunct/>
                    <w:topLinePunct w:val="0"/>
                    <w:autoSpaceDE/>
                    <w:autoSpaceDN/>
                    <w:bidi w:val="0"/>
                    <w:adjustRightInd/>
                    <w:spacing w:line="360" w:lineRule="exact"/>
                    <w:ind w:firstLine="0"/>
                    <w:textAlignment w:val="auto"/>
                  </w:pPr>
                  <w:r>
                    <w:t>1)</w:t>
                  </w:r>
                  <w:r>
                    <w:tab/>
                  </w:r>
                  <w:r>
                    <w:rPr>
                      <w:rFonts w:hint="eastAsia"/>
                    </w:rPr>
                    <w:t>质控项目维护</w:t>
                  </w:r>
                </w:p>
                <w:p w14:paraId="773BA11F">
                  <w:pPr>
                    <w:pStyle w:val="131"/>
                    <w:pageBreakBefore w:val="0"/>
                    <w:widowControl w:val="0"/>
                    <w:kinsoku/>
                    <w:wordWrap/>
                    <w:overflowPunct/>
                    <w:topLinePunct w:val="0"/>
                    <w:autoSpaceDE/>
                    <w:autoSpaceDN/>
                    <w:bidi w:val="0"/>
                    <w:adjustRightInd/>
                    <w:spacing w:line="360" w:lineRule="exact"/>
                    <w:ind w:firstLine="0"/>
                    <w:textAlignment w:val="auto"/>
                  </w:pPr>
                  <w:r>
                    <w:t>2)</w:t>
                  </w:r>
                  <w:r>
                    <w:tab/>
                  </w:r>
                  <w:r>
                    <w:rPr>
                      <w:rFonts w:hint="eastAsia"/>
                    </w:rPr>
                    <w:t>质控品维护</w:t>
                  </w:r>
                </w:p>
                <w:p w14:paraId="0284462C">
                  <w:pPr>
                    <w:pStyle w:val="131"/>
                    <w:pageBreakBefore w:val="0"/>
                    <w:widowControl w:val="0"/>
                    <w:kinsoku/>
                    <w:wordWrap/>
                    <w:overflowPunct/>
                    <w:topLinePunct w:val="0"/>
                    <w:autoSpaceDE/>
                    <w:autoSpaceDN/>
                    <w:bidi w:val="0"/>
                    <w:adjustRightInd/>
                    <w:spacing w:line="360" w:lineRule="exact"/>
                    <w:ind w:firstLine="0"/>
                    <w:textAlignment w:val="auto"/>
                  </w:pPr>
                  <w:r>
                    <w:t>3)</w:t>
                  </w:r>
                  <w:r>
                    <w:tab/>
                  </w:r>
                  <w:r>
                    <w:rPr>
                      <w:rFonts w:hint="eastAsia"/>
                    </w:rPr>
                    <w:t>质控靶值维护</w:t>
                  </w:r>
                </w:p>
                <w:p w14:paraId="0F633934">
                  <w:pPr>
                    <w:pStyle w:val="131"/>
                    <w:pageBreakBefore w:val="0"/>
                    <w:widowControl w:val="0"/>
                    <w:kinsoku/>
                    <w:wordWrap/>
                    <w:overflowPunct/>
                    <w:topLinePunct w:val="0"/>
                    <w:autoSpaceDE/>
                    <w:autoSpaceDN/>
                    <w:bidi w:val="0"/>
                    <w:adjustRightInd/>
                    <w:spacing w:line="360" w:lineRule="exact"/>
                    <w:ind w:firstLine="0"/>
                    <w:textAlignment w:val="auto"/>
                  </w:pPr>
                  <w:r>
                    <w:t>4)</w:t>
                  </w:r>
                  <w:r>
                    <w:tab/>
                  </w:r>
                  <w:r>
                    <w:rPr>
                      <w:rFonts w:hint="eastAsia"/>
                    </w:rPr>
                    <w:t>质控规则维护</w:t>
                  </w:r>
                </w:p>
                <w:p w14:paraId="125CC9D7">
                  <w:pPr>
                    <w:pStyle w:val="131"/>
                    <w:pageBreakBefore w:val="0"/>
                    <w:widowControl w:val="0"/>
                    <w:kinsoku/>
                    <w:wordWrap/>
                    <w:overflowPunct/>
                    <w:topLinePunct w:val="0"/>
                    <w:autoSpaceDE/>
                    <w:autoSpaceDN/>
                    <w:bidi w:val="0"/>
                    <w:adjustRightInd/>
                    <w:spacing w:line="360" w:lineRule="exact"/>
                    <w:ind w:firstLine="0"/>
                    <w:textAlignment w:val="auto"/>
                  </w:pPr>
                  <w:r>
                    <w:t>5)</w:t>
                  </w:r>
                  <w:r>
                    <w:tab/>
                  </w:r>
                  <w:r>
                    <w:rPr>
                      <w:rFonts w:hint="eastAsia"/>
                      <w:lang w:val="en-US" w:eastAsia="zh-CN"/>
                    </w:rPr>
                    <w:t>按照</w:t>
                  </w:r>
                  <w:r>
                    <w:t>ISO15189</w:t>
                  </w:r>
                  <w:r>
                    <w:rPr>
                      <w:rFonts w:hint="eastAsia"/>
                    </w:rPr>
                    <w:t>要求需要填写水平、批号、效期、质控生产厂家、质控供应商、方法学、试剂供应商、试剂批号、校准品批号</w:t>
                  </w:r>
                </w:p>
                <w:p w14:paraId="73243559">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质控种类</w:t>
                  </w:r>
                </w:p>
                <w:p w14:paraId="35CBDAA2">
                  <w:pPr>
                    <w:pStyle w:val="131"/>
                    <w:pageBreakBefore w:val="0"/>
                    <w:widowControl w:val="0"/>
                    <w:kinsoku/>
                    <w:wordWrap/>
                    <w:overflowPunct/>
                    <w:topLinePunct w:val="0"/>
                    <w:autoSpaceDE/>
                    <w:autoSpaceDN/>
                    <w:bidi w:val="0"/>
                    <w:adjustRightInd/>
                    <w:spacing w:line="360" w:lineRule="exact"/>
                    <w:ind w:firstLine="0"/>
                    <w:textAlignment w:val="auto"/>
                  </w:pPr>
                  <w:r>
                    <w:t>1)</w:t>
                  </w:r>
                  <w:r>
                    <w:tab/>
                  </w:r>
                  <w:r>
                    <w:rPr>
                      <w:rFonts w:hint="eastAsia"/>
                    </w:rPr>
                    <w:t>一般定量项目质控；</w:t>
                  </w:r>
                </w:p>
                <w:p w14:paraId="57DE15E0">
                  <w:pPr>
                    <w:pStyle w:val="131"/>
                    <w:pageBreakBefore w:val="0"/>
                    <w:widowControl w:val="0"/>
                    <w:kinsoku/>
                    <w:wordWrap/>
                    <w:overflowPunct/>
                    <w:topLinePunct w:val="0"/>
                    <w:autoSpaceDE/>
                    <w:autoSpaceDN/>
                    <w:bidi w:val="0"/>
                    <w:adjustRightInd/>
                    <w:spacing w:line="360" w:lineRule="exact"/>
                    <w:ind w:firstLine="0"/>
                    <w:textAlignment w:val="auto"/>
                  </w:pPr>
                  <w:r>
                    <w:t>2)</w:t>
                  </w:r>
                  <w:r>
                    <w:tab/>
                  </w:r>
                  <w:r>
                    <w:rPr>
                      <w:rFonts w:hint="eastAsia"/>
                    </w:rPr>
                    <w:t>定性</w:t>
                  </w:r>
                  <w:r>
                    <w:t>---</w:t>
                  </w:r>
                  <w:r>
                    <w:rPr>
                      <w:rFonts w:hint="eastAsia"/>
                    </w:rPr>
                    <w:t>半定量质控；</w:t>
                  </w:r>
                </w:p>
                <w:p w14:paraId="3D6E15C3">
                  <w:pPr>
                    <w:pStyle w:val="131"/>
                    <w:pageBreakBefore w:val="0"/>
                    <w:widowControl w:val="0"/>
                    <w:kinsoku/>
                    <w:wordWrap/>
                    <w:overflowPunct/>
                    <w:topLinePunct w:val="0"/>
                    <w:autoSpaceDE/>
                    <w:autoSpaceDN/>
                    <w:bidi w:val="0"/>
                    <w:adjustRightInd/>
                    <w:spacing w:line="360" w:lineRule="exact"/>
                    <w:ind w:firstLine="0"/>
                    <w:textAlignment w:val="auto"/>
                  </w:pPr>
                  <w:r>
                    <w:t>3)</w:t>
                  </w:r>
                  <w:r>
                    <w:tab/>
                  </w:r>
                  <w:r>
                    <w:rPr>
                      <w:rFonts w:hint="eastAsia"/>
                    </w:rPr>
                    <w:t>细菌质控；</w:t>
                  </w:r>
                </w:p>
                <w:p w14:paraId="68E94F5C">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常用质控图形</w:t>
                  </w:r>
                </w:p>
                <w:p w14:paraId="0EB92278">
                  <w:pPr>
                    <w:pStyle w:val="131"/>
                    <w:pageBreakBefore w:val="0"/>
                    <w:widowControl w:val="0"/>
                    <w:kinsoku/>
                    <w:wordWrap/>
                    <w:overflowPunct/>
                    <w:topLinePunct w:val="0"/>
                    <w:autoSpaceDE/>
                    <w:autoSpaceDN/>
                    <w:bidi w:val="0"/>
                    <w:adjustRightInd/>
                    <w:spacing w:line="360" w:lineRule="exact"/>
                    <w:ind w:firstLine="0"/>
                    <w:textAlignment w:val="auto"/>
                  </w:pPr>
                  <w:r>
                    <w:t>1)</w:t>
                  </w:r>
                  <w:r>
                    <w:tab/>
                  </w:r>
                  <w:r>
                    <w:t>WestGard</w:t>
                  </w:r>
                  <w:r>
                    <w:rPr>
                      <w:rFonts w:hint="eastAsia"/>
                    </w:rPr>
                    <w:t>质控图</w:t>
                  </w:r>
                </w:p>
                <w:p w14:paraId="73D905C6">
                  <w:pPr>
                    <w:pStyle w:val="131"/>
                    <w:pageBreakBefore w:val="0"/>
                    <w:widowControl w:val="0"/>
                    <w:kinsoku/>
                    <w:wordWrap/>
                    <w:overflowPunct/>
                    <w:topLinePunct w:val="0"/>
                    <w:autoSpaceDE/>
                    <w:autoSpaceDN/>
                    <w:bidi w:val="0"/>
                    <w:adjustRightInd/>
                    <w:spacing w:line="360" w:lineRule="exact"/>
                    <w:ind w:firstLine="0"/>
                    <w:textAlignment w:val="auto"/>
                  </w:pPr>
                  <w:r>
                    <w:t>2)</w:t>
                  </w:r>
                  <w:r>
                    <w:tab/>
                  </w:r>
                  <w:r>
                    <w:t>Youden</w:t>
                  </w:r>
                  <w:r>
                    <w:rPr>
                      <w:rFonts w:hint="eastAsia"/>
                    </w:rPr>
                    <w:t>质控图</w:t>
                  </w:r>
                </w:p>
                <w:p w14:paraId="2BE56810">
                  <w:pPr>
                    <w:pStyle w:val="131"/>
                    <w:pageBreakBefore w:val="0"/>
                    <w:widowControl w:val="0"/>
                    <w:kinsoku/>
                    <w:wordWrap/>
                    <w:overflowPunct/>
                    <w:topLinePunct w:val="0"/>
                    <w:autoSpaceDE/>
                    <w:autoSpaceDN/>
                    <w:bidi w:val="0"/>
                    <w:adjustRightInd/>
                    <w:spacing w:line="360" w:lineRule="exact"/>
                    <w:ind w:firstLine="0"/>
                    <w:textAlignment w:val="auto"/>
                  </w:pPr>
                  <w:r>
                    <w:t>3)</w:t>
                  </w:r>
                  <w:r>
                    <w:tab/>
                  </w:r>
                  <w:r>
                    <w:t>Westgard-Sigma</w:t>
                  </w:r>
                  <w:r>
                    <w:rPr>
                      <w:rFonts w:hint="eastAsia"/>
                    </w:rPr>
                    <w:t>西格玛质控规则分析方法</w:t>
                  </w:r>
                </w:p>
                <w:p w14:paraId="1481D0DE">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丰富的质控方法</w:t>
                  </w:r>
                </w:p>
                <w:p w14:paraId="6BBC7055">
                  <w:pPr>
                    <w:pStyle w:val="131"/>
                    <w:pageBreakBefore w:val="0"/>
                    <w:widowControl w:val="0"/>
                    <w:kinsoku/>
                    <w:wordWrap/>
                    <w:overflowPunct/>
                    <w:topLinePunct w:val="0"/>
                    <w:autoSpaceDE/>
                    <w:autoSpaceDN/>
                    <w:bidi w:val="0"/>
                    <w:adjustRightInd/>
                    <w:spacing w:line="360" w:lineRule="exact"/>
                    <w:ind w:firstLine="0"/>
                    <w:textAlignment w:val="auto"/>
                  </w:pPr>
                  <w:r>
                    <w:t>1)</w:t>
                  </w:r>
                  <w:r>
                    <w:tab/>
                  </w:r>
                  <w:r>
                    <w:rPr>
                      <w:rFonts w:hint="eastAsia"/>
                    </w:rPr>
                    <w:t>常用质控规则包括：</w:t>
                  </w:r>
                  <w:r>
                    <w:t>12S</w:t>
                  </w:r>
                  <w:r>
                    <w:rPr>
                      <w:rFonts w:hint="eastAsia"/>
                    </w:rPr>
                    <w:t>，</w:t>
                  </w:r>
                  <w:r>
                    <w:t>12.5S</w:t>
                  </w:r>
                  <w:r>
                    <w:rPr>
                      <w:rFonts w:hint="eastAsia"/>
                    </w:rPr>
                    <w:t>，</w:t>
                  </w:r>
                  <w:r>
                    <w:t>13S</w:t>
                  </w:r>
                  <w:r>
                    <w:rPr>
                      <w:rFonts w:hint="eastAsia"/>
                    </w:rPr>
                    <w:t>，</w:t>
                  </w:r>
                  <w:r>
                    <w:t>13.5S</w:t>
                  </w:r>
                  <w:r>
                    <w:rPr>
                      <w:rFonts w:hint="eastAsia"/>
                    </w:rPr>
                    <w:t>，</w:t>
                  </w:r>
                  <w:r>
                    <w:t>14S</w:t>
                  </w:r>
                  <w:r>
                    <w:rPr>
                      <w:rFonts w:hint="eastAsia"/>
                    </w:rPr>
                    <w:t>，</w:t>
                  </w:r>
                  <w:r>
                    <w:t>22S</w:t>
                  </w:r>
                  <w:r>
                    <w:rPr>
                      <w:rFonts w:hint="eastAsia"/>
                    </w:rPr>
                    <w:t>，</w:t>
                  </w:r>
                  <w:r>
                    <w:t>R4S  31S</w:t>
                  </w:r>
                  <w:r>
                    <w:rPr>
                      <w:rFonts w:hint="eastAsia"/>
                    </w:rPr>
                    <w:t>，</w:t>
                  </w:r>
                </w:p>
                <w:p w14:paraId="33524A34">
                  <w:pPr>
                    <w:pStyle w:val="131"/>
                    <w:pageBreakBefore w:val="0"/>
                    <w:widowControl w:val="0"/>
                    <w:kinsoku/>
                    <w:wordWrap/>
                    <w:overflowPunct/>
                    <w:topLinePunct w:val="0"/>
                    <w:autoSpaceDE/>
                    <w:autoSpaceDN/>
                    <w:bidi w:val="0"/>
                    <w:adjustRightInd/>
                    <w:spacing w:line="360" w:lineRule="exact"/>
                    <w:ind w:firstLine="0"/>
                    <w:textAlignment w:val="auto"/>
                  </w:pPr>
                  <w:r>
                    <w:t>2)</w:t>
                  </w:r>
                  <w:r>
                    <w:tab/>
                  </w:r>
                  <w:r>
                    <w:t>41S</w:t>
                  </w:r>
                  <w:r>
                    <w:rPr>
                      <w:rFonts w:hint="eastAsia"/>
                    </w:rPr>
                    <w:t>，</w:t>
                  </w:r>
                  <w:r>
                    <w:t xml:space="preserve"> (2of3)2S</w:t>
                  </w:r>
                  <w:r>
                    <w:rPr>
                      <w:rFonts w:hint="eastAsia"/>
                    </w:rPr>
                    <w:t>，</w:t>
                  </w:r>
                  <w:r>
                    <w:t xml:space="preserve"> (3of6)2S7T</w:t>
                  </w:r>
                  <w:r>
                    <w:rPr>
                      <w:rFonts w:hint="eastAsia"/>
                    </w:rPr>
                    <w:t>，</w:t>
                  </w:r>
                  <w:r>
                    <w:t>7X</w:t>
                  </w:r>
                  <w:r>
                    <w:rPr>
                      <w:rFonts w:hint="eastAsia"/>
                    </w:rPr>
                    <w:t>，</w:t>
                  </w:r>
                  <w:r>
                    <w:t>8X</w:t>
                  </w:r>
                  <w:r>
                    <w:rPr>
                      <w:rFonts w:hint="eastAsia"/>
                    </w:rPr>
                    <w:t>，</w:t>
                  </w:r>
                  <w:r>
                    <w:t>9X</w:t>
                  </w:r>
                  <w:r>
                    <w:rPr>
                      <w:rFonts w:hint="eastAsia"/>
                    </w:rPr>
                    <w:t>，</w:t>
                  </w:r>
                  <w:r>
                    <w:t>10X</w:t>
                  </w:r>
                  <w:r>
                    <w:rPr>
                      <w:rFonts w:hint="eastAsia"/>
                    </w:rPr>
                    <w:t>，</w:t>
                  </w:r>
                  <w:r>
                    <w:t>12X</w:t>
                  </w:r>
                  <w:r>
                    <w:rPr>
                      <w:rFonts w:hint="eastAsia"/>
                    </w:rPr>
                    <w:t>；</w:t>
                  </w:r>
                </w:p>
                <w:p w14:paraId="2DABFD24">
                  <w:pPr>
                    <w:pStyle w:val="131"/>
                    <w:pageBreakBefore w:val="0"/>
                    <w:widowControl w:val="0"/>
                    <w:kinsoku/>
                    <w:wordWrap/>
                    <w:overflowPunct/>
                    <w:topLinePunct w:val="0"/>
                    <w:autoSpaceDE/>
                    <w:autoSpaceDN/>
                    <w:bidi w:val="0"/>
                    <w:adjustRightInd/>
                    <w:spacing w:line="360" w:lineRule="exact"/>
                    <w:ind w:firstLine="0"/>
                    <w:textAlignment w:val="auto"/>
                  </w:pPr>
                  <w:r>
                    <w:t>3)</w:t>
                  </w:r>
                  <w:r>
                    <w:tab/>
                  </w:r>
                  <w:r>
                    <w:rPr>
                      <w:rFonts w:hint="eastAsia"/>
                    </w:rPr>
                    <w:t>计算控制限规则：</w:t>
                  </w:r>
                  <w:r>
                    <w:t>10.05</w:t>
                  </w:r>
                  <w:r>
                    <w:rPr>
                      <w:rFonts w:hint="eastAsia"/>
                    </w:rPr>
                    <w:t>，</w:t>
                  </w:r>
                  <w:r>
                    <w:t>10.01</w:t>
                  </w:r>
                  <w:r>
                    <w:rPr>
                      <w:rFonts w:hint="eastAsia"/>
                    </w:rPr>
                    <w:t>，</w:t>
                  </w:r>
                  <w:r>
                    <w:t>20.05</w:t>
                  </w:r>
                  <w:r>
                    <w:rPr>
                      <w:rFonts w:hint="eastAsia"/>
                    </w:rPr>
                    <w:t>，</w:t>
                  </w:r>
                  <w:r>
                    <w:t>20.01</w:t>
                  </w:r>
                  <w:r>
                    <w:rPr>
                      <w:rFonts w:hint="eastAsia"/>
                    </w:rPr>
                    <w:t>，</w:t>
                  </w:r>
                  <w:r>
                    <w:t>20.002</w:t>
                  </w:r>
                  <w:r>
                    <w:rPr>
                      <w:rFonts w:hint="eastAsia"/>
                    </w:rPr>
                    <w:t>，</w:t>
                  </w:r>
                  <w:r>
                    <w:t>X0.05</w:t>
                  </w:r>
                  <w:r>
                    <w:rPr>
                      <w:rFonts w:hint="eastAsia"/>
                    </w:rPr>
                    <w:t>，</w:t>
                  </w:r>
                  <w:r>
                    <w:t>X0.01</w:t>
                  </w:r>
                  <w:r>
                    <w:rPr>
                      <w:rFonts w:hint="eastAsia"/>
                    </w:rPr>
                    <w:t>，</w:t>
                  </w:r>
                  <w:r>
                    <w:t>R0.01</w:t>
                  </w:r>
                  <w:r>
                    <w:rPr>
                      <w:rFonts w:hint="eastAsia"/>
                    </w:rPr>
                    <w:t>，</w:t>
                  </w:r>
                  <w:r>
                    <w:t>R0.02</w:t>
                  </w:r>
                  <w:r>
                    <w:rPr>
                      <w:rFonts w:hint="eastAsia"/>
                    </w:rPr>
                    <w:t>；</w:t>
                  </w:r>
                </w:p>
                <w:p w14:paraId="09A789B9">
                  <w:pPr>
                    <w:pStyle w:val="131"/>
                    <w:pageBreakBefore w:val="0"/>
                    <w:widowControl w:val="0"/>
                    <w:kinsoku/>
                    <w:wordWrap/>
                    <w:overflowPunct/>
                    <w:topLinePunct w:val="0"/>
                    <w:autoSpaceDE/>
                    <w:autoSpaceDN/>
                    <w:bidi w:val="0"/>
                    <w:adjustRightInd/>
                    <w:spacing w:line="360" w:lineRule="exact"/>
                    <w:ind w:firstLine="0"/>
                    <w:textAlignment w:val="auto"/>
                  </w:pPr>
                  <w:r>
                    <w:t>4)</w:t>
                  </w:r>
                  <w:r>
                    <w:tab/>
                  </w:r>
                  <w:r>
                    <w:rPr>
                      <w:rFonts w:hint="eastAsia"/>
                    </w:rPr>
                    <w:t>累计和规则：</w:t>
                  </w:r>
                  <w:r>
                    <w:t>CS(1.0S:2.7S)</w:t>
                  </w:r>
                  <w:r>
                    <w:rPr>
                      <w:rFonts w:hint="eastAsia"/>
                    </w:rPr>
                    <w:t>，</w:t>
                  </w:r>
                  <w:r>
                    <w:t>CS(1.0S:3.0S</w:t>
                  </w:r>
                  <w:r>
                    <w:rPr>
                      <w:rFonts w:hint="eastAsia"/>
                    </w:rPr>
                    <w:t>，</w:t>
                  </w:r>
                  <w:r>
                    <w:t>CS(0.5S:5.1S)</w:t>
                  </w:r>
                  <w:r>
                    <w:rPr>
                      <w:rFonts w:hint="eastAsia"/>
                    </w:rPr>
                    <w:t>；</w:t>
                  </w:r>
                </w:p>
                <w:p w14:paraId="795D02AF">
                  <w:pPr>
                    <w:pStyle w:val="131"/>
                    <w:pageBreakBefore w:val="0"/>
                    <w:widowControl w:val="0"/>
                    <w:kinsoku/>
                    <w:wordWrap/>
                    <w:overflowPunct/>
                    <w:topLinePunct w:val="0"/>
                    <w:autoSpaceDE/>
                    <w:autoSpaceDN/>
                    <w:bidi w:val="0"/>
                    <w:adjustRightInd/>
                    <w:spacing w:line="360" w:lineRule="exact"/>
                    <w:ind w:firstLine="0"/>
                    <w:textAlignment w:val="auto"/>
                  </w:pPr>
                  <w:r>
                    <w:t>5)</w:t>
                  </w:r>
                  <w:r>
                    <w:tab/>
                  </w:r>
                  <w:r>
                    <w:rPr>
                      <w:rFonts w:hint="eastAsia"/>
                    </w:rPr>
                    <w:t>自定义质控规则；</w:t>
                  </w:r>
                </w:p>
                <w:p w14:paraId="474C47C9">
                  <w:pPr>
                    <w:pStyle w:val="131"/>
                    <w:pageBreakBefore w:val="0"/>
                    <w:widowControl w:val="0"/>
                    <w:kinsoku/>
                    <w:wordWrap/>
                    <w:overflowPunct/>
                    <w:topLinePunct w:val="0"/>
                    <w:autoSpaceDE/>
                    <w:autoSpaceDN/>
                    <w:bidi w:val="0"/>
                    <w:adjustRightInd/>
                    <w:spacing w:line="360" w:lineRule="exact"/>
                    <w:ind w:firstLine="0"/>
                    <w:textAlignment w:val="auto"/>
                  </w:pPr>
                  <w:r>
                    <w:t>6)</w:t>
                  </w:r>
                  <w:r>
                    <w:tab/>
                  </w:r>
                  <w:r>
                    <w:rPr>
                      <w:rFonts w:hint="eastAsia"/>
                    </w:rPr>
                    <w:t>极差规则；</w:t>
                  </w:r>
                </w:p>
                <w:p w14:paraId="6B65FD21">
                  <w:pPr>
                    <w:pStyle w:val="131"/>
                    <w:pageBreakBefore w:val="0"/>
                    <w:widowControl w:val="0"/>
                    <w:kinsoku/>
                    <w:wordWrap/>
                    <w:overflowPunct/>
                    <w:topLinePunct w:val="0"/>
                    <w:autoSpaceDE/>
                    <w:autoSpaceDN/>
                    <w:bidi w:val="0"/>
                    <w:adjustRightInd/>
                    <w:spacing w:line="360" w:lineRule="exact"/>
                    <w:ind w:firstLine="0"/>
                    <w:textAlignment w:val="auto"/>
                  </w:pPr>
                  <w:r>
                    <w:t>7)</w:t>
                  </w:r>
                  <w:r>
                    <w:tab/>
                  </w:r>
                  <w:r>
                    <w:rPr>
                      <w:rFonts w:hint="eastAsia"/>
                    </w:rPr>
                    <w:t>质控规则组合；</w:t>
                  </w:r>
                </w:p>
                <w:p w14:paraId="40958332">
                  <w:pPr>
                    <w:pStyle w:val="131"/>
                    <w:pageBreakBefore w:val="0"/>
                    <w:widowControl w:val="0"/>
                    <w:kinsoku/>
                    <w:wordWrap/>
                    <w:overflowPunct/>
                    <w:topLinePunct w:val="0"/>
                    <w:autoSpaceDE/>
                    <w:autoSpaceDN/>
                    <w:bidi w:val="0"/>
                    <w:adjustRightInd/>
                    <w:spacing w:line="360" w:lineRule="exact"/>
                    <w:textAlignment w:val="auto"/>
                  </w:pPr>
                  <w:r>
                    <w:t>N=1: 12S/41S</w:t>
                  </w:r>
                </w:p>
                <w:p w14:paraId="208A1028">
                  <w:pPr>
                    <w:pStyle w:val="131"/>
                    <w:pageBreakBefore w:val="0"/>
                    <w:widowControl w:val="0"/>
                    <w:kinsoku/>
                    <w:wordWrap/>
                    <w:overflowPunct/>
                    <w:topLinePunct w:val="0"/>
                    <w:autoSpaceDE/>
                    <w:autoSpaceDN/>
                    <w:bidi w:val="0"/>
                    <w:adjustRightInd/>
                    <w:spacing w:line="360" w:lineRule="exact"/>
                    <w:textAlignment w:val="auto"/>
                  </w:pPr>
                  <w:r>
                    <w:t>N=2: 13S/22S/R4S/41S/10X(Westgard)</w:t>
                  </w:r>
                </w:p>
                <w:p w14:paraId="58BDF4A0">
                  <w:pPr>
                    <w:pStyle w:val="131"/>
                    <w:pageBreakBefore w:val="0"/>
                    <w:widowControl w:val="0"/>
                    <w:kinsoku/>
                    <w:wordWrap/>
                    <w:overflowPunct/>
                    <w:topLinePunct w:val="0"/>
                    <w:autoSpaceDE/>
                    <w:autoSpaceDN/>
                    <w:bidi w:val="0"/>
                    <w:adjustRightInd/>
                    <w:spacing w:line="360" w:lineRule="exact"/>
                    <w:textAlignment w:val="auto"/>
                  </w:pPr>
                  <w:r>
                    <w:t xml:space="preserve">N=3: 13S/(2 of 3)2S/R4S/9X </w:t>
                  </w:r>
                  <w:r>
                    <w:rPr>
                      <w:rFonts w:hint="eastAsia"/>
                    </w:rPr>
                    <w:t>或</w:t>
                  </w:r>
                  <w:r>
                    <w:t xml:space="preserve"> 12X</w:t>
                  </w:r>
                </w:p>
                <w:p w14:paraId="50E712F1">
                  <w:pPr>
                    <w:pStyle w:val="131"/>
                    <w:pageBreakBefore w:val="0"/>
                    <w:widowControl w:val="0"/>
                    <w:kinsoku/>
                    <w:wordWrap/>
                    <w:overflowPunct/>
                    <w:topLinePunct w:val="0"/>
                    <w:autoSpaceDE/>
                    <w:autoSpaceDN/>
                    <w:bidi w:val="0"/>
                    <w:adjustRightInd/>
                    <w:spacing w:line="360" w:lineRule="exact"/>
                    <w:textAlignment w:val="auto"/>
                  </w:pPr>
                  <w:r>
                    <w:t xml:space="preserve">N=4: 13S/22S/R4S/41S/8X </w:t>
                  </w:r>
                  <w:r>
                    <w:rPr>
                      <w:rFonts w:hint="eastAsia"/>
                    </w:rPr>
                    <w:t>或</w:t>
                  </w:r>
                  <w:r>
                    <w:t xml:space="preserve"> 12X</w:t>
                  </w:r>
                </w:p>
                <w:p w14:paraId="1D049213">
                  <w:pPr>
                    <w:pStyle w:val="131"/>
                    <w:pageBreakBefore w:val="0"/>
                    <w:widowControl w:val="0"/>
                    <w:kinsoku/>
                    <w:wordWrap/>
                    <w:overflowPunct/>
                    <w:topLinePunct w:val="0"/>
                    <w:autoSpaceDE/>
                    <w:autoSpaceDN/>
                    <w:bidi w:val="0"/>
                    <w:adjustRightInd/>
                    <w:spacing w:line="360" w:lineRule="exact"/>
                    <w:textAlignment w:val="auto"/>
                  </w:pPr>
                  <w:r>
                    <w:t>N=6: 13S/22S/R0.05/41S/12X</w:t>
                  </w:r>
                </w:p>
                <w:p w14:paraId="64F83AC2">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自定义质控组合</w:t>
                  </w:r>
                </w:p>
                <w:p w14:paraId="578C4001">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【失控处理填写】</w:t>
                  </w:r>
                </w:p>
                <w:p w14:paraId="10059D36">
                  <w:pPr>
                    <w:pStyle w:val="131"/>
                    <w:pageBreakBefore w:val="0"/>
                    <w:widowControl w:val="0"/>
                    <w:kinsoku/>
                    <w:wordWrap/>
                    <w:overflowPunct/>
                    <w:topLinePunct w:val="0"/>
                    <w:autoSpaceDE/>
                    <w:autoSpaceDN/>
                    <w:bidi w:val="0"/>
                    <w:adjustRightInd/>
                    <w:spacing w:line="360" w:lineRule="exact"/>
                    <w:ind w:firstLine="0"/>
                    <w:textAlignment w:val="auto"/>
                  </w:pPr>
                  <w:r>
                    <w:t>1)</w:t>
                  </w:r>
                  <w:r>
                    <w:tab/>
                  </w:r>
                  <w:r>
                    <w:rPr>
                      <w:rFonts w:hint="eastAsia"/>
                    </w:rPr>
                    <w:t>失控原因填写</w:t>
                  </w:r>
                </w:p>
                <w:p w14:paraId="41067C03">
                  <w:pPr>
                    <w:pStyle w:val="131"/>
                    <w:pageBreakBefore w:val="0"/>
                    <w:widowControl w:val="0"/>
                    <w:kinsoku/>
                    <w:wordWrap/>
                    <w:overflowPunct/>
                    <w:topLinePunct w:val="0"/>
                    <w:autoSpaceDE/>
                    <w:autoSpaceDN/>
                    <w:bidi w:val="0"/>
                    <w:adjustRightInd/>
                    <w:spacing w:line="360" w:lineRule="exact"/>
                    <w:ind w:firstLine="0"/>
                    <w:textAlignment w:val="auto"/>
                  </w:pPr>
                  <w:r>
                    <w:t>2)</w:t>
                  </w:r>
                  <w:r>
                    <w:tab/>
                  </w:r>
                  <w:r>
                    <w:rPr>
                      <w:rFonts w:hint="eastAsia"/>
                    </w:rPr>
                    <w:t>失控处理填写</w:t>
                  </w:r>
                </w:p>
                <w:p w14:paraId="746801CE">
                  <w:pPr>
                    <w:pStyle w:val="131"/>
                    <w:pageBreakBefore w:val="0"/>
                    <w:widowControl w:val="0"/>
                    <w:kinsoku/>
                    <w:wordWrap/>
                    <w:overflowPunct/>
                    <w:topLinePunct w:val="0"/>
                    <w:autoSpaceDE/>
                    <w:autoSpaceDN/>
                    <w:bidi w:val="0"/>
                    <w:adjustRightInd/>
                    <w:spacing w:line="360" w:lineRule="exact"/>
                    <w:ind w:firstLine="0"/>
                    <w:textAlignment w:val="auto"/>
                  </w:pPr>
                  <w:r>
                    <w:t>3)</w:t>
                  </w:r>
                  <w:r>
                    <w:tab/>
                  </w:r>
                  <w:r>
                    <w:rPr>
                      <w:rFonts w:hint="eastAsia"/>
                    </w:rPr>
                    <w:t>处理结果填写</w:t>
                  </w:r>
                </w:p>
                <w:p w14:paraId="7DA36F8E">
                  <w:pPr>
                    <w:pStyle w:val="131"/>
                    <w:pageBreakBefore w:val="0"/>
                    <w:widowControl w:val="0"/>
                    <w:kinsoku/>
                    <w:wordWrap/>
                    <w:overflowPunct/>
                    <w:topLinePunct w:val="0"/>
                    <w:autoSpaceDE/>
                    <w:autoSpaceDN/>
                    <w:bidi w:val="0"/>
                    <w:adjustRightInd/>
                    <w:spacing w:line="360" w:lineRule="exact"/>
                    <w:ind w:firstLine="0"/>
                    <w:textAlignment w:val="auto"/>
                  </w:pPr>
                  <w:r>
                    <w:t>4)</w:t>
                  </w:r>
                  <w:r>
                    <w:tab/>
                  </w:r>
                  <w:r>
                    <w:rPr>
                      <w:rFonts w:hint="eastAsia"/>
                    </w:rPr>
                    <w:t>临床影响填写</w:t>
                  </w:r>
                </w:p>
                <w:p w14:paraId="23384335">
                  <w:pPr>
                    <w:pStyle w:val="131"/>
                    <w:pageBreakBefore w:val="0"/>
                    <w:widowControl w:val="0"/>
                    <w:kinsoku/>
                    <w:wordWrap/>
                    <w:overflowPunct/>
                    <w:topLinePunct w:val="0"/>
                    <w:autoSpaceDE/>
                    <w:autoSpaceDN/>
                    <w:bidi w:val="0"/>
                    <w:adjustRightInd/>
                    <w:spacing w:line="360" w:lineRule="exact"/>
                    <w:ind w:firstLine="0"/>
                    <w:textAlignment w:val="auto"/>
                  </w:pPr>
                  <w:r>
                    <w:t>5)</w:t>
                  </w:r>
                  <w:r>
                    <w:tab/>
                  </w:r>
                  <w:r>
                    <w:rPr>
                      <w:rFonts w:hint="eastAsia"/>
                    </w:rPr>
                    <w:t>预防措施填写</w:t>
                  </w:r>
                </w:p>
                <w:p w14:paraId="21BCBEF3">
                  <w:pPr>
                    <w:pStyle w:val="131"/>
                    <w:pageBreakBefore w:val="0"/>
                    <w:widowControl w:val="0"/>
                    <w:kinsoku/>
                    <w:wordWrap/>
                    <w:overflowPunct/>
                    <w:topLinePunct w:val="0"/>
                    <w:autoSpaceDE/>
                    <w:autoSpaceDN/>
                    <w:bidi w:val="0"/>
                    <w:adjustRightInd/>
                    <w:spacing w:line="360" w:lineRule="exact"/>
                    <w:ind w:firstLine="0"/>
                    <w:textAlignment w:val="auto"/>
                  </w:pPr>
                  <w:r>
                    <w:t>6)</w:t>
                  </w:r>
                  <w:r>
                    <w:tab/>
                  </w:r>
                  <w:r>
                    <w:rPr>
                      <w:rFonts w:hint="eastAsia"/>
                    </w:rPr>
                    <w:t>填写内容可以形成模板，自由选择模板</w:t>
                  </w:r>
                </w:p>
                <w:p w14:paraId="5B362649">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【常用质控报表】</w:t>
                  </w:r>
                </w:p>
                <w:p w14:paraId="660A38F6">
                  <w:pPr>
                    <w:pStyle w:val="131"/>
                    <w:pageBreakBefore w:val="0"/>
                    <w:widowControl w:val="0"/>
                    <w:kinsoku/>
                    <w:wordWrap/>
                    <w:overflowPunct/>
                    <w:topLinePunct w:val="0"/>
                    <w:autoSpaceDE/>
                    <w:autoSpaceDN/>
                    <w:bidi w:val="0"/>
                    <w:adjustRightInd/>
                    <w:spacing w:line="360" w:lineRule="exact"/>
                    <w:ind w:firstLine="0"/>
                    <w:textAlignment w:val="auto"/>
                  </w:pPr>
                  <w:r>
                    <w:t>1)</w:t>
                  </w:r>
                  <w:r>
                    <w:tab/>
                  </w:r>
                  <w:r>
                    <w:rPr>
                      <w:rFonts w:hint="eastAsia"/>
                    </w:rPr>
                    <w:t>质控月汇总表</w:t>
                  </w:r>
                </w:p>
                <w:p w14:paraId="5111B4D3">
                  <w:pPr>
                    <w:pStyle w:val="131"/>
                    <w:pageBreakBefore w:val="0"/>
                    <w:widowControl w:val="0"/>
                    <w:kinsoku/>
                    <w:wordWrap/>
                    <w:overflowPunct/>
                    <w:topLinePunct w:val="0"/>
                    <w:autoSpaceDE/>
                    <w:autoSpaceDN/>
                    <w:bidi w:val="0"/>
                    <w:adjustRightInd/>
                    <w:spacing w:line="360" w:lineRule="exact"/>
                    <w:ind w:firstLine="0"/>
                    <w:textAlignment w:val="auto"/>
                  </w:pPr>
                  <w:r>
                    <w:t>2)</w:t>
                  </w:r>
                  <w:r>
                    <w:tab/>
                  </w:r>
                  <w:r>
                    <w:rPr>
                      <w:rFonts w:hint="eastAsia"/>
                    </w:rPr>
                    <w:t>质控品项目统计</w:t>
                  </w:r>
                </w:p>
                <w:p w14:paraId="4838EE32">
                  <w:pPr>
                    <w:pStyle w:val="131"/>
                    <w:pageBreakBefore w:val="0"/>
                    <w:widowControl w:val="0"/>
                    <w:kinsoku/>
                    <w:wordWrap/>
                    <w:overflowPunct/>
                    <w:topLinePunct w:val="0"/>
                    <w:autoSpaceDE/>
                    <w:autoSpaceDN/>
                    <w:bidi w:val="0"/>
                    <w:adjustRightInd/>
                    <w:spacing w:line="360" w:lineRule="exact"/>
                    <w:ind w:firstLine="0"/>
                    <w:textAlignment w:val="auto"/>
                  </w:pPr>
                  <w:r>
                    <w:t>3)</w:t>
                  </w:r>
                  <w:r>
                    <w:tab/>
                  </w:r>
                  <w:r>
                    <w:rPr>
                      <w:rFonts w:hint="eastAsia"/>
                    </w:rPr>
                    <w:t>质控</w:t>
                  </w:r>
                  <w:r>
                    <w:t>CV</w:t>
                  </w:r>
                  <w:r>
                    <w:rPr>
                      <w:rFonts w:hint="eastAsia"/>
                    </w:rPr>
                    <w:t>统计</w:t>
                  </w:r>
                </w:p>
                <w:p w14:paraId="6518F482">
                  <w:pPr>
                    <w:pStyle w:val="131"/>
                    <w:pageBreakBefore w:val="0"/>
                    <w:widowControl w:val="0"/>
                    <w:kinsoku/>
                    <w:wordWrap/>
                    <w:overflowPunct/>
                    <w:topLinePunct w:val="0"/>
                    <w:autoSpaceDE/>
                    <w:autoSpaceDN/>
                    <w:bidi w:val="0"/>
                    <w:adjustRightInd/>
                    <w:spacing w:line="360" w:lineRule="exact"/>
                    <w:ind w:firstLine="0"/>
                    <w:textAlignment w:val="auto"/>
                  </w:pPr>
                  <w:r>
                    <w:t>4)</w:t>
                  </w:r>
                  <w:r>
                    <w:tab/>
                  </w:r>
                  <w:r>
                    <w:rPr>
                      <w:rFonts w:hint="eastAsia"/>
                    </w:rPr>
                    <w:t>质控月统计表</w:t>
                  </w:r>
                </w:p>
                <w:p w14:paraId="308FCA9A">
                  <w:pPr>
                    <w:pStyle w:val="131"/>
                    <w:pageBreakBefore w:val="0"/>
                    <w:widowControl w:val="0"/>
                    <w:kinsoku/>
                    <w:wordWrap/>
                    <w:overflowPunct/>
                    <w:topLinePunct w:val="0"/>
                    <w:autoSpaceDE/>
                    <w:autoSpaceDN/>
                    <w:bidi w:val="0"/>
                    <w:adjustRightInd/>
                    <w:spacing w:line="360" w:lineRule="exact"/>
                    <w:ind w:firstLine="0"/>
                    <w:textAlignment w:val="auto"/>
                    <w:rPr>
                      <w:rFonts w:hint="eastAsia"/>
                      <w:lang w:eastAsia="zh-CN"/>
                    </w:rPr>
                  </w:pPr>
                  <w:r>
                    <w:t>5)</w:t>
                  </w:r>
                  <w:r>
                    <w:tab/>
                  </w:r>
                  <w:r>
                    <w:rPr>
                      <w:rFonts w:hint="eastAsia"/>
                    </w:rPr>
                    <w:t>质控月度统计</w:t>
                  </w:r>
                </w:p>
                <w:p w14:paraId="54070CFB">
                  <w:pPr>
                    <w:pStyle w:val="131"/>
                    <w:pageBreakBefore w:val="0"/>
                    <w:widowControl w:val="0"/>
                    <w:kinsoku/>
                    <w:wordWrap/>
                    <w:overflowPunct/>
                    <w:topLinePunct w:val="0"/>
                    <w:autoSpaceDE/>
                    <w:autoSpaceDN/>
                    <w:bidi w:val="0"/>
                    <w:adjustRightInd/>
                    <w:spacing w:line="360" w:lineRule="exact"/>
                    <w:ind w:firstLine="0"/>
                    <w:textAlignment w:val="auto"/>
                    <w:rPr>
                      <w:lang w:eastAsia="zh-CN"/>
                    </w:rPr>
                  </w:pPr>
                  <w:r>
                    <w:rPr>
                      <w:rFonts w:hint="eastAsia"/>
                      <w:lang w:eastAsia="zh-CN"/>
                    </w:rPr>
                    <w:t>6)  检验专科质控标准指标统计</w:t>
                  </w:r>
                </w:p>
                <w:p w14:paraId="65F07EDD">
                  <w:pPr>
                    <w:pStyle w:val="131"/>
                    <w:pageBreakBefore w:val="0"/>
                    <w:widowControl w:val="0"/>
                    <w:kinsoku/>
                    <w:wordWrap/>
                    <w:overflowPunct/>
                    <w:topLinePunct w:val="0"/>
                    <w:autoSpaceDE/>
                    <w:autoSpaceDN/>
                    <w:bidi w:val="0"/>
                    <w:adjustRightInd/>
                    <w:spacing w:line="360" w:lineRule="exact"/>
                    <w:ind w:firstLine="0"/>
                    <w:textAlignment w:val="auto"/>
                    <w:rPr>
                      <w:b/>
                      <w:sz w:val="24"/>
                      <w:szCs w:val="24"/>
                    </w:rPr>
                  </w:pPr>
                  <w:r>
                    <w:rPr>
                      <w:b/>
                      <w:sz w:val="24"/>
                      <w:szCs w:val="24"/>
                    </w:rPr>
                    <w:t>19.TAT</w:t>
                  </w:r>
                  <w:r>
                    <w:rPr>
                      <w:rFonts w:hint="eastAsia"/>
                      <w:b/>
                      <w:sz w:val="24"/>
                      <w:szCs w:val="24"/>
                    </w:rPr>
                    <w:t>统计</w:t>
                  </w:r>
                </w:p>
                <w:p w14:paraId="637063EE">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用于</w:t>
                  </w:r>
                  <w:r>
                    <w:t xml:space="preserve"> TAT </w:t>
                  </w:r>
                  <w:r>
                    <w:rPr>
                      <w:rFonts w:hint="eastAsia"/>
                    </w:rPr>
                    <w:t>全过程时间节点：申请时间</w:t>
                  </w:r>
                  <w:r>
                    <w:t>-</w:t>
                  </w:r>
                  <w:r>
                    <w:rPr>
                      <w:rFonts w:hint="eastAsia"/>
                    </w:rPr>
                    <w:t>采样时间</w:t>
                  </w:r>
                  <w:r>
                    <w:t>-</w:t>
                  </w:r>
                  <w:r>
                    <w:rPr>
                      <w:rFonts w:hint="eastAsia"/>
                    </w:rPr>
                    <w:t>归集时间</w:t>
                  </w:r>
                  <w:r>
                    <w:t>-</w:t>
                  </w:r>
                  <w:r>
                    <w:rPr>
                      <w:rFonts w:hint="eastAsia"/>
                    </w:rPr>
                    <w:t>送出时间</w:t>
                  </w:r>
                  <w:r>
                    <w:t>-</w:t>
                  </w:r>
                  <w:r>
                    <w:rPr>
                      <w:rFonts w:hint="eastAsia"/>
                    </w:rPr>
                    <w:t>送达时间</w:t>
                  </w:r>
                  <w:r>
                    <w:t>-</w:t>
                  </w:r>
                  <w:r>
                    <w:rPr>
                      <w:rFonts w:hint="eastAsia"/>
                    </w:rPr>
                    <w:t>接收时间</w:t>
                  </w:r>
                  <w:r>
                    <w:t>-</w:t>
                  </w:r>
                  <w:r>
                    <w:rPr>
                      <w:rFonts w:hint="eastAsia"/>
                    </w:rPr>
                    <w:t>上机时间</w:t>
                  </w:r>
                  <w:r>
                    <w:t>-</w:t>
                  </w:r>
                  <w:r>
                    <w:rPr>
                      <w:rFonts w:hint="eastAsia"/>
                    </w:rPr>
                    <w:t>分析完成时间</w:t>
                  </w:r>
                  <w:r>
                    <w:t>-</w:t>
                  </w:r>
                  <w:r>
                    <w:rPr>
                      <w:rFonts w:hint="eastAsia"/>
                    </w:rPr>
                    <w:t>报告时间</w:t>
                  </w:r>
                  <w:r>
                    <w:t>-</w:t>
                  </w:r>
                  <w:r>
                    <w:rPr>
                      <w:rFonts w:hint="eastAsia"/>
                    </w:rPr>
                    <w:t>阅读时间；</w:t>
                  </w:r>
                  <w:r>
                    <w:t xml:space="preserve"> </w:t>
                  </w:r>
                </w:p>
                <w:p w14:paraId="616F0818">
                  <w:pPr>
                    <w:pStyle w:val="131"/>
                    <w:pageBreakBefore w:val="0"/>
                    <w:widowControl w:val="0"/>
                    <w:kinsoku/>
                    <w:wordWrap/>
                    <w:overflowPunct/>
                    <w:topLinePunct w:val="0"/>
                    <w:autoSpaceDE/>
                    <w:autoSpaceDN/>
                    <w:bidi w:val="0"/>
                    <w:adjustRightInd/>
                    <w:spacing w:line="360" w:lineRule="exact"/>
                    <w:ind w:firstLine="0"/>
                    <w:textAlignment w:val="auto"/>
                  </w:pPr>
                  <w:r>
                    <w:t>1)</w:t>
                  </w:r>
                  <w:r>
                    <w:tab/>
                  </w:r>
                  <w:r>
                    <w:rPr>
                      <w:rFonts w:hint="eastAsia"/>
                    </w:rPr>
                    <w:t>标本全局：申请</w:t>
                  </w:r>
                  <w:r>
                    <w:t>-</w:t>
                  </w:r>
                  <w:r>
                    <w:rPr>
                      <w:rFonts w:hint="eastAsia"/>
                    </w:rPr>
                    <w:t>报告、采集</w:t>
                  </w:r>
                  <w:r>
                    <w:t>-</w:t>
                  </w:r>
                  <w:r>
                    <w:rPr>
                      <w:rFonts w:hint="eastAsia"/>
                    </w:rPr>
                    <w:t>报告</w:t>
                  </w:r>
                </w:p>
                <w:p w14:paraId="4D274889">
                  <w:pPr>
                    <w:pStyle w:val="131"/>
                    <w:pageBreakBefore w:val="0"/>
                    <w:widowControl w:val="0"/>
                    <w:kinsoku/>
                    <w:wordWrap/>
                    <w:overflowPunct/>
                    <w:topLinePunct w:val="0"/>
                    <w:autoSpaceDE/>
                    <w:autoSpaceDN/>
                    <w:bidi w:val="0"/>
                    <w:adjustRightInd/>
                    <w:spacing w:line="360" w:lineRule="exact"/>
                    <w:ind w:firstLine="0"/>
                    <w:textAlignment w:val="auto"/>
                  </w:pPr>
                  <w:r>
                    <w:t>2)</w:t>
                  </w:r>
                  <w:r>
                    <w:tab/>
                  </w:r>
                  <w:r>
                    <w:rPr>
                      <w:rFonts w:hint="eastAsia"/>
                    </w:rPr>
                    <w:t>采集及时性：申请</w:t>
                  </w:r>
                  <w:r>
                    <w:t>-</w:t>
                  </w:r>
                  <w:r>
                    <w:rPr>
                      <w:rFonts w:hint="eastAsia"/>
                    </w:rPr>
                    <w:t>采集</w:t>
                  </w:r>
                </w:p>
                <w:p w14:paraId="0F36D4D4">
                  <w:pPr>
                    <w:pStyle w:val="131"/>
                    <w:pageBreakBefore w:val="0"/>
                    <w:widowControl w:val="0"/>
                    <w:kinsoku/>
                    <w:wordWrap/>
                    <w:overflowPunct/>
                    <w:topLinePunct w:val="0"/>
                    <w:autoSpaceDE/>
                    <w:autoSpaceDN/>
                    <w:bidi w:val="0"/>
                    <w:adjustRightInd/>
                    <w:spacing w:line="360" w:lineRule="exact"/>
                    <w:ind w:firstLine="0"/>
                    <w:textAlignment w:val="auto"/>
                  </w:pPr>
                  <w:r>
                    <w:t>3)</w:t>
                  </w:r>
                  <w:r>
                    <w:tab/>
                  </w:r>
                  <w:r>
                    <w:rPr>
                      <w:rFonts w:hint="eastAsia"/>
                    </w:rPr>
                    <w:t>送检及时性：采集</w:t>
                  </w:r>
                  <w:r>
                    <w:t>-</w:t>
                  </w:r>
                  <w:r>
                    <w:rPr>
                      <w:rFonts w:hint="eastAsia"/>
                    </w:rPr>
                    <w:t>接收</w:t>
                  </w:r>
                </w:p>
                <w:p w14:paraId="6FAB684C">
                  <w:pPr>
                    <w:pStyle w:val="131"/>
                    <w:pageBreakBefore w:val="0"/>
                    <w:widowControl w:val="0"/>
                    <w:kinsoku/>
                    <w:wordWrap/>
                    <w:overflowPunct/>
                    <w:topLinePunct w:val="0"/>
                    <w:autoSpaceDE/>
                    <w:autoSpaceDN/>
                    <w:bidi w:val="0"/>
                    <w:adjustRightInd/>
                    <w:spacing w:line="360" w:lineRule="exact"/>
                    <w:ind w:firstLine="0"/>
                    <w:textAlignment w:val="auto"/>
                  </w:pPr>
                  <w:r>
                    <w:t>4)</w:t>
                  </w:r>
                  <w:r>
                    <w:tab/>
                  </w:r>
                  <w:r>
                    <w:rPr>
                      <w:rFonts w:hint="eastAsia"/>
                    </w:rPr>
                    <w:t>采集</w:t>
                  </w:r>
                  <w:r>
                    <w:t>-</w:t>
                  </w:r>
                  <w:r>
                    <w:rPr>
                      <w:rFonts w:hint="eastAsia"/>
                    </w:rPr>
                    <w:t>送出、归集</w:t>
                  </w:r>
                  <w:r>
                    <w:t>-</w:t>
                  </w:r>
                  <w:r>
                    <w:rPr>
                      <w:rFonts w:hint="eastAsia"/>
                    </w:rPr>
                    <w:t>送出、归集</w:t>
                  </w:r>
                  <w:r>
                    <w:t>-</w:t>
                  </w:r>
                  <w:r>
                    <w:rPr>
                      <w:rFonts w:hint="eastAsia"/>
                    </w:rPr>
                    <w:t>送达</w:t>
                  </w:r>
                </w:p>
                <w:p w14:paraId="772DDA6C">
                  <w:pPr>
                    <w:pStyle w:val="131"/>
                    <w:pageBreakBefore w:val="0"/>
                    <w:widowControl w:val="0"/>
                    <w:kinsoku/>
                    <w:wordWrap/>
                    <w:overflowPunct/>
                    <w:topLinePunct w:val="0"/>
                    <w:autoSpaceDE/>
                    <w:autoSpaceDN/>
                    <w:bidi w:val="0"/>
                    <w:adjustRightInd/>
                    <w:spacing w:line="360" w:lineRule="exact"/>
                    <w:ind w:firstLine="0"/>
                    <w:textAlignment w:val="auto"/>
                  </w:pPr>
                  <w:r>
                    <w:t>5)</w:t>
                  </w:r>
                  <w:r>
                    <w:tab/>
                  </w:r>
                  <w:r>
                    <w:rPr>
                      <w:rFonts w:hint="eastAsia"/>
                    </w:rPr>
                    <w:t>检验及时性：接收</w:t>
                  </w:r>
                  <w:r>
                    <w:t>-</w:t>
                  </w:r>
                  <w:r>
                    <w:rPr>
                      <w:rFonts w:hint="eastAsia"/>
                    </w:rPr>
                    <w:t>报告</w:t>
                  </w:r>
                </w:p>
                <w:p w14:paraId="2F837055">
                  <w:pPr>
                    <w:pStyle w:val="131"/>
                    <w:pageBreakBefore w:val="0"/>
                    <w:widowControl w:val="0"/>
                    <w:kinsoku/>
                    <w:wordWrap/>
                    <w:overflowPunct/>
                    <w:topLinePunct w:val="0"/>
                    <w:autoSpaceDE/>
                    <w:autoSpaceDN/>
                    <w:bidi w:val="0"/>
                    <w:adjustRightInd/>
                    <w:spacing w:line="360" w:lineRule="exact"/>
                    <w:ind w:firstLine="0"/>
                    <w:textAlignment w:val="auto"/>
                  </w:pPr>
                  <w:r>
                    <w:t>6)</w:t>
                  </w:r>
                  <w:r>
                    <w:tab/>
                  </w:r>
                  <w:r>
                    <w:rPr>
                      <w:rFonts w:hint="eastAsia"/>
                    </w:rPr>
                    <w:t>接收</w:t>
                  </w:r>
                  <w:r>
                    <w:t>-</w:t>
                  </w:r>
                  <w:r>
                    <w:rPr>
                      <w:rFonts w:hint="eastAsia"/>
                    </w:rPr>
                    <w:t>上机、上机</w:t>
                  </w:r>
                  <w:r>
                    <w:t>-</w:t>
                  </w:r>
                  <w:r>
                    <w:rPr>
                      <w:rFonts w:hint="eastAsia"/>
                    </w:rPr>
                    <w:t>结果完成、结果完成</w:t>
                  </w:r>
                  <w:r>
                    <w:t>-</w:t>
                  </w:r>
                  <w:r>
                    <w:rPr>
                      <w:rFonts w:hint="eastAsia"/>
                    </w:rPr>
                    <w:t>报告</w:t>
                  </w:r>
                </w:p>
                <w:p w14:paraId="54AFCA94">
                  <w:pPr>
                    <w:pStyle w:val="131"/>
                    <w:pageBreakBefore w:val="0"/>
                    <w:widowControl w:val="0"/>
                    <w:kinsoku/>
                    <w:wordWrap/>
                    <w:overflowPunct/>
                    <w:topLinePunct w:val="0"/>
                    <w:autoSpaceDE/>
                    <w:autoSpaceDN/>
                    <w:bidi w:val="0"/>
                    <w:adjustRightInd/>
                    <w:spacing w:line="360" w:lineRule="exact"/>
                    <w:ind w:firstLine="0"/>
                    <w:textAlignment w:val="auto"/>
                  </w:pPr>
                  <w:r>
                    <w:t>7)</w:t>
                  </w:r>
                  <w:r>
                    <w:tab/>
                  </w:r>
                  <w:r>
                    <w:rPr>
                      <w:rFonts w:hint="eastAsia"/>
                    </w:rPr>
                    <w:t>应用及时性：报告</w:t>
                  </w:r>
                  <w:r>
                    <w:t>-</w:t>
                  </w:r>
                  <w:r>
                    <w:rPr>
                      <w:rFonts w:hint="eastAsia"/>
                    </w:rPr>
                    <w:t>报告应用</w:t>
                  </w:r>
                </w:p>
                <w:p w14:paraId="6C272CBA">
                  <w:pPr>
                    <w:pStyle w:val="131"/>
                    <w:pageBreakBefore w:val="0"/>
                    <w:widowControl w:val="0"/>
                    <w:kinsoku/>
                    <w:wordWrap/>
                    <w:overflowPunct/>
                    <w:topLinePunct w:val="0"/>
                    <w:autoSpaceDE/>
                    <w:autoSpaceDN/>
                    <w:bidi w:val="0"/>
                    <w:adjustRightInd/>
                    <w:spacing w:line="360" w:lineRule="exact"/>
                    <w:ind w:firstLine="0"/>
                    <w:textAlignment w:val="auto"/>
                  </w:pPr>
                  <w:r>
                    <w:t>8)</w:t>
                  </w:r>
                  <w:r>
                    <w:tab/>
                  </w:r>
                  <w:r>
                    <w:rPr>
                      <w:rFonts w:hint="eastAsia"/>
                    </w:rPr>
                    <w:t>总体指标包括：总标本数、有效标本数、最长时间、最短时间、平均时间、合格标本数、不合格标本数；</w:t>
                  </w:r>
                </w:p>
                <w:p w14:paraId="0F54440B">
                  <w:pPr>
                    <w:pStyle w:val="131"/>
                    <w:pageBreakBefore w:val="0"/>
                    <w:widowControl w:val="0"/>
                    <w:kinsoku/>
                    <w:wordWrap/>
                    <w:overflowPunct/>
                    <w:topLinePunct w:val="0"/>
                    <w:autoSpaceDE/>
                    <w:autoSpaceDN/>
                    <w:bidi w:val="0"/>
                    <w:adjustRightInd/>
                    <w:spacing w:line="360" w:lineRule="exact"/>
                    <w:ind w:firstLine="0"/>
                    <w:textAlignment w:val="auto"/>
                  </w:pPr>
                  <w:r>
                    <w:t>9)</w:t>
                  </w:r>
                  <w:r>
                    <w:tab/>
                  </w:r>
                  <w:r>
                    <w:t xml:space="preserve">TAT </w:t>
                  </w:r>
                  <w:r>
                    <w:rPr>
                      <w:rFonts w:hint="eastAsia"/>
                    </w:rPr>
                    <w:t>时间指标包括：平均</w:t>
                  </w:r>
                  <w:r>
                    <w:t xml:space="preserve"> TAT </w:t>
                  </w:r>
                  <w:r>
                    <w:rPr>
                      <w:rFonts w:hint="eastAsia"/>
                    </w:rPr>
                    <w:t>时间、</w:t>
                  </w:r>
                  <w:r>
                    <w:t>MAX</w:t>
                  </w:r>
                  <w:r>
                    <w:rPr>
                      <w:rFonts w:hint="eastAsia"/>
                    </w:rPr>
                    <w:t>、</w:t>
                  </w:r>
                  <w:r>
                    <w:t>MIN</w:t>
                  </w:r>
                  <w:r>
                    <w:rPr>
                      <w:rFonts w:hint="eastAsia"/>
                    </w:rPr>
                    <w:t>、</w:t>
                  </w:r>
                  <w:r>
                    <w:t>P2.5</w:t>
                  </w:r>
                  <w:r>
                    <w:rPr>
                      <w:rFonts w:hint="eastAsia"/>
                    </w:rPr>
                    <w:t>、</w:t>
                  </w:r>
                  <w:r>
                    <w:t>P25</w:t>
                  </w:r>
                  <w:r>
                    <w:rPr>
                      <w:rFonts w:hint="eastAsia"/>
                    </w:rPr>
                    <w:t>、</w:t>
                  </w:r>
                  <w:r>
                    <w:t>P50</w:t>
                  </w:r>
                  <w:r>
                    <w:rPr>
                      <w:rFonts w:hint="eastAsia"/>
                    </w:rPr>
                    <w:t>、</w:t>
                  </w:r>
                  <w:r>
                    <w:t>P75</w:t>
                  </w:r>
                  <w:r>
                    <w:rPr>
                      <w:rFonts w:hint="eastAsia"/>
                    </w:rPr>
                    <w:t>、</w:t>
                  </w:r>
                  <w:r>
                    <w:t>P97.5</w:t>
                  </w:r>
                  <w:r>
                    <w:rPr>
                      <w:rFonts w:hint="eastAsia"/>
                    </w:rPr>
                    <w:t>；</w:t>
                  </w:r>
                </w:p>
                <w:p w14:paraId="6E0DA285">
                  <w:pPr>
                    <w:pStyle w:val="131"/>
                    <w:pageBreakBefore w:val="0"/>
                    <w:widowControl w:val="0"/>
                    <w:kinsoku/>
                    <w:wordWrap/>
                    <w:overflowPunct/>
                    <w:topLinePunct w:val="0"/>
                    <w:autoSpaceDE/>
                    <w:autoSpaceDN/>
                    <w:bidi w:val="0"/>
                    <w:adjustRightInd/>
                    <w:spacing w:line="360" w:lineRule="exact"/>
                    <w:ind w:firstLine="0"/>
                    <w:textAlignment w:val="auto"/>
                  </w:pPr>
                  <w:r>
                    <w:t>10)</w:t>
                  </w:r>
                  <w:r>
                    <w:tab/>
                  </w:r>
                  <w:r>
                    <w:rPr>
                      <w:rFonts w:hint="eastAsia"/>
                    </w:rPr>
                    <w:t>分析条件包括：申请项目单元、分析项目单元、分析单元、送检部门单元、医疗机构单元、标本类型单元、患者类型单元；</w:t>
                  </w:r>
                </w:p>
                <w:p w14:paraId="2702DCB6">
                  <w:pPr>
                    <w:pStyle w:val="131"/>
                    <w:pageBreakBefore w:val="0"/>
                    <w:widowControl w:val="0"/>
                    <w:kinsoku/>
                    <w:wordWrap/>
                    <w:overflowPunct/>
                    <w:topLinePunct w:val="0"/>
                    <w:autoSpaceDE/>
                    <w:autoSpaceDN/>
                    <w:bidi w:val="0"/>
                    <w:adjustRightInd/>
                    <w:spacing w:line="360" w:lineRule="exact"/>
                    <w:ind w:firstLine="0"/>
                    <w:textAlignment w:val="auto"/>
                  </w:pPr>
                  <w:r>
                    <w:t>11)</w:t>
                  </w:r>
                  <w:r>
                    <w:tab/>
                  </w:r>
                  <w:r>
                    <w:rPr>
                      <w:rFonts w:hint="eastAsia"/>
                    </w:rPr>
                    <w:t>汇总表栏目包括：分析单元、送检部门单元、医疗机构单元、标本类型单元、患者类型单元、时间单元（时间段、日、周、月、年）；</w:t>
                  </w:r>
                </w:p>
                <w:p w14:paraId="72CC555E">
                  <w:pPr>
                    <w:pStyle w:val="131"/>
                    <w:pageBreakBefore w:val="0"/>
                    <w:widowControl w:val="0"/>
                    <w:kinsoku/>
                    <w:wordWrap/>
                    <w:overflowPunct/>
                    <w:topLinePunct w:val="0"/>
                    <w:autoSpaceDE/>
                    <w:autoSpaceDN/>
                    <w:bidi w:val="0"/>
                    <w:adjustRightInd/>
                    <w:spacing w:line="360" w:lineRule="exact"/>
                    <w:ind w:firstLine="0"/>
                    <w:textAlignment w:val="auto"/>
                  </w:pPr>
                  <w:r>
                    <w:t>12)</w:t>
                  </w:r>
                  <w:r>
                    <w:tab/>
                  </w:r>
                  <w:r>
                    <w:rPr>
                      <w:rFonts w:hint="eastAsia"/>
                    </w:rPr>
                    <w:t>汇总表项目包括：申请项目、报告项目</w:t>
                  </w:r>
                </w:p>
                <w:p w14:paraId="50F78B74">
                  <w:pPr>
                    <w:pStyle w:val="131"/>
                    <w:pageBreakBefore w:val="0"/>
                    <w:widowControl w:val="0"/>
                    <w:kinsoku/>
                    <w:wordWrap/>
                    <w:overflowPunct/>
                    <w:topLinePunct w:val="0"/>
                    <w:autoSpaceDE/>
                    <w:autoSpaceDN/>
                    <w:bidi w:val="0"/>
                    <w:adjustRightInd/>
                    <w:spacing w:line="360" w:lineRule="exact"/>
                    <w:ind w:firstLine="0"/>
                    <w:textAlignment w:val="auto"/>
                    <w:rPr>
                      <w:b/>
                      <w:sz w:val="24"/>
                      <w:szCs w:val="24"/>
                    </w:rPr>
                  </w:pPr>
                  <w:r>
                    <w:rPr>
                      <w:b/>
                      <w:sz w:val="24"/>
                      <w:szCs w:val="24"/>
                    </w:rPr>
                    <w:t>20.</w:t>
                  </w:r>
                  <w:r>
                    <w:rPr>
                      <w:rFonts w:hint="eastAsia"/>
                      <w:b/>
                      <w:sz w:val="24"/>
                      <w:szCs w:val="24"/>
                    </w:rPr>
                    <w:t>微生物无纸化</w:t>
                  </w:r>
                </w:p>
                <w:p w14:paraId="507A46D4">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全过程信息化管理</w:t>
                  </w:r>
                </w:p>
                <w:p w14:paraId="4CADD807">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实现微生物检验从标本接收、接种、涂片镜检、培养鉴定分析、菌落观察、鉴定药敏、报告处理、培养基配制、菌种保存、危急值处理、质控管理、复检、数据统计上报及报警、环境卫生学监测等全智能流程。</w:t>
                  </w:r>
                </w:p>
                <w:p w14:paraId="15E3F82F">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数据标准化管理</w:t>
                  </w:r>
                </w:p>
                <w:p w14:paraId="245F9837">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细菌名称、细菌分类、抗生素名称、抗生素折点、天然耐药、药敏结果分组、耐药机制等数据通过和</w:t>
                  </w:r>
                  <w:r>
                    <w:t>WHONET</w:t>
                  </w:r>
                  <w:r>
                    <w:rPr>
                      <w:rFonts w:hint="eastAsia"/>
                    </w:rPr>
                    <w:t>紧密结合实现标准化</w:t>
                  </w:r>
                </w:p>
                <w:p w14:paraId="52DBC9D0">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全流程条码化</w:t>
                  </w:r>
                </w:p>
                <w:p w14:paraId="7FEDA960">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通过标本条形码、培养瓶条码化、培养皿条形码、玻片条形码实现微生物检验全程条码化管理</w:t>
                  </w:r>
                </w:p>
                <w:p w14:paraId="0EA2E2D8">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全过程无纸化</w:t>
                  </w:r>
                </w:p>
                <w:p w14:paraId="6A17FFD5">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通过院感标本申请</w:t>
                  </w:r>
                  <w:r>
                    <w:t>-</w:t>
                  </w:r>
                  <w:r>
                    <w:rPr>
                      <w:rFonts w:hint="eastAsia"/>
                    </w:rPr>
                    <w:t>院感标本采集</w:t>
                  </w:r>
                  <w:r>
                    <w:t>-</w:t>
                  </w:r>
                  <w:r>
                    <w:rPr>
                      <w:rFonts w:hint="eastAsia"/>
                    </w:rPr>
                    <w:t>院感报告发布的信息化结合细菌涂片标本管理、血培养标本管理、常规细菌标本管理实现所有标本无纸化管理</w:t>
                  </w:r>
                </w:p>
                <w:p w14:paraId="1FD250A7">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标本接收登记</w:t>
                  </w:r>
                </w:p>
                <w:p w14:paraId="102E029A">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根据检验目的</w:t>
                  </w:r>
                  <w:r>
                    <w:t>+</w:t>
                  </w:r>
                  <w:r>
                    <w:rPr>
                      <w:rFonts w:hint="eastAsia"/>
                    </w:rPr>
                    <w:t>标本类型获取检验目的</w:t>
                  </w:r>
                </w:p>
                <w:p w14:paraId="3B672761">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多检验目的是否拆分登记生成多个样本号</w:t>
                  </w:r>
                </w:p>
                <w:p w14:paraId="3A96866A">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根据检验目的自动选择培养基方案</w:t>
                  </w:r>
                </w:p>
                <w:p w14:paraId="3CADE626">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根据培养基方案自动生成标本编号</w:t>
                  </w:r>
                </w:p>
                <w:p w14:paraId="03A0B426">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根据培养基方案</w:t>
                  </w:r>
                  <w:r>
                    <w:t>+</w:t>
                  </w:r>
                  <w:r>
                    <w:rPr>
                      <w:rFonts w:hint="eastAsia"/>
                    </w:rPr>
                    <w:t>编号自动打印条码</w:t>
                  </w:r>
                </w:p>
                <w:p w14:paraId="2E037197">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血培养自动称重，判断血量是否合格</w:t>
                  </w:r>
                </w:p>
                <w:p w14:paraId="00FF3904">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不合格标本退回</w:t>
                  </w:r>
                </w:p>
                <w:p w14:paraId="61259F28">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已登记标本的信息修改和撤销登记</w:t>
                  </w:r>
                </w:p>
                <w:p w14:paraId="3C8B6791">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标签打印（标签设置）、补打标签</w:t>
                  </w:r>
                </w:p>
                <w:p w14:paraId="4C12F074">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仪器培养</w:t>
                  </w:r>
                </w:p>
                <w:p w14:paraId="1A52A8AF">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血培养对接仪器、自动接收培养时间、标本位置</w:t>
                  </w:r>
                </w:p>
                <w:p w14:paraId="0F3AC476">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图形化显示培养瓶所在培养箱位置</w:t>
                  </w:r>
                </w:p>
                <w:p w14:paraId="75D0BAAA">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阳性结果自动提醒</w:t>
                  </w:r>
                </w:p>
                <w:p w14:paraId="07E3536A">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阳性结果选择转种方案，自动打印转种条码</w:t>
                  </w:r>
                </w:p>
                <w:p w14:paraId="66E895A5">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涂片镜检</w:t>
                  </w:r>
                </w:p>
                <w:p w14:paraId="127A8534">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采集镜下图像</w:t>
                  </w:r>
                </w:p>
                <w:p w14:paraId="21D1FDCA">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通过模板填写图像描述</w:t>
                  </w:r>
                </w:p>
                <w:p w14:paraId="1BE4B8EA">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涂片结果批量输入</w:t>
                  </w:r>
                </w:p>
                <w:p w14:paraId="25E86CE0">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菌落观察</w:t>
                  </w:r>
                </w:p>
                <w:p w14:paraId="49E4D606">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阴性续培操作记录</w:t>
                  </w:r>
                </w:p>
                <w:p w14:paraId="117C6D53">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菌落形态、计数操作记录</w:t>
                  </w:r>
                </w:p>
                <w:p w14:paraId="70455F92">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涂片、纯分、鉴定、药每日操作记录</w:t>
                  </w:r>
                </w:p>
                <w:p w14:paraId="73B310D0">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涂片、药敏标签打印</w:t>
                  </w:r>
                </w:p>
                <w:p w14:paraId="1E1F0659">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阳性结果一级报告、二级报告发布</w:t>
                  </w:r>
                </w:p>
                <w:p w14:paraId="0E237F0B">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鉴定药敏</w:t>
                  </w:r>
                </w:p>
                <w:p w14:paraId="75DF2478">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鉴定药敏清单：当日鉴定药敏工作清单自动过滤显示</w:t>
                  </w:r>
                </w:p>
                <w:p w14:paraId="4FD73FE3">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虚拟鉴定药敏架子功能虚拟鉴定药敏架子，可在架子上排序或调整</w:t>
                  </w:r>
                </w:p>
                <w:p w14:paraId="7641C583">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打印清单：打印每日上机登记药敏清单</w:t>
                  </w:r>
                </w:p>
                <w:p w14:paraId="123BD95E">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结果报告</w:t>
                  </w:r>
                </w:p>
                <w:p w14:paraId="39960751">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专家规则功能：根据预设规则，自动提示专家规则</w:t>
                  </w:r>
                  <w:r>
                    <w:t>(</w:t>
                  </w:r>
                  <w:r>
                    <w:rPr>
                      <w:rFonts w:hint="eastAsia"/>
                    </w:rPr>
                    <w:t>天然耐药、耐药机制等</w:t>
                  </w:r>
                  <w:r>
                    <w:t>)</w:t>
                  </w:r>
                </w:p>
                <w:p w14:paraId="587AF470">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过程记录浏览：查询指定标本接收、涂片、血培养、菌落观察、鉴定药敏、报告等所有过程记录信息</w:t>
                  </w:r>
                </w:p>
                <w:p w14:paraId="0A3D504E">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电子病历：支持浏览该病人电子病历信息</w:t>
                  </w:r>
                </w:p>
                <w:p w14:paraId="7780052F">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折点判断：利用最新</w:t>
                  </w:r>
                  <w:r>
                    <w:t>WHONET</w:t>
                  </w:r>
                  <w:r>
                    <w:rPr>
                      <w:rFonts w:hint="eastAsia"/>
                    </w:rPr>
                    <w:t>折点规则对仪器结果重新判断</w:t>
                  </w:r>
                </w:p>
                <w:p w14:paraId="59E5D902">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仪器结果接收：自动提取鉴定药敏仪上传输的结果</w:t>
                  </w:r>
                </w:p>
                <w:p w14:paraId="777ECA88">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药敏组合：可选择药敏组合来批量选择药敏</w:t>
                  </w:r>
                </w:p>
                <w:p w14:paraId="63451AA2">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菌种保存</w:t>
                  </w:r>
                </w:p>
                <w:p w14:paraId="2E17E805">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保存方案：根据预设规则自动分配菌种保存方案。</w:t>
                  </w:r>
                </w:p>
                <w:p w14:paraId="6B7CE171">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虚拟菌种保存盒：虚拟菌种保存盒，可以查询冰箱内留存菌种息。</w:t>
                  </w:r>
                </w:p>
                <w:p w14:paraId="0E3CDD11">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菌种使用记录。</w:t>
                  </w:r>
                </w:p>
                <w:p w14:paraId="63BF50A2">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菌种销毁记录。</w:t>
                  </w:r>
                </w:p>
                <w:p w14:paraId="5A605031">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统计与分析</w:t>
                  </w:r>
                </w:p>
                <w:p w14:paraId="5617CE1B">
                  <w:pPr>
                    <w:pStyle w:val="131"/>
                    <w:pageBreakBefore w:val="0"/>
                    <w:widowControl w:val="0"/>
                    <w:kinsoku/>
                    <w:wordWrap/>
                    <w:overflowPunct/>
                    <w:topLinePunct w:val="0"/>
                    <w:autoSpaceDE/>
                    <w:autoSpaceDN/>
                    <w:bidi w:val="0"/>
                    <w:adjustRightInd/>
                    <w:spacing w:line="360" w:lineRule="exact"/>
                    <w:ind w:firstLine="0"/>
                    <w:textAlignment w:val="auto"/>
                  </w:pPr>
                  <w:r>
                    <w:t>1)</w:t>
                  </w:r>
                  <w:r>
                    <w:tab/>
                  </w:r>
                  <w:r>
                    <w:rPr>
                      <w:rFonts w:hint="eastAsia"/>
                    </w:rPr>
                    <w:t>工作量统计。</w:t>
                  </w:r>
                </w:p>
                <w:p w14:paraId="54566EE3">
                  <w:pPr>
                    <w:pStyle w:val="131"/>
                    <w:pageBreakBefore w:val="0"/>
                    <w:widowControl w:val="0"/>
                    <w:kinsoku/>
                    <w:wordWrap/>
                    <w:overflowPunct/>
                    <w:topLinePunct w:val="0"/>
                    <w:autoSpaceDE/>
                    <w:autoSpaceDN/>
                    <w:bidi w:val="0"/>
                    <w:adjustRightInd/>
                    <w:spacing w:line="360" w:lineRule="exact"/>
                    <w:ind w:firstLine="0"/>
                    <w:textAlignment w:val="auto"/>
                  </w:pPr>
                  <w:r>
                    <w:t>2)</w:t>
                  </w:r>
                  <w:r>
                    <w:tab/>
                  </w:r>
                  <w:r>
                    <w:rPr>
                      <w:rFonts w:hint="eastAsia"/>
                    </w:rPr>
                    <w:t>细菌阳性率统计</w:t>
                  </w:r>
                </w:p>
                <w:p w14:paraId="02F6796F">
                  <w:pPr>
                    <w:pStyle w:val="131"/>
                    <w:pageBreakBefore w:val="0"/>
                    <w:widowControl w:val="0"/>
                    <w:kinsoku/>
                    <w:wordWrap/>
                    <w:overflowPunct/>
                    <w:topLinePunct w:val="0"/>
                    <w:autoSpaceDE/>
                    <w:autoSpaceDN/>
                    <w:bidi w:val="0"/>
                    <w:adjustRightInd/>
                    <w:spacing w:line="360" w:lineRule="exact"/>
                    <w:ind w:firstLine="0"/>
                    <w:textAlignment w:val="auto"/>
                  </w:pPr>
                  <w:r>
                    <w:t>3)</w:t>
                  </w:r>
                  <w:r>
                    <w:tab/>
                  </w:r>
                  <w:r>
                    <w:rPr>
                      <w:rFonts w:hint="eastAsia"/>
                    </w:rPr>
                    <w:t>细菌分布</w:t>
                  </w:r>
                  <w:r>
                    <w:t>-</w:t>
                  </w:r>
                  <w:r>
                    <w:rPr>
                      <w:rFonts w:hint="eastAsia"/>
                    </w:rPr>
                    <w:t>按标本。</w:t>
                  </w:r>
                </w:p>
                <w:p w14:paraId="775067FE">
                  <w:pPr>
                    <w:pStyle w:val="131"/>
                    <w:pageBreakBefore w:val="0"/>
                    <w:widowControl w:val="0"/>
                    <w:kinsoku/>
                    <w:wordWrap/>
                    <w:overflowPunct/>
                    <w:topLinePunct w:val="0"/>
                    <w:autoSpaceDE/>
                    <w:autoSpaceDN/>
                    <w:bidi w:val="0"/>
                    <w:adjustRightInd/>
                    <w:spacing w:line="360" w:lineRule="exact"/>
                    <w:ind w:firstLine="0"/>
                    <w:textAlignment w:val="auto"/>
                  </w:pPr>
                  <w:r>
                    <w:t>4)</w:t>
                  </w:r>
                  <w:r>
                    <w:tab/>
                  </w:r>
                  <w:r>
                    <w:rPr>
                      <w:rFonts w:hint="eastAsia"/>
                    </w:rPr>
                    <w:t>细菌分布</w:t>
                  </w:r>
                  <w:r>
                    <w:t>-</w:t>
                  </w:r>
                  <w:r>
                    <w:rPr>
                      <w:rFonts w:hint="eastAsia"/>
                    </w:rPr>
                    <w:t>检出率。</w:t>
                  </w:r>
                </w:p>
                <w:p w14:paraId="34943D2F">
                  <w:pPr>
                    <w:pStyle w:val="131"/>
                    <w:pageBreakBefore w:val="0"/>
                    <w:widowControl w:val="0"/>
                    <w:kinsoku/>
                    <w:wordWrap/>
                    <w:overflowPunct/>
                    <w:topLinePunct w:val="0"/>
                    <w:autoSpaceDE/>
                    <w:autoSpaceDN/>
                    <w:bidi w:val="0"/>
                    <w:adjustRightInd/>
                    <w:spacing w:line="360" w:lineRule="exact"/>
                    <w:ind w:firstLine="0"/>
                    <w:textAlignment w:val="auto"/>
                  </w:pPr>
                  <w:r>
                    <w:t>5)</w:t>
                  </w:r>
                  <w:r>
                    <w:tab/>
                  </w:r>
                  <w:r>
                    <w:rPr>
                      <w:rFonts w:hint="eastAsia"/>
                    </w:rPr>
                    <w:t>抗生素敏感度统计。</w:t>
                  </w:r>
                </w:p>
                <w:p w14:paraId="21DD1291">
                  <w:pPr>
                    <w:pStyle w:val="131"/>
                    <w:pageBreakBefore w:val="0"/>
                    <w:widowControl w:val="0"/>
                    <w:kinsoku/>
                    <w:wordWrap/>
                    <w:overflowPunct/>
                    <w:topLinePunct w:val="0"/>
                    <w:autoSpaceDE/>
                    <w:autoSpaceDN/>
                    <w:bidi w:val="0"/>
                    <w:adjustRightInd/>
                    <w:spacing w:line="360" w:lineRule="exact"/>
                    <w:ind w:firstLine="0"/>
                    <w:textAlignment w:val="auto"/>
                  </w:pPr>
                  <w:r>
                    <w:t>6)</w:t>
                  </w:r>
                  <w:r>
                    <w:tab/>
                  </w:r>
                  <w:r>
                    <w:rPr>
                      <w:rFonts w:hint="eastAsia"/>
                    </w:rPr>
                    <w:t>常见</w:t>
                  </w:r>
                  <w:r>
                    <w:t>10</w:t>
                  </w:r>
                  <w:r>
                    <w:rPr>
                      <w:rFonts w:hint="eastAsia"/>
                    </w:rPr>
                    <w:t>中细菌耐药统计。</w:t>
                  </w:r>
                </w:p>
                <w:p w14:paraId="130ACA66">
                  <w:pPr>
                    <w:pStyle w:val="131"/>
                    <w:pageBreakBefore w:val="0"/>
                    <w:widowControl w:val="0"/>
                    <w:kinsoku/>
                    <w:wordWrap/>
                    <w:overflowPunct/>
                    <w:topLinePunct w:val="0"/>
                    <w:autoSpaceDE/>
                    <w:autoSpaceDN/>
                    <w:bidi w:val="0"/>
                    <w:adjustRightInd/>
                    <w:spacing w:line="360" w:lineRule="exact"/>
                    <w:ind w:firstLine="0"/>
                    <w:textAlignment w:val="auto"/>
                  </w:pPr>
                  <w:r>
                    <w:t>7)</w:t>
                  </w:r>
                  <w:r>
                    <w:tab/>
                  </w:r>
                  <w:r>
                    <w:rPr>
                      <w:rFonts w:hint="eastAsia"/>
                    </w:rPr>
                    <w:t>支持导入</w:t>
                  </w:r>
                  <w:r>
                    <w:t>WHONET</w:t>
                  </w:r>
                </w:p>
                <w:p w14:paraId="0701F5E9">
                  <w:pPr>
                    <w:pStyle w:val="131"/>
                    <w:pageBreakBefore w:val="0"/>
                    <w:widowControl w:val="0"/>
                    <w:kinsoku/>
                    <w:wordWrap/>
                    <w:overflowPunct/>
                    <w:topLinePunct w:val="0"/>
                    <w:autoSpaceDE/>
                    <w:autoSpaceDN/>
                    <w:bidi w:val="0"/>
                    <w:adjustRightInd/>
                    <w:spacing w:line="360" w:lineRule="exact"/>
                    <w:ind w:firstLine="0"/>
                    <w:textAlignment w:val="auto"/>
                  </w:pPr>
                  <w:r>
                    <w:t>8)</w:t>
                  </w:r>
                  <w:r>
                    <w:tab/>
                  </w:r>
                  <w:r>
                    <w:rPr>
                      <w:rFonts w:hint="eastAsia"/>
                    </w:rPr>
                    <w:t>支持通过接口上传中间件直接上报国家耐药监测网</w:t>
                  </w:r>
                </w:p>
                <w:p w14:paraId="57DFF163">
                  <w:pPr>
                    <w:pStyle w:val="131"/>
                    <w:pageBreakBefore w:val="0"/>
                    <w:widowControl w:val="0"/>
                    <w:kinsoku/>
                    <w:wordWrap/>
                    <w:overflowPunct/>
                    <w:topLinePunct w:val="0"/>
                    <w:autoSpaceDE/>
                    <w:autoSpaceDN/>
                    <w:bidi w:val="0"/>
                    <w:adjustRightInd/>
                    <w:spacing w:line="360" w:lineRule="exact"/>
                    <w:ind w:firstLine="0"/>
                    <w:textAlignment w:val="auto"/>
                    <w:rPr>
                      <w:b/>
                      <w:sz w:val="24"/>
                      <w:szCs w:val="24"/>
                    </w:rPr>
                  </w:pPr>
                  <w:r>
                    <w:rPr>
                      <w:b/>
                      <w:sz w:val="24"/>
                      <w:szCs w:val="24"/>
                    </w:rPr>
                    <w:t>21.</w:t>
                  </w:r>
                  <w:r>
                    <w:rPr>
                      <w:rFonts w:hint="eastAsia"/>
                      <w:b/>
                      <w:sz w:val="24"/>
                      <w:szCs w:val="24"/>
                    </w:rPr>
                    <w:t>院感申请模块</w:t>
                  </w:r>
                </w:p>
                <w:p w14:paraId="3F4E41E7">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院感申请项目维护</w:t>
                  </w:r>
                </w:p>
                <w:p w14:paraId="4A2D91BB">
                  <w:pPr>
                    <w:pStyle w:val="131"/>
                    <w:pageBreakBefore w:val="0"/>
                    <w:widowControl w:val="0"/>
                    <w:kinsoku/>
                    <w:wordWrap/>
                    <w:overflowPunct/>
                    <w:topLinePunct w:val="0"/>
                    <w:autoSpaceDE/>
                    <w:autoSpaceDN/>
                    <w:bidi w:val="0"/>
                    <w:adjustRightInd/>
                    <w:spacing w:line="360" w:lineRule="exact"/>
                    <w:ind w:firstLine="0"/>
                    <w:textAlignment w:val="auto"/>
                  </w:pPr>
                  <w:r>
                    <w:t>1)</w:t>
                  </w:r>
                  <w:r>
                    <w:tab/>
                  </w:r>
                  <w:r>
                    <w:rPr>
                      <w:rFonts w:hint="eastAsia"/>
                    </w:rPr>
                    <w:t>申请项目名称、标本类型维护</w:t>
                  </w:r>
                </w:p>
                <w:p w14:paraId="4978C84B">
                  <w:pPr>
                    <w:pStyle w:val="131"/>
                    <w:pageBreakBefore w:val="0"/>
                    <w:widowControl w:val="0"/>
                    <w:kinsoku/>
                    <w:wordWrap/>
                    <w:overflowPunct/>
                    <w:topLinePunct w:val="0"/>
                    <w:autoSpaceDE/>
                    <w:autoSpaceDN/>
                    <w:bidi w:val="0"/>
                    <w:adjustRightInd/>
                    <w:spacing w:line="360" w:lineRule="exact"/>
                    <w:ind w:firstLine="0"/>
                    <w:textAlignment w:val="auto"/>
                  </w:pPr>
                  <w:r>
                    <w:t>2)</w:t>
                  </w:r>
                  <w:r>
                    <w:tab/>
                  </w:r>
                  <w:r>
                    <w:rPr>
                      <w:rFonts w:hint="eastAsia"/>
                    </w:rPr>
                    <w:t>申请项目采样时间、采样方法维护</w:t>
                  </w:r>
                </w:p>
                <w:p w14:paraId="7AA406A1">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院感申请模板维护</w:t>
                  </w:r>
                </w:p>
                <w:p w14:paraId="6732E9B9">
                  <w:pPr>
                    <w:pStyle w:val="131"/>
                    <w:pageBreakBefore w:val="0"/>
                    <w:widowControl w:val="0"/>
                    <w:kinsoku/>
                    <w:wordWrap/>
                    <w:overflowPunct/>
                    <w:topLinePunct w:val="0"/>
                    <w:autoSpaceDE/>
                    <w:autoSpaceDN/>
                    <w:bidi w:val="0"/>
                    <w:adjustRightInd/>
                    <w:spacing w:line="360" w:lineRule="exact"/>
                    <w:ind w:firstLine="0"/>
                    <w:textAlignment w:val="auto"/>
                  </w:pPr>
                  <w:r>
                    <w:t>1)</w:t>
                  </w:r>
                  <w:r>
                    <w:tab/>
                  </w:r>
                  <w:r>
                    <w:rPr>
                      <w:rFonts w:hint="eastAsia"/>
                    </w:rPr>
                    <w:t>选择项目位置维护模板</w:t>
                  </w:r>
                </w:p>
                <w:p w14:paraId="3DCC4C2A">
                  <w:pPr>
                    <w:pStyle w:val="131"/>
                    <w:pageBreakBefore w:val="0"/>
                    <w:widowControl w:val="0"/>
                    <w:kinsoku/>
                    <w:wordWrap/>
                    <w:overflowPunct/>
                    <w:topLinePunct w:val="0"/>
                    <w:autoSpaceDE/>
                    <w:autoSpaceDN/>
                    <w:bidi w:val="0"/>
                    <w:adjustRightInd/>
                    <w:spacing w:line="360" w:lineRule="exact"/>
                    <w:ind w:firstLine="0"/>
                    <w:textAlignment w:val="auto"/>
                  </w:pPr>
                  <w:r>
                    <w:t>2)</w:t>
                  </w:r>
                  <w:r>
                    <w:tab/>
                  </w:r>
                  <w:r>
                    <w:rPr>
                      <w:rFonts w:hint="eastAsia"/>
                    </w:rPr>
                    <w:t>支持计划周期维护</w:t>
                  </w:r>
                </w:p>
                <w:p w14:paraId="0390770D">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院感申请、条码打印</w:t>
                  </w:r>
                </w:p>
                <w:p w14:paraId="0B816879">
                  <w:pPr>
                    <w:pStyle w:val="131"/>
                    <w:pageBreakBefore w:val="0"/>
                    <w:widowControl w:val="0"/>
                    <w:kinsoku/>
                    <w:wordWrap/>
                    <w:overflowPunct/>
                    <w:topLinePunct w:val="0"/>
                    <w:autoSpaceDE/>
                    <w:autoSpaceDN/>
                    <w:bidi w:val="0"/>
                    <w:adjustRightInd/>
                    <w:spacing w:line="360" w:lineRule="exact"/>
                    <w:ind w:firstLine="0"/>
                    <w:textAlignment w:val="auto"/>
                  </w:pPr>
                  <w:r>
                    <w:t>1)</w:t>
                  </w:r>
                  <w:r>
                    <w:tab/>
                  </w:r>
                  <w:r>
                    <w:rPr>
                      <w:rFonts w:hint="eastAsia"/>
                    </w:rPr>
                    <w:t>支持模板申请</w:t>
                  </w:r>
                </w:p>
                <w:p w14:paraId="13B63044">
                  <w:pPr>
                    <w:pStyle w:val="131"/>
                    <w:pageBreakBefore w:val="0"/>
                    <w:widowControl w:val="0"/>
                    <w:kinsoku/>
                    <w:wordWrap/>
                    <w:overflowPunct/>
                    <w:topLinePunct w:val="0"/>
                    <w:autoSpaceDE/>
                    <w:autoSpaceDN/>
                    <w:bidi w:val="0"/>
                    <w:adjustRightInd/>
                    <w:spacing w:line="360" w:lineRule="exact"/>
                    <w:ind w:firstLine="0"/>
                    <w:textAlignment w:val="auto"/>
                  </w:pPr>
                  <w:r>
                    <w:t>2)</w:t>
                  </w:r>
                  <w:r>
                    <w:tab/>
                  </w:r>
                  <w:r>
                    <w:rPr>
                      <w:rFonts w:hint="eastAsia"/>
                    </w:rPr>
                    <w:t>支持按照模板维护计划周期自动生成申请</w:t>
                  </w:r>
                </w:p>
                <w:p w14:paraId="7481042F">
                  <w:pPr>
                    <w:pStyle w:val="131"/>
                    <w:pageBreakBefore w:val="0"/>
                    <w:widowControl w:val="0"/>
                    <w:kinsoku/>
                    <w:wordWrap/>
                    <w:overflowPunct/>
                    <w:topLinePunct w:val="0"/>
                    <w:autoSpaceDE/>
                    <w:autoSpaceDN/>
                    <w:bidi w:val="0"/>
                    <w:adjustRightInd/>
                    <w:spacing w:line="360" w:lineRule="exact"/>
                    <w:ind w:firstLine="0"/>
                    <w:textAlignment w:val="auto"/>
                  </w:pPr>
                  <w:r>
                    <w:t>3)</w:t>
                  </w:r>
                  <w:r>
                    <w:tab/>
                  </w:r>
                  <w:r>
                    <w:rPr>
                      <w:rFonts w:hint="eastAsia"/>
                    </w:rPr>
                    <w:t>支持临时申请</w:t>
                  </w:r>
                </w:p>
                <w:p w14:paraId="5802135C">
                  <w:pPr>
                    <w:pStyle w:val="131"/>
                    <w:pageBreakBefore w:val="0"/>
                    <w:widowControl w:val="0"/>
                    <w:kinsoku/>
                    <w:wordWrap/>
                    <w:overflowPunct/>
                    <w:topLinePunct w:val="0"/>
                    <w:autoSpaceDE/>
                    <w:autoSpaceDN/>
                    <w:bidi w:val="0"/>
                    <w:adjustRightInd/>
                    <w:spacing w:line="360" w:lineRule="exact"/>
                    <w:ind w:firstLine="0"/>
                    <w:textAlignment w:val="auto"/>
                  </w:pPr>
                  <w:r>
                    <w:t>4)</w:t>
                  </w:r>
                  <w:r>
                    <w:tab/>
                  </w:r>
                  <w:r>
                    <w:rPr>
                      <w:rFonts w:hint="eastAsia"/>
                    </w:rPr>
                    <w:t>支持条码打印</w:t>
                  </w:r>
                </w:p>
                <w:p w14:paraId="7F33627D">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院感报告打印</w:t>
                  </w:r>
                </w:p>
                <w:p w14:paraId="6D150501">
                  <w:pPr>
                    <w:pStyle w:val="131"/>
                    <w:pageBreakBefore w:val="0"/>
                    <w:widowControl w:val="0"/>
                    <w:kinsoku/>
                    <w:wordWrap/>
                    <w:overflowPunct/>
                    <w:topLinePunct w:val="0"/>
                    <w:autoSpaceDE/>
                    <w:autoSpaceDN/>
                    <w:bidi w:val="0"/>
                    <w:adjustRightInd/>
                    <w:spacing w:line="360" w:lineRule="exact"/>
                    <w:ind w:firstLine="0"/>
                    <w:textAlignment w:val="auto"/>
                  </w:pPr>
                  <w:r>
                    <w:t>1)</w:t>
                  </w:r>
                  <w:r>
                    <w:tab/>
                  </w:r>
                  <w:r>
                    <w:rPr>
                      <w:rFonts w:hint="eastAsia"/>
                    </w:rPr>
                    <w:t>支持院感结果查看</w:t>
                  </w:r>
                </w:p>
                <w:p w14:paraId="6D650387">
                  <w:pPr>
                    <w:pStyle w:val="131"/>
                    <w:pageBreakBefore w:val="0"/>
                    <w:widowControl w:val="0"/>
                    <w:kinsoku/>
                    <w:wordWrap/>
                    <w:overflowPunct/>
                    <w:topLinePunct w:val="0"/>
                    <w:autoSpaceDE/>
                    <w:autoSpaceDN/>
                    <w:bidi w:val="0"/>
                    <w:adjustRightInd/>
                    <w:spacing w:line="360" w:lineRule="exact"/>
                    <w:ind w:firstLine="0"/>
                    <w:textAlignment w:val="auto"/>
                  </w:pPr>
                  <w:r>
                    <w:t>2)</w:t>
                  </w:r>
                  <w:r>
                    <w:tab/>
                  </w:r>
                  <w:r>
                    <w:rPr>
                      <w:rFonts w:hint="eastAsia"/>
                    </w:rPr>
                    <w:t>支持院感报告打印</w:t>
                  </w:r>
                </w:p>
                <w:p w14:paraId="2B00044B">
                  <w:pPr>
                    <w:pStyle w:val="131"/>
                    <w:pageBreakBefore w:val="0"/>
                    <w:widowControl w:val="0"/>
                    <w:kinsoku/>
                    <w:wordWrap/>
                    <w:overflowPunct/>
                    <w:topLinePunct w:val="0"/>
                    <w:autoSpaceDE/>
                    <w:autoSpaceDN/>
                    <w:bidi w:val="0"/>
                    <w:adjustRightInd/>
                    <w:spacing w:line="360" w:lineRule="exact"/>
                    <w:ind w:firstLine="0"/>
                    <w:textAlignment w:val="auto"/>
                    <w:rPr>
                      <w:b/>
                      <w:sz w:val="24"/>
                      <w:szCs w:val="24"/>
                    </w:rPr>
                  </w:pPr>
                  <w:r>
                    <w:rPr>
                      <w:b/>
                      <w:sz w:val="24"/>
                      <w:szCs w:val="24"/>
                    </w:rPr>
                    <w:t>22.</w:t>
                  </w:r>
                  <w:r>
                    <w:rPr>
                      <w:rFonts w:hint="eastAsia"/>
                      <w:b/>
                      <w:sz w:val="24"/>
                      <w:szCs w:val="24"/>
                    </w:rPr>
                    <w:t>检验专业质量指标管理</w:t>
                  </w:r>
                </w:p>
                <w:p w14:paraId="08E2F865">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满足国家卫计委颁布的临床检验专业质量指标管理。</w:t>
                  </w:r>
                  <w:r>
                    <w:rPr>
                      <w:rFonts w:hint="eastAsia"/>
                      <w:lang w:val="en-US" w:eastAsia="zh-CN"/>
                    </w:rPr>
                    <w:t>包括</w:t>
                  </w:r>
                  <w:r>
                    <w:rPr>
                      <w:rFonts w:hint="eastAsia"/>
                    </w:rPr>
                    <w:t>管理模块</w:t>
                  </w:r>
                  <w:r>
                    <w:rPr>
                      <w:rFonts w:hint="eastAsia"/>
                      <w:lang w:eastAsia="zh-CN"/>
                    </w:rPr>
                    <w:t>：</w:t>
                  </w:r>
                </w:p>
                <w:p w14:paraId="445AC82D">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不合格标本登记</w:t>
                  </w:r>
                </w:p>
                <w:p w14:paraId="7E8A1E30">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标本流转</w:t>
                  </w:r>
                  <w:r>
                    <w:t>TAT</w:t>
                  </w:r>
                  <w:r>
                    <w:rPr>
                      <w:rFonts w:hint="eastAsia"/>
                    </w:rPr>
                    <w:t>管理</w:t>
                  </w:r>
                </w:p>
                <w:p w14:paraId="18D14534">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检验报告管理</w:t>
                  </w:r>
                </w:p>
                <w:p w14:paraId="17B03C2C">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危急值管理</w:t>
                  </w:r>
                </w:p>
                <w:p w14:paraId="157D2E9D">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无纸化微生物</w:t>
                  </w:r>
                </w:p>
                <w:p w14:paraId="75A0F87D">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通过以上实验室管理模块的优化和深度应用，实现对检验前、中、后质量的全面管理。并运用强大的智慧数据分析工具设计相应的分析实例实现对如下指标的统计分析，最终实现临床检验专业质量指标一键统计。</w:t>
                  </w:r>
                </w:p>
                <w:p w14:paraId="2A7246A2">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标本可接受性指标</w:t>
                  </w:r>
                </w:p>
                <w:p w14:paraId="7D69EBD2">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标本检验前周转</w:t>
                  </w:r>
                  <w:r>
                    <w:t>TAT</w:t>
                  </w:r>
                  <w:r>
                    <w:rPr>
                      <w:rFonts w:hint="eastAsia"/>
                    </w:rPr>
                    <w:t>指标</w:t>
                  </w:r>
                </w:p>
                <w:p w14:paraId="0176903F">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检验标本实验室内周转时间</w:t>
                  </w:r>
                  <w:r>
                    <w:t>TAT</w:t>
                  </w:r>
                  <w:r>
                    <w:rPr>
                      <w:rFonts w:hint="eastAsia"/>
                    </w:rPr>
                    <w:t>指标</w:t>
                  </w:r>
                </w:p>
                <w:p w14:paraId="16C0FDE0">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检验报告指标</w:t>
                  </w:r>
                </w:p>
                <w:p w14:paraId="3106555D">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危急值指标</w:t>
                  </w:r>
                </w:p>
                <w:p w14:paraId="585CF866">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血培养污染物</w:t>
                  </w:r>
                </w:p>
                <w:p w14:paraId="22D73D71">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微生物标本污染实</w:t>
                  </w:r>
                </w:p>
                <w:p w14:paraId="370EC451">
                  <w:pPr>
                    <w:pStyle w:val="131"/>
                    <w:pageBreakBefore w:val="0"/>
                    <w:widowControl w:val="0"/>
                    <w:kinsoku/>
                    <w:wordWrap/>
                    <w:overflowPunct/>
                    <w:topLinePunct w:val="0"/>
                    <w:autoSpaceDE/>
                    <w:autoSpaceDN/>
                    <w:bidi w:val="0"/>
                    <w:adjustRightInd/>
                    <w:spacing w:line="360" w:lineRule="exact"/>
                    <w:ind w:firstLine="0"/>
                    <w:textAlignment w:val="auto"/>
                    <w:rPr>
                      <w:b/>
                      <w:sz w:val="24"/>
                      <w:szCs w:val="24"/>
                    </w:rPr>
                  </w:pPr>
                  <w:r>
                    <w:rPr>
                      <w:b/>
                      <w:sz w:val="24"/>
                      <w:szCs w:val="24"/>
                    </w:rPr>
                    <w:t>23.</w:t>
                  </w:r>
                  <w:r>
                    <w:rPr>
                      <w:rFonts w:hint="eastAsia"/>
                      <w:b/>
                      <w:sz w:val="24"/>
                      <w:szCs w:val="24"/>
                    </w:rPr>
                    <w:t>标本库管理</w:t>
                  </w:r>
                </w:p>
                <w:p w14:paraId="25A6C903">
                  <w:pPr>
                    <w:pStyle w:val="131"/>
                    <w:pageBreakBefore w:val="0"/>
                    <w:widowControl w:val="0"/>
                    <w:kinsoku/>
                    <w:wordWrap/>
                    <w:overflowPunct/>
                    <w:topLinePunct w:val="0"/>
                    <w:autoSpaceDE/>
                    <w:autoSpaceDN/>
                    <w:bidi w:val="0"/>
                    <w:adjustRightInd/>
                    <w:spacing w:line="360" w:lineRule="exact"/>
                    <w:ind w:firstLine="0"/>
                    <w:textAlignment w:val="auto"/>
                  </w:pPr>
                  <w:r>
                    <w:t>1)</w:t>
                  </w:r>
                  <w:r>
                    <w:tab/>
                  </w:r>
                  <w:r>
                    <w:rPr>
                      <w:rFonts w:hint="eastAsia"/>
                    </w:rPr>
                    <w:t>支持管理标本入库、标本出库、库位管理等。</w:t>
                  </w:r>
                </w:p>
                <w:p w14:paraId="6AF385BD">
                  <w:pPr>
                    <w:pStyle w:val="131"/>
                    <w:pageBreakBefore w:val="0"/>
                    <w:widowControl w:val="0"/>
                    <w:kinsoku/>
                    <w:wordWrap/>
                    <w:overflowPunct/>
                    <w:topLinePunct w:val="0"/>
                    <w:autoSpaceDE/>
                    <w:autoSpaceDN/>
                    <w:bidi w:val="0"/>
                    <w:adjustRightInd/>
                    <w:spacing w:line="360" w:lineRule="exact"/>
                    <w:ind w:firstLine="0"/>
                    <w:textAlignment w:val="auto"/>
                  </w:pPr>
                  <w:r>
                    <w:t>2)</w:t>
                  </w:r>
                  <w:r>
                    <w:tab/>
                  </w:r>
                  <w:r>
                    <w:rPr>
                      <w:rFonts w:hint="eastAsia"/>
                    </w:rPr>
                    <w:t>支持多种图表及报表查询统计功能，包括出库记录、入库记录、库位号、冻库或冰箱存储状态等；</w:t>
                  </w:r>
                </w:p>
                <w:p w14:paraId="3667C1AA">
                  <w:pPr>
                    <w:pStyle w:val="131"/>
                    <w:pageBreakBefore w:val="0"/>
                    <w:widowControl w:val="0"/>
                    <w:kinsoku/>
                    <w:wordWrap/>
                    <w:overflowPunct/>
                    <w:topLinePunct w:val="0"/>
                    <w:autoSpaceDE/>
                    <w:autoSpaceDN/>
                    <w:bidi w:val="0"/>
                    <w:adjustRightInd/>
                    <w:spacing w:line="360" w:lineRule="exact"/>
                    <w:ind w:firstLine="0"/>
                    <w:textAlignment w:val="auto"/>
                  </w:pPr>
                  <w:r>
                    <w:t>3)</w:t>
                  </w:r>
                  <w:r>
                    <w:tab/>
                  </w:r>
                  <w:r>
                    <w:rPr>
                      <w:rFonts w:hint="eastAsia"/>
                    </w:rPr>
                    <w:t>支持标本追溯功能</w:t>
                  </w:r>
                  <w:r>
                    <w:t>,</w:t>
                  </w:r>
                  <w:r>
                    <w:rPr>
                      <w:rFonts w:hint="eastAsia"/>
                    </w:rPr>
                    <w:t>对标本的走向进行追溯，可完整追溯样本生命周期；</w:t>
                  </w:r>
                </w:p>
                <w:p w14:paraId="3CAACF52">
                  <w:pPr>
                    <w:pStyle w:val="131"/>
                    <w:pageBreakBefore w:val="0"/>
                    <w:widowControl w:val="0"/>
                    <w:kinsoku/>
                    <w:wordWrap/>
                    <w:overflowPunct/>
                    <w:topLinePunct w:val="0"/>
                    <w:autoSpaceDE/>
                    <w:autoSpaceDN/>
                    <w:bidi w:val="0"/>
                    <w:adjustRightInd/>
                    <w:spacing w:line="360" w:lineRule="exact"/>
                    <w:ind w:firstLine="0"/>
                    <w:textAlignment w:val="auto"/>
                  </w:pPr>
                  <w:r>
                    <w:t>4)</w:t>
                  </w:r>
                  <w:r>
                    <w:tab/>
                  </w:r>
                  <w:r>
                    <w:rPr>
                      <w:rFonts w:hint="eastAsia"/>
                    </w:rPr>
                    <w:t>与</w:t>
                  </w:r>
                  <w:r>
                    <w:t>LIS</w:t>
                  </w:r>
                  <w:r>
                    <w:rPr>
                      <w:rFonts w:hint="eastAsia"/>
                    </w:rPr>
                    <w:t>互通，标本入库时可直接获取病人信息与标本信息，无需手工录入标本相关信息；</w:t>
                  </w:r>
                </w:p>
                <w:p w14:paraId="131D60C1">
                  <w:pPr>
                    <w:pStyle w:val="131"/>
                    <w:pageBreakBefore w:val="0"/>
                    <w:widowControl w:val="0"/>
                    <w:kinsoku/>
                    <w:wordWrap/>
                    <w:overflowPunct/>
                    <w:topLinePunct w:val="0"/>
                    <w:autoSpaceDE/>
                    <w:autoSpaceDN/>
                    <w:bidi w:val="0"/>
                    <w:adjustRightInd/>
                    <w:spacing w:line="360" w:lineRule="exact"/>
                    <w:ind w:firstLine="0"/>
                    <w:textAlignment w:val="auto"/>
                  </w:pPr>
                  <w:r>
                    <w:t>5)</w:t>
                  </w:r>
                  <w:r>
                    <w:tab/>
                  </w:r>
                  <w:r>
                    <w:rPr>
                      <w:rFonts w:hint="eastAsia"/>
                    </w:rPr>
                    <w:t>支持过期标本预警功能；</w:t>
                  </w:r>
                </w:p>
                <w:p w14:paraId="3418C8D4">
                  <w:pPr>
                    <w:pStyle w:val="131"/>
                    <w:pageBreakBefore w:val="0"/>
                    <w:widowControl w:val="0"/>
                    <w:kinsoku/>
                    <w:wordWrap/>
                    <w:overflowPunct/>
                    <w:topLinePunct w:val="0"/>
                    <w:autoSpaceDE/>
                    <w:autoSpaceDN/>
                    <w:bidi w:val="0"/>
                    <w:adjustRightInd/>
                    <w:spacing w:line="360" w:lineRule="exact"/>
                    <w:ind w:firstLine="0"/>
                    <w:textAlignment w:val="auto"/>
                  </w:pPr>
                  <w:r>
                    <w:t>6)</w:t>
                  </w:r>
                  <w:r>
                    <w:tab/>
                  </w:r>
                  <w:r>
                    <w:rPr>
                      <w:rFonts w:hint="eastAsia"/>
                    </w:rPr>
                    <w:t>支持标本销毁管理，包括单个与批量标本销毁、销毁标本查询等；</w:t>
                  </w:r>
                </w:p>
                <w:p w14:paraId="1DC63CA5">
                  <w:pPr>
                    <w:pStyle w:val="131"/>
                    <w:pageBreakBefore w:val="0"/>
                    <w:widowControl w:val="0"/>
                    <w:kinsoku/>
                    <w:wordWrap/>
                    <w:overflowPunct/>
                    <w:topLinePunct w:val="0"/>
                    <w:autoSpaceDE/>
                    <w:autoSpaceDN/>
                    <w:bidi w:val="0"/>
                    <w:adjustRightInd/>
                    <w:spacing w:line="360" w:lineRule="exact"/>
                    <w:ind w:firstLine="0"/>
                    <w:textAlignment w:val="auto"/>
                    <w:rPr>
                      <w:b/>
                      <w:sz w:val="24"/>
                      <w:szCs w:val="24"/>
                    </w:rPr>
                  </w:pPr>
                  <w:r>
                    <w:rPr>
                      <w:b/>
                      <w:sz w:val="24"/>
                      <w:szCs w:val="24"/>
                    </w:rPr>
                    <w:t>24.</w:t>
                  </w:r>
                  <w:r>
                    <w:rPr>
                      <w:rFonts w:hint="eastAsia"/>
                      <w:b/>
                      <w:sz w:val="24"/>
                      <w:szCs w:val="24"/>
                    </w:rPr>
                    <w:t>检验知识库管理</w:t>
                  </w:r>
                </w:p>
                <w:p w14:paraId="75C9EC2D">
                  <w:pPr>
                    <w:pStyle w:val="131"/>
                    <w:pageBreakBefore w:val="0"/>
                    <w:widowControl w:val="0"/>
                    <w:kinsoku/>
                    <w:wordWrap/>
                    <w:overflowPunct/>
                    <w:topLinePunct w:val="0"/>
                    <w:autoSpaceDE/>
                    <w:autoSpaceDN/>
                    <w:bidi w:val="0"/>
                    <w:adjustRightInd/>
                    <w:spacing w:line="360" w:lineRule="exact"/>
                    <w:ind w:firstLine="0"/>
                    <w:textAlignment w:val="auto"/>
                  </w:pPr>
                  <w:r>
                    <w:t>1)</w:t>
                  </w:r>
                  <w:r>
                    <w:tab/>
                  </w:r>
                  <w:r>
                    <w:rPr>
                      <w:rFonts w:hint="eastAsia"/>
                    </w:rPr>
                    <w:t>多知识点：检验知识库涵盖项目基本信息，适应症状和疾病，样本采集要求，试剂，质控，定标，检验方法过程，参考范围，危急值范围，临床意义，注意事项；</w:t>
                  </w:r>
                </w:p>
                <w:p w14:paraId="794DC885">
                  <w:pPr>
                    <w:pStyle w:val="131"/>
                    <w:pageBreakBefore w:val="0"/>
                    <w:widowControl w:val="0"/>
                    <w:kinsoku/>
                    <w:wordWrap/>
                    <w:overflowPunct/>
                    <w:topLinePunct w:val="0"/>
                    <w:autoSpaceDE/>
                    <w:autoSpaceDN/>
                    <w:bidi w:val="0"/>
                    <w:adjustRightInd/>
                    <w:spacing w:line="360" w:lineRule="exact"/>
                    <w:ind w:firstLine="0"/>
                    <w:textAlignment w:val="auto"/>
                  </w:pPr>
                  <w:r>
                    <w:t>2)</w:t>
                  </w:r>
                  <w:r>
                    <w:tab/>
                  </w:r>
                  <w:r>
                    <w:rPr>
                      <w:rFonts w:hint="eastAsia"/>
                    </w:rPr>
                    <w:t>标准化：《全国临床检验操作规程》关于检验项目的临床意义，样本采集要求；《诊断学（第</w:t>
                  </w:r>
                  <w:r>
                    <w:t>8</w:t>
                  </w:r>
                  <w:r>
                    <w:rPr>
                      <w:rFonts w:hint="eastAsia"/>
                    </w:rPr>
                    <w:t>版）》中关于项目和疾病适应症的描述</w:t>
                  </w:r>
                </w:p>
                <w:p w14:paraId="0148A342">
                  <w:pPr>
                    <w:pStyle w:val="131"/>
                    <w:pageBreakBefore w:val="0"/>
                    <w:widowControl w:val="0"/>
                    <w:kinsoku/>
                    <w:wordWrap/>
                    <w:overflowPunct/>
                    <w:topLinePunct w:val="0"/>
                    <w:autoSpaceDE/>
                    <w:autoSpaceDN/>
                    <w:bidi w:val="0"/>
                    <w:adjustRightInd/>
                    <w:spacing w:line="360" w:lineRule="exact"/>
                    <w:ind w:firstLine="0"/>
                    <w:textAlignment w:val="auto"/>
                  </w:pPr>
                  <w:r>
                    <w:t>3)</w:t>
                  </w:r>
                  <w:r>
                    <w:tab/>
                  </w:r>
                  <w:r>
                    <w:rPr>
                      <w:rFonts w:hint="eastAsia"/>
                    </w:rPr>
                    <w:t>全流程：护士打印条码、医生查看报告、检验科报告审核中可以随时查看检验项目知识库的内容</w:t>
                  </w:r>
                </w:p>
                <w:p w14:paraId="111C4CA8">
                  <w:pPr>
                    <w:pStyle w:val="131"/>
                    <w:pageBreakBefore w:val="0"/>
                    <w:widowControl w:val="0"/>
                    <w:kinsoku/>
                    <w:wordWrap/>
                    <w:overflowPunct/>
                    <w:topLinePunct w:val="0"/>
                    <w:autoSpaceDE/>
                    <w:autoSpaceDN/>
                    <w:bidi w:val="0"/>
                    <w:adjustRightInd/>
                    <w:spacing w:line="360" w:lineRule="exact"/>
                    <w:ind w:firstLine="0"/>
                    <w:textAlignment w:val="auto"/>
                  </w:pPr>
                  <w:r>
                    <w:t>4)</w:t>
                  </w:r>
                  <w:r>
                    <w:tab/>
                  </w:r>
                  <w:r>
                    <w:rPr>
                      <w:rFonts w:hint="eastAsia"/>
                    </w:rPr>
                    <w:t>灵活性：可自定义诊断、用药和检验项目之间的规则同时可以维护规则自动触发事件</w:t>
                  </w:r>
                </w:p>
                <w:p w14:paraId="439B0AB1">
                  <w:pPr>
                    <w:pStyle w:val="131"/>
                    <w:pageBreakBefore w:val="0"/>
                    <w:widowControl w:val="0"/>
                    <w:kinsoku/>
                    <w:wordWrap/>
                    <w:overflowPunct/>
                    <w:topLinePunct w:val="0"/>
                    <w:autoSpaceDE/>
                    <w:autoSpaceDN/>
                    <w:bidi w:val="0"/>
                    <w:adjustRightInd/>
                    <w:spacing w:line="360" w:lineRule="exact"/>
                    <w:ind w:firstLine="0"/>
                    <w:textAlignment w:val="auto"/>
                  </w:pPr>
                  <w:r>
                    <w:t>5)</w:t>
                  </w:r>
                  <w:r>
                    <w:tab/>
                  </w:r>
                  <w:r>
                    <w:rPr>
                      <w:rFonts w:hint="eastAsia"/>
                    </w:rPr>
                    <w:t>开放性：检验知识库可以采用标准的接口提供第三方调用</w:t>
                  </w:r>
                </w:p>
                <w:p w14:paraId="0278541F">
                  <w:pPr>
                    <w:pStyle w:val="131"/>
                    <w:pageBreakBefore w:val="0"/>
                    <w:widowControl w:val="0"/>
                    <w:kinsoku/>
                    <w:wordWrap/>
                    <w:overflowPunct/>
                    <w:topLinePunct w:val="0"/>
                    <w:autoSpaceDE/>
                    <w:autoSpaceDN/>
                    <w:bidi w:val="0"/>
                    <w:adjustRightInd/>
                    <w:spacing w:line="360" w:lineRule="exact"/>
                    <w:ind w:firstLine="0"/>
                    <w:textAlignment w:val="auto"/>
                    <w:rPr>
                      <w:b/>
                      <w:sz w:val="24"/>
                      <w:szCs w:val="24"/>
                    </w:rPr>
                  </w:pPr>
                  <w:r>
                    <w:rPr>
                      <w:b/>
                      <w:sz w:val="24"/>
                      <w:szCs w:val="24"/>
                    </w:rPr>
                    <w:t>25.</w:t>
                  </w:r>
                  <w:r>
                    <w:rPr>
                      <w:rFonts w:hint="eastAsia"/>
                      <w:b/>
                      <w:sz w:val="24"/>
                      <w:szCs w:val="24"/>
                    </w:rPr>
                    <w:t>文档管理</w:t>
                  </w:r>
                </w:p>
                <w:p w14:paraId="4FFE5128">
                  <w:pPr>
                    <w:pStyle w:val="131"/>
                    <w:pageBreakBefore w:val="0"/>
                    <w:widowControl w:val="0"/>
                    <w:kinsoku/>
                    <w:wordWrap/>
                    <w:overflowPunct/>
                    <w:topLinePunct w:val="0"/>
                    <w:autoSpaceDE/>
                    <w:autoSpaceDN/>
                    <w:bidi w:val="0"/>
                    <w:adjustRightInd/>
                    <w:spacing w:line="360" w:lineRule="exact"/>
                    <w:ind w:firstLine="0"/>
                    <w:textAlignment w:val="auto"/>
                  </w:pPr>
                  <w:r>
                    <w:t>1)</w:t>
                  </w:r>
                  <w:r>
                    <w:tab/>
                  </w:r>
                  <w:r>
                    <w:rPr>
                      <w:rFonts w:hint="eastAsia"/>
                    </w:rPr>
                    <w:t>支持管理科室各类电子文档，进行集中分类存储、浏览、导出管理</w:t>
                  </w:r>
                  <w:r>
                    <w:t>,</w:t>
                  </w:r>
                  <w:r>
                    <w:rPr>
                      <w:rFonts w:hint="eastAsia"/>
                    </w:rPr>
                    <w:t>包括论文、实验室文件、个人文件、</w:t>
                  </w:r>
                  <w:r>
                    <w:t>SOP</w:t>
                  </w:r>
                  <w:r>
                    <w:rPr>
                      <w:rFonts w:hint="eastAsia"/>
                    </w:rPr>
                    <w:t>文件等；</w:t>
                  </w:r>
                </w:p>
                <w:p w14:paraId="17CD25C0">
                  <w:pPr>
                    <w:pStyle w:val="131"/>
                    <w:pageBreakBefore w:val="0"/>
                    <w:widowControl w:val="0"/>
                    <w:kinsoku/>
                    <w:wordWrap/>
                    <w:overflowPunct/>
                    <w:topLinePunct w:val="0"/>
                    <w:autoSpaceDE/>
                    <w:autoSpaceDN/>
                    <w:bidi w:val="0"/>
                    <w:adjustRightInd/>
                    <w:spacing w:line="360" w:lineRule="exact"/>
                    <w:ind w:firstLine="0"/>
                    <w:textAlignment w:val="auto"/>
                  </w:pPr>
                  <w:r>
                    <w:t>2)</w:t>
                  </w:r>
                  <w:r>
                    <w:tab/>
                  </w:r>
                  <w:r>
                    <w:rPr>
                      <w:rFonts w:hint="eastAsia"/>
                    </w:rPr>
                    <w:t>支持文件目录操作，根据用户权限新增、删除、修改文件等，支持文档阅读、修改、审核与发布等，可查看操作变更记录，包括操作人、操作时间等；</w:t>
                  </w:r>
                </w:p>
                <w:p w14:paraId="0A2E247D">
                  <w:pPr>
                    <w:pStyle w:val="131"/>
                    <w:pageBreakBefore w:val="0"/>
                    <w:widowControl w:val="0"/>
                    <w:kinsoku/>
                    <w:wordWrap/>
                    <w:overflowPunct/>
                    <w:topLinePunct w:val="0"/>
                    <w:autoSpaceDE/>
                    <w:autoSpaceDN/>
                    <w:bidi w:val="0"/>
                    <w:adjustRightInd/>
                    <w:spacing w:line="360" w:lineRule="exact"/>
                    <w:ind w:firstLine="0"/>
                    <w:textAlignment w:val="auto"/>
                  </w:pPr>
                  <w:r>
                    <w:t>3)</w:t>
                  </w:r>
                  <w:r>
                    <w:tab/>
                  </w:r>
                  <w:r>
                    <w:rPr>
                      <w:rFonts w:hint="eastAsia"/>
                    </w:rPr>
                    <w:t>支持业务系统中的危急值等记录自动归档到文件管理子系统中，支持重要表格流程化管理，填写后自动归档到文件管理系统。</w:t>
                  </w:r>
                  <w:r>
                    <w:t xml:space="preserve"> </w:t>
                  </w:r>
                </w:p>
                <w:p w14:paraId="13FA23B5">
                  <w:pPr>
                    <w:pStyle w:val="131"/>
                    <w:pageBreakBefore w:val="0"/>
                    <w:widowControl w:val="0"/>
                    <w:kinsoku/>
                    <w:wordWrap/>
                    <w:overflowPunct/>
                    <w:topLinePunct w:val="0"/>
                    <w:autoSpaceDE/>
                    <w:autoSpaceDN/>
                    <w:bidi w:val="0"/>
                    <w:adjustRightInd/>
                    <w:spacing w:line="360" w:lineRule="exact"/>
                    <w:ind w:firstLine="0"/>
                    <w:textAlignment w:val="auto"/>
                  </w:pPr>
                  <w:r>
                    <w:t>4)</w:t>
                  </w:r>
                  <w:r>
                    <w:tab/>
                  </w:r>
                  <w:r>
                    <w:rPr>
                      <w:rFonts w:hint="eastAsia"/>
                    </w:rPr>
                    <w:t>支持查询统计功能；</w:t>
                  </w:r>
                </w:p>
                <w:p w14:paraId="1AD3AF32">
                  <w:pPr>
                    <w:pStyle w:val="131"/>
                    <w:pageBreakBefore w:val="0"/>
                    <w:widowControl w:val="0"/>
                    <w:kinsoku/>
                    <w:wordWrap/>
                    <w:overflowPunct/>
                    <w:topLinePunct w:val="0"/>
                    <w:autoSpaceDE/>
                    <w:autoSpaceDN/>
                    <w:bidi w:val="0"/>
                    <w:adjustRightInd/>
                    <w:spacing w:line="360" w:lineRule="exact"/>
                    <w:ind w:firstLine="0"/>
                    <w:textAlignment w:val="auto"/>
                    <w:rPr>
                      <w:b/>
                      <w:sz w:val="24"/>
                      <w:szCs w:val="24"/>
                    </w:rPr>
                  </w:pPr>
                  <w:r>
                    <w:rPr>
                      <w:b/>
                      <w:sz w:val="24"/>
                      <w:szCs w:val="24"/>
                    </w:rPr>
                    <w:t>26.</w:t>
                  </w:r>
                  <w:r>
                    <w:rPr>
                      <w:rFonts w:hint="eastAsia"/>
                      <w:b/>
                      <w:sz w:val="24"/>
                      <w:szCs w:val="24"/>
                    </w:rPr>
                    <w:t>人员管理</w:t>
                  </w:r>
                </w:p>
                <w:p w14:paraId="2DC973D2">
                  <w:pPr>
                    <w:pStyle w:val="131"/>
                    <w:pageBreakBefore w:val="0"/>
                    <w:widowControl w:val="0"/>
                    <w:kinsoku/>
                    <w:wordWrap/>
                    <w:overflowPunct/>
                    <w:topLinePunct w:val="0"/>
                    <w:autoSpaceDE/>
                    <w:autoSpaceDN/>
                    <w:bidi w:val="0"/>
                    <w:adjustRightInd/>
                    <w:spacing w:line="360" w:lineRule="exact"/>
                    <w:ind w:firstLine="0"/>
                    <w:textAlignment w:val="auto"/>
                  </w:pPr>
                  <w:r>
                    <w:t>1)</w:t>
                  </w:r>
                  <w:r>
                    <w:tab/>
                  </w:r>
                  <w:r>
                    <w:rPr>
                      <w:rFonts w:hint="eastAsia"/>
                    </w:rPr>
                    <w:t>支持管理科室人员个人基本资料、工作岗位、个人履历等档案信息；</w:t>
                  </w:r>
                </w:p>
                <w:p w14:paraId="699F2D58">
                  <w:pPr>
                    <w:pStyle w:val="131"/>
                    <w:pageBreakBefore w:val="0"/>
                    <w:widowControl w:val="0"/>
                    <w:kinsoku/>
                    <w:wordWrap/>
                    <w:overflowPunct/>
                    <w:topLinePunct w:val="0"/>
                    <w:autoSpaceDE/>
                    <w:autoSpaceDN/>
                    <w:bidi w:val="0"/>
                    <w:adjustRightInd/>
                    <w:spacing w:line="360" w:lineRule="exact"/>
                    <w:ind w:firstLine="0"/>
                    <w:textAlignment w:val="auto"/>
                  </w:pPr>
                  <w:r>
                    <w:t>2)</w:t>
                  </w:r>
                  <w:r>
                    <w:tab/>
                  </w:r>
                  <w:r>
                    <w:rPr>
                      <w:rFonts w:hint="eastAsia"/>
                    </w:rPr>
                    <w:t>支持档案信息新增、修改、删除等，并可查看操作变更记录，包括操作人、操作时间等；</w:t>
                  </w:r>
                </w:p>
                <w:p w14:paraId="1DB1B115">
                  <w:pPr>
                    <w:pStyle w:val="131"/>
                    <w:pageBreakBefore w:val="0"/>
                    <w:widowControl w:val="0"/>
                    <w:kinsoku/>
                    <w:wordWrap/>
                    <w:overflowPunct/>
                    <w:topLinePunct w:val="0"/>
                    <w:autoSpaceDE/>
                    <w:autoSpaceDN/>
                    <w:bidi w:val="0"/>
                    <w:adjustRightInd/>
                    <w:spacing w:line="360" w:lineRule="exact"/>
                    <w:ind w:firstLine="0"/>
                    <w:textAlignment w:val="auto"/>
                  </w:pPr>
                  <w:r>
                    <w:t>3)</w:t>
                  </w:r>
                  <w:r>
                    <w:tab/>
                  </w:r>
                  <w:r>
                    <w:rPr>
                      <w:rFonts w:hint="eastAsia"/>
                    </w:rPr>
                    <w:t>支持人员档案、考核、授权、奖惩、科研等基本信息维护、新增与删除，相关附件上传、查看、下载与删除，支持查看操作变更记录，包括操作人、操作时间等；</w:t>
                  </w:r>
                </w:p>
                <w:p w14:paraId="47F9404F">
                  <w:pPr>
                    <w:pStyle w:val="131"/>
                    <w:pageBreakBefore w:val="0"/>
                    <w:widowControl w:val="0"/>
                    <w:kinsoku/>
                    <w:wordWrap/>
                    <w:overflowPunct/>
                    <w:topLinePunct w:val="0"/>
                    <w:autoSpaceDE/>
                    <w:autoSpaceDN/>
                    <w:bidi w:val="0"/>
                    <w:adjustRightInd/>
                    <w:spacing w:line="360" w:lineRule="exact"/>
                    <w:ind w:firstLine="0"/>
                    <w:textAlignment w:val="auto"/>
                  </w:pPr>
                  <w:r>
                    <w:t>4)</w:t>
                  </w:r>
                  <w:r>
                    <w:tab/>
                  </w:r>
                  <w:r>
                    <w:rPr>
                      <w:rFonts w:hint="eastAsia"/>
                    </w:rPr>
                    <w:t>支持考排班功能，包括日常排班，假期管理、分配与记录等。</w:t>
                  </w:r>
                </w:p>
                <w:p w14:paraId="27B3CD03">
                  <w:pPr>
                    <w:pStyle w:val="131"/>
                    <w:pageBreakBefore w:val="0"/>
                    <w:widowControl w:val="0"/>
                    <w:kinsoku/>
                    <w:wordWrap/>
                    <w:overflowPunct/>
                    <w:topLinePunct w:val="0"/>
                    <w:autoSpaceDE/>
                    <w:autoSpaceDN/>
                    <w:bidi w:val="0"/>
                    <w:adjustRightInd/>
                    <w:spacing w:line="360" w:lineRule="exact"/>
                    <w:ind w:firstLine="0"/>
                    <w:textAlignment w:val="auto"/>
                  </w:pPr>
                  <w:r>
                    <w:t>5)</w:t>
                  </w:r>
                  <w:r>
                    <w:tab/>
                  </w:r>
                  <w:r>
                    <w:rPr>
                      <w:rFonts w:hint="eastAsia"/>
                    </w:rPr>
                    <w:t>支持汇总查询与统计功能；</w:t>
                  </w:r>
                </w:p>
                <w:p w14:paraId="0E160AC6">
                  <w:pPr>
                    <w:pStyle w:val="131"/>
                    <w:pageBreakBefore w:val="0"/>
                    <w:widowControl w:val="0"/>
                    <w:kinsoku/>
                    <w:wordWrap/>
                    <w:overflowPunct/>
                    <w:topLinePunct w:val="0"/>
                    <w:autoSpaceDE/>
                    <w:autoSpaceDN/>
                    <w:bidi w:val="0"/>
                    <w:adjustRightInd/>
                    <w:spacing w:line="360" w:lineRule="exact"/>
                    <w:ind w:firstLine="0"/>
                    <w:textAlignment w:val="auto"/>
                    <w:rPr>
                      <w:b/>
                      <w:sz w:val="24"/>
                      <w:szCs w:val="24"/>
                    </w:rPr>
                  </w:pPr>
                  <w:r>
                    <w:rPr>
                      <w:b/>
                      <w:sz w:val="24"/>
                      <w:szCs w:val="24"/>
                    </w:rPr>
                    <w:t>27.</w:t>
                  </w:r>
                  <w:r>
                    <w:rPr>
                      <w:rFonts w:hint="eastAsia"/>
                      <w:b/>
                      <w:sz w:val="24"/>
                      <w:szCs w:val="24"/>
                    </w:rPr>
                    <w:t>设备管理</w:t>
                  </w:r>
                </w:p>
                <w:p w14:paraId="5F0A4AEB">
                  <w:pPr>
                    <w:pStyle w:val="131"/>
                    <w:pageBreakBefore w:val="0"/>
                    <w:widowControl w:val="0"/>
                    <w:kinsoku/>
                    <w:wordWrap/>
                    <w:overflowPunct/>
                    <w:topLinePunct w:val="0"/>
                    <w:autoSpaceDE/>
                    <w:autoSpaceDN/>
                    <w:bidi w:val="0"/>
                    <w:adjustRightInd/>
                    <w:spacing w:line="360" w:lineRule="exact"/>
                    <w:ind w:firstLine="0"/>
                    <w:textAlignment w:val="auto"/>
                  </w:pPr>
                  <w:r>
                    <w:t>1)</w:t>
                  </w:r>
                  <w:r>
                    <w:tab/>
                  </w:r>
                  <w:r>
                    <w:rPr>
                      <w:rFonts w:hint="eastAsia"/>
                    </w:rPr>
                    <w:t>设备档案名称、厂商、型号、供应商等设备信息登记</w:t>
                  </w:r>
                </w:p>
                <w:p w14:paraId="027A9866">
                  <w:pPr>
                    <w:pStyle w:val="131"/>
                    <w:pageBreakBefore w:val="0"/>
                    <w:widowControl w:val="0"/>
                    <w:kinsoku/>
                    <w:wordWrap/>
                    <w:overflowPunct/>
                    <w:topLinePunct w:val="0"/>
                    <w:autoSpaceDE/>
                    <w:autoSpaceDN/>
                    <w:bidi w:val="0"/>
                    <w:adjustRightInd/>
                    <w:spacing w:line="360" w:lineRule="exact"/>
                    <w:ind w:firstLine="0"/>
                    <w:textAlignment w:val="auto"/>
                  </w:pPr>
                  <w:r>
                    <w:t>2)</w:t>
                  </w:r>
                  <w:r>
                    <w:tab/>
                  </w:r>
                  <w:r>
                    <w:rPr>
                      <w:rFonts w:hint="eastAsia"/>
                    </w:rPr>
                    <w:t>设备维护计划内容、维护计划责任人设定</w:t>
                  </w:r>
                </w:p>
                <w:p w14:paraId="70812E79">
                  <w:pPr>
                    <w:pStyle w:val="131"/>
                    <w:pageBreakBefore w:val="0"/>
                    <w:widowControl w:val="0"/>
                    <w:kinsoku/>
                    <w:wordWrap/>
                    <w:overflowPunct/>
                    <w:topLinePunct w:val="0"/>
                    <w:autoSpaceDE/>
                    <w:autoSpaceDN/>
                    <w:bidi w:val="0"/>
                    <w:adjustRightInd/>
                    <w:spacing w:line="360" w:lineRule="exact"/>
                    <w:ind w:firstLine="0"/>
                    <w:textAlignment w:val="auto"/>
                  </w:pPr>
                  <w:r>
                    <w:t>3)</w:t>
                  </w:r>
                  <w:r>
                    <w:tab/>
                  </w:r>
                  <w:r>
                    <w:rPr>
                      <w:rFonts w:hint="eastAsia"/>
                    </w:rPr>
                    <w:t>设备维修保养记录登记</w:t>
                  </w:r>
                </w:p>
                <w:p w14:paraId="7ABFCC2D">
                  <w:pPr>
                    <w:pStyle w:val="131"/>
                    <w:pageBreakBefore w:val="0"/>
                    <w:widowControl w:val="0"/>
                    <w:kinsoku/>
                    <w:wordWrap/>
                    <w:overflowPunct/>
                    <w:topLinePunct w:val="0"/>
                    <w:autoSpaceDE/>
                    <w:autoSpaceDN/>
                    <w:bidi w:val="0"/>
                    <w:adjustRightInd/>
                    <w:spacing w:line="360" w:lineRule="exact"/>
                    <w:ind w:firstLine="0"/>
                    <w:textAlignment w:val="auto"/>
                    <w:rPr>
                      <w:b/>
                      <w:sz w:val="24"/>
                      <w:szCs w:val="24"/>
                    </w:rPr>
                  </w:pPr>
                  <w:r>
                    <w:rPr>
                      <w:b/>
                      <w:sz w:val="24"/>
                      <w:szCs w:val="24"/>
                    </w:rPr>
                    <w:t>28.</w:t>
                  </w:r>
                  <w:r>
                    <w:rPr>
                      <w:rFonts w:hint="eastAsia"/>
                      <w:b/>
                      <w:sz w:val="24"/>
                      <w:szCs w:val="24"/>
                    </w:rPr>
                    <w:t>耗材管理</w:t>
                  </w:r>
                </w:p>
                <w:p w14:paraId="712244AE">
                  <w:pPr>
                    <w:pStyle w:val="131"/>
                    <w:pageBreakBefore w:val="0"/>
                    <w:widowControl w:val="0"/>
                    <w:kinsoku/>
                    <w:wordWrap/>
                    <w:overflowPunct/>
                    <w:topLinePunct w:val="0"/>
                    <w:autoSpaceDE/>
                    <w:autoSpaceDN/>
                    <w:bidi w:val="0"/>
                    <w:adjustRightInd/>
                    <w:spacing w:line="360" w:lineRule="exact"/>
                    <w:ind w:firstLine="0"/>
                    <w:textAlignment w:val="auto"/>
                  </w:pPr>
                  <w:r>
                    <w:t>1)</w:t>
                  </w:r>
                  <w:r>
                    <w:tab/>
                  </w:r>
                  <w:r>
                    <w:rPr>
                      <w:rFonts w:hint="eastAsia"/>
                    </w:rPr>
                    <w:t>支持耗材条码全流程管理</w:t>
                  </w:r>
                </w:p>
                <w:p w14:paraId="3E2CEDC7">
                  <w:pPr>
                    <w:pStyle w:val="131"/>
                    <w:pageBreakBefore w:val="0"/>
                    <w:widowControl w:val="0"/>
                    <w:kinsoku/>
                    <w:wordWrap/>
                    <w:overflowPunct/>
                    <w:topLinePunct w:val="0"/>
                    <w:autoSpaceDE/>
                    <w:autoSpaceDN/>
                    <w:bidi w:val="0"/>
                    <w:adjustRightInd/>
                    <w:spacing w:line="360" w:lineRule="exact"/>
                    <w:ind w:firstLine="0"/>
                    <w:textAlignment w:val="auto"/>
                  </w:pPr>
                  <w:r>
                    <w:t>2)</w:t>
                  </w:r>
                  <w:r>
                    <w:tab/>
                  </w:r>
                  <w:r>
                    <w:rPr>
                      <w:rFonts w:hint="eastAsia"/>
                    </w:rPr>
                    <w:t>支持批号条码管理</w:t>
                  </w:r>
                </w:p>
                <w:p w14:paraId="4563D087">
                  <w:pPr>
                    <w:pStyle w:val="131"/>
                    <w:pageBreakBefore w:val="0"/>
                    <w:widowControl w:val="0"/>
                    <w:kinsoku/>
                    <w:wordWrap/>
                    <w:overflowPunct/>
                    <w:topLinePunct w:val="0"/>
                    <w:autoSpaceDE/>
                    <w:autoSpaceDN/>
                    <w:bidi w:val="0"/>
                    <w:adjustRightInd/>
                    <w:spacing w:line="360" w:lineRule="exact"/>
                    <w:ind w:firstLine="0"/>
                    <w:textAlignment w:val="auto"/>
                  </w:pPr>
                  <w:r>
                    <w:t>3)</w:t>
                  </w:r>
                  <w:r>
                    <w:tab/>
                  </w:r>
                  <w:r>
                    <w:rPr>
                      <w:rFonts w:hint="eastAsia"/>
                    </w:rPr>
                    <w:t>支持耗材单品条码管理</w:t>
                  </w:r>
                </w:p>
                <w:p w14:paraId="226E3C71">
                  <w:pPr>
                    <w:pStyle w:val="131"/>
                    <w:pageBreakBefore w:val="0"/>
                    <w:widowControl w:val="0"/>
                    <w:kinsoku/>
                    <w:wordWrap/>
                    <w:overflowPunct/>
                    <w:topLinePunct w:val="0"/>
                    <w:autoSpaceDE/>
                    <w:autoSpaceDN/>
                    <w:bidi w:val="0"/>
                    <w:adjustRightInd/>
                    <w:spacing w:line="360" w:lineRule="exact"/>
                    <w:ind w:firstLine="0"/>
                    <w:textAlignment w:val="auto"/>
                  </w:pPr>
                  <w:r>
                    <w:t>4)</w:t>
                  </w:r>
                  <w:r>
                    <w:tab/>
                  </w:r>
                  <w:r>
                    <w:rPr>
                      <w:rFonts w:hint="eastAsia"/>
                    </w:rPr>
                    <w:t>支持试剂耗材多级库存管理</w:t>
                  </w:r>
                  <w:r>
                    <w:t xml:space="preserve"> </w:t>
                  </w:r>
                </w:p>
                <w:p w14:paraId="6FC6237D">
                  <w:pPr>
                    <w:pStyle w:val="131"/>
                    <w:pageBreakBefore w:val="0"/>
                    <w:widowControl w:val="0"/>
                    <w:kinsoku/>
                    <w:wordWrap/>
                    <w:overflowPunct/>
                    <w:topLinePunct w:val="0"/>
                    <w:autoSpaceDE/>
                    <w:autoSpaceDN/>
                    <w:bidi w:val="0"/>
                    <w:adjustRightInd/>
                    <w:spacing w:line="360" w:lineRule="exact"/>
                    <w:ind w:firstLine="0"/>
                    <w:textAlignment w:val="auto"/>
                  </w:pPr>
                  <w:r>
                    <w:t>5)</w:t>
                  </w:r>
                  <w:r>
                    <w:tab/>
                  </w:r>
                  <w:r>
                    <w:rPr>
                      <w:rFonts w:hint="eastAsia"/>
                    </w:rPr>
                    <w:t>支持试剂耗材入库</w:t>
                  </w:r>
                  <w:r>
                    <w:t>:</w:t>
                  </w:r>
                  <w:r>
                    <w:rPr>
                      <w:rFonts w:hint="eastAsia"/>
                    </w:rPr>
                    <w:t>扫商品码选取试剂，根据情况输入数量、有效期等信息入库，并根据设置判断是否打印条码及入库单。条码打印内容与格式可自定义。</w:t>
                  </w:r>
                </w:p>
                <w:p w14:paraId="4FE648BD">
                  <w:pPr>
                    <w:pStyle w:val="131"/>
                    <w:pageBreakBefore w:val="0"/>
                    <w:widowControl w:val="0"/>
                    <w:kinsoku/>
                    <w:wordWrap/>
                    <w:overflowPunct/>
                    <w:topLinePunct w:val="0"/>
                    <w:autoSpaceDE/>
                    <w:autoSpaceDN/>
                    <w:bidi w:val="0"/>
                    <w:adjustRightInd/>
                    <w:spacing w:line="360" w:lineRule="exact"/>
                    <w:ind w:firstLine="0"/>
                    <w:textAlignment w:val="auto"/>
                  </w:pPr>
                  <w:r>
                    <w:t>6)</w:t>
                  </w:r>
                  <w:r>
                    <w:tab/>
                  </w:r>
                  <w:r>
                    <w:rPr>
                      <w:rFonts w:hint="eastAsia"/>
                    </w:rPr>
                    <w:t>支持试剂耗材出库</w:t>
                  </w:r>
                  <w:r>
                    <w:t>:</w:t>
                  </w:r>
                  <w:r>
                    <w:rPr>
                      <w:rFonts w:hint="eastAsia"/>
                    </w:rPr>
                    <w:t>扫描试剂耗材条码出库，记录出库时间、出库人信息。也可选择试剂出库，按照入库单据列表展现，默认以先入先出规则推荐出库</w:t>
                  </w:r>
                  <w:r>
                    <w:t xml:space="preserve"> </w:t>
                  </w:r>
                </w:p>
                <w:p w14:paraId="228F8B35">
                  <w:pPr>
                    <w:pStyle w:val="131"/>
                    <w:pageBreakBefore w:val="0"/>
                    <w:widowControl w:val="0"/>
                    <w:kinsoku/>
                    <w:wordWrap/>
                    <w:overflowPunct/>
                    <w:topLinePunct w:val="0"/>
                    <w:autoSpaceDE/>
                    <w:autoSpaceDN/>
                    <w:bidi w:val="0"/>
                    <w:adjustRightInd/>
                    <w:spacing w:line="360" w:lineRule="exact"/>
                    <w:ind w:firstLine="0"/>
                    <w:textAlignment w:val="auto"/>
                    <w:rPr>
                      <w:b/>
                      <w:sz w:val="24"/>
                      <w:szCs w:val="24"/>
                    </w:rPr>
                  </w:pPr>
                  <w:r>
                    <w:rPr>
                      <w:b/>
                      <w:sz w:val="24"/>
                      <w:szCs w:val="24"/>
                    </w:rPr>
                    <w:t>29.</w:t>
                  </w:r>
                  <w:r>
                    <w:rPr>
                      <w:rFonts w:hint="eastAsia"/>
                      <w:b/>
                      <w:sz w:val="24"/>
                      <w:szCs w:val="24"/>
                    </w:rPr>
                    <w:t>第三方接口</w:t>
                  </w:r>
                </w:p>
                <w:p w14:paraId="4BD4471F">
                  <w:pPr>
                    <w:pStyle w:val="131"/>
                    <w:pageBreakBefore w:val="0"/>
                    <w:widowControl w:val="0"/>
                    <w:kinsoku/>
                    <w:wordWrap/>
                    <w:overflowPunct/>
                    <w:topLinePunct w:val="0"/>
                    <w:autoSpaceDE/>
                    <w:autoSpaceDN/>
                    <w:bidi w:val="0"/>
                    <w:adjustRightInd/>
                    <w:spacing w:line="360" w:lineRule="exact"/>
                    <w:ind w:firstLine="0"/>
                    <w:textAlignment w:val="auto"/>
                    <w:rPr>
                      <w:rFonts w:ascii="宋体" w:hAnsi="宋体" w:cs="宋体"/>
                      <w:szCs w:val="21"/>
                    </w:rPr>
                  </w:pPr>
                  <w:r>
                    <w:t>HIS</w:t>
                  </w:r>
                  <w:r>
                    <w:rPr>
                      <w:rFonts w:hint="eastAsia"/>
                    </w:rPr>
                    <w:t>，体检，电子病历，院感，平台等第三方接口。</w:t>
                  </w:r>
                </w:p>
              </w:tc>
            </w:tr>
            <w:tr w14:paraId="58E1A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3" w:type="dxa"/>
                  <w:vMerge w:val="continue"/>
                  <w:tcBorders>
                    <w:top w:val="single" w:color="auto" w:sz="4" w:space="0"/>
                    <w:left w:val="single" w:color="auto" w:sz="4" w:space="0"/>
                    <w:bottom w:val="single" w:color="auto" w:sz="4" w:space="0"/>
                    <w:right w:val="single" w:color="auto" w:sz="4" w:space="0"/>
                  </w:tcBorders>
                  <w:noWrap w:val="0"/>
                  <w:vAlign w:val="center"/>
                </w:tcPr>
                <w:p w14:paraId="381858F1">
                  <w:pPr>
                    <w:widowControl/>
                    <w:jc w:val="left"/>
                    <w:rPr>
                      <w:rFonts w:ascii="宋体" w:hAnsi="宋体" w:cs="宋体"/>
                      <w:b/>
                      <w:color w:val="000000"/>
                      <w:sz w:val="20"/>
                      <w:szCs w:val="20"/>
                    </w:rPr>
                  </w:pPr>
                </w:p>
              </w:tc>
              <w:tc>
                <w:tcPr>
                  <w:tcW w:w="804" w:type="dxa"/>
                  <w:vMerge w:val="continue"/>
                  <w:tcBorders>
                    <w:top w:val="single" w:color="auto" w:sz="4" w:space="0"/>
                    <w:left w:val="single" w:color="auto" w:sz="4" w:space="0"/>
                    <w:bottom w:val="single" w:color="auto" w:sz="4" w:space="0"/>
                    <w:right w:val="single" w:color="auto" w:sz="4" w:space="0"/>
                  </w:tcBorders>
                  <w:noWrap w:val="0"/>
                  <w:vAlign w:val="center"/>
                </w:tcPr>
                <w:p w14:paraId="7B951BA3">
                  <w:pPr>
                    <w:widowControl/>
                    <w:jc w:val="left"/>
                    <w:rPr>
                      <w:rFonts w:ascii="宋体" w:hAnsi="宋体" w:cs="宋体"/>
                      <w:color w:val="000000"/>
                      <w:sz w:val="20"/>
                      <w:szCs w:val="20"/>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3FF758BD">
                  <w:pPr>
                    <w:pageBreakBefore w:val="0"/>
                    <w:widowControl w:val="0"/>
                    <w:kinsoku/>
                    <w:wordWrap/>
                    <w:overflowPunct/>
                    <w:topLinePunct w:val="0"/>
                    <w:autoSpaceDE/>
                    <w:autoSpaceDN/>
                    <w:bidi w:val="0"/>
                    <w:adjustRightInd/>
                    <w:spacing w:line="360" w:lineRule="exact"/>
                    <w:textAlignment w:val="auto"/>
                    <w:rPr>
                      <w:rFonts w:ascii="宋体" w:hAnsi="宋体" w:cs="宋体"/>
                      <w:color w:val="000000"/>
                      <w:sz w:val="20"/>
                      <w:szCs w:val="20"/>
                    </w:rPr>
                  </w:pPr>
                  <w:r>
                    <w:rPr>
                      <w:rFonts w:hint="eastAsia"/>
                      <w:color w:val="000000"/>
                      <w:sz w:val="21"/>
                      <w:szCs w:val="21"/>
                    </w:rPr>
                    <w:t>内镜信息管理</w:t>
                  </w:r>
                </w:p>
              </w:tc>
              <w:tc>
                <w:tcPr>
                  <w:tcW w:w="7748" w:type="dxa"/>
                  <w:tcBorders>
                    <w:top w:val="single" w:color="auto" w:sz="4" w:space="0"/>
                    <w:left w:val="single" w:color="auto" w:sz="4" w:space="0"/>
                    <w:bottom w:val="single" w:color="auto" w:sz="4" w:space="0"/>
                    <w:right w:val="single" w:color="auto" w:sz="4" w:space="0"/>
                  </w:tcBorders>
                  <w:noWrap/>
                  <w:vAlign w:val="center"/>
                </w:tcPr>
                <w:p w14:paraId="00FD1A10">
                  <w:pPr>
                    <w:pStyle w:val="7"/>
                    <w:pageBreakBefore w:val="0"/>
                    <w:widowControl w:val="0"/>
                    <w:kinsoku/>
                    <w:wordWrap/>
                    <w:overflowPunct/>
                    <w:topLinePunct w:val="0"/>
                    <w:autoSpaceDE/>
                    <w:autoSpaceDN/>
                    <w:bidi w:val="0"/>
                    <w:adjustRightInd/>
                    <w:spacing w:line="360" w:lineRule="exact"/>
                    <w:textAlignment w:val="auto"/>
                    <w:rPr>
                      <w:rFonts w:ascii="Calibri"/>
                      <w:sz w:val="21"/>
                    </w:rPr>
                  </w:pPr>
                  <w:r>
                    <w:rPr>
                      <w:rFonts w:hint="eastAsia"/>
                    </w:rPr>
                    <w:t>内镜管理系统</w:t>
                  </w:r>
                </w:p>
                <w:p w14:paraId="5598E1D2">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提供内窥镜信息管理系统解决方案参数，支持医院常见的各种内窥镜；</w:t>
                  </w:r>
                  <w:r>
                    <w:rPr>
                      <w:rFonts w:hint="eastAsia"/>
                      <w:lang w:val="en-US" w:eastAsia="zh-CN"/>
                    </w:rPr>
                    <w:t>包括</w:t>
                  </w:r>
                  <w:r>
                    <w:rPr>
                      <w:rFonts w:hint="eastAsia"/>
                    </w:rPr>
                    <w:t>系统总体要求、登记、分诊、叫号、数据检索、内窥镜检查与诊断、病理标本送检、病历追踪、统计、主任管理、内窥镜清洗消毒等各模块技术参数。</w:t>
                  </w:r>
                </w:p>
                <w:p w14:paraId="3085450B">
                  <w:pPr>
                    <w:pStyle w:val="8"/>
                    <w:pageBreakBefore w:val="0"/>
                    <w:widowControl w:val="0"/>
                    <w:kinsoku/>
                    <w:wordWrap/>
                    <w:overflowPunct/>
                    <w:topLinePunct w:val="0"/>
                    <w:autoSpaceDE/>
                    <w:autoSpaceDN/>
                    <w:bidi w:val="0"/>
                    <w:adjustRightInd/>
                    <w:spacing w:line="360" w:lineRule="exact"/>
                    <w:textAlignment w:val="auto"/>
                  </w:pPr>
                  <w:r>
                    <w:rPr>
                      <w:rFonts w:hint="eastAsia"/>
                    </w:rPr>
                    <w:t>系统总体要求</w:t>
                  </w:r>
                </w:p>
                <w:p w14:paraId="2E5F7DCE">
                  <w:pPr>
                    <w:pStyle w:val="131"/>
                    <w:pageBreakBefore w:val="0"/>
                    <w:widowControl w:val="0"/>
                    <w:kinsoku/>
                    <w:wordWrap/>
                    <w:overflowPunct/>
                    <w:topLinePunct w:val="0"/>
                    <w:autoSpaceDE/>
                    <w:autoSpaceDN/>
                    <w:bidi w:val="0"/>
                    <w:adjustRightInd/>
                    <w:spacing w:line="360" w:lineRule="exact"/>
                    <w:ind w:firstLine="0"/>
                    <w:textAlignment w:val="auto"/>
                  </w:pPr>
                  <w:r>
                    <w:t>1.</w:t>
                  </w:r>
                  <w:r>
                    <w:rPr>
                      <w:rFonts w:hint="eastAsia"/>
                    </w:rPr>
                    <w:t>支持膀胱镜，耳鼻喉镜，胆道镜，腹腔镜，输尿管镜，支气管镜，椎间盘镜，胃肠镜，宫腔镜，不同类型内镜之间根据检查科室区分能有不同的登记界面、报告界面、主界面，不同科室之间的业务数据不对其它科室开放。</w:t>
                  </w:r>
                </w:p>
                <w:p w14:paraId="2FE147D1">
                  <w:pPr>
                    <w:pStyle w:val="131"/>
                    <w:pageBreakBefore w:val="0"/>
                    <w:widowControl w:val="0"/>
                    <w:kinsoku/>
                    <w:wordWrap/>
                    <w:overflowPunct/>
                    <w:topLinePunct w:val="0"/>
                    <w:autoSpaceDE/>
                    <w:autoSpaceDN/>
                    <w:bidi w:val="0"/>
                    <w:adjustRightInd/>
                    <w:spacing w:line="360" w:lineRule="exact"/>
                    <w:ind w:firstLine="0"/>
                    <w:textAlignment w:val="auto"/>
                  </w:pPr>
                  <w:r>
                    <w:t>2.</w:t>
                  </w:r>
                  <w:r>
                    <w:rPr>
                      <w:rFonts w:hint="eastAsia"/>
                    </w:rPr>
                    <w:t>支持安全等保测评中对登录限制的要求：支持设置登录密码强度、定期更换密码、复用次数周期；支持两种或两种以上组合的鉴别技术对管理用户进行身份鉴别；支持对单个帐户的多重并发会话进行限制；具有登录失败处理功能，可采取结束会话、限制非法登录次数和自动退出等措施；</w:t>
                  </w:r>
                </w:p>
                <w:p w14:paraId="70CB9FF1">
                  <w:pPr>
                    <w:pStyle w:val="131"/>
                    <w:pageBreakBefore w:val="0"/>
                    <w:widowControl w:val="0"/>
                    <w:kinsoku/>
                    <w:wordWrap/>
                    <w:overflowPunct/>
                    <w:topLinePunct w:val="0"/>
                    <w:autoSpaceDE/>
                    <w:autoSpaceDN/>
                    <w:bidi w:val="0"/>
                    <w:adjustRightInd/>
                    <w:spacing w:line="360" w:lineRule="exact"/>
                    <w:ind w:firstLine="0"/>
                    <w:textAlignment w:val="auto"/>
                  </w:pPr>
                  <w:r>
                    <w:t>3.</w:t>
                  </w:r>
                  <w:r>
                    <w:rPr>
                      <w:rFonts w:hint="eastAsia"/>
                    </w:rPr>
                    <w:t>支持断网后的离线工作模式，网络恢复后数据可以自动上传至在线服务端；</w:t>
                  </w:r>
                </w:p>
                <w:p w14:paraId="2C841783">
                  <w:pPr>
                    <w:pStyle w:val="8"/>
                    <w:pageBreakBefore w:val="0"/>
                    <w:widowControl w:val="0"/>
                    <w:kinsoku/>
                    <w:wordWrap/>
                    <w:overflowPunct/>
                    <w:topLinePunct w:val="0"/>
                    <w:autoSpaceDE/>
                    <w:autoSpaceDN/>
                    <w:bidi w:val="0"/>
                    <w:adjustRightInd/>
                    <w:spacing w:line="360" w:lineRule="exact"/>
                    <w:textAlignment w:val="auto"/>
                  </w:pPr>
                  <w:r>
                    <w:rPr>
                      <w:rFonts w:hint="eastAsia"/>
                    </w:rPr>
                    <w:t>登记分诊</w:t>
                  </w:r>
                </w:p>
                <w:p w14:paraId="018FB2C2">
                  <w:pPr>
                    <w:pStyle w:val="131"/>
                    <w:pageBreakBefore w:val="0"/>
                    <w:widowControl w:val="0"/>
                    <w:kinsoku/>
                    <w:wordWrap/>
                    <w:overflowPunct/>
                    <w:topLinePunct w:val="0"/>
                    <w:autoSpaceDE/>
                    <w:autoSpaceDN/>
                    <w:bidi w:val="0"/>
                    <w:adjustRightInd/>
                    <w:spacing w:line="360" w:lineRule="exact"/>
                    <w:ind w:firstLine="0"/>
                    <w:textAlignment w:val="auto"/>
                  </w:pPr>
                  <w:r>
                    <w:t>1.</w:t>
                  </w:r>
                  <w:r>
                    <w:rPr>
                      <w:rFonts w:hint="eastAsia"/>
                    </w:rPr>
                    <w:t>可灵活设置用户的登记界面，登记项目分为病人姓名、姓名拼音、性别、年龄、检查项目、病人来源、检查方式、门诊号、住院号、申请科室、申请医生、床号、临床诊断、主诉、电话、优先级、检查费等。可设置登记项目是否显示、所占列宽、记住上次值、能否为空、最大值、最少值、输入法等。</w:t>
                  </w:r>
                </w:p>
                <w:p w14:paraId="4AD21EF0">
                  <w:pPr>
                    <w:pStyle w:val="131"/>
                    <w:pageBreakBefore w:val="0"/>
                    <w:widowControl w:val="0"/>
                    <w:kinsoku/>
                    <w:wordWrap/>
                    <w:overflowPunct/>
                    <w:topLinePunct w:val="0"/>
                    <w:autoSpaceDE/>
                    <w:autoSpaceDN/>
                    <w:bidi w:val="0"/>
                    <w:adjustRightInd/>
                    <w:spacing w:line="360" w:lineRule="exact"/>
                    <w:ind w:firstLine="0"/>
                    <w:textAlignment w:val="auto"/>
                  </w:pPr>
                  <w:r>
                    <w:t>2.</w:t>
                  </w:r>
                  <w:r>
                    <w:rPr>
                      <w:rFonts w:hint="eastAsia"/>
                    </w:rPr>
                    <w:t>支持通过条码、二维码、就诊卡、电子健康卡、来自平台或</w:t>
                  </w:r>
                  <w:r>
                    <w:t>HIS</w:t>
                  </w:r>
                  <w:r>
                    <w:rPr>
                      <w:rFonts w:hint="eastAsia"/>
                    </w:rPr>
                    <w:t>的电子申请单信息提取病人检查申请信息；</w:t>
                  </w:r>
                </w:p>
                <w:p w14:paraId="115A591C">
                  <w:pPr>
                    <w:pStyle w:val="131"/>
                    <w:pageBreakBefore w:val="0"/>
                    <w:widowControl w:val="0"/>
                    <w:kinsoku/>
                    <w:wordWrap/>
                    <w:overflowPunct/>
                    <w:topLinePunct w:val="0"/>
                    <w:autoSpaceDE/>
                    <w:autoSpaceDN/>
                    <w:bidi w:val="0"/>
                    <w:adjustRightInd/>
                    <w:spacing w:line="360" w:lineRule="exact"/>
                    <w:ind w:firstLine="0"/>
                    <w:textAlignment w:val="auto"/>
                  </w:pPr>
                  <w:r>
                    <w:t>3.</w:t>
                  </w:r>
                  <w:r>
                    <w:rPr>
                      <w:rFonts w:hint="eastAsia"/>
                    </w:rPr>
                    <w:t>支持扫描申请单功能；可根据纸质申请单输入病人申请信息；</w:t>
                  </w:r>
                </w:p>
                <w:p w14:paraId="17390261">
                  <w:pPr>
                    <w:pStyle w:val="131"/>
                    <w:pageBreakBefore w:val="0"/>
                    <w:widowControl w:val="0"/>
                    <w:kinsoku/>
                    <w:wordWrap/>
                    <w:overflowPunct/>
                    <w:topLinePunct w:val="0"/>
                    <w:autoSpaceDE/>
                    <w:autoSpaceDN/>
                    <w:bidi w:val="0"/>
                    <w:adjustRightInd/>
                    <w:spacing w:line="360" w:lineRule="exact"/>
                    <w:ind w:firstLine="0"/>
                    <w:textAlignment w:val="auto"/>
                  </w:pPr>
                  <w:r>
                    <w:t>4.</w:t>
                  </w:r>
                  <w:r>
                    <w:rPr>
                      <w:rFonts w:hint="eastAsia"/>
                    </w:rPr>
                    <w:t>支持登记时自动判断复诊病人或复诊弹框提醒；</w:t>
                  </w:r>
                </w:p>
                <w:p w14:paraId="0AA9FD40">
                  <w:pPr>
                    <w:pStyle w:val="131"/>
                    <w:pageBreakBefore w:val="0"/>
                    <w:widowControl w:val="0"/>
                    <w:kinsoku/>
                    <w:wordWrap/>
                    <w:overflowPunct/>
                    <w:topLinePunct w:val="0"/>
                    <w:autoSpaceDE/>
                    <w:autoSpaceDN/>
                    <w:bidi w:val="0"/>
                    <w:adjustRightInd/>
                    <w:spacing w:line="360" w:lineRule="exact"/>
                    <w:ind w:firstLine="0"/>
                    <w:textAlignment w:val="auto"/>
                  </w:pPr>
                  <w:r>
                    <w:t>5.</w:t>
                  </w:r>
                  <w:r>
                    <w:rPr>
                      <w:rFonts w:hint="eastAsia"/>
                    </w:rPr>
                    <w:t>支持快速新增病人，可以使用连续新增功能和连续预约功能；</w:t>
                  </w:r>
                </w:p>
                <w:p w14:paraId="5009F287">
                  <w:pPr>
                    <w:pStyle w:val="131"/>
                    <w:pageBreakBefore w:val="0"/>
                    <w:widowControl w:val="0"/>
                    <w:kinsoku/>
                    <w:wordWrap/>
                    <w:overflowPunct/>
                    <w:topLinePunct w:val="0"/>
                    <w:autoSpaceDE/>
                    <w:autoSpaceDN/>
                    <w:bidi w:val="0"/>
                    <w:adjustRightInd/>
                    <w:spacing w:line="360" w:lineRule="exact"/>
                    <w:ind w:firstLine="0"/>
                    <w:textAlignment w:val="auto"/>
                  </w:pPr>
                  <w:r>
                    <w:t>6.</w:t>
                  </w:r>
                  <w:r>
                    <w:rPr>
                      <w:rFonts w:hint="eastAsia"/>
                    </w:rPr>
                    <w:t>患者预约：支持对就诊病人提前排队预约，以便于安排就诊注意事项；</w:t>
                  </w:r>
                </w:p>
                <w:p w14:paraId="0A198F17">
                  <w:pPr>
                    <w:pStyle w:val="131"/>
                    <w:pageBreakBefore w:val="0"/>
                    <w:widowControl w:val="0"/>
                    <w:kinsoku/>
                    <w:wordWrap/>
                    <w:overflowPunct/>
                    <w:topLinePunct w:val="0"/>
                    <w:autoSpaceDE/>
                    <w:autoSpaceDN/>
                    <w:bidi w:val="0"/>
                    <w:adjustRightInd/>
                    <w:spacing w:line="360" w:lineRule="exact"/>
                    <w:ind w:firstLine="0"/>
                    <w:textAlignment w:val="auto"/>
                  </w:pPr>
                  <w:r>
                    <w:t>7.</w:t>
                  </w:r>
                  <w:r>
                    <w:rPr>
                      <w:rFonts w:hint="eastAsia"/>
                    </w:rPr>
                    <w:t>预约登记后可取号，可设置排队小条格式，如排队号、检查项目、检查诊室位置、排队人数、时段、注意事项等信息；</w:t>
                  </w:r>
                  <w:r>
                    <w:t xml:space="preserve"> </w:t>
                  </w:r>
                </w:p>
                <w:p w14:paraId="53674561">
                  <w:pPr>
                    <w:pStyle w:val="131"/>
                    <w:pageBreakBefore w:val="0"/>
                    <w:widowControl w:val="0"/>
                    <w:kinsoku/>
                    <w:wordWrap/>
                    <w:overflowPunct/>
                    <w:topLinePunct w:val="0"/>
                    <w:autoSpaceDE/>
                    <w:autoSpaceDN/>
                    <w:bidi w:val="0"/>
                    <w:adjustRightInd/>
                    <w:spacing w:line="360" w:lineRule="exact"/>
                    <w:ind w:firstLine="0"/>
                    <w:textAlignment w:val="auto"/>
                  </w:pPr>
                  <w:r>
                    <w:t>8.</w:t>
                  </w:r>
                  <w:r>
                    <w:rPr>
                      <w:rFonts w:hint="eastAsia"/>
                    </w:rPr>
                    <w:t>可手工将病人分配到不同检查队列；支持根据检查项目自动匹配检查队列</w:t>
                  </w:r>
                </w:p>
                <w:p w14:paraId="11156889">
                  <w:pPr>
                    <w:pStyle w:val="131"/>
                    <w:pageBreakBefore w:val="0"/>
                    <w:widowControl w:val="0"/>
                    <w:kinsoku/>
                    <w:wordWrap/>
                    <w:overflowPunct/>
                    <w:topLinePunct w:val="0"/>
                    <w:autoSpaceDE/>
                    <w:autoSpaceDN/>
                    <w:bidi w:val="0"/>
                    <w:adjustRightInd/>
                    <w:spacing w:line="360" w:lineRule="exact"/>
                    <w:ind w:firstLine="0"/>
                    <w:textAlignment w:val="auto"/>
                  </w:pPr>
                  <w:r>
                    <w:t>9.</w:t>
                  </w:r>
                  <w:r>
                    <w:rPr>
                      <w:rFonts w:hint="eastAsia"/>
                    </w:rPr>
                    <w:t>支持与医技检查预约系统接口对接</w:t>
                  </w:r>
                </w:p>
                <w:p w14:paraId="34376EDA">
                  <w:pPr>
                    <w:pStyle w:val="8"/>
                    <w:pageBreakBefore w:val="0"/>
                    <w:widowControl w:val="0"/>
                    <w:kinsoku/>
                    <w:wordWrap/>
                    <w:overflowPunct/>
                    <w:topLinePunct w:val="0"/>
                    <w:autoSpaceDE/>
                    <w:autoSpaceDN/>
                    <w:bidi w:val="0"/>
                    <w:adjustRightInd/>
                    <w:spacing w:line="360" w:lineRule="exact"/>
                    <w:textAlignment w:val="auto"/>
                  </w:pPr>
                  <w:r>
                    <w:rPr>
                      <w:rFonts w:hint="eastAsia"/>
                    </w:rPr>
                    <w:t>叫号显示</w:t>
                  </w:r>
                </w:p>
                <w:p w14:paraId="3F9E72C3">
                  <w:pPr>
                    <w:pStyle w:val="131"/>
                    <w:pageBreakBefore w:val="0"/>
                    <w:widowControl w:val="0"/>
                    <w:kinsoku/>
                    <w:wordWrap/>
                    <w:overflowPunct/>
                    <w:topLinePunct w:val="0"/>
                    <w:autoSpaceDE/>
                    <w:autoSpaceDN/>
                    <w:bidi w:val="0"/>
                    <w:adjustRightInd/>
                    <w:spacing w:line="360" w:lineRule="exact"/>
                    <w:ind w:firstLine="0"/>
                    <w:textAlignment w:val="auto"/>
                  </w:pPr>
                  <w:r>
                    <w:t>1.</w:t>
                  </w:r>
                  <w:r>
                    <w:rPr>
                      <w:rFonts w:hint="eastAsia"/>
                    </w:rPr>
                    <w:t>支持以检查队列或检查诊室区分显示患者排队信息、已叫号信息、过号信息及正叫信息；</w:t>
                  </w:r>
                </w:p>
                <w:p w14:paraId="67C2C1EF">
                  <w:pPr>
                    <w:pStyle w:val="131"/>
                    <w:pageBreakBefore w:val="0"/>
                    <w:widowControl w:val="0"/>
                    <w:kinsoku/>
                    <w:wordWrap/>
                    <w:overflowPunct/>
                    <w:topLinePunct w:val="0"/>
                    <w:autoSpaceDE/>
                    <w:autoSpaceDN/>
                    <w:bidi w:val="0"/>
                    <w:adjustRightInd/>
                    <w:spacing w:line="360" w:lineRule="exact"/>
                    <w:ind w:firstLine="0"/>
                    <w:textAlignment w:val="auto"/>
                  </w:pPr>
                  <w:r>
                    <w:t>2.</w:t>
                  </w:r>
                  <w:r>
                    <w:rPr>
                      <w:rFonts w:hint="eastAsia"/>
                    </w:rPr>
                    <w:t>支持显示患者类型信息如急诊、预约等，按照优先级叫号。</w:t>
                  </w:r>
                </w:p>
                <w:p w14:paraId="253895B5">
                  <w:pPr>
                    <w:pStyle w:val="131"/>
                    <w:pageBreakBefore w:val="0"/>
                    <w:widowControl w:val="0"/>
                    <w:kinsoku/>
                    <w:wordWrap/>
                    <w:overflowPunct/>
                    <w:topLinePunct w:val="0"/>
                    <w:autoSpaceDE/>
                    <w:autoSpaceDN/>
                    <w:bidi w:val="0"/>
                    <w:adjustRightInd/>
                    <w:spacing w:line="360" w:lineRule="exact"/>
                    <w:ind w:firstLine="0"/>
                    <w:textAlignment w:val="auto"/>
                  </w:pPr>
                  <w:r>
                    <w:t>3.</w:t>
                  </w:r>
                  <w:r>
                    <w:rPr>
                      <w:rFonts w:hint="eastAsia"/>
                    </w:rPr>
                    <w:t>支持语音叫号；可设置语音叫号的内容；通过纠正语音库对多音字识别的处理，自动匹配正确的多音字读音；可设置排队检查及取报告的呼叫的次数；</w:t>
                  </w:r>
                </w:p>
                <w:p w14:paraId="65979A3F">
                  <w:pPr>
                    <w:pStyle w:val="131"/>
                    <w:pageBreakBefore w:val="0"/>
                    <w:widowControl w:val="0"/>
                    <w:kinsoku/>
                    <w:wordWrap/>
                    <w:overflowPunct/>
                    <w:topLinePunct w:val="0"/>
                    <w:autoSpaceDE/>
                    <w:autoSpaceDN/>
                    <w:bidi w:val="0"/>
                    <w:adjustRightInd/>
                    <w:spacing w:line="360" w:lineRule="exact"/>
                    <w:ind w:firstLine="0"/>
                    <w:textAlignment w:val="auto"/>
                  </w:pPr>
                  <w:r>
                    <w:t>4.</w:t>
                  </w:r>
                  <w:r>
                    <w:rPr>
                      <w:rFonts w:hint="eastAsia"/>
                    </w:rPr>
                    <w:t>支持通过叫号显示屏呼叫当前选中病人家属</w:t>
                  </w:r>
                </w:p>
                <w:p w14:paraId="33FFB0B9">
                  <w:pPr>
                    <w:pStyle w:val="131"/>
                    <w:pageBreakBefore w:val="0"/>
                    <w:widowControl w:val="0"/>
                    <w:kinsoku/>
                    <w:wordWrap/>
                    <w:overflowPunct/>
                    <w:topLinePunct w:val="0"/>
                    <w:autoSpaceDE/>
                    <w:autoSpaceDN/>
                    <w:bidi w:val="0"/>
                    <w:adjustRightInd/>
                    <w:spacing w:line="360" w:lineRule="exact"/>
                    <w:ind w:firstLine="0"/>
                    <w:textAlignment w:val="auto"/>
                  </w:pPr>
                  <w:r>
                    <w:t>5.</w:t>
                  </w:r>
                  <w:r>
                    <w:rPr>
                      <w:rFonts w:hint="eastAsia"/>
                    </w:rPr>
                    <w:t>支持隐藏候诊列表病人信息敏感信息；</w:t>
                  </w:r>
                </w:p>
                <w:p w14:paraId="1A999FEF">
                  <w:pPr>
                    <w:pStyle w:val="8"/>
                    <w:pageBreakBefore w:val="0"/>
                    <w:widowControl w:val="0"/>
                    <w:kinsoku/>
                    <w:wordWrap/>
                    <w:overflowPunct/>
                    <w:topLinePunct w:val="0"/>
                    <w:autoSpaceDE/>
                    <w:autoSpaceDN/>
                    <w:bidi w:val="0"/>
                    <w:adjustRightInd/>
                    <w:spacing w:line="360" w:lineRule="exact"/>
                    <w:textAlignment w:val="auto"/>
                  </w:pPr>
                  <w:r>
                    <w:rPr>
                      <w:rFonts w:hint="eastAsia"/>
                    </w:rPr>
                    <w:t>病人列表</w:t>
                  </w:r>
                </w:p>
                <w:p w14:paraId="3CE8C404">
                  <w:pPr>
                    <w:pStyle w:val="131"/>
                    <w:pageBreakBefore w:val="0"/>
                    <w:widowControl w:val="0"/>
                    <w:kinsoku/>
                    <w:wordWrap/>
                    <w:overflowPunct/>
                    <w:topLinePunct w:val="0"/>
                    <w:autoSpaceDE/>
                    <w:autoSpaceDN/>
                    <w:bidi w:val="0"/>
                    <w:adjustRightInd/>
                    <w:spacing w:line="360" w:lineRule="exact"/>
                    <w:ind w:firstLine="0"/>
                    <w:textAlignment w:val="auto"/>
                  </w:pPr>
                  <w:r>
                    <w:t>1.</w:t>
                  </w:r>
                  <w:r>
                    <w:rPr>
                      <w:rFonts w:hint="eastAsia"/>
                    </w:rPr>
                    <w:t>支持检索结果列表的字段和顺序由用户灵活设置，并保存用户习惯。</w:t>
                  </w:r>
                </w:p>
                <w:p w14:paraId="6C85003B">
                  <w:pPr>
                    <w:pStyle w:val="131"/>
                    <w:pageBreakBefore w:val="0"/>
                    <w:widowControl w:val="0"/>
                    <w:kinsoku/>
                    <w:wordWrap/>
                    <w:overflowPunct/>
                    <w:topLinePunct w:val="0"/>
                    <w:autoSpaceDE/>
                    <w:autoSpaceDN/>
                    <w:bidi w:val="0"/>
                    <w:adjustRightInd/>
                    <w:spacing w:line="360" w:lineRule="exact"/>
                    <w:ind w:firstLine="0"/>
                    <w:textAlignment w:val="auto"/>
                  </w:pPr>
                  <w:r>
                    <w:t>2.</w:t>
                  </w:r>
                  <w:r>
                    <w:rPr>
                      <w:rFonts w:hint="eastAsia"/>
                    </w:rPr>
                    <w:t>病历追踪：提供补充其它临床或医技科室检查的内容及结果，以进行长期追踪对比；</w:t>
                  </w:r>
                </w:p>
                <w:p w14:paraId="73F90D63">
                  <w:pPr>
                    <w:pStyle w:val="131"/>
                    <w:pageBreakBefore w:val="0"/>
                    <w:widowControl w:val="0"/>
                    <w:kinsoku/>
                    <w:wordWrap/>
                    <w:overflowPunct/>
                    <w:topLinePunct w:val="0"/>
                    <w:autoSpaceDE/>
                    <w:autoSpaceDN/>
                    <w:bidi w:val="0"/>
                    <w:adjustRightInd/>
                    <w:spacing w:line="360" w:lineRule="exact"/>
                    <w:ind w:firstLine="0"/>
                    <w:textAlignment w:val="auto"/>
                  </w:pPr>
                  <w:r>
                    <w:t>3.</w:t>
                  </w:r>
                  <w:r>
                    <w:rPr>
                      <w:rFonts w:hint="eastAsia"/>
                    </w:rPr>
                    <w:t>病历检索：提供对系统已有病例的精确查找或模糊查找并支持导出为</w:t>
                  </w:r>
                  <w:r>
                    <w:t>EXCEL</w:t>
                  </w:r>
                  <w:r>
                    <w:rPr>
                      <w:rFonts w:hint="eastAsia"/>
                    </w:rPr>
                    <w:t>文件；</w:t>
                  </w:r>
                </w:p>
                <w:p w14:paraId="4B5E1AF6">
                  <w:pPr>
                    <w:pStyle w:val="8"/>
                    <w:pageBreakBefore w:val="0"/>
                    <w:widowControl w:val="0"/>
                    <w:kinsoku/>
                    <w:wordWrap/>
                    <w:overflowPunct/>
                    <w:topLinePunct w:val="0"/>
                    <w:autoSpaceDE/>
                    <w:autoSpaceDN/>
                    <w:bidi w:val="0"/>
                    <w:adjustRightInd/>
                    <w:spacing w:line="360" w:lineRule="exact"/>
                    <w:textAlignment w:val="auto"/>
                  </w:pPr>
                  <w:r>
                    <w:rPr>
                      <w:rFonts w:hint="eastAsia"/>
                    </w:rPr>
                    <w:t>医生叫号</w:t>
                  </w:r>
                </w:p>
                <w:p w14:paraId="1A32DB2F">
                  <w:pPr>
                    <w:pStyle w:val="131"/>
                    <w:pageBreakBefore w:val="0"/>
                    <w:widowControl w:val="0"/>
                    <w:kinsoku/>
                    <w:wordWrap/>
                    <w:overflowPunct/>
                    <w:topLinePunct w:val="0"/>
                    <w:autoSpaceDE/>
                    <w:autoSpaceDN/>
                    <w:bidi w:val="0"/>
                    <w:adjustRightInd/>
                    <w:spacing w:line="360" w:lineRule="exact"/>
                    <w:ind w:firstLine="0"/>
                    <w:textAlignment w:val="auto"/>
                  </w:pPr>
                  <w:r>
                    <w:t>1.</w:t>
                  </w:r>
                  <w:r>
                    <w:rPr>
                      <w:rFonts w:hint="eastAsia"/>
                    </w:rPr>
                    <w:t>支持设置不同的颜色来区别不同的候诊状态；</w:t>
                  </w:r>
                </w:p>
                <w:p w14:paraId="4AEBDE21">
                  <w:pPr>
                    <w:pStyle w:val="131"/>
                    <w:pageBreakBefore w:val="0"/>
                    <w:widowControl w:val="0"/>
                    <w:kinsoku/>
                    <w:wordWrap/>
                    <w:overflowPunct/>
                    <w:topLinePunct w:val="0"/>
                    <w:autoSpaceDE/>
                    <w:autoSpaceDN/>
                    <w:bidi w:val="0"/>
                    <w:adjustRightInd/>
                    <w:spacing w:line="360" w:lineRule="exact"/>
                    <w:ind w:firstLine="0"/>
                    <w:textAlignment w:val="auto"/>
                  </w:pPr>
                  <w:r>
                    <w:t>2.</w:t>
                  </w:r>
                  <w:r>
                    <w:rPr>
                      <w:rFonts w:hint="eastAsia"/>
                    </w:rPr>
                    <w:t>支持按规则顺序呼叫、指定呼叫、重复呼叫、出本诊室重新排队（误叫</w:t>
                  </w:r>
                  <w:r>
                    <w:t>/</w:t>
                  </w:r>
                  <w:r>
                    <w:rPr>
                      <w:rFonts w:hint="eastAsia"/>
                    </w:rPr>
                    <w:t>不满足检查条件）；</w:t>
                  </w:r>
                </w:p>
                <w:p w14:paraId="42E45605">
                  <w:pPr>
                    <w:pStyle w:val="131"/>
                    <w:pageBreakBefore w:val="0"/>
                    <w:widowControl w:val="0"/>
                    <w:kinsoku/>
                    <w:wordWrap/>
                    <w:overflowPunct/>
                    <w:topLinePunct w:val="0"/>
                    <w:autoSpaceDE/>
                    <w:autoSpaceDN/>
                    <w:bidi w:val="0"/>
                    <w:adjustRightInd/>
                    <w:spacing w:line="360" w:lineRule="exact"/>
                    <w:ind w:firstLine="0"/>
                    <w:textAlignment w:val="auto"/>
                  </w:pPr>
                  <w:r>
                    <w:t>3.</w:t>
                  </w:r>
                  <w:r>
                    <w:rPr>
                      <w:rFonts w:hint="eastAsia"/>
                    </w:rPr>
                    <w:t>支持候诊列表按队列显示已呼叫人数、排队人数、暂停人数、过号人数、总人数；</w:t>
                  </w:r>
                </w:p>
                <w:p w14:paraId="591ABD26">
                  <w:pPr>
                    <w:pStyle w:val="131"/>
                    <w:pageBreakBefore w:val="0"/>
                    <w:widowControl w:val="0"/>
                    <w:kinsoku/>
                    <w:wordWrap/>
                    <w:overflowPunct/>
                    <w:topLinePunct w:val="0"/>
                    <w:autoSpaceDE/>
                    <w:autoSpaceDN/>
                    <w:bidi w:val="0"/>
                    <w:adjustRightInd/>
                    <w:spacing w:line="360" w:lineRule="exact"/>
                    <w:ind w:firstLine="0"/>
                    <w:textAlignment w:val="auto"/>
                  </w:pPr>
                  <w:r>
                    <w:t>4.</w:t>
                  </w:r>
                  <w:r>
                    <w:rPr>
                      <w:rFonts w:hint="eastAsia"/>
                    </w:rPr>
                    <w:t>支持限制诊室医生同时呼叫多个病人；</w:t>
                  </w:r>
                </w:p>
                <w:p w14:paraId="5ACDB440">
                  <w:pPr>
                    <w:pStyle w:val="131"/>
                    <w:pageBreakBefore w:val="0"/>
                    <w:widowControl w:val="0"/>
                    <w:kinsoku/>
                    <w:wordWrap/>
                    <w:overflowPunct/>
                    <w:topLinePunct w:val="0"/>
                    <w:autoSpaceDE/>
                    <w:autoSpaceDN/>
                    <w:bidi w:val="0"/>
                    <w:adjustRightInd/>
                    <w:spacing w:line="360" w:lineRule="exact"/>
                    <w:ind w:firstLine="0"/>
                    <w:textAlignment w:val="auto"/>
                  </w:pPr>
                  <w:r>
                    <w:t>5.</w:t>
                  </w:r>
                  <w:r>
                    <w:rPr>
                      <w:rFonts w:hint="eastAsia"/>
                    </w:rPr>
                    <w:t>呼叫下一个：从叫号列表对应队列待叫号列表中，叫下一位等待的病人进入诊室就诊</w:t>
                  </w:r>
                </w:p>
                <w:p w14:paraId="1976839C">
                  <w:pPr>
                    <w:pStyle w:val="8"/>
                    <w:pageBreakBefore w:val="0"/>
                    <w:widowControl w:val="0"/>
                    <w:kinsoku/>
                    <w:wordWrap/>
                    <w:overflowPunct/>
                    <w:topLinePunct w:val="0"/>
                    <w:autoSpaceDE/>
                    <w:autoSpaceDN/>
                    <w:bidi w:val="0"/>
                    <w:adjustRightInd/>
                    <w:spacing w:line="360" w:lineRule="exact"/>
                    <w:textAlignment w:val="auto"/>
                  </w:pPr>
                  <w:r>
                    <w:rPr>
                      <w:rFonts w:hint="eastAsia"/>
                    </w:rPr>
                    <w:t>图像采集与处理</w:t>
                  </w:r>
                </w:p>
                <w:p w14:paraId="24BE7900">
                  <w:pPr>
                    <w:pStyle w:val="131"/>
                    <w:pageBreakBefore w:val="0"/>
                    <w:widowControl w:val="0"/>
                    <w:kinsoku/>
                    <w:wordWrap/>
                    <w:overflowPunct/>
                    <w:topLinePunct w:val="0"/>
                    <w:autoSpaceDE/>
                    <w:autoSpaceDN/>
                    <w:bidi w:val="0"/>
                    <w:adjustRightInd/>
                    <w:spacing w:line="360" w:lineRule="exact"/>
                    <w:ind w:firstLine="0"/>
                    <w:textAlignment w:val="auto"/>
                  </w:pPr>
                  <w:r>
                    <w:t>1.</w:t>
                  </w:r>
                  <w:r>
                    <w:rPr>
                      <w:rFonts w:hint="eastAsia"/>
                    </w:rPr>
                    <w:t>支持各种内镜视频接口，包括</w:t>
                  </w:r>
                  <w:r>
                    <w:t>VGA</w:t>
                  </w:r>
                  <w:r>
                    <w:rPr>
                      <w:rFonts w:hint="eastAsia"/>
                    </w:rPr>
                    <w:t>、</w:t>
                  </w:r>
                  <w:r>
                    <w:t>DVI</w:t>
                  </w:r>
                  <w:r>
                    <w:rPr>
                      <w:rFonts w:hint="eastAsia"/>
                    </w:rPr>
                    <w:t>、</w:t>
                  </w:r>
                  <w:r>
                    <w:t>SDI</w:t>
                  </w:r>
                  <w:r>
                    <w:rPr>
                      <w:rFonts w:hint="eastAsia"/>
                    </w:rPr>
                    <w:t>、</w:t>
                  </w:r>
                  <w:r>
                    <w:t>RGB</w:t>
                  </w:r>
                  <w:r>
                    <w:rPr>
                      <w:rFonts w:hint="eastAsia"/>
                    </w:rPr>
                    <w:t>、</w:t>
                  </w:r>
                  <w:r>
                    <w:t>S-VIDEO</w:t>
                  </w:r>
                  <w:r>
                    <w:rPr>
                      <w:rFonts w:hint="eastAsia"/>
                    </w:rPr>
                    <w:t>、复合视频等；支持动静态采集；</w:t>
                  </w:r>
                </w:p>
                <w:p w14:paraId="1CF419A6">
                  <w:pPr>
                    <w:pStyle w:val="131"/>
                    <w:pageBreakBefore w:val="0"/>
                    <w:widowControl w:val="0"/>
                    <w:kinsoku/>
                    <w:wordWrap/>
                    <w:overflowPunct/>
                    <w:topLinePunct w:val="0"/>
                    <w:autoSpaceDE/>
                    <w:autoSpaceDN/>
                    <w:bidi w:val="0"/>
                    <w:adjustRightInd/>
                    <w:spacing w:line="360" w:lineRule="exact"/>
                    <w:ind w:firstLine="0"/>
                    <w:textAlignment w:val="auto"/>
                    <w:rPr>
                      <w:rFonts w:hint="default" w:eastAsia="宋体"/>
                      <w:lang w:val="en-US" w:eastAsia="zh-CN"/>
                    </w:rPr>
                  </w:pPr>
                  <w:r>
                    <w:t>2.</w:t>
                  </w:r>
                  <w:r>
                    <w:rPr>
                      <w:rFonts w:hint="eastAsia"/>
                    </w:rPr>
                    <w:t>支持接收内窥镜逆行胰胆管造影</w:t>
                  </w:r>
                  <w:r>
                    <w:t>(ERCP)X</w:t>
                  </w:r>
                  <w:r>
                    <w:rPr>
                      <w:rFonts w:hint="eastAsia"/>
                    </w:rPr>
                    <w:t>光设备的</w:t>
                  </w:r>
                  <w:r>
                    <w:t>DICOM</w:t>
                  </w:r>
                  <w:r>
                    <w:rPr>
                      <w:rFonts w:hint="eastAsia"/>
                    </w:rPr>
                    <w:t>影像</w:t>
                  </w:r>
                  <w:r>
                    <w:rPr>
                      <w:rFonts w:hint="eastAsia"/>
                      <w:lang w:eastAsia="zh-CN"/>
                    </w:rPr>
                    <w:t>；</w:t>
                  </w:r>
                </w:p>
                <w:p w14:paraId="16F5E675">
                  <w:pPr>
                    <w:pStyle w:val="131"/>
                    <w:pageBreakBefore w:val="0"/>
                    <w:widowControl w:val="0"/>
                    <w:kinsoku/>
                    <w:wordWrap/>
                    <w:overflowPunct/>
                    <w:topLinePunct w:val="0"/>
                    <w:autoSpaceDE/>
                    <w:autoSpaceDN/>
                    <w:bidi w:val="0"/>
                    <w:adjustRightInd/>
                    <w:spacing w:line="360" w:lineRule="exact"/>
                    <w:ind w:firstLine="0"/>
                    <w:textAlignment w:val="auto"/>
                  </w:pPr>
                  <w:r>
                    <w:t>3.</w:t>
                  </w:r>
                  <w:r>
                    <w:rPr>
                      <w:rFonts w:hint="eastAsia"/>
                    </w:rPr>
                    <w:t>提供脚踏开关采集图像操作；支持键盘空格按键快速采集图像操作；支持将图像采集到缓冲区；</w:t>
                  </w:r>
                </w:p>
                <w:p w14:paraId="67E15273">
                  <w:pPr>
                    <w:pStyle w:val="131"/>
                    <w:pageBreakBefore w:val="0"/>
                    <w:widowControl w:val="0"/>
                    <w:kinsoku/>
                    <w:wordWrap/>
                    <w:overflowPunct/>
                    <w:topLinePunct w:val="0"/>
                    <w:autoSpaceDE/>
                    <w:autoSpaceDN/>
                    <w:bidi w:val="0"/>
                    <w:adjustRightInd/>
                    <w:spacing w:line="360" w:lineRule="exact"/>
                    <w:ind w:firstLine="0"/>
                    <w:textAlignment w:val="auto"/>
                  </w:pPr>
                  <w:r>
                    <w:t>4.</w:t>
                  </w:r>
                  <w:r>
                    <w:rPr>
                      <w:rFonts w:hint="eastAsia"/>
                    </w:rPr>
                    <w:t>可对采集卡做各种裁剪模式设置，设置视频参数，设置边框；支持图像的自动裁剪</w:t>
                  </w:r>
                  <w:r>
                    <w:t>;</w:t>
                  </w:r>
                </w:p>
                <w:p w14:paraId="0BD1EEF7">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支持动静态采集，采集图像数量不受限制；</w:t>
                  </w:r>
                </w:p>
                <w:p w14:paraId="6DFDA02D">
                  <w:pPr>
                    <w:pStyle w:val="131"/>
                    <w:pageBreakBefore w:val="0"/>
                    <w:widowControl w:val="0"/>
                    <w:kinsoku/>
                    <w:wordWrap/>
                    <w:overflowPunct/>
                    <w:topLinePunct w:val="0"/>
                    <w:autoSpaceDE/>
                    <w:autoSpaceDN/>
                    <w:bidi w:val="0"/>
                    <w:adjustRightInd/>
                    <w:spacing w:line="360" w:lineRule="exact"/>
                    <w:ind w:firstLine="0"/>
                    <w:textAlignment w:val="auto"/>
                    <w:rPr>
                      <w:rFonts w:hint="eastAsia"/>
                    </w:rPr>
                  </w:pPr>
                  <w:r>
                    <w:t>5.</w:t>
                  </w:r>
                  <w:r>
                    <w:rPr>
                      <w:rFonts w:hint="eastAsia"/>
                    </w:rPr>
                    <w:t>支持查看、导出选中影像、导出全部影像；</w:t>
                  </w:r>
                </w:p>
                <w:p w14:paraId="72BA842D">
                  <w:pPr>
                    <w:pStyle w:val="131"/>
                    <w:pageBreakBefore w:val="0"/>
                    <w:widowControl w:val="0"/>
                    <w:kinsoku/>
                    <w:wordWrap/>
                    <w:overflowPunct/>
                    <w:topLinePunct w:val="0"/>
                    <w:autoSpaceDE/>
                    <w:autoSpaceDN/>
                    <w:bidi w:val="0"/>
                    <w:adjustRightInd/>
                    <w:spacing w:line="360" w:lineRule="exact"/>
                    <w:ind w:firstLine="0"/>
                    <w:textAlignment w:val="auto"/>
                  </w:pPr>
                  <w:r>
                    <w:t>6.</w:t>
                  </w:r>
                  <w:r>
                    <w:rPr>
                      <w:rFonts w:hint="eastAsia"/>
                    </w:rPr>
                    <w:t>支持将图像导出成</w:t>
                  </w:r>
                  <w:r>
                    <w:t>DCM</w:t>
                  </w:r>
                  <w:r>
                    <w:rPr>
                      <w:rFonts w:hint="eastAsia"/>
                    </w:rPr>
                    <w:t>格式及</w:t>
                  </w:r>
                  <w:r>
                    <w:t>JPG</w:t>
                  </w:r>
                  <w:r>
                    <w:rPr>
                      <w:rFonts w:hint="eastAsia"/>
                    </w:rPr>
                    <w:t>格式。</w:t>
                  </w:r>
                </w:p>
                <w:p w14:paraId="42176CC9">
                  <w:pPr>
                    <w:pStyle w:val="131"/>
                    <w:pageBreakBefore w:val="0"/>
                    <w:widowControl w:val="0"/>
                    <w:kinsoku/>
                    <w:wordWrap/>
                    <w:overflowPunct/>
                    <w:topLinePunct w:val="0"/>
                    <w:autoSpaceDE/>
                    <w:autoSpaceDN/>
                    <w:bidi w:val="0"/>
                    <w:adjustRightInd/>
                    <w:spacing w:line="360" w:lineRule="exact"/>
                    <w:ind w:firstLine="0"/>
                    <w:textAlignment w:val="auto"/>
                  </w:pPr>
                  <w:r>
                    <w:t>7.</w:t>
                  </w:r>
                  <w:r>
                    <w:rPr>
                      <w:rFonts w:hint="eastAsia"/>
                    </w:rPr>
                    <w:t>支持对动态文件的播放及进行时间轴裁剪，并从动态中采集静态图像，可对影像视频进行后处理，支持快速剪辑、合并、多个视频合并，不借助第三方软件；</w:t>
                  </w:r>
                </w:p>
                <w:p w14:paraId="525D6CCA">
                  <w:pPr>
                    <w:pStyle w:val="131"/>
                    <w:pageBreakBefore w:val="0"/>
                    <w:widowControl w:val="0"/>
                    <w:kinsoku/>
                    <w:wordWrap/>
                    <w:overflowPunct/>
                    <w:topLinePunct w:val="0"/>
                    <w:autoSpaceDE/>
                    <w:autoSpaceDN/>
                    <w:bidi w:val="0"/>
                    <w:adjustRightInd/>
                    <w:spacing w:line="360" w:lineRule="exact"/>
                    <w:ind w:firstLine="0"/>
                    <w:textAlignment w:val="auto"/>
                  </w:pPr>
                  <w:r>
                    <w:t>8.</w:t>
                  </w:r>
                  <w:r>
                    <w:rPr>
                      <w:rFonts w:hint="eastAsia"/>
                    </w:rPr>
                    <w:t>提供多种图像操作，如放大、缩小、标注、翻转、旋转、复位、角度测试、矩形测量、椭圆测量、多边形测量等。</w:t>
                  </w:r>
                </w:p>
                <w:p w14:paraId="514BF98D">
                  <w:pPr>
                    <w:pStyle w:val="8"/>
                    <w:pageBreakBefore w:val="0"/>
                    <w:widowControl w:val="0"/>
                    <w:kinsoku/>
                    <w:wordWrap/>
                    <w:overflowPunct/>
                    <w:topLinePunct w:val="0"/>
                    <w:autoSpaceDE/>
                    <w:autoSpaceDN/>
                    <w:bidi w:val="0"/>
                    <w:adjustRightInd/>
                    <w:spacing w:line="360" w:lineRule="exact"/>
                    <w:textAlignment w:val="auto"/>
                  </w:pPr>
                  <w:r>
                    <w:rPr>
                      <w:rFonts w:hint="eastAsia"/>
                    </w:rPr>
                    <w:t>报告编辑</w:t>
                  </w:r>
                </w:p>
                <w:p w14:paraId="2BDFC9B5">
                  <w:pPr>
                    <w:pStyle w:val="131"/>
                    <w:pageBreakBefore w:val="0"/>
                    <w:widowControl w:val="0"/>
                    <w:kinsoku/>
                    <w:wordWrap/>
                    <w:overflowPunct/>
                    <w:topLinePunct w:val="0"/>
                    <w:autoSpaceDE/>
                    <w:autoSpaceDN/>
                    <w:bidi w:val="0"/>
                    <w:adjustRightInd/>
                    <w:spacing w:line="360" w:lineRule="exact"/>
                    <w:ind w:firstLine="0"/>
                    <w:textAlignment w:val="auto"/>
                  </w:pPr>
                  <w:r>
                    <w:t>1.</w:t>
                  </w:r>
                  <w:r>
                    <w:rPr>
                      <w:rFonts w:hint="eastAsia"/>
                    </w:rPr>
                    <w:t>支持用户根据用户组或用户组赋于的权限来加载和使用系统功能。</w:t>
                  </w:r>
                </w:p>
                <w:p w14:paraId="682F96E7">
                  <w:pPr>
                    <w:pStyle w:val="131"/>
                    <w:pageBreakBefore w:val="0"/>
                    <w:widowControl w:val="0"/>
                    <w:kinsoku/>
                    <w:wordWrap/>
                    <w:overflowPunct/>
                    <w:topLinePunct w:val="0"/>
                    <w:autoSpaceDE/>
                    <w:autoSpaceDN/>
                    <w:bidi w:val="0"/>
                    <w:adjustRightInd/>
                    <w:spacing w:line="360" w:lineRule="exact"/>
                    <w:ind w:firstLine="0"/>
                    <w:textAlignment w:val="auto"/>
                  </w:pPr>
                  <w:r>
                    <w:t>2.</w:t>
                  </w:r>
                  <w:r>
                    <w:rPr>
                      <w:rFonts w:hint="eastAsia"/>
                    </w:rPr>
                    <w:t>报告模板知识库，根据病人的检查项目显示已定义的典型模板知识库，使用常用术语分类描述方式、典型病历术语方式等方式快速生成图文一体报告单，支持结构化模板；</w:t>
                  </w:r>
                </w:p>
                <w:p w14:paraId="2087A1F7">
                  <w:pPr>
                    <w:pStyle w:val="131"/>
                    <w:pageBreakBefore w:val="0"/>
                    <w:widowControl w:val="0"/>
                    <w:kinsoku/>
                    <w:wordWrap/>
                    <w:overflowPunct/>
                    <w:topLinePunct w:val="0"/>
                    <w:autoSpaceDE/>
                    <w:autoSpaceDN/>
                    <w:bidi w:val="0"/>
                    <w:adjustRightInd/>
                    <w:spacing w:line="360" w:lineRule="exact"/>
                    <w:ind w:firstLine="0"/>
                    <w:textAlignment w:val="auto"/>
                  </w:pPr>
                  <w:r>
                    <w:t>3.</w:t>
                  </w:r>
                  <w:r>
                    <w:rPr>
                      <w:rFonts w:hint="eastAsia"/>
                    </w:rPr>
                    <w:t>支持将检查设置为</w:t>
                  </w:r>
                  <w:r>
                    <w:t>“</w:t>
                  </w:r>
                  <w:r>
                    <w:rPr>
                      <w:rFonts w:hint="eastAsia"/>
                    </w:rPr>
                    <w:t>典型病历</w:t>
                  </w:r>
                  <w:r>
                    <w:t>”</w:t>
                  </w:r>
                  <w:r>
                    <w:rPr>
                      <w:rFonts w:hint="eastAsia"/>
                    </w:rPr>
                    <w:t>，分为科研、教学、检查三种，可供科研或教学使用；医生可以建立个人典型病例收藏夹；</w:t>
                  </w:r>
                </w:p>
                <w:p w14:paraId="7B785698">
                  <w:pPr>
                    <w:pStyle w:val="131"/>
                    <w:pageBreakBefore w:val="0"/>
                    <w:widowControl w:val="0"/>
                    <w:kinsoku/>
                    <w:wordWrap/>
                    <w:overflowPunct/>
                    <w:topLinePunct w:val="0"/>
                    <w:autoSpaceDE/>
                    <w:autoSpaceDN/>
                    <w:bidi w:val="0"/>
                    <w:adjustRightInd/>
                    <w:spacing w:line="360" w:lineRule="exact"/>
                    <w:ind w:firstLine="0"/>
                    <w:textAlignment w:val="auto"/>
                  </w:pPr>
                  <w:r>
                    <w:t>4.</w:t>
                  </w:r>
                  <w:r>
                    <w:rPr>
                      <w:rFonts w:hint="eastAsia"/>
                    </w:rPr>
                    <w:t>报告界面可设置危急值，标识是危急病历；</w:t>
                  </w:r>
                </w:p>
                <w:p w14:paraId="17D61490">
                  <w:pPr>
                    <w:pStyle w:val="131"/>
                    <w:pageBreakBefore w:val="0"/>
                    <w:widowControl w:val="0"/>
                    <w:kinsoku/>
                    <w:wordWrap/>
                    <w:overflowPunct/>
                    <w:topLinePunct w:val="0"/>
                    <w:autoSpaceDE/>
                    <w:autoSpaceDN/>
                    <w:bidi w:val="0"/>
                    <w:adjustRightInd/>
                    <w:spacing w:line="360" w:lineRule="exact"/>
                    <w:ind w:firstLine="0"/>
                    <w:textAlignment w:val="auto"/>
                  </w:pPr>
                  <w:r>
                    <w:t>5.</w:t>
                  </w:r>
                  <w:r>
                    <w:rPr>
                      <w:rFonts w:hint="eastAsia"/>
                    </w:rPr>
                    <w:t>具有开放的体位图库选择功能。可对各个部位的体位图进行选择，连同报告一起打印出；</w:t>
                  </w:r>
                </w:p>
                <w:p w14:paraId="674A4953">
                  <w:pPr>
                    <w:pStyle w:val="131"/>
                    <w:pageBreakBefore w:val="0"/>
                    <w:widowControl w:val="0"/>
                    <w:kinsoku/>
                    <w:wordWrap/>
                    <w:overflowPunct/>
                    <w:topLinePunct w:val="0"/>
                    <w:autoSpaceDE/>
                    <w:autoSpaceDN/>
                    <w:bidi w:val="0"/>
                    <w:adjustRightInd/>
                    <w:spacing w:line="360" w:lineRule="exact"/>
                    <w:ind w:firstLine="0"/>
                    <w:textAlignment w:val="auto"/>
                  </w:pPr>
                  <w:r>
                    <w:t>6.</w:t>
                  </w:r>
                  <w:r>
                    <w:rPr>
                      <w:rFonts w:hint="eastAsia"/>
                    </w:rPr>
                    <w:t>支持当前病人历史检查的调阅</w:t>
                  </w:r>
                  <w:r>
                    <w:t>,</w:t>
                  </w:r>
                  <w:r>
                    <w:rPr>
                      <w:rFonts w:hint="eastAsia"/>
                    </w:rPr>
                    <w:t>并能进行当前检查和历史检查的图像对比分析；</w:t>
                  </w:r>
                </w:p>
                <w:p w14:paraId="5C32C9BF">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报告留痕功能：在报告打印之后，任何对报告的修改都会保存修改记录；可查看修改历史。</w:t>
                  </w:r>
                </w:p>
                <w:p w14:paraId="1B81736F">
                  <w:pPr>
                    <w:pStyle w:val="131"/>
                    <w:pageBreakBefore w:val="0"/>
                    <w:widowControl w:val="0"/>
                    <w:kinsoku/>
                    <w:wordWrap/>
                    <w:overflowPunct/>
                    <w:topLinePunct w:val="0"/>
                    <w:autoSpaceDE/>
                    <w:autoSpaceDN/>
                    <w:bidi w:val="0"/>
                    <w:adjustRightInd/>
                    <w:spacing w:line="360" w:lineRule="exact"/>
                    <w:ind w:firstLine="0"/>
                    <w:textAlignment w:val="auto"/>
                  </w:pPr>
                  <w:r>
                    <w:t>7.</w:t>
                  </w:r>
                  <w:r>
                    <w:rPr>
                      <w:rFonts w:hint="eastAsia"/>
                    </w:rPr>
                    <w:t>手术登记：提供对内镜科室手术记录追踪；</w:t>
                  </w:r>
                </w:p>
                <w:p w14:paraId="6B4D590C">
                  <w:pPr>
                    <w:pStyle w:val="131"/>
                    <w:pageBreakBefore w:val="0"/>
                    <w:widowControl w:val="0"/>
                    <w:kinsoku/>
                    <w:wordWrap/>
                    <w:overflowPunct/>
                    <w:topLinePunct w:val="0"/>
                    <w:autoSpaceDE/>
                    <w:autoSpaceDN/>
                    <w:bidi w:val="0"/>
                    <w:adjustRightInd/>
                    <w:spacing w:line="360" w:lineRule="exact"/>
                    <w:ind w:firstLine="0"/>
                    <w:textAlignment w:val="auto"/>
                  </w:pPr>
                  <w:r>
                    <w:t>8.</w:t>
                  </w:r>
                  <w:r>
                    <w:rPr>
                      <w:rFonts w:hint="eastAsia"/>
                    </w:rPr>
                    <w:t>危机值闭环管理；支持定义危急值关键字，根据关键字提示危急检查</w:t>
                  </w:r>
                </w:p>
                <w:p w14:paraId="4B743D0F">
                  <w:pPr>
                    <w:pStyle w:val="131"/>
                    <w:pageBreakBefore w:val="0"/>
                    <w:widowControl w:val="0"/>
                    <w:kinsoku/>
                    <w:wordWrap/>
                    <w:overflowPunct/>
                    <w:topLinePunct w:val="0"/>
                    <w:autoSpaceDE/>
                    <w:autoSpaceDN/>
                    <w:bidi w:val="0"/>
                    <w:adjustRightInd/>
                    <w:spacing w:line="360" w:lineRule="exact"/>
                    <w:ind w:firstLine="0"/>
                    <w:textAlignment w:val="auto"/>
                  </w:pPr>
                  <w:r>
                    <w:t>9.</w:t>
                  </w:r>
                  <w:r>
                    <w:rPr>
                      <w:rFonts w:hint="eastAsia"/>
                    </w:rPr>
                    <w:t>支持设置检查阴阳性，可供后期统计阳性率</w:t>
                  </w:r>
                </w:p>
                <w:p w14:paraId="329782E5">
                  <w:pPr>
                    <w:pStyle w:val="131"/>
                    <w:pageBreakBefore w:val="0"/>
                    <w:widowControl w:val="0"/>
                    <w:kinsoku/>
                    <w:wordWrap/>
                    <w:overflowPunct/>
                    <w:topLinePunct w:val="0"/>
                    <w:autoSpaceDE/>
                    <w:autoSpaceDN/>
                    <w:bidi w:val="0"/>
                    <w:adjustRightInd/>
                    <w:spacing w:line="360" w:lineRule="exact"/>
                    <w:ind w:firstLine="0"/>
                    <w:textAlignment w:val="auto"/>
                  </w:pPr>
                  <w:r>
                    <w:t>10.</w:t>
                  </w:r>
                  <w:r>
                    <w:rPr>
                      <w:rFonts w:hint="eastAsia"/>
                    </w:rPr>
                    <w:t>具有自动匹配患者历史检查功能，并提示检查记录数量</w:t>
                  </w:r>
                </w:p>
                <w:p w14:paraId="3A5B95E0">
                  <w:pPr>
                    <w:pStyle w:val="131"/>
                    <w:pageBreakBefore w:val="0"/>
                    <w:widowControl w:val="0"/>
                    <w:kinsoku/>
                    <w:wordWrap/>
                    <w:overflowPunct/>
                    <w:topLinePunct w:val="0"/>
                    <w:autoSpaceDE/>
                    <w:autoSpaceDN/>
                    <w:bidi w:val="0"/>
                    <w:adjustRightInd/>
                    <w:spacing w:line="360" w:lineRule="exact"/>
                    <w:ind w:firstLine="0"/>
                    <w:textAlignment w:val="auto"/>
                  </w:pPr>
                  <w:r>
                    <w:t>11.</w:t>
                  </w:r>
                  <w:r>
                    <w:rPr>
                      <w:rFonts w:hint="eastAsia"/>
                    </w:rPr>
                    <w:t>支持当前检查图像与当前病人历史图像的对比显示</w:t>
                  </w:r>
                </w:p>
                <w:p w14:paraId="22B54096">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支持报告多医生签名审核，并一并在报告上打印出来</w:t>
                  </w:r>
                </w:p>
                <w:p w14:paraId="427E079F">
                  <w:pPr>
                    <w:pStyle w:val="131"/>
                    <w:pageBreakBefore w:val="0"/>
                    <w:widowControl w:val="0"/>
                    <w:kinsoku/>
                    <w:wordWrap/>
                    <w:overflowPunct/>
                    <w:topLinePunct w:val="0"/>
                    <w:autoSpaceDE/>
                    <w:autoSpaceDN/>
                    <w:bidi w:val="0"/>
                    <w:adjustRightInd/>
                    <w:spacing w:line="360" w:lineRule="exact"/>
                    <w:ind w:firstLine="0"/>
                    <w:textAlignment w:val="auto"/>
                  </w:pPr>
                  <w:r>
                    <w:t>12.</w:t>
                  </w:r>
                  <w:r>
                    <w:rPr>
                      <w:rFonts w:hint="eastAsia"/>
                    </w:rPr>
                    <w:t>支持手术记录的编辑保存，记录手术名称、麻醉情况、用药信息、麻醉医生、手术协助护士，手术描述等信息并可打印出来</w:t>
                  </w:r>
                </w:p>
                <w:p w14:paraId="0C2FB5D8">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支持自动记录检查镜型</w:t>
                  </w:r>
                  <w:r>
                    <w:t xml:space="preserve">   </w:t>
                  </w:r>
                </w:p>
                <w:p w14:paraId="5AEE0CA6">
                  <w:pPr>
                    <w:pStyle w:val="131"/>
                    <w:pageBreakBefore w:val="0"/>
                    <w:widowControl w:val="0"/>
                    <w:kinsoku/>
                    <w:wordWrap/>
                    <w:overflowPunct/>
                    <w:topLinePunct w:val="0"/>
                    <w:autoSpaceDE/>
                    <w:autoSpaceDN/>
                    <w:bidi w:val="0"/>
                    <w:adjustRightInd/>
                    <w:spacing w:line="360" w:lineRule="exact"/>
                    <w:ind w:firstLine="0"/>
                    <w:textAlignment w:val="auto"/>
                  </w:pPr>
                  <w:r>
                    <w:t>13.</w:t>
                  </w:r>
                  <w:r>
                    <w:rPr>
                      <w:rFonts w:hint="eastAsia"/>
                    </w:rPr>
                    <w:t>支持对肠镜清洁质控的评分。</w:t>
                  </w:r>
                </w:p>
                <w:p w14:paraId="64F2DA9B">
                  <w:pPr>
                    <w:pStyle w:val="131"/>
                    <w:pageBreakBefore w:val="0"/>
                    <w:widowControl w:val="0"/>
                    <w:kinsoku/>
                    <w:wordWrap/>
                    <w:overflowPunct/>
                    <w:topLinePunct w:val="0"/>
                    <w:autoSpaceDE/>
                    <w:autoSpaceDN/>
                    <w:bidi w:val="0"/>
                    <w:adjustRightInd/>
                    <w:spacing w:line="360" w:lineRule="exact"/>
                    <w:ind w:firstLine="0"/>
                    <w:textAlignment w:val="auto"/>
                  </w:pPr>
                  <w:r>
                    <w:t>14.</w:t>
                  </w:r>
                  <w:r>
                    <w:rPr>
                      <w:rFonts w:hint="eastAsia"/>
                    </w:rPr>
                    <w:t>支持检查状态回传，检查报告回传给平台或</w:t>
                  </w:r>
                  <w:r>
                    <w:t>HIS</w:t>
                  </w:r>
                  <w:r>
                    <w:rPr>
                      <w:rFonts w:hint="eastAsia"/>
                    </w:rPr>
                    <w:t>系统</w:t>
                  </w:r>
                </w:p>
                <w:p w14:paraId="25FF03E9">
                  <w:pPr>
                    <w:pStyle w:val="8"/>
                    <w:pageBreakBefore w:val="0"/>
                    <w:widowControl w:val="0"/>
                    <w:kinsoku/>
                    <w:wordWrap/>
                    <w:overflowPunct/>
                    <w:topLinePunct w:val="0"/>
                    <w:autoSpaceDE/>
                    <w:autoSpaceDN/>
                    <w:bidi w:val="0"/>
                    <w:adjustRightInd/>
                    <w:spacing w:line="360" w:lineRule="exact"/>
                    <w:textAlignment w:val="auto"/>
                  </w:pPr>
                  <w:r>
                    <w:rPr>
                      <w:rFonts w:hint="eastAsia"/>
                    </w:rPr>
                    <w:t>病理送检及结果管理</w:t>
                  </w:r>
                </w:p>
                <w:p w14:paraId="6CA207B5">
                  <w:pPr>
                    <w:pStyle w:val="131"/>
                    <w:pageBreakBefore w:val="0"/>
                    <w:widowControl w:val="0"/>
                    <w:kinsoku/>
                    <w:wordWrap/>
                    <w:overflowPunct/>
                    <w:topLinePunct w:val="0"/>
                    <w:autoSpaceDE/>
                    <w:autoSpaceDN/>
                    <w:bidi w:val="0"/>
                    <w:adjustRightInd/>
                    <w:spacing w:line="360" w:lineRule="exact"/>
                    <w:ind w:firstLine="0"/>
                    <w:textAlignment w:val="auto"/>
                  </w:pPr>
                  <w:r>
                    <w:t>1.</w:t>
                  </w:r>
                  <w:r>
                    <w:rPr>
                      <w:rFonts w:hint="eastAsia"/>
                    </w:rPr>
                    <w:t>支持按活检部位瓶数打印病理活检条码</w:t>
                  </w:r>
                </w:p>
                <w:p w14:paraId="636F5E8B">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支持活检信息的选择及保存功能</w:t>
                  </w:r>
                </w:p>
                <w:p w14:paraId="3C5DB921">
                  <w:pPr>
                    <w:pStyle w:val="131"/>
                    <w:pageBreakBefore w:val="0"/>
                    <w:widowControl w:val="0"/>
                    <w:kinsoku/>
                    <w:wordWrap/>
                    <w:overflowPunct/>
                    <w:topLinePunct w:val="0"/>
                    <w:autoSpaceDE/>
                    <w:autoSpaceDN/>
                    <w:bidi w:val="0"/>
                    <w:adjustRightInd/>
                    <w:spacing w:line="360" w:lineRule="exact"/>
                    <w:ind w:firstLine="0"/>
                    <w:textAlignment w:val="auto"/>
                  </w:pPr>
                  <w:r>
                    <w:t>2.</w:t>
                  </w:r>
                  <w:r>
                    <w:rPr>
                      <w:rFonts w:hint="eastAsia"/>
                    </w:rPr>
                    <w:t>设置病理申请单和手术记录单的模板</w:t>
                  </w:r>
                </w:p>
                <w:p w14:paraId="771D1533">
                  <w:pPr>
                    <w:pStyle w:val="131"/>
                    <w:pageBreakBefore w:val="0"/>
                    <w:widowControl w:val="0"/>
                    <w:kinsoku/>
                    <w:wordWrap/>
                    <w:overflowPunct/>
                    <w:topLinePunct w:val="0"/>
                    <w:autoSpaceDE/>
                    <w:autoSpaceDN/>
                    <w:bidi w:val="0"/>
                    <w:adjustRightInd/>
                    <w:spacing w:line="360" w:lineRule="exact"/>
                    <w:ind w:firstLine="0"/>
                    <w:textAlignment w:val="auto"/>
                  </w:pPr>
                  <w:r>
                    <w:t>3.</w:t>
                  </w:r>
                  <w:r>
                    <w:rPr>
                      <w:rFonts w:hint="eastAsia"/>
                    </w:rPr>
                    <w:t>可在病人病历追踪模块输入病理结果。</w:t>
                  </w:r>
                </w:p>
                <w:p w14:paraId="698EB23D">
                  <w:pPr>
                    <w:pStyle w:val="131"/>
                    <w:pageBreakBefore w:val="0"/>
                    <w:widowControl w:val="0"/>
                    <w:kinsoku/>
                    <w:wordWrap/>
                    <w:overflowPunct/>
                    <w:topLinePunct w:val="0"/>
                    <w:autoSpaceDE/>
                    <w:autoSpaceDN/>
                    <w:bidi w:val="0"/>
                    <w:adjustRightInd/>
                    <w:spacing w:line="360" w:lineRule="exact"/>
                    <w:ind w:firstLine="0"/>
                    <w:textAlignment w:val="auto"/>
                  </w:pPr>
                  <w:r>
                    <w:t>4.</w:t>
                  </w:r>
                  <w:r>
                    <w:rPr>
                      <w:rFonts w:hint="eastAsia"/>
                    </w:rPr>
                    <w:t>自动提取病人的检查及诊断信息到病理申请单；</w:t>
                  </w:r>
                </w:p>
                <w:p w14:paraId="19F548EA">
                  <w:pPr>
                    <w:pStyle w:val="131"/>
                    <w:pageBreakBefore w:val="0"/>
                    <w:widowControl w:val="0"/>
                    <w:kinsoku/>
                    <w:wordWrap/>
                    <w:overflowPunct/>
                    <w:topLinePunct w:val="0"/>
                    <w:autoSpaceDE/>
                    <w:autoSpaceDN/>
                    <w:bidi w:val="0"/>
                    <w:adjustRightInd/>
                    <w:spacing w:line="360" w:lineRule="exact"/>
                    <w:ind w:firstLine="0"/>
                    <w:textAlignment w:val="auto"/>
                  </w:pPr>
                  <w:r>
                    <w:t>5.</w:t>
                  </w:r>
                  <w:r>
                    <w:rPr>
                      <w:rFonts w:hint="eastAsia"/>
                    </w:rPr>
                    <w:t>病理申请单打印；</w:t>
                  </w:r>
                </w:p>
                <w:p w14:paraId="0AD83F44">
                  <w:pPr>
                    <w:pStyle w:val="131"/>
                    <w:pageBreakBefore w:val="0"/>
                    <w:widowControl w:val="0"/>
                    <w:kinsoku/>
                    <w:wordWrap/>
                    <w:overflowPunct/>
                    <w:topLinePunct w:val="0"/>
                    <w:autoSpaceDE/>
                    <w:autoSpaceDN/>
                    <w:bidi w:val="0"/>
                    <w:adjustRightInd/>
                    <w:spacing w:line="360" w:lineRule="exact"/>
                    <w:ind w:firstLine="0"/>
                    <w:textAlignment w:val="auto"/>
                  </w:pPr>
                  <w:r>
                    <w:t>6.</w:t>
                  </w:r>
                  <w:r>
                    <w:rPr>
                      <w:rFonts w:hint="eastAsia"/>
                    </w:rPr>
                    <w:t>能检索所有病历的病理登记状态，包括已登记、未登记；</w:t>
                  </w:r>
                </w:p>
                <w:p w14:paraId="68E0C685">
                  <w:pPr>
                    <w:pStyle w:val="8"/>
                    <w:pageBreakBefore w:val="0"/>
                    <w:widowControl w:val="0"/>
                    <w:kinsoku/>
                    <w:wordWrap/>
                    <w:overflowPunct/>
                    <w:topLinePunct w:val="0"/>
                    <w:autoSpaceDE/>
                    <w:autoSpaceDN/>
                    <w:bidi w:val="0"/>
                    <w:adjustRightInd/>
                    <w:spacing w:line="360" w:lineRule="exact"/>
                    <w:textAlignment w:val="auto"/>
                  </w:pPr>
                  <w:r>
                    <w:rPr>
                      <w:rFonts w:hint="eastAsia"/>
                    </w:rPr>
                    <w:t>病历追踪</w:t>
                  </w:r>
                </w:p>
                <w:p w14:paraId="6B713ED8">
                  <w:pPr>
                    <w:pStyle w:val="131"/>
                    <w:pageBreakBefore w:val="0"/>
                    <w:widowControl w:val="0"/>
                    <w:kinsoku/>
                    <w:wordWrap/>
                    <w:overflowPunct/>
                    <w:topLinePunct w:val="0"/>
                    <w:autoSpaceDE/>
                    <w:autoSpaceDN/>
                    <w:bidi w:val="0"/>
                    <w:adjustRightInd/>
                    <w:spacing w:line="360" w:lineRule="exact"/>
                    <w:ind w:firstLine="0"/>
                    <w:textAlignment w:val="auto"/>
                  </w:pPr>
                  <w:r>
                    <w:t>1.</w:t>
                  </w:r>
                  <w:r>
                    <w:rPr>
                      <w:rFonts w:hint="eastAsia"/>
                    </w:rPr>
                    <w:t>按检查日期、追踪时间、姓名、性别、追踪状态、检查医生、符合情况、病历标签等条件进行查询；</w:t>
                  </w:r>
                </w:p>
                <w:p w14:paraId="3A0B8DD6">
                  <w:pPr>
                    <w:pStyle w:val="131"/>
                    <w:pageBreakBefore w:val="0"/>
                    <w:widowControl w:val="0"/>
                    <w:kinsoku/>
                    <w:wordWrap/>
                    <w:overflowPunct/>
                    <w:topLinePunct w:val="0"/>
                    <w:autoSpaceDE/>
                    <w:autoSpaceDN/>
                    <w:bidi w:val="0"/>
                    <w:adjustRightInd/>
                    <w:spacing w:line="360" w:lineRule="exact"/>
                    <w:ind w:firstLine="0"/>
                    <w:textAlignment w:val="auto"/>
                  </w:pPr>
                  <w:r>
                    <w:t>2.</w:t>
                  </w:r>
                  <w:r>
                    <w:rPr>
                      <w:rFonts w:hint="eastAsia"/>
                    </w:rPr>
                    <w:t>对手术结果、病理结果、实验室结果、出院诊断、其他追踪等资料进行补充；</w:t>
                  </w:r>
                </w:p>
                <w:p w14:paraId="799B3934">
                  <w:pPr>
                    <w:pStyle w:val="8"/>
                    <w:pageBreakBefore w:val="0"/>
                    <w:widowControl w:val="0"/>
                    <w:kinsoku/>
                    <w:wordWrap/>
                    <w:overflowPunct/>
                    <w:topLinePunct w:val="0"/>
                    <w:autoSpaceDE/>
                    <w:autoSpaceDN/>
                    <w:bidi w:val="0"/>
                    <w:adjustRightInd/>
                    <w:spacing w:line="360" w:lineRule="exact"/>
                    <w:textAlignment w:val="auto"/>
                  </w:pPr>
                  <w:r>
                    <w:rPr>
                      <w:rFonts w:hint="eastAsia"/>
                    </w:rPr>
                    <w:t>数据统计模块</w:t>
                  </w:r>
                </w:p>
                <w:p w14:paraId="4D163CD5">
                  <w:pPr>
                    <w:pStyle w:val="131"/>
                    <w:pageBreakBefore w:val="0"/>
                    <w:widowControl w:val="0"/>
                    <w:kinsoku/>
                    <w:wordWrap/>
                    <w:overflowPunct/>
                    <w:topLinePunct w:val="0"/>
                    <w:autoSpaceDE/>
                    <w:autoSpaceDN/>
                    <w:bidi w:val="0"/>
                    <w:adjustRightInd/>
                    <w:spacing w:line="360" w:lineRule="exact"/>
                    <w:ind w:firstLine="0"/>
                    <w:textAlignment w:val="auto"/>
                  </w:pPr>
                  <w:r>
                    <w:t>1.</w:t>
                  </w:r>
                  <w:r>
                    <w:rPr>
                      <w:rFonts w:hint="eastAsia"/>
                    </w:rPr>
                    <w:t>报表设计：按照实际需求设计自定义报表；</w:t>
                  </w:r>
                </w:p>
                <w:p w14:paraId="568B51E9">
                  <w:pPr>
                    <w:pStyle w:val="131"/>
                    <w:pageBreakBefore w:val="0"/>
                    <w:widowControl w:val="0"/>
                    <w:kinsoku/>
                    <w:wordWrap/>
                    <w:overflowPunct/>
                    <w:topLinePunct w:val="0"/>
                    <w:autoSpaceDE/>
                    <w:autoSpaceDN/>
                    <w:bidi w:val="0"/>
                    <w:adjustRightInd/>
                    <w:spacing w:line="360" w:lineRule="exact"/>
                    <w:ind w:firstLine="0"/>
                    <w:textAlignment w:val="auto"/>
                  </w:pPr>
                  <w:r>
                    <w:t>2.</w:t>
                  </w:r>
                  <w:r>
                    <w:rPr>
                      <w:rFonts w:hint="eastAsia"/>
                    </w:rPr>
                    <w:t>常用统计报表：系统自带常规统计报表，如：诊断医生工作量、临床医生申请单、检查项目分类、诊断结果分类、阳性率、费用分类；</w:t>
                  </w:r>
                </w:p>
                <w:p w14:paraId="02DB3D36">
                  <w:pPr>
                    <w:pStyle w:val="131"/>
                    <w:pageBreakBefore w:val="0"/>
                    <w:widowControl w:val="0"/>
                    <w:kinsoku/>
                    <w:wordWrap/>
                    <w:overflowPunct/>
                    <w:topLinePunct w:val="0"/>
                    <w:autoSpaceDE/>
                    <w:autoSpaceDN/>
                    <w:bidi w:val="0"/>
                    <w:adjustRightInd/>
                    <w:spacing w:line="360" w:lineRule="exact"/>
                    <w:ind w:firstLine="0"/>
                    <w:textAlignment w:val="auto"/>
                  </w:pPr>
                  <w:r>
                    <w:t>3.</w:t>
                  </w:r>
                  <w:r>
                    <w:rPr>
                      <w:rFonts w:hint="eastAsia"/>
                    </w:rPr>
                    <w:t>报表设计：按照实际需求设计自定义报表；</w:t>
                  </w:r>
                </w:p>
                <w:p w14:paraId="3493F1D6">
                  <w:pPr>
                    <w:pStyle w:val="131"/>
                    <w:pageBreakBefore w:val="0"/>
                    <w:widowControl w:val="0"/>
                    <w:kinsoku/>
                    <w:wordWrap/>
                    <w:overflowPunct/>
                    <w:topLinePunct w:val="0"/>
                    <w:autoSpaceDE/>
                    <w:autoSpaceDN/>
                    <w:bidi w:val="0"/>
                    <w:adjustRightInd/>
                    <w:spacing w:line="360" w:lineRule="exact"/>
                    <w:ind w:firstLine="0"/>
                    <w:textAlignment w:val="auto"/>
                  </w:pPr>
                  <w:r>
                    <w:t>4.</w:t>
                  </w:r>
                  <w:r>
                    <w:rPr>
                      <w:rFonts w:hint="eastAsia"/>
                    </w:rPr>
                    <w:t>分类统计：分类统计的查询条件包括时间范围、检查部位、病人来源、检查科室、诊断医生、设备名称、费用等，视具体统计项目而定；</w:t>
                  </w:r>
                </w:p>
                <w:p w14:paraId="6EFAA2D9">
                  <w:pPr>
                    <w:pStyle w:val="131"/>
                    <w:pageBreakBefore w:val="0"/>
                    <w:widowControl w:val="0"/>
                    <w:kinsoku/>
                    <w:wordWrap/>
                    <w:overflowPunct/>
                    <w:topLinePunct w:val="0"/>
                    <w:autoSpaceDE/>
                    <w:autoSpaceDN/>
                    <w:bidi w:val="0"/>
                    <w:adjustRightInd/>
                    <w:spacing w:line="360" w:lineRule="exact"/>
                    <w:ind w:firstLine="0"/>
                    <w:textAlignment w:val="auto"/>
                  </w:pPr>
                  <w:r>
                    <w:t>5.</w:t>
                  </w:r>
                  <w:r>
                    <w:rPr>
                      <w:rFonts w:hint="eastAsia"/>
                    </w:rPr>
                    <w:t>统计结果图表化显示：表格、对照表、趋势图等多种方式显示统计结果，支持按需要自定义统计项目；</w:t>
                  </w:r>
                </w:p>
                <w:p w14:paraId="5B3EFEBB">
                  <w:pPr>
                    <w:pStyle w:val="131"/>
                    <w:pageBreakBefore w:val="0"/>
                    <w:widowControl w:val="0"/>
                    <w:kinsoku/>
                    <w:wordWrap/>
                    <w:overflowPunct/>
                    <w:topLinePunct w:val="0"/>
                    <w:autoSpaceDE/>
                    <w:autoSpaceDN/>
                    <w:bidi w:val="0"/>
                    <w:adjustRightInd/>
                    <w:spacing w:line="360" w:lineRule="exact"/>
                    <w:ind w:firstLine="0"/>
                    <w:textAlignment w:val="auto"/>
                  </w:pPr>
                  <w:r>
                    <w:t>6.</w:t>
                  </w:r>
                  <w:r>
                    <w:rPr>
                      <w:rFonts w:hint="eastAsia"/>
                    </w:rPr>
                    <w:t>预览和打印报表：预览和打印报表；</w:t>
                  </w:r>
                </w:p>
                <w:p w14:paraId="420DB107">
                  <w:pPr>
                    <w:pStyle w:val="131"/>
                    <w:pageBreakBefore w:val="0"/>
                    <w:widowControl w:val="0"/>
                    <w:kinsoku/>
                    <w:wordWrap/>
                    <w:overflowPunct/>
                    <w:topLinePunct w:val="0"/>
                    <w:autoSpaceDE/>
                    <w:autoSpaceDN/>
                    <w:bidi w:val="0"/>
                    <w:adjustRightInd/>
                    <w:spacing w:line="360" w:lineRule="exact"/>
                    <w:ind w:firstLine="0"/>
                    <w:textAlignment w:val="auto"/>
                  </w:pPr>
                  <w:r>
                    <w:t>7.</w:t>
                  </w:r>
                  <w:r>
                    <w:rPr>
                      <w:rFonts w:hint="eastAsia"/>
                    </w:rPr>
                    <w:t>导出数据：数据列表页面下显示的统计数据都可导出，导出的格式为</w:t>
                  </w:r>
                  <w:r>
                    <w:t>Excel</w:t>
                  </w:r>
                  <w:r>
                    <w:rPr>
                      <w:rFonts w:hint="eastAsia"/>
                    </w:rPr>
                    <w:t>文件；</w:t>
                  </w:r>
                </w:p>
                <w:p w14:paraId="7168D122">
                  <w:pPr>
                    <w:pStyle w:val="8"/>
                    <w:pageBreakBefore w:val="0"/>
                    <w:widowControl w:val="0"/>
                    <w:kinsoku/>
                    <w:wordWrap/>
                    <w:overflowPunct/>
                    <w:topLinePunct w:val="0"/>
                    <w:autoSpaceDE/>
                    <w:autoSpaceDN/>
                    <w:bidi w:val="0"/>
                    <w:adjustRightInd/>
                    <w:spacing w:line="360" w:lineRule="exact"/>
                    <w:textAlignment w:val="auto"/>
                  </w:pPr>
                  <w:r>
                    <w:rPr>
                      <w:rFonts w:hint="eastAsia"/>
                    </w:rPr>
                    <w:t>消毒管理</w:t>
                  </w:r>
                </w:p>
                <w:p w14:paraId="2B9D56A6">
                  <w:pPr>
                    <w:pStyle w:val="131"/>
                    <w:pageBreakBefore w:val="0"/>
                    <w:widowControl w:val="0"/>
                    <w:kinsoku/>
                    <w:wordWrap/>
                    <w:overflowPunct/>
                    <w:topLinePunct w:val="0"/>
                    <w:autoSpaceDE/>
                    <w:autoSpaceDN/>
                    <w:bidi w:val="0"/>
                    <w:adjustRightInd/>
                    <w:spacing w:line="360" w:lineRule="exact"/>
                    <w:ind w:firstLine="0"/>
                    <w:textAlignment w:val="auto"/>
                  </w:pPr>
                  <w:r>
                    <w:t>1.</w:t>
                  </w:r>
                  <w:r>
                    <w:rPr>
                      <w:rFonts w:hint="eastAsia"/>
                    </w:rPr>
                    <w:t>消毒登记：设备类型、酶洗时间、清洗时间、末洗时间、水洗时间、普通消毒时间、特殊消毒时间等</w:t>
                  </w:r>
                </w:p>
                <w:p w14:paraId="7212DF4F">
                  <w:pPr>
                    <w:pStyle w:val="131"/>
                    <w:pageBreakBefore w:val="0"/>
                    <w:widowControl w:val="0"/>
                    <w:kinsoku/>
                    <w:wordWrap/>
                    <w:overflowPunct/>
                    <w:topLinePunct w:val="0"/>
                    <w:autoSpaceDE/>
                    <w:autoSpaceDN/>
                    <w:bidi w:val="0"/>
                    <w:adjustRightInd/>
                    <w:spacing w:line="360" w:lineRule="exact"/>
                    <w:ind w:firstLine="0"/>
                    <w:textAlignment w:val="auto"/>
                  </w:pPr>
                  <w:r>
                    <w:t>2.</w:t>
                  </w:r>
                  <w:r>
                    <w:rPr>
                      <w:rFonts w:hint="eastAsia"/>
                    </w:rPr>
                    <w:t>依据检查时间、检查项目、检查诊室、登记状态、消毒镜型、内镜号、病人姓名等条件检索，显示消毒列表。</w:t>
                  </w:r>
                </w:p>
                <w:p w14:paraId="267CF185">
                  <w:pPr>
                    <w:pStyle w:val="131"/>
                    <w:pageBreakBefore w:val="0"/>
                    <w:widowControl w:val="0"/>
                    <w:kinsoku/>
                    <w:wordWrap/>
                    <w:overflowPunct/>
                    <w:topLinePunct w:val="0"/>
                    <w:autoSpaceDE/>
                    <w:autoSpaceDN/>
                    <w:bidi w:val="0"/>
                    <w:adjustRightInd/>
                    <w:spacing w:line="360" w:lineRule="exact"/>
                    <w:ind w:firstLine="0"/>
                    <w:textAlignment w:val="auto"/>
                  </w:pPr>
                  <w:r>
                    <w:t>3.</w:t>
                  </w:r>
                  <w:r>
                    <w:rPr>
                      <w:rFonts w:hint="eastAsia"/>
                    </w:rPr>
                    <w:t>提供对科室设备消毒的登记追踪记录，便于科室消毒管理，能查询所有未消毒登记的检查；</w:t>
                  </w:r>
                </w:p>
                <w:p w14:paraId="1FFE45FF">
                  <w:pPr>
                    <w:pStyle w:val="131"/>
                    <w:pageBreakBefore w:val="0"/>
                    <w:widowControl w:val="0"/>
                    <w:kinsoku/>
                    <w:wordWrap/>
                    <w:overflowPunct/>
                    <w:topLinePunct w:val="0"/>
                    <w:autoSpaceDE/>
                    <w:autoSpaceDN/>
                    <w:bidi w:val="0"/>
                    <w:adjustRightInd/>
                    <w:spacing w:line="360" w:lineRule="exact"/>
                    <w:ind w:firstLine="0"/>
                    <w:textAlignment w:val="auto"/>
                    <w:rPr>
                      <w:rFonts w:ascii="宋体" w:hAnsi="宋体" w:cs="宋体"/>
                      <w:szCs w:val="21"/>
                    </w:rPr>
                  </w:pPr>
                  <w:r>
                    <w:t>4.</w:t>
                  </w:r>
                  <w:r>
                    <w:rPr>
                      <w:rFonts w:hint="eastAsia"/>
                    </w:rPr>
                    <w:t>消毒镜头列表显示的所有信息都可导出为</w:t>
                  </w:r>
                  <w:r>
                    <w:t>Excel</w:t>
                  </w:r>
                  <w:r>
                    <w:rPr>
                      <w:rFonts w:hint="eastAsia"/>
                    </w:rPr>
                    <w:t>文件。</w:t>
                  </w:r>
                </w:p>
              </w:tc>
            </w:tr>
            <w:tr w14:paraId="1801F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3" w:type="dxa"/>
                  <w:vMerge w:val="continue"/>
                  <w:tcBorders>
                    <w:top w:val="single" w:color="auto" w:sz="4" w:space="0"/>
                    <w:left w:val="single" w:color="auto" w:sz="4" w:space="0"/>
                    <w:bottom w:val="single" w:color="auto" w:sz="4" w:space="0"/>
                    <w:right w:val="single" w:color="auto" w:sz="4" w:space="0"/>
                  </w:tcBorders>
                  <w:noWrap w:val="0"/>
                  <w:vAlign w:val="center"/>
                </w:tcPr>
                <w:p w14:paraId="017C3161">
                  <w:pPr>
                    <w:widowControl/>
                    <w:jc w:val="left"/>
                    <w:rPr>
                      <w:rFonts w:ascii="宋体" w:hAnsi="宋体" w:cs="宋体"/>
                      <w:b/>
                      <w:color w:val="000000"/>
                      <w:sz w:val="20"/>
                      <w:szCs w:val="20"/>
                    </w:rPr>
                  </w:pPr>
                </w:p>
              </w:tc>
              <w:tc>
                <w:tcPr>
                  <w:tcW w:w="804" w:type="dxa"/>
                  <w:vMerge w:val="continue"/>
                  <w:tcBorders>
                    <w:top w:val="single" w:color="auto" w:sz="4" w:space="0"/>
                    <w:left w:val="single" w:color="auto" w:sz="4" w:space="0"/>
                    <w:bottom w:val="single" w:color="auto" w:sz="4" w:space="0"/>
                    <w:right w:val="single" w:color="auto" w:sz="4" w:space="0"/>
                  </w:tcBorders>
                  <w:noWrap w:val="0"/>
                  <w:vAlign w:val="center"/>
                </w:tcPr>
                <w:p w14:paraId="36AF29A7">
                  <w:pPr>
                    <w:widowControl/>
                    <w:jc w:val="left"/>
                    <w:rPr>
                      <w:rFonts w:ascii="宋体" w:hAnsi="宋体" w:cs="宋体"/>
                      <w:color w:val="000000"/>
                      <w:sz w:val="20"/>
                      <w:szCs w:val="20"/>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6FC2572D">
                  <w:pPr>
                    <w:pageBreakBefore w:val="0"/>
                    <w:widowControl w:val="0"/>
                    <w:kinsoku/>
                    <w:wordWrap/>
                    <w:overflowPunct/>
                    <w:topLinePunct w:val="0"/>
                    <w:autoSpaceDE/>
                    <w:autoSpaceDN/>
                    <w:bidi w:val="0"/>
                    <w:adjustRightInd/>
                    <w:spacing w:line="360" w:lineRule="exact"/>
                    <w:textAlignment w:val="auto"/>
                    <w:rPr>
                      <w:rFonts w:ascii="宋体" w:hAnsi="宋体" w:cs="宋体"/>
                      <w:color w:val="000000"/>
                      <w:sz w:val="20"/>
                      <w:szCs w:val="20"/>
                    </w:rPr>
                  </w:pPr>
                  <w:r>
                    <w:rPr>
                      <w:rFonts w:hint="eastAsia"/>
                      <w:color w:val="000000"/>
                      <w:sz w:val="21"/>
                      <w:szCs w:val="21"/>
                    </w:rPr>
                    <w:t>体检管理</w:t>
                  </w:r>
                </w:p>
              </w:tc>
              <w:tc>
                <w:tcPr>
                  <w:tcW w:w="7748" w:type="dxa"/>
                  <w:tcBorders>
                    <w:top w:val="single" w:color="auto" w:sz="4" w:space="0"/>
                    <w:left w:val="single" w:color="auto" w:sz="4" w:space="0"/>
                    <w:bottom w:val="single" w:color="auto" w:sz="4" w:space="0"/>
                    <w:right w:val="single" w:color="auto" w:sz="4" w:space="0"/>
                  </w:tcBorders>
                  <w:noWrap/>
                  <w:vAlign w:val="center"/>
                </w:tcPr>
                <w:p w14:paraId="6493510D">
                  <w:pPr>
                    <w:pStyle w:val="7"/>
                    <w:pageBreakBefore w:val="0"/>
                    <w:widowControl w:val="0"/>
                    <w:kinsoku/>
                    <w:wordWrap/>
                    <w:overflowPunct/>
                    <w:topLinePunct w:val="0"/>
                    <w:autoSpaceDE/>
                    <w:autoSpaceDN/>
                    <w:bidi w:val="0"/>
                    <w:adjustRightInd/>
                    <w:spacing w:line="360" w:lineRule="exact"/>
                    <w:textAlignment w:val="auto"/>
                    <w:rPr>
                      <w:rFonts w:ascii="Calibri"/>
                      <w:sz w:val="21"/>
                    </w:rPr>
                  </w:pPr>
                  <w:r>
                    <w:rPr>
                      <w:rFonts w:hint="eastAsia"/>
                    </w:rPr>
                    <w:t>体检管理系统</w:t>
                  </w:r>
                </w:p>
                <w:p w14:paraId="318240BE">
                  <w:pPr>
                    <w:pStyle w:val="131"/>
                    <w:pageBreakBefore w:val="0"/>
                    <w:widowControl w:val="0"/>
                    <w:kinsoku/>
                    <w:wordWrap/>
                    <w:overflowPunct/>
                    <w:topLinePunct w:val="0"/>
                    <w:autoSpaceDE/>
                    <w:autoSpaceDN/>
                    <w:bidi w:val="0"/>
                    <w:adjustRightInd/>
                    <w:spacing w:line="360" w:lineRule="exact"/>
                    <w:ind w:firstLine="0"/>
                    <w:textAlignment w:val="auto"/>
                  </w:pPr>
                  <w:r>
                    <w:t>1</w:t>
                  </w:r>
                  <w:r>
                    <w:rPr>
                      <w:rFonts w:hint="eastAsia"/>
                    </w:rPr>
                    <w:t>．多种登记方式：支持现场客户采用单位、身份证号、姓名等多种方式进行快速调入基本信息进行登记，支持团体客户通过</w:t>
                  </w:r>
                  <w:r>
                    <w:t>EXCEL</w:t>
                  </w:r>
                  <w:r>
                    <w:rPr>
                      <w:rFonts w:hint="eastAsia"/>
                    </w:rPr>
                    <w:t>花名册导入登记；</w:t>
                  </w:r>
                </w:p>
                <w:p w14:paraId="6D6C83EF">
                  <w:pPr>
                    <w:pStyle w:val="131"/>
                    <w:pageBreakBefore w:val="0"/>
                    <w:widowControl w:val="0"/>
                    <w:kinsoku/>
                    <w:wordWrap/>
                    <w:overflowPunct/>
                    <w:topLinePunct w:val="0"/>
                    <w:autoSpaceDE/>
                    <w:autoSpaceDN/>
                    <w:bidi w:val="0"/>
                    <w:adjustRightInd/>
                    <w:spacing w:line="360" w:lineRule="exact"/>
                    <w:ind w:firstLine="0"/>
                    <w:textAlignment w:val="auto"/>
                  </w:pPr>
                  <w:r>
                    <w:t>2</w:t>
                  </w:r>
                  <w:r>
                    <w:rPr>
                      <w:rFonts w:hint="eastAsia"/>
                    </w:rPr>
                    <w:t>．身份证刷卡登记：可以通过身份证读卡器自动获取二代身份证里的个人信息，避免录入错误，并通过二代身份证的身份证号码进行档案关联；</w:t>
                  </w:r>
                </w:p>
                <w:p w14:paraId="777D63A2">
                  <w:pPr>
                    <w:pStyle w:val="131"/>
                    <w:pageBreakBefore w:val="0"/>
                    <w:widowControl w:val="0"/>
                    <w:kinsoku/>
                    <w:wordWrap/>
                    <w:overflowPunct/>
                    <w:topLinePunct w:val="0"/>
                    <w:autoSpaceDE/>
                    <w:autoSpaceDN/>
                    <w:bidi w:val="0"/>
                    <w:adjustRightInd/>
                    <w:spacing w:line="360" w:lineRule="exact"/>
                    <w:ind w:firstLine="0"/>
                    <w:textAlignment w:val="auto"/>
                  </w:pPr>
                  <w:r>
                    <w:t>3</w:t>
                  </w:r>
                  <w:r>
                    <w:rPr>
                      <w:rFonts w:hint="eastAsia"/>
                    </w:rPr>
                    <w:t>．现场拍照：支持通过摄像头进行现场头像采集。</w:t>
                  </w:r>
                </w:p>
                <w:p w14:paraId="61D28F54">
                  <w:pPr>
                    <w:pStyle w:val="131"/>
                    <w:pageBreakBefore w:val="0"/>
                    <w:widowControl w:val="0"/>
                    <w:kinsoku/>
                    <w:wordWrap/>
                    <w:overflowPunct/>
                    <w:topLinePunct w:val="0"/>
                    <w:autoSpaceDE/>
                    <w:autoSpaceDN/>
                    <w:bidi w:val="0"/>
                    <w:adjustRightInd/>
                    <w:spacing w:line="360" w:lineRule="exact"/>
                    <w:ind w:firstLine="0"/>
                    <w:textAlignment w:val="auto"/>
                  </w:pPr>
                  <w:r>
                    <w:t>4</w:t>
                  </w:r>
                  <w:r>
                    <w:rPr>
                      <w:rFonts w:hint="eastAsia"/>
                    </w:rPr>
                    <w:t>．申请单打印：支持根据体检套餐打印相应的条码及指引单，同时支持条码、指引单重打、补打及可选打印；</w:t>
                  </w:r>
                </w:p>
                <w:p w14:paraId="53D1A1D8">
                  <w:pPr>
                    <w:pStyle w:val="131"/>
                    <w:pageBreakBefore w:val="0"/>
                    <w:widowControl w:val="0"/>
                    <w:kinsoku/>
                    <w:wordWrap/>
                    <w:overflowPunct/>
                    <w:topLinePunct w:val="0"/>
                    <w:autoSpaceDE/>
                    <w:autoSpaceDN/>
                    <w:bidi w:val="0"/>
                    <w:adjustRightInd/>
                    <w:spacing w:line="360" w:lineRule="exact"/>
                    <w:ind w:firstLine="0"/>
                    <w:textAlignment w:val="auto"/>
                  </w:pPr>
                  <w:r>
                    <w:t>5</w:t>
                  </w:r>
                  <w:r>
                    <w:rPr>
                      <w:rFonts w:hint="eastAsia"/>
                    </w:rPr>
                    <w:t>．双屏显示：支持双屏显示功能，体检者可以通过双屏显示功能清楚的知道自己的体检相关信息，如体检套餐、价格、项目意义、个人基本信息等，方便体检者进行确认；</w:t>
                  </w:r>
                </w:p>
                <w:p w14:paraId="4C1CC225">
                  <w:pPr>
                    <w:pStyle w:val="131"/>
                    <w:pageBreakBefore w:val="0"/>
                    <w:widowControl w:val="0"/>
                    <w:kinsoku/>
                    <w:wordWrap/>
                    <w:overflowPunct/>
                    <w:topLinePunct w:val="0"/>
                    <w:autoSpaceDE/>
                    <w:autoSpaceDN/>
                    <w:bidi w:val="0"/>
                    <w:adjustRightInd/>
                    <w:spacing w:line="360" w:lineRule="exact"/>
                    <w:ind w:firstLine="0"/>
                    <w:textAlignment w:val="auto"/>
                  </w:pPr>
                  <w:r>
                    <w:t>6</w:t>
                  </w:r>
                  <w:r>
                    <w:rPr>
                      <w:rFonts w:hint="eastAsia"/>
                    </w:rPr>
                    <w:t>．早餐管理：支持早餐管理模块，可将体检项目设置为餐前、餐后项目，如未做完餐前项目的体检者，可提醒其暂时不能吃早餐，需做完餐前项目才可以过来用餐，防止体检结果出现偏差；可以根据时间段统计发放的早餐人次；</w:t>
                  </w:r>
                </w:p>
                <w:p w14:paraId="6FA94F98">
                  <w:pPr>
                    <w:pStyle w:val="131"/>
                    <w:pageBreakBefore w:val="0"/>
                    <w:widowControl w:val="0"/>
                    <w:kinsoku/>
                    <w:wordWrap/>
                    <w:overflowPunct/>
                    <w:topLinePunct w:val="0"/>
                    <w:autoSpaceDE/>
                    <w:autoSpaceDN/>
                    <w:bidi w:val="0"/>
                    <w:adjustRightInd/>
                    <w:spacing w:line="360" w:lineRule="exact"/>
                    <w:ind w:firstLine="0"/>
                    <w:textAlignment w:val="auto"/>
                  </w:pPr>
                  <w:r>
                    <w:t>7</w:t>
                  </w:r>
                  <w:r>
                    <w:rPr>
                      <w:rFonts w:hint="eastAsia"/>
                    </w:rPr>
                    <w:t>．体检排期管理：支持体检排期管理，方便体检中心有效的安排每天的体检人次；</w:t>
                  </w:r>
                </w:p>
                <w:p w14:paraId="48EF437F">
                  <w:pPr>
                    <w:pStyle w:val="131"/>
                    <w:pageBreakBefore w:val="0"/>
                    <w:widowControl w:val="0"/>
                    <w:kinsoku/>
                    <w:wordWrap/>
                    <w:overflowPunct/>
                    <w:topLinePunct w:val="0"/>
                    <w:autoSpaceDE/>
                    <w:autoSpaceDN/>
                    <w:bidi w:val="0"/>
                    <w:adjustRightInd/>
                    <w:spacing w:line="360" w:lineRule="exact"/>
                    <w:ind w:firstLine="0"/>
                    <w:textAlignment w:val="auto"/>
                  </w:pPr>
                  <w:r>
                    <w:t>8</w:t>
                  </w:r>
                  <w:r>
                    <w:rPr>
                      <w:rFonts w:hint="eastAsia"/>
                    </w:rPr>
                    <w:t>．智能自动分组：支持预设分组条件（常用条件）直接调用，快速自动分组，如一个单位分为男组和女组两个组别，设置好条件后，支持一个</w:t>
                  </w:r>
                  <w:r>
                    <w:t>EXCEL</w:t>
                  </w:r>
                  <w:r>
                    <w:rPr>
                      <w:rFonts w:hint="eastAsia"/>
                    </w:rPr>
                    <w:t>文档将所有体检人员信息全部导入，系统自动根据性别不同将体检人员分配到匹配的套餐组里面，避免一个单位分多个套餐组别时，需要多次导入产生的工作量及可能出现的分组错误；</w:t>
                  </w:r>
                </w:p>
                <w:p w14:paraId="24FC91E9">
                  <w:pPr>
                    <w:pStyle w:val="131"/>
                    <w:pageBreakBefore w:val="0"/>
                    <w:widowControl w:val="0"/>
                    <w:kinsoku/>
                    <w:wordWrap/>
                    <w:overflowPunct/>
                    <w:topLinePunct w:val="0"/>
                    <w:autoSpaceDE/>
                    <w:autoSpaceDN/>
                    <w:bidi w:val="0"/>
                    <w:adjustRightInd/>
                    <w:spacing w:line="360" w:lineRule="exact"/>
                    <w:ind w:firstLine="0"/>
                    <w:textAlignment w:val="auto"/>
                  </w:pPr>
                  <w:r>
                    <w:t>9</w:t>
                  </w:r>
                  <w:r>
                    <w:rPr>
                      <w:rFonts w:hint="eastAsia"/>
                    </w:rPr>
                    <w:t>．单位体检进度查询：对于备单后的体检者还需要前台报道管理，团队体检可随时查看已经报到的人员及其体检的相关进度和未来体检的人员信息，并可以根据要求进行导出，了解单位体检人员完成情况；</w:t>
                  </w:r>
                </w:p>
                <w:p w14:paraId="1F73436A">
                  <w:pPr>
                    <w:pStyle w:val="131"/>
                    <w:pageBreakBefore w:val="0"/>
                    <w:widowControl w:val="0"/>
                    <w:kinsoku/>
                    <w:wordWrap/>
                    <w:overflowPunct/>
                    <w:topLinePunct w:val="0"/>
                    <w:autoSpaceDE/>
                    <w:autoSpaceDN/>
                    <w:bidi w:val="0"/>
                    <w:adjustRightInd/>
                    <w:spacing w:line="360" w:lineRule="exact"/>
                    <w:ind w:firstLine="0"/>
                    <w:textAlignment w:val="auto"/>
                  </w:pPr>
                  <w:r>
                    <w:t>10</w:t>
                  </w:r>
                  <w:r>
                    <w:rPr>
                      <w:rFonts w:hint="eastAsia"/>
                    </w:rPr>
                    <w:t>．体检套餐调用：支持体检单位直接调用以前该单位做过的体检套餐进行预约登记，如该单位今年来体检的时候说跟往年的套餐一样的，可以直接调用该单位往年的体检套餐进行登记，节省体检中心工作量并提高客户满意度；</w:t>
                  </w:r>
                </w:p>
                <w:p w14:paraId="232E7201">
                  <w:pPr>
                    <w:pStyle w:val="131"/>
                    <w:pageBreakBefore w:val="0"/>
                    <w:widowControl w:val="0"/>
                    <w:kinsoku/>
                    <w:wordWrap/>
                    <w:overflowPunct/>
                    <w:topLinePunct w:val="0"/>
                    <w:autoSpaceDE/>
                    <w:autoSpaceDN/>
                    <w:bidi w:val="0"/>
                    <w:adjustRightInd/>
                    <w:spacing w:line="360" w:lineRule="exact"/>
                    <w:ind w:firstLine="0"/>
                    <w:textAlignment w:val="auto"/>
                  </w:pPr>
                  <w:r>
                    <w:t>11</w:t>
                  </w:r>
                  <w:r>
                    <w:rPr>
                      <w:rFonts w:hint="eastAsia"/>
                    </w:rPr>
                    <w:t>．多种备单模式：支持不限额、限额不限项目、固定套餐多种备单模式，方便客户增加项目时，前台能够一目了然的知道是否需要体检客户现场缴费；</w:t>
                  </w:r>
                </w:p>
                <w:p w14:paraId="751D2203">
                  <w:pPr>
                    <w:pStyle w:val="131"/>
                    <w:pageBreakBefore w:val="0"/>
                    <w:widowControl w:val="0"/>
                    <w:kinsoku/>
                    <w:wordWrap/>
                    <w:overflowPunct/>
                    <w:topLinePunct w:val="0"/>
                    <w:autoSpaceDE/>
                    <w:autoSpaceDN/>
                    <w:bidi w:val="0"/>
                    <w:adjustRightInd/>
                    <w:spacing w:line="360" w:lineRule="exact"/>
                    <w:ind w:firstLine="0"/>
                    <w:textAlignment w:val="auto"/>
                  </w:pPr>
                  <w:r>
                    <w:t>12</w:t>
                  </w:r>
                  <w:r>
                    <w:rPr>
                      <w:rFonts w:hint="eastAsia"/>
                    </w:rPr>
                    <w:t>．体检名单控制：支持单位体检结算完成后，未开始体检人员是否容许后面再进行体检，如单位预登记</w:t>
                  </w:r>
                  <w:r>
                    <w:t>100</w:t>
                  </w:r>
                  <w:r>
                    <w:rPr>
                      <w:rFonts w:hint="eastAsia"/>
                    </w:rPr>
                    <w:t>人，实际体检了</w:t>
                  </w:r>
                  <w:r>
                    <w:t>90</w:t>
                  </w:r>
                  <w:r>
                    <w:rPr>
                      <w:rFonts w:hint="eastAsia"/>
                    </w:rPr>
                    <w:t>人，单位进行结算后，后面</w:t>
                  </w:r>
                  <w:r>
                    <w:t>10</w:t>
                  </w:r>
                  <w:r>
                    <w:rPr>
                      <w:rFonts w:hint="eastAsia"/>
                    </w:rPr>
                    <w:t>人可以控制是否容许其再进行体检；</w:t>
                  </w:r>
                </w:p>
                <w:p w14:paraId="455C5637">
                  <w:pPr>
                    <w:pStyle w:val="131"/>
                    <w:pageBreakBefore w:val="0"/>
                    <w:widowControl w:val="0"/>
                    <w:kinsoku/>
                    <w:wordWrap/>
                    <w:overflowPunct/>
                    <w:topLinePunct w:val="0"/>
                    <w:autoSpaceDE/>
                    <w:autoSpaceDN/>
                    <w:bidi w:val="0"/>
                    <w:adjustRightInd/>
                    <w:spacing w:line="360" w:lineRule="exact"/>
                    <w:ind w:firstLine="0"/>
                    <w:textAlignment w:val="auto"/>
                  </w:pPr>
                  <w:r>
                    <w:t>13</w:t>
                  </w:r>
                  <w:r>
                    <w:rPr>
                      <w:rFonts w:hint="eastAsia"/>
                    </w:rPr>
                    <w:t>．区域报告：可选择一个或多个单位自动生成图文并茂的区域报告，包含体检结果异常统计及员工健康问题分析及保健建议等，可以将报告导出</w:t>
                  </w:r>
                  <w:r>
                    <w:t>PDF</w:t>
                  </w:r>
                  <w:r>
                    <w:rPr>
                      <w:rFonts w:hint="eastAsia"/>
                    </w:rPr>
                    <w:t>给到体检单位负责人；也可以根据需要的阳性结果进行选择，自动生成区域对比报告；</w:t>
                  </w:r>
                </w:p>
                <w:p w14:paraId="24E4CC5E">
                  <w:pPr>
                    <w:pStyle w:val="131"/>
                    <w:pageBreakBefore w:val="0"/>
                    <w:widowControl w:val="0"/>
                    <w:kinsoku/>
                    <w:wordWrap/>
                    <w:overflowPunct/>
                    <w:topLinePunct w:val="0"/>
                    <w:autoSpaceDE/>
                    <w:autoSpaceDN/>
                    <w:bidi w:val="0"/>
                    <w:adjustRightInd/>
                    <w:spacing w:line="360" w:lineRule="exact"/>
                    <w:ind w:firstLine="0"/>
                    <w:textAlignment w:val="auto"/>
                  </w:pPr>
                  <w:r>
                    <w:t>14</w:t>
                  </w:r>
                  <w:r>
                    <w:rPr>
                      <w:rFonts w:hint="eastAsia"/>
                    </w:rPr>
                    <w:t>．团检管理：对于已经完成并付款的单位客户，可进行扎账处理，方便后面进行统计；</w:t>
                  </w:r>
                </w:p>
                <w:p w14:paraId="67CCCD80">
                  <w:pPr>
                    <w:pStyle w:val="131"/>
                    <w:pageBreakBefore w:val="0"/>
                    <w:widowControl w:val="0"/>
                    <w:kinsoku/>
                    <w:wordWrap/>
                    <w:overflowPunct/>
                    <w:topLinePunct w:val="0"/>
                    <w:autoSpaceDE/>
                    <w:autoSpaceDN/>
                    <w:bidi w:val="0"/>
                    <w:adjustRightInd/>
                    <w:spacing w:line="360" w:lineRule="exact"/>
                    <w:ind w:firstLine="0"/>
                    <w:textAlignment w:val="auto"/>
                  </w:pPr>
                  <w:r>
                    <w:t>15</w:t>
                  </w:r>
                  <w:r>
                    <w:rPr>
                      <w:rFonts w:hint="eastAsia"/>
                    </w:rPr>
                    <w:t>．检查结果自动生成：各科室小结根据检查、阳性或所需情况自动生成，也可以手动选择阳性结果及修改相关小结；</w:t>
                  </w:r>
                </w:p>
                <w:p w14:paraId="4EB047E0">
                  <w:pPr>
                    <w:pStyle w:val="131"/>
                    <w:pageBreakBefore w:val="0"/>
                    <w:widowControl w:val="0"/>
                    <w:kinsoku/>
                    <w:wordWrap/>
                    <w:overflowPunct/>
                    <w:topLinePunct w:val="0"/>
                    <w:autoSpaceDE/>
                    <w:autoSpaceDN/>
                    <w:bidi w:val="0"/>
                    <w:adjustRightInd/>
                    <w:spacing w:line="360" w:lineRule="exact"/>
                    <w:ind w:firstLine="0"/>
                    <w:textAlignment w:val="auto"/>
                  </w:pPr>
                  <w:r>
                    <w:t>16</w:t>
                  </w:r>
                  <w:r>
                    <w:rPr>
                      <w:rFonts w:hint="eastAsia"/>
                    </w:rPr>
                    <w:t>．上次结果对比：体检医生检查界面可以直接看到体检者上次的体检结果，方便体检医生此次检查进行诊断；</w:t>
                  </w:r>
                </w:p>
                <w:p w14:paraId="132C72E4">
                  <w:pPr>
                    <w:pStyle w:val="131"/>
                    <w:pageBreakBefore w:val="0"/>
                    <w:widowControl w:val="0"/>
                    <w:kinsoku/>
                    <w:wordWrap/>
                    <w:overflowPunct/>
                    <w:topLinePunct w:val="0"/>
                    <w:autoSpaceDE/>
                    <w:autoSpaceDN/>
                    <w:bidi w:val="0"/>
                    <w:adjustRightInd/>
                    <w:spacing w:line="360" w:lineRule="exact"/>
                    <w:ind w:firstLine="0"/>
                    <w:textAlignment w:val="auto"/>
                  </w:pPr>
                  <w:r>
                    <w:t>17</w:t>
                  </w:r>
                  <w:r>
                    <w:rPr>
                      <w:rFonts w:hint="eastAsia"/>
                    </w:rPr>
                    <w:t>．体检路径：体检者从前台打印指引单滞后到出总检报告之前的所有过程，都可以在体检路径中完成，包括医生诊台检查、个人信息修改、项目变更、弃检登记等，方便体检中心在使用系统时进行集中操作；</w:t>
                  </w:r>
                </w:p>
                <w:p w14:paraId="42017AC4">
                  <w:pPr>
                    <w:pStyle w:val="131"/>
                    <w:pageBreakBefore w:val="0"/>
                    <w:widowControl w:val="0"/>
                    <w:kinsoku/>
                    <w:wordWrap/>
                    <w:overflowPunct/>
                    <w:topLinePunct w:val="0"/>
                    <w:autoSpaceDE/>
                    <w:autoSpaceDN/>
                    <w:bidi w:val="0"/>
                    <w:adjustRightInd/>
                    <w:spacing w:line="360" w:lineRule="exact"/>
                    <w:ind w:firstLine="0"/>
                    <w:textAlignment w:val="auto"/>
                  </w:pPr>
                  <w:r>
                    <w:t>18</w:t>
                  </w:r>
                  <w:r>
                    <w:rPr>
                      <w:rFonts w:hint="eastAsia"/>
                    </w:rPr>
                    <w:t>．特别关注：体检医生在检查时发现有重大疾病可能时，可进行特别登记关注，提醒其他相关科室医生及总检医生进行特别关注；</w:t>
                  </w:r>
                </w:p>
                <w:p w14:paraId="3E012284">
                  <w:pPr>
                    <w:pStyle w:val="131"/>
                    <w:pageBreakBefore w:val="0"/>
                    <w:widowControl w:val="0"/>
                    <w:kinsoku/>
                    <w:wordWrap/>
                    <w:overflowPunct/>
                    <w:topLinePunct w:val="0"/>
                    <w:autoSpaceDE/>
                    <w:autoSpaceDN/>
                    <w:bidi w:val="0"/>
                    <w:adjustRightInd/>
                    <w:spacing w:line="360" w:lineRule="exact"/>
                    <w:ind w:firstLine="0"/>
                    <w:textAlignment w:val="auto"/>
                  </w:pPr>
                  <w:r>
                    <w:t>19</w:t>
                  </w:r>
                  <w:r>
                    <w:rPr>
                      <w:rFonts w:hint="eastAsia"/>
                    </w:rPr>
                    <w:t>．显示控制：医生诊台界面可以通过点击显示控制来只显示异常结果或者全部结果，如血常规项目一般有十几个小项，当选择只显示异常结果时，体检医生就可以一目了然的知道体检者异常结果；</w:t>
                  </w:r>
                </w:p>
                <w:p w14:paraId="44B3E31C">
                  <w:pPr>
                    <w:pStyle w:val="131"/>
                    <w:pageBreakBefore w:val="0"/>
                    <w:widowControl w:val="0"/>
                    <w:kinsoku/>
                    <w:wordWrap/>
                    <w:overflowPunct/>
                    <w:topLinePunct w:val="0"/>
                    <w:autoSpaceDE/>
                    <w:autoSpaceDN/>
                    <w:bidi w:val="0"/>
                    <w:adjustRightInd/>
                    <w:spacing w:line="360" w:lineRule="exact"/>
                    <w:ind w:firstLine="0"/>
                    <w:textAlignment w:val="auto"/>
                  </w:pPr>
                  <w:r>
                    <w:t>20</w:t>
                  </w:r>
                  <w:r>
                    <w:rPr>
                      <w:rFonts w:hint="eastAsia"/>
                    </w:rPr>
                    <w:t>．医生工作量：支持医生进入系统后，系统自动弹出该操作医生当天的工作量，已完成及未完成的情况，图文并茂显示；</w:t>
                  </w:r>
                </w:p>
                <w:p w14:paraId="233B4703">
                  <w:pPr>
                    <w:pStyle w:val="131"/>
                    <w:pageBreakBefore w:val="0"/>
                    <w:widowControl w:val="0"/>
                    <w:kinsoku/>
                    <w:wordWrap/>
                    <w:overflowPunct/>
                    <w:topLinePunct w:val="0"/>
                    <w:autoSpaceDE/>
                    <w:autoSpaceDN/>
                    <w:bidi w:val="0"/>
                    <w:adjustRightInd/>
                    <w:spacing w:line="360" w:lineRule="exact"/>
                    <w:ind w:firstLine="0"/>
                    <w:textAlignment w:val="auto"/>
                  </w:pPr>
                  <w:r>
                    <w:t>21</w:t>
                  </w:r>
                  <w:r>
                    <w:rPr>
                      <w:rFonts w:hint="eastAsia"/>
                    </w:rPr>
                    <w:t>．是否进入报告：支持体检项目中选择某个体检单项结果是否进行最后的体检报告，如大部分体检客户体检做外科体检项目时，不愿意做肛指检查，此时就可以选择该体检单项不进入最后的报告，规避体检中心风险；</w:t>
                  </w:r>
                </w:p>
                <w:p w14:paraId="4227D5C4">
                  <w:pPr>
                    <w:pStyle w:val="131"/>
                    <w:pageBreakBefore w:val="0"/>
                    <w:widowControl w:val="0"/>
                    <w:kinsoku/>
                    <w:wordWrap/>
                    <w:overflowPunct/>
                    <w:topLinePunct w:val="0"/>
                    <w:autoSpaceDE/>
                    <w:autoSpaceDN/>
                    <w:bidi w:val="0"/>
                    <w:adjustRightInd/>
                    <w:spacing w:line="360" w:lineRule="exact"/>
                    <w:ind w:firstLine="0"/>
                    <w:textAlignment w:val="auto"/>
                  </w:pPr>
                  <w:r>
                    <w:t>22</w:t>
                  </w:r>
                  <w:r>
                    <w:rPr>
                      <w:rFonts w:hint="eastAsia"/>
                    </w:rPr>
                    <w:t>．弃检登记：支持体检弃检、延检、续检登记，如有体检者不愿意做放射性项目，可以体检者做弃检登记，方便后面进行统计及费用结算；如有体检者当天某个项目未能完成，可以给体检者做延检登记，选定一个预计过来的体检时间，过来当天可以进行续检，直接进行后面的检查；</w:t>
                  </w:r>
                </w:p>
                <w:p w14:paraId="5EA0B3B2">
                  <w:pPr>
                    <w:pStyle w:val="131"/>
                    <w:pageBreakBefore w:val="0"/>
                    <w:widowControl w:val="0"/>
                    <w:kinsoku/>
                    <w:wordWrap/>
                    <w:overflowPunct/>
                    <w:topLinePunct w:val="0"/>
                    <w:autoSpaceDE/>
                    <w:autoSpaceDN/>
                    <w:bidi w:val="0"/>
                    <w:adjustRightInd/>
                    <w:spacing w:line="360" w:lineRule="exact"/>
                    <w:ind w:firstLine="0"/>
                    <w:textAlignment w:val="auto"/>
                  </w:pPr>
                  <w:r>
                    <w:t>23</w:t>
                  </w:r>
                  <w:r>
                    <w:rPr>
                      <w:rFonts w:hint="eastAsia"/>
                    </w:rPr>
                    <w:t>．自动生成总检建议：可根据各科室小结、阳性结果，自动生成总检建议，并可以手动进行修改；</w:t>
                  </w:r>
                </w:p>
                <w:p w14:paraId="70C19A24">
                  <w:pPr>
                    <w:pStyle w:val="131"/>
                    <w:pageBreakBefore w:val="0"/>
                    <w:widowControl w:val="0"/>
                    <w:kinsoku/>
                    <w:wordWrap/>
                    <w:overflowPunct/>
                    <w:topLinePunct w:val="0"/>
                    <w:autoSpaceDE/>
                    <w:autoSpaceDN/>
                    <w:bidi w:val="0"/>
                    <w:adjustRightInd/>
                    <w:spacing w:line="360" w:lineRule="exact"/>
                    <w:ind w:firstLine="0"/>
                    <w:textAlignment w:val="auto"/>
                  </w:pPr>
                  <w:r>
                    <w:t>24</w:t>
                  </w:r>
                  <w:r>
                    <w:rPr>
                      <w:rFonts w:hint="eastAsia"/>
                    </w:rPr>
                    <w:t>．体检建议排序：总检医生可根据体检者的情况，将总检建议进行排序，如某些比较重要的建议，可以手动调整排到前列，重点提醒体检者；</w:t>
                  </w:r>
                </w:p>
                <w:p w14:paraId="59AB9E24">
                  <w:pPr>
                    <w:pStyle w:val="131"/>
                    <w:pageBreakBefore w:val="0"/>
                    <w:widowControl w:val="0"/>
                    <w:kinsoku/>
                    <w:wordWrap/>
                    <w:overflowPunct/>
                    <w:topLinePunct w:val="0"/>
                    <w:autoSpaceDE/>
                    <w:autoSpaceDN/>
                    <w:bidi w:val="0"/>
                    <w:adjustRightInd/>
                    <w:spacing w:line="360" w:lineRule="exact"/>
                    <w:ind w:firstLine="0"/>
                    <w:textAlignment w:val="auto"/>
                  </w:pPr>
                  <w:r>
                    <w:t>25</w:t>
                  </w:r>
                  <w:r>
                    <w:rPr>
                      <w:rFonts w:hint="eastAsia"/>
                    </w:rPr>
                    <w:t>．历年报告查询：总检医生界面可以查看体检者历年体检报告，方便总检医生进行总检；</w:t>
                  </w:r>
                </w:p>
                <w:p w14:paraId="697AE4AE">
                  <w:pPr>
                    <w:pStyle w:val="131"/>
                    <w:pageBreakBefore w:val="0"/>
                    <w:widowControl w:val="0"/>
                    <w:kinsoku/>
                    <w:wordWrap/>
                    <w:overflowPunct/>
                    <w:topLinePunct w:val="0"/>
                    <w:autoSpaceDE/>
                    <w:autoSpaceDN/>
                    <w:bidi w:val="0"/>
                    <w:adjustRightInd/>
                    <w:spacing w:line="360" w:lineRule="exact"/>
                    <w:ind w:firstLine="0"/>
                    <w:textAlignment w:val="auto"/>
                  </w:pPr>
                  <w:r>
                    <w:t>26</w:t>
                  </w:r>
                  <w:r>
                    <w:rPr>
                      <w:rFonts w:hint="eastAsia"/>
                    </w:rPr>
                    <w:t>．详细结果查看：总检医生界面可以方便查看体检者本次体检的所有体检明细结果，方便总检医生进行总检；</w:t>
                  </w:r>
                </w:p>
                <w:p w14:paraId="718D5B57">
                  <w:pPr>
                    <w:pStyle w:val="131"/>
                    <w:pageBreakBefore w:val="0"/>
                    <w:widowControl w:val="0"/>
                    <w:kinsoku/>
                    <w:wordWrap/>
                    <w:overflowPunct/>
                    <w:topLinePunct w:val="0"/>
                    <w:autoSpaceDE/>
                    <w:autoSpaceDN/>
                    <w:bidi w:val="0"/>
                    <w:adjustRightInd/>
                    <w:spacing w:line="360" w:lineRule="exact"/>
                    <w:ind w:firstLine="0"/>
                    <w:textAlignment w:val="auto"/>
                  </w:pPr>
                  <w:r>
                    <w:t>27</w:t>
                  </w:r>
                  <w:r>
                    <w:rPr>
                      <w:rFonts w:hint="eastAsia"/>
                    </w:rPr>
                    <w:t>．体检对比报告：可以根据近</w:t>
                  </w:r>
                  <w:r>
                    <w:t>3</w:t>
                  </w:r>
                  <w:r>
                    <w:rPr>
                      <w:rFonts w:hint="eastAsia"/>
                    </w:rPr>
                    <w:t>次的体检结果数据进行汇总，出具个人体检对比报告；</w:t>
                  </w:r>
                </w:p>
                <w:p w14:paraId="08F2947C">
                  <w:pPr>
                    <w:pStyle w:val="131"/>
                    <w:pageBreakBefore w:val="0"/>
                    <w:widowControl w:val="0"/>
                    <w:kinsoku/>
                    <w:wordWrap/>
                    <w:overflowPunct/>
                    <w:topLinePunct w:val="0"/>
                    <w:autoSpaceDE/>
                    <w:autoSpaceDN/>
                    <w:bidi w:val="0"/>
                    <w:adjustRightInd/>
                    <w:spacing w:line="360" w:lineRule="exact"/>
                    <w:ind w:firstLine="0"/>
                    <w:textAlignment w:val="auto"/>
                  </w:pPr>
                  <w:r>
                    <w:t>28</w:t>
                  </w:r>
                  <w:r>
                    <w:rPr>
                      <w:rFonts w:hint="eastAsia"/>
                    </w:rPr>
                    <w:t>．总检锁定：已总检的客户，体检结果自动锁定，医生诊台不能自由更改体检结果，需通知总检医生撤销总检后才能修改体检结果；</w:t>
                  </w:r>
                </w:p>
                <w:p w14:paraId="0FDE52F3">
                  <w:pPr>
                    <w:pStyle w:val="131"/>
                    <w:pageBreakBefore w:val="0"/>
                    <w:widowControl w:val="0"/>
                    <w:kinsoku/>
                    <w:wordWrap/>
                    <w:overflowPunct/>
                    <w:topLinePunct w:val="0"/>
                    <w:autoSpaceDE/>
                    <w:autoSpaceDN/>
                    <w:bidi w:val="0"/>
                    <w:adjustRightInd/>
                    <w:spacing w:line="360" w:lineRule="exact"/>
                    <w:ind w:firstLine="0"/>
                    <w:textAlignment w:val="auto"/>
                  </w:pPr>
                  <w:r>
                    <w:t>29</w:t>
                  </w:r>
                  <w:r>
                    <w:rPr>
                      <w:rFonts w:hint="eastAsia"/>
                    </w:rPr>
                    <w:t>．报告审核：总检医生总检后的报告，可以进行二次审核，规避可能出现的错误；</w:t>
                  </w:r>
                </w:p>
                <w:p w14:paraId="3615BD82">
                  <w:pPr>
                    <w:pStyle w:val="131"/>
                    <w:pageBreakBefore w:val="0"/>
                    <w:widowControl w:val="0"/>
                    <w:kinsoku/>
                    <w:wordWrap/>
                    <w:overflowPunct/>
                    <w:topLinePunct w:val="0"/>
                    <w:autoSpaceDE/>
                    <w:autoSpaceDN/>
                    <w:bidi w:val="0"/>
                    <w:adjustRightInd/>
                    <w:spacing w:line="360" w:lineRule="exact"/>
                    <w:ind w:firstLine="0"/>
                    <w:textAlignment w:val="auto"/>
                  </w:pPr>
                  <w:r>
                    <w:t>30</w:t>
                  </w:r>
                  <w:r>
                    <w:rPr>
                      <w:rFonts w:hint="eastAsia"/>
                    </w:rPr>
                    <w:t>．总检建议知识库：提供具有丰富的体检总检专业知识库，知识库可以自行维护添加，系统现有总检建议不低于</w:t>
                  </w:r>
                  <w:r>
                    <w:t>4000</w:t>
                  </w:r>
                  <w:r>
                    <w:rPr>
                      <w:rFonts w:hint="eastAsia"/>
                    </w:rPr>
                    <w:t>条；</w:t>
                  </w:r>
                </w:p>
                <w:p w14:paraId="6DCB6EA0">
                  <w:pPr>
                    <w:pStyle w:val="131"/>
                    <w:pageBreakBefore w:val="0"/>
                    <w:widowControl w:val="0"/>
                    <w:kinsoku/>
                    <w:wordWrap/>
                    <w:overflowPunct/>
                    <w:topLinePunct w:val="0"/>
                    <w:autoSpaceDE/>
                    <w:autoSpaceDN/>
                    <w:bidi w:val="0"/>
                    <w:adjustRightInd/>
                    <w:spacing w:line="360" w:lineRule="exact"/>
                    <w:ind w:firstLine="0"/>
                    <w:textAlignment w:val="auto"/>
                  </w:pPr>
                  <w:r>
                    <w:t>31</w:t>
                  </w:r>
                  <w:r>
                    <w:rPr>
                      <w:rFonts w:hint="eastAsia"/>
                    </w:rPr>
                    <w:t>．系统升级方式：自服务器升级，各客户端自动升级，不需要对每台终端进行升级；</w:t>
                  </w:r>
                </w:p>
                <w:p w14:paraId="66006D7F">
                  <w:pPr>
                    <w:pStyle w:val="131"/>
                    <w:pageBreakBefore w:val="0"/>
                    <w:widowControl w:val="0"/>
                    <w:kinsoku/>
                    <w:wordWrap/>
                    <w:overflowPunct/>
                    <w:topLinePunct w:val="0"/>
                    <w:autoSpaceDE/>
                    <w:autoSpaceDN/>
                    <w:bidi w:val="0"/>
                    <w:adjustRightInd/>
                    <w:spacing w:line="360" w:lineRule="exact"/>
                    <w:ind w:firstLine="0"/>
                    <w:textAlignment w:val="auto"/>
                  </w:pPr>
                  <w:r>
                    <w:t>32</w:t>
                  </w:r>
                  <w:r>
                    <w:rPr>
                      <w:rFonts w:hint="eastAsia"/>
                    </w:rPr>
                    <w:t>．数据库优化：对数据库进行不断优化，保证大量数据的在线浏览和查询，在不进行数据移植的情况下，不影响使用的速度；</w:t>
                  </w:r>
                </w:p>
                <w:p w14:paraId="3E58D2E2">
                  <w:pPr>
                    <w:pStyle w:val="131"/>
                    <w:pageBreakBefore w:val="0"/>
                    <w:widowControl w:val="0"/>
                    <w:kinsoku/>
                    <w:wordWrap/>
                    <w:overflowPunct/>
                    <w:topLinePunct w:val="0"/>
                    <w:autoSpaceDE/>
                    <w:autoSpaceDN/>
                    <w:bidi w:val="0"/>
                    <w:adjustRightInd/>
                    <w:spacing w:line="360" w:lineRule="exact"/>
                    <w:ind w:firstLine="0"/>
                    <w:textAlignment w:val="auto"/>
                  </w:pPr>
                  <w:r>
                    <w:t>33</w:t>
                  </w:r>
                  <w:r>
                    <w:rPr>
                      <w:rFonts w:hint="eastAsia"/>
                    </w:rPr>
                    <w:t>．分区管理：可进行体检分区管理，如用户有一个以上的体检场所，可选择不同的区来进行管理及统计等；</w:t>
                  </w:r>
                </w:p>
                <w:p w14:paraId="746CD593">
                  <w:pPr>
                    <w:pStyle w:val="131"/>
                    <w:pageBreakBefore w:val="0"/>
                    <w:widowControl w:val="0"/>
                    <w:kinsoku/>
                    <w:wordWrap/>
                    <w:overflowPunct/>
                    <w:topLinePunct w:val="0"/>
                    <w:autoSpaceDE/>
                    <w:autoSpaceDN/>
                    <w:bidi w:val="0"/>
                    <w:adjustRightInd/>
                    <w:spacing w:line="360" w:lineRule="exact"/>
                    <w:ind w:firstLine="0"/>
                    <w:textAlignment w:val="auto"/>
                  </w:pPr>
                  <w:r>
                    <w:t>34</w:t>
                  </w:r>
                  <w:r>
                    <w:rPr>
                      <w:rFonts w:hint="eastAsia"/>
                    </w:rPr>
                    <w:t>．多种体检方式：支持地方个人体检、地方团体体检</w:t>
                  </w:r>
                </w:p>
                <w:p w14:paraId="2DB34458">
                  <w:pPr>
                    <w:pStyle w:val="131"/>
                    <w:pageBreakBefore w:val="0"/>
                    <w:widowControl w:val="0"/>
                    <w:kinsoku/>
                    <w:wordWrap/>
                    <w:overflowPunct/>
                    <w:topLinePunct w:val="0"/>
                    <w:autoSpaceDE/>
                    <w:autoSpaceDN/>
                    <w:bidi w:val="0"/>
                    <w:adjustRightInd/>
                    <w:spacing w:line="360" w:lineRule="exact"/>
                    <w:ind w:firstLine="0"/>
                    <w:textAlignment w:val="auto"/>
                  </w:pPr>
                  <w:r>
                    <w:t>35</w:t>
                  </w:r>
                  <w:r>
                    <w:rPr>
                      <w:rFonts w:hint="eastAsia"/>
                    </w:rPr>
                    <w:t>．数据备份：提供多种数据备份功能，当体检数据过多后，可对暂时用不着的数据记性转档存储，随时可以进行查询，节省系统空间，保证系统运行速度；</w:t>
                  </w:r>
                </w:p>
                <w:p w14:paraId="1D5966CB">
                  <w:pPr>
                    <w:pStyle w:val="131"/>
                    <w:pageBreakBefore w:val="0"/>
                    <w:widowControl w:val="0"/>
                    <w:kinsoku/>
                    <w:wordWrap/>
                    <w:overflowPunct/>
                    <w:topLinePunct w:val="0"/>
                    <w:autoSpaceDE/>
                    <w:autoSpaceDN/>
                    <w:bidi w:val="0"/>
                    <w:adjustRightInd/>
                    <w:spacing w:line="360" w:lineRule="exact"/>
                    <w:ind w:firstLine="0"/>
                    <w:textAlignment w:val="auto"/>
                  </w:pPr>
                  <w:r>
                    <w:t>36</w:t>
                  </w:r>
                  <w:r>
                    <w:rPr>
                      <w:rFonts w:hint="eastAsia"/>
                    </w:rPr>
                    <w:t>．自由维护：分科科室和体检项目等均可自由维护，新修改的科室及项目不会影响已经做过的历史数据；</w:t>
                  </w:r>
                </w:p>
                <w:p w14:paraId="0456EBB1">
                  <w:pPr>
                    <w:pStyle w:val="131"/>
                    <w:pageBreakBefore w:val="0"/>
                    <w:widowControl w:val="0"/>
                    <w:kinsoku/>
                    <w:wordWrap/>
                    <w:overflowPunct/>
                    <w:topLinePunct w:val="0"/>
                    <w:autoSpaceDE/>
                    <w:autoSpaceDN/>
                    <w:bidi w:val="0"/>
                    <w:adjustRightInd/>
                    <w:spacing w:line="360" w:lineRule="exact"/>
                    <w:ind w:firstLine="0"/>
                    <w:textAlignment w:val="auto"/>
                  </w:pPr>
                  <w:r>
                    <w:t>37</w:t>
                  </w:r>
                  <w:r>
                    <w:rPr>
                      <w:rFonts w:hint="eastAsia"/>
                    </w:rPr>
                    <w:t>．用户权限管理：支持工作人员的权限管理，可根据岗位需求不同，进行用户岗位、角色、权限分配等；</w:t>
                  </w:r>
                </w:p>
                <w:p w14:paraId="3AB80135">
                  <w:pPr>
                    <w:pStyle w:val="131"/>
                    <w:pageBreakBefore w:val="0"/>
                    <w:widowControl w:val="0"/>
                    <w:kinsoku/>
                    <w:wordWrap/>
                    <w:overflowPunct/>
                    <w:topLinePunct w:val="0"/>
                    <w:autoSpaceDE/>
                    <w:autoSpaceDN/>
                    <w:bidi w:val="0"/>
                    <w:adjustRightInd/>
                    <w:spacing w:line="360" w:lineRule="exact"/>
                    <w:ind w:firstLine="0"/>
                    <w:textAlignment w:val="auto"/>
                  </w:pPr>
                  <w:r>
                    <w:t>38</w:t>
                  </w:r>
                  <w:r>
                    <w:rPr>
                      <w:rFonts w:hint="eastAsia"/>
                    </w:rPr>
                    <w:t>．体检套餐自由设置：体检套餐可以自由添加，可根据男女性别不同设置不同的套餐。</w:t>
                  </w:r>
                </w:p>
                <w:p w14:paraId="06680C55">
                  <w:pPr>
                    <w:pStyle w:val="131"/>
                    <w:pageBreakBefore w:val="0"/>
                    <w:widowControl w:val="0"/>
                    <w:kinsoku/>
                    <w:wordWrap/>
                    <w:overflowPunct/>
                    <w:topLinePunct w:val="0"/>
                    <w:autoSpaceDE/>
                    <w:autoSpaceDN/>
                    <w:bidi w:val="0"/>
                    <w:adjustRightInd/>
                    <w:spacing w:line="360" w:lineRule="exact"/>
                    <w:ind w:firstLine="0"/>
                    <w:textAlignment w:val="auto"/>
                  </w:pPr>
                  <w:r>
                    <w:t>39</w:t>
                  </w:r>
                  <w:r>
                    <w:rPr>
                      <w:rFonts w:hint="eastAsia"/>
                    </w:rPr>
                    <w:t>．操作日志：任何一个用户在使用系统中间的任何一步操作都会在操作日记中记录，包括操作的时间及操作的内容，并可以根据时间段进行查询，方便体检中心负责人进行管理，出现问题时可以直接到人；</w:t>
                  </w:r>
                </w:p>
                <w:p w14:paraId="5E081D2E">
                  <w:pPr>
                    <w:pStyle w:val="131"/>
                    <w:pageBreakBefore w:val="0"/>
                    <w:widowControl w:val="0"/>
                    <w:kinsoku/>
                    <w:wordWrap/>
                    <w:overflowPunct/>
                    <w:topLinePunct w:val="0"/>
                    <w:autoSpaceDE/>
                    <w:autoSpaceDN/>
                    <w:bidi w:val="0"/>
                    <w:adjustRightInd/>
                    <w:spacing w:line="360" w:lineRule="exact"/>
                    <w:ind w:firstLine="0"/>
                    <w:textAlignment w:val="auto"/>
                  </w:pPr>
                  <w:r>
                    <w:t>40</w:t>
                  </w:r>
                  <w:r>
                    <w:rPr>
                      <w:rFonts w:hint="eastAsia"/>
                    </w:rPr>
                    <w:t>．阳性结果规则维护：可自由添加、删除阳性结果及规则，并可批量进行操作启用及禁用；</w:t>
                  </w:r>
                </w:p>
                <w:p w14:paraId="0E484571">
                  <w:pPr>
                    <w:pStyle w:val="131"/>
                    <w:pageBreakBefore w:val="0"/>
                    <w:widowControl w:val="0"/>
                    <w:kinsoku/>
                    <w:wordWrap/>
                    <w:overflowPunct/>
                    <w:topLinePunct w:val="0"/>
                    <w:autoSpaceDE/>
                    <w:autoSpaceDN/>
                    <w:bidi w:val="0"/>
                    <w:adjustRightInd/>
                    <w:spacing w:line="360" w:lineRule="exact"/>
                    <w:ind w:firstLine="0"/>
                    <w:textAlignment w:val="auto"/>
                  </w:pPr>
                  <w:r>
                    <w:t>41</w:t>
                  </w:r>
                  <w:r>
                    <w:rPr>
                      <w:rFonts w:hint="eastAsia"/>
                    </w:rPr>
                    <w:t>．支持团体结算时统一费用，支持各种财务、体检状态、工作量、疾病分析统计、报表、导出；</w:t>
                  </w:r>
                </w:p>
                <w:p w14:paraId="101DDB96">
                  <w:pPr>
                    <w:pStyle w:val="131"/>
                    <w:pageBreakBefore w:val="0"/>
                    <w:widowControl w:val="0"/>
                    <w:kinsoku/>
                    <w:wordWrap/>
                    <w:overflowPunct/>
                    <w:topLinePunct w:val="0"/>
                    <w:autoSpaceDE/>
                    <w:autoSpaceDN/>
                    <w:bidi w:val="0"/>
                    <w:adjustRightInd/>
                    <w:spacing w:line="360" w:lineRule="exact"/>
                    <w:ind w:firstLine="0"/>
                    <w:textAlignment w:val="auto"/>
                    <w:rPr>
                      <w:rFonts w:ascii="宋体" w:hAnsi="宋体" w:cs="宋体"/>
                      <w:szCs w:val="21"/>
                    </w:rPr>
                  </w:pPr>
                  <w:r>
                    <w:t>42</w:t>
                  </w:r>
                  <w:r>
                    <w:rPr>
                      <w:rFonts w:hint="eastAsia"/>
                    </w:rPr>
                    <w:t>．单位团体报告自动生成，个人报告可导出</w:t>
                  </w:r>
                  <w:r>
                    <w:t>PDF</w:t>
                  </w:r>
                  <w:r>
                    <w:rPr>
                      <w:rFonts w:hint="eastAsia"/>
                    </w:rPr>
                    <w:t>电子档；</w:t>
                  </w:r>
                </w:p>
              </w:tc>
            </w:tr>
            <w:tr w14:paraId="54660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3" w:type="dxa"/>
                  <w:vMerge w:val="continue"/>
                  <w:tcBorders>
                    <w:top w:val="single" w:color="auto" w:sz="4" w:space="0"/>
                    <w:left w:val="single" w:color="auto" w:sz="4" w:space="0"/>
                    <w:bottom w:val="single" w:color="auto" w:sz="4" w:space="0"/>
                    <w:right w:val="single" w:color="auto" w:sz="4" w:space="0"/>
                  </w:tcBorders>
                  <w:noWrap w:val="0"/>
                  <w:vAlign w:val="center"/>
                </w:tcPr>
                <w:p w14:paraId="03B8FCE4">
                  <w:pPr>
                    <w:widowControl/>
                    <w:jc w:val="left"/>
                    <w:rPr>
                      <w:rFonts w:ascii="宋体" w:hAnsi="宋体" w:cs="宋体"/>
                      <w:b/>
                      <w:color w:val="000000"/>
                      <w:sz w:val="20"/>
                      <w:szCs w:val="20"/>
                    </w:rPr>
                  </w:pPr>
                </w:p>
              </w:tc>
              <w:tc>
                <w:tcPr>
                  <w:tcW w:w="804" w:type="dxa"/>
                  <w:vMerge w:val="continue"/>
                  <w:tcBorders>
                    <w:top w:val="single" w:color="auto" w:sz="4" w:space="0"/>
                    <w:left w:val="single" w:color="auto" w:sz="4" w:space="0"/>
                    <w:bottom w:val="single" w:color="auto" w:sz="4" w:space="0"/>
                    <w:right w:val="single" w:color="auto" w:sz="4" w:space="0"/>
                  </w:tcBorders>
                  <w:noWrap w:val="0"/>
                  <w:vAlign w:val="center"/>
                </w:tcPr>
                <w:p w14:paraId="3A42E4C8">
                  <w:pPr>
                    <w:widowControl/>
                    <w:jc w:val="left"/>
                    <w:rPr>
                      <w:rFonts w:ascii="宋体" w:hAnsi="宋体" w:cs="宋体"/>
                      <w:color w:val="000000"/>
                      <w:sz w:val="20"/>
                      <w:szCs w:val="20"/>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24254341">
                  <w:pPr>
                    <w:pageBreakBefore w:val="0"/>
                    <w:widowControl w:val="0"/>
                    <w:kinsoku/>
                    <w:wordWrap/>
                    <w:overflowPunct/>
                    <w:topLinePunct w:val="0"/>
                    <w:autoSpaceDE/>
                    <w:autoSpaceDN/>
                    <w:bidi w:val="0"/>
                    <w:adjustRightInd/>
                    <w:spacing w:line="360" w:lineRule="exact"/>
                    <w:textAlignment w:val="auto"/>
                    <w:rPr>
                      <w:rFonts w:ascii="宋体" w:hAnsi="宋体" w:cs="宋体"/>
                      <w:color w:val="000000"/>
                      <w:sz w:val="21"/>
                      <w:szCs w:val="21"/>
                    </w:rPr>
                  </w:pPr>
                  <w:r>
                    <w:rPr>
                      <w:rFonts w:hint="eastAsia"/>
                      <w:color w:val="000000"/>
                      <w:sz w:val="21"/>
                      <w:szCs w:val="21"/>
                    </w:rPr>
                    <w:t>输血管理</w:t>
                  </w:r>
                </w:p>
              </w:tc>
              <w:tc>
                <w:tcPr>
                  <w:tcW w:w="7748" w:type="dxa"/>
                  <w:tcBorders>
                    <w:top w:val="single" w:color="auto" w:sz="4" w:space="0"/>
                    <w:left w:val="single" w:color="auto" w:sz="4" w:space="0"/>
                    <w:bottom w:val="single" w:color="auto" w:sz="4" w:space="0"/>
                    <w:right w:val="single" w:color="auto" w:sz="4" w:space="0"/>
                  </w:tcBorders>
                  <w:noWrap/>
                  <w:vAlign w:val="center"/>
                </w:tcPr>
                <w:p w14:paraId="4FAEB675">
                  <w:pPr>
                    <w:pStyle w:val="7"/>
                    <w:pageBreakBefore w:val="0"/>
                    <w:widowControl w:val="0"/>
                    <w:kinsoku/>
                    <w:wordWrap/>
                    <w:overflowPunct/>
                    <w:topLinePunct w:val="0"/>
                    <w:autoSpaceDE/>
                    <w:autoSpaceDN/>
                    <w:bidi w:val="0"/>
                    <w:adjustRightInd/>
                    <w:spacing w:line="360" w:lineRule="exact"/>
                    <w:textAlignment w:val="auto"/>
                    <w:rPr>
                      <w:rFonts w:ascii="Calibri"/>
                      <w:sz w:val="21"/>
                    </w:rPr>
                  </w:pPr>
                  <w:r>
                    <w:rPr>
                      <w:rFonts w:hint="eastAsia"/>
                    </w:rPr>
                    <w:t>输血系统</w:t>
                  </w:r>
                </w:p>
                <w:p w14:paraId="703C1200">
                  <w:pPr>
                    <w:pStyle w:val="131"/>
                    <w:pageBreakBefore w:val="0"/>
                    <w:widowControl w:val="0"/>
                    <w:kinsoku/>
                    <w:wordWrap/>
                    <w:overflowPunct/>
                    <w:topLinePunct w:val="0"/>
                    <w:autoSpaceDE/>
                    <w:autoSpaceDN/>
                    <w:bidi w:val="0"/>
                    <w:adjustRightInd/>
                    <w:spacing w:line="360" w:lineRule="exact"/>
                    <w:ind w:firstLine="0"/>
                    <w:textAlignment w:val="auto"/>
                    <w:rPr>
                      <w:b/>
                    </w:rPr>
                  </w:pPr>
                  <w:r>
                    <w:rPr>
                      <w:b/>
                    </w:rPr>
                    <w:t>1</w:t>
                  </w:r>
                  <w:r>
                    <w:rPr>
                      <w:rFonts w:hint="eastAsia"/>
                      <w:b/>
                    </w:rPr>
                    <w:t>、总体要求</w:t>
                  </w:r>
                </w:p>
                <w:p w14:paraId="17F2752C">
                  <w:pPr>
                    <w:pStyle w:val="131"/>
                    <w:pageBreakBefore w:val="0"/>
                    <w:widowControl w:val="0"/>
                    <w:kinsoku/>
                    <w:wordWrap/>
                    <w:overflowPunct/>
                    <w:topLinePunct w:val="0"/>
                    <w:autoSpaceDE/>
                    <w:autoSpaceDN/>
                    <w:bidi w:val="0"/>
                    <w:adjustRightInd/>
                    <w:spacing w:line="360" w:lineRule="exact"/>
                    <w:ind w:firstLine="0"/>
                    <w:textAlignment w:val="auto"/>
                  </w:pPr>
                  <w:r>
                    <w:t>1.</w:t>
                  </w:r>
                  <w:r>
                    <w:tab/>
                  </w:r>
                  <w:r>
                    <w:rPr>
                      <w:rFonts w:hint="eastAsia"/>
                    </w:rPr>
                    <w:t>三层体系架构</w:t>
                  </w:r>
                  <w:r>
                    <w:t>/</w:t>
                  </w:r>
                  <w:r>
                    <w:rPr>
                      <w:rFonts w:hint="eastAsia"/>
                    </w:rPr>
                    <w:t>基于</w:t>
                  </w:r>
                  <w:r>
                    <w:t>Web</w:t>
                  </w:r>
                  <w:r>
                    <w:rPr>
                      <w:rFonts w:hint="eastAsia"/>
                    </w:rPr>
                    <w:t>的临床输血软件</w:t>
                  </w:r>
                </w:p>
                <w:p w14:paraId="0F661487">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系统采用三层体系架构，数据访问层主要是对数据的操作为业务逻辑层或表示层提供数据服务，业务逻辑层主要是对数据层的操作</w:t>
                  </w:r>
                  <w:r>
                    <w:t>,</w:t>
                  </w:r>
                  <w:r>
                    <w:rPr>
                      <w:rFonts w:hint="eastAsia"/>
                    </w:rPr>
                    <w:t>对数据业务逻辑的处理，表示层主要表示</w:t>
                  </w:r>
                  <w:r>
                    <w:t>WEB</w:t>
                  </w:r>
                  <w:r>
                    <w:rPr>
                      <w:rFonts w:hint="eastAsia"/>
                    </w:rPr>
                    <w:t>方式。三层体系可以更好的支持分布式计算环境，充分利用网络的计算功能，大大增加数据的安全性。</w:t>
                  </w:r>
                </w:p>
                <w:p w14:paraId="6FC0E473">
                  <w:pPr>
                    <w:pStyle w:val="131"/>
                    <w:pageBreakBefore w:val="0"/>
                    <w:widowControl w:val="0"/>
                    <w:kinsoku/>
                    <w:wordWrap/>
                    <w:overflowPunct/>
                    <w:topLinePunct w:val="0"/>
                    <w:autoSpaceDE/>
                    <w:autoSpaceDN/>
                    <w:bidi w:val="0"/>
                    <w:adjustRightInd/>
                    <w:spacing w:line="360" w:lineRule="exact"/>
                    <w:ind w:firstLine="0"/>
                    <w:textAlignment w:val="auto"/>
                  </w:pPr>
                  <w:r>
                    <w:t>2.</w:t>
                  </w:r>
                  <w:r>
                    <w:tab/>
                  </w:r>
                  <w:r>
                    <w:rPr>
                      <w:rFonts w:hint="eastAsia"/>
                    </w:rPr>
                    <w:t>全流程闭环设计</w:t>
                  </w:r>
                </w:p>
                <w:p w14:paraId="5CCEA239">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系统以用血申请单为主线，实现临床医生用血申请、临床医生用血审批、临床护士用血执行、临床护士用血确认、临床护士用血反馈等流程管理信息化；以血标本为主线，实现标本管理信息化；以血制品为主线，实现血制品流转、使用、回收、销毁、报废等信息化；最终实现用血质量评价信息化和输血闭环管理</w:t>
                  </w:r>
                </w:p>
                <w:p w14:paraId="39381677">
                  <w:pPr>
                    <w:pStyle w:val="131"/>
                    <w:pageBreakBefore w:val="0"/>
                    <w:widowControl w:val="0"/>
                    <w:kinsoku/>
                    <w:wordWrap/>
                    <w:overflowPunct/>
                    <w:topLinePunct w:val="0"/>
                    <w:autoSpaceDE/>
                    <w:autoSpaceDN/>
                    <w:bidi w:val="0"/>
                    <w:adjustRightInd/>
                    <w:spacing w:line="360" w:lineRule="exact"/>
                    <w:ind w:firstLine="0"/>
                    <w:textAlignment w:val="auto"/>
                  </w:pPr>
                  <w:r>
                    <w:t>3.</w:t>
                  </w:r>
                  <w:r>
                    <w:tab/>
                  </w:r>
                  <w:r>
                    <w:rPr>
                      <w:rFonts w:hint="eastAsia"/>
                    </w:rPr>
                    <w:t>模块化结构设计，定制化业务流程</w:t>
                  </w:r>
                </w:p>
                <w:p w14:paraId="7066213F">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采用最新的模块化设计，实现根据医院实际情况输血软件定制化业务流程。（备血、用血、紧急、自体、异型）不同的输血申请种类可以自定义业务流程（知情同意书、输血前评估、输血申请、临床审核、输血科审核、医务科审核、申请单发送、交叉配血、输血记录与反馈、输血后评价）</w:t>
                  </w:r>
                </w:p>
                <w:p w14:paraId="6E669164">
                  <w:pPr>
                    <w:pStyle w:val="131"/>
                    <w:pageBreakBefore w:val="0"/>
                    <w:widowControl w:val="0"/>
                    <w:kinsoku/>
                    <w:wordWrap/>
                    <w:overflowPunct/>
                    <w:topLinePunct w:val="0"/>
                    <w:autoSpaceDE/>
                    <w:autoSpaceDN/>
                    <w:bidi w:val="0"/>
                    <w:adjustRightInd/>
                    <w:spacing w:line="360" w:lineRule="exact"/>
                    <w:ind w:firstLine="0"/>
                    <w:textAlignment w:val="auto"/>
                  </w:pPr>
                  <w:r>
                    <w:t>4.</w:t>
                  </w:r>
                  <w:r>
                    <w:tab/>
                  </w:r>
                  <w:r>
                    <w:rPr>
                      <w:rFonts w:hint="eastAsia"/>
                    </w:rPr>
                    <w:t>多部门待执行任务智能提醒</w:t>
                  </w:r>
                </w:p>
                <w:p w14:paraId="47D46102">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有独立的输血科、护理部、临床医生、手术室、医务部模块和功能，实现输血科、护理部、临床医生、手术室、医务部输血业务信息化，多个部门紧密衔接智能提醒，业务流程中前一步完成，后续涉及流程和部门可自动提醒或者登录软件自动显示待执行任务</w:t>
                  </w:r>
                </w:p>
                <w:p w14:paraId="21EA01B7">
                  <w:pPr>
                    <w:pStyle w:val="131"/>
                    <w:pageBreakBefore w:val="0"/>
                    <w:widowControl w:val="0"/>
                    <w:kinsoku/>
                    <w:wordWrap/>
                    <w:overflowPunct/>
                    <w:topLinePunct w:val="0"/>
                    <w:autoSpaceDE/>
                    <w:autoSpaceDN/>
                    <w:bidi w:val="0"/>
                    <w:adjustRightInd/>
                    <w:spacing w:line="360" w:lineRule="exact"/>
                    <w:ind w:firstLine="0"/>
                    <w:textAlignment w:val="auto"/>
                  </w:pPr>
                  <w:r>
                    <w:t>5.</w:t>
                  </w:r>
                  <w:r>
                    <w:tab/>
                  </w:r>
                  <w:r>
                    <w:rPr>
                      <w:rFonts w:hint="eastAsia"/>
                    </w:rPr>
                    <w:t>支持多院区、集团化、医联体部署</w:t>
                  </w:r>
                </w:p>
                <w:p w14:paraId="181BCC9D">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多个院区输血科可以独立出入库，查询，统计，支持多个输血科之间的血液调拨</w:t>
                  </w:r>
                </w:p>
                <w:p w14:paraId="2F2ABF0B">
                  <w:pPr>
                    <w:pStyle w:val="131"/>
                    <w:pageBreakBefore w:val="0"/>
                    <w:widowControl w:val="0"/>
                    <w:kinsoku/>
                    <w:wordWrap/>
                    <w:overflowPunct/>
                    <w:topLinePunct w:val="0"/>
                    <w:autoSpaceDE/>
                    <w:autoSpaceDN/>
                    <w:bidi w:val="0"/>
                    <w:adjustRightInd/>
                    <w:spacing w:line="360" w:lineRule="exact"/>
                    <w:ind w:firstLine="0"/>
                    <w:textAlignment w:val="auto"/>
                  </w:pPr>
                  <w:r>
                    <w:t>6.</w:t>
                  </w:r>
                  <w:r>
                    <w:tab/>
                  </w:r>
                  <w:r>
                    <w:rPr>
                      <w:rFonts w:hint="eastAsia"/>
                    </w:rPr>
                    <w:t>严格权限控制，保证用血安全</w:t>
                  </w:r>
                </w:p>
                <w:p w14:paraId="4B179481">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系统根据业务的需求设立不同的角色：医生、护士、医务处、手术室等，并且可以根据医生的不同的级别分别设置系统使用权限，严防越权使用系统。</w:t>
                  </w:r>
                </w:p>
                <w:p w14:paraId="3DEEEEDD">
                  <w:pPr>
                    <w:pStyle w:val="131"/>
                    <w:pageBreakBefore w:val="0"/>
                    <w:widowControl w:val="0"/>
                    <w:kinsoku/>
                    <w:wordWrap/>
                    <w:overflowPunct/>
                    <w:topLinePunct w:val="0"/>
                    <w:autoSpaceDE/>
                    <w:autoSpaceDN/>
                    <w:bidi w:val="0"/>
                    <w:adjustRightInd/>
                    <w:spacing w:line="360" w:lineRule="exact"/>
                    <w:ind w:firstLine="0"/>
                    <w:textAlignment w:val="auto"/>
                  </w:pPr>
                  <w:r>
                    <w:t>7.</w:t>
                  </w:r>
                  <w:r>
                    <w:tab/>
                  </w:r>
                  <w:r>
                    <w:rPr>
                      <w:rFonts w:hint="eastAsia"/>
                    </w:rPr>
                    <w:t>第三方多方式融合</w:t>
                  </w:r>
                </w:p>
                <w:p w14:paraId="660E966A">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输血临床端支持嵌入第三方系统，支持多种方式嵌入融合（</w:t>
                  </w:r>
                  <w:r>
                    <w:t>DLL</w:t>
                  </w:r>
                  <w:r>
                    <w:rPr>
                      <w:rFonts w:hint="eastAsia"/>
                    </w:rPr>
                    <w:t>动态库、</w:t>
                  </w:r>
                  <w:r>
                    <w:t>URL</w:t>
                  </w:r>
                  <w:r>
                    <w:rPr>
                      <w:rFonts w:hint="eastAsia"/>
                    </w:rPr>
                    <w:t>调用、</w:t>
                  </w:r>
                  <w:r>
                    <w:t>EXE</w:t>
                  </w:r>
                  <w:r>
                    <w:rPr>
                      <w:rFonts w:hint="eastAsia"/>
                    </w:rPr>
                    <w:t>文件调用）</w:t>
                  </w:r>
                </w:p>
                <w:p w14:paraId="0D9BCCBA">
                  <w:pPr>
                    <w:pStyle w:val="8"/>
                    <w:pageBreakBefore w:val="0"/>
                    <w:widowControl w:val="0"/>
                    <w:kinsoku/>
                    <w:wordWrap/>
                    <w:overflowPunct/>
                    <w:topLinePunct w:val="0"/>
                    <w:autoSpaceDE/>
                    <w:autoSpaceDN/>
                    <w:bidi w:val="0"/>
                    <w:adjustRightInd/>
                    <w:spacing w:line="360" w:lineRule="exact"/>
                    <w:textAlignment w:val="auto"/>
                  </w:pPr>
                  <w:r>
                    <w:rPr>
                      <w:rFonts w:hint="eastAsia"/>
                    </w:rPr>
                    <w:t>医生站</w:t>
                  </w:r>
                </w:p>
                <w:p w14:paraId="6CAB312F">
                  <w:pPr>
                    <w:pStyle w:val="131"/>
                    <w:pageBreakBefore w:val="0"/>
                    <w:widowControl w:val="0"/>
                    <w:kinsoku/>
                    <w:wordWrap/>
                    <w:overflowPunct/>
                    <w:topLinePunct w:val="0"/>
                    <w:autoSpaceDE/>
                    <w:autoSpaceDN/>
                    <w:bidi w:val="0"/>
                    <w:adjustRightInd/>
                    <w:spacing w:line="360" w:lineRule="exact"/>
                    <w:ind w:firstLine="0"/>
                    <w:textAlignment w:val="auto"/>
                    <w:rPr>
                      <w:b/>
                    </w:rPr>
                  </w:pPr>
                  <w:r>
                    <w:rPr>
                      <w:b/>
                    </w:rPr>
                    <w:t>1</w:t>
                  </w:r>
                  <w:r>
                    <w:rPr>
                      <w:rFonts w:hint="eastAsia"/>
                      <w:b/>
                    </w:rPr>
                    <w:t>、输血知情同意书</w:t>
                  </w:r>
                </w:p>
                <w:p w14:paraId="67B68ADE">
                  <w:pPr>
                    <w:pStyle w:val="131"/>
                    <w:pageBreakBefore w:val="0"/>
                    <w:widowControl w:val="0"/>
                    <w:kinsoku/>
                    <w:wordWrap/>
                    <w:overflowPunct/>
                    <w:topLinePunct w:val="0"/>
                    <w:autoSpaceDE/>
                    <w:autoSpaceDN/>
                    <w:bidi w:val="0"/>
                    <w:adjustRightInd/>
                    <w:spacing w:line="360" w:lineRule="exact"/>
                    <w:ind w:firstLine="0"/>
                    <w:textAlignment w:val="auto"/>
                  </w:pPr>
                  <w:r>
                    <w:t>1.</w:t>
                  </w:r>
                  <w:r>
                    <w:rPr>
                      <w:rFonts w:hint="eastAsia"/>
                    </w:rPr>
                    <w:t>根据紧急、自身输血、异性输血、</w:t>
                  </w:r>
                  <w:r>
                    <w:t>RH</w:t>
                  </w:r>
                  <w:r>
                    <w:rPr>
                      <w:rFonts w:hint="eastAsia"/>
                    </w:rPr>
                    <w:t>阴性输血</w:t>
                  </w:r>
                  <w:r>
                    <w:t>2.</w:t>
                  </w:r>
                  <w:r>
                    <w:rPr>
                      <w:rFonts w:hint="eastAsia"/>
                    </w:rPr>
                    <w:t>生成不同的知情同意书模板</w:t>
                  </w:r>
                </w:p>
                <w:p w14:paraId="1306C248">
                  <w:pPr>
                    <w:pStyle w:val="131"/>
                    <w:pageBreakBefore w:val="0"/>
                    <w:widowControl w:val="0"/>
                    <w:kinsoku/>
                    <w:wordWrap/>
                    <w:overflowPunct/>
                    <w:topLinePunct w:val="0"/>
                    <w:autoSpaceDE/>
                    <w:autoSpaceDN/>
                    <w:bidi w:val="0"/>
                    <w:adjustRightInd/>
                    <w:spacing w:line="360" w:lineRule="exact"/>
                    <w:ind w:firstLine="0"/>
                    <w:textAlignment w:val="auto"/>
                  </w:pPr>
                  <w:r>
                    <w:t>3.</w:t>
                  </w:r>
                  <w:r>
                    <w:rPr>
                      <w:rFonts w:hint="eastAsia"/>
                    </w:rPr>
                    <w:t>知情同意书模板可以自定义格式</w:t>
                  </w:r>
                </w:p>
                <w:p w14:paraId="13FD612D">
                  <w:pPr>
                    <w:pStyle w:val="131"/>
                    <w:pageBreakBefore w:val="0"/>
                    <w:widowControl w:val="0"/>
                    <w:kinsoku/>
                    <w:wordWrap/>
                    <w:overflowPunct/>
                    <w:topLinePunct w:val="0"/>
                    <w:autoSpaceDE/>
                    <w:autoSpaceDN/>
                    <w:bidi w:val="0"/>
                    <w:adjustRightInd/>
                    <w:spacing w:line="360" w:lineRule="exact"/>
                    <w:ind w:firstLine="0"/>
                    <w:textAlignment w:val="auto"/>
                  </w:pPr>
                  <w:r>
                    <w:t>4.</w:t>
                  </w:r>
                  <w:r>
                    <w:rPr>
                      <w:rFonts w:hint="eastAsia"/>
                    </w:rPr>
                    <w:t>系统自动提取患者最近检验结果</w:t>
                  </w:r>
                </w:p>
                <w:p w14:paraId="0DDA4886">
                  <w:pPr>
                    <w:pStyle w:val="131"/>
                    <w:pageBreakBefore w:val="0"/>
                    <w:widowControl w:val="0"/>
                    <w:kinsoku/>
                    <w:wordWrap/>
                    <w:overflowPunct/>
                    <w:topLinePunct w:val="0"/>
                    <w:autoSpaceDE/>
                    <w:autoSpaceDN/>
                    <w:bidi w:val="0"/>
                    <w:adjustRightInd/>
                    <w:spacing w:line="360" w:lineRule="exact"/>
                    <w:ind w:firstLine="0"/>
                    <w:textAlignment w:val="auto"/>
                  </w:pPr>
                  <w:r>
                    <w:t>5.</w:t>
                  </w:r>
                  <w:r>
                    <w:rPr>
                      <w:rFonts w:hint="eastAsia"/>
                    </w:rPr>
                    <w:t>知情同意书支持手写板患者签名接口</w:t>
                  </w:r>
                </w:p>
                <w:p w14:paraId="0D07E0C4">
                  <w:pPr>
                    <w:pStyle w:val="131"/>
                    <w:pageBreakBefore w:val="0"/>
                    <w:widowControl w:val="0"/>
                    <w:kinsoku/>
                    <w:wordWrap/>
                    <w:overflowPunct/>
                    <w:topLinePunct w:val="0"/>
                    <w:autoSpaceDE/>
                    <w:autoSpaceDN/>
                    <w:bidi w:val="0"/>
                    <w:adjustRightInd/>
                    <w:spacing w:line="360" w:lineRule="exact"/>
                    <w:ind w:firstLine="0"/>
                    <w:textAlignment w:val="auto"/>
                    <w:rPr>
                      <w:b/>
                    </w:rPr>
                  </w:pPr>
                  <w:r>
                    <w:rPr>
                      <w:b/>
                    </w:rPr>
                    <w:t>2</w:t>
                  </w:r>
                  <w:r>
                    <w:rPr>
                      <w:rFonts w:hint="eastAsia"/>
                      <w:b/>
                    </w:rPr>
                    <w:t>、输血前评估</w:t>
                  </w:r>
                </w:p>
                <w:p w14:paraId="72337AFF">
                  <w:pPr>
                    <w:pStyle w:val="131"/>
                    <w:pageBreakBefore w:val="0"/>
                    <w:widowControl w:val="0"/>
                    <w:kinsoku/>
                    <w:wordWrap/>
                    <w:overflowPunct/>
                    <w:topLinePunct w:val="0"/>
                    <w:autoSpaceDE/>
                    <w:autoSpaceDN/>
                    <w:bidi w:val="0"/>
                    <w:adjustRightInd/>
                    <w:spacing w:line="360" w:lineRule="exact"/>
                    <w:ind w:firstLine="0"/>
                    <w:textAlignment w:val="auto"/>
                  </w:pPr>
                  <w:r>
                    <w:t>1.</w:t>
                  </w:r>
                  <w:r>
                    <w:rPr>
                      <w:rFonts w:hint="eastAsia"/>
                    </w:rPr>
                    <w:t>根据是否手术、专业大类、适用急诊、年龄范围、检验结果、患者体征设置输血适应症</w:t>
                  </w:r>
                </w:p>
                <w:p w14:paraId="79377539">
                  <w:pPr>
                    <w:pStyle w:val="131"/>
                    <w:pageBreakBefore w:val="0"/>
                    <w:widowControl w:val="0"/>
                    <w:kinsoku/>
                    <w:wordWrap/>
                    <w:overflowPunct/>
                    <w:topLinePunct w:val="0"/>
                    <w:autoSpaceDE/>
                    <w:autoSpaceDN/>
                    <w:bidi w:val="0"/>
                    <w:adjustRightInd/>
                    <w:spacing w:line="360" w:lineRule="exact"/>
                    <w:ind w:firstLine="0"/>
                    <w:textAlignment w:val="auto"/>
                  </w:pPr>
                  <w:r>
                    <w:t>2.</w:t>
                  </w:r>
                  <w:r>
                    <w:rPr>
                      <w:rFonts w:hint="eastAsia"/>
                    </w:rPr>
                    <w:t>根据预设规则，自动审核输血申请是否符合输血适应证，不符合规则用血申请应要求填写申请理由</w:t>
                  </w:r>
                </w:p>
                <w:p w14:paraId="4D23A9CD">
                  <w:pPr>
                    <w:pStyle w:val="131"/>
                    <w:pageBreakBefore w:val="0"/>
                    <w:widowControl w:val="0"/>
                    <w:kinsoku/>
                    <w:wordWrap/>
                    <w:overflowPunct/>
                    <w:topLinePunct w:val="0"/>
                    <w:autoSpaceDE/>
                    <w:autoSpaceDN/>
                    <w:bidi w:val="0"/>
                    <w:adjustRightInd/>
                    <w:spacing w:line="360" w:lineRule="exact"/>
                    <w:ind w:firstLine="0"/>
                    <w:textAlignment w:val="auto"/>
                  </w:pPr>
                  <w:r>
                    <w:t>3.</w:t>
                  </w:r>
                  <w:r>
                    <w:rPr>
                      <w:rFonts w:hint="eastAsia"/>
                    </w:rPr>
                    <w:t>输血量智能评估（预设公式可以不同血液成份，根据患者体重、身高、检验值、期望值自动计算）</w:t>
                  </w:r>
                </w:p>
                <w:p w14:paraId="1A9E156A">
                  <w:pPr>
                    <w:pStyle w:val="131"/>
                    <w:pageBreakBefore w:val="0"/>
                    <w:widowControl w:val="0"/>
                    <w:kinsoku/>
                    <w:wordWrap/>
                    <w:overflowPunct/>
                    <w:topLinePunct w:val="0"/>
                    <w:autoSpaceDE/>
                    <w:autoSpaceDN/>
                    <w:bidi w:val="0"/>
                    <w:adjustRightInd/>
                    <w:spacing w:line="360" w:lineRule="exact"/>
                    <w:ind w:firstLine="0"/>
                    <w:textAlignment w:val="auto"/>
                    <w:rPr>
                      <w:b/>
                    </w:rPr>
                  </w:pPr>
                  <w:r>
                    <w:rPr>
                      <w:b/>
                    </w:rPr>
                    <w:t>3</w:t>
                  </w:r>
                  <w:r>
                    <w:rPr>
                      <w:rFonts w:hint="eastAsia"/>
                      <w:b/>
                    </w:rPr>
                    <w:t>、输血申请</w:t>
                  </w:r>
                </w:p>
                <w:p w14:paraId="1F4BFF1C">
                  <w:pPr>
                    <w:pStyle w:val="131"/>
                    <w:pageBreakBefore w:val="0"/>
                    <w:widowControl w:val="0"/>
                    <w:kinsoku/>
                    <w:wordWrap/>
                    <w:overflowPunct/>
                    <w:topLinePunct w:val="0"/>
                    <w:autoSpaceDE/>
                    <w:autoSpaceDN/>
                    <w:bidi w:val="0"/>
                    <w:adjustRightInd/>
                    <w:spacing w:line="360" w:lineRule="exact"/>
                    <w:ind w:firstLine="0"/>
                    <w:textAlignment w:val="auto"/>
                  </w:pPr>
                  <w:r>
                    <w:t>1.</w:t>
                  </w:r>
                  <w:r>
                    <w:rPr>
                      <w:rFonts w:hint="eastAsia"/>
                    </w:rPr>
                    <w:t>根据业务申请类型（常规用血、紧急用血、自体输血、血浆置换、放血治疗、血液成分单采治疗等）自定义业务流程</w:t>
                  </w:r>
                </w:p>
                <w:p w14:paraId="64D030CF">
                  <w:pPr>
                    <w:pStyle w:val="131"/>
                    <w:pageBreakBefore w:val="0"/>
                    <w:widowControl w:val="0"/>
                    <w:kinsoku/>
                    <w:wordWrap/>
                    <w:overflowPunct/>
                    <w:topLinePunct w:val="0"/>
                    <w:autoSpaceDE/>
                    <w:autoSpaceDN/>
                    <w:bidi w:val="0"/>
                    <w:adjustRightInd/>
                    <w:spacing w:line="360" w:lineRule="exact"/>
                    <w:ind w:firstLine="0"/>
                    <w:textAlignment w:val="auto"/>
                  </w:pPr>
                  <w:r>
                    <w:t>2.</w:t>
                  </w:r>
                  <w:r>
                    <w:rPr>
                      <w:rFonts w:hint="eastAsia"/>
                    </w:rPr>
                    <w:t>支持备血申请、常规用血申请、紧急用血申请、自体输血申请、血浆置换申请、放血治疗申请申请类型</w:t>
                  </w:r>
                </w:p>
                <w:p w14:paraId="43648C79">
                  <w:pPr>
                    <w:pStyle w:val="131"/>
                    <w:pageBreakBefore w:val="0"/>
                    <w:widowControl w:val="0"/>
                    <w:kinsoku/>
                    <w:wordWrap/>
                    <w:overflowPunct/>
                    <w:topLinePunct w:val="0"/>
                    <w:autoSpaceDE/>
                    <w:autoSpaceDN/>
                    <w:bidi w:val="0"/>
                    <w:adjustRightInd/>
                    <w:spacing w:line="360" w:lineRule="exact"/>
                    <w:ind w:firstLine="0"/>
                    <w:textAlignment w:val="auto"/>
                  </w:pPr>
                  <w:r>
                    <w:t>3.</w:t>
                  </w:r>
                  <w:r>
                    <w:rPr>
                      <w:rFonts w:hint="eastAsia"/>
                    </w:rPr>
                    <w:t>不同申请类型可以设置适用的输血目的、输血性质、</w:t>
                  </w:r>
                </w:p>
                <w:p w14:paraId="5C9D1337">
                  <w:pPr>
                    <w:pStyle w:val="131"/>
                    <w:pageBreakBefore w:val="0"/>
                    <w:widowControl w:val="0"/>
                    <w:kinsoku/>
                    <w:wordWrap/>
                    <w:overflowPunct/>
                    <w:topLinePunct w:val="0"/>
                    <w:autoSpaceDE/>
                    <w:autoSpaceDN/>
                    <w:bidi w:val="0"/>
                    <w:adjustRightInd/>
                    <w:spacing w:line="360" w:lineRule="exact"/>
                    <w:ind w:firstLine="0"/>
                    <w:textAlignment w:val="auto"/>
                  </w:pPr>
                  <w:r>
                    <w:t>4.</w:t>
                  </w:r>
                  <w:r>
                    <w:rPr>
                      <w:rFonts w:hint="eastAsia"/>
                    </w:rPr>
                    <w:t>不同的申请类型可以设置不同的申请单格式。</w:t>
                  </w:r>
                </w:p>
                <w:p w14:paraId="4E8A47CF">
                  <w:pPr>
                    <w:pStyle w:val="131"/>
                    <w:pageBreakBefore w:val="0"/>
                    <w:widowControl w:val="0"/>
                    <w:kinsoku/>
                    <w:wordWrap/>
                    <w:overflowPunct/>
                    <w:topLinePunct w:val="0"/>
                    <w:autoSpaceDE/>
                    <w:autoSpaceDN/>
                    <w:bidi w:val="0"/>
                    <w:adjustRightInd/>
                    <w:spacing w:line="360" w:lineRule="exact"/>
                    <w:ind w:firstLine="0"/>
                    <w:textAlignment w:val="auto"/>
                  </w:pPr>
                  <w:r>
                    <w:t>5.</w:t>
                  </w:r>
                  <w:r>
                    <w:rPr>
                      <w:rFonts w:hint="eastAsia"/>
                    </w:rPr>
                    <w:t>不同的申请类型可以根据虚夜成分设置不同的输血申请量限制</w:t>
                  </w:r>
                </w:p>
                <w:p w14:paraId="1235F469">
                  <w:pPr>
                    <w:pStyle w:val="131"/>
                    <w:pageBreakBefore w:val="0"/>
                    <w:widowControl w:val="0"/>
                    <w:kinsoku/>
                    <w:wordWrap/>
                    <w:overflowPunct/>
                    <w:topLinePunct w:val="0"/>
                    <w:autoSpaceDE/>
                    <w:autoSpaceDN/>
                    <w:bidi w:val="0"/>
                    <w:adjustRightInd/>
                    <w:spacing w:line="360" w:lineRule="exact"/>
                    <w:ind w:firstLine="0"/>
                    <w:textAlignment w:val="auto"/>
                  </w:pPr>
                  <w:r>
                    <w:t>6.</w:t>
                  </w:r>
                  <w:r>
                    <w:rPr>
                      <w:rFonts w:hint="eastAsia"/>
                    </w:rPr>
                    <w:t>自动获取历史血型与检验结果</w:t>
                  </w:r>
                </w:p>
                <w:p w14:paraId="76EF2573">
                  <w:pPr>
                    <w:pStyle w:val="131"/>
                    <w:pageBreakBefore w:val="0"/>
                    <w:widowControl w:val="0"/>
                    <w:kinsoku/>
                    <w:wordWrap/>
                    <w:overflowPunct/>
                    <w:topLinePunct w:val="0"/>
                    <w:autoSpaceDE/>
                    <w:autoSpaceDN/>
                    <w:bidi w:val="0"/>
                    <w:adjustRightInd/>
                    <w:spacing w:line="360" w:lineRule="exact"/>
                    <w:ind w:firstLine="0"/>
                    <w:textAlignment w:val="auto"/>
                  </w:pPr>
                  <w:r>
                    <w:t>7.</w:t>
                  </w:r>
                  <w:r>
                    <w:rPr>
                      <w:rFonts w:hint="eastAsia"/>
                    </w:rPr>
                    <w:t>在申请时可自动显示该病人的历史输血申请记录</w:t>
                  </w:r>
                </w:p>
                <w:p w14:paraId="2D48958E">
                  <w:pPr>
                    <w:pStyle w:val="131"/>
                    <w:pageBreakBefore w:val="0"/>
                    <w:widowControl w:val="0"/>
                    <w:kinsoku/>
                    <w:wordWrap/>
                    <w:overflowPunct/>
                    <w:topLinePunct w:val="0"/>
                    <w:autoSpaceDE/>
                    <w:autoSpaceDN/>
                    <w:bidi w:val="0"/>
                    <w:adjustRightInd/>
                    <w:spacing w:line="360" w:lineRule="exact"/>
                    <w:ind w:firstLine="0"/>
                    <w:textAlignment w:val="auto"/>
                  </w:pPr>
                  <w:r>
                    <w:t>8.</w:t>
                  </w:r>
                  <w:r>
                    <w:rPr>
                      <w:rFonts w:hint="eastAsia"/>
                    </w:rPr>
                    <w:t>申请时可以根据设置的相溶性检验项目策略生成相关检验医嘱（交叉配血医嘱、不规则抗体医嘱、血型医嘱），并可回写电子病历系统或</w:t>
                  </w:r>
                  <w:r>
                    <w:t>HIS</w:t>
                  </w:r>
                  <w:r>
                    <w:rPr>
                      <w:rFonts w:hint="eastAsia"/>
                    </w:rPr>
                    <w:t>系统</w:t>
                  </w:r>
                </w:p>
                <w:p w14:paraId="60117652">
                  <w:pPr>
                    <w:pStyle w:val="131"/>
                    <w:pageBreakBefore w:val="0"/>
                    <w:widowControl w:val="0"/>
                    <w:kinsoku/>
                    <w:wordWrap/>
                    <w:overflowPunct/>
                    <w:topLinePunct w:val="0"/>
                    <w:autoSpaceDE/>
                    <w:autoSpaceDN/>
                    <w:bidi w:val="0"/>
                    <w:adjustRightInd/>
                    <w:spacing w:line="360" w:lineRule="exact"/>
                    <w:ind w:firstLine="0"/>
                    <w:textAlignment w:val="auto"/>
                  </w:pPr>
                  <w:r>
                    <w:t>9.</w:t>
                  </w:r>
                  <w:r>
                    <w:rPr>
                      <w:rFonts w:hint="eastAsia"/>
                    </w:rPr>
                    <w:t>输血申请时可以根据输血科库存的情况，进行库存提示。</w:t>
                  </w:r>
                </w:p>
                <w:p w14:paraId="5421C1EE">
                  <w:pPr>
                    <w:pStyle w:val="131"/>
                    <w:pageBreakBefore w:val="0"/>
                    <w:widowControl w:val="0"/>
                    <w:kinsoku/>
                    <w:wordWrap/>
                    <w:overflowPunct/>
                    <w:topLinePunct w:val="0"/>
                    <w:autoSpaceDE/>
                    <w:autoSpaceDN/>
                    <w:bidi w:val="0"/>
                    <w:adjustRightInd/>
                    <w:spacing w:line="360" w:lineRule="exact"/>
                    <w:ind w:firstLine="0"/>
                    <w:textAlignment w:val="auto"/>
                  </w:pPr>
                  <w:r>
                    <w:t>10.</w:t>
                  </w:r>
                  <w:r>
                    <w:rPr>
                      <w:rFonts w:hint="eastAsia"/>
                    </w:rPr>
                    <w:t>医生可以实时查看已开的输血申请处理过程的状态，包含申请、签收、复核、备血、发血、输血、反馈</w:t>
                  </w:r>
                </w:p>
                <w:p w14:paraId="1322C403">
                  <w:pPr>
                    <w:pStyle w:val="131"/>
                    <w:pageBreakBefore w:val="0"/>
                    <w:widowControl w:val="0"/>
                    <w:kinsoku/>
                    <w:wordWrap/>
                    <w:overflowPunct/>
                    <w:topLinePunct w:val="0"/>
                    <w:autoSpaceDE/>
                    <w:autoSpaceDN/>
                    <w:bidi w:val="0"/>
                    <w:adjustRightInd/>
                    <w:spacing w:line="360" w:lineRule="exact"/>
                    <w:ind w:firstLine="0"/>
                    <w:textAlignment w:val="auto"/>
                    <w:rPr>
                      <w:b/>
                    </w:rPr>
                  </w:pPr>
                  <w:r>
                    <w:rPr>
                      <w:b/>
                    </w:rPr>
                    <w:t>4</w:t>
                  </w:r>
                  <w:r>
                    <w:rPr>
                      <w:rFonts w:hint="eastAsia"/>
                      <w:b/>
                    </w:rPr>
                    <w:t>、紧急输血申请</w:t>
                  </w:r>
                </w:p>
                <w:p w14:paraId="0BD23898">
                  <w:pPr>
                    <w:pStyle w:val="131"/>
                    <w:pageBreakBefore w:val="0"/>
                    <w:widowControl w:val="0"/>
                    <w:kinsoku/>
                    <w:wordWrap/>
                    <w:overflowPunct/>
                    <w:topLinePunct w:val="0"/>
                    <w:autoSpaceDE/>
                    <w:autoSpaceDN/>
                    <w:bidi w:val="0"/>
                    <w:adjustRightInd/>
                    <w:spacing w:line="360" w:lineRule="exact"/>
                    <w:ind w:firstLine="0"/>
                    <w:textAlignment w:val="auto"/>
                  </w:pPr>
                  <w:r>
                    <w:t>1.</w:t>
                  </w:r>
                  <w:r>
                    <w:rPr>
                      <w:rFonts w:hint="eastAsia"/>
                    </w:rPr>
                    <w:t>支持危重症患者紧急用血申请，确保患者及时用血，对于输血前评估、分级审核等不做系统控制。</w:t>
                  </w:r>
                </w:p>
                <w:p w14:paraId="5829C236">
                  <w:pPr>
                    <w:pStyle w:val="131"/>
                    <w:pageBreakBefore w:val="0"/>
                    <w:widowControl w:val="0"/>
                    <w:kinsoku/>
                    <w:wordWrap/>
                    <w:overflowPunct/>
                    <w:topLinePunct w:val="0"/>
                    <w:autoSpaceDE/>
                    <w:autoSpaceDN/>
                    <w:bidi w:val="0"/>
                    <w:adjustRightInd/>
                    <w:spacing w:line="360" w:lineRule="exact"/>
                    <w:ind w:firstLine="0"/>
                    <w:textAlignment w:val="auto"/>
                  </w:pPr>
                  <w:r>
                    <w:t>2.</w:t>
                  </w:r>
                  <w:r>
                    <w:rPr>
                      <w:rFonts w:hint="eastAsia"/>
                    </w:rPr>
                    <w:t>紧急用血流程中的审批等流程后续可以补录，形成补审批流程管理。</w:t>
                  </w:r>
                </w:p>
                <w:p w14:paraId="423478E8">
                  <w:pPr>
                    <w:pStyle w:val="131"/>
                    <w:pageBreakBefore w:val="0"/>
                    <w:widowControl w:val="0"/>
                    <w:kinsoku/>
                    <w:wordWrap/>
                    <w:overflowPunct/>
                    <w:topLinePunct w:val="0"/>
                    <w:autoSpaceDE/>
                    <w:autoSpaceDN/>
                    <w:bidi w:val="0"/>
                    <w:adjustRightInd/>
                    <w:spacing w:line="360" w:lineRule="exact"/>
                    <w:ind w:firstLine="0"/>
                    <w:textAlignment w:val="auto"/>
                    <w:rPr>
                      <w:b/>
                    </w:rPr>
                  </w:pPr>
                  <w:r>
                    <w:rPr>
                      <w:b/>
                    </w:rPr>
                    <w:t>5</w:t>
                  </w:r>
                  <w:r>
                    <w:rPr>
                      <w:rFonts w:hint="eastAsia"/>
                      <w:b/>
                    </w:rPr>
                    <w:t>、自体输血</w:t>
                  </w:r>
                </w:p>
                <w:p w14:paraId="4E4AFBCF">
                  <w:pPr>
                    <w:pStyle w:val="131"/>
                    <w:pageBreakBefore w:val="0"/>
                    <w:widowControl w:val="0"/>
                    <w:kinsoku/>
                    <w:wordWrap/>
                    <w:overflowPunct/>
                    <w:topLinePunct w:val="0"/>
                    <w:autoSpaceDE/>
                    <w:autoSpaceDN/>
                    <w:bidi w:val="0"/>
                    <w:adjustRightInd/>
                    <w:spacing w:line="360" w:lineRule="exact"/>
                    <w:ind w:firstLine="0"/>
                    <w:textAlignment w:val="auto"/>
                  </w:pPr>
                  <w:r>
                    <w:t>1.</w:t>
                  </w:r>
                  <w:r>
                    <w:rPr>
                      <w:rFonts w:hint="eastAsia"/>
                    </w:rPr>
                    <w:t>自体输血支持贮存式、回收式、稀释式三种模式。</w:t>
                  </w:r>
                </w:p>
                <w:p w14:paraId="76AA11B7">
                  <w:pPr>
                    <w:pStyle w:val="131"/>
                    <w:pageBreakBefore w:val="0"/>
                    <w:widowControl w:val="0"/>
                    <w:kinsoku/>
                    <w:wordWrap/>
                    <w:overflowPunct/>
                    <w:topLinePunct w:val="0"/>
                    <w:autoSpaceDE/>
                    <w:autoSpaceDN/>
                    <w:bidi w:val="0"/>
                    <w:adjustRightInd/>
                    <w:spacing w:line="360" w:lineRule="exact"/>
                    <w:ind w:firstLine="0"/>
                    <w:textAlignment w:val="auto"/>
                  </w:pPr>
                  <w:r>
                    <w:t>2.</w:t>
                  </w:r>
                  <w:r>
                    <w:rPr>
                      <w:rFonts w:hint="eastAsia"/>
                    </w:rPr>
                    <w:t>贮存式自体血支持标签打印、采集、出入库。记录采集信息、失效信息记录，后期可根据相关信息提示、预警等。</w:t>
                  </w:r>
                </w:p>
                <w:p w14:paraId="35EAE90D">
                  <w:pPr>
                    <w:pStyle w:val="131"/>
                    <w:pageBreakBefore w:val="0"/>
                    <w:widowControl w:val="0"/>
                    <w:kinsoku/>
                    <w:wordWrap/>
                    <w:overflowPunct/>
                    <w:topLinePunct w:val="0"/>
                    <w:autoSpaceDE/>
                    <w:autoSpaceDN/>
                    <w:bidi w:val="0"/>
                    <w:adjustRightInd/>
                    <w:spacing w:line="360" w:lineRule="exact"/>
                    <w:ind w:firstLine="0"/>
                    <w:textAlignment w:val="auto"/>
                    <w:rPr>
                      <w:b/>
                    </w:rPr>
                  </w:pPr>
                  <w:r>
                    <w:rPr>
                      <w:b/>
                    </w:rPr>
                    <w:t>6</w:t>
                  </w:r>
                  <w:r>
                    <w:rPr>
                      <w:rFonts w:hint="eastAsia"/>
                      <w:b/>
                    </w:rPr>
                    <w:t>、血浆置换</w:t>
                  </w:r>
                </w:p>
                <w:p w14:paraId="2D1742EB">
                  <w:pPr>
                    <w:pStyle w:val="131"/>
                    <w:pageBreakBefore w:val="0"/>
                    <w:widowControl w:val="0"/>
                    <w:kinsoku/>
                    <w:wordWrap/>
                    <w:overflowPunct/>
                    <w:topLinePunct w:val="0"/>
                    <w:autoSpaceDE/>
                    <w:autoSpaceDN/>
                    <w:bidi w:val="0"/>
                    <w:adjustRightInd/>
                    <w:spacing w:line="360" w:lineRule="exact"/>
                    <w:ind w:firstLine="0"/>
                    <w:textAlignment w:val="auto"/>
                  </w:pPr>
                  <w:r>
                    <w:t>1.</w:t>
                  </w:r>
                  <w:r>
                    <w:rPr>
                      <w:rFonts w:hint="eastAsia"/>
                    </w:rPr>
                    <w:t>支持治疗方案选择人工置换、机器置换</w:t>
                  </w:r>
                </w:p>
                <w:p w14:paraId="2899BC6C">
                  <w:pPr>
                    <w:pStyle w:val="131"/>
                    <w:pageBreakBefore w:val="0"/>
                    <w:widowControl w:val="0"/>
                    <w:kinsoku/>
                    <w:wordWrap/>
                    <w:overflowPunct/>
                    <w:topLinePunct w:val="0"/>
                    <w:autoSpaceDE/>
                    <w:autoSpaceDN/>
                    <w:bidi w:val="0"/>
                    <w:adjustRightInd/>
                    <w:spacing w:line="360" w:lineRule="exact"/>
                    <w:ind w:firstLine="0"/>
                    <w:textAlignment w:val="auto"/>
                  </w:pPr>
                  <w:r>
                    <w:t>2.</w:t>
                  </w:r>
                  <w:r>
                    <w:rPr>
                      <w:rFonts w:hint="eastAsia"/>
                    </w:rPr>
                    <w:t>支持根据患者检验结果、体重计算预估治疗量</w:t>
                  </w:r>
                </w:p>
                <w:p w14:paraId="14FA9C7F">
                  <w:pPr>
                    <w:pStyle w:val="131"/>
                    <w:pageBreakBefore w:val="0"/>
                    <w:widowControl w:val="0"/>
                    <w:kinsoku/>
                    <w:wordWrap/>
                    <w:overflowPunct/>
                    <w:topLinePunct w:val="0"/>
                    <w:autoSpaceDE/>
                    <w:autoSpaceDN/>
                    <w:bidi w:val="0"/>
                    <w:adjustRightInd/>
                    <w:spacing w:line="360" w:lineRule="exact"/>
                    <w:ind w:firstLine="0"/>
                    <w:textAlignment w:val="auto"/>
                    <w:rPr>
                      <w:b/>
                    </w:rPr>
                  </w:pPr>
                  <w:r>
                    <w:rPr>
                      <w:b/>
                    </w:rPr>
                    <w:t>7</w:t>
                  </w:r>
                  <w:r>
                    <w:rPr>
                      <w:rFonts w:hint="eastAsia"/>
                      <w:b/>
                    </w:rPr>
                    <w:t>、分级审核</w:t>
                  </w:r>
                </w:p>
                <w:p w14:paraId="6DD74792">
                  <w:pPr>
                    <w:pStyle w:val="131"/>
                    <w:pageBreakBefore w:val="0"/>
                    <w:widowControl w:val="0"/>
                    <w:kinsoku/>
                    <w:wordWrap/>
                    <w:overflowPunct/>
                    <w:topLinePunct w:val="0"/>
                    <w:autoSpaceDE/>
                    <w:autoSpaceDN/>
                    <w:bidi w:val="0"/>
                    <w:adjustRightInd/>
                    <w:spacing w:line="360" w:lineRule="exact"/>
                    <w:ind w:firstLine="0"/>
                    <w:textAlignment w:val="auto"/>
                  </w:pPr>
                  <w:r>
                    <w:t>1.</w:t>
                  </w:r>
                  <w:r>
                    <w:rPr>
                      <w:rFonts w:hint="eastAsia"/>
                    </w:rPr>
                    <w:t>用血申请</w:t>
                  </w:r>
                  <w:r>
                    <w:t>/</w:t>
                  </w:r>
                  <w:r>
                    <w:rPr>
                      <w:rFonts w:hint="eastAsia"/>
                    </w:rPr>
                    <w:t>审核权限分级管理：按照《医疗机构临床用血管理办法》系统可进行分级授权管理，针对不同的职称可以设置不同的用血审核量，用血申请保存的时候软件自动提示下一步需要审核的权限。实现上级医师、科主任、职能部门等角色对申请单据的有效分级审核。</w:t>
                  </w:r>
                </w:p>
                <w:p w14:paraId="1EE2730A">
                  <w:pPr>
                    <w:pStyle w:val="131"/>
                    <w:pageBreakBefore w:val="0"/>
                    <w:widowControl w:val="0"/>
                    <w:kinsoku/>
                    <w:wordWrap/>
                    <w:overflowPunct/>
                    <w:topLinePunct w:val="0"/>
                    <w:autoSpaceDE/>
                    <w:autoSpaceDN/>
                    <w:bidi w:val="0"/>
                    <w:adjustRightInd/>
                    <w:spacing w:line="360" w:lineRule="exact"/>
                    <w:ind w:firstLine="0"/>
                    <w:textAlignment w:val="auto"/>
                  </w:pPr>
                  <w:r>
                    <w:t>2.</w:t>
                  </w:r>
                  <w:r>
                    <w:rPr>
                      <w:rFonts w:hint="eastAsia"/>
                    </w:rPr>
                    <w:t>根据申请内容判断是否达到大剂量用血标准，执行大剂量用血审批流程</w:t>
                  </w:r>
                </w:p>
                <w:p w14:paraId="39A17F20">
                  <w:pPr>
                    <w:pStyle w:val="131"/>
                    <w:pageBreakBefore w:val="0"/>
                    <w:widowControl w:val="0"/>
                    <w:kinsoku/>
                    <w:wordWrap/>
                    <w:overflowPunct/>
                    <w:topLinePunct w:val="0"/>
                    <w:autoSpaceDE/>
                    <w:autoSpaceDN/>
                    <w:bidi w:val="0"/>
                    <w:adjustRightInd/>
                    <w:spacing w:line="360" w:lineRule="exact"/>
                    <w:ind w:firstLine="0"/>
                    <w:textAlignment w:val="auto"/>
                  </w:pPr>
                  <w:r>
                    <w:t>3.</w:t>
                  </w:r>
                  <w:r>
                    <w:rPr>
                      <w:rFonts w:hint="eastAsia"/>
                    </w:rPr>
                    <w:t>同一患者一天申请申请量少于</w:t>
                  </w:r>
                  <w:r>
                    <w:t>800</w:t>
                  </w:r>
                  <w:r>
                    <w:rPr>
                      <w:rFonts w:hint="eastAsia"/>
                    </w:rPr>
                    <w:t>毫升的，系统提示需要上级医师（二级权限）审核</w:t>
                  </w:r>
                </w:p>
                <w:p w14:paraId="7D78B5A0">
                  <w:pPr>
                    <w:pStyle w:val="131"/>
                    <w:pageBreakBefore w:val="0"/>
                    <w:widowControl w:val="0"/>
                    <w:kinsoku/>
                    <w:wordWrap/>
                    <w:overflowPunct/>
                    <w:topLinePunct w:val="0"/>
                    <w:autoSpaceDE/>
                    <w:autoSpaceDN/>
                    <w:bidi w:val="0"/>
                    <w:adjustRightInd/>
                    <w:spacing w:line="360" w:lineRule="exact"/>
                    <w:ind w:firstLine="0"/>
                    <w:textAlignment w:val="auto"/>
                  </w:pPr>
                  <w:r>
                    <w:t>4.</w:t>
                  </w:r>
                  <w:r>
                    <w:rPr>
                      <w:rFonts w:hint="eastAsia"/>
                    </w:rPr>
                    <w:t>同一患者一天申请申请量在</w:t>
                  </w:r>
                  <w:r>
                    <w:t>800</w:t>
                  </w:r>
                  <w:r>
                    <w:rPr>
                      <w:rFonts w:hint="eastAsia"/>
                    </w:rPr>
                    <w:t>毫升至</w:t>
                  </w:r>
                  <w:r>
                    <w:t>1600</w:t>
                  </w:r>
                  <w:r>
                    <w:rPr>
                      <w:rFonts w:hint="eastAsia"/>
                    </w:rPr>
                    <w:t>毫升的，系统提示需要主任（三级权限）审核</w:t>
                  </w:r>
                </w:p>
                <w:p w14:paraId="3627813E">
                  <w:pPr>
                    <w:pStyle w:val="131"/>
                    <w:pageBreakBefore w:val="0"/>
                    <w:widowControl w:val="0"/>
                    <w:kinsoku/>
                    <w:wordWrap/>
                    <w:overflowPunct/>
                    <w:topLinePunct w:val="0"/>
                    <w:autoSpaceDE/>
                    <w:autoSpaceDN/>
                    <w:bidi w:val="0"/>
                    <w:adjustRightInd/>
                    <w:spacing w:line="360" w:lineRule="exact"/>
                    <w:ind w:firstLine="0"/>
                    <w:textAlignment w:val="auto"/>
                  </w:pPr>
                  <w:r>
                    <w:t>5.</w:t>
                  </w:r>
                  <w:r>
                    <w:rPr>
                      <w:rFonts w:hint="eastAsia"/>
                    </w:rPr>
                    <w:t>同一患者一天申请申请量超过</w:t>
                  </w:r>
                  <w:r>
                    <w:t>1600</w:t>
                  </w:r>
                  <w:r>
                    <w:rPr>
                      <w:rFonts w:hint="eastAsia"/>
                    </w:rPr>
                    <w:t>毫升的，系统提示需要科主任审核后再经医务处审批</w:t>
                  </w:r>
                </w:p>
                <w:p w14:paraId="46DFE8C2">
                  <w:pPr>
                    <w:pStyle w:val="131"/>
                    <w:pageBreakBefore w:val="0"/>
                    <w:widowControl w:val="0"/>
                    <w:kinsoku/>
                    <w:wordWrap/>
                    <w:overflowPunct/>
                    <w:topLinePunct w:val="0"/>
                    <w:autoSpaceDE/>
                    <w:autoSpaceDN/>
                    <w:bidi w:val="0"/>
                    <w:adjustRightInd/>
                    <w:spacing w:line="360" w:lineRule="exact"/>
                    <w:ind w:firstLine="0"/>
                    <w:textAlignment w:val="auto"/>
                    <w:rPr>
                      <w:b/>
                    </w:rPr>
                  </w:pPr>
                  <w:r>
                    <w:rPr>
                      <w:b/>
                    </w:rPr>
                    <w:t>8</w:t>
                  </w:r>
                  <w:r>
                    <w:rPr>
                      <w:rFonts w:hint="eastAsia"/>
                      <w:b/>
                    </w:rPr>
                    <w:t>、输血疗效智能评价</w:t>
                  </w:r>
                </w:p>
                <w:p w14:paraId="7B274FEE">
                  <w:pPr>
                    <w:pStyle w:val="131"/>
                    <w:pageBreakBefore w:val="0"/>
                    <w:widowControl w:val="0"/>
                    <w:kinsoku/>
                    <w:wordWrap/>
                    <w:overflowPunct/>
                    <w:topLinePunct w:val="0"/>
                    <w:autoSpaceDE/>
                    <w:autoSpaceDN/>
                    <w:bidi w:val="0"/>
                    <w:adjustRightInd/>
                    <w:spacing w:line="360" w:lineRule="exact"/>
                    <w:ind w:firstLine="0"/>
                    <w:textAlignment w:val="auto"/>
                  </w:pPr>
                  <w:r>
                    <w:t>1.</w:t>
                  </w:r>
                  <w:r>
                    <w:rPr>
                      <w:rFonts w:hint="eastAsia"/>
                    </w:rPr>
                    <w:t>根据患者身高、体重、人体表面积、患者检验结果设置输血疗效评价公式</w:t>
                  </w:r>
                </w:p>
                <w:p w14:paraId="4A8E70D1">
                  <w:pPr>
                    <w:pStyle w:val="131"/>
                    <w:pageBreakBefore w:val="0"/>
                    <w:widowControl w:val="0"/>
                    <w:kinsoku/>
                    <w:wordWrap/>
                    <w:overflowPunct/>
                    <w:topLinePunct w:val="0"/>
                    <w:autoSpaceDE/>
                    <w:autoSpaceDN/>
                    <w:bidi w:val="0"/>
                    <w:adjustRightInd/>
                    <w:spacing w:line="360" w:lineRule="exact"/>
                    <w:ind w:firstLine="0"/>
                    <w:textAlignment w:val="auto"/>
                  </w:pPr>
                  <w:r>
                    <w:t>2.</w:t>
                  </w:r>
                  <w:r>
                    <w:rPr>
                      <w:rFonts w:hint="eastAsia"/>
                    </w:rPr>
                    <w:t>输血完成自动获取患者输血前、输血后</w:t>
                  </w:r>
                  <w:r>
                    <w:t>1</w:t>
                  </w:r>
                  <w:r>
                    <w:rPr>
                      <w:rFonts w:hint="eastAsia"/>
                    </w:rPr>
                    <w:t>小时、输血后</w:t>
                  </w:r>
                  <w:r>
                    <w:t>24</w:t>
                  </w:r>
                  <w:r>
                    <w:rPr>
                      <w:rFonts w:hint="eastAsia"/>
                    </w:rPr>
                    <w:t>小时检验结果，自动根据预设公式智能计算血红蛋白恢复率、红细胞输注效果、血小板输注效果、</w:t>
                  </w:r>
                  <w:r>
                    <w:t>CCI(</w:t>
                  </w:r>
                  <w:r>
                    <w:rPr>
                      <w:rFonts w:hint="eastAsia"/>
                    </w:rPr>
                    <w:t>血小板校正增加值</w:t>
                  </w:r>
                  <w:r>
                    <w:t>)</w:t>
                  </w:r>
                  <w:r>
                    <w:rPr>
                      <w:rFonts w:hint="eastAsia"/>
                    </w:rPr>
                    <w:t>、</w:t>
                  </w:r>
                  <w:r>
                    <w:t>PPR(</w:t>
                  </w:r>
                  <w:r>
                    <w:rPr>
                      <w:rFonts w:hint="eastAsia"/>
                    </w:rPr>
                    <w:t>血小板回收率</w:t>
                  </w:r>
                  <w:r>
                    <w:t>)</w:t>
                  </w:r>
                </w:p>
                <w:p w14:paraId="3C09D436">
                  <w:pPr>
                    <w:pStyle w:val="8"/>
                    <w:pageBreakBefore w:val="0"/>
                    <w:widowControl w:val="0"/>
                    <w:kinsoku/>
                    <w:wordWrap/>
                    <w:overflowPunct/>
                    <w:topLinePunct w:val="0"/>
                    <w:autoSpaceDE/>
                    <w:autoSpaceDN/>
                    <w:bidi w:val="0"/>
                    <w:adjustRightInd/>
                    <w:spacing w:line="360" w:lineRule="exact"/>
                    <w:textAlignment w:val="auto"/>
                  </w:pPr>
                  <w:r>
                    <w:rPr>
                      <w:rFonts w:hint="eastAsia"/>
                    </w:rPr>
                    <w:t>护士站</w:t>
                  </w:r>
                </w:p>
                <w:p w14:paraId="0D5E04BA">
                  <w:pPr>
                    <w:pStyle w:val="131"/>
                    <w:pageBreakBefore w:val="0"/>
                    <w:widowControl w:val="0"/>
                    <w:kinsoku/>
                    <w:wordWrap/>
                    <w:overflowPunct/>
                    <w:topLinePunct w:val="0"/>
                    <w:autoSpaceDE/>
                    <w:autoSpaceDN/>
                    <w:bidi w:val="0"/>
                    <w:adjustRightInd/>
                    <w:spacing w:line="360" w:lineRule="exact"/>
                    <w:ind w:firstLine="0"/>
                    <w:textAlignment w:val="auto"/>
                    <w:rPr>
                      <w:b/>
                    </w:rPr>
                  </w:pPr>
                  <w:r>
                    <w:rPr>
                      <w:b/>
                    </w:rPr>
                    <w:t>1</w:t>
                  </w:r>
                  <w:r>
                    <w:rPr>
                      <w:rFonts w:hint="eastAsia"/>
                      <w:b/>
                    </w:rPr>
                    <w:t>、检验标本管理</w:t>
                  </w:r>
                </w:p>
                <w:p w14:paraId="1D14E497">
                  <w:pPr>
                    <w:pStyle w:val="131"/>
                    <w:pageBreakBefore w:val="0"/>
                    <w:widowControl w:val="0"/>
                    <w:kinsoku/>
                    <w:wordWrap/>
                    <w:overflowPunct/>
                    <w:topLinePunct w:val="0"/>
                    <w:autoSpaceDE/>
                    <w:autoSpaceDN/>
                    <w:bidi w:val="0"/>
                    <w:adjustRightInd/>
                    <w:spacing w:line="360" w:lineRule="exact"/>
                    <w:ind w:firstLine="0"/>
                    <w:textAlignment w:val="auto"/>
                  </w:pPr>
                  <w:r>
                    <w:t>1.</w:t>
                  </w:r>
                  <w:r>
                    <w:rPr>
                      <w:rFonts w:hint="eastAsia"/>
                    </w:rPr>
                    <w:t>条码打印：护士根据医生的开立的输血申请单打印输血前检验相关条形码。</w:t>
                  </w:r>
                </w:p>
                <w:p w14:paraId="6CFB5D2B">
                  <w:pPr>
                    <w:pStyle w:val="131"/>
                    <w:pageBreakBefore w:val="0"/>
                    <w:widowControl w:val="0"/>
                    <w:kinsoku/>
                    <w:wordWrap/>
                    <w:overflowPunct/>
                    <w:topLinePunct w:val="0"/>
                    <w:autoSpaceDE/>
                    <w:autoSpaceDN/>
                    <w:bidi w:val="0"/>
                    <w:adjustRightInd/>
                    <w:spacing w:line="360" w:lineRule="exact"/>
                    <w:ind w:firstLine="0"/>
                    <w:textAlignment w:val="auto"/>
                  </w:pPr>
                  <w:r>
                    <w:t>2.</w:t>
                  </w:r>
                  <w:r>
                    <w:rPr>
                      <w:rFonts w:hint="eastAsia"/>
                    </w:rPr>
                    <w:t>标本采集确认：在标本采集时扫描已打印条码，记录采集时间和采集人。支持移动护理（</w:t>
                  </w:r>
                  <w:r>
                    <w:t>PDA</w:t>
                  </w:r>
                  <w:r>
                    <w:rPr>
                      <w:rFonts w:hint="eastAsia"/>
                    </w:rPr>
                    <w:t>）接口，直接床旁采集确认标本。。</w:t>
                  </w:r>
                </w:p>
                <w:p w14:paraId="46E5BA34">
                  <w:pPr>
                    <w:pStyle w:val="131"/>
                    <w:pageBreakBefore w:val="0"/>
                    <w:widowControl w:val="0"/>
                    <w:kinsoku/>
                    <w:wordWrap/>
                    <w:overflowPunct/>
                    <w:topLinePunct w:val="0"/>
                    <w:autoSpaceDE/>
                    <w:autoSpaceDN/>
                    <w:bidi w:val="0"/>
                    <w:adjustRightInd/>
                    <w:spacing w:line="360" w:lineRule="exact"/>
                    <w:ind w:firstLine="0"/>
                    <w:textAlignment w:val="auto"/>
                  </w:pPr>
                  <w:r>
                    <w:t>3.</w:t>
                  </w:r>
                  <w:r>
                    <w:rPr>
                      <w:rFonts w:hint="eastAsia"/>
                    </w:rPr>
                    <w:t>标本送出确认：在标本送出时扫描需要送到输血科的条码，记录标本送出时间和送出人。支持批量选中已采集标本送出，支持分类打包送出。</w:t>
                  </w:r>
                </w:p>
                <w:p w14:paraId="21F1D75A">
                  <w:pPr>
                    <w:pStyle w:val="131"/>
                    <w:pageBreakBefore w:val="0"/>
                    <w:widowControl w:val="0"/>
                    <w:kinsoku/>
                    <w:wordWrap/>
                    <w:overflowPunct/>
                    <w:topLinePunct w:val="0"/>
                    <w:autoSpaceDE/>
                    <w:autoSpaceDN/>
                    <w:bidi w:val="0"/>
                    <w:adjustRightInd/>
                    <w:spacing w:line="360" w:lineRule="exact"/>
                    <w:ind w:firstLine="0"/>
                    <w:textAlignment w:val="auto"/>
                    <w:rPr>
                      <w:b/>
                    </w:rPr>
                  </w:pPr>
                  <w:r>
                    <w:rPr>
                      <w:b/>
                    </w:rPr>
                    <w:t>2</w:t>
                  </w:r>
                  <w:r>
                    <w:rPr>
                      <w:rFonts w:hint="eastAsia"/>
                      <w:b/>
                    </w:rPr>
                    <w:t>、取血通知</w:t>
                  </w:r>
                </w:p>
                <w:p w14:paraId="3142EF24">
                  <w:pPr>
                    <w:pStyle w:val="131"/>
                    <w:pageBreakBefore w:val="0"/>
                    <w:widowControl w:val="0"/>
                    <w:kinsoku/>
                    <w:wordWrap/>
                    <w:overflowPunct/>
                    <w:topLinePunct w:val="0"/>
                    <w:autoSpaceDE/>
                    <w:autoSpaceDN/>
                    <w:bidi w:val="0"/>
                    <w:adjustRightInd/>
                    <w:spacing w:line="360" w:lineRule="exact"/>
                    <w:ind w:firstLine="0"/>
                    <w:textAlignment w:val="auto"/>
                  </w:pPr>
                  <w:r>
                    <w:t>1</w:t>
                  </w:r>
                  <w:r>
                    <w:rPr>
                      <w:rFonts w:hint="eastAsia"/>
                    </w:rPr>
                    <w:t>输血科交叉配血完成后，系统自动发送取血通知到相关的病区或科室；消息中心自动弹窗提醒；取血护士打印取血通知单进行取血操作</w:t>
                  </w:r>
                </w:p>
                <w:p w14:paraId="5CF62574">
                  <w:pPr>
                    <w:pStyle w:val="131"/>
                    <w:pageBreakBefore w:val="0"/>
                    <w:widowControl w:val="0"/>
                    <w:kinsoku/>
                    <w:wordWrap/>
                    <w:overflowPunct/>
                    <w:topLinePunct w:val="0"/>
                    <w:autoSpaceDE/>
                    <w:autoSpaceDN/>
                    <w:bidi w:val="0"/>
                    <w:adjustRightInd/>
                    <w:spacing w:line="360" w:lineRule="exact"/>
                    <w:ind w:firstLine="0"/>
                    <w:textAlignment w:val="auto"/>
                    <w:rPr>
                      <w:b/>
                    </w:rPr>
                  </w:pPr>
                  <w:r>
                    <w:rPr>
                      <w:b/>
                    </w:rPr>
                    <w:t>3</w:t>
                  </w:r>
                  <w:r>
                    <w:rPr>
                      <w:rFonts w:hint="eastAsia"/>
                      <w:b/>
                    </w:rPr>
                    <w:t>、取血确认</w:t>
                  </w:r>
                </w:p>
                <w:p w14:paraId="13474967">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支持根据交叉配血单、血袋信息进行电子信息核对，确保血液接收无误</w:t>
                  </w:r>
                </w:p>
                <w:p w14:paraId="2DF69D40">
                  <w:pPr>
                    <w:pStyle w:val="131"/>
                    <w:pageBreakBefore w:val="0"/>
                    <w:widowControl w:val="0"/>
                    <w:kinsoku/>
                    <w:wordWrap/>
                    <w:overflowPunct/>
                    <w:topLinePunct w:val="0"/>
                    <w:autoSpaceDE/>
                    <w:autoSpaceDN/>
                    <w:bidi w:val="0"/>
                    <w:adjustRightInd/>
                    <w:spacing w:line="360" w:lineRule="exact"/>
                    <w:ind w:firstLine="0"/>
                    <w:textAlignment w:val="auto"/>
                    <w:rPr>
                      <w:b/>
                    </w:rPr>
                  </w:pPr>
                  <w:r>
                    <w:rPr>
                      <w:b/>
                    </w:rPr>
                    <w:t>4</w:t>
                  </w:r>
                  <w:r>
                    <w:rPr>
                      <w:rFonts w:hint="eastAsia"/>
                      <w:b/>
                    </w:rPr>
                    <w:t>、输注过程管理</w:t>
                  </w:r>
                </w:p>
                <w:p w14:paraId="56C1F0F7">
                  <w:pPr>
                    <w:pStyle w:val="131"/>
                    <w:pageBreakBefore w:val="0"/>
                    <w:widowControl w:val="0"/>
                    <w:kinsoku/>
                    <w:wordWrap/>
                    <w:overflowPunct/>
                    <w:topLinePunct w:val="0"/>
                    <w:autoSpaceDE/>
                    <w:autoSpaceDN/>
                    <w:bidi w:val="0"/>
                    <w:adjustRightInd/>
                    <w:spacing w:line="360" w:lineRule="exact"/>
                    <w:ind w:firstLine="0"/>
                    <w:textAlignment w:val="auto"/>
                  </w:pPr>
                  <w:r>
                    <w:t>1.</w:t>
                  </w:r>
                  <w:r>
                    <w:rPr>
                      <w:rFonts w:hint="eastAsia"/>
                    </w:rPr>
                    <w:t>输血记录全流程（输注前巡视、输注开始、输注巡视、输注结束、输注后巡视）</w:t>
                  </w:r>
                </w:p>
                <w:p w14:paraId="6217685E">
                  <w:pPr>
                    <w:pStyle w:val="131"/>
                    <w:pageBreakBefore w:val="0"/>
                    <w:widowControl w:val="0"/>
                    <w:kinsoku/>
                    <w:wordWrap/>
                    <w:overflowPunct/>
                    <w:topLinePunct w:val="0"/>
                    <w:autoSpaceDE/>
                    <w:autoSpaceDN/>
                    <w:bidi w:val="0"/>
                    <w:adjustRightInd/>
                    <w:spacing w:line="360" w:lineRule="exact"/>
                    <w:ind w:firstLine="0"/>
                    <w:textAlignment w:val="auto"/>
                  </w:pPr>
                  <w:r>
                    <w:t>2.</w:t>
                  </w:r>
                  <w:r>
                    <w:rPr>
                      <w:rFonts w:hint="eastAsia"/>
                    </w:rPr>
                    <w:t>自定义体征项目（滴速、体温、脉搏、心率、呼吸、舒张压、收缩压）填写方式、警示上下限、常用结果列表、默认值</w:t>
                  </w:r>
                </w:p>
                <w:p w14:paraId="576BA2D9">
                  <w:pPr>
                    <w:pStyle w:val="131"/>
                    <w:pageBreakBefore w:val="0"/>
                    <w:widowControl w:val="0"/>
                    <w:kinsoku/>
                    <w:wordWrap/>
                    <w:overflowPunct/>
                    <w:topLinePunct w:val="0"/>
                    <w:autoSpaceDE/>
                    <w:autoSpaceDN/>
                    <w:bidi w:val="0"/>
                    <w:adjustRightInd/>
                    <w:spacing w:line="360" w:lineRule="exact"/>
                    <w:ind w:firstLine="0"/>
                    <w:textAlignment w:val="auto"/>
                  </w:pPr>
                  <w:r>
                    <w:t>3.</w:t>
                  </w:r>
                  <w:r>
                    <w:rPr>
                      <w:rFonts w:hint="eastAsia"/>
                    </w:rPr>
                    <w:t>输注过程支持和</w:t>
                  </w:r>
                  <w:r>
                    <w:t>PDA</w:t>
                  </w:r>
                  <w:r>
                    <w:rPr>
                      <w:rFonts w:hint="eastAsia"/>
                    </w:rPr>
                    <w:t>接口融合，获取数据</w:t>
                  </w:r>
                </w:p>
                <w:p w14:paraId="53C06D57">
                  <w:pPr>
                    <w:pStyle w:val="131"/>
                    <w:pageBreakBefore w:val="0"/>
                    <w:widowControl w:val="0"/>
                    <w:kinsoku/>
                    <w:wordWrap/>
                    <w:overflowPunct/>
                    <w:topLinePunct w:val="0"/>
                    <w:autoSpaceDE/>
                    <w:autoSpaceDN/>
                    <w:bidi w:val="0"/>
                    <w:adjustRightInd/>
                    <w:spacing w:line="360" w:lineRule="exact"/>
                    <w:ind w:firstLine="0"/>
                    <w:textAlignment w:val="auto"/>
                  </w:pPr>
                  <w:r>
                    <w:t>4.</w:t>
                  </w:r>
                  <w:r>
                    <w:rPr>
                      <w:rFonts w:hint="eastAsia"/>
                    </w:rPr>
                    <w:t>支持血袋科室间交接</w:t>
                  </w:r>
                </w:p>
                <w:p w14:paraId="392B1359">
                  <w:pPr>
                    <w:pStyle w:val="131"/>
                    <w:pageBreakBefore w:val="0"/>
                    <w:widowControl w:val="0"/>
                    <w:kinsoku/>
                    <w:wordWrap/>
                    <w:overflowPunct/>
                    <w:topLinePunct w:val="0"/>
                    <w:autoSpaceDE/>
                    <w:autoSpaceDN/>
                    <w:bidi w:val="0"/>
                    <w:adjustRightInd/>
                    <w:spacing w:line="360" w:lineRule="exact"/>
                    <w:ind w:firstLine="0"/>
                    <w:textAlignment w:val="auto"/>
                  </w:pPr>
                  <w:r>
                    <w:t>5.</w:t>
                  </w:r>
                  <w:r>
                    <w:rPr>
                      <w:rFonts w:hint="eastAsia"/>
                    </w:rPr>
                    <w:t>支持输血患者中转院登记</w:t>
                  </w:r>
                </w:p>
                <w:p w14:paraId="4B00DDF3">
                  <w:pPr>
                    <w:pStyle w:val="131"/>
                    <w:pageBreakBefore w:val="0"/>
                    <w:widowControl w:val="0"/>
                    <w:kinsoku/>
                    <w:wordWrap/>
                    <w:overflowPunct/>
                    <w:topLinePunct w:val="0"/>
                    <w:autoSpaceDE/>
                    <w:autoSpaceDN/>
                    <w:bidi w:val="0"/>
                    <w:adjustRightInd/>
                    <w:spacing w:line="360" w:lineRule="exact"/>
                    <w:ind w:firstLine="0"/>
                    <w:textAlignment w:val="auto"/>
                  </w:pPr>
                  <w:r>
                    <w:t>6.</w:t>
                  </w:r>
                  <w:r>
                    <w:rPr>
                      <w:rFonts w:hint="eastAsia"/>
                    </w:rPr>
                    <w:t>支持已输注血袋回收</w:t>
                  </w:r>
                </w:p>
                <w:p w14:paraId="40EDDFEC">
                  <w:pPr>
                    <w:pStyle w:val="131"/>
                    <w:pageBreakBefore w:val="0"/>
                    <w:widowControl w:val="0"/>
                    <w:kinsoku/>
                    <w:wordWrap/>
                    <w:overflowPunct/>
                    <w:topLinePunct w:val="0"/>
                    <w:autoSpaceDE/>
                    <w:autoSpaceDN/>
                    <w:bidi w:val="0"/>
                    <w:adjustRightInd/>
                    <w:spacing w:line="360" w:lineRule="exact"/>
                    <w:ind w:firstLine="0"/>
                    <w:textAlignment w:val="auto"/>
                  </w:pPr>
                  <w:r>
                    <w:t>7.</w:t>
                  </w:r>
                  <w:r>
                    <w:rPr>
                      <w:rFonts w:hint="eastAsia"/>
                    </w:rPr>
                    <w:t>支持空血袋销毁</w:t>
                  </w:r>
                </w:p>
                <w:p w14:paraId="70F7A899">
                  <w:pPr>
                    <w:pStyle w:val="8"/>
                    <w:pageBreakBefore w:val="0"/>
                    <w:widowControl w:val="0"/>
                    <w:kinsoku/>
                    <w:wordWrap/>
                    <w:overflowPunct/>
                    <w:topLinePunct w:val="0"/>
                    <w:autoSpaceDE/>
                    <w:autoSpaceDN/>
                    <w:bidi w:val="0"/>
                    <w:adjustRightInd/>
                    <w:spacing w:line="360" w:lineRule="exact"/>
                    <w:textAlignment w:val="auto"/>
                  </w:pPr>
                  <w:r>
                    <w:rPr>
                      <w:rFonts w:hint="eastAsia"/>
                    </w:rPr>
                    <w:t>手术室管理</w:t>
                  </w:r>
                </w:p>
                <w:p w14:paraId="47BCE65D">
                  <w:pPr>
                    <w:pStyle w:val="131"/>
                    <w:pageBreakBefore w:val="0"/>
                    <w:widowControl w:val="0"/>
                    <w:kinsoku/>
                    <w:wordWrap/>
                    <w:overflowPunct/>
                    <w:topLinePunct w:val="0"/>
                    <w:autoSpaceDE/>
                    <w:autoSpaceDN/>
                    <w:bidi w:val="0"/>
                    <w:adjustRightInd/>
                    <w:spacing w:line="360" w:lineRule="exact"/>
                    <w:ind w:firstLine="0"/>
                    <w:textAlignment w:val="auto"/>
                  </w:pPr>
                  <w:r>
                    <w:t>1.</w:t>
                  </w:r>
                  <w:r>
                    <w:rPr>
                      <w:rFonts w:hint="eastAsia"/>
                    </w:rPr>
                    <w:t>拥有独立的手术室管理模块，符合手术室输血的流程和规范</w:t>
                  </w:r>
                </w:p>
                <w:p w14:paraId="2052C02A">
                  <w:pPr>
                    <w:pStyle w:val="131"/>
                    <w:pageBreakBefore w:val="0"/>
                    <w:widowControl w:val="0"/>
                    <w:kinsoku/>
                    <w:wordWrap/>
                    <w:overflowPunct/>
                    <w:topLinePunct w:val="0"/>
                    <w:autoSpaceDE/>
                    <w:autoSpaceDN/>
                    <w:bidi w:val="0"/>
                    <w:adjustRightInd/>
                    <w:spacing w:line="360" w:lineRule="exact"/>
                    <w:ind w:firstLine="0"/>
                    <w:textAlignment w:val="auto"/>
                  </w:pPr>
                  <w:r>
                    <w:t>2.</w:t>
                  </w:r>
                  <w:r>
                    <w:rPr>
                      <w:rFonts w:hint="eastAsia"/>
                    </w:rPr>
                    <w:t>拥有独立的麻醉科医生主页</w:t>
                  </w:r>
                </w:p>
                <w:p w14:paraId="5FFA37AF">
                  <w:pPr>
                    <w:pStyle w:val="131"/>
                    <w:pageBreakBefore w:val="0"/>
                    <w:widowControl w:val="0"/>
                    <w:kinsoku/>
                    <w:wordWrap/>
                    <w:overflowPunct/>
                    <w:topLinePunct w:val="0"/>
                    <w:autoSpaceDE/>
                    <w:autoSpaceDN/>
                    <w:bidi w:val="0"/>
                    <w:adjustRightInd/>
                    <w:spacing w:line="360" w:lineRule="exact"/>
                    <w:ind w:firstLine="0"/>
                    <w:textAlignment w:val="auto"/>
                  </w:pPr>
                  <w:r>
                    <w:t>3.</w:t>
                  </w:r>
                  <w:r>
                    <w:rPr>
                      <w:rFonts w:hint="eastAsia"/>
                    </w:rPr>
                    <w:t>独立的手术室输血模块，符合手术室输血的流程和规范</w:t>
                  </w:r>
                </w:p>
                <w:p w14:paraId="61C7D88C">
                  <w:pPr>
                    <w:pStyle w:val="131"/>
                    <w:pageBreakBefore w:val="0"/>
                    <w:widowControl w:val="0"/>
                    <w:kinsoku/>
                    <w:wordWrap/>
                    <w:overflowPunct/>
                    <w:topLinePunct w:val="0"/>
                    <w:autoSpaceDE/>
                    <w:autoSpaceDN/>
                    <w:bidi w:val="0"/>
                    <w:adjustRightInd/>
                    <w:spacing w:line="360" w:lineRule="exact"/>
                    <w:ind w:firstLine="0"/>
                    <w:textAlignment w:val="auto"/>
                  </w:pPr>
                  <w:r>
                    <w:t>4.</w:t>
                  </w:r>
                  <w:r>
                    <w:rPr>
                      <w:rFonts w:hint="eastAsia"/>
                    </w:rPr>
                    <w:t>手术室病人管理病人转入（血袋移入）、手术中输血记录、手术室转出（血袋移出）</w:t>
                  </w:r>
                </w:p>
                <w:p w14:paraId="12031C58">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手术室自体输血管理（稀释试自体输血、回收试自体输血）</w:t>
                  </w:r>
                </w:p>
                <w:p w14:paraId="2633B85E">
                  <w:pPr>
                    <w:pStyle w:val="131"/>
                    <w:pageBreakBefore w:val="0"/>
                    <w:widowControl w:val="0"/>
                    <w:kinsoku/>
                    <w:wordWrap/>
                    <w:overflowPunct/>
                    <w:topLinePunct w:val="0"/>
                    <w:autoSpaceDE/>
                    <w:autoSpaceDN/>
                    <w:bidi w:val="0"/>
                    <w:adjustRightInd/>
                    <w:spacing w:line="360" w:lineRule="exact"/>
                    <w:ind w:firstLine="0"/>
                    <w:textAlignment w:val="auto"/>
                  </w:pPr>
                  <w:r>
                    <w:t>5.</w:t>
                  </w:r>
                  <w:r>
                    <w:rPr>
                      <w:rFonts w:hint="eastAsia"/>
                    </w:rPr>
                    <w:t>手术用血相关统计可以准确统计术前、术中、术后患者用血</w:t>
                  </w:r>
                </w:p>
                <w:p w14:paraId="581A6E9E">
                  <w:pPr>
                    <w:pStyle w:val="8"/>
                    <w:pageBreakBefore w:val="0"/>
                    <w:widowControl w:val="0"/>
                    <w:kinsoku/>
                    <w:wordWrap/>
                    <w:overflowPunct/>
                    <w:topLinePunct w:val="0"/>
                    <w:autoSpaceDE/>
                    <w:autoSpaceDN/>
                    <w:bidi w:val="0"/>
                    <w:adjustRightInd/>
                    <w:spacing w:line="360" w:lineRule="exact"/>
                    <w:textAlignment w:val="auto"/>
                  </w:pPr>
                  <w:r>
                    <w:rPr>
                      <w:rFonts w:hint="eastAsia"/>
                    </w:rPr>
                    <w:t>医务科管理</w:t>
                  </w:r>
                </w:p>
                <w:p w14:paraId="46AA1E2A">
                  <w:pPr>
                    <w:pStyle w:val="131"/>
                    <w:pageBreakBefore w:val="0"/>
                    <w:widowControl w:val="0"/>
                    <w:kinsoku/>
                    <w:wordWrap/>
                    <w:overflowPunct/>
                    <w:topLinePunct w:val="0"/>
                    <w:autoSpaceDE/>
                    <w:autoSpaceDN/>
                    <w:bidi w:val="0"/>
                    <w:adjustRightInd/>
                    <w:spacing w:line="360" w:lineRule="exact"/>
                    <w:ind w:firstLine="0"/>
                    <w:textAlignment w:val="auto"/>
                  </w:pPr>
                  <w:r>
                    <w:t>1.</w:t>
                  </w:r>
                  <w:r>
                    <w:rPr>
                      <w:rFonts w:hint="eastAsia"/>
                    </w:rPr>
                    <w:t>独立的医务科管理模块，可以完成医务科工作</w:t>
                  </w:r>
                </w:p>
                <w:p w14:paraId="76AAF8DA">
                  <w:pPr>
                    <w:pStyle w:val="131"/>
                    <w:pageBreakBefore w:val="0"/>
                    <w:widowControl w:val="0"/>
                    <w:kinsoku/>
                    <w:wordWrap/>
                    <w:overflowPunct/>
                    <w:topLinePunct w:val="0"/>
                    <w:autoSpaceDE/>
                    <w:autoSpaceDN/>
                    <w:bidi w:val="0"/>
                    <w:adjustRightInd/>
                    <w:spacing w:line="360" w:lineRule="exact"/>
                    <w:ind w:firstLine="0"/>
                    <w:textAlignment w:val="auto"/>
                  </w:pPr>
                  <w:r>
                    <w:t>2.</w:t>
                  </w:r>
                  <w:r>
                    <w:rPr>
                      <w:rFonts w:hint="eastAsia"/>
                    </w:rPr>
                    <w:t>大量用血提醒、审批功能</w:t>
                  </w:r>
                </w:p>
                <w:p w14:paraId="78163E22">
                  <w:pPr>
                    <w:pStyle w:val="131"/>
                    <w:pageBreakBefore w:val="0"/>
                    <w:widowControl w:val="0"/>
                    <w:kinsoku/>
                    <w:wordWrap/>
                    <w:overflowPunct/>
                    <w:topLinePunct w:val="0"/>
                    <w:autoSpaceDE/>
                    <w:autoSpaceDN/>
                    <w:bidi w:val="0"/>
                    <w:adjustRightInd/>
                    <w:spacing w:line="360" w:lineRule="exact"/>
                    <w:ind w:firstLine="0"/>
                    <w:textAlignment w:val="auto"/>
                  </w:pPr>
                  <w:r>
                    <w:t>3.</w:t>
                  </w:r>
                  <w:r>
                    <w:rPr>
                      <w:rFonts w:hint="eastAsia"/>
                    </w:rPr>
                    <w:t>医务科输血管理相关统计、分析</w:t>
                  </w:r>
                </w:p>
                <w:p w14:paraId="12502D49">
                  <w:pPr>
                    <w:pStyle w:val="8"/>
                    <w:pageBreakBefore w:val="0"/>
                    <w:widowControl w:val="0"/>
                    <w:kinsoku/>
                    <w:wordWrap/>
                    <w:overflowPunct/>
                    <w:topLinePunct w:val="0"/>
                    <w:autoSpaceDE/>
                    <w:autoSpaceDN/>
                    <w:bidi w:val="0"/>
                    <w:adjustRightInd/>
                    <w:spacing w:line="360" w:lineRule="exact"/>
                    <w:textAlignment w:val="auto"/>
                  </w:pPr>
                  <w:r>
                    <w:rPr>
                      <w:rFonts w:hint="eastAsia"/>
                    </w:rPr>
                    <w:t>输血单病种管理</w:t>
                  </w:r>
                </w:p>
                <w:p w14:paraId="436DAA54">
                  <w:pPr>
                    <w:pStyle w:val="131"/>
                    <w:pageBreakBefore w:val="0"/>
                    <w:widowControl w:val="0"/>
                    <w:kinsoku/>
                    <w:wordWrap/>
                    <w:overflowPunct/>
                    <w:topLinePunct w:val="0"/>
                    <w:autoSpaceDE/>
                    <w:autoSpaceDN/>
                    <w:bidi w:val="0"/>
                    <w:adjustRightInd/>
                    <w:spacing w:line="360" w:lineRule="exact"/>
                    <w:ind w:firstLine="0"/>
                    <w:textAlignment w:val="auto"/>
                  </w:pPr>
                  <w:r>
                    <w:t>1.</w:t>
                  </w:r>
                  <w:r>
                    <w:rPr>
                      <w:rFonts w:hint="eastAsia"/>
                    </w:rPr>
                    <w:t>完整的输血单病种管理知识库</w:t>
                  </w:r>
                </w:p>
                <w:p w14:paraId="6B12584A">
                  <w:pPr>
                    <w:pStyle w:val="131"/>
                    <w:pageBreakBefore w:val="0"/>
                    <w:widowControl w:val="0"/>
                    <w:kinsoku/>
                    <w:wordWrap/>
                    <w:overflowPunct/>
                    <w:topLinePunct w:val="0"/>
                    <w:autoSpaceDE/>
                    <w:autoSpaceDN/>
                    <w:bidi w:val="0"/>
                    <w:adjustRightInd/>
                    <w:spacing w:line="360" w:lineRule="exact"/>
                    <w:ind w:firstLine="0"/>
                    <w:textAlignment w:val="auto"/>
                  </w:pPr>
                  <w:r>
                    <w:t>2.</w:t>
                  </w:r>
                  <w:r>
                    <w:rPr>
                      <w:rFonts w:hint="eastAsia"/>
                    </w:rPr>
                    <w:t>内科（肝病、血液病，遗传疾病）</w:t>
                  </w:r>
                </w:p>
                <w:p w14:paraId="076B6B49">
                  <w:pPr>
                    <w:pStyle w:val="131"/>
                    <w:pageBreakBefore w:val="0"/>
                    <w:widowControl w:val="0"/>
                    <w:kinsoku/>
                    <w:wordWrap/>
                    <w:overflowPunct/>
                    <w:topLinePunct w:val="0"/>
                    <w:autoSpaceDE/>
                    <w:autoSpaceDN/>
                    <w:bidi w:val="0"/>
                    <w:adjustRightInd/>
                    <w:spacing w:line="360" w:lineRule="exact"/>
                    <w:ind w:firstLine="0"/>
                    <w:textAlignment w:val="auto"/>
                  </w:pPr>
                  <w:r>
                    <w:t>3.</w:t>
                  </w:r>
                  <w:r>
                    <w:rPr>
                      <w:rFonts w:hint="eastAsia"/>
                    </w:rPr>
                    <w:t>外科（各脏器手术，骨科、肿瘤、烧伤）</w:t>
                  </w:r>
                </w:p>
                <w:p w14:paraId="62A44C7C">
                  <w:pPr>
                    <w:pStyle w:val="131"/>
                    <w:pageBreakBefore w:val="0"/>
                    <w:widowControl w:val="0"/>
                    <w:kinsoku/>
                    <w:wordWrap/>
                    <w:overflowPunct/>
                    <w:topLinePunct w:val="0"/>
                    <w:autoSpaceDE/>
                    <w:autoSpaceDN/>
                    <w:bidi w:val="0"/>
                    <w:adjustRightInd/>
                    <w:spacing w:line="360" w:lineRule="exact"/>
                    <w:ind w:firstLine="0"/>
                    <w:textAlignment w:val="auto"/>
                  </w:pPr>
                  <w:r>
                    <w:t>4.</w:t>
                  </w:r>
                  <w:r>
                    <w:rPr>
                      <w:rFonts w:hint="eastAsia"/>
                    </w:rPr>
                    <w:t>妇产科（产后出血、妊娠合并、妇科肿瘤）</w:t>
                  </w:r>
                </w:p>
                <w:p w14:paraId="344396BB">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移植（肝、肾、造血干细胞）</w:t>
                  </w:r>
                </w:p>
                <w:p w14:paraId="3DA37B2F">
                  <w:pPr>
                    <w:pStyle w:val="131"/>
                    <w:pageBreakBefore w:val="0"/>
                    <w:widowControl w:val="0"/>
                    <w:kinsoku/>
                    <w:wordWrap/>
                    <w:overflowPunct/>
                    <w:topLinePunct w:val="0"/>
                    <w:autoSpaceDE/>
                    <w:autoSpaceDN/>
                    <w:bidi w:val="0"/>
                    <w:adjustRightInd/>
                    <w:spacing w:line="360" w:lineRule="exact"/>
                    <w:ind w:firstLine="0"/>
                    <w:textAlignment w:val="auto"/>
                  </w:pPr>
                  <w:r>
                    <w:t>5.</w:t>
                  </w:r>
                  <w:r>
                    <w:rPr>
                      <w:rFonts w:hint="eastAsia"/>
                    </w:rPr>
                    <w:t>知识库内科、外科、妇产科、组织与器官移植中所有的</w:t>
                  </w:r>
                  <w:r>
                    <w:t>50</w:t>
                  </w:r>
                  <w:r>
                    <w:rPr>
                      <w:rFonts w:hint="eastAsia"/>
                    </w:rPr>
                    <w:t>大类单病种输血前评估、推荐输血量、血液保护措施、输血注意事项、输血适应症评估规则，输血量评估规则</w:t>
                  </w:r>
                </w:p>
                <w:p w14:paraId="14D4CFF2">
                  <w:pPr>
                    <w:pStyle w:val="131"/>
                    <w:pageBreakBefore w:val="0"/>
                    <w:widowControl w:val="0"/>
                    <w:kinsoku/>
                    <w:wordWrap/>
                    <w:overflowPunct/>
                    <w:topLinePunct w:val="0"/>
                    <w:autoSpaceDE/>
                    <w:autoSpaceDN/>
                    <w:bidi w:val="0"/>
                    <w:adjustRightInd/>
                    <w:spacing w:line="360" w:lineRule="exact"/>
                    <w:ind w:firstLine="0"/>
                    <w:textAlignment w:val="auto"/>
                  </w:pPr>
                  <w:r>
                    <w:t>6.</w:t>
                  </w:r>
                  <w:r>
                    <w:rPr>
                      <w:rFonts w:hint="eastAsia"/>
                    </w:rPr>
                    <w:t>输血单病种支持和医院诊断对照</w:t>
                  </w:r>
                </w:p>
                <w:p w14:paraId="69EF748E">
                  <w:pPr>
                    <w:pStyle w:val="131"/>
                    <w:pageBreakBefore w:val="0"/>
                    <w:widowControl w:val="0"/>
                    <w:kinsoku/>
                    <w:wordWrap/>
                    <w:overflowPunct/>
                    <w:topLinePunct w:val="0"/>
                    <w:autoSpaceDE/>
                    <w:autoSpaceDN/>
                    <w:bidi w:val="0"/>
                    <w:adjustRightInd/>
                    <w:spacing w:line="360" w:lineRule="exact"/>
                    <w:ind w:firstLine="0"/>
                    <w:textAlignment w:val="auto"/>
                  </w:pPr>
                  <w:r>
                    <w:t>7.</w:t>
                  </w:r>
                  <w:r>
                    <w:rPr>
                      <w:rFonts w:hint="eastAsia"/>
                    </w:rPr>
                    <w:t>输血申请如果符合单病种自动展现单病种内容，申请医生可以查看</w:t>
                  </w:r>
                </w:p>
                <w:p w14:paraId="7E79FA41">
                  <w:pPr>
                    <w:pStyle w:val="131"/>
                    <w:pageBreakBefore w:val="0"/>
                    <w:widowControl w:val="0"/>
                    <w:kinsoku/>
                    <w:wordWrap/>
                    <w:overflowPunct/>
                    <w:topLinePunct w:val="0"/>
                    <w:autoSpaceDE/>
                    <w:autoSpaceDN/>
                    <w:bidi w:val="0"/>
                    <w:adjustRightInd/>
                    <w:spacing w:line="360" w:lineRule="exact"/>
                    <w:ind w:firstLine="0"/>
                    <w:textAlignment w:val="auto"/>
                  </w:pPr>
                  <w:r>
                    <w:t>8.</w:t>
                  </w:r>
                  <w:r>
                    <w:rPr>
                      <w:rFonts w:hint="eastAsia"/>
                    </w:rPr>
                    <w:t>输血前评估可以根据患者诊断自动调用单病种知识库中的适应症评估</w:t>
                  </w:r>
                </w:p>
                <w:p w14:paraId="37A08912">
                  <w:pPr>
                    <w:pStyle w:val="8"/>
                    <w:pageBreakBefore w:val="0"/>
                    <w:widowControl w:val="0"/>
                    <w:kinsoku/>
                    <w:wordWrap/>
                    <w:overflowPunct/>
                    <w:topLinePunct w:val="0"/>
                    <w:autoSpaceDE/>
                    <w:autoSpaceDN/>
                    <w:bidi w:val="0"/>
                    <w:adjustRightInd/>
                    <w:spacing w:line="360" w:lineRule="exact"/>
                    <w:textAlignment w:val="auto"/>
                  </w:pPr>
                  <w:r>
                    <w:rPr>
                      <w:rFonts w:hint="eastAsia"/>
                    </w:rPr>
                    <w:t>输血不良反应管理</w:t>
                  </w:r>
                </w:p>
                <w:p w14:paraId="04D997C7">
                  <w:pPr>
                    <w:pStyle w:val="131"/>
                    <w:pageBreakBefore w:val="0"/>
                    <w:widowControl w:val="0"/>
                    <w:kinsoku/>
                    <w:wordWrap/>
                    <w:overflowPunct/>
                    <w:topLinePunct w:val="0"/>
                    <w:autoSpaceDE/>
                    <w:autoSpaceDN/>
                    <w:bidi w:val="0"/>
                    <w:adjustRightInd/>
                    <w:spacing w:line="360" w:lineRule="exact"/>
                    <w:ind w:firstLine="0"/>
                    <w:textAlignment w:val="auto"/>
                    <w:rPr>
                      <w:b/>
                    </w:rPr>
                  </w:pPr>
                  <w:r>
                    <w:rPr>
                      <w:b/>
                    </w:rPr>
                    <w:t>1</w:t>
                  </w:r>
                  <w:r>
                    <w:rPr>
                      <w:rFonts w:hint="eastAsia"/>
                      <w:b/>
                    </w:rPr>
                    <w:t>、护士站不良反应登记</w:t>
                  </w:r>
                </w:p>
                <w:p w14:paraId="3D438DEA">
                  <w:pPr>
                    <w:pStyle w:val="131"/>
                    <w:pageBreakBefore w:val="0"/>
                    <w:widowControl w:val="0"/>
                    <w:kinsoku/>
                    <w:wordWrap/>
                    <w:overflowPunct/>
                    <w:topLinePunct w:val="0"/>
                    <w:autoSpaceDE/>
                    <w:autoSpaceDN/>
                    <w:bidi w:val="0"/>
                    <w:adjustRightInd/>
                    <w:spacing w:line="360" w:lineRule="exact"/>
                    <w:ind w:firstLine="0"/>
                    <w:textAlignment w:val="auto"/>
                  </w:pPr>
                  <w:r>
                    <w:t>1.</w:t>
                  </w:r>
                  <w:r>
                    <w:rPr>
                      <w:rFonts w:hint="eastAsia"/>
                    </w:rPr>
                    <w:t>支持不良反应登记发生时间、发生节点、麻醉状态、患者体征</w:t>
                  </w:r>
                </w:p>
                <w:p w14:paraId="38EC91C8">
                  <w:pPr>
                    <w:pStyle w:val="131"/>
                    <w:pageBreakBefore w:val="0"/>
                    <w:widowControl w:val="0"/>
                    <w:kinsoku/>
                    <w:wordWrap/>
                    <w:overflowPunct/>
                    <w:topLinePunct w:val="0"/>
                    <w:autoSpaceDE/>
                    <w:autoSpaceDN/>
                    <w:bidi w:val="0"/>
                    <w:adjustRightInd/>
                    <w:spacing w:line="360" w:lineRule="exact"/>
                    <w:ind w:firstLine="0"/>
                    <w:textAlignment w:val="auto"/>
                  </w:pPr>
                  <w:r>
                    <w:t>2.</w:t>
                  </w:r>
                  <w:r>
                    <w:rPr>
                      <w:rFonts w:hint="eastAsia"/>
                    </w:rPr>
                    <w:t>支持不良反应症状登记</w:t>
                  </w:r>
                </w:p>
                <w:p w14:paraId="6F443663">
                  <w:pPr>
                    <w:pStyle w:val="131"/>
                    <w:pageBreakBefore w:val="0"/>
                    <w:widowControl w:val="0"/>
                    <w:kinsoku/>
                    <w:wordWrap/>
                    <w:overflowPunct/>
                    <w:topLinePunct w:val="0"/>
                    <w:autoSpaceDE/>
                    <w:autoSpaceDN/>
                    <w:bidi w:val="0"/>
                    <w:adjustRightInd/>
                    <w:spacing w:line="360" w:lineRule="exact"/>
                    <w:ind w:firstLine="0"/>
                    <w:textAlignment w:val="auto"/>
                  </w:pPr>
                  <w:r>
                    <w:t>3.</w:t>
                  </w:r>
                  <w:r>
                    <w:rPr>
                      <w:rFonts w:hint="eastAsia"/>
                    </w:rPr>
                    <w:t>支持不良反应调查结果登记</w:t>
                  </w:r>
                </w:p>
                <w:p w14:paraId="14926DD4">
                  <w:pPr>
                    <w:pStyle w:val="131"/>
                    <w:pageBreakBefore w:val="0"/>
                    <w:widowControl w:val="0"/>
                    <w:kinsoku/>
                    <w:wordWrap/>
                    <w:overflowPunct/>
                    <w:topLinePunct w:val="0"/>
                    <w:autoSpaceDE/>
                    <w:autoSpaceDN/>
                    <w:bidi w:val="0"/>
                    <w:adjustRightInd/>
                    <w:spacing w:line="360" w:lineRule="exact"/>
                    <w:ind w:firstLine="0"/>
                    <w:textAlignment w:val="auto"/>
                  </w:pPr>
                  <w:r>
                    <w:t>4.</w:t>
                  </w:r>
                  <w:r>
                    <w:rPr>
                      <w:rFonts w:hint="eastAsia"/>
                    </w:rPr>
                    <w:t>支持不良反应处理内容登记</w:t>
                  </w:r>
                </w:p>
                <w:p w14:paraId="0FB11396">
                  <w:pPr>
                    <w:pStyle w:val="131"/>
                    <w:pageBreakBefore w:val="0"/>
                    <w:widowControl w:val="0"/>
                    <w:kinsoku/>
                    <w:wordWrap/>
                    <w:overflowPunct/>
                    <w:topLinePunct w:val="0"/>
                    <w:autoSpaceDE/>
                    <w:autoSpaceDN/>
                    <w:bidi w:val="0"/>
                    <w:adjustRightInd/>
                    <w:spacing w:line="360" w:lineRule="exact"/>
                    <w:ind w:firstLine="0"/>
                    <w:textAlignment w:val="auto"/>
                    <w:rPr>
                      <w:b/>
                    </w:rPr>
                  </w:pPr>
                  <w:r>
                    <w:rPr>
                      <w:b/>
                    </w:rPr>
                    <w:t>2</w:t>
                  </w:r>
                  <w:r>
                    <w:rPr>
                      <w:rFonts w:hint="eastAsia"/>
                      <w:b/>
                    </w:rPr>
                    <w:t>、医生站不良反应处置</w:t>
                  </w:r>
                </w:p>
                <w:p w14:paraId="4E4601F2">
                  <w:pPr>
                    <w:pStyle w:val="131"/>
                    <w:pageBreakBefore w:val="0"/>
                    <w:widowControl w:val="0"/>
                    <w:kinsoku/>
                    <w:wordWrap/>
                    <w:overflowPunct/>
                    <w:topLinePunct w:val="0"/>
                    <w:autoSpaceDE/>
                    <w:autoSpaceDN/>
                    <w:bidi w:val="0"/>
                    <w:adjustRightInd/>
                    <w:spacing w:line="360" w:lineRule="exact"/>
                    <w:ind w:firstLine="0"/>
                    <w:textAlignment w:val="auto"/>
                  </w:pPr>
                  <w:r>
                    <w:t>1.</w:t>
                  </w:r>
                  <w:r>
                    <w:rPr>
                      <w:rFonts w:hint="eastAsia"/>
                    </w:rPr>
                    <w:t>支持不良反应类型登记</w:t>
                  </w:r>
                </w:p>
                <w:p w14:paraId="681C8BD3">
                  <w:pPr>
                    <w:pStyle w:val="131"/>
                    <w:pageBreakBefore w:val="0"/>
                    <w:widowControl w:val="0"/>
                    <w:kinsoku/>
                    <w:wordWrap/>
                    <w:overflowPunct/>
                    <w:topLinePunct w:val="0"/>
                    <w:autoSpaceDE/>
                    <w:autoSpaceDN/>
                    <w:bidi w:val="0"/>
                    <w:adjustRightInd/>
                    <w:spacing w:line="360" w:lineRule="exact"/>
                    <w:ind w:firstLine="0"/>
                    <w:textAlignment w:val="auto"/>
                  </w:pPr>
                  <w:r>
                    <w:t>2.</w:t>
                  </w:r>
                  <w:r>
                    <w:rPr>
                      <w:rFonts w:hint="eastAsia"/>
                    </w:rPr>
                    <w:t>支持不良反应严重程度、原因分析、归转登记</w:t>
                  </w:r>
                </w:p>
                <w:p w14:paraId="332C7AF8">
                  <w:pPr>
                    <w:pStyle w:val="131"/>
                    <w:pageBreakBefore w:val="0"/>
                    <w:widowControl w:val="0"/>
                    <w:kinsoku/>
                    <w:wordWrap/>
                    <w:overflowPunct/>
                    <w:topLinePunct w:val="0"/>
                    <w:autoSpaceDE/>
                    <w:autoSpaceDN/>
                    <w:bidi w:val="0"/>
                    <w:adjustRightInd/>
                    <w:spacing w:line="360" w:lineRule="exact"/>
                    <w:ind w:firstLine="0"/>
                    <w:textAlignment w:val="auto"/>
                  </w:pPr>
                  <w:r>
                    <w:t>3.</w:t>
                  </w:r>
                  <w:r>
                    <w:rPr>
                      <w:rFonts w:hint="eastAsia"/>
                    </w:rPr>
                    <w:t>支持不良反应治疗措施登记</w:t>
                  </w:r>
                </w:p>
                <w:p w14:paraId="5D60B2BE">
                  <w:pPr>
                    <w:pStyle w:val="131"/>
                    <w:pageBreakBefore w:val="0"/>
                    <w:widowControl w:val="0"/>
                    <w:kinsoku/>
                    <w:wordWrap/>
                    <w:overflowPunct/>
                    <w:topLinePunct w:val="0"/>
                    <w:autoSpaceDE/>
                    <w:autoSpaceDN/>
                    <w:bidi w:val="0"/>
                    <w:adjustRightInd/>
                    <w:spacing w:line="360" w:lineRule="exact"/>
                    <w:ind w:firstLine="0"/>
                    <w:textAlignment w:val="auto"/>
                  </w:pPr>
                  <w:r>
                    <w:t>4.</w:t>
                  </w:r>
                  <w:r>
                    <w:rPr>
                      <w:rFonts w:hint="eastAsia"/>
                    </w:rPr>
                    <w:t>支持不良处置结论登记</w:t>
                  </w:r>
                </w:p>
                <w:p w14:paraId="17CDA0C1">
                  <w:pPr>
                    <w:pStyle w:val="131"/>
                    <w:pageBreakBefore w:val="0"/>
                    <w:widowControl w:val="0"/>
                    <w:kinsoku/>
                    <w:wordWrap/>
                    <w:overflowPunct/>
                    <w:topLinePunct w:val="0"/>
                    <w:autoSpaceDE/>
                    <w:autoSpaceDN/>
                    <w:bidi w:val="0"/>
                    <w:adjustRightInd/>
                    <w:spacing w:line="360" w:lineRule="exact"/>
                    <w:ind w:firstLine="0"/>
                    <w:textAlignment w:val="auto"/>
                    <w:rPr>
                      <w:b/>
                    </w:rPr>
                  </w:pPr>
                  <w:r>
                    <w:rPr>
                      <w:b/>
                    </w:rPr>
                    <w:t>3</w:t>
                  </w:r>
                  <w:r>
                    <w:rPr>
                      <w:rFonts w:hint="eastAsia"/>
                      <w:b/>
                    </w:rPr>
                    <w:t>、输血科不良反应处置</w:t>
                  </w:r>
                </w:p>
                <w:p w14:paraId="1FB8686B">
                  <w:pPr>
                    <w:pStyle w:val="131"/>
                    <w:pageBreakBefore w:val="0"/>
                    <w:widowControl w:val="0"/>
                    <w:kinsoku/>
                    <w:wordWrap/>
                    <w:overflowPunct/>
                    <w:topLinePunct w:val="0"/>
                    <w:autoSpaceDE/>
                    <w:autoSpaceDN/>
                    <w:bidi w:val="0"/>
                    <w:adjustRightInd/>
                    <w:spacing w:line="360" w:lineRule="exact"/>
                    <w:ind w:firstLine="0"/>
                    <w:textAlignment w:val="auto"/>
                  </w:pPr>
                  <w:r>
                    <w:t>1.</w:t>
                  </w:r>
                  <w:r>
                    <w:rPr>
                      <w:rFonts w:hint="eastAsia"/>
                    </w:rPr>
                    <w:t>支持反应类型登记</w:t>
                  </w:r>
                </w:p>
                <w:p w14:paraId="739CC50C">
                  <w:pPr>
                    <w:pStyle w:val="131"/>
                    <w:pageBreakBefore w:val="0"/>
                    <w:widowControl w:val="0"/>
                    <w:kinsoku/>
                    <w:wordWrap/>
                    <w:overflowPunct/>
                    <w:topLinePunct w:val="0"/>
                    <w:autoSpaceDE/>
                    <w:autoSpaceDN/>
                    <w:bidi w:val="0"/>
                    <w:adjustRightInd/>
                    <w:spacing w:line="360" w:lineRule="exact"/>
                    <w:ind w:firstLine="0"/>
                    <w:textAlignment w:val="auto"/>
                  </w:pPr>
                  <w:r>
                    <w:t>2.</w:t>
                  </w:r>
                  <w:r>
                    <w:rPr>
                      <w:rFonts w:hint="eastAsia"/>
                    </w:rPr>
                    <w:t>支持处理意见登记</w:t>
                  </w:r>
                </w:p>
                <w:p w14:paraId="51DAB933">
                  <w:pPr>
                    <w:pStyle w:val="8"/>
                    <w:pageBreakBefore w:val="0"/>
                    <w:widowControl w:val="0"/>
                    <w:kinsoku/>
                    <w:wordWrap/>
                    <w:overflowPunct/>
                    <w:topLinePunct w:val="0"/>
                    <w:autoSpaceDE/>
                    <w:autoSpaceDN/>
                    <w:bidi w:val="0"/>
                    <w:adjustRightInd/>
                    <w:spacing w:line="360" w:lineRule="exact"/>
                    <w:textAlignment w:val="auto"/>
                  </w:pPr>
                  <w:r>
                    <w:rPr>
                      <w:rFonts w:hint="eastAsia"/>
                    </w:rPr>
                    <w:t>闭环消息提醒</w:t>
                  </w:r>
                </w:p>
                <w:p w14:paraId="18C8626A">
                  <w:pPr>
                    <w:pStyle w:val="131"/>
                    <w:pageBreakBefore w:val="0"/>
                    <w:widowControl w:val="0"/>
                    <w:kinsoku/>
                    <w:wordWrap/>
                    <w:overflowPunct/>
                    <w:topLinePunct w:val="0"/>
                    <w:autoSpaceDE/>
                    <w:autoSpaceDN/>
                    <w:bidi w:val="0"/>
                    <w:adjustRightInd/>
                    <w:spacing w:line="360" w:lineRule="exact"/>
                    <w:ind w:firstLine="0"/>
                    <w:textAlignment w:val="auto"/>
                  </w:pPr>
                  <w:r>
                    <w:t>1.</w:t>
                  </w:r>
                  <w:r>
                    <w:rPr>
                      <w:rFonts w:hint="eastAsia"/>
                    </w:rPr>
                    <w:t>多种消息提醒方式自定义（右下角弹框提醒、全屏提醒、锁屏提醒等）</w:t>
                  </w:r>
                </w:p>
                <w:p w14:paraId="42CA6B10">
                  <w:pPr>
                    <w:pStyle w:val="131"/>
                    <w:pageBreakBefore w:val="0"/>
                    <w:widowControl w:val="0"/>
                    <w:kinsoku/>
                    <w:wordWrap/>
                    <w:overflowPunct/>
                    <w:topLinePunct w:val="0"/>
                    <w:autoSpaceDE/>
                    <w:autoSpaceDN/>
                    <w:bidi w:val="0"/>
                    <w:adjustRightInd/>
                    <w:spacing w:line="360" w:lineRule="exact"/>
                    <w:ind w:firstLine="0"/>
                    <w:textAlignment w:val="auto"/>
                  </w:pPr>
                  <w:r>
                    <w:t>2.</w:t>
                  </w:r>
                  <w:r>
                    <w:rPr>
                      <w:rFonts w:hint="eastAsia"/>
                    </w:rPr>
                    <w:t>支持消息语音提醒</w:t>
                  </w:r>
                </w:p>
                <w:p w14:paraId="1FFAAE38">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多个消息提醒客户端位置自定义（医生站、护士站、门诊、医务处、护工）</w:t>
                  </w:r>
                </w:p>
                <w:p w14:paraId="6D508766">
                  <w:pPr>
                    <w:pStyle w:val="131"/>
                    <w:pageBreakBefore w:val="0"/>
                    <w:widowControl w:val="0"/>
                    <w:kinsoku/>
                    <w:wordWrap/>
                    <w:overflowPunct/>
                    <w:topLinePunct w:val="0"/>
                    <w:autoSpaceDE/>
                    <w:autoSpaceDN/>
                    <w:bidi w:val="0"/>
                    <w:adjustRightInd/>
                    <w:spacing w:line="360" w:lineRule="exact"/>
                    <w:ind w:firstLine="0"/>
                    <w:textAlignment w:val="auto"/>
                  </w:pPr>
                  <w:r>
                    <w:t>3.</w:t>
                  </w:r>
                  <w:r>
                    <w:rPr>
                      <w:rFonts w:hint="eastAsia"/>
                    </w:rPr>
                    <w:t>全流程闭环消息提醒设置</w:t>
                  </w:r>
                  <w:r>
                    <w:t>(</w:t>
                  </w:r>
                  <w:r>
                    <w:rPr>
                      <w:rFonts w:hint="eastAsia"/>
                    </w:rPr>
                    <w:t>输血单审核不通过提醒、大量用血审批提醒、取血通知提醒、血袋发血后效期报警提醒、用血巡视提醒、输血结束提醒、输血后巡视提醒、用血评价提醒、血袋回收提醒、血袋销毁提醒、</w:t>
                  </w:r>
                  <w:r>
                    <w:t>)</w:t>
                  </w:r>
                </w:p>
                <w:p w14:paraId="596CF136">
                  <w:pPr>
                    <w:pStyle w:val="8"/>
                    <w:pageBreakBefore w:val="0"/>
                    <w:widowControl w:val="0"/>
                    <w:kinsoku/>
                    <w:wordWrap/>
                    <w:overflowPunct/>
                    <w:topLinePunct w:val="0"/>
                    <w:autoSpaceDE/>
                    <w:autoSpaceDN/>
                    <w:bidi w:val="0"/>
                    <w:adjustRightInd/>
                    <w:spacing w:line="360" w:lineRule="exact"/>
                    <w:textAlignment w:val="auto"/>
                  </w:pPr>
                  <w:r>
                    <w:rPr>
                      <w:rFonts w:hint="eastAsia"/>
                    </w:rPr>
                    <w:t>库位管理</w:t>
                  </w:r>
                </w:p>
                <w:p w14:paraId="6F42C66E">
                  <w:pPr>
                    <w:pStyle w:val="131"/>
                    <w:pageBreakBefore w:val="0"/>
                    <w:widowControl w:val="0"/>
                    <w:kinsoku/>
                    <w:wordWrap/>
                    <w:overflowPunct/>
                    <w:topLinePunct w:val="0"/>
                    <w:autoSpaceDE/>
                    <w:autoSpaceDN/>
                    <w:bidi w:val="0"/>
                    <w:adjustRightInd/>
                    <w:spacing w:line="360" w:lineRule="exact"/>
                    <w:ind w:firstLine="0"/>
                    <w:textAlignment w:val="auto"/>
                  </w:pPr>
                  <w:r>
                    <w:t>1.</w:t>
                  </w:r>
                  <w:r>
                    <w:rPr>
                      <w:rFonts w:hint="eastAsia"/>
                    </w:rPr>
                    <w:t>血袋、血袋小辫、患者血样库位管理</w:t>
                  </w:r>
                </w:p>
                <w:p w14:paraId="1D448E1E">
                  <w:pPr>
                    <w:pStyle w:val="131"/>
                    <w:pageBreakBefore w:val="0"/>
                    <w:widowControl w:val="0"/>
                    <w:kinsoku/>
                    <w:wordWrap/>
                    <w:overflowPunct/>
                    <w:topLinePunct w:val="0"/>
                    <w:autoSpaceDE/>
                    <w:autoSpaceDN/>
                    <w:bidi w:val="0"/>
                    <w:adjustRightInd/>
                    <w:spacing w:line="360" w:lineRule="exact"/>
                    <w:ind w:firstLine="0"/>
                    <w:textAlignment w:val="auto"/>
                  </w:pPr>
                  <w:r>
                    <w:t>2.</w:t>
                  </w:r>
                  <w:r>
                    <w:rPr>
                      <w:rFonts w:hint="eastAsia"/>
                    </w:rPr>
                    <w:t>可以自定义所属冰箱、行、列方式形成库位架子</w:t>
                  </w:r>
                </w:p>
                <w:p w14:paraId="5E615061">
                  <w:pPr>
                    <w:pStyle w:val="131"/>
                    <w:pageBreakBefore w:val="0"/>
                    <w:widowControl w:val="0"/>
                    <w:kinsoku/>
                    <w:wordWrap/>
                    <w:overflowPunct/>
                    <w:topLinePunct w:val="0"/>
                    <w:autoSpaceDE/>
                    <w:autoSpaceDN/>
                    <w:bidi w:val="0"/>
                    <w:adjustRightInd/>
                    <w:spacing w:line="360" w:lineRule="exact"/>
                    <w:ind w:firstLine="0"/>
                    <w:textAlignment w:val="auto"/>
                  </w:pPr>
                  <w:r>
                    <w:t>3.</w:t>
                  </w:r>
                  <w:r>
                    <w:rPr>
                      <w:rFonts w:hint="eastAsia"/>
                    </w:rPr>
                    <w:t>交叉配血界面可以显示血袋、血袋小辫、患者血样库位</w:t>
                  </w:r>
                </w:p>
                <w:p w14:paraId="61A75FAE">
                  <w:pPr>
                    <w:pStyle w:val="8"/>
                    <w:pageBreakBefore w:val="0"/>
                    <w:widowControl w:val="0"/>
                    <w:kinsoku/>
                    <w:wordWrap/>
                    <w:overflowPunct/>
                    <w:topLinePunct w:val="0"/>
                    <w:autoSpaceDE/>
                    <w:autoSpaceDN/>
                    <w:bidi w:val="0"/>
                    <w:adjustRightInd/>
                    <w:spacing w:line="360" w:lineRule="exact"/>
                    <w:textAlignment w:val="auto"/>
                  </w:pPr>
                  <w:r>
                    <w:rPr>
                      <w:rFonts w:hint="eastAsia"/>
                    </w:rPr>
                    <w:t>输血科管理</w:t>
                  </w:r>
                </w:p>
                <w:p w14:paraId="5060C136">
                  <w:pPr>
                    <w:pStyle w:val="131"/>
                    <w:pageBreakBefore w:val="0"/>
                    <w:widowControl w:val="0"/>
                    <w:kinsoku/>
                    <w:wordWrap/>
                    <w:overflowPunct/>
                    <w:topLinePunct w:val="0"/>
                    <w:autoSpaceDE/>
                    <w:autoSpaceDN/>
                    <w:bidi w:val="0"/>
                    <w:adjustRightInd/>
                    <w:spacing w:line="360" w:lineRule="exact"/>
                    <w:ind w:firstLine="0"/>
                    <w:textAlignment w:val="auto"/>
                    <w:rPr>
                      <w:b/>
                    </w:rPr>
                  </w:pPr>
                  <w:r>
                    <w:rPr>
                      <w:b/>
                    </w:rPr>
                    <w:t>1</w:t>
                  </w:r>
                  <w:r>
                    <w:rPr>
                      <w:rFonts w:hint="eastAsia"/>
                      <w:b/>
                    </w:rPr>
                    <w:t>、血袋入库</w:t>
                  </w:r>
                </w:p>
                <w:p w14:paraId="7A3F9352">
                  <w:pPr>
                    <w:pStyle w:val="131"/>
                    <w:pageBreakBefore w:val="0"/>
                    <w:widowControl w:val="0"/>
                    <w:kinsoku/>
                    <w:wordWrap/>
                    <w:overflowPunct/>
                    <w:topLinePunct w:val="0"/>
                    <w:autoSpaceDE/>
                    <w:autoSpaceDN/>
                    <w:bidi w:val="0"/>
                    <w:adjustRightInd/>
                    <w:spacing w:line="360" w:lineRule="exact"/>
                    <w:ind w:firstLine="0"/>
                    <w:textAlignment w:val="auto"/>
                  </w:pPr>
                  <w:r>
                    <w:t>1.</w:t>
                  </w:r>
                  <w:r>
                    <w:rPr>
                      <w:rFonts w:hint="eastAsia"/>
                    </w:rPr>
                    <w:t>支持血液手工入库</w:t>
                  </w:r>
                </w:p>
                <w:p w14:paraId="02C4F70E">
                  <w:pPr>
                    <w:pStyle w:val="131"/>
                    <w:pageBreakBefore w:val="0"/>
                    <w:widowControl w:val="0"/>
                    <w:kinsoku/>
                    <w:wordWrap/>
                    <w:overflowPunct/>
                    <w:topLinePunct w:val="0"/>
                    <w:autoSpaceDE/>
                    <w:autoSpaceDN/>
                    <w:bidi w:val="0"/>
                    <w:adjustRightInd/>
                    <w:spacing w:line="360" w:lineRule="exact"/>
                    <w:ind w:firstLine="0"/>
                    <w:textAlignment w:val="auto"/>
                  </w:pPr>
                  <w:r>
                    <w:t>2.</w:t>
                  </w:r>
                  <w:r>
                    <w:rPr>
                      <w:rFonts w:hint="eastAsia"/>
                    </w:rPr>
                    <w:t>支持血站文件导入</w:t>
                  </w:r>
                </w:p>
                <w:p w14:paraId="5C20B6AE">
                  <w:pPr>
                    <w:pStyle w:val="131"/>
                    <w:pageBreakBefore w:val="0"/>
                    <w:widowControl w:val="0"/>
                    <w:kinsoku/>
                    <w:wordWrap/>
                    <w:overflowPunct/>
                    <w:topLinePunct w:val="0"/>
                    <w:autoSpaceDE/>
                    <w:autoSpaceDN/>
                    <w:bidi w:val="0"/>
                    <w:adjustRightInd/>
                    <w:spacing w:line="360" w:lineRule="exact"/>
                    <w:ind w:firstLine="0"/>
                    <w:textAlignment w:val="auto"/>
                  </w:pPr>
                  <w:r>
                    <w:t>3.</w:t>
                  </w:r>
                  <w:r>
                    <w:rPr>
                      <w:rFonts w:hint="eastAsia"/>
                    </w:rPr>
                    <w:t>支持手工快速入库</w:t>
                  </w:r>
                </w:p>
                <w:p w14:paraId="412BB216">
                  <w:pPr>
                    <w:pStyle w:val="131"/>
                    <w:pageBreakBefore w:val="0"/>
                    <w:widowControl w:val="0"/>
                    <w:kinsoku/>
                    <w:wordWrap/>
                    <w:overflowPunct/>
                    <w:topLinePunct w:val="0"/>
                    <w:autoSpaceDE/>
                    <w:autoSpaceDN/>
                    <w:bidi w:val="0"/>
                    <w:adjustRightInd/>
                    <w:spacing w:line="360" w:lineRule="exact"/>
                    <w:ind w:firstLine="0"/>
                    <w:textAlignment w:val="auto"/>
                  </w:pPr>
                  <w:r>
                    <w:t>4.</w:t>
                  </w:r>
                  <w:r>
                    <w:rPr>
                      <w:rFonts w:hint="eastAsia"/>
                    </w:rPr>
                    <w:t>支持和血站软件对接，通过接口入库</w:t>
                  </w:r>
                </w:p>
                <w:p w14:paraId="3B02F0AA">
                  <w:pPr>
                    <w:pStyle w:val="131"/>
                    <w:pageBreakBefore w:val="0"/>
                    <w:widowControl w:val="0"/>
                    <w:kinsoku/>
                    <w:wordWrap/>
                    <w:overflowPunct/>
                    <w:topLinePunct w:val="0"/>
                    <w:autoSpaceDE/>
                    <w:autoSpaceDN/>
                    <w:bidi w:val="0"/>
                    <w:adjustRightInd/>
                    <w:spacing w:line="360" w:lineRule="exact"/>
                    <w:ind w:firstLine="0"/>
                    <w:textAlignment w:val="auto"/>
                  </w:pPr>
                  <w:r>
                    <w:t>5.</w:t>
                  </w:r>
                  <w:r>
                    <w:rPr>
                      <w:rFonts w:hint="eastAsia"/>
                    </w:rPr>
                    <w:t>支持血液取消入库</w:t>
                  </w:r>
                </w:p>
                <w:p w14:paraId="03702DE7">
                  <w:pPr>
                    <w:pStyle w:val="131"/>
                    <w:pageBreakBefore w:val="0"/>
                    <w:widowControl w:val="0"/>
                    <w:kinsoku/>
                    <w:wordWrap/>
                    <w:overflowPunct/>
                    <w:topLinePunct w:val="0"/>
                    <w:autoSpaceDE/>
                    <w:autoSpaceDN/>
                    <w:bidi w:val="0"/>
                    <w:adjustRightInd/>
                    <w:spacing w:line="360" w:lineRule="exact"/>
                    <w:ind w:firstLine="0"/>
                    <w:textAlignment w:val="auto"/>
                  </w:pPr>
                  <w:r>
                    <w:t>6.</w:t>
                  </w:r>
                  <w:r>
                    <w:rPr>
                      <w:rFonts w:hint="eastAsia"/>
                    </w:rPr>
                    <w:t>入库血液血型复核</w:t>
                  </w:r>
                </w:p>
                <w:p w14:paraId="59F0E717">
                  <w:pPr>
                    <w:pStyle w:val="131"/>
                    <w:pageBreakBefore w:val="0"/>
                    <w:widowControl w:val="0"/>
                    <w:kinsoku/>
                    <w:wordWrap/>
                    <w:overflowPunct/>
                    <w:topLinePunct w:val="0"/>
                    <w:autoSpaceDE/>
                    <w:autoSpaceDN/>
                    <w:bidi w:val="0"/>
                    <w:adjustRightInd/>
                    <w:spacing w:line="360" w:lineRule="exact"/>
                    <w:ind w:firstLine="0"/>
                    <w:textAlignment w:val="auto"/>
                  </w:pPr>
                  <w:r>
                    <w:t>7.</w:t>
                  </w:r>
                  <w:r>
                    <w:rPr>
                      <w:rFonts w:hint="eastAsia"/>
                    </w:rPr>
                    <w:t>血液调拨</w:t>
                  </w:r>
                </w:p>
                <w:p w14:paraId="4B58C270">
                  <w:pPr>
                    <w:pStyle w:val="131"/>
                    <w:pageBreakBefore w:val="0"/>
                    <w:widowControl w:val="0"/>
                    <w:kinsoku/>
                    <w:wordWrap/>
                    <w:overflowPunct/>
                    <w:topLinePunct w:val="0"/>
                    <w:autoSpaceDE/>
                    <w:autoSpaceDN/>
                    <w:bidi w:val="0"/>
                    <w:adjustRightInd/>
                    <w:spacing w:line="360" w:lineRule="exact"/>
                    <w:ind w:firstLine="0"/>
                    <w:textAlignment w:val="auto"/>
                    <w:rPr>
                      <w:b/>
                    </w:rPr>
                  </w:pPr>
                  <w:r>
                    <w:rPr>
                      <w:b/>
                    </w:rPr>
                    <w:t>2</w:t>
                  </w:r>
                  <w:r>
                    <w:rPr>
                      <w:rFonts w:hint="eastAsia"/>
                      <w:b/>
                    </w:rPr>
                    <w:t>、库存血液管理</w:t>
                  </w:r>
                </w:p>
                <w:p w14:paraId="24CC158D">
                  <w:pPr>
                    <w:pStyle w:val="131"/>
                    <w:pageBreakBefore w:val="0"/>
                    <w:widowControl w:val="0"/>
                    <w:kinsoku/>
                    <w:wordWrap/>
                    <w:overflowPunct/>
                    <w:topLinePunct w:val="0"/>
                    <w:autoSpaceDE/>
                    <w:autoSpaceDN/>
                    <w:bidi w:val="0"/>
                    <w:adjustRightInd/>
                    <w:spacing w:line="360" w:lineRule="exact"/>
                    <w:ind w:firstLine="0"/>
                    <w:textAlignment w:val="auto"/>
                  </w:pPr>
                  <w:r>
                    <w:t>1.</w:t>
                  </w:r>
                  <w:r>
                    <w:rPr>
                      <w:rFonts w:hint="eastAsia"/>
                    </w:rPr>
                    <w:t>库存血液效期报警</w:t>
                  </w:r>
                </w:p>
                <w:p w14:paraId="7D25A6E5">
                  <w:pPr>
                    <w:pStyle w:val="131"/>
                    <w:pageBreakBefore w:val="0"/>
                    <w:widowControl w:val="0"/>
                    <w:kinsoku/>
                    <w:wordWrap/>
                    <w:overflowPunct/>
                    <w:topLinePunct w:val="0"/>
                    <w:autoSpaceDE/>
                    <w:autoSpaceDN/>
                    <w:bidi w:val="0"/>
                    <w:adjustRightInd/>
                    <w:spacing w:line="360" w:lineRule="exact"/>
                    <w:ind w:firstLine="0"/>
                    <w:textAlignment w:val="auto"/>
                  </w:pPr>
                  <w:r>
                    <w:t>2.</w:t>
                  </w:r>
                  <w:r>
                    <w:rPr>
                      <w:rFonts w:hint="eastAsia"/>
                    </w:rPr>
                    <w:t>自定义库存血液是否开放申请、输血申请是否需要输血科审核、申请提示文字</w:t>
                  </w:r>
                </w:p>
                <w:p w14:paraId="128A7FAB">
                  <w:pPr>
                    <w:pStyle w:val="131"/>
                    <w:pageBreakBefore w:val="0"/>
                    <w:widowControl w:val="0"/>
                    <w:kinsoku/>
                    <w:wordWrap/>
                    <w:overflowPunct/>
                    <w:topLinePunct w:val="0"/>
                    <w:autoSpaceDE/>
                    <w:autoSpaceDN/>
                    <w:bidi w:val="0"/>
                    <w:adjustRightInd/>
                    <w:spacing w:line="360" w:lineRule="exact"/>
                    <w:ind w:firstLine="0"/>
                    <w:textAlignment w:val="auto"/>
                  </w:pPr>
                  <w:r>
                    <w:t>3.</w:t>
                  </w:r>
                  <w:r>
                    <w:rPr>
                      <w:rFonts w:hint="eastAsia"/>
                    </w:rPr>
                    <w:t>支持临床医生申请时可以查看和提醒库存情况。</w:t>
                  </w:r>
                </w:p>
                <w:p w14:paraId="13134590">
                  <w:pPr>
                    <w:pStyle w:val="131"/>
                    <w:pageBreakBefore w:val="0"/>
                    <w:widowControl w:val="0"/>
                    <w:kinsoku/>
                    <w:wordWrap/>
                    <w:overflowPunct/>
                    <w:topLinePunct w:val="0"/>
                    <w:autoSpaceDE/>
                    <w:autoSpaceDN/>
                    <w:bidi w:val="0"/>
                    <w:adjustRightInd/>
                    <w:spacing w:line="360" w:lineRule="exact"/>
                    <w:ind w:firstLine="0"/>
                    <w:textAlignment w:val="auto"/>
                  </w:pPr>
                  <w:r>
                    <w:t>4.</w:t>
                  </w:r>
                  <w:r>
                    <w:rPr>
                      <w:rFonts w:hint="eastAsia"/>
                    </w:rPr>
                    <w:t>支持根据血液扫描及数量核对等多种方式进行库血盘存管理</w:t>
                  </w:r>
                </w:p>
                <w:p w14:paraId="0D756B8A">
                  <w:pPr>
                    <w:pStyle w:val="131"/>
                    <w:pageBreakBefore w:val="0"/>
                    <w:widowControl w:val="0"/>
                    <w:kinsoku/>
                    <w:wordWrap/>
                    <w:overflowPunct/>
                    <w:topLinePunct w:val="0"/>
                    <w:autoSpaceDE/>
                    <w:autoSpaceDN/>
                    <w:bidi w:val="0"/>
                    <w:adjustRightInd/>
                    <w:spacing w:line="360" w:lineRule="exact"/>
                    <w:ind w:firstLine="0"/>
                    <w:textAlignment w:val="auto"/>
                  </w:pPr>
                  <w:r>
                    <w:t>5.</w:t>
                  </w:r>
                  <w:r>
                    <w:rPr>
                      <w:rFonts w:hint="eastAsia"/>
                    </w:rPr>
                    <w:t>血袋报废管理申请、审批管理</w:t>
                  </w:r>
                </w:p>
                <w:p w14:paraId="22F44D78">
                  <w:pPr>
                    <w:pStyle w:val="131"/>
                    <w:pageBreakBefore w:val="0"/>
                    <w:widowControl w:val="0"/>
                    <w:kinsoku/>
                    <w:wordWrap/>
                    <w:overflowPunct/>
                    <w:topLinePunct w:val="0"/>
                    <w:autoSpaceDE/>
                    <w:autoSpaceDN/>
                    <w:bidi w:val="0"/>
                    <w:adjustRightInd/>
                    <w:spacing w:line="360" w:lineRule="exact"/>
                    <w:ind w:firstLine="0"/>
                    <w:textAlignment w:val="auto"/>
                    <w:rPr>
                      <w:b/>
                    </w:rPr>
                  </w:pPr>
                  <w:r>
                    <w:rPr>
                      <w:b/>
                    </w:rPr>
                    <w:t>3</w:t>
                  </w:r>
                  <w:r>
                    <w:rPr>
                      <w:rFonts w:hint="eastAsia"/>
                      <w:b/>
                    </w:rPr>
                    <w:t>、配发血管理</w:t>
                  </w:r>
                </w:p>
                <w:p w14:paraId="38B77630">
                  <w:pPr>
                    <w:pStyle w:val="131"/>
                    <w:pageBreakBefore w:val="0"/>
                    <w:widowControl w:val="0"/>
                    <w:kinsoku/>
                    <w:wordWrap/>
                    <w:overflowPunct/>
                    <w:topLinePunct w:val="0"/>
                    <w:autoSpaceDE/>
                    <w:autoSpaceDN/>
                    <w:bidi w:val="0"/>
                    <w:adjustRightInd/>
                    <w:spacing w:line="360" w:lineRule="exact"/>
                    <w:ind w:firstLine="0"/>
                    <w:textAlignment w:val="auto"/>
                  </w:pPr>
                  <w:r>
                    <w:t>1.</w:t>
                  </w:r>
                  <w:r>
                    <w:rPr>
                      <w:rFonts w:hint="eastAsia"/>
                    </w:rPr>
                    <w:t>以申请单为主线进行配血管理，配血时可以查看输血前评估、申请单、检验信息、输血史、妊娠史、输血不良反应史、药物过敏史等等信息。</w:t>
                  </w:r>
                </w:p>
                <w:p w14:paraId="7D66046E">
                  <w:pPr>
                    <w:pStyle w:val="131"/>
                    <w:pageBreakBefore w:val="0"/>
                    <w:widowControl w:val="0"/>
                    <w:kinsoku/>
                    <w:wordWrap/>
                    <w:overflowPunct/>
                    <w:topLinePunct w:val="0"/>
                    <w:autoSpaceDE/>
                    <w:autoSpaceDN/>
                    <w:bidi w:val="0"/>
                    <w:adjustRightInd/>
                    <w:spacing w:line="360" w:lineRule="exact"/>
                    <w:ind w:firstLine="0"/>
                    <w:textAlignment w:val="auto"/>
                  </w:pPr>
                  <w:r>
                    <w:t>2.</w:t>
                  </w:r>
                  <w:r>
                    <w:rPr>
                      <w:rFonts w:hint="eastAsia"/>
                    </w:rPr>
                    <w:t>配血时输血相关检验结果查看</w:t>
                  </w:r>
                </w:p>
                <w:p w14:paraId="71431ACB">
                  <w:pPr>
                    <w:pStyle w:val="131"/>
                    <w:pageBreakBefore w:val="0"/>
                    <w:widowControl w:val="0"/>
                    <w:kinsoku/>
                    <w:wordWrap/>
                    <w:overflowPunct/>
                    <w:topLinePunct w:val="0"/>
                    <w:autoSpaceDE/>
                    <w:autoSpaceDN/>
                    <w:bidi w:val="0"/>
                    <w:adjustRightInd/>
                    <w:spacing w:line="360" w:lineRule="exact"/>
                    <w:ind w:firstLine="0"/>
                    <w:textAlignment w:val="auto"/>
                  </w:pPr>
                  <w:r>
                    <w:t>3.</w:t>
                  </w:r>
                  <w:r>
                    <w:rPr>
                      <w:rFonts w:hint="eastAsia"/>
                    </w:rPr>
                    <w:t>配血时支持调阅患者输血电子病历。</w:t>
                  </w:r>
                </w:p>
                <w:p w14:paraId="331BDC20">
                  <w:pPr>
                    <w:pStyle w:val="131"/>
                    <w:pageBreakBefore w:val="0"/>
                    <w:widowControl w:val="0"/>
                    <w:kinsoku/>
                    <w:wordWrap/>
                    <w:overflowPunct/>
                    <w:topLinePunct w:val="0"/>
                    <w:autoSpaceDE/>
                    <w:autoSpaceDN/>
                    <w:bidi w:val="0"/>
                    <w:adjustRightInd/>
                    <w:spacing w:line="360" w:lineRule="exact"/>
                    <w:ind w:firstLine="0"/>
                    <w:textAlignment w:val="auto"/>
                  </w:pPr>
                  <w:r>
                    <w:t>4.</w:t>
                  </w:r>
                  <w:r>
                    <w:rPr>
                      <w:rFonts w:hint="eastAsia"/>
                    </w:rPr>
                    <w:t>配血时系统自动将接近有效期血液提示优先显示配血。</w:t>
                  </w:r>
                </w:p>
                <w:p w14:paraId="17670AEB">
                  <w:pPr>
                    <w:pStyle w:val="131"/>
                    <w:pageBreakBefore w:val="0"/>
                    <w:widowControl w:val="0"/>
                    <w:kinsoku/>
                    <w:wordWrap/>
                    <w:overflowPunct/>
                    <w:topLinePunct w:val="0"/>
                    <w:autoSpaceDE/>
                    <w:autoSpaceDN/>
                    <w:bidi w:val="0"/>
                    <w:adjustRightInd/>
                    <w:spacing w:line="360" w:lineRule="exact"/>
                    <w:ind w:firstLine="0"/>
                    <w:textAlignment w:val="auto"/>
                  </w:pPr>
                  <w:r>
                    <w:t>5.</w:t>
                  </w:r>
                  <w:r>
                    <w:rPr>
                      <w:rFonts w:hint="eastAsia"/>
                    </w:rPr>
                    <w:t>根据患者信息自动筛选配血血袋实现仪器自动化配血功能。</w:t>
                  </w:r>
                </w:p>
                <w:p w14:paraId="228D06A5">
                  <w:pPr>
                    <w:pStyle w:val="131"/>
                    <w:pageBreakBefore w:val="0"/>
                    <w:widowControl w:val="0"/>
                    <w:kinsoku/>
                    <w:wordWrap/>
                    <w:overflowPunct/>
                    <w:topLinePunct w:val="0"/>
                    <w:autoSpaceDE/>
                    <w:autoSpaceDN/>
                    <w:bidi w:val="0"/>
                    <w:adjustRightInd/>
                    <w:spacing w:line="360" w:lineRule="exact"/>
                    <w:ind w:firstLine="0"/>
                    <w:textAlignment w:val="auto"/>
                  </w:pPr>
                  <w:r>
                    <w:t>6.</w:t>
                  </w:r>
                  <w:r>
                    <w:rPr>
                      <w:rFonts w:hint="eastAsia"/>
                    </w:rPr>
                    <w:t>配血审核完成自动发送取血通知</w:t>
                  </w:r>
                </w:p>
                <w:p w14:paraId="4F657403">
                  <w:pPr>
                    <w:pStyle w:val="131"/>
                    <w:pageBreakBefore w:val="0"/>
                    <w:widowControl w:val="0"/>
                    <w:kinsoku/>
                    <w:wordWrap/>
                    <w:overflowPunct/>
                    <w:topLinePunct w:val="0"/>
                    <w:autoSpaceDE/>
                    <w:autoSpaceDN/>
                    <w:bidi w:val="0"/>
                    <w:adjustRightInd/>
                    <w:spacing w:line="360" w:lineRule="exact"/>
                    <w:ind w:firstLine="0"/>
                    <w:textAlignment w:val="auto"/>
                  </w:pPr>
                  <w:r>
                    <w:t>7.</w:t>
                  </w:r>
                  <w:r>
                    <w:rPr>
                      <w:rFonts w:hint="eastAsia"/>
                    </w:rPr>
                    <w:t>配血单据、发血单据打印</w:t>
                  </w:r>
                </w:p>
                <w:p w14:paraId="4D7B45C2">
                  <w:pPr>
                    <w:pStyle w:val="131"/>
                    <w:pageBreakBefore w:val="0"/>
                    <w:widowControl w:val="0"/>
                    <w:kinsoku/>
                    <w:wordWrap/>
                    <w:overflowPunct/>
                    <w:topLinePunct w:val="0"/>
                    <w:autoSpaceDE/>
                    <w:autoSpaceDN/>
                    <w:bidi w:val="0"/>
                    <w:adjustRightInd/>
                    <w:spacing w:line="360" w:lineRule="exact"/>
                    <w:ind w:firstLine="0"/>
                    <w:textAlignment w:val="auto"/>
                  </w:pPr>
                  <w:r>
                    <w:t>8.</w:t>
                  </w:r>
                  <w:r>
                    <w:rPr>
                      <w:rFonts w:hint="eastAsia"/>
                    </w:rPr>
                    <w:t>血液暂存管理</w:t>
                  </w:r>
                </w:p>
                <w:p w14:paraId="634ED2C3">
                  <w:pPr>
                    <w:pStyle w:val="131"/>
                    <w:pageBreakBefore w:val="0"/>
                    <w:widowControl w:val="0"/>
                    <w:kinsoku/>
                    <w:wordWrap/>
                    <w:overflowPunct/>
                    <w:topLinePunct w:val="0"/>
                    <w:autoSpaceDE/>
                    <w:autoSpaceDN/>
                    <w:bidi w:val="0"/>
                    <w:adjustRightInd/>
                    <w:spacing w:line="360" w:lineRule="exact"/>
                    <w:ind w:firstLine="0"/>
                    <w:textAlignment w:val="auto"/>
                    <w:rPr>
                      <w:b/>
                    </w:rPr>
                  </w:pPr>
                  <w:r>
                    <w:rPr>
                      <w:b/>
                    </w:rPr>
                    <w:t>4</w:t>
                  </w:r>
                  <w:r>
                    <w:rPr>
                      <w:rFonts w:hint="eastAsia"/>
                      <w:b/>
                    </w:rPr>
                    <w:t>、审批管理</w:t>
                  </w:r>
                </w:p>
                <w:p w14:paraId="46ACAC7B">
                  <w:pPr>
                    <w:pStyle w:val="131"/>
                    <w:pageBreakBefore w:val="0"/>
                    <w:widowControl w:val="0"/>
                    <w:kinsoku/>
                    <w:wordWrap/>
                    <w:overflowPunct/>
                    <w:topLinePunct w:val="0"/>
                    <w:autoSpaceDE/>
                    <w:autoSpaceDN/>
                    <w:bidi w:val="0"/>
                    <w:adjustRightInd/>
                    <w:spacing w:line="360" w:lineRule="exact"/>
                    <w:ind w:firstLine="0"/>
                    <w:textAlignment w:val="auto"/>
                  </w:pPr>
                  <w:r>
                    <w:t>1.</w:t>
                  </w:r>
                  <w:r>
                    <w:rPr>
                      <w:rFonts w:hint="eastAsia"/>
                    </w:rPr>
                    <w:t>大剂量用血申请审核管理</w:t>
                  </w:r>
                </w:p>
                <w:p w14:paraId="5C2E57C9">
                  <w:pPr>
                    <w:pStyle w:val="131"/>
                    <w:pageBreakBefore w:val="0"/>
                    <w:widowControl w:val="0"/>
                    <w:kinsoku/>
                    <w:wordWrap/>
                    <w:overflowPunct/>
                    <w:topLinePunct w:val="0"/>
                    <w:autoSpaceDE/>
                    <w:autoSpaceDN/>
                    <w:bidi w:val="0"/>
                    <w:adjustRightInd/>
                    <w:spacing w:line="360" w:lineRule="exact"/>
                    <w:ind w:firstLine="0"/>
                    <w:textAlignment w:val="auto"/>
                  </w:pPr>
                  <w:r>
                    <w:t>2.</w:t>
                  </w:r>
                  <w:r>
                    <w:rPr>
                      <w:rFonts w:hint="eastAsia"/>
                    </w:rPr>
                    <w:t>输血不良反应意见填写</w:t>
                  </w:r>
                </w:p>
                <w:p w14:paraId="69C44C99">
                  <w:pPr>
                    <w:pStyle w:val="131"/>
                    <w:pageBreakBefore w:val="0"/>
                    <w:widowControl w:val="0"/>
                    <w:kinsoku/>
                    <w:wordWrap/>
                    <w:overflowPunct/>
                    <w:topLinePunct w:val="0"/>
                    <w:autoSpaceDE/>
                    <w:autoSpaceDN/>
                    <w:bidi w:val="0"/>
                    <w:adjustRightInd/>
                    <w:spacing w:line="360" w:lineRule="exact"/>
                    <w:ind w:firstLine="0"/>
                    <w:textAlignment w:val="auto"/>
                  </w:pPr>
                  <w:r>
                    <w:t>3.</w:t>
                  </w:r>
                  <w:r>
                    <w:rPr>
                      <w:rFonts w:hint="eastAsia"/>
                    </w:rPr>
                    <w:t>支持对临床的用血疗效评价信息进行意见填写</w:t>
                  </w:r>
                </w:p>
                <w:p w14:paraId="5BB6B123">
                  <w:pPr>
                    <w:pStyle w:val="131"/>
                    <w:pageBreakBefore w:val="0"/>
                    <w:widowControl w:val="0"/>
                    <w:kinsoku/>
                    <w:wordWrap/>
                    <w:overflowPunct/>
                    <w:topLinePunct w:val="0"/>
                    <w:autoSpaceDE/>
                    <w:autoSpaceDN/>
                    <w:bidi w:val="0"/>
                    <w:adjustRightInd/>
                    <w:spacing w:line="360" w:lineRule="exact"/>
                    <w:ind w:firstLine="0"/>
                    <w:textAlignment w:val="auto"/>
                    <w:rPr>
                      <w:b/>
                    </w:rPr>
                  </w:pPr>
                  <w:r>
                    <w:rPr>
                      <w:b/>
                    </w:rPr>
                    <w:t>5</w:t>
                  </w:r>
                  <w:r>
                    <w:rPr>
                      <w:rFonts w:hint="eastAsia"/>
                      <w:b/>
                    </w:rPr>
                    <w:t>、消息提醒</w:t>
                  </w:r>
                </w:p>
                <w:p w14:paraId="1ADA5808">
                  <w:pPr>
                    <w:pStyle w:val="131"/>
                    <w:pageBreakBefore w:val="0"/>
                    <w:widowControl w:val="0"/>
                    <w:kinsoku/>
                    <w:wordWrap/>
                    <w:overflowPunct/>
                    <w:topLinePunct w:val="0"/>
                    <w:autoSpaceDE/>
                    <w:autoSpaceDN/>
                    <w:bidi w:val="0"/>
                    <w:adjustRightInd/>
                    <w:spacing w:line="360" w:lineRule="exact"/>
                    <w:ind w:firstLine="0"/>
                    <w:textAlignment w:val="auto"/>
                  </w:pPr>
                  <w:r>
                    <w:t>1.</w:t>
                  </w:r>
                  <w:r>
                    <w:rPr>
                      <w:rFonts w:hint="eastAsia"/>
                    </w:rPr>
                    <w:t>输血申请待审核提醒</w:t>
                  </w:r>
                </w:p>
                <w:p w14:paraId="2AD7539E">
                  <w:pPr>
                    <w:pStyle w:val="131"/>
                    <w:pageBreakBefore w:val="0"/>
                    <w:widowControl w:val="0"/>
                    <w:kinsoku/>
                    <w:wordWrap/>
                    <w:overflowPunct/>
                    <w:topLinePunct w:val="0"/>
                    <w:autoSpaceDE/>
                    <w:autoSpaceDN/>
                    <w:bidi w:val="0"/>
                    <w:adjustRightInd/>
                    <w:spacing w:line="360" w:lineRule="exact"/>
                    <w:ind w:firstLine="0"/>
                    <w:textAlignment w:val="auto"/>
                  </w:pPr>
                  <w:r>
                    <w:t>2.</w:t>
                  </w:r>
                  <w:r>
                    <w:rPr>
                      <w:rFonts w:hint="eastAsia"/>
                    </w:rPr>
                    <w:t>输血申请待接收提醒</w:t>
                  </w:r>
                </w:p>
                <w:p w14:paraId="3519581B">
                  <w:pPr>
                    <w:pStyle w:val="131"/>
                    <w:pageBreakBefore w:val="0"/>
                    <w:widowControl w:val="0"/>
                    <w:kinsoku/>
                    <w:wordWrap/>
                    <w:overflowPunct/>
                    <w:topLinePunct w:val="0"/>
                    <w:autoSpaceDE/>
                    <w:autoSpaceDN/>
                    <w:bidi w:val="0"/>
                    <w:adjustRightInd/>
                    <w:spacing w:line="360" w:lineRule="exact"/>
                    <w:ind w:firstLine="0"/>
                    <w:textAlignment w:val="auto"/>
                  </w:pPr>
                  <w:r>
                    <w:t>3.</w:t>
                  </w:r>
                  <w:r>
                    <w:rPr>
                      <w:rFonts w:hint="eastAsia"/>
                    </w:rPr>
                    <w:t>输血待评价提醒</w:t>
                  </w:r>
                </w:p>
                <w:p w14:paraId="44F6353B">
                  <w:pPr>
                    <w:pStyle w:val="131"/>
                    <w:pageBreakBefore w:val="0"/>
                    <w:widowControl w:val="0"/>
                    <w:kinsoku/>
                    <w:wordWrap/>
                    <w:overflowPunct/>
                    <w:topLinePunct w:val="0"/>
                    <w:autoSpaceDE/>
                    <w:autoSpaceDN/>
                    <w:bidi w:val="0"/>
                    <w:adjustRightInd/>
                    <w:spacing w:line="360" w:lineRule="exact"/>
                    <w:ind w:firstLine="0"/>
                    <w:textAlignment w:val="auto"/>
                  </w:pPr>
                  <w:r>
                    <w:t>4.</w:t>
                  </w:r>
                  <w:r>
                    <w:rPr>
                      <w:rFonts w:hint="eastAsia"/>
                    </w:rPr>
                    <w:t>输血不良反应提醒</w:t>
                  </w:r>
                </w:p>
                <w:p w14:paraId="0B3581F3">
                  <w:pPr>
                    <w:pStyle w:val="131"/>
                    <w:pageBreakBefore w:val="0"/>
                    <w:widowControl w:val="0"/>
                    <w:kinsoku/>
                    <w:wordWrap/>
                    <w:overflowPunct/>
                    <w:topLinePunct w:val="0"/>
                    <w:autoSpaceDE/>
                    <w:autoSpaceDN/>
                    <w:bidi w:val="0"/>
                    <w:adjustRightInd/>
                    <w:spacing w:line="360" w:lineRule="exact"/>
                    <w:ind w:firstLine="0"/>
                    <w:textAlignment w:val="auto"/>
                  </w:pPr>
                  <w:r>
                    <w:t>5.</w:t>
                  </w:r>
                  <w:r>
                    <w:rPr>
                      <w:rFonts w:hint="eastAsia"/>
                    </w:rPr>
                    <w:t>用血通知提醒</w:t>
                  </w:r>
                </w:p>
                <w:p w14:paraId="610A9D60">
                  <w:pPr>
                    <w:pStyle w:val="131"/>
                    <w:pageBreakBefore w:val="0"/>
                    <w:widowControl w:val="0"/>
                    <w:kinsoku/>
                    <w:wordWrap/>
                    <w:overflowPunct/>
                    <w:topLinePunct w:val="0"/>
                    <w:autoSpaceDE/>
                    <w:autoSpaceDN/>
                    <w:bidi w:val="0"/>
                    <w:adjustRightInd/>
                    <w:spacing w:line="360" w:lineRule="exact"/>
                    <w:ind w:firstLine="0"/>
                    <w:textAlignment w:val="auto"/>
                    <w:rPr>
                      <w:b/>
                    </w:rPr>
                  </w:pPr>
                  <w:r>
                    <w:rPr>
                      <w:b/>
                    </w:rPr>
                    <w:t>6</w:t>
                  </w:r>
                  <w:r>
                    <w:rPr>
                      <w:rFonts w:hint="eastAsia"/>
                      <w:b/>
                    </w:rPr>
                    <w:t>、费用管理</w:t>
                  </w:r>
                </w:p>
                <w:p w14:paraId="5443FA70">
                  <w:pPr>
                    <w:pStyle w:val="131"/>
                    <w:pageBreakBefore w:val="0"/>
                    <w:widowControl w:val="0"/>
                    <w:kinsoku/>
                    <w:wordWrap/>
                    <w:overflowPunct/>
                    <w:topLinePunct w:val="0"/>
                    <w:autoSpaceDE/>
                    <w:autoSpaceDN/>
                    <w:bidi w:val="0"/>
                    <w:adjustRightInd/>
                    <w:spacing w:line="360" w:lineRule="exact"/>
                    <w:ind w:firstLine="0"/>
                    <w:textAlignment w:val="auto"/>
                  </w:pPr>
                  <w:r>
                    <w:t>1.</w:t>
                  </w:r>
                  <w:r>
                    <w:rPr>
                      <w:rFonts w:hint="eastAsia"/>
                    </w:rPr>
                    <w:t>支持根据血液成分、血型、规格、配血方法等设置不同的计价规则。</w:t>
                  </w:r>
                </w:p>
                <w:p w14:paraId="042186A2">
                  <w:pPr>
                    <w:pStyle w:val="131"/>
                    <w:pageBreakBefore w:val="0"/>
                    <w:widowControl w:val="0"/>
                    <w:kinsoku/>
                    <w:wordWrap/>
                    <w:overflowPunct/>
                    <w:topLinePunct w:val="0"/>
                    <w:autoSpaceDE/>
                    <w:autoSpaceDN/>
                    <w:bidi w:val="0"/>
                    <w:adjustRightInd/>
                    <w:spacing w:line="360" w:lineRule="exact"/>
                    <w:ind w:firstLine="0"/>
                    <w:textAlignment w:val="auto"/>
                  </w:pPr>
                  <w:r>
                    <w:t>2.</w:t>
                  </w:r>
                  <w:r>
                    <w:rPr>
                      <w:rFonts w:hint="eastAsia"/>
                    </w:rPr>
                    <w:t>当配血审核时自动计价配血费、血型检验费等等。</w:t>
                  </w:r>
                </w:p>
                <w:p w14:paraId="26E651E5">
                  <w:pPr>
                    <w:pStyle w:val="131"/>
                    <w:pageBreakBefore w:val="0"/>
                    <w:widowControl w:val="0"/>
                    <w:kinsoku/>
                    <w:wordWrap/>
                    <w:overflowPunct/>
                    <w:topLinePunct w:val="0"/>
                    <w:autoSpaceDE/>
                    <w:autoSpaceDN/>
                    <w:bidi w:val="0"/>
                    <w:adjustRightInd/>
                    <w:spacing w:line="360" w:lineRule="exact"/>
                    <w:ind w:firstLine="0"/>
                    <w:textAlignment w:val="auto"/>
                  </w:pPr>
                  <w:r>
                    <w:t>3.</w:t>
                  </w:r>
                  <w:r>
                    <w:rPr>
                      <w:rFonts w:hint="eastAsia"/>
                    </w:rPr>
                    <w:t>发血时自动计血费。</w:t>
                  </w:r>
                </w:p>
                <w:p w14:paraId="3ABA96B8">
                  <w:pPr>
                    <w:pStyle w:val="131"/>
                    <w:pageBreakBefore w:val="0"/>
                    <w:widowControl w:val="0"/>
                    <w:kinsoku/>
                    <w:wordWrap/>
                    <w:overflowPunct/>
                    <w:topLinePunct w:val="0"/>
                    <w:autoSpaceDE/>
                    <w:autoSpaceDN/>
                    <w:bidi w:val="0"/>
                    <w:adjustRightInd/>
                    <w:spacing w:line="360" w:lineRule="exact"/>
                    <w:ind w:firstLine="0"/>
                    <w:textAlignment w:val="auto"/>
                  </w:pPr>
                  <w:r>
                    <w:t>4.</w:t>
                  </w:r>
                  <w:r>
                    <w:rPr>
                      <w:rFonts w:hint="eastAsia"/>
                    </w:rPr>
                    <w:t>费用计价前支持弹框显示费用明细信息，</w:t>
                  </w:r>
                  <w:r>
                    <w:t>5.</w:t>
                  </w:r>
                  <w:r>
                    <w:rPr>
                      <w:rFonts w:hint="eastAsia"/>
                    </w:rPr>
                    <w:t>支持人工修改费用数量。</w:t>
                  </w:r>
                </w:p>
                <w:p w14:paraId="298B5CB0">
                  <w:pPr>
                    <w:pStyle w:val="8"/>
                    <w:pageBreakBefore w:val="0"/>
                    <w:widowControl w:val="0"/>
                    <w:kinsoku/>
                    <w:wordWrap/>
                    <w:overflowPunct/>
                    <w:topLinePunct w:val="0"/>
                    <w:autoSpaceDE/>
                    <w:autoSpaceDN/>
                    <w:bidi w:val="0"/>
                    <w:adjustRightInd/>
                    <w:spacing w:line="360" w:lineRule="exact"/>
                    <w:textAlignment w:val="auto"/>
                  </w:pPr>
                  <w:r>
                    <w:rPr>
                      <w:rFonts w:hint="eastAsia"/>
                    </w:rPr>
                    <w:t>输血检验管理</w:t>
                  </w:r>
                </w:p>
                <w:p w14:paraId="1C2409D6">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输血检验</w:t>
                  </w:r>
                </w:p>
                <w:p w14:paraId="611FC31E">
                  <w:pPr>
                    <w:pStyle w:val="131"/>
                    <w:pageBreakBefore w:val="0"/>
                    <w:widowControl w:val="0"/>
                    <w:kinsoku/>
                    <w:wordWrap/>
                    <w:overflowPunct/>
                    <w:topLinePunct w:val="0"/>
                    <w:autoSpaceDE/>
                    <w:autoSpaceDN/>
                    <w:bidi w:val="0"/>
                    <w:adjustRightInd/>
                    <w:spacing w:line="360" w:lineRule="exact"/>
                    <w:ind w:firstLine="0"/>
                    <w:textAlignment w:val="auto"/>
                  </w:pPr>
                  <w:r>
                    <w:t>1.</w:t>
                  </w:r>
                  <w:r>
                    <w:rPr>
                      <w:rFonts w:hint="eastAsia"/>
                    </w:rPr>
                    <w:t>通过条形码扫描实现输血检验标本送达</w:t>
                  </w:r>
                </w:p>
                <w:p w14:paraId="574B67DC">
                  <w:pPr>
                    <w:pStyle w:val="131"/>
                    <w:pageBreakBefore w:val="0"/>
                    <w:widowControl w:val="0"/>
                    <w:kinsoku/>
                    <w:wordWrap/>
                    <w:overflowPunct/>
                    <w:topLinePunct w:val="0"/>
                    <w:autoSpaceDE/>
                    <w:autoSpaceDN/>
                    <w:bidi w:val="0"/>
                    <w:adjustRightInd/>
                    <w:spacing w:line="360" w:lineRule="exact"/>
                    <w:ind w:firstLine="0"/>
                    <w:textAlignment w:val="auto"/>
                  </w:pPr>
                  <w:r>
                    <w:t>2.</w:t>
                  </w:r>
                  <w:r>
                    <w:rPr>
                      <w:rFonts w:hint="eastAsia"/>
                    </w:rPr>
                    <w:t>通过条形码扫描实现输血检验标本接收</w:t>
                  </w:r>
                </w:p>
                <w:p w14:paraId="6DB064BE">
                  <w:pPr>
                    <w:pStyle w:val="131"/>
                    <w:pageBreakBefore w:val="0"/>
                    <w:widowControl w:val="0"/>
                    <w:kinsoku/>
                    <w:wordWrap/>
                    <w:overflowPunct/>
                    <w:topLinePunct w:val="0"/>
                    <w:autoSpaceDE/>
                    <w:autoSpaceDN/>
                    <w:bidi w:val="0"/>
                    <w:adjustRightInd/>
                    <w:spacing w:line="360" w:lineRule="exact"/>
                    <w:ind w:firstLine="0"/>
                    <w:textAlignment w:val="auto"/>
                  </w:pPr>
                  <w:r>
                    <w:t>3.</w:t>
                  </w:r>
                  <w:r>
                    <w:rPr>
                      <w:rFonts w:hint="eastAsia"/>
                    </w:rPr>
                    <w:t>输血检验仪器联机管理</w:t>
                  </w:r>
                </w:p>
                <w:p w14:paraId="49354840">
                  <w:pPr>
                    <w:pStyle w:val="131"/>
                    <w:pageBreakBefore w:val="0"/>
                    <w:widowControl w:val="0"/>
                    <w:kinsoku/>
                    <w:wordWrap/>
                    <w:overflowPunct/>
                    <w:topLinePunct w:val="0"/>
                    <w:autoSpaceDE/>
                    <w:autoSpaceDN/>
                    <w:bidi w:val="0"/>
                    <w:adjustRightInd/>
                    <w:spacing w:line="360" w:lineRule="exact"/>
                    <w:ind w:firstLine="0"/>
                    <w:textAlignment w:val="auto"/>
                  </w:pPr>
                  <w:r>
                    <w:t>4.</w:t>
                  </w:r>
                  <w:r>
                    <w:rPr>
                      <w:rFonts w:hint="eastAsia"/>
                    </w:rPr>
                    <w:t>输血检验、报告审核、报告打印管理</w:t>
                  </w:r>
                </w:p>
                <w:p w14:paraId="0AF202EF">
                  <w:pPr>
                    <w:pStyle w:val="131"/>
                    <w:pageBreakBefore w:val="0"/>
                    <w:widowControl w:val="0"/>
                    <w:kinsoku/>
                    <w:wordWrap/>
                    <w:overflowPunct/>
                    <w:topLinePunct w:val="0"/>
                    <w:autoSpaceDE/>
                    <w:autoSpaceDN/>
                    <w:bidi w:val="0"/>
                    <w:adjustRightInd/>
                    <w:spacing w:line="360" w:lineRule="exact"/>
                    <w:ind w:firstLine="0"/>
                    <w:textAlignment w:val="auto"/>
                  </w:pPr>
                  <w:r>
                    <w:t>5.</w:t>
                  </w:r>
                  <w:r>
                    <w:rPr>
                      <w:rFonts w:hint="eastAsia"/>
                    </w:rPr>
                    <w:t>检验危急值管理</w:t>
                  </w:r>
                </w:p>
                <w:p w14:paraId="663D4E74">
                  <w:pPr>
                    <w:pStyle w:val="131"/>
                    <w:pageBreakBefore w:val="0"/>
                    <w:widowControl w:val="0"/>
                    <w:kinsoku/>
                    <w:wordWrap/>
                    <w:overflowPunct/>
                    <w:topLinePunct w:val="0"/>
                    <w:autoSpaceDE/>
                    <w:autoSpaceDN/>
                    <w:bidi w:val="0"/>
                    <w:adjustRightInd/>
                    <w:spacing w:line="360" w:lineRule="exact"/>
                    <w:ind w:firstLine="0"/>
                    <w:textAlignment w:val="auto"/>
                  </w:pPr>
                  <w:r>
                    <w:t>6.</w:t>
                  </w:r>
                  <w:r>
                    <w:rPr>
                      <w:rFonts w:hint="eastAsia"/>
                    </w:rPr>
                    <w:t>检验质控管理</w:t>
                  </w:r>
                </w:p>
                <w:p w14:paraId="64574FDB">
                  <w:pPr>
                    <w:pStyle w:val="131"/>
                    <w:pageBreakBefore w:val="0"/>
                    <w:widowControl w:val="0"/>
                    <w:kinsoku/>
                    <w:wordWrap/>
                    <w:overflowPunct/>
                    <w:topLinePunct w:val="0"/>
                    <w:autoSpaceDE/>
                    <w:autoSpaceDN/>
                    <w:bidi w:val="0"/>
                    <w:adjustRightInd/>
                    <w:spacing w:line="360" w:lineRule="exact"/>
                    <w:ind w:firstLine="0"/>
                    <w:textAlignment w:val="auto"/>
                  </w:pPr>
                  <w:r>
                    <w:t>7.</w:t>
                  </w:r>
                  <w:r>
                    <w:rPr>
                      <w:rFonts w:hint="eastAsia"/>
                    </w:rPr>
                    <w:t>检验统计、分析</w:t>
                  </w:r>
                </w:p>
                <w:p w14:paraId="5E0A8164">
                  <w:pPr>
                    <w:pStyle w:val="8"/>
                    <w:pageBreakBefore w:val="0"/>
                    <w:widowControl w:val="0"/>
                    <w:kinsoku/>
                    <w:wordWrap/>
                    <w:overflowPunct/>
                    <w:topLinePunct w:val="0"/>
                    <w:autoSpaceDE/>
                    <w:autoSpaceDN/>
                    <w:bidi w:val="0"/>
                    <w:adjustRightInd/>
                    <w:spacing w:line="360" w:lineRule="exact"/>
                    <w:textAlignment w:val="auto"/>
                  </w:pPr>
                  <w:r>
                    <w:rPr>
                      <w:rFonts w:hint="eastAsia"/>
                    </w:rPr>
                    <w:t>大屏管理</w:t>
                  </w:r>
                </w:p>
                <w:p w14:paraId="585A2805">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通过大屏可以显示紧急用血申请、已采集未送达标本、送检超时标本、血制品送出未确认、超时未输注完成的血液、超时血袋未回收、不良反应反馈等信息的实时监控及提醒</w:t>
                  </w:r>
                </w:p>
                <w:p w14:paraId="4EAFE7D3">
                  <w:pPr>
                    <w:pStyle w:val="8"/>
                    <w:pageBreakBefore w:val="0"/>
                    <w:widowControl w:val="0"/>
                    <w:kinsoku/>
                    <w:wordWrap/>
                    <w:overflowPunct/>
                    <w:topLinePunct w:val="0"/>
                    <w:autoSpaceDE/>
                    <w:autoSpaceDN/>
                    <w:bidi w:val="0"/>
                    <w:adjustRightInd/>
                    <w:spacing w:line="360" w:lineRule="exact"/>
                    <w:textAlignment w:val="auto"/>
                  </w:pPr>
                  <w:r>
                    <w:rPr>
                      <w:rFonts w:hint="eastAsia"/>
                    </w:rPr>
                    <w:t>临床用血评估统计、分析</w:t>
                  </w:r>
                </w:p>
                <w:p w14:paraId="1DD93AEA">
                  <w:pPr>
                    <w:pStyle w:val="131"/>
                    <w:pageBreakBefore w:val="0"/>
                    <w:widowControl w:val="0"/>
                    <w:kinsoku/>
                    <w:wordWrap/>
                    <w:overflowPunct/>
                    <w:topLinePunct w:val="0"/>
                    <w:autoSpaceDE/>
                    <w:autoSpaceDN/>
                    <w:bidi w:val="0"/>
                    <w:adjustRightInd/>
                    <w:spacing w:line="360" w:lineRule="exact"/>
                    <w:ind w:firstLine="0"/>
                    <w:textAlignment w:val="auto"/>
                    <w:rPr>
                      <w:b/>
                    </w:rPr>
                  </w:pPr>
                  <w:r>
                    <w:rPr>
                      <w:b/>
                    </w:rPr>
                    <w:t>1</w:t>
                  </w:r>
                  <w:r>
                    <w:rPr>
                      <w:rFonts w:hint="eastAsia"/>
                      <w:b/>
                    </w:rPr>
                    <w:t>、临床科室用血评估</w:t>
                  </w:r>
                </w:p>
                <w:p w14:paraId="4E652D70">
                  <w:pPr>
                    <w:pStyle w:val="131"/>
                    <w:pageBreakBefore w:val="0"/>
                    <w:widowControl w:val="0"/>
                    <w:kinsoku/>
                    <w:wordWrap/>
                    <w:overflowPunct/>
                    <w:topLinePunct w:val="0"/>
                    <w:autoSpaceDE/>
                    <w:autoSpaceDN/>
                    <w:bidi w:val="0"/>
                    <w:adjustRightInd/>
                    <w:spacing w:line="360" w:lineRule="exact"/>
                    <w:ind w:firstLine="0"/>
                    <w:textAlignment w:val="auto"/>
                  </w:pPr>
                  <w:r>
                    <w:t>1.</w:t>
                  </w:r>
                  <w:r>
                    <w:rPr>
                      <w:rFonts w:hint="eastAsia"/>
                    </w:rPr>
                    <w:t>输血量统计</w:t>
                  </w:r>
                </w:p>
                <w:p w14:paraId="5DF39907">
                  <w:pPr>
                    <w:pStyle w:val="131"/>
                    <w:pageBreakBefore w:val="0"/>
                    <w:widowControl w:val="0"/>
                    <w:kinsoku/>
                    <w:wordWrap/>
                    <w:overflowPunct/>
                    <w:topLinePunct w:val="0"/>
                    <w:autoSpaceDE/>
                    <w:autoSpaceDN/>
                    <w:bidi w:val="0"/>
                    <w:adjustRightInd/>
                    <w:spacing w:line="360" w:lineRule="exact"/>
                    <w:ind w:firstLine="0"/>
                    <w:textAlignment w:val="auto"/>
                  </w:pPr>
                  <w:r>
                    <w:t>2.</w:t>
                  </w:r>
                  <w:r>
                    <w:rPr>
                      <w:rFonts w:hint="eastAsia"/>
                    </w:rPr>
                    <w:t>平均每次输血数量统计</w:t>
                  </w:r>
                </w:p>
                <w:p w14:paraId="0CF173AE">
                  <w:pPr>
                    <w:pStyle w:val="131"/>
                    <w:pageBreakBefore w:val="0"/>
                    <w:widowControl w:val="0"/>
                    <w:kinsoku/>
                    <w:wordWrap/>
                    <w:overflowPunct/>
                    <w:topLinePunct w:val="0"/>
                    <w:autoSpaceDE/>
                    <w:autoSpaceDN/>
                    <w:bidi w:val="0"/>
                    <w:adjustRightInd/>
                    <w:spacing w:line="360" w:lineRule="exact"/>
                    <w:ind w:firstLine="0"/>
                    <w:textAlignment w:val="auto"/>
                  </w:pPr>
                  <w:r>
                    <w:t>3.</w:t>
                  </w:r>
                  <w:r>
                    <w:rPr>
                      <w:rFonts w:hint="eastAsia"/>
                    </w:rPr>
                    <w:t>输血前检测比例统计</w:t>
                  </w:r>
                </w:p>
                <w:p w14:paraId="5CA7C4CD">
                  <w:pPr>
                    <w:pStyle w:val="131"/>
                    <w:pageBreakBefore w:val="0"/>
                    <w:widowControl w:val="0"/>
                    <w:kinsoku/>
                    <w:wordWrap/>
                    <w:overflowPunct/>
                    <w:topLinePunct w:val="0"/>
                    <w:autoSpaceDE/>
                    <w:autoSpaceDN/>
                    <w:bidi w:val="0"/>
                    <w:adjustRightInd/>
                    <w:spacing w:line="360" w:lineRule="exact"/>
                    <w:ind w:firstLine="0"/>
                    <w:textAlignment w:val="auto"/>
                  </w:pPr>
                  <w:r>
                    <w:t>4.</w:t>
                  </w:r>
                  <w:r>
                    <w:rPr>
                      <w:rFonts w:hint="eastAsia"/>
                    </w:rPr>
                    <w:t>输血前检测指标平均值统计</w:t>
                  </w:r>
                </w:p>
                <w:p w14:paraId="26B48FFC">
                  <w:pPr>
                    <w:pStyle w:val="131"/>
                    <w:pageBreakBefore w:val="0"/>
                    <w:widowControl w:val="0"/>
                    <w:kinsoku/>
                    <w:wordWrap/>
                    <w:overflowPunct/>
                    <w:topLinePunct w:val="0"/>
                    <w:autoSpaceDE/>
                    <w:autoSpaceDN/>
                    <w:bidi w:val="0"/>
                    <w:adjustRightInd/>
                    <w:spacing w:line="360" w:lineRule="exact"/>
                    <w:ind w:firstLine="0"/>
                    <w:textAlignment w:val="auto"/>
                  </w:pPr>
                  <w:r>
                    <w:t>5.</w:t>
                  </w:r>
                  <w:r>
                    <w:rPr>
                      <w:rFonts w:hint="eastAsia"/>
                    </w:rPr>
                    <w:t>不同检测结果用血比例统计</w:t>
                  </w:r>
                </w:p>
                <w:p w14:paraId="6484BBD5">
                  <w:pPr>
                    <w:pStyle w:val="131"/>
                    <w:pageBreakBefore w:val="0"/>
                    <w:widowControl w:val="0"/>
                    <w:kinsoku/>
                    <w:wordWrap/>
                    <w:overflowPunct/>
                    <w:topLinePunct w:val="0"/>
                    <w:autoSpaceDE/>
                    <w:autoSpaceDN/>
                    <w:bidi w:val="0"/>
                    <w:adjustRightInd/>
                    <w:spacing w:line="360" w:lineRule="exact"/>
                    <w:ind w:firstLine="0"/>
                    <w:textAlignment w:val="auto"/>
                  </w:pPr>
                  <w:r>
                    <w:t>6.</w:t>
                  </w:r>
                  <w:r>
                    <w:rPr>
                      <w:rFonts w:hint="eastAsia"/>
                    </w:rPr>
                    <w:t>患者输血比例统计</w:t>
                  </w:r>
                </w:p>
                <w:p w14:paraId="1E4ADCE8">
                  <w:pPr>
                    <w:pStyle w:val="131"/>
                    <w:pageBreakBefore w:val="0"/>
                    <w:widowControl w:val="0"/>
                    <w:kinsoku/>
                    <w:wordWrap/>
                    <w:overflowPunct/>
                    <w:topLinePunct w:val="0"/>
                    <w:autoSpaceDE/>
                    <w:autoSpaceDN/>
                    <w:bidi w:val="0"/>
                    <w:adjustRightInd/>
                    <w:spacing w:line="360" w:lineRule="exact"/>
                    <w:ind w:firstLine="0"/>
                    <w:textAlignment w:val="auto"/>
                  </w:pPr>
                  <w:r>
                    <w:t>7.</w:t>
                  </w:r>
                  <w:r>
                    <w:rPr>
                      <w:rFonts w:hint="eastAsia"/>
                    </w:rPr>
                    <w:t>不同输血量患者比例统计</w:t>
                  </w:r>
                </w:p>
                <w:p w14:paraId="5EDE2060">
                  <w:pPr>
                    <w:pStyle w:val="131"/>
                    <w:pageBreakBefore w:val="0"/>
                    <w:widowControl w:val="0"/>
                    <w:kinsoku/>
                    <w:wordWrap/>
                    <w:overflowPunct/>
                    <w:topLinePunct w:val="0"/>
                    <w:autoSpaceDE/>
                    <w:autoSpaceDN/>
                    <w:bidi w:val="0"/>
                    <w:adjustRightInd/>
                    <w:spacing w:line="360" w:lineRule="exact"/>
                    <w:ind w:firstLine="0"/>
                    <w:textAlignment w:val="auto"/>
                  </w:pPr>
                  <w:r>
                    <w:t>8.</w:t>
                  </w:r>
                  <w:r>
                    <w:rPr>
                      <w:rFonts w:hint="eastAsia"/>
                    </w:rPr>
                    <w:t>不合理输血比例统计</w:t>
                  </w:r>
                </w:p>
                <w:p w14:paraId="4D4A6DDC">
                  <w:pPr>
                    <w:pStyle w:val="131"/>
                    <w:pageBreakBefore w:val="0"/>
                    <w:widowControl w:val="0"/>
                    <w:kinsoku/>
                    <w:wordWrap/>
                    <w:overflowPunct/>
                    <w:topLinePunct w:val="0"/>
                    <w:autoSpaceDE/>
                    <w:autoSpaceDN/>
                    <w:bidi w:val="0"/>
                    <w:adjustRightInd/>
                    <w:spacing w:line="360" w:lineRule="exact"/>
                    <w:ind w:firstLine="0"/>
                    <w:textAlignment w:val="auto"/>
                  </w:pPr>
                  <w:r>
                    <w:t>9.</w:t>
                  </w:r>
                  <w:r>
                    <w:rPr>
                      <w:rFonts w:hint="eastAsia"/>
                    </w:rPr>
                    <w:t>手术台平均用血量统计</w:t>
                  </w:r>
                </w:p>
                <w:p w14:paraId="2841F9BD">
                  <w:pPr>
                    <w:pStyle w:val="131"/>
                    <w:pageBreakBefore w:val="0"/>
                    <w:widowControl w:val="0"/>
                    <w:kinsoku/>
                    <w:wordWrap/>
                    <w:overflowPunct/>
                    <w:topLinePunct w:val="0"/>
                    <w:autoSpaceDE/>
                    <w:autoSpaceDN/>
                    <w:bidi w:val="0"/>
                    <w:adjustRightInd/>
                    <w:spacing w:line="360" w:lineRule="exact"/>
                    <w:ind w:firstLine="0"/>
                    <w:textAlignment w:val="auto"/>
                  </w:pPr>
                  <w:r>
                    <w:t>10</w:t>
                  </w:r>
                  <w:r>
                    <w:rPr>
                      <w:rFonts w:hint="eastAsia"/>
                    </w:rPr>
                    <w:t>自体用血比例统计</w:t>
                  </w:r>
                </w:p>
                <w:p w14:paraId="04D0AAD5">
                  <w:pPr>
                    <w:pStyle w:val="131"/>
                    <w:pageBreakBefore w:val="0"/>
                    <w:widowControl w:val="0"/>
                    <w:kinsoku/>
                    <w:wordWrap/>
                    <w:overflowPunct/>
                    <w:topLinePunct w:val="0"/>
                    <w:autoSpaceDE/>
                    <w:autoSpaceDN/>
                    <w:bidi w:val="0"/>
                    <w:adjustRightInd/>
                    <w:spacing w:line="360" w:lineRule="exact"/>
                    <w:ind w:firstLine="0"/>
                    <w:textAlignment w:val="auto"/>
                    <w:rPr>
                      <w:b/>
                    </w:rPr>
                  </w:pPr>
                  <w:r>
                    <w:rPr>
                      <w:b/>
                    </w:rPr>
                    <w:t>2</w:t>
                  </w:r>
                  <w:r>
                    <w:rPr>
                      <w:rFonts w:hint="eastAsia"/>
                      <w:b/>
                    </w:rPr>
                    <w:t>、临床医师用血评估</w:t>
                  </w:r>
                </w:p>
                <w:p w14:paraId="0A9C7290">
                  <w:pPr>
                    <w:pStyle w:val="131"/>
                    <w:pageBreakBefore w:val="0"/>
                    <w:widowControl w:val="0"/>
                    <w:kinsoku/>
                    <w:wordWrap/>
                    <w:overflowPunct/>
                    <w:topLinePunct w:val="0"/>
                    <w:autoSpaceDE/>
                    <w:autoSpaceDN/>
                    <w:bidi w:val="0"/>
                    <w:adjustRightInd/>
                    <w:spacing w:line="360" w:lineRule="exact"/>
                    <w:ind w:firstLine="0"/>
                    <w:textAlignment w:val="auto"/>
                  </w:pPr>
                  <w:r>
                    <w:t>1.</w:t>
                  </w:r>
                  <w:r>
                    <w:rPr>
                      <w:rFonts w:hint="eastAsia"/>
                    </w:rPr>
                    <w:t>医师用血量统计</w:t>
                  </w:r>
                </w:p>
                <w:p w14:paraId="3927EF69">
                  <w:pPr>
                    <w:pStyle w:val="131"/>
                    <w:pageBreakBefore w:val="0"/>
                    <w:widowControl w:val="0"/>
                    <w:kinsoku/>
                    <w:wordWrap/>
                    <w:overflowPunct/>
                    <w:topLinePunct w:val="0"/>
                    <w:autoSpaceDE/>
                    <w:autoSpaceDN/>
                    <w:bidi w:val="0"/>
                    <w:adjustRightInd/>
                    <w:spacing w:line="360" w:lineRule="exact"/>
                    <w:ind w:firstLine="0"/>
                    <w:textAlignment w:val="auto"/>
                  </w:pPr>
                  <w:r>
                    <w:t>2.</w:t>
                  </w:r>
                  <w:r>
                    <w:rPr>
                      <w:rFonts w:hint="eastAsia"/>
                    </w:rPr>
                    <w:t>平均每次输血数量统计</w:t>
                  </w:r>
                </w:p>
                <w:p w14:paraId="35FE2201">
                  <w:pPr>
                    <w:pStyle w:val="131"/>
                    <w:pageBreakBefore w:val="0"/>
                    <w:widowControl w:val="0"/>
                    <w:kinsoku/>
                    <w:wordWrap/>
                    <w:overflowPunct/>
                    <w:topLinePunct w:val="0"/>
                    <w:autoSpaceDE/>
                    <w:autoSpaceDN/>
                    <w:bidi w:val="0"/>
                    <w:adjustRightInd/>
                    <w:spacing w:line="360" w:lineRule="exact"/>
                    <w:ind w:firstLine="0"/>
                    <w:textAlignment w:val="auto"/>
                  </w:pPr>
                  <w:r>
                    <w:t>3.</w:t>
                  </w:r>
                  <w:r>
                    <w:rPr>
                      <w:rFonts w:hint="eastAsia"/>
                    </w:rPr>
                    <w:t>输血前检测比例统计</w:t>
                  </w:r>
                </w:p>
                <w:p w14:paraId="63713858">
                  <w:pPr>
                    <w:pStyle w:val="131"/>
                    <w:pageBreakBefore w:val="0"/>
                    <w:widowControl w:val="0"/>
                    <w:kinsoku/>
                    <w:wordWrap/>
                    <w:overflowPunct/>
                    <w:topLinePunct w:val="0"/>
                    <w:autoSpaceDE/>
                    <w:autoSpaceDN/>
                    <w:bidi w:val="0"/>
                    <w:adjustRightInd/>
                    <w:spacing w:line="360" w:lineRule="exact"/>
                    <w:ind w:firstLine="0"/>
                    <w:textAlignment w:val="auto"/>
                  </w:pPr>
                  <w:r>
                    <w:t>4.</w:t>
                  </w:r>
                  <w:r>
                    <w:rPr>
                      <w:rFonts w:hint="eastAsia"/>
                    </w:rPr>
                    <w:t>输血前检测指标平均值统计</w:t>
                  </w:r>
                </w:p>
                <w:p w14:paraId="228886B5">
                  <w:pPr>
                    <w:pStyle w:val="131"/>
                    <w:pageBreakBefore w:val="0"/>
                    <w:widowControl w:val="0"/>
                    <w:kinsoku/>
                    <w:wordWrap/>
                    <w:overflowPunct/>
                    <w:topLinePunct w:val="0"/>
                    <w:autoSpaceDE/>
                    <w:autoSpaceDN/>
                    <w:bidi w:val="0"/>
                    <w:adjustRightInd/>
                    <w:spacing w:line="360" w:lineRule="exact"/>
                    <w:ind w:firstLine="0"/>
                    <w:textAlignment w:val="auto"/>
                  </w:pPr>
                  <w:r>
                    <w:t>5.</w:t>
                  </w:r>
                  <w:r>
                    <w:rPr>
                      <w:rFonts w:hint="eastAsia"/>
                    </w:rPr>
                    <w:t>不同检测结果用血比例统计</w:t>
                  </w:r>
                </w:p>
                <w:p w14:paraId="37E41F72">
                  <w:pPr>
                    <w:pStyle w:val="131"/>
                    <w:pageBreakBefore w:val="0"/>
                    <w:widowControl w:val="0"/>
                    <w:kinsoku/>
                    <w:wordWrap/>
                    <w:overflowPunct/>
                    <w:topLinePunct w:val="0"/>
                    <w:autoSpaceDE/>
                    <w:autoSpaceDN/>
                    <w:bidi w:val="0"/>
                    <w:adjustRightInd/>
                    <w:spacing w:line="360" w:lineRule="exact"/>
                    <w:ind w:firstLine="0"/>
                    <w:textAlignment w:val="auto"/>
                  </w:pPr>
                  <w:r>
                    <w:t>6.</w:t>
                  </w:r>
                  <w:r>
                    <w:rPr>
                      <w:rFonts w:hint="eastAsia"/>
                    </w:rPr>
                    <w:t>不同输血量患者比例统计</w:t>
                  </w:r>
                </w:p>
                <w:p w14:paraId="7D65B26B">
                  <w:pPr>
                    <w:pStyle w:val="131"/>
                    <w:pageBreakBefore w:val="0"/>
                    <w:widowControl w:val="0"/>
                    <w:kinsoku/>
                    <w:wordWrap/>
                    <w:overflowPunct/>
                    <w:topLinePunct w:val="0"/>
                    <w:autoSpaceDE/>
                    <w:autoSpaceDN/>
                    <w:bidi w:val="0"/>
                    <w:adjustRightInd/>
                    <w:spacing w:line="360" w:lineRule="exact"/>
                    <w:ind w:firstLine="0"/>
                    <w:textAlignment w:val="auto"/>
                  </w:pPr>
                  <w:r>
                    <w:t>7.</w:t>
                  </w:r>
                  <w:r>
                    <w:rPr>
                      <w:rFonts w:hint="eastAsia"/>
                    </w:rPr>
                    <w:t>不合理输血比例统计</w:t>
                  </w:r>
                </w:p>
                <w:p w14:paraId="713B6DBE">
                  <w:pPr>
                    <w:pStyle w:val="131"/>
                    <w:pageBreakBefore w:val="0"/>
                    <w:widowControl w:val="0"/>
                    <w:kinsoku/>
                    <w:wordWrap/>
                    <w:overflowPunct/>
                    <w:topLinePunct w:val="0"/>
                    <w:autoSpaceDE/>
                    <w:autoSpaceDN/>
                    <w:bidi w:val="0"/>
                    <w:adjustRightInd/>
                    <w:spacing w:line="360" w:lineRule="exact"/>
                    <w:ind w:firstLine="0"/>
                    <w:textAlignment w:val="auto"/>
                  </w:pPr>
                  <w:r>
                    <w:t>8.</w:t>
                  </w:r>
                  <w:r>
                    <w:rPr>
                      <w:rFonts w:hint="eastAsia"/>
                    </w:rPr>
                    <w:t>患者平均用血量统计</w:t>
                  </w:r>
                </w:p>
                <w:p w14:paraId="5D70EBA2">
                  <w:pPr>
                    <w:pStyle w:val="131"/>
                    <w:pageBreakBefore w:val="0"/>
                    <w:widowControl w:val="0"/>
                    <w:kinsoku/>
                    <w:wordWrap/>
                    <w:overflowPunct/>
                    <w:topLinePunct w:val="0"/>
                    <w:autoSpaceDE/>
                    <w:autoSpaceDN/>
                    <w:bidi w:val="0"/>
                    <w:adjustRightInd/>
                    <w:spacing w:line="360" w:lineRule="exact"/>
                    <w:ind w:firstLine="0"/>
                    <w:textAlignment w:val="auto"/>
                    <w:rPr>
                      <w:b/>
                    </w:rPr>
                  </w:pPr>
                  <w:r>
                    <w:rPr>
                      <w:b/>
                    </w:rPr>
                    <w:t>3</w:t>
                  </w:r>
                  <w:r>
                    <w:rPr>
                      <w:rFonts w:hint="eastAsia"/>
                      <w:b/>
                    </w:rPr>
                    <w:t>、医院用血评估</w:t>
                  </w:r>
                </w:p>
                <w:p w14:paraId="1C638D42">
                  <w:pPr>
                    <w:pStyle w:val="131"/>
                    <w:pageBreakBefore w:val="0"/>
                    <w:widowControl w:val="0"/>
                    <w:kinsoku/>
                    <w:wordWrap/>
                    <w:overflowPunct/>
                    <w:topLinePunct w:val="0"/>
                    <w:autoSpaceDE/>
                    <w:autoSpaceDN/>
                    <w:bidi w:val="0"/>
                    <w:adjustRightInd/>
                    <w:spacing w:line="360" w:lineRule="exact"/>
                    <w:ind w:firstLine="0"/>
                    <w:textAlignment w:val="auto"/>
                  </w:pPr>
                  <w:r>
                    <w:t>1.</w:t>
                  </w:r>
                  <w:r>
                    <w:rPr>
                      <w:rFonts w:hint="eastAsia"/>
                    </w:rPr>
                    <w:t>医院住院人均用血量</w:t>
                  </w:r>
                </w:p>
                <w:p w14:paraId="3983E56D">
                  <w:pPr>
                    <w:pStyle w:val="131"/>
                    <w:pageBreakBefore w:val="0"/>
                    <w:widowControl w:val="0"/>
                    <w:kinsoku/>
                    <w:wordWrap/>
                    <w:overflowPunct/>
                    <w:topLinePunct w:val="0"/>
                    <w:autoSpaceDE/>
                    <w:autoSpaceDN/>
                    <w:bidi w:val="0"/>
                    <w:adjustRightInd/>
                    <w:spacing w:line="360" w:lineRule="exact"/>
                    <w:ind w:firstLine="0"/>
                    <w:textAlignment w:val="auto"/>
                  </w:pPr>
                  <w:r>
                    <w:t>2.</w:t>
                  </w:r>
                  <w:r>
                    <w:rPr>
                      <w:rFonts w:hint="eastAsia"/>
                    </w:rPr>
                    <w:t>医院输血量患者比例</w:t>
                  </w:r>
                </w:p>
                <w:p w14:paraId="07AD3CD6">
                  <w:pPr>
                    <w:pStyle w:val="131"/>
                    <w:pageBreakBefore w:val="0"/>
                    <w:widowControl w:val="0"/>
                    <w:kinsoku/>
                    <w:wordWrap/>
                    <w:overflowPunct/>
                    <w:topLinePunct w:val="0"/>
                    <w:autoSpaceDE/>
                    <w:autoSpaceDN/>
                    <w:bidi w:val="0"/>
                    <w:adjustRightInd/>
                    <w:spacing w:line="360" w:lineRule="exact"/>
                    <w:ind w:firstLine="0"/>
                    <w:textAlignment w:val="auto"/>
                  </w:pPr>
                  <w:r>
                    <w:t>3.</w:t>
                  </w:r>
                  <w:r>
                    <w:rPr>
                      <w:rFonts w:hint="eastAsia"/>
                    </w:rPr>
                    <w:t>医院输血患者人均用血量</w:t>
                  </w:r>
                </w:p>
                <w:p w14:paraId="28C6F4C1">
                  <w:pPr>
                    <w:pStyle w:val="131"/>
                    <w:pageBreakBefore w:val="0"/>
                    <w:widowControl w:val="0"/>
                    <w:kinsoku/>
                    <w:wordWrap/>
                    <w:overflowPunct/>
                    <w:topLinePunct w:val="0"/>
                    <w:autoSpaceDE/>
                    <w:autoSpaceDN/>
                    <w:bidi w:val="0"/>
                    <w:adjustRightInd/>
                    <w:spacing w:line="360" w:lineRule="exact"/>
                    <w:ind w:firstLine="0"/>
                    <w:textAlignment w:val="auto"/>
                  </w:pPr>
                  <w:r>
                    <w:t>4.</w:t>
                  </w:r>
                  <w:r>
                    <w:rPr>
                      <w:rFonts w:hint="eastAsia"/>
                    </w:rPr>
                    <w:t>医院手术台均用血量</w:t>
                  </w:r>
                </w:p>
                <w:p w14:paraId="6B99E186">
                  <w:pPr>
                    <w:pStyle w:val="131"/>
                    <w:pageBreakBefore w:val="0"/>
                    <w:widowControl w:val="0"/>
                    <w:kinsoku/>
                    <w:wordWrap/>
                    <w:overflowPunct/>
                    <w:topLinePunct w:val="0"/>
                    <w:autoSpaceDE/>
                    <w:autoSpaceDN/>
                    <w:bidi w:val="0"/>
                    <w:adjustRightInd/>
                    <w:spacing w:line="360" w:lineRule="exact"/>
                    <w:ind w:firstLine="0"/>
                    <w:textAlignment w:val="auto"/>
                    <w:rPr>
                      <w:b/>
                    </w:rPr>
                  </w:pPr>
                  <w:r>
                    <w:rPr>
                      <w:b/>
                    </w:rPr>
                    <w:t>4</w:t>
                  </w:r>
                  <w:r>
                    <w:rPr>
                      <w:rFonts w:hint="eastAsia"/>
                      <w:b/>
                    </w:rPr>
                    <w:t>、临床用血质量控制指标</w:t>
                  </w:r>
                </w:p>
                <w:p w14:paraId="18911662">
                  <w:pPr>
                    <w:pStyle w:val="131"/>
                    <w:pageBreakBefore w:val="0"/>
                    <w:widowControl w:val="0"/>
                    <w:kinsoku/>
                    <w:wordWrap/>
                    <w:overflowPunct/>
                    <w:topLinePunct w:val="0"/>
                    <w:autoSpaceDE/>
                    <w:autoSpaceDN/>
                    <w:bidi w:val="0"/>
                    <w:adjustRightInd/>
                    <w:spacing w:line="360" w:lineRule="exact"/>
                    <w:ind w:firstLine="0"/>
                    <w:textAlignment w:val="auto"/>
                    <w:rPr>
                      <w:rFonts w:ascii="宋体" w:hAnsi="宋体" w:cs="宋体"/>
                      <w:szCs w:val="21"/>
                    </w:rPr>
                  </w:pPr>
                  <w:r>
                    <w:rPr>
                      <w:rFonts w:hint="eastAsia"/>
                    </w:rPr>
                    <w:t>临床用血质量控制指标《临床用血质量控制指标</w:t>
                  </w:r>
                  <w:r>
                    <w:t>(2019</w:t>
                  </w:r>
                  <w:r>
                    <w:rPr>
                      <w:rFonts w:hint="eastAsia"/>
                    </w:rPr>
                    <w:t>版</w:t>
                  </w:r>
                  <w:r>
                    <w:t>)</w:t>
                  </w:r>
                  <w:r>
                    <w:rPr>
                      <w:rFonts w:hint="eastAsia"/>
                    </w:rPr>
                    <w:t>一键统计</w:t>
                  </w:r>
                </w:p>
              </w:tc>
            </w:tr>
            <w:tr w14:paraId="22450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3" w:type="dxa"/>
                  <w:vMerge w:val="continue"/>
                  <w:tcBorders>
                    <w:top w:val="single" w:color="auto" w:sz="4" w:space="0"/>
                    <w:left w:val="single" w:color="auto" w:sz="4" w:space="0"/>
                    <w:bottom w:val="single" w:color="auto" w:sz="4" w:space="0"/>
                    <w:right w:val="single" w:color="auto" w:sz="4" w:space="0"/>
                  </w:tcBorders>
                  <w:noWrap w:val="0"/>
                  <w:vAlign w:val="center"/>
                </w:tcPr>
                <w:p w14:paraId="1D93A79E">
                  <w:pPr>
                    <w:widowControl/>
                    <w:jc w:val="left"/>
                    <w:rPr>
                      <w:rFonts w:ascii="宋体" w:hAnsi="宋体" w:cs="宋体"/>
                      <w:b/>
                      <w:color w:val="000000"/>
                      <w:sz w:val="20"/>
                      <w:szCs w:val="20"/>
                    </w:rPr>
                  </w:pPr>
                </w:p>
              </w:tc>
              <w:tc>
                <w:tcPr>
                  <w:tcW w:w="804" w:type="dxa"/>
                  <w:vMerge w:val="continue"/>
                  <w:tcBorders>
                    <w:top w:val="single" w:color="auto" w:sz="4" w:space="0"/>
                    <w:left w:val="single" w:color="auto" w:sz="4" w:space="0"/>
                    <w:bottom w:val="single" w:color="auto" w:sz="4" w:space="0"/>
                    <w:right w:val="single" w:color="auto" w:sz="4" w:space="0"/>
                  </w:tcBorders>
                  <w:noWrap w:val="0"/>
                  <w:vAlign w:val="center"/>
                </w:tcPr>
                <w:p w14:paraId="760B0A9A">
                  <w:pPr>
                    <w:widowControl/>
                    <w:jc w:val="left"/>
                    <w:rPr>
                      <w:rFonts w:ascii="宋体" w:hAnsi="宋体" w:cs="宋体"/>
                      <w:color w:val="000000"/>
                      <w:sz w:val="20"/>
                      <w:szCs w:val="20"/>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18BF2271">
                  <w:pPr>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sz w:val="21"/>
                      <w:szCs w:val="21"/>
                    </w:rPr>
                  </w:pPr>
                  <w:r>
                    <w:rPr>
                      <w:rFonts w:hint="eastAsia"/>
                      <w:color w:val="000000"/>
                      <w:sz w:val="21"/>
                      <w:szCs w:val="21"/>
                    </w:rPr>
                    <w:t>治疗管理</w:t>
                  </w:r>
                </w:p>
              </w:tc>
              <w:tc>
                <w:tcPr>
                  <w:tcW w:w="7748" w:type="dxa"/>
                  <w:tcBorders>
                    <w:top w:val="single" w:color="auto" w:sz="4" w:space="0"/>
                    <w:left w:val="single" w:color="auto" w:sz="4" w:space="0"/>
                    <w:bottom w:val="single" w:color="auto" w:sz="4" w:space="0"/>
                    <w:right w:val="single" w:color="auto" w:sz="4" w:space="0"/>
                  </w:tcBorders>
                  <w:noWrap/>
                  <w:vAlign w:val="center"/>
                </w:tcPr>
                <w:p w14:paraId="6756058E">
                  <w:pPr>
                    <w:pStyle w:val="131"/>
                    <w:pageBreakBefore w:val="0"/>
                    <w:widowControl w:val="0"/>
                    <w:kinsoku/>
                    <w:wordWrap/>
                    <w:overflowPunct/>
                    <w:topLinePunct w:val="0"/>
                    <w:autoSpaceDE/>
                    <w:autoSpaceDN/>
                    <w:bidi w:val="0"/>
                    <w:adjustRightInd/>
                    <w:snapToGrid/>
                    <w:spacing w:line="360" w:lineRule="exact"/>
                    <w:ind w:firstLine="0"/>
                    <w:textAlignment w:val="auto"/>
                    <w:rPr>
                      <w:b/>
                      <w:sz w:val="24"/>
                      <w:szCs w:val="24"/>
                    </w:rPr>
                  </w:pPr>
                  <w:r>
                    <w:rPr>
                      <w:rFonts w:hint="eastAsia"/>
                      <w:b/>
                      <w:sz w:val="24"/>
                      <w:szCs w:val="24"/>
                    </w:rPr>
                    <w:t>治疗信息系统</w:t>
                  </w:r>
                </w:p>
                <w:p w14:paraId="684EBF44">
                  <w:pPr>
                    <w:pStyle w:val="131"/>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治疗信息系统用于高压氧、康复等治疗科室。治疗科室可以进行治疗患者管理，制定治疗计划，进行治疗评估以及治疗记录书写、治疗费用管理等治疗过程管理。</w:t>
                  </w:r>
                </w:p>
                <w:p w14:paraId="54A728AE">
                  <w:pPr>
                    <w:pStyle w:val="131"/>
                    <w:pageBreakBefore w:val="0"/>
                    <w:widowControl w:val="0"/>
                    <w:kinsoku/>
                    <w:wordWrap/>
                    <w:overflowPunct/>
                    <w:topLinePunct w:val="0"/>
                    <w:autoSpaceDE/>
                    <w:autoSpaceDN/>
                    <w:bidi w:val="0"/>
                    <w:adjustRightInd/>
                    <w:snapToGrid/>
                    <w:spacing w:line="360" w:lineRule="exact"/>
                    <w:ind w:firstLine="0"/>
                    <w:textAlignment w:val="auto"/>
                    <w:rPr>
                      <w:b/>
                      <w:sz w:val="24"/>
                      <w:szCs w:val="24"/>
                    </w:rPr>
                  </w:pPr>
                  <w:r>
                    <w:rPr>
                      <w:rFonts w:hint="eastAsia"/>
                      <w:b/>
                      <w:sz w:val="24"/>
                      <w:szCs w:val="24"/>
                    </w:rPr>
                    <w:t>治疗患者管理</w:t>
                  </w:r>
                </w:p>
                <w:p w14:paraId="4C73B35F">
                  <w:pPr>
                    <w:pStyle w:val="131"/>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治疗系统根据选择的治疗科室（例如高压氧室、康复科）自动获取需要做对应治疗的患者列表，包含门诊与住院病人。系统提供病人查询工具，能够将查询到的病人手工的添加到对应治疗患者列表，也支持将在治疗患者列表的患者移除。</w:t>
                  </w:r>
                </w:p>
                <w:p w14:paraId="79363F6F">
                  <w:pPr>
                    <w:pStyle w:val="131"/>
                    <w:pageBreakBefore w:val="0"/>
                    <w:widowControl w:val="0"/>
                    <w:kinsoku/>
                    <w:wordWrap/>
                    <w:overflowPunct/>
                    <w:topLinePunct w:val="0"/>
                    <w:autoSpaceDE/>
                    <w:autoSpaceDN/>
                    <w:bidi w:val="0"/>
                    <w:adjustRightInd/>
                    <w:snapToGrid/>
                    <w:spacing w:line="360" w:lineRule="exact"/>
                    <w:ind w:firstLine="0"/>
                    <w:textAlignment w:val="auto"/>
                    <w:rPr>
                      <w:b/>
                      <w:sz w:val="24"/>
                      <w:szCs w:val="24"/>
                    </w:rPr>
                  </w:pPr>
                  <w:r>
                    <w:rPr>
                      <w:rFonts w:hint="eastAsia"/>
                      <w:b/>
                      <w:sz w:val="24"/>
                      <w:szCs w:val="24"/>
                    </w:rPr>
                    <w:t>治疗计划</w:t>
                  </w:r>
                </w:p>
                <w:p w14:paraId="6A98D85A">
                  <w:pPr>
                    <w:pStyle w:val="131"/>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支持门诊医生和住院医生在</w:t>
                  </w:r>
                  <w:r>
                    <w:t>HIS</w:t>
                  </w:r>
                  <w:r>
                    <w:rPr>
                      <w:rFonts w:hint="eastAsia"/>
                    </w:rPr>
                    <w:t>系统开具治疗医嘱能够同步到治疗系统，治疗系统根据医嘱开具的项目与频次自动生成患者的治疗计划。</w:t>
                  </w:r>
                </w:p>
                <w:p w14:paraId="5F524BFB">
                  <w:pPr>
                    <w:pStyle w:val="131"/>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治疗计划可查看治疗项目与次数、治疗日程、治疗执行人、治疗记录单等信息。</w:t>
                  </w:r>
                </w:p>
                <w:p w14:paraId="56DF2ED3">
                  <w:pPr>
                    <w:pStyle w:val="131"/>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治疗师在治疗系统可直接进行治疗开单，开单包含需要做的治疗项目以及执行人、执行科室等信息，开单后自动同步到治疗计划进行更新。</w:t>
                  </w:r>
                </w:p>
                <w:p w14:paraId="2D8F2C17">
                  <w:pPr>
                    <w:pStyle w:val="131"/>
                    <w:pageBreakBefore w:val="0"/>
                    <w:widowControl w:val="0"/>
                    <w:kinsoku/>
                    <w:wordWrap/>
                    <w:overflowPunct/>
                    <w:topLinePunct w:val="0"/>
                    <w:autoSpaceDE/>
                    <w:autoSpaceDN/>
                    <w:bidi w:val="0"/>
                    <w:adjustRightInd/>
                    <w:snapToGrid/>
                    <w:spacing w:line="360" w:lineRule="exact"/>
                    <w:ind w:firstLine="0"/>
                    <w:textAlignment w:val="auto"/>
                    <w:rPr>
                      <w:b/>
                      <w:sz w:val="24"/>
                      <w:szCs w:val="24"/>
                    </w:rPr>
                  </w:pPr>
                  <w:r>
                    <w:rPr>
                      <w:rFonts w:hint="eastAsia"/>
                      <w:b/>
                      <w:sz w:val="24"/>
                      <w:szCs w:val="24"/>
                    </w:rPr>
                    <w:t>治疗评估</w:t>
                  </w:r>
                </w:p>
                <w:p w14:paraId="55D9B1A3">
                  <w:pPr>
                    <w:pStyle w:val="131"/>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系统提供治疗评估模板制作工具，可根据医院提供的治疗评估模板进行制作，包含评估模板的样式、评估表单、评估计分方式、录入内容校验。</w:t>
                  </w:r>
                </w:p>
                <w:p w14:paraId="663EA504">
                  <w:pPr>
                    <w:pStyle w:val="131"/>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在对患者进行治疗评估过程中可以根据治疗师选择的项目实时自动计算总分、平均分等分数信息。支持一份模板上进行多次评估，可根据多次评估结果生成趋势图。</w:t>
                  </w:r>
                </w:p>
                <w:p w14:paraId="4385F043">
                  <w:pPr>
                    <w:pStyle w:val="8"/>
                    <w:pageBreakBefore w:val="0"/>
                    <w:widowControl w:val="0"/>
                    <w:kinsoku/>
                    <w:wordWrap/>
                    <w:overflowPunct/>
                    <w:topLinePunct w:val="0"/>
                    <w:autoSpaceDE/>
                    <w:autoSpaceDN/>
                    <w:bidi w:val="0"/>
                    <w:adjustRightInd/>
                    <w:snapToGrid/>
                    <w:spacing w:line="360" w:lineRule="exact"/>
                    <w:textAlignment w:val="auto"/>
                  </w:pPr>
                  <w:r>
                    <w:rPr>
                      <w:rFonts w:hint="eastAsia"/>
                    </w:rPr>
                    <w:t>治疗执行</w:t>
                  </w:r>
                </w:p>
                <w:p w14:paraId="0021DB16">
                  <w:pPr>
                    <w:pStyle w:val="131"/>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系统支持将患者做的治疗项目总数生成治疗单据，治疗师可查看本科室（例如高压氧室、康复科）做治疗患者的治疗单据详情，包含患者信息、单据状态、治疗项目、治疗执行剩余次数等。治疗师可以根据实际执行次数进行单据执行，执行时从总数扣除当前执行次数，如还有剩余次数，下次可以在同一单据上继续执行，执行完成时可对已执行的单据进行扣费。</w:t>
                  </w:r>
                </w:p>
                <w:p w14:paraId="4DC00DEF">
                  <w:pPr>
                    <w:pStyle w:val="131"/>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治疗过程中需要做其他项目或者有使用耗材时，治疗师可以新增对应项目的单据以及耗材登记。</w:t>
                  </w:r>
                </w:p>
                <w:p w14:paraId="7FDBBDF4">
                  <w:pPr>
                    <w:pStyle w:val="131"/>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治疗师可以在治疗系统将需要退费的项目进行退费开单，执行科室审核通过后进行退费。</w:t>
                  </w:r>
                </w:p>
                <w:p w14:paraId="21A80609">
                  <w:pPr>
                    <w:pStyle w:val="131"/>
                    <w:pageBreakBefore w:val="0"/>
                    <w:widowControl w:val="0"/>
                    <w:kinsoku/>
                    <w:wordWrap/>
                    <w:overflowPunct/>
                    <w:topLinePunct w:val="0"/>
                    <w:autoSpaceDE/>
                    <w:autoSpaceDN/>
                    <w:bidi w:val="0"/>
                    <w:adjustRightInd/>
                    <w:snapToGrid/>
                    <w:spacing w:line="360" w:lineRule="exact"/>
                    <w:ind w:firstLine="0"/>
                    <w:textAlignment w:val="auto"/>
                    <w:rPr>
                      <w:b/>
                      <w:sz w:val="24"/>
                      <w:szCs w:val="24"/>
                    </w:rPr>
                  </w:pPr>
                  <w:r>
                    <w:rPr>
                      <w:rFonts w:hint="eastAsia"/>
                      <w:b/>
                      <w:sz w:val="24"/>
                      <w:szCs w:val="24"/>
                    </w:rPr>
                    <w:t>治疗记录</w:t>
                  </w:r>
                </w:p>
                <w:p w14:paraId="591B7E13">
                  <w:pPr>
                    <w:pStyle w:val="131"/>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系统提供治疗记录模板制作工具，可根据医院提供模板进行制作，包含治疗记录样式、治疗记录表单、数据获取来源、内容校验等。</w:t>
                  </w:r>
                </w:p>
                <w:p w14:paraId="7DAFE66A">
                  <w:pPr>
                    <w:pStyle w:val="131"/>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治疗师可根据患者治疗项目选择对应治疗记录模板，录入时能够自动获取患者执行的治疗项目信息进行填充。</w:t>
                  </w:r>
                </w:p>
                <w:p w14:paraId="76CEA396">
                  <w:pPr>
                    <w:pStyle w:val="131"/>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针对住院病人的治疗记录，治疗师完成后可并入患者住院病案可以提交归档，住院医生可在</w:t>
                  </w:r>
                  <w:r>
                    <w:t>HIS</w:t>
                  </w:r>
                  <w:r>
                    <w:rPr>
                      <w:rFonts w:hint="eastAsia"/>
                    </w:rPr>
                    <w:t>系统查看患者的治疗记录内容。</w:t>
                  </w:r>
                </w:p>
                <w:p w14:paraId="4D3137D8">
                  <w:pPr>
                    <w:pStyle w:val="131"/>
                    <w:pageBreakBefore w:val="0"/>
                    <w:widowControl w:val="0"/>
                    <w:kinsoku/>
                    <w:wordWrap/>
                    <w:overflowPunct/>
                    <w:topLinePunct w:val="0"/>
                    <w:autoSpaceDE/>
                    <w:autoSpaceDN/>
                    <w:bidi w:val="0"/>
                    <w:adjustRightInd/>
                    <w:snapToGrid/>
                    <w:spacing w:line="360" w:lineRule="exact"/>
                    <w:ind w:firstLine="0"/>
                    <w:textAlignment w:val="auto"/>
                    <w:rPr>
                      <w:b/>
                      <w:sz w:val="24"/>
                      <w:szCs w:val="24"/>
                    </w:rPr>
                  </w:pPr>
                  <w:r>
                    <w:rPr>
                      <w:rFonts w:hint="eastAsia"/>
                      <w:b/>
                      <w:sz w:val="24"/>
                      <w:szCs w:val="24"/>
                    </w:rPr>
                    <w:t>治疗排队</w:t>
                  </w:r>
                </w:p>
                <w:p w14:paraId="7A76C6E9">
                  <w:pPr>
                    <w:pStyle w:val="131"/>
                    <w:pageBreakBefore w:val="0"/>
                    <w:widowControl w:val="0"/>
                    <w:kinsoku/>
                    <w:wordWrap/>
                    <w:overflowPunct/>
                    <w:topLinePunct w:val="0"/>
                    <w:autoSpaceDE/>
                    <w:autoSpaceDN/>
                    <w:bidi w:val="0"/>
                    <w:adjustRightInd/>
                    <w:snapToGrid/>
                    <w:spacing w:line="360" w:lineRule="exact"/>
                    <w:ind w:firstLine="0"/>
                    <w:textAlignment w:val="auto"/>
                    <w:rPr>
                      <w:rFonts w:cs="宋体"/>
                      <w:szCs w:val="21"/>
                    </w:rPr>
                  </w:pPr>
                  <w:r>
                    <w:rPr>
                      <w:rFonts w:hint="eastAsia"/>
                    </w:rPr>
                    <w:t>系统根据不同的治疗类型进行分类管理，可根据治疗类型进行排队叫号，实现病人有序治疗。</w:t>
                  </w:r>
                </w:p>
              </w:tc>
            </w:tr>
            <w:tr w14:paraId="01CBA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3" w:type="dxa"/>
                  <w:vMerge w:val="continue"/>
                  <w:tcBorders>
                    <w:top w:val="single" w:color="auto" w:sz="4" w:space="0"/>
                    <w:left w:val="single" w:color="auto" w:sz="4" w:space="0"/>
                    <w:bottom w:val="single" w:color="auto" w:sz="4" w:space="0"/>
                    <w:right w:val="single" w:color="auto" w:sz="4" w:space="0"/>
                  </w:tcBorders>
                  <w:noWrap w:val="0"/>
                  <w:vAlign w:val="center"/>
                </w:tcPr>
                <w:p w14:paraId="48E7E4C3">
                  <w:pPr>
                    <w:widowControl/>
                    <w:jc w:val="left"/>
                    <w:rPr>
                      <w:rFonts w:ascii="宋体" w:hAnsi="宋体" w:cs="宋体"/>
                      <w:b/>
                      <w:color w:val="000000"/>
                      <w:sz w:val="20"/>
                      <w:szCs w:val="20"/>
                    </w:rPr>
                  </w:pPr>
                </w:p>
              </w:tc>
              <w:tc>
                <w:tcPr>
                  <w:tcW w:w="804" w:type="dxa"/>
                  <w:vMerge w:val="continue"/>
                  <w:tcBorders>
                    <w:top w:val="single" w:color="auto" w:sz="4" w:space="0"/>
                    <w:left w:val="single" w:color="auto" w:sz="4" w:space="0"/>
                    <w:bottom w:val="single" w:color="auto" w:sz="4" w:space="0"/>
                    <w:right w:val="single" w:color="auto" w:sz="4" w:space="0"/>
                  </w:tcBorders>
                  <w:noWrap w:val="0"/>
                  <w:vAlign w:val="center"/>
                </w:tcPr>
                <w:p w14:paraId="2EA9017C">
                  <w:pPr>
                    <w:widowControl/>
                    <w:jc w:val="left"/>
                    <w:rPr>
                      <w:rFonts w:ascii="宋体" w:hAnsi="宋体" w:cs="宋体"/>
                      <w:color w:val="000000"/>
                      <w:sz w:val="20"/>
                      <w:szCs w:val="20"/>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27820A29">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宋体"/>
                      <w:color w:val="000000"/>
                      <w:sz w:val="20"/>
                      <w:szCs w:val="20"/>
                    </w:rPr>
                  </w:pPr>
                  <w:r>
                    <w:rPr>
                      <w:rFonts w:hint="eastAsia"/>
                      <w:color w:val="000000"/>
                      <w:sz w:val="21"/>
                      <w:szCs w:val="21"/>
                    </w:rPr>
                    <w:t>临床知识库</w:t>
                  </w:r>
                </w:p>
              </w:tc>
              <w:tc>
                <w:tcPr>
                  <w:tcW w:w="7748" w:type="dxa"/>
                  <w:tcBorders>
                    <w:top w:val="single" w:color="auto" w:sz="4" w:space="0"/>
                    <w:left w:val="single" w:color="auto" w:sz="4" w:space="0"/>
                    <w:bottom w:val="single" w:color="auto" w:sz="4" w:space="0"/>
                    <w:right w:val="single" w:color="auto" w:sz="4" w:space="0"/>
                  </w:tcBorders>
                  <w:noWrap w:val="0"/>
                  <w:vAlign w:val="center"/>
                </w:tcPr>
                <w:p w14:paraId="1A0FB9BB">
                  <w:pPr>
                    <w:pStyle w:val="131"/>
                    <w:keepNext w:val="0"/>
                    <w:keepLines w:val="0"/>
                    <w:pageBreakBefore w:val="0"/>
                    <w:widowControl w:val="0"/>
                    <w:kinsoku/>
                    <w:wordWrap/>
                    <w:overflowPunct/>
                    <w:topLinePunct w:val="0"/>
                    <w:autoSpaceDE/>
                    <w:autoSpaceDN/>
                    <w:bidi w:val="0"/>
                    <w:adjustRightInd/>
                    <w:spacing w:line="360" w:lineRule="exact"/>
                    <w:ind w:firstLine="0"/>
                    <w:textAlignment w:val="auto"/>
                  </w:pPr>
                  <w:r>
                    <w:rPr>
                      <w:rFonts w:hint="eastAsia"/>
                      <w:b/>
                      <w:sz w:val="24"/>
                      <w:szCs w:val="24"/>
                    </w:rPr>
                    <w:t>临床医学知识库</w:t>
                  </w:r>
                </w:p>
                <w:p w14:paraId="2B67FB1D">
                  <w:pPr>
                    <w:pStyle w:val="131"/>
                    <w:keepNext w:val="0"/>
                    <w:keepLines w:val="0"/>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静态医学知识</w:t>
                  </w:r>
                </w:p>
                <w:p w14:paraId="60874515">
                  <w:pPr>
                    <w:pStyle w:val="131"/>
                    <w:keepNext w:val="0"/>
                    <w:keepLines w:val="0"/>
                    <w:pageBreakBefore w:val="0"/>
                    <w:widowControl w:val="0"/>
                    <w:kinsoku/>
                    <w:wordWrap/>
                    <w:overflowPunct/>
                    <w:topLinePunct w:val="0"/>
                    <w:autoSpaceDE/>
                    <w:autoSpaceDN/>
                    <w:bidi w:val="0"/>
                    <w:adjustRightInd/>
                    <w:spacing w:line="360" w:lineRule="exact"/>
                    <w:ind w:firstLine="0"/>
                    <w:jc w:val="left"/>
                    <w:textAlignment w:val="auto"/>
                  </w:pPr>
                  <w:r>
                    <w:t>1.</w:t>
                  </w:r>
                  <w:r>
                    <w:rPr>
                      <w:rFonts w:hint="eastAsia"/>
                    </w:rPr>
                    <w:t>知识库系统建立全院统一的知识库体系，院内不同科室、不同系统调用的相同知识逻辑的结果相同。专项知识库的内容可供全院使用，与诊疗项目相关联的文档类内容可作为知识库管理，包括疾病知识、症状知识、检验检查知识、药品知识、治疗知识、手术知识、临床路径知识、临床指南知识、护理知识、核心制度知识、中医知识等。亦有供全院查询的电子化的政策法规文档。</w:t>
                  </w:r>
                </w:p>
                <w:p w14:paraId="5491DFF1">
                  <w:pPr>
                    <w:pStyle w:val="131"/>
                    <w:keepNext w:val="0"/>
                    <w:keepLines w:val="0"/>
                    <w:pageBreakBefore w:val="0"/>
                    <w:widowControl w:val="0"/>
                    <w:kinsoku/>
                    <w:wordWrap/>
                    <w:overflowPunct/>
                    <w:topLinePunct w:val="0"/>
                    <w:autoSpaceDE/>
                    <w:autoSpaceDN/>
                    <w:bidi w:val="0"/>
                    <w:adjustRightInd/>
                    <w:spacing w:line="360" w:lineRule="exact"/>
                    <w:ind w:firstLine="0"/>
                    <w:textAlignment w:val="auto"/>
                  </w:pPr>
                  <w:r>
                    <w:t>2.</w:t>
                  </w:r>
                  <w:r>
                    <w:rPr>
                      <w:rFonts w:hint="eastAsia"/>
                    </w:rPr>
                    <w:t>知识来源于通过对大量医学权威文献、临床指南、真实临床病例学习中，抽取各类医学知识实体构建知识库，涵盖了包括术语字典、医学知识、诊疗指南以及医学文献等大量医疗知识。</w:t>
                  </w:r>
                </w:p>
                <w:p w14:paraId="61C7B731">
                  <w:pPr>
                    <w:pStyle w:val="131"/>
                    <w:keepNext w:val="0"/>
                    <w:keepLines w:val="0"/>
                    <w:pageBreakBefore w:val="0"/>
                    <w:widowControl w:val="0"/>
                    <w:kinsoku/>
                    <w:wordWrap/>
                    <w:overflowPunct/>
                    <w:topLinePunct w:val="0"/>
                    <w:autoSpaceDE/>
                    <w:autoSpaceDN/>
                    <w:bidi w:val="0"/>
                    <w:adjustRightInd/>
                    <w:spacing w:line="360" w:lineRule="exact"/>
                    <w:ind w:firstLine="0"/>
                    <w:textAlignment w:val="auto"/>
                  </w:pPr>
                  <w:r>
                    <w:t>3.</w:t>
                  </w:r>
                  <w:r>
                    <w:rPr>
                      <w:rFonts w:hint="eastAsia"/>
                    </w:rPr>
                    <w:t>知识的查询支持目录选择或关键字检索。知识库的管理，能适应知识不断更新的需求。对知识库内容的维护管理，对新增知识有审核的机制。</w:t>
                  </w:r>
                </w:p>
                <w:p w14:paraId="5C695ECD">
                  <w:pPr>
                    <w:pStyle w:val="131"/>
                    <w:keepNext w:val="0"/>
                    <w:keepLines w:val="0"/>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知识检索</w:t>
                  </w:r>
                </w:p>
                <w:p w14:paraId="0D50D2AC">
                  <w:pPr>
                    <w:pStyle w:val="131"/>
                    <w:keepNext w:val="0"/>
                    <w:keepLines w:val="0"/>
                    <w:pageBreakBefore w:val="0"/>
                    <w:widowControl w:val="0"/>
                    <w:kinsoku/>
                    <w:wordWrap/>
                    <w:overflowPunct/>
                    <w:topLinePunct w:val="0"/>
                    <w:autoSpaceDE/>
                    <w:autoSpaceDN/>
                    <w:bidi w:val="0"/>
                    <w:adjustRightInd/>
                    <w:spacing w:line="360" w:lineRule="exact"/>
                    <w:ind w:firstLine="0"/>
                    <w:textAlignment w:val="auto"/>
                  </w:pPr>
                  <w:r>
                    <w:rPr>
                      <w:rFonts w:hint="eastAsia"/>
                    </w:rPr>
                    <w:t>知识的查询支持目录选择或关键字检索。支持知识库按照疾病、药品、检验检查、手术、治疗、护理、术语、临床路径、诊疗指南等目录分类，进行检索查询，通过关键词检索和划词功能，方便医护人员能够快速检索相关信息。</w:t>
                  </w:r>
                </w:p>
                <w:p w14:paraId="61E3CA28">
                  <w:pPr>
                    <w:pStyle w:val="131"/>
                    <w:keepNext w:val="0"/>
                    <w:keepLines w:val="0"/>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疾病知识库</w:t>
                  </w:r>
                </w:p>
                <w:p w14:paraId="2874FE1A">
                  <w:pPr>
                    <w:pStyle w:val="131"/>
                    <w:keepNext w:val="0"/>
                    <w:keepLines w:val="0"/>
                    <w:pageBreakBefore w:val="0"/>
                    <w:widowControl w:val="0"/>
                    <w:kinsoku/>
                    <w:wordWrap/>
                    <w:overflowPunct/>
                    <w:topLinePunct w:val="0"/>
                    <w:autoSpaceDE/>
                    <w:autoSpaceDN/>
                    <w:bidi w:val="0"/>
                    <w:adjustRightInd/>
                    <w:spacing w:line="360" w:lineRule="exact"/>
                    <w:ind w:firstLine="0"/>
                    <w:textAlignment w:val="auto"/>
                  </w:pPr>
                  <w:r>
                    <w:rPr>
                      <w:rFonts w:hint="eastAsia"/>
                    </w:rPr>
                    <w:t>疾病知识库提供</w:t>
                  </w:r>
                  <w:r>
                    <w:rPr>
                      <w:rFonts w:hint="eastAsia"/>
                      <w:lang w:val="en-US" w:eastAsia="zh-CN"/>
                    </w:rPr>
                    <w:t>不低于</w:t>
                  </w:r>
                  <w:r>
                    <w:t>9000</w:t>
                  </w:r>
                  <w:r>
                    <w:rPr>
                      <w:rFonts w:hint="eastAsia"/>
                    </w:rPr>
                    <w:t>余种各类专科系统详细的疾病信息，包括：疾病别名、概述、临床分类、常见病因、常见症状、流行病学、并发症、是否遗传、发病机制、临床表现、实验室检查、其他辅助检查、诊断依据、鉴别诊断、治疗原则及方案、预后、饮食指导、健康教育、护理常规、参考文献等与疾病相关的知识，为医生的继续学习提供丰富的素材。</w:t>
                  </w:r>
                </w:p>
                <w:p w14:paraId="1978E28B">
                  <w:pPr>
                    <w:pStyle w:val="131"/>
                    <w:keepNext w:val="0"/>
                    <w:keepLines w:val="0"/>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症状知识库</w:t>
                  </w:r>
                </w:p>
                <w:p w14:paraId="4D1A0AC6">
                  <w:pPr>
                    <w:pStyle w:val="131"/>
                    <w:keepNext w:val="0"/>
                    <w:keepLines w:val="0"/>
                    <w:pageBreakBefore w:val="0"/>
                    <w:widowControl w:val="0"/>
                    <w:kinsoku/>
                    <w:wordWrap/>
                    <w:overflowPunct/>
                    <w:topLinePunct w:val="0"/>
                    <w:autoSpaceDE/>
                    <w:autoSpaceDN/>
                    <w:bidi w:val="0"/>
                    <w:adjustRightInd/>
                    <w:spacing w:line="360" w:lineRule="exact"/>
                    <w:ind w:firstLine="0"/>
                    <w:textAlignment w:val="auto"/>
                  </w:pPr>
                  <w:r>
                    <w:rPr>
                      <w:rFonts w:hint="eastAsia"/>
                    </w:rPr>
                    <w:t>症状知识库提供</w:t>
                  </w:r>
                  <w:r>
                    <w:rPr>
                      <w:rFonts w:hint="eastAsia"/>
                      <w:lang w:val="en-US" w:eastAsia="zh-CN"/>
                    </w:rPr>
                    <w:t>不低于</w:t>
                  </w:r>
                  <w:r>
                    <w:t>3500</w:t>
                  </w:r>
                  <w:r>
                    <w:rPr>
                      <w:rFonts w:hint="eastAsia"/>
                    </w:rPr>
                    <w:t>余种各类专科系统疾病相关症状知识，包含症状代码、名称、别名、检查鉴别、诊断鉴别、预防治疗、伴随症状以及对症药品等知识。</w:t>
                  </w:r>
                </w:p>
                <w:p w14:paraId="76CC84CD">
                  <w:pPr>
                    <w:pStyle w:val="131"/>
                    <w:keepNext w:val="0"/>
                    <w:keepLines w:val="0"/>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检验检查知识库</w:t>
                  </w:r>
                </w:p>
                <w:p w14:paraId="7AB5A021">
                  <w:pPr>
                    <w:pStyle w:val="131"/>
                    <w:keepNext w:val="0"/>
                    <w:keepLines w:val="0"/>
                    <w:pageBreakBefore w:val="0"/>
                    <w:widowControl w:val="0"/>
                    <w:kinsoku/>
                    <w:wordWrap/>
                    <w:overflowPunct/>
                    <w:topLinePunct w:val="0"/>
                    <w:autoSpaceDE/>
                    <w:autoSpaceDN/>
                    <w:bidi w:val="0"/>
                    <w:adjustRightInd/>
                    <w:spacing w:line="360" w:lineRule="exact"/>
                    <w:ind w:firstLine="0"/>
                    <w:textAlignment w:val="auto"/>
                  </w:pPr>
                  <w:r>
                    <w:rPr>
                      <w:rFonts w:hint="eastAsia"/>
                    </w:rPr>
                    <w:t>检验检查知识库提供</w:t>
                  </w:r>
                  <w:r>
                    <w:rPr>
                      <w:rFonts w:hint="eastAsia"/>
                      <w:lang w:val="en-US" w:eastAsia="zh-CN"/>
                    </w:rPr>
                    <w:t>不低于</w:t>
                  </w:r>
                  <w:r>
                    <w:t>4500</w:t>
                  </w:r>
                  <w:r>
                    <w:rPr>
                      <w:rFonts w:hint="eastAsia"/>
                    </w:rPr>
                    <w:t>余种各类检验检查项目说明，包含概述、适应症、禁忌、注意事项、相关疾病、参考范围、标本采集、临床意义、检查过程、相关症状等知识。</w:t>
                  </w:r>
                </w:p>
                <w:p w14:paraId="0CD23684">
                  <w:pPr>
                    <w:pStyle w:val="131"/>
                    <w:keepNext w:val="0"/>
                    <w:keepLines w:val="0"/>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药品知识库</w:t>
                  </w:r>
                </w:p>
                <w:p w14:paraId="44D727C7">
                  <w:pPr>
                    <w:pStyle w:val="131"/>
                    <w:keepNext w:val="0"/>
                    <w:keepLines w:val="0"/>
                    <w:pageBreakBefore w:val="0"/>
                    <w:widowControl w:val="0"/>
                    <w:kinsoku/>
                    <w:wordWrap/>
                    <w:overflowPunct/>
                    <w:topLinePunct w:val="0"/>
                    <w:autoSpaceDE/>
                    <w:autoSpaceDN/>
                    <w:bidi w:val="0"/>
                    <w:adjustRightInd/>
                    <w:spacing w:line="360" w:lineRule="exact"/>
                    <w:ind w:firstLine="0"/>
                    <w:textAlignment w:val="auto"/>
                  </w:pPr>
                  <w:r>
                    <w:rPr>
                      <w:rFonts w:hint="eastAsia"/>
                    </w:rPr>
                    <w:t>药品知识库提供</w:t>
                  </w:r>
                  <w:r>
                    <w:rPr>
                      <w:rFonts w:hint="eastAsia"/>
                      <w:lang w:val="en-US" w:eastAsia="zh-CN"/>
                    </w:rPr>
                    <w:t>不低于</w:t>
                  </w:r>
                  <w:r>
                    <w:t>14000</w:t>
                  </w:r>
                  <w:r>
                    <w:rPr>
                      <w:rFonts w:hint="eastAsia"/>
                    </w:rPr>
                    <w:t>种药品知识，包括药名、别名、成分、性状、适应症、规格、用法用量、不良反应、禁忌症、注意事项、药物相互作用、药理作用、药代动力学、贮藏方法。</w:t>
                  </w:r>
                </w:p>
                <w:p w14:paraId="37E1B3F5">
                  <w:pPr>
                    <w:pStyle w:val="131"/>
                    <w:keepNext w:val="0"/>
                    <w:keepLines w:val="0"/>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治疗知识库</w:t>
                  </w:r>
                </w:p>
                <w:p w14:paraId="45EB56B6">
                  <w:pPr>
                    <w:pStyle w:val="131"/>
                    <w:keepNext w:val="0"/>
                    <w:keepLines w:val="0"/>
                    <w:pageBreakBefore w:val="0"/>
                    <w:widowControl w:val="0"/>
                    <w:kinsoku/>
                    <w:wordWrap/>
                    <w:overflowPunct/>
                    <w:topLinePunct w:val="0"/>
                    <w:autoSpaceDE/>
                    <w:autoSpaceDN/>
                    <w:bidi w:val="0"/>
                    <w:adjustRightInd/>
                    <w:spacing w:line="360" w:lineRule="exact"/>
                    <w:ind w:firstLine="0"/>
                    <w:textAlignment w:val="auto"/>
                  </w:pPr>
                  <w:r>
                    <w:rPr>
                      <w:rFonts w:hint="eastAsia"/>
                    </w:rPr>
                    <w:t>治疗知识库提供</w:t>
                  </w:r>
                  <w:r>
                    <w:rPr>
                      <w:rFonts w:hint="eastAsia"/>
                      <w:lang w:val="en-US" w:eastAsia="zh-CN"/>
                    </w:rPr>
                    <w:t>不低于</w:t>
                  </w:r>
                  <w:r>
                    <w:t>450</w:t>
                  </w:r>
                  <w:r>
                    <w:rPr>
                      <w:rFonts w:hint="eastAsia"/>
                    </w:rPr>
                    <w:t>余种各类专科疾病的治疗知识，提供疾病对应的处置建议，如涉及治疗项目以及描述信息。</w:t>
                  </w:r>
                </w:p>
                <w:p w14:paraId="15F44E26">
                  <w:pPr>
                    <w:pStyle w:val="131"/>
                    <w:keepNext w:val="0"/>
                    <w:keepLines w:val="0"/>
                    <w:pageBreakBefore w:val="0"/>
                    <w:widowControl w:val="0"/>
                    <w:kinsoku/>
                    <w:wordWrap/>
                    <w:overflowPunct/>
                    <w:topLinePunct w:val="0"/>
                    <w:autoSpaceDE/>
                    <w:autoSpaceDN/>
                    <w:bidi w:val="0"/>
                    <w:adjustRightInd/>
                    <w:spacing w:line="360" w:lineRule="exact"/>
                    <w:ind w:firstLine="0"/>
                    <w:textAlignment w:val="auto"/>
                  </w:pPr>
                  <w:r>
                    <w:rPr>
                      <w:rFonts w:hint="eastAsia"/>
                      <w:b/>
                    </w:rPr>
                    <w:t>手术知识库</w:t>
                  </w:r>
                </w:p>
                <w:p w14:paraId="16ACAB17">
                  <w:pPr>
                    <w:pStyle w:val="131"/>
                    <w:keepNext w:val="0"/>
                    <w:keepLines w:val="0"/>
                    <w:pageBreakBefore w:val="0"/>
                    <w:widowControl w:val="0"/>
                    <w:kinsoku/>
                    <w:wordWrap/>
                    <w:overflowPunct/>
                    <w:topLinePunct w:val="0"/>
                    <w:autoSpaceDE/>
                    <w:autoSpaceDN/>
                    <w:bidi w:val="0"/>
                    <w:adjustRightInd/>
                    <w:spacing w:line="360" w:lineRule="exact"/>
                    <w:ind w:firstLine="0"/>
                    <w:textAlignment w:val="auto"/>
                  </w:pPr>
                  <w:r>
                    <w:rPr>
                      <w:rFonts w:hint="eastAsia"/>
                    </w:rPr>
                    <w:t>手术知识库提供</w:t>
                  </w:r>
                  <w:r>
                    <w:rPr>
                      <w:rFonts w:hint="eastAsia"/>
                      <w:lang w:val="en-US" w:eastAsia="zh-CN"/>
                    </w:rPr>
                    <w:t>不低于</w:t>
                  </w:r>
                  <w:r>
                    <w:t>1300</w:t>
                  </w:r>
                  <w:r>
                    <w:rPr>
                      <w:rFonts w:hint="eastAsia"/>
                    </w:rPr>
                    <w:t>余种手术知识，包含手术名称、适应症、病因、鉴别诊断、检查、治疗原则、术前准备以及术后护理等信息。</w:t>
                  </w:r>
                </w:p>
                <w:p w14:paraId="27286928">
                  <w:pPr>
                    <w:pStyle w:val="131"/>
                    <w:keepNext w:val="0"/>
                    <w:keepLines w:val="0"/>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临床路径知识库</w:t>
                  </w:r>
                </w:p>
                <w:p w14:paraId="7619125B">
                  <w:pPr>
                    <w:pStyle w:val="131"/>
                    <w:keepNext w:val="0"/>
                    <w:keepLines w:val="0"/>
                    <w:pageBreakBefore w:val="0"/>
                    <w:widowControl w:val="0"/>
                    <w:kinsoku/>
                    <w:wordWrap/>
                    <w:overflowPunct/>
                    <w:topLinePunct w:val="0"/>
                    <w:autoSpaceDE/>
                    <w:autoSpaceDN/>
                    <w:bidi w:val="0"/>
                    <w:adjustRightInd/>
                    <w:spacing w:line="360" w:lineRule="exact"/>
                    <w:ind w:firstLine="0"/>
                    <w:textAlignment w:val="auto"/>
                  </w:pPr>
                  <w:r>
                    <w:rPr>
                      <w:rFonts w:hint="eastAsia"/>
                    </w:rPr>
                    <w:t>临床路径知识库能提供国内外</w:t>
                  </w:r>
                  <w:r>
                    <w:rPr>
                      <w:rFonts w:hint="eastAsia"/>
                      <w:lang w:val="en-US" w:eastAsia="zh-CN"/>
                    </w:rPr>
                    <w:t>不低于</w:t>
                  </w:r>
                  <w:r>
                    <w:t>1600</w:t>
                  </w:r>
                  <w:r>
                    <w:rPr>
                      <w:rFonts w:hint="eastAsia"/>
                    </w:rPr>
                    <w:t>余种最新的各个专科、疾病的临床路径，有效帮助医护人员获取并学习国家权威的疾病临床路径政策信息。知识库能融合到相应系统中，方便医护人员实时调阅及检索。</w:t>
                  </w:r>
                </w:p>
                <w:p w14:paraId="5DF674F1">
                  <w:pPr>
                    <w:pStyle w:val="131"/>
                    <w:keepNext w:val="0"/>
                    <w:keepLines w:val="0"/>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临床指南知识库</w:t>
                  </w:r>
                </w:p>
                <w:p w14:paraId="74467793">
                  <w:pPr>
                    <w:pStyle w:val="131"/>
                    <w:keepNext w:val="0"/>
                    <w:keepLines w:val="0"/>
                    <w:pageBreakBefore w:val="0"/>
                    <w:widowControl w:val="0"/>
                    <w:kinsoku/>
                    <w:wordWrap/>
                    <w:overflowPunct/>
                    <w:topLinePunct w:val="0"/>
                    <w:autoSpaceDE/>
                    <w:autoSpaceDN/>
                    <w:bidi w:val="0"/>
                    <w:adjustRightInd/>
                    <w:spacing w:line="360" w:lineRule="exact"/>
                    <w:ind w:firstLine="0"/>
                    <w:textAlignment w:val="auto"/>
                  </w:pPr>
                  <w:r>
                    <w:rPr>
                      <w:rFonts w:hint="eastAsia"/>
                    </w:rPr>
                    <w:t>临床指南知识库能提供国内外</w:t>
                  </w:r>
                  <w:r>
                    <w:rPr>
                      <w:rFonts w:hint="eastAsia"/>
                      <w:lang w:val="en-US" w:eastAsia="zh-CN"/>
                    </w:rPr>
                    <w:t>不低于</w:t>
                  </w:r>
                  <w:r>
                    <w:t>1800</w:t>
                  </w:r>
                  <w:r>
                    <w:rPr>
                      <w:rFonts w:hint="eastAsia"/>
                    </w:rPr>
                    <w:t>余种最新的各个专科、疾病的代表性权威诊疗指南、专家共识或推荐意见，有效帮助医护人员获取并学习相关权威的专业医学信息。知识库能融合到相应系统中，方便医护人员实时调阅及检索。</w:t>
                  </w:r>
                </w:p>
                <w:p w14:paraId="7BE929FC">
                  <w:pPr>
                    <w:pStyle w:val="131"/>
                    <w:keepNext w:val="0"/>
                    <w:keepLines w:val="0"/>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护理知识库</w:t>
                  </w:r>
                </w:p>
                <w:p w14:paraId="67B05F4C">
                  <w:pPr>
                    <w:pStyle w:val="131"/>
                    <w:keepNext w:val="0"/>
                    <w:keepLines w:val="0"/>
                    <w:pageBreakBefore w:val="0"/>
                    <w:widowControl w:val="0"/>
                    <w:kinsoku/>
                    <w:wordWrap/>
                    <w:overflowPunct/>
                    <w:topLinePunct w:val="0"/>
                    <w:autoSpaceDE/>
                    <w:autoSpaceDN/>
                    <w:bidi w:val="0"/>
                    <w:adjustRightInd/>
                    <w:spacing w:line="360" w:lineRule="exact"/>
                    <w:ind w:firstLine="0"/>
                    <w:textAlignment w:val="auto"/>
                  </w:pPr>
                  <w:r>
                    <w:rPr>
                      <w:rFonts w:hint="eastAsia"/>
                    </w:rPr>
                    <w:t>护理知识库能提供</w:t>
                  </w:r>
                  <w:r>
                    <w:rPr>
                      <w:rFonts w:hint="eastAsia"/>
                      <w:lang w:val="en-US" w:eastAsia="zh-CN"/>
                    </w:rPr>
                    <w:t>不低于</w:t>
                  </w:r>
                  <w:r>
                    <w:t>1200</w:t>
                  </w:r>
                  <w:r>
                    <w:rPr>
                      <w:rFonts w:hint="eastAsia"/>
                    </w:rPr>
                    <w:t>余种最新的关于各类疾病的护理常规、护理理论、护理操作、中医护理及高危药品用药护理、护理质控方面的相关知识及指引，有效帮助医护人员获取并学习相关权威的护理知识。知识库能融合到相应系统中，方便医护人员实时调阅及检索。</w:t>
                  </w:r>
                </w:p>
                <w:p w14:paraId="1428AE58">
                  <w:pPr>
                    <w:pStyle w:val="131"/>
                    <w:keepNext w:val="0"/>
                    <w:keepLines w:val="0"/>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核心制度知识库</w:t>
                  </w:r>
                </w:p>
                <w:p w14:paraId="0B3B1BB4">
                  <w:pPr>
                    <w:pStyle w:val="131"/>
                    <w:keepNext w:val="0"/>
                    <w:keepLines w:val="0"/>
                    <w:pageBreakBefore w:val="0"/>
                    <w:widowControl w:val="0"/>
                    <w:kinsoku/>
                    <w:wordWrap/>
                    <w:overflowPunct/>
                    <w:topLinePunct w:val="0"/>
                    <w:autoSpaceDE/>
                    <w:autoSpaceDN/>
                    <w:bidi w:val="0"/>
                    <w:adjustRightInd/>
                    <w:spacing w:line="360" w:lineRule="exact"/>
                    <w:ind w:firstLine="0"/>
                    <w:textAlignment w:val="auto"/>
                  </w:pPr>
                  <w:r>
                    <w:rPr>
                      <w:rFonts w:hint="eastAsia"/>
                    </w:rPr>
                    <w:t>核心制度知识库能提供国内最新的医院核心管理制度相关知识及指引，如病历书写基本规范与管理制度、分级护理制度、会诊制度、临床用血审核制度等等，有效帮助医护人员获取并学习相关核心制度知识。知识库能融合到相应系统中，方便医护人员实时调阅及检索。</w:t>
                  </w:r>
                </w:p>
                <w:p w14:paraId="6A04DE89">
                  <w:pPr>
                    <w:pStyle w:val="131"/>
                    <w:keepNext w:val="0"/>
                    <w:keepLines w:val="0"/>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中医知识库</w:t>
                  </w:r>
                </w:p>
                <w:p w14:paraId="02672D90">
                  <w:pPr>
                    <w:pStyle w:val="131"/>
                    <w:keepNext w:val="0"/>
                    <w:keepLines w:val="0"/>
                    <w:pageBreakBefore w:val="0"/>
                    <w:widowControl w:val="0"/>
                    <w:kinsoku/>
                    <w:wordWrap/>
                    <w:overflowPunct/>
                    <w:topLinePunct w:val="0"/>
                    <w:autoSpaceDE/>
                    <w:autoSpaceDN/>
                    <w:bidi w:val="0"/>
                    <w:adjustRightInd/>
                    <w:spacing w:line="360" w:lineRule="exact"/>
                    <w:ind w:firstLine="0"/>
                    <w:textAlignment w:val="auto"/>
                  </w:pPr>
                  <w:r>
                    <w:rPr>
                      <w:rFonts w:hint="eastAsia"/>
                    </w:rPr>
                    <w:t>中医知识库能提供</w:t>
                  </w:r>
                  <w:r>
                    <w:rPr>
                      <w:rFonts w:hint="eastAsia"/>
                      <w:lang w:val="en-US" w:eastAsia="zh-CN"/>
                    </w:rPr>
                    <w:t>不低于</w:t>
                  </w:r>
                  <w:r>
                    <w:t>28000</w:t>
                  </w:r>
                  <w:r>
                    <w:rPr>
                      <w:rFonts w:hint="eastAsia"/>
                    </w:rPr>
                    <w:t>余种中医类相关知识及指引，包含中药材、方剂、针灸穴位、药膳食疗、中医症状、中医术语等相关知识，有效帮助医护人员获取并学习中医类知识。知识库能融合到相应系统中，方便医护人员实时调阅及检索。</w:t>
                  </w:r>
                </w:p>
                <w:p w14:paraId="6891BAF3">
                  <w:pPr>
                    <w:pStyle w:val="131"/>
                    <w:keepNext w:val="0"/>
                    <w:keepLines w:val="0"/>
                    <w:pageBreakBefore w:val="0"/>
                    <w:widowControl w:val="0"/>
                    <w:kinsoku/>
                    <w:wordWrap/>
                    <w:overflowPunct/>
                    <w:topLinePunct w:val="0"/>
                    <w:autoSpaceDE/>
                    <w:autoSpaceDN/>
                    <w:bidi w:val="0"/>
                    <w:adjustRightInd/>
                    <w:spacing w:line="360" w:lineRule="exact"/>
                    <w:ind w:firstLine="0"/>
                    <w:textAlignment w:val="auto"/>
                    <w:rPr>
                      <w:rFonts w:hint="eastAsia"/>
                      <w:b/>
                    </w:rPr>
                  </w:pPr>
                  <w:r>
                    <w:rPr>
                      <w:rFonts w:hint="eastAsia"/>
                      <w:b/>
                    </w:rPr>
                    <w:t>知识库引用</w:t>
                  </w:r>
                </w:p>
                <w:p w14:paraId="52F4D354">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ascii="宋体" w:hAnsi="宋体" w:cs="宋体"/>
                      <w:szCs w:val="21"/>
                    </w:rPr>
                  </w:pPr>
                  <w:r>
                    <w:rPr>
                      <w:rFonts w:hint="eastAsia" w:ascii="宋体" w:hAnsi="宋体" w:cs="宋体"/>
                      <w:szCs w:val="21"/>
                    </w:rPr>
                    <w:t>知识库的内容应当能被病历系统调取并引用。</w:t>
                  </w:r>
                </w:p>
              </w:tc>
            </w:tr>
            <w:tr w14:paraId="0BE03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3" w:type="dxa"/>
                  <w:vMerge w:val="restart"/>
                  <w:tcBorders>
                    <w:top w:val="single" w:color="auto" w:sz="4" w:space="0"/>
                    <w:left w:val="single" w:color="auto" w:sz="4" w:space="0"/>
                    <w:bottom w:val="single" w:color="auto" w:sz="4" w:space="0"/>
                    <w:right w:val="single" w:color="auto" w:sz="4" w:space="0"/>
                  </w:tcBorders>
                  <w:noWrap/>
                  <w:vAlign w:val="center"/>
                </w:tcPr>
                <w:p w14:paraId="20FE570A">
                  <w:pPr>
                    <w:rPr>
                      <w:rFonts w:ascii="宋体" w:hAnsi="宋体" w:cs="宋体"/>
                      <w:b/>
                      <w:color w:val="000000"/>
                      <w:sz w:val="21"/>
                      <w:szCs w:val="21"/>
                    </w:rPr>
                  </w:pPr>
                  <w:r>
                    <w:rPr>
                      <w:rFonts w:hint="eastAsia"/>
                      <w:b/>
                      <w:color w:val="000000"/>
                      <w:sz w:val="21"/>
                      <w:szCs w:val="21"/>
                    </w:rPr>
                    <w:t>医疗管理</w:t>
                  </w:r>
                </w:p>
              </w:tc>
              <w:tc>
                <w:tcPr>
                  <w:tcW w:w="804" w:type="dxa"/>
                  <w:vMerge w:val="restart"/>
                  <w:tcBorders>
                    <w:top w:val="single" w:color="auto" w:sz="4" w:space="0"/>
                    <w:left w:val="single" w:color="auto" w:sz="4" w:space="0"/>
                    <w:bottom w:val="single" w:color="auto" w:sz="4" w:space="0"/>
                    <w:right w:val="single" w:color="auto" w:sz="4" w:space="0"/>
                  </w:tcBorders>
                  <w:noWrap w:val="0"/>
                  <w:vAlign w:val="center"/>
                </w:tcPr>
                <w:p w14:paraId="63EDBD0A">
                  <w:pPr>
                    <w:rPr>
                      <w:rFonts w:ascii="宋体" w:hAnsi="宋体" w:cs="宋体"/>
                      <w:color w:val="000000"/>
                      <w:sz w:val="21"/>
                      <w:szCs w:val="21"/>
                    </w:rPr>
                  </w:pPr>
                  <w:r>
                    <w:rPr>
                      <w:rFonts w:hint="eastAsia"/>
                      <w:color w:val="000000"/>
                      <w:sz w:val="21"/>
                      <w:szCs w:val="21"/>
                    </w:rPr>
                    <w:t>医务管理</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70C3AE55">
                  <w:pPr>
                    <w:pageBreakBefore w:val="0"/>
                    <w:widowControl w:val="0"/>
                    <w:kinsoku/>
                    <w:wordWrap/>
                    <w:overflowPunct/>
                    <w:topLinePunct w:val="0"/>
                    <w:autoSpaceDE/>
                    <w:autoSpaceDN/>
                    <w:bidi w:val="0"/>
                    <w:adjustRightInd/>
                    <w:spacing w:line="360" w:lineRule="exact"/>
                    <w:textAlignment w:val="auto"/>
                    <w:rPr>
                      <w:rFonts w:ascii="宋体" w:hAnsi="宋体" w:cs="宋体"/>
                      <w:color w:val="000000"/>
                      <w:sz w:val="21"/>
                      <w:szCs w:val="21"/>
                    </w:rPr>
                  </w:pPr>
                  <w:r>
                    <w:rPr>
                      <w:rFonts w:hint="eastAsia"/>
                      <w:color w:val="000000"/>
                      <w:sz w:val="21"/>
                      <w:szCs w:val="21"/>
                    </w:rPr>
                    <w:t>电子病历质量管理</w:t>
                  </w:r>
                </w:p>
              </w:tc>
              <w:tc>
                <w:tcPr>
                  <w:tcW w:w="7748" w:type="dxa"/>
                  <w:tcBorders>
                    <w:top w:val="single" w:color="auto" w:sz="4" w:space="0"/>
                    <w:left w:val="single" w:color="auto" w:sz="4" w:space="0"/>
                    <w:bottom w:val="single" w:color="auto" w:sz="4" w:space="0"/>
                    <w:right w:val="single" w:color="auto" w:sz="4" w:space="0"/>
                  </w:tcBorders>
                  <w:noWrap/>
                  <w:vAlign w:val="center"/>
                </w:tcPr>
                <w:p w14:paraId="4145FC3F">
                  <w:pPr>
                    <w:pStyle w:val="7"/>
                    <w:pageBreakBefore w:val="0"/>
                    <w:widowControl w:val="0"/>
                    <w:kinsoku/>
                    <w:wordWrap/>
                    <w:overflowPunct/>
                    <w:topLinePunct w:val="0"/>
                    <w:autoSpaceDE/>
                    <w:autoSpaceDN/>
                    <w:bidi w:val="0"/>
                    <w:adjustRightInd/>
                    <w:spacing w:line="360" w:lineRule="exact"/>
                    <w:textAlignment w:val="auto"/>
                    <w:rPr>
                      <w:rFonts w:ascii="Calibri"/>
                      <w:sz w:val="21"/>
                    </w:rPr>
                  </w:pPr>
                  <w:r>
                    <w:rPr>
                      <w:rFonts w:hint="eastAsia"/>
                    </w:rPr>
                    <w:t>电子病历质量管理系统</w:t>
                  </w:r>
                </w:p>
                <w:p w14:paraId="3397A093">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病历质控管理用于定义电子病历书写的质控目标、时间点、关键节点等质控内容，并实时监控电子病历书写的质控情况。由终末控制转到全面的环节控制、过程控制，这些控制要求包括时限质控、内容质控、三级质控等。通过病历三级质控体系，强化病历质量管理，在事前、事中、事后环节持续病历质量控制，实现医疗质量的持续提升。</w:t>
                  </w:r>
                </w:p>
                <w:p w14:paraId="71943859">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具体功能包括：病历三级质控、病历质控规则设置、病历质量监控、病历质控分析等。</w:t>
                  </w:r>
                </w:p>
                <w:p w14:paraId="21D3CC96">
                  <w:pPr>
                    <w:pStyle w:val="131"/>
                    <w:pageBreakBefore w:val="0"/>
                    <w:widowControl w:val="0"/>
                    <w:kinsoku/>
                    <w:wordWrap/>
                    <w:overflowPunct/>
                    <w:topLinePunct w:val="0"/>
                    <w:autoSpaceDE/>
                    <w:autoSpaceDN/>
                    <w:bidi w:val="0"/>
                    <w:adjustRightInd/>
                    <w:spacing w:line="360" w:lineRule="exact"/>
                    <w:ind w:firstLine="0"/>
                    <w:textAlignment w:val="auto"/>
                    <w:rPr>
                      <w:b/>
                      <w:sz w:val="24"/>
                      <w:szCs w:val="24"/>
                    </w:rPr>
                  </w:pPr>
                  <w:r>
                    <w:rPr>
                      <w:b/>
                      <w:sz w:val="24"/>
                      <w:szCs w:val="24"/>
                    </w:rPr>
                    <w:t>1</w:t>
                  </w:r>
                  <w:r>
                    <w:rPr>
                      <w:rFonts w:hint="eastAsia"/>
                      <w:b/>
                      <w:sz w:val="24"/>
                      <w:szCs w:val="24"/>
                    </w:rPr>
                    <w:t>、病历三级质控</w:t>
                  </w:r>
                </w:p>
                <w:p w14:paraId="7F304DCA">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病历三级质控是指医生质控、科室质控和职能部门质控三个级别的质控。</w:t>
                  </w:r>
                </w:p>
                <w:p w14:paraId="6CCAE448">
                  <w:pPr>
                    <w:pageBreakBefore w:val="0"/>
                    <w:widowControl w:val="0"/>
                    <w:kinsoku/>
                    <w:wordWrap/>
                    <w:overflowPunct/>
                    <w:topLinePunct w:val="0"/>
                    <w:autoSpaceDE/>
                    <w:autoSpaceDN/>
                    <w:bidi w:val="0"/>
                    <w:adjustRightInd/>
                    <w:spacing w:line="360" w:lineRule="exact"/>
                    <w:textAlignment w:val="auto"/>
                    <w:rPr>
                      <w:b/>
                      <w:color w:val="000000"/>
                      <w:sz w:val="20"/>
                      <w:szCs w:val="20"/>
                    </w:rPr>
                  </w:pPr>
                  <w:r>
                    <w:rPr>
                      <w:rFonts w:hint="eastAsia"/>
                      <w:b/>
                      <w:color w:val="000000"/>
                      <w:sz w:val="20"/>
                      <w:szCs w:val="20"/>
                    </w:rPr>
                    <w:t>医生质控</w:t>
                  </w:r>
                </w:p>
                <w:p w14:paraId="5EEFB6D1">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支持医生对所主管的病历未提交的病人病历进行评分，根据设置的质控规则自动评分，得出病历等级以及展示病历存在问题，医生可对一个病人多次进行评分。</w:t>
                  </w:r>
                </w:p>
                <w:p w14:paraId="79A23733">
                  <w:pPr>
                    <w:pageBreakBefore w:val="0"/>
                    <w:widowControl w:val="0"/>
                    <w:kinsoku/>
                    <w:wordWrap/>
                    <w:overflowPunct/>
                    <w:topLinePunct w:val="0"/>
                    <w:autoSpaceDE/>
                    <w:autoSpaceDN/>
                    <w:bidi w:val="0"/>
                    <w:adjustRightInd/>
                    <w:spacing w:line="360" w:lineRule="exact"/>
                    <w:textAlignment w:val="auto"/>
                    <w:rPr>
                      <w:b/>
                      <w:color w:val="000000"/>
                      <w:sz w:val="20"/>
                      <w:szCs w:val="20"/>
                    </w:rPr>
                  </w:pPr>
                  <w:r>
                    <w:rPr>
                      <w:rFonts w:hint="eastAsia"/>
                      <w:b/>
                      <w:color w:val="000000"/>
                      <w:sz w:val="20"/>
                      <w:szCs w:val="20"/>
                    </w:rPr>
                    <w:t>科室质控</w:t>
                  </w:r>
                </w:p>
                <w:p w14:paraId="7696F720">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可根据预设条件抽取病历，结合病历质控规则对病历质量进行检查，自动生成科室病历质量报告。针对发现的病历质量问题，可实时反馈给责任医师进行整改，整改完成后的整改情况再返回科室质控组审核确认。</w:t>
                  </w:r>
                </w:p>
                <w:p w14:paraId="6C9BD6AF">
                  <w:pPr>
                    <w:pageBreakBefore w:val="0"/>
                    <w:widowControl w:val="0"/>
                    <w:kinsoku/>
                    <w:wordWrap/>
                    <w:overflowPunct/>
                    <w:topLinePunct w:val="0"/>
                    <w:autoSpaceDE/>
                    <w:autoSpaceDN/>
                    <w:bidi w:val="0"/>
                    <w:adjustRightInd/>
                    <w:spacing w:line="360" w:lineRule="exact"/>
                    <w:textAlignment w:val="auto"/>
                    <w:rPr>
                      <w:b/>
                      <w:color w:val="000000"/>
                      <w:sz w:val="20"/>
                      <w:szCs w:val="20"/>
                    </w:rPr>
                  </w:pPr>
                  <w:r>
                    <w:rPr>
                      <w:rFonts w:hint="eastAsia"/>
                      <w:b/>
                      <w:color w:val="000000"/>
                      <w:sz w:val="20"/>
                      <w:szCs w:val="20"/>
                    </w:rPr>
                    <w:t>院级质控</w:t>
                  </w:r>
                </w:p>
                <w:p w14:paraId="2CD2FAD1">
                  <w:pPr>
                    <w:pStyle w:val="131"/>
                    <w:pageBreakBefore w:val="0"/>
                    <w:widowControl w:val="0"/>
                    <w:kinsoku/>
                    <w:wordWrap/>
                    <w:overflowPunct/>
                    <w:topLinePunct w:val="0"/>
                    <w:autoSpaceDE/>
                    <w:autoSpaceDN/>
                    <w:bidi w:val="0"/>
                    <w:adjustRightInd/>
                    <w:spacing w:line="360" w:lineRule="exact"/>
                    <w:ind w:firstLine="0"/>
                    <w:textAlignment w:val="auto"/>
                  </w:pPr>
                  <w:r>
                    <w:t>1.</w:t>
                  </w:r>
                  <w:r>
                    <w:rPr>
                      <w:rFonts w:hint="eastAsia"/>
                    </w:rPr>
                    <w:t>院级质控支持质控科或者病案室等职能部门根据预设条件抽取出院病历，对病历质量进行检查，结合病历质控规则，对病历进行评分。特殊情况下，可退回病历，要求责任医师补充或整改，每月定期生成病历质量报告。</w:t>
                  </w:r>
                </w:p>
                <w:p w14:paraId="3804022C">
                  <w:pPr>
                    <w:pStyle w:val="131"/>
                    <w:pageBreakBefore w:val="0"/>
                    <w:widowControl w:val="0"/>
                    <w:kinsoku/>
                    <w:wordWrap/>
                    <w:overflowPunct/>
                    <w:topLinePunct w:val="0"/>
                    <w:autoSpaceDE/>
                    <w:autoSpaceDN/>
                    <w:bidi w:val="0"/>
                    <w:adjustRightInd/>
                    <w:spacing w:line="360" w:lineRule="exact"/>
                    <w:ind w:firstLine="0"/>
                    <w:textAlignment w:val="auto"/>
                  </w:pPr>
                  <w:r>
                    <w:t>2.</w:t>
                  </w:r>
                  <w:r>
                    <w:rPr>
                      <w:rFonts w:hint="eastAsia"/>
                    </w:rPr>
                    <w:t>院级质控支持多人协作质控，管理员可分配质控任务给质控员，质控员根据分配的人员，管理员可汇总查看所有质控任务结果。</w:t>
                  </w:r>
                </w:p>
                <w:p w14:paraId="7B095884">
                  <w:pPr>
                    <w:pStyle w:val="131"/>
                    <w:pageBreakBefore w:val="0"/>
                    <w:widowControl w:val="0"/>
                    <w:kinsoku/>
                    <w:wordWrap/>
                    <w:overflowPunct/>
                    <w:topLinePunct w:val="0"/>
                    <w:autoSpaceDE/>
                    <w:autoSpaceDN/>
                    <w:bidi w:val="0"/>
                    <w:adjustRightInd/>
                    <w:spacing w:line="360" w:lineRule="exact"/>
                    <w:ind w:firstLine="0"/>
                    <w:textAlignment w:val="auto"/>
                  </w:pPr>
                  <w:r>
                    <w:t>3.</w:t>
                  </w:r>
                  <w:r>
                    <w:rPr>
                      <w:rFonts w:hint="eastAsia"/>
                    </w:rPr>
                    <w:t>院级质控支持专题专项质控，例如输血、抗生素等特殊病人质控，支持自动抽取对应专题的病人进行质控，质控时可使用对应专题的质控评分标准。</w:t>
                  </w:r>
                </w:p>
                <w:p w14:paraId="4353EBBD">
                  <w:pPr>
                    <w:pStyle w:val="131"/>
                    <w:pageBreakBefore w:val="0"/>
                    <w:widowControl w:val="0"/>
                    <w:kinsoku/>
                    <w:wordWrap/>
                    <w:overflowPunct/>
                    <w:topLinePunct w:val="0"/>
                    <w:autoSpaceDE/>
                    <w:autoSpaceDN/>
                    <w:bidi w:val="0"/>
                    <w:adjustRightInd/>
                    <w:spacing w:line="360" w:lineRule="exact"/>
                    <w:ind w:firstLine="0"/>
                    <w:textAlignment w:val="auto"/>
                  </w:pPr>
                  <w:r>
                    <w:t>4.</w:t>
                  </w:r>
                  <w:r>
                    <w:rPr>
                      <w:rFonts w:hint="eastAsia"/>
                    </w:rPr>
                    <w:t>院级质控支持专家组质控，管理员可维护专家组成员，专家组可以是职能部门人员或者临床医生，管理员可将疑难病历给专家进行评分，专家可对其他专家评分进行评论与讨论，管理员最终汇总专家评分结果给出疑难病历评定。</w:t>
                  </w:r>
                </w:p>
                <w:p w14:paraId="3E62E674">
                  <w:pPr>
                    <w:pStyle w:val="131"/>
                    <w:pageBreakBefore w:val="0"/>
                    <w:widowControl w:val="0"/>
                    <w:kinsoku/>
                    <w:wordWrap/>
                    <w:overflowPunct/>
                    <w:topLinePunct w:val="0"/>
                    <w:autoSpaceDE/>
                    <w:autoSpaceDN/>
                    <w:bidi w:val="0"/>
                    <w:adjustRightInd/>
                    <w:spacing w:line="360" w:lineRule="exact"/>
                    <w:ind w:firstLine="0"/>
                    <w:textAlignment w:val="auto"/>
                    <w:rPr>
                      <w:b/>
                      <w:sz w:val="24"/>
                      <w:szCs w:val="24"/>
                    </w:rPr>
                  </w:pPr>
                  <w:r>
                    <w:rPr>
                      <w:b/>
                      <w:sz w:val="24"/>
                      <w:szCs w:val="24"/>
                    </w:rPr>
                    <w:t>2</w:t>
                  </w:r>
                  <w:r>
                    <w:rPr>
                      <w:rFonts w:hint="eastAsia"/>
                      <w:b/>
                      <w:sz w:val="24"/>
                      <w:szCs w:val="24"/>
                    </w:rPr>
                    <w:t>、病历质控规则设置</w:t>
                  </w:r>
                </w:p>
                <w:p w14:paraId="59CD837C">
                  <w:pPr>
                    <w:pStyle w:val="131"/>
                    <w:pageBreakBefore w:val="0"/>
                    <w:widowControl w:val="0"/>
                    <w:kinsoku/>
                    <w:wordWrap/>
                    <w:overflowPunct/>
                    <w:topLinePunct w:val="0"/>
                    <w:autoSpaceDE/>
                    <w:autoSpaceDN/>
                    <w:bidi w:val="0"/>
                    <w:adjustRightInd/>
                    <w:spacing w:line="360" w:lineRule="exact"/>
                    <w:ind w:firstLine="0"/>
                    <w:textAlignment w:val="auto"/>
                  </w:pPr>
                  <w:r>
                    <w:t>1.</w:t>
                  </w:r>
                  <w:r>
                    <w:rPr>
                      <w:rFonts w:hint="eastAsia"/>
                    </w:rPr>
                    <w:t>根据国家或省市《病历质量评价标准》，设置病历质控规则。</w:t>
                  </w:r>
                </w:p>
                <w:p w14:paraId="333D701C">
                  <w:pPr>
                    <w:pStyle w:val="131"/>
                    <w:pageBreakBefore w:val="0"/>
                    <w:widowControl w:val="0"/>
                    <w:kinsoku/>
                    <w:wordWrap/>
                    <w:overflowPunct/>
                    <w:topLinePunct w:val="0"/>
                    <w:autoSpaceDE/>
                    <w:autoSpaceDN/>
                    <w:bidi w:val="0"/>
                    <w:adjustRightInd/>
                    <w:spacing w:line="360" w:lineRule="exact"/>
                    <w:ind w:firstLine="0"/>
                    <w:textAlignment w:val="auto"/>
                  </w:pPr>
                  <w:r>
                    <w:t>2.</w:t>
                  </w:r>
                  <w:r>
                    <w:rPr>
                      <w:rFonts w:hint="eastAsia"/>
                    </w:rPr>
                    <w:t>时限质控规则根据住院病历书写的时限管理要求配置质控规则定义和扣分规则。</w:t>
                  </w:r>
                </w:p>
                <w:p w14:paraId="7016C3AA">
                  <w:pPr>
                    <w:pStyle w:val="131"/>
                    <w:pageBreakBefore w:val="0"/>
                    <w:widowControl w:val="0"/>
                    <w:kinsoku/>
                    <w:wordWrap/>
                    <w:overflowPunct/>
                    <w:topLinePunct w:val="0"/>
                    <w:autoSpaceDE/>
                    <w:autoSpaceDN/>
                    <w:bidi w:val="0"/>
                    <w:adjustRightInd/>
                    <w:spacing w:line="360" w:lineRule="exact"/>
                    <w:ind w:firstLine="0"/>
                    <w:textAlignment w:val="auto"/>
                  </w:pPr>
                  <w:r>
                    <w:t>3.</w:t>
                  </w:r>
                  <w:r>
                    <w:rPr>
                      <w:rFonts w:hint="eastAsia"/>
                    </w:rPr>
                    <w:t>内容质控规则基于结构化的信息节点进行逻辑组装配置，主要是内容完整性、内容一致性判断、数值大小判断等质控规则。</w:t>
                  </w:r>
                </w:p>
                <w:p w14:paraId="11066D17">
                  <w:pPr>
                    <w:pStyle w:val="131"/>
                    <w:pageBreakBefore w:val="0"/>
                    <w:widowControl w:val="0"/>
                    <w:kinsoku/>
                    <w:wordWrap/>
                    <w:overflowPunct/>
                    <w:topLinePunct w:val="0"/>
                    <w:autoSpaceDE/>
                    <w:autoSpaceDN/>
                    <w:bidi w:val="0"/>
                    <w:adjustRightInd/>
                    <w:spacing w:line="360" w:lineRule="exact"/>
                    <w:ind w:firstLine="0"/>
                    <w:textAlignment w:val="auto"/>
                  </w:pPr>
                  <w:r>
                    <w:t>4.</w:t>
                  </w:r>
                  <w:r>
                    <w:rPr>
                      <w:rFonts w:hint="eastAsia"/>
                    </w:rPr>
                    <w:t>提供便捷的质控规则自定义工具，根据医院实际管理要求自定义缺陷项目。</w:t>
                  </w:r>
                </w:p>
                <w:p w14:paraId="24B5C534">
                  <w:pPr>
                    <w:pStyle w:val="131"/>
                    <w:pageBreakBefore w:val="0"/>
                    <w:widowControl w:val="0"/>
                    <w:kinsoku/>
                    <w:wordWrap/>
                    <w:overflowPunct/>
                    <w:topLinePunct w:val="0"/>
                    <w:autoSpaceDE/>
                    <w:autoSpaceDN/>
                    <w:bidi w:val="0"/>
                    <w:adjustRightInd/>
                    <w:spacing w:line="360" w:lineRule="exact"/>
                    <w:ind w:firstLine="0"/>
                    <w:textAlignment w:val="auto"/>
                    <w:rPr>
                      <w:b/>
                      <w:sz w:val="24"/>
                      <w:szCs w:val="24"/>
                    </w:rPr>
                  </w:pPr>
                  <w:r>
                    <w:rPr>
                      <w:b/>
                      <w:sz w:val="24"/>
                      <w:szCs w:val="24"/>
                    </w:rPr>
                    <w:t>3</w:t>
                  </w:r>
                  <w:r>
                    <w:rPr>
                      <w:rFonts w:hint="eastAsia"/>
                      <w:b/>
                      <w:sz w:val="24"/>
                      <w:szCs w:val="24"/>
                    </w:rPr>
                    <w:t>、病历质量监控</w:t>
                  </w:r>
                </w:p>
                <w:p w14:paraId="6CE4292D">
                  <w:pPr>
                    <w:pStyle w:val="131"/>
                    <w:pageBreakBefore w:val="0"/>
                    <w:widowControl w:val="0"/>
                    <w:kinsoku/>
                    <w:wordWrap/>
                    <w:overflowPunct/>
                    <w:topLinePunct w:val="0"/>
                    <w:autoSpaceDE/>
                    <w:autoSpaceDN/>
                    <w:bidi w:val="0"/>
                    <w:adjustRightInd/>
                    <w:spacing w:line="360" w:lineRule="exact"/>
                    <w:ind w:firstLine="0"/>
                    <w:textAlignment w:val="auto"/>
                  </w:pPr>
                  <w:r>
                    <w:t>1.</w:t>
                  </w:r>
                  <w:r>
                    <w:rPr>
                      <w:rFonts w:hint="eastAsia"/>
                    </w:rPr>
                    <w:t>时限质控根据病历时间质控设置规则，对住院病历记录完成情况进行自动检查，并对未按时完成的病历记录向责任医师和病历质量管理人员进行提示的功能。</w:t>
                  </w:r>
                </w:p>
                <w:p w14:paraId="0317816D">
                  <w:pPr>
                    <w:pStyle w:val="131"/>
                    <w:pageBreakBefore w:val="0"/>
                    <w:widowControl w:val="0"/>
                    <w:kinsoku/>
                    <w:wordWrap/>
                    <w:overflowPunct/>
                    <w:topLinePunct w:val="0"/>
                    <w:autoSpaceDE/>
                    <w:autoSpaceDN/>
                    <w:bidi w:val="0"/>
                    <w:adjustRightInd/>
                    <w:spacing w:line="360" w:lineRule="exact"/>
                    <w:ind w:firstLine="0"/>
                    <w:textAlignment w:val="auto"/>
                  </w:pPr>
                  <w:r>
                    <w:t>2.</w:t>
                  </w:r>
                  <w:r>
                    <w:rPr>
                      <w:rFonts w:hint="eastAsia"/>
                    </w:rPr>
                    <w:t>内容质控根据质控规则设置，对不同病历的完整性、规范性提供自动检查和提醒。</w:t>
                  </w:r>
                </w:p>
                <w:p w14:paraId="6A5341BD">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提供拱根据专科病历、诊断等差别化的质量控制项目。</w:t>
                  </w:r>
                </w:p>
                <w:p w14:paraId="58061A17">
                  <w:pPr>
                    <w:pStyle w:val="131"/>
                    <w:pageBreakBefore w:val="0"/>
                    <w:widowControl w:val="0"/>
                    <w:kinsoku/>
                    <w:wordWrap/>
                    <w:overflowPunct/>
                    <w:topLinePunct w:val="0"/>
                    <w:autoSpaceDE/>
                    <w:autoSpaceDN/>
                    <w:bidi w:val="0"/>
                    <w:adjustRightInd/>
                    <w:spacing w:line="360" w:lineRule="exact"/>
                    <w:ind w:firstLine="0"/>
                    <w:textAlignment w:val="auto"/>
                  </w:pPr>
                  <w:r>
                    <w:t>3.</w:t>
                  </w:r>
                  <w:r>
                    <w:rPr>
                      <w:rFonts w:hint="eastAsia"/>
                    </w:rPr>
                    <w:t>能根据以上质控规则进行自动判断处理并产生相应控制报告内容。</w:t>
                  </w:r>
                </w:p>
                <w:p w14:paraId="01D8DE5D">
                  <w:pPr>
                    <w:pStyle w:val="131"/>
                    <w:pageBreakBefore w:val="0"/>
                    <w:widowControl w:val="0"/>
                    <w:kinsoku/>
                    <w:wordWrap/>
                    <w:overflowPunct/>
                    <w:topLinePunct w:val="0"/>
                    <w:autoSpaceDE/>
                    <w:autoSpaceDN/>
                    <w:bidi w:val="0"/>
                    <w:adjustRightInd/>
                    <w:spacing w:line="360" w:lineRule="exact"/>
                    <w:ind w:firstLine="0"/>
                    <w:textAlignment w:val="auto"/>
                  </w:pPr>
                  <w:r>
                    <w:t>4.</w:t>
                  </w:r>
                  <w:r>
                    <w:rPr>
                      <w:rFonts w:hint="eastAsia"/>
                    </w:rPr>
                    <w:t>提供病历质控人员对病历质量进行评价与记录缺陷，并反馈给责任医师的功能。</w:t>
                  </w:r>
                </w:p>
                <w:p w14:paraId="0623717F">
                  <w:pPr>
                    <w:pStyle w:val="131"/>
                    <w:pageBreakBefore w:val="0"/>
                    <w:widowControl w:val="0"/>
                    <w:kinsoku/>
                    <w:wordWrap/>
                    <w:overflowPunct/>
                    <w:topLinePunct w:val="0"/>
                    <w:autoSpaceDE/>
                    <w:autoSpaceDN/>
                    <w:bidi w:val="0"/>
                    <w:adjustRightInd/>
                    <w:spacing w:line="360" w:lineRule="exact"/>
                    <w:ind w:firstLine="0"/>
                    <w:textAlignment w:val="auto"/>
                  </w:pPr>
                  <w:r>
                    <w:t>5.</w:t>
                  </w:r>
                  <w:r>
                    <w:rPr>
                      <w:rFonts w:hint="eastAsia"/>
                    </w:rPr>
                    <w:t>需经病历质量管理人员审查的病历，记录审查时间和审查者。</w:t>
                  </w:r>
                </w:p>
                <w:p w14:paraId="71EC708D">
                  <w:pPr>
                    <w:pStyle w:val="131"/>
                    <w:pageBreakBefore w:val="0"/>
                    <w:widowControl w:val="0"/>
                    <w:kinsoku/>
                    <w:wordWrap/>
                    <w:overflowPunct/>
                    <w:topLinePunct w:val="0"/>
                    <w:autoSpaceDE/>
                    <w:autoSpaceDN/>
                    <w:bidi w:val="0"/>
                    <w:adjustRightInd/>
                    <w:spacing w:line="360" w:lineRule="exact"/>
                    <w:ind w:firstLine="0"/>
                    <w:textAlignment w:val="auto"/>
                  </w:pPr>
                  <w:r>
                    <w:t>6.</w:t>
                  </w:r>
                  <w:r>
                    <w:rPr>
                      <w:rFonts w:hint="eastAsia"/>
                    </w:rPr>
                    <w:t>病历质控人员可对病历缺陷内容的纠正情况进行追踪检查。</w:t>
                  </w:r>
                </w:p>
                <w:p w14:paraId="6B8837F4">
                  <w:pPr>
                    <w:pStyle w:val="131"/>
                    <w:pageBreakBefore w:val="0"/>
                    <w:widowControl w:val="0"/>
                    <w:kinsoku/>
                    <w:wordWrap/>
                    <w:overflowPunct/>
                    <w:topLinePunct w:val="0"/>
                    <w:autoSpaceDE/>
                    <w:autoSpaceDN/>
                    <w:bidi w:val="0"/>
                    <w:adjustRightInd/>
                    <w:spacing w:line="360" w:lineRule="exact"/>
                    <w:ind w:firstLine="0"/>
                    <w:textAlignment w:val="auto"/>
                    <w:rPr>
                      <w:b/>
                      <w:sz w:val="24"/>
                      <w:szCs w:val="24"/>
                    </w:rPr>
                  </w:pPr>
                  <w:r>
                    <w:rPr>
                      <w:b/>
                      <w:sz w:val="24"/>
                      <w:szCs w:val="24"/>
                    </w:rPr>
                    <w:t>4</w:t>
                  </w:r>
                  <w:r>
                    <w:rPr>
                      <w:rFonts w:hint="eastAsia"/>
                      <w:b/>
                      <w:sz w:val="24"/>
                      <w:szCs w:val="24"/>
                    </w:rPr>
                    <w:t>、病历质控分析</w:t>
                  </w:r>
                </w:p>
                <w:p w14:paraId="6C4942B1">
                  <w:pPr>
                    <w:pStyle w:val="131"/>
                    <w:pageBreakBefore w:val="0"/>
                    <w:widowControl w:val="0"/>
                    <w:kinsoku/>
                    <w:wordWrap/>
                    <w:overflowPunct/>
                    <w:topLinePunct w:val="0"/>
                    <w:autoSpaceDE/>
                    <w:autoSpaceDN/>
                    <w:bidi w:val="0"/>
                    <w:adjustRightInd/>
                    <w:spacing w:line="360" w:lineRule="exact"/>
                    <w:ind w:firstLine="0"/>
                    <w:textAlignment w:val="auto"/>
                    <w:rPr>
                      <w:rFonts w:ascii="宋体" w:hAnsi="宋体" w:cs="宋体"/>
                      <w:szCs w:val="21"/>
                    </w:rPr>
                  </w:pPr>
                  <w:r>
                    <w:rPr>
                      <w:rFonts w:hint="eastAsia"/>
                    </w:rPr>
                    <w:t>支持根据病历质量检查和评价结果生成不同维度的统计分析报表，指导职能部门有针对的进行病历质量检查和评价。</w:t>
                  </w:r>
                </w:p>
              </w:tc>
            </w:tr>
            <w:tr w14:paraId="21976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3" w:type="dxa"/>
                  <w:vMerge w:val="continue"/>
                  <w:tcBorders>
                    <w:top w:val="single" w:color="auto" w:sz="4" w:space="0"/>
                    <w:left w:val="single" w:color="auto" w:sz="4" w:space="0"/>
                    <w:bottom w:val="single" w:color="auto" w:sz="4" w:space="0"/>
                    <w:right w:val="single" w:color="auto" w:sz="4" w:space="0"/>
                  </w:tcBorders>
                  <w:noWrap w:val="0"/>
                  <w:vAlign w:val="center"/>
                </w:tcPr>
                <w:p w14:paraId="54D0038F">
                  <w:pPr>
                    <w:widowControl/>
                    <w:jc w:val="left"/>
                    <w:rPr>
                      <w:rFonts w:ascii="宋体" w:hAnsi="宋体" w:cs="宋体"/>
                      <w:b/>
                      <w:color w:val="000000"/>
                      <w:sz w:val="20"/>
                      <w:szCs w:val="20"/>
                    </w:rPr>
                  </w:pPr>
                </w:p>
              </w:tc>
              <w:tc>
                <w:tcPr>
                  <w:tcW w:w="804" w:type="dxa"/>
                  <w:vMerge w:val="continue"/>
                  <w:tcBorders>
                    <w:top w:val="single" w:color="auto" w:sz="4" w:space="0"/>
                    <w:left w:val="single" w:color="auto" w:sz="4" w:space="0"/>
                    <w:bottom w:val="single" w:color="auto" w:sz="4" w:space="0"/>
                    <w:right w:val="single" w:color="auto" w:sz="4" w:space="0"/>
                  </w:tcBorders>
                  <w:noWrap w:val="0"/>
                  <w:vAlign w:val="center"/>
                </w:tcPr>
                <w:p w14:paraId="10EA184E">
                  <w:pPr>
                    <w:widowControl/>
                    <w:jc w:val="left"/>
                    <w:rPr>
                      <w:rFonts w:ascii="宋体" w:hAnsi="宋体" w:cs="宋体"/>
                      <w:color w:val="000000"/>
                      <w:sz w:val="20"/>
                      <w:szCs w:val="20"/>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1D91D8F3">
                  <w:pPr>
                    <w:pageBreakBefore w:val="0"/>
                    <w:widowControl w:val="0"/>
                    <w:kinsoku/>
                    <w:wordWrap/>
                    <w:overflowPunct/>
                    <w:topLinePunct w:val="0"/>
                    <w:autoSpaceDE/>
                    <w:autoSpaceDN/>
                    <w:bidi w:val="0"/>
                    <w:adjustRightInd/>
                    <w:spacing w:line="360" w:lineRule="exact"/>
                    <w:textAlignment w:val="auto"/>
                    <w:rPr>
                      <w:rFonts w:ascii="宋体" w:hAnsi="宋体" w:cs="宋体"/>
                      <w:color w:val="000000"/>
                      <w:sz w:val="20"/>
                      <w:szCs w:val="20"/>
                    </w:rPr>
                  </w:pPr>
                  <w:r>
                    <w:rPr>
                      <w:rFonts w:hint="eastAsia"/>
                      <w:color w:val="000000"/>
                      <w:sz w:val="21"/>
                      <w:szCs w:val="21"/>
                    </w:rPr>
                    <w:t>临床路径与单病种管理</w:t>
                  </w:r>
                </w:p>
              </w:tc>
              <w:tc>
                <w:tcPr>
                  <w:tcW w:w="7748" w:type="dxa"/>
                  <w:tcBorders>
                    <w:top w:val="single" w:color="auto" w:sz="4" w:space="0"/>
                    <w:left w:val="single" w:color="auto" w:sz="4" w:space="0"/>
                    <w:bottom w:val="single" w:color="auto" w:sz="4" w:space="0"/>
                    <w:right w:val="single" w:color="auto" w:sz="4" w:space="0"/>
                  </w:tcBorders>
                  <w:noWrap/>
                  <w:vAlign w:val="center"/>
                </w:tcPr>
                <w:p w14:paraId="1278DCAB">
                  <w:pPr>
                    <w:pStyle w:val="7"/>
                    <w:pageBreakBefore w:val="0"/>
                    <w:widowControl w:val="0"/>
                    <w:kinsoku/>
                    <w:wordWrap/>
                    <w:overflowPunct/>
                    <w:topLinePunct w:val="0"/>
                    <w:autoSpaceDE/>
                    <w:autoSpaceDN/>
                    <w:bidi w:val="0"/>
                    <w:adjustRightInd/>
                    <w:spacing w:line="360" w:lineRule="exact"/>
                    <w:textAlignment w:val="auto"/>
                    <w:rPr>
                      <w:rFonts w:ascii="Calibri"/>
                      <w:sz w:val="21"/>
                    </w:rPr>
                  </w:pPr>
                  <w:r>
                    <w:rPr>
                      <w:rFonts w:hint="eastAsia"/>
                    </w:rPr>
                    <w:t>单病种上报</w:t>
                  </w:r>
                </w:p>
                <w:p w14:paraId="1965B92F">
                  <w:pPr>
                    <w:pStyle w:val="131"/>
                    <w:pageBreakBefore w:val="0"/>
                    <w:widowControl w:val="0"/>
                    <w:kinsoku/>
                    <w:wordWrap/>
                    <w:overflowPunct/>
                    <w:topLinePunct w:val="0"/>
                    <w:autoSpaceDE/>
                    <w:autoSpaceDN/>
                    <w:bidi w:val="0"/>
                    <w:adjustRightInd/>
                    <w:spacing w:line="360" w:lineRule="exact"/>
                    <w:ind w:firstLine="0"/>
                    <w:textAlignment w:val="auto"/>
                    <w:rPr>
                      <w:b/>
                      <w:sz w:val="24"/>
                      <w:szCs w:val="24"/>
                    </w:rPr>
                  </w:pPr>
                  <w:r>
                    <w:rPr>
                      <w:rFonts w:hint="eastAsia"/>
                      <w:b/>
                      <w:sz w:val="24"/>
                      <w:szCs w:val="24"/>
                    </w:rPr>
                    <w:t>病种填报</w:t>
                  </w:r>
                </w:p>
                <w:p w14:paraId="6BE80074">
                  <w:pPr>
                    <w:pageBreakBefore w:val="0"/>
                    <w:widowControl w:val="0"/>
                    <w:kinsoku/>
                    <w:wordWrap/>
                    <w:overflowPunct/>
                    <w:topLinePunct w:val="0"/>
                    <w:autoSpaceDE/>
                    <w:autoSpaceDN/>
                    <w:bidi w:val="0"/>
                    <w:adjustRightInd/>
                    <w:spacing w:line="360" w:lineRule="exact"/>
                    <w:textAlignment w:val="auto"/>
                    <w:rPr>
                      <w:rFonts w:ascii="等线" w:hAnsi="等线"/>
                    </w:rPr>
                  </w:pPr>
                  <w:r>
                    <w:rPr>
                      <w:rFonts w:hint="eastAsia"/>
                    </w:rPr>
                    <w:t>病种填报是按照机构需要上报的病种进行数据上报，病种填报流程包括填报任务、病例筛查、自动填报、回退接收等。</w:t>
                  </w:r>
                </w:p>
                <w:p w14:paraId="1869565B">
                  <w:pPr>
                    <w:pStyle w:val="131"/>
                    <w:pageBreakBefore w:val="0"/>
                    <w:widowControl w:val="0"/>
                    <w:kinsoku/>
                    <w:wordWrap/>
                    <w:overflowPunct/>
                    <w:topLinePunct w:val="0"/>
                    <w:autoSpaceDE/>
                    <w:autoSpaceDN/>
                    <w:bidi w:val="0"/>
                    <w:adjustRightInd/>
                    <w:spacing w:line="360" w:lineRule="exact"/>
                    <w:ind w:firstLine="0"/>
                    <w:textAlignment w:val="auto"/>
                    <w:rPr>
                      <w:rFonts w:hint="eastAsia"/>
                      <w:b/>
                      <w:sz w:val="24"/>
                      <w:szCs w:val="24"/>
                    </w:rPr>
                  </w:pPr>
                  <w:r>
                    <w:rPr>
                      <w:rFonts w:hint="eastAsia"/>
                      <w:b/>
                      <w:sz w:val="24"/>
                      <w:szCs w:val="24"/>
                    </w:rPr>
                    <w:t>填报任务管理</w:t>
                  </w:r>
                </w:p>
                <w:p w14:paraId="5AF48FA3">
                  <w:pPr>
                    <w:pageBreakBefore w:val="0"/>
                    <w:widowControl w:val="0"/>
                    <w:kinsoku/>
                    <w:wordWrap/>
                    <w:overflowPunct/>
                    <w:topLinePunct w:val="0"/>
                    <w:autoSpaceDE/>
                    <w:autoSpaceDN/>
                    <w:bidi w:val="0"/>
                    <w:adjustRightInd/>
                    <w:spacing w:line="360" w:lineRule="exact"/>
                    <w:textAlignment w:val="auto"/>
                    <w:rPr>
                      <w:rFonts w:ascii="等线" w:hAnsi="等线"/>
                    </w:rPr>
                  </w:pPr>
                  <w:r>
                    <w:rPr>
                      <w:rFonts w:hint="eastAsia" w:ascii="等线" w:hAnsi="等线"/>
                    </w:rPr>
                    <w:t>填报任务管理通过单病种字典的待上报方案配置，制定指标数据填报方案，自动绑定已出院的单病种（术种）患者，并生成对应填报任务。通过填报任务管理功能，在填报任务过程中，支持以数据统计的方式进行填报任务的提醒，包括待填报、过期未填报（即漏报），逾期填报，已填报等数量统计；支持以填报日历提醒的方式，对当日需要填报的任务进行提醒。</w:t>
                  </w:r>
                </w:p>
                <w:p w14:paraId="6D4553D2">
                  <w:pPr>
                    <w:pStyle w:val="131"/>
                    <w:pageBreakBefore w:val="0"/>
                    <w:widowControl w:val="0"/>
                    <w:kinsoku/>
                    <w:wordWrap/>
                    <w:overflowPunct/>
                    <w:topLinePunct w:val="0"/>
                    <w:autoSpaceDE/>
                    <w:autoSpaceDN/>
                    <w:bidi w:val="0"/>
                    <w:adjustRightInd/>
                    <w:spacing w:line="360" w:lineRule="exact"/>
                    <w:ind w:firstLine="0"/>
                    <w:textAlignment w:val="auto"/>
                    <w:rPr>
                      <w:rFonts w:hint="eastAsia"/>
                      <w:b/>
                      <w:sz w:val="24"/>
                      <w:szCs w:val="24"/>
                    </w:rPr>
                  </w:pPr>
                  <w:r>
                    <w:rPr>
                      <w:rFonts w:hint="eastAsia"/>
                      <w:b/>
                      <w:sz w:val="24"/>
                      <w:szCs w:val="24"/>
                    </w:rPr>
                    <w:t>填报病例筛选</w:t>
                  </w:r>
                </w:p>
                <w:p w14:paraId="4773B9F0">
                  <w:pPr>
                    <w:pageBreakBefore w:val="0"/>
                    <w:widowControl w:val="0"/>
                    <w:kinsoku/>
                    <w:wordWrap/>
                    <w:overflowPunct/>
                    <w:topLinePunct w:val="0"/>
                    <w:autoSpaceDE/>
                    <w:autoSpaceDN/>
                    <w:bidi w:val="0"/>
                    <w:adjustRightInd/>
                    <w:spacing w:line="360" w:lineRule="exact"/>
                    <w:textAlignment w:val="auto"/>
                    <w:rPr>
                      <w:rFonts w:ascii="等线" w:hAnsi="等线"/>
                    </w:rPr>
                  </w:pPr>
                  <w:r>
                    <w:rPr>
                      <w:rFonts w:hint="eastAsia" w:ascii="等线" w:hAnsi="等线"/>
                    </w:rPr>
                    <w:t>填报病例筛选是通过自动检索数据，将需要填写的各病种相关上报数据完成初筛工作。</w:t>
                  </w:r>
                </w:p>
                <w:p w14:paraId="513DAF63">
                  <w:pPr>
                    <w:pageBreakBefore w:val="0"/>
                    <w:widowControl w:val="0"/>
                    <w:kinsoku/>
                    <w:wordWrap/>
                    <w:overflowPunct/>
                    <w:topLinePunct w:val="0"/>
                    <w:autoSpaceDE/>
                    <w:autoSpaceDN/>
                    <w:bidi w:val="0"/>
                    <w:adjustRightInd/>
                    <w:spacing w:line="360" w:lineRule="exact"/>
                    <w:textAlignment w:val="auto"/>
                    <w:rPr>
                      <w:rFonts w:hint="eastAsia" w:ascii="等线" w:hAnsi="等线"/>
                    </w:rPr>
                  </w:pPr>
                  <w:r>
                    <w:rPr>
                      <w:rFonts w:hint="eastAsia" w:ascii="等线" w:hAnsi="等线"/>
                    </w:rPr>
                    <w:t>1、支持按照填报员所在科室的填报权限模式，加载填报员负责的所有待上报病例数据，并按病种分组展示。</w:t>
                  </w:r>
                </w:p>
                <w:p w14:paraId="0066A2F0">
                  <w:pPr>
                    <w:pageBreakBefore w:val="0"/>
                    <w:widowControl w:val="0"/>
                    <w:kinsoku/>
                    <w:wordWrap/>
                    <w:overflowPunct/>
                    <w:topLinePunct w:val="0"/>
                    <w:autoSpaceDE/>
                    <w:autoSpaceDN/>
                    <w:bidi w:val="0"/>
                    <w:adjustRightInd/>
                    <w:spacing w:line="360" w:lineRule="exact"/>
                    <w:textAlignment w:val="auto"/>
                    <w:rPr>
                      <w:rFonts w:hint="eastAsia" w:ascii="等线" w:hAnsi="等线"/>
                    </w:rPr>
                  </w:pPr>
                  <w:r>
                    <w:rPr>
                      <w:rFonts w:hint="eastAsia" w:ascii="等线" w:hAnsi="等线"/>
                    </w:rPr>
                    <w:t>2、支持对未填报的数据进行填报，或对被回退的数据进行重新填报并且支持查看回退的原因。</w:t>
                  </w:r>
                </w:p>
                <w:p w14:paraId="6FD72832">
                  <w:pPr>
                    <w:pageBreakBefore w:val="0"/>
                    <w:widowControl w:val="0"/>
                    <w:kinsoku/>
                    <w:wordWrap/>
                    <w:overflowPunct/>
                    <w:topLinePunct w:val="0"/>
                    <w:autoSpaceDE/>
                    <w:autoSpaceDN/>
                    <w:bidi w:val="0"/>
                    <w:adjustRightInd/>
                    <w:spacing w:line="360" w:lineRule="exact"/>
                    <w:textAlignment w:val="auto"/>
                    <w:rPr>
                      <w:rFonts w:hint="eastAsia" w:ascii="等线" w:hAnsi="等线"/>
                    </w:rPr>
                  </w:pPr>
                  <w:r>
                    <w:rPr>
                      <w:rFonts w:hint="eastAsia" w:ascii="等线" w:hAnsi="等线"/>
                    </w:rPr>
                    <w:t>3、支持按不同上报状态进行筛选过滤，快速查看。待上报数据状态分为：初始、暂存、逾期、上报失败、审核回退。</w:t>
                  </w:r>
                </w:p>
                <w:p w14:paraId="1EA959E8">
                  <w:pPr>
                    <w:pStyle w:val="131"/>
                    <w:pageBreakBefore w:val="0"/>
                    <w:widowControl w:val="0"/>
                    <w:kinsoku/>
                    <w:wordWrap/>
                    <w:overflowPunct/>
                    <w:topLinePunct w:val="0"/>
                    <w:autoSpaceDE/>
                    <w:autoSpaceDN/>
                    <w:bidi w:val="0"/>
                    <w:adjustRightInd/>
                    <w:spacing w:line="360" w:lineRule="exact"/>
                    <w:ind w:firstLine="0"/>
                    <w:textAlignment w:val="auto"/>
                    <w:rPr>
                      <w:rFonts w:hint="eastAsia"/>
                      <w:b/>
                      <w:sz w:val="24"/>
                      <w:szCs w:val="24"/>
                    </w:rPr>
                  </w:pPr>
                  <w:r>
                    <w:rPr>
                      <w:rFonts w:hint="eastAsia"/>
                      <w:b/>
                      <w:sz w:val="24"/>
                      <w:szCs w:val="24"/>
                    </w:rPr>
                    <w:t>表单填报</w:t>
                  </w:r>
                </w:p>
                <w:p w14:paraId="3ED656BA">
                  <w:pPr>
                    <w:pageBreakBefore w:val="0"/>
                    <w:widowControl w:val="0"/>
                    <w:kinsoku/>
                    <w:wordWrap/>
                    <w:overflowPunct/>
                    <w:topLinePunct w:val="0"/>
                    <w:autoSpaceDE/>
                    <w:autoSpaceDN/>
                    <w:bidi w:val="0"/>
                    <w:adjustRightInd/>
                    <w:spacing w:line="360" w:lineRule="exact"/>
                    <w:textAlignment w:val="auto"/>
                    <w:rPr>
                      <w:rFonts w:ascii="等线" w:hAnsi="等线"/>
                    </w:rPr>
                  </w:pPr>
                  <w:r>
                    <w:rPr>
                      <w:rFonts w:hint="eastAsia" w:ascii="等线" w:hAnsi="等线"/>
                    </w:rPr>
                    <w:t>1.在填报人员执行填报任务，登记填报表单的时候，依据患者在各业务系统或者数据中心存储的数据已接入上报平台的，能自动采集和加载到表单上，解决大部分指标数据的自动填报。</w:t>
                  </w:r>
                </w:p>
                <w:p w14:paraId="1FE9BE43">
                  <w:pPr>
                    <w:pageBreakBefore w:val="0"/>
                    <w:widowControl w:val="0"/>
                    <w:kinsoku/>
                    <w:wordWrap/>
                    <w:overflowPunct/>
                    <w:topLinePunct w:val="0"/>
                    <w:autoSpaceDE/>
                    <w:autoSpaceDN/>
                    <w:bidi w:val="0"/>
                    <w:adjustRightInd/>
                    <w:spacing w:line="360" w:lineRule="exact"/>
                    <w:textAlignment w:val="auto"/>
                    <w:rPr>
                      <w:rFonts w:hint="eastAsia" w:ascii="等线" w:hAnsi="等线"/>
                    </w:rPr>
                  </w:pPr>
                  <w:r>
                    <w:rPr>
                      <w:rFonts w:hint="eastAsia" w:ascii="等线" w:hAnsi="等线"/>
                    </w:rPr>
                    <w:t>2.支持自动填充上报表单的基本信息数据。支持自动填充上报表单的部分诊疗相关数据，包括诊断、病情评估、用药、手术、预后等。支持自动填充上报表单的住院费用数据。支持手动补录上报表单的缺失数据，并根据国家上报平台要求对数据合理性进行校验（如：必填项、值域范围）并可快速定位到校验项。其他未能自动填充的指标数据可通过默认值设置、数据统计填报等混合方式进行自动填充。</w:t>
                  </w:r>
                </w:p>
                <w:p w14:paraId="27F45F43">
                  <w:pPr>
                    <w:pageBreakBefore w:val="0"/>
                    <w:widowControl w:val="0"/>
                    <w:kinsoku/>
                    <w:wordWrap/>
                    <w:overflowPunct/>
                    <w:topLinePunct w:val="0"/>
                    <w:autoSpaceDE/>
                    <w:autoSpaceDN/>
                    <w:bidi w:val="0"/>
                    <w:adjustRightInd/>
                    <w:spacing w:line="360" w:lineRule="exact"/>
                    <w:textAlignment w:val="auto"/>
                    <w:rPr>
                      <w:rFonts w:hint="eastAsia" w:ascii="等线" w:hAnsi="等线"/>
                    </w:rPr>
                  </w:pPr>
                  <w:r>
                    <w:rPr>
                      <w:rFonts w:hint="eastAsia" w:ascii="等线" w:hAnsi="等线"/>
                    </w:rPr>
                    <w:t>3.由填报人员进行人工审核、补充纠正，完成整体指标数据填报任务并提交审核。平台内置校验规则，对表单的必填项提醒，不符合项提醒，填报出错项等质控提醒，来加强填报数据的质量，并可快速定位到校验项。。</w:t>
                  </w:r>
                </w:p>
                <w:p w14:paraId="723264D1">
                  <w:pPr>
                    <w:pageBreakBefore w:val="0"/>
                    <w:widowControl w:val="0"/>
                    <w:kinsoku/>
                    <w:wordWrap/>
                    <w:overflowPunct/>
                    <w:topLinePunct w:val="0"/>
                    <w:autoSpaceDE/>
                    <w:autoSpaceDN/>
                    <w:bidi w:val="0"/>
                    <w:adjustRightInd/>
                    <w:spacing w:line="360" w:lineRule="exact"/>
                    <w:textAlignment w:val="auto"/>
                    <w:rPr>
                      <w:rFonts w:hint="eastAsia" w:ascii="等线" w:hAnsi="等线"/>
                    </w:rPr>
                  </w:pPr>
                  <w:r>
                    <w:rPr>
                      <w:rFonts w:hint="eastAsia" w:ascii="等线" w:hAnsi="等线"/>
                    </w:rPr>
                    <w:t>4.支持填报表格临时存储，对暂时无法完成的病例信息暂存，支持后续的二次修改。</w:t>
                  </w:r>
                </w:p>
                <w:p w14:paraId="40C48D2E">
                  <w:pPr>
                    <w:pageBreakBefore w:val="0"/>
                    <w:widowControl w:val="0"/>
                    <w:kinsoku/>
                    <w:wordWrap/>
                    <w:overflowPunct/>
                    <w:topLinePunct w:val="0"/>
                    <w:autoSpaceDE/>
                    <w:autoSpaceDN/>
                    <w:bidi w:val="0"/>
                    <w:adjustRightInd/>
                    <w:spacing w:line="360" w:lineRule="exact"/>
                    <w:textAlignment w:val="auto"/>
                    <w:rPr>
                      <w:rFonts w:hint="eastAsia" w:ascii="等线" w:hAnsi="等线"/>
                    </w:rPr>
                  </w:pPr>
                  <w:r>
                    <w:rPr>
                      <w:rFonts w:hint="eastAsia" w:ascii="等线" w:hAnsi="等线"/>
                    </w:rPr>
                    <w:t>5.支持填报数据的恢复操作，对出现异常情况，如断网、断电、系统崩溃等情况，重新打开页面，将提示是否恢复上一次的操作页面，减少突发情况导致的数据填报失败的问题。</w:t>
                  </w:r>
                </w:p>
                <w:p w14:paraId="4D433946">
                  <w:pPr>
                    <w:pageBreakBefore w:val="0"/>
                    <w:widowControl w:val="0"/>
                    <w:kinsoku/>
                    <w:wordWrap/>
                    <w:overflowPunct/>
                    <w:topLinePunct w:val="0"/>
                    <w:autoSpaceDE/>
                    <w:autoSpaceDN/>
                    <w:bidi w:val="0"/>
                    <w:adjustRightInd/>
                    <w:spacing w:line="360" w:lineRule="exact"/>
                    <w:textAlignment w:val="auto"/>
                    <w:rPr>
                      <w:rFonts w:hint="eastAsia" w:ascii="等线" w:hAnsi="等线"/>
                    </w:rPr>
                  </w:pPr>
                  <w:r>
                    <w:rPr>
                      <w:rFonts w:hint="eastAsia" w:ascii="等线" w:hAnsi="等线"/>
                    </w:rPr>
                    <w:t>6.填写完毕需提交审核，系统将进行智能校验，校验通过，将病例状态修改为“待审核”，校验失败则给予具体错误定位供填报人参考修改。</w:t>
                  </w:r>
                </w:p>
                <w:p w14:paraId="1155C79F">
                  <w:pPr>
                    <w:pageBreakBefore w:val="0"/>
                    <w:widowControl w:val="0"/>
                    <w:kinsoku/>
                    <w:wordWrap/>
                    <w:overflowPunct/>
                    <w:topLinePunct w:val="0"/>
                    <w:autoSpaceDE/>
                    <w:autoSpaceDN/>
                    <w:bidi w:val="0"/>
                    <w:adjustRightInd/>
                    <w:spacing w:line="360" w:lineRule="exact"/>
                    <w:textAlignment w:val="auto"/>
                    <w:rPr>
                      <w:rFonts w:hint="eastAsia" w:ascii="等线" w:hAnsi="等线"/>
                    </w:rPr>
                  </w:pPr>
                  <w:r>
                    <w:rPr>
                      <w:rFonts w:hint="eastAsia" w:ascii="等线" w:hAnsi="等线"/>
                    </w:rPr>
                    <w:t>7.数据调阅，可以通过整合数据中心的信息，支持调阅病人的诊疗、医嘱、医技报告、治疗记录等信息，供填报人参考。</w:t>
                  </w:r>
                </w:p>
                <w:p w14:paraId="73CE6946">
                  <w:pPr>
                    <w:pStyle w:val="131"/>
                    <w:pageBreakBefore w:val="0"/>
                    <w:widowControl w:val="0"/>
                    <w:kinsoku/>
                    <w:wordWrap/>
                    <w:overflowPunct/>
                    <w:topLinePunct w:val="0"/>
                    <w:autoSpaceDE/>
                    <w:autoSpaceDN/>
                    <w:bidi w:val="0"/>
                    <w:adjustRightInd/>
                    <w:spacing w:line="360" w:lineRule="exact"/>
                    <w:ind w:firstLine="0"/>
                    <w:textAlignment w:val="auto"/>
                    <w:rPr>
                      <w:rFonts w:hint="eastAsia"/>
                      <w:b/>
                      <w:sz w:val="24"/>
                      <w:szCs w:val="24"/>
                    </w:rPr>
                  </w:pPr>
                  <w:r>
                    <w:rPr>
                      <w:rFonts w:hint="eastAsia"/>
                      <w:b/>
                      <w:sz w:val="24"/>
                      <w:szCs w:val="24"/>
                    </w:rPr>
                    <w:t>填报触发管理</w:t>
                  </w:r>
                </w:p>
                <w:p w14:paraId="7B105819">
                  <w:pPr>
                    <w:pageBreakBefore w:val="0"/>
                    <w:widowControl w:val="0"/>
                    <w:kinsoku/>
                    <w:wordWrap/>
                    <w:overflowPunct/>
                    <w:topLinePunct w:val="0"/>
                    <w:autoSpaceDE/>
                    <w:autoSpaceDN/>
                    <w:bidi w:val="0"/>
                    <w:adjustRightInd/>
                    <w:spacing w:line="360" w:lineRule="exact"/>
                    <w:textAlignment w:val="auto"/>
                    <w:rPr>
                      <w:rFonts w:ascii="等线" w:hAnsi="等线"/>
                    </w:rPr>
                  </w:pPr>
                  <w:r>
                    <w:rPr>
                      <w:rFonts w:hint="eastAsia" w:ascii="等线" w:hAnsi="等线"/>
                    </w:rPr>
                    <w:t>填报触发机制支持被动和主动填报的方式进行单病种病例填报。</w:t>
                  </w:r>
                </w:p>
                <w:p w14:paraId="318B8EA7">
                  <w:pPr>
                    <w:pageBreakBefore w:val="0"/>
                    <w:widowControl w:val="0"/>
                    <w:kinsoku/>
                    <w:wordWrap/>
                    <w:overflowPunct/>
                    <w:topLinePunct w:val="0"/>
                    <w:autoSpaceDE/>
                    <w:autoSpaceDN/>
                    <w:bidi w:val="0"/>
                    <w:adjustRightInd/>
                    <w:spacing w:line="360" w:lineRule="exact"/>
                    <w:textAlignment w:val="auto"/>
                    <w:rPr>
                      <w:rFonts w:hint="eastAsia" w:ascii="等线" w:hAnsi="等线"/>
                    </w:rPr>
                  </w:pPr>
                  <w:r>
                    <w:rPr>
                      <w:rFonts w:hint="eastAsia" w:ascii="等线" w:hAnsi="等线"/>
                    </w:rPr>
                    <w:t>1、直接登录病种上报平台，按平台指引完成填报工作。</w:t>
                  </w:r>
                </w:p>
                <w:p w14:paraId="260F979C">
                  <w:pPr>
                    <w:pageBreakBefore w:val="0"/>
                    <w:widowControl w:val="0"/>
                    <w:kinsoku/>
                    <w:wordWrap/>
                    <w:overflowPunct/>
                    <w:topLinePunct w:val="0"/>
                    <w:autoSpaceDE/>
                    <w:autoSpaceDN/>
                    <w:bidi w:val="0"/>
                    <w:adjustRightInd/>
                    <w:spacing w:line="360" w:lineRule="exact"/>
                    <w:textAlignment w:val="auto"/>
                    <w:rPr>
                      <w:rFonts w:hint="eastAsia" w:ascii="等线" w:hAnsi="等线"/>
                    </w:rPr>
                  </w:pPr>
                  <w:r>
                    <w:rPr>
                      <w:rFonts w:hint="eastAsia" w:ascii="等线" w:hAnsi="等线"/>
                    </w:rPr>
                    <w:t>2、结合业务开展的流程，通过与业务系统对接，医生书写出院小结或者病案首页，或者护士办理患者出院，或其他出院事件触发的过程中，可提醒填报员并弹出填报任务执行窗口，提示是否进行填报，点击确定可快速进入填报页面，及时填报信息。</w:t>
                  </w:r>
                </w:p>
                <w:p w14:paraId="66F03778">
                  <w:pPr>
                    <w:pStyle w:val="131"/>
                    <w:pageBreakBefore w:val="0"/>
                    <w:widowControl w:val="0"/>
                    <w:kinsoku/>
                    <w:wordWrap/>
                    <w:overflowPunct/>
                    <w:topLinePunct w:val="0"/>
                    <w:autoSpaceDE/>
                    <w:autoSpaceDN/>
                    <w:bidi w:val="0"/>
                    <w:adjustRightInd/>
                    <w:spacing w:line="360" w:lineRule="exact"/>
                    <w:ind w:firstLine="0"/>
                    <w:textAlignment w:val="auto"/>
                    <w:rPr>
                      <w:rFonts w:hint="eastAsia"/>
                      <w:b/>
                      <w:sz w:val="24"/>
                      <w:szCs w:val="24"/>
                    </w:rPr>
                  </w:pPr>
                  <w:r>
                    <w:rPr>
                      <w:rFonts w:hint="eastAsia"/>
                      <w:b/>
                      <w:sz w:val="24"/>
                      <w:szCs w:val="24"/>
                    </w:rPr>
                    <w:t>指标漏报管理</w:t>
                  </w:r>
                </w:p>
                <w:p w14:paraId="546F825A">
                  <w:pPr>
                    <w:pageBreakBefore w:val="0"/>
                    <w:widowControl w:val="0"/>
                    <w:kinsoku/>
                    <w:wordWrap/>
                    <w:overflowPunct/>
                    <w:topLinePunct w:val="0"/>
                    <w:autoSpaceDE/>
                    <w:autoSpaceDN/>
                    <w:bidi w:val="0"/>
                    <w:adjustRightInd/>
                    <w:spacing w:line="360" w:lineRule="exact"/>
                    <w:textAlignment w:val="auto"/>
                  </w:pPr>
                  <w:r>
                    <w:rPr>
                      <w:rFonts w:hint="eastAsia" w:ascii="等线" w:hAnsi="等线"/>
                    </w:rPr>
                    <w:t>通过指标漏报管理功能，支持对于过期未填报（即漏报）的指标数据进行统一管理，支持以系统悬浮窗提醒的方式，在填报人员登录或在线的时候，及时提醒其进行指标数据填报，减少数据漏报、漏传的情况发生。</w:t>
                  </w:r>
                </w:p>
                <w:p w14:paraId="2FF956F7">
                  <w:pPr>
                    <w:pStyle w:val="8"/>
                    <w:pageBreakBefore w:val="0"/>
                    <w:widowControl w:val="0"/>
                    <w:kinsoku/>
                    <w:wordWrap/>
                    <w:overflowPunct/>
                    <w:topLinePunct w:val="0"/>
                    <w:autoSpaceDE/>
                    <w:autoSpaceDN/>
                    <w:bidi w:val="0"/>
                    <w:adjustRightInd/>
                    <w:spacing w:line="360" w:lineRule="exact"/>
                    <w:textAlignment w:val="auto"/>
                  </w:pPr>
                  <w:r>
                    <w:rPr>
                      <w:rFonts w:hint="eastAsia"/>
                    </w:rPr>
                    <w:t>上报审核</w:t>
                  </w:r>
                </w:p>
                <w:p w14:paraId="79EEA5E0">
                  <w:pPr>
                    <w:pStyle w:val="131"/>
                    <w:pageBreakBefore w:val="0"/>
                    <w:widowControl w:val="0"/>
                    <w:kinsoku/>
                    <w:wordWrap/>
                    <w:overflowPunct/>
                    <w:topLinePunct w:val="0"/>
                    <w:autoSpaceDE/>
                    <w:autoSpaceDN/>
                    <w:bidi w:val="0"/>
                    <w:adjustRightInd/>
                    <w:spacing w:line="360" w:lineRule="exact"/>
                    <w:ind w:firstLine="0"/>
                    <w:textAlignment w:val="auto"/>
                    <w:rPr>
                      <w:b/>
                      <w:sz w:val="24"/>
                      <w:szCs w:val="24"/>
                    </w:rPr>
                  </w:pPr>
                  <w:r>
                    <w:rPr>
                      <w:rFonts w:hint="eastAsia"/>
                      <w:b/>
                      <w:sz w:val="24"/>
                      <w:szCs w:val="24"/>
                    </w:rPr>
                    <w:t>病种审核</w:t>
                  </w:r>
                </w:p>
                <w:p w14:paraId="0B977E3D">
                  <w:pPr>
                    <w:pageBreakBefore w:val="0"/>
                    <w:widowControl w:val="0"/>
                    <w:kinsoku/>
                    <w:wordWrap/>
                    <w:overflowPunct/>
                    <w:topLinePunct w:val="0"/>
                    <w:autoSpaceDE/>
                    <w:autoSpaceDN/>
                    <w:bidi w:val="0"/>
                    <w:adjustRightInd/>
                    <w:spacing w:line="360" w:lineRule="exact"/>
                    <w:textAlignment w:val="auto"/>
                    <w:rPr>
                      <w:rFonts w:ascii="等线" w:hAnsi="等线"/>
                    </w:rPr>
                  </w:pPr>
                  <w:r>
                    <w:rPr>
                      <w:rFonts w:hint="eastAsia" w:ascii="等线" w:hAnsi="等线"/>
                    </w:rPr>
                    <w:t>1.填报员完成填报提交审核，审核人在平台查看所有待审核的数据。数据审核人员可以对指标数据进行检索与审核。如审核通过，可上传至国家平台。审核未通过，登记未通过原因，系统可自动发消息通知填报人员，填报人员在登录系统或在线的时候自动接收到审核未通过提醒，及时对审核有问题的指标数据进行补充和修订。</w:t>
                  </w:r>
                </w:p>
                <w:p w14:paraId="61BF78FB">
                  <w:pPr>
                    <w:pageBreakBefore w:val="0"/>
                    <w:widowControl w:val="0"/>
                    <w:kinsoku/>
                    <w:wordWrap/>
                    <w:overflowPunct/>
                    <w:topLinePunct w:val="0"/>
                    <w:autoSpaceDE/>
                    <w:autoSpaceDN/>
                    <w:bidi w:val="0"/>
                    <w:adjustRightInd/>
                    <w:spacing w:line="360" w:lineRule="exact"/>
                    <w:textAlignment w:val="auto"/>
                    <w:rPr>
                      <w:rFonts w:hint="eastAsia" w:ascii="等线" w:hAnsi="等线"/>
                    </w:rPr>
                  </w:pPr>
                  <w:r>
                    <w:rPr>
                      <w:rFonts w:hint="eastAsia" w:ascii="等线" w:hAnsi="等线"/>
                    </w:rPr>
                    <w:t>2.支持医院根据实际需要配置“审核模式”参数，选择手动审核、无需审核、手动+自动模式。</w:t>
                  </w:r>
                </w:p>
                <w:p w14:paraId="772A1637">
                  <w:pPr>
                    <w:pageBreakBefore w:val="0"/>
                    <w:widowControl w:val="0"/>
                    <w:kinsoku/>
                    <w:wordWrap/>
                    <w:overflowPunct/>
                    <w:topLinePunct w:val="0"/>
                    <w:autoSpaceDE/>
                    <w:autoSpaceDN/>
                    <w:bidi w:val="0"/>
                    <w:adjustRightInd/>
                    <w:spacing w:line="360" w:lineRule="exact"/>
                    <w:textAlignment w:val="auto"/>
                    <w:rPr>
                      <w:rFonts w:hint="eastAsia" w:ascii="等线" w:hAnsi="等线"/>
                    </w:rPr>
                  </w:pPr>
                  <w:r>
                    <w:rPr>
                      <w:rFonts w:hint="eastAsia" w:ascii="等线" w:hAnsi="等线"/>
                    </w:rPr>
                    <w:t>展示待审核病例数据列表，按病种类别或者病种分别展示。</w:t>
                  </w:r>
                </w:p>
                <w:p w14:paraId="08F09022">
                  <w:pPr>
                    <w:pageBreakBefore w:val="0"/>
                    <w:widowControl w:val="0"/>
                    <w:kinsoku/>
                    <w:wordWrap/>
                    <w:overflowPunct/>
                    <w:topLinePunct w:val="0"/>
                    <w:autoSpaceDE/>
                    <w:autoSpaceDN/>
                    <w:bidi w:val="0"/>
                    <w:adjustRightInd/>
                    <w:spacing w:line="360" w:lineRule="exact"/>
                    <w:textAlignment w:val="auto"/>
                    <w:rPr>
                      <w:rFonts w:hint="eastAsia" w:ascii="等线" w:hAnsi="等线"/>
                    </w:rPr>
                  </w:pPr>
                  <w:r>
                    <w:rPr>
                      <w:rFonts w:hint="eastAsia" w:ascii="等线" w:hAnsi="等线"/>
                    </w:rPr>
                    <w:t>3.支持按科室、出院天数、日期、关键词过滤填报信息。</w:t>
                  </w:r>
                </w:p>
                <w:p w14:paraId="3929534F">
                  <w:pPr>
                    <w:pageBreakBefore w:val="0"/>
                    <w:widowControl w:val="0"/>
                    <w:kinsoku/>
                    <w:wordWrap/>
                    <w:overflowPunct/>
                    <w:topLinePunct w:val="0"/>
                    <w:autoSpaceDE/>
                    <w:autoSpaceDN/>
                    <w:bidi w:val="0"/>
                    <w:adjustRightInd/>
                    <w:spacing w:line="360" w:lineRule="exact"/>
                    <w:textAlignment w:val="auto"/>
                    <w:rPr>
                      <w:rFonts w:hint="eastAsia" w:ascii="等线" w:hAnsi="等线"/>
                    </w:rPr>
                  </w:pPr>
                  <w:r>
                    <w:rPr>
                      <w:rFonts w:hint="eastAsia" w:ascii="等线" w:hAnsi="等线"/>
                    </w:rPr>
                    <w:t>4.支持对病种进行批量审核、批量上报、批量回退的操作。</w:t>
                  </w:r>
                </w:p>
                <w:p w14:paraId="4F973627">
                  <w:pPr>
                    <w:pageBreakBefore w:val="0"/>
                    <w:widowControl w:val="0"/>
                    <w:kinsoku/>
                    <w:wordWrap/>
                    <w:overflowPunct/>
                    <w:topLinePunct w:val="0"/>
                    <w:autoSpaceDE/>
                    <w:autoSpaceDN/>
                    <w:bidi w:val="0"/>
                    <w:adjustRightInd/>
                    <w:spacing w:line="360" w:lineRule="exact"/>
                    <w:textAlignment w:val="auto"/>
                    <w:rPr>
                      <w:rFonts w:hint="eastAsia" w:ascii="等线" w:hAnsi="等线"/>
                    </w:rPr>
                  </w:pPr>
                  <w:r>
                    <w:rPr>
                      <w:rFonts w:hint="eastAsia" w:ascii="等线" w:hAnsi="等线"/>
                    </w:rPr>
                    <w:t>5.对上报后上报失败的数据能接收反馈的错误信息，可以回退上报病例给填报人员。</w:t>
                  </w:r>
                </w:p>
                <w:p w14:paraId="1A4FFC58">
                  <w:pPr>
                    <w:pageBreakBefore w:val="0"/>
                    <w:widowControl w:val="0"/>
                    <w:kinsoku/>
                    <w:wordWrap/>
                    <w:overflowPunct/>
                    <w:topLinePunct w:val="0"/>
                    <w:autoSpaceDE/>
                    <w:autoSpaceDN/>
                    <w:bidi w:val="0"/>
                    <w:adjustRightInd/>
                    <w:spacing w:line="360" w:lineRule="exact"/>
                    <w:textAlignment w:val="auto"/>
                    <w:rPr>
                      <w:rFonts w:hint="eastAsia" w:ascii="等线" w:hAnsi="等线"/>
                    </w:rPr>
                  </w:pPr>
                  <w:r>
                    <w:rPr>
                      <w:rFonts w:hint="eastAsia" w:ascii="等线" w:hAnsi="等线"/>
                    </w:rPr>
                    <w:t>6.支持对审核后的数据执行不同模式，审核后直接上报或者审核后手工或定时上报。若直接上报则单病种上报配置，利用接口将数据直保给国家平台。</w:t>
                  </w:r>
                </w:p>
                <w:p w14:paraId="4F4BD648">
                  <w:pPr>
                    <w:pageBreakBefore w:val="0"/>
                    <w:widowControl w:val="0"/>
                    <w:kinsoku/>
                    <w:wordWrap/>
                    <w:overflowPunct/>
                    <w:topLinePunct w:val="0"/>
                    <w:autoSpaceDE/>
                    <w:autoSpaceDN/>
                    <w:bidi w:val="0"/>
                    <w:adjustRightInd/>
                    <w:spacing w:line="360" w:lineRule="exact"/>
                    <w:textAlignment w:val="auto"/>
                    <w:rPr>
                      <w:rFonts w:hint="eastAsia" w:ascii="等线" w:hAnsi="等线"/>
                    </w:rPr>
                  </w:pPr>
                  <w:r>
                    <w:rPr>
                      <w:rFonts w:hint="eastAsia" w:ascii="等线" w:hAnsi="等线"/>
                    </w:rPr>
                    <w:t>进入待上报状态需要进入数据上报页面操作，可以手工上报或者定时上报。</w:t>
                  </w:r>
                </w:p>
                <w:p w14:paraId="472D97E6">
                  <w:pPr>
                    <w:pageBreakBefore w:val="0"/>
                    <w:widowControl w:val="0"/>
                    <w:kinsoku/>
                    <w:wordWrap/>
                    <w:overflowPunct/>
                    <w:topLinePunct w:val="0"/>
                    <w:autoSpaceDE/>
                    <w:autoSpaceDN/>
                    <w:bidi w:val="0"/>
                    <w:adjustRightInd/>
                    <w:spacing w:line="360" w:lineRule="exact"/>
                    <w:textAlignment w:val="auto"/>
                    <w:rPr>
                      <w:rFonts w:hint="eastAsia" w:ascii="等线" w:hAnsi="等线"/>
                    </w:rPr>
                  </w:pPr>
                  <w:r>
                    <w:rPr>
                      <w:rFonts w:hint="eastAsia" w:ascii="等线" w:hAnsi="等线"/>
                    </w:rPr>
                    <w:t>7.平台支持与国家平台以接口方式进行对接，完成数据直报。支持通过导出指标数据到EXCEL表格中，辅助机构完成单病种指标数据填报。</w:t>
                  </w:r>
                </w:p>
                <w:p w14:paraId="3B419C61">
                  <w:pPr>
                    <w:pageBreakBefore w:val="0"/>
                    <w:widowControl w:val="0"/>
                    <w:kinsoku/>
                    <w:wordWrap/>
                    <w:overflowPunct/>
                    <w:topLinePunct w:val="0"/>
                    <w:autoSpaceDE/>
                    <w:autoSpaceDN/>
                    <w:bidi w:val="0"/>
                    <w:adjustRightInd/>
                    <w:spacing w:line="360" w:lineRule="exact"/>
                    <w:textAlignment w:val="auto"/>
                    <w:rPr>
                      <w:rFonts w:hint="eastAsia" w:ascii="等线" w:hAnsi="等线"/>
                    </w:rPr>
                  </w:pPr>
                  <w:r>
                    <w:rPr>
                      <w:rFonts w:hint="eastAsia" w:ascii="等线" w:hAnsi="等线"/>
                    </w:rPr>
                    <w:t>8.接口连接方式分为内外网相通和内外网隔离两种。若填报机器和上报机器是同一台，支持医院内网与外网互通，则支持在指标数据审核之后自动上报至国家平台。若填报机器和上报机器属于医院内网和外网不同的网段，则需要进行前置服务转换，由信息科开放上报端口。</w:t>
                  </w:r>
                </w:p>
                <w:p w14:paraId="607B1F07">
                  <w:pPr>
                    <w:pStyle w:val="131"/>
                    <w:pageBreakBefore w:val="0"/>
                    <w:widowControl w:val="0"/>
                    <w:kinsoku/>
                    <w:wordWrap/>
                    <w:overflowPunct/>
                    <w:topLinePunct w:val="0"/>
                    <w:autoSpaceDE/>
                    <w:autoSpaceDN/>
                    <w:bidi w:val="0"/>
                    <w:adjustRightInd/>
                    <w:spacing w:line="360" w:lineRule="exact"/>
                    <w:ind w:firstLine="0"/>
                    <w:textAlignment w:val="auto"/>
                    <w:rPr>
                      <w:rFonts w:hint="eastAsia"/>
                      <w:b/>
                      <w:sz w:val="24"/>
                      <w:szCs w:val="24"/>
                    </w:rPr>
                  </w:pPr>
                  <w:r>
                    <w:rPr>
                      <w:rFonts w:hint="eastAsia"/>
                      <w:b/>
                      <w:sz w:val="24"/>
                      <w:szCs w:val="24"/>
                    </w:rPr>
                    <w:t>病例管理</w:t>
                  </w:r>
                </w:p>
                <w:p w14:paraId="57AAA8DA">
                  <w:pPr>
                    <w:pageBreakBefore w:val="0"/>
                    <w:widowControl w:val="0"/>
                    <w:kinsoku/>
                    <w:wordWrap/>
                    <w:overflowPunct/>
                    <w:topLinePunct w:val="0"/>
                    <w:autoSpaceDE/>
                    <w:autoSpaceDN/>
                    <w:bidi w:val="0"/>
                    <w:adjustRightInd/>
                    <w:spacing w:line="360" w:lineRule="exact"/>
                    <w:textAlignment w:val="auto"/>
                    <w:rPr>
                      <w:rFonts w:ascii="等线" w:hAnsi="等线"/>
                    </w:rPr>
                  </w:pPr>
                  <w:r>
                    <w:rPr>
                      <w:rFonts w:hint="eastAsia" w:ascii="等线" w:hAnsi="等线"/>
                    </w:rPr>
                    <w:t>1.审核人员可以看到所有被授权病种的相关病例，病例列表展示患者的病案号、患者姓名、出院科室、出院天数、状态等。</w:t>
                  </w:r>
                </w:p>
                <w:p w14:paraId="6BF22130">
                  <w:pPr>
                    <w:pageBreakBefore w:val="0"/>
                    <w:widowControl w:val="0"/>
                    <w:kinsoku/>
                    <w:wordWrap/>
                    <w:overflowPunct/>
                    <w:topLinePunct w:val="0"/>
                    <w:autoSpaceDE/>
                    <w:autoSpaceDN/>
                    <w:bidi w:val="0"/>
                    <w:adjustRightInd/>
                    <w:spacing w:line="360" w:lineRule="exact"/>
                    <w:textAlignment w:val="auto"/>
                    <w:rPr>
                      <w:rFonts w:hint="eastAsia" w:ascii="等线" w:hAnsi="等线"/>
                    </w:rPr>
                  </w:pPr>
                  <w:r>
                    <w:rPr>
                      <w:rFonts w:hint="eastAsia" w:ascii="等线" w:hAnsi="等线"/>
                    </w:rPr>
                    <w:t>2.支持对单个病人进行查看、剔除、重载、修复等操作。查看填报院的填报情况，对不符合上报的数据进行剔除。病人信息有更新的可以执行数据重载，更新到最新的数据，并覆盖旧数据。若上报样式表单有更新，可以支持修复，重新加载表单，对已填数据不会丢失。</w:t>
                  </w:r>
                </w:p>
                <w:p w14:paraId="2E503156">
                  <w:pPr>
                    <w:pageBreakBefore w:val="0"/>
                    <w:widowControl w:val="0"/>
                    <w:kinsoku/>
                    <w:wordWrap/>
                    <w:overflowPunct/>
                    <w:topLinePunct w:val="0"/>
                    <w:autoSpaceDE/>
                    <w:autoSpaceDN/>
                    <w:bidi w:val="0"/>
                    <w:adjustRightInd/>
                    <w:spacing w:line="360" w:lineRule="exact"/>
                    <w:textAlignment w:val="auto"/>
                    <w:rPr>
                      <w:rFonts w:hint="eastAsia" w:ascii="等线" w:hAnsi="等线"/>
                    </w:rPr>
                  </w:pPr>
                  <w:r>
                    <w:rPr>
                      <w:rFonts w:hint="eastAsia" w:ascii="等线" w:hAnsi="等线"/>
                    </w:rPr>
                    <w:t>3.支持批量操作，批量重置、批量恢复、批量剔除等操作，提高管理效率。</w:t>
                  </w:r>
                </w:p>
                <w:p w14:paraId="2FC304F6">
                  <w:pPr>
                    <w:pStyle w:val="131"/>
                    <w:pageBreakBefore w:val="0"/>
                    <w:widowControl w:val="0"/>
                    <w:kinsoku/>
                    <w:wordWrap/>
                    <w:overflowPunct/>
                    <w:topLinePunct w:val="0"/>
                    <w:autoSpaceDE/>
                    <w:autoSpaceDN/>
                    <w:bidi w:val="0"/>
                    <w:adjustRightInd/>
                    <w:spacing w:line="360" w:lineRule="exact"/>
                    <w:ind w:firstLine="0"/>
                    <w:textAlignment w:val="auto"/>
                    <w:rPr>
                      <w:rFonts w:hint="eastAsia"/>
                      <w:b/>
                      <w:sz w:val="24"/>
                      <w:szCs w:val="24"/>
                    </w:rPr>
                  </w:pPr>
                  <w:r>
                    <w:rPr>
                      <w:rFonts w:hint="eastAsia"/>
                      <w:b/>
                      <w:sz w:val="24"/>
                      <w:szCs w:val="24"/>
                    </w:rPr>
                    <w:t>上报管理</w:t>
                  </w:r>
                </w:p>
                <w:p w14:paraId="7A0BCE54">
                  <w:pPr>
                    <w:pageBreakBefore w:val="0"/>
                    <w:widowControl w:val="0"/>
                    <w:kinsoku/>
                    <w:wordWrap/>
                    <w:overflowPunct/>
                    <w:topLinePunct w:val="0"/>
                    <w:autoSpaceDE/>
                    <w:autoSpaceDN/>
                    <w:bidi w:val="0"/>
                    <w:adjustRightInd/>
                    <w:spacing w:line="360" w:lineRule="exact"/>
                    <w:textAlignment w:val="auto"/>
                    <w:rPr>
                      <w:rFonts w:ascii="等线" w:hAnsi="等线"/>
                    </w:rPr>
                  </w:pPr>
                  <w:r>
                    <w:rPr>
                      <w:rFonts w:hint="eastAsia" w:ascii="等线" w:hAnsi="等线"/>
                    </w:rPr>
                    <w:t>可以查看到所有上报的情况，包括上报成功和上报失败的数据，对上报失败的数据可以查看失败原因，并将失败的上报数据回退给填报人。</w:t>
                  </w:r>
                </w:p>
                <w:p w14:paraId="7A523F5D">
                  <w:pPr>
                    <w:pStyle w:val="131"/>
                    <w:pageBreakBefore w:val="0"/>
                    <w:widowControl w:val="0"/>
                    <w:kinsoku/>
                    <w:wordWrap/>
                    <w:overflowPunct/>
                    <w:topLinePunct w:val="0"/>
                    <w:autoSpaceDE/>
                    <w:autoSpaceDN/>
                    <w:bidi w:val="0"/>
                    <w:adjustRightInd/>
                    <w:spacing w:line="360" w:lineRule="exact"/>
                    <w:ind w:firstLine="0"/>
                    <w:textAlignment w:val="auto"/>
                    <w:rPr>
                      <w:rFonts w:hint="eastAsia"/>
                      <w:b/>
                      <w:sz w:val="24"/>
                      <w:szCs w:val="24"/>
                    </w:rPr>
                  </w:pPr>
                  <w:r>
                    <w:rPr>
                      <w:rFonts w:hint="eastAsia"/>
                      <w:b/>
                      <w:sz w:val="24"/>
                      <w:szCs w:val="24"/>
                    </w:rPr>
                    <w:t>全量查询</w:t>
                  </w:r>
                </w:p>
                <w:p w14:paraId="5A2F9B8A">
                  <w:pPr>
                    <w:pageBreakBefore w:val="0"/>
                    <w:widowControl w:val="0"/>
                    <w:kinsoku/>
                    <w:wordWrap/>
                    <w:overflowPunct/>
                    <w:topLinePunct w:val="0"/>
                    <w:autoSpaceDE/>
                    <w:autoSpaceDN/>
                    <w:bidi w:val="0"/>
                    <w:adjustRightInd/>
                    <w:spacing w:line="360" w:lineRule="exact"/>
                    <w:textAlignment w:val="auto"/>
                    <w:rPr>
                      <w:rFonts w:ascii="等线" w:hAnsi="等线"/>
                    </w:rPr>
                  </w:pPr>
                  <w:r>
                    <w:rPr>
                      <w:rFonts w:hint="eastAsia" w:ascii="等线" w:hAnsi="等线"/>
                    </w:rPr>
                    <w:t>支持以不同的条件过来所有的授权病种的相关病例，包括病人姓名、病案号、出院时间、填报科室、填报人、状态、上报时间等条件。可以支持查看漏报情况，对漏报数据及时提醒填报人填报。支持查询结果导出成excel，同时也支持查询结果中的具体病例数据导出。</w:t>
                  </w:r>
                </w:p>
                <w:p w14:paraId="63E945BF">
                  <w:pPr>
                    <w:pStyle w:val="8"/>
                    <w:pageBreakBefore w:val="0"/>
                    <w:widowControl w:val="0"/>
                    <w:kinsoku/>
                    <w:wordWrap/>
                    <w:overflowPunct/>
                    <w:topLinePunct w:val="0"/>
                    <w:autoSpaceDE/>
                    <w:autoSpaceDN/>
                    <w:bidi w:val="0"/>
                    <w:adjustRightInd/>
                    <w:spacing w:line="360" w:lineRule="exact"/>
                    <w:textAlignment w:val="auto"/>
                    <w:rPr>
                      <w:rFonts w:hint="eastAsia"/>
                    </w:rPr>
                  </w:pPr>
                  <w:r>
                    <w:rPr>
                      <w:rFonts w:hint="eastAsia"/>
                    </w:rPr>
                    <w:t>病种模板</w:t>
                  </w:r>
                </w:p>
                <w:p w14:paraId="15C95F04">
                  <w:pPr>
                    <w:pageBreakBefore w:val="0"/>
                    <w:widowControl w:val="0"/>
                    <w:kinsoku/>
                    <w:wordWrap/>
                    <w:overflowPunct/>
                    <w:topLinePunct w:val="0"/>
                    <w:autoSpaceDE/>
                    <w:autoSpaceDN/>
                    <w:bidi w:val="0"/>
                    <w:adjustRightInd/>
                    <w:spacing w:line="360" w:lineRule="exact"/>
                    <w:textAlignment w:val="auto"/>
                  </w:pPr>
                  <w:r>
                    <w:rPr>
                      <w:rFonts w:hint="eastAsia" w:ascii="等线" w:hAnsi="等线"/>
                    </w:rPr>
                    <w:t>依据国家目前发布的单病种及手术（51个病种/手术）标准，单病种模板包括基本信息、在院相关信息、入院相关信息、其他相关信息四个类别。前三类为通用属性，第四类结合专科病种上报要求进行定制。</w:t>
                  </w:r>
                  <w:r>
                    <w:rPr>
                      <w:rFonts w:hint="eastAsia"/>
                    </w:rPr>
                    <w:t>支持</w:t>
                  </w:r>
                  <w:r>
                    <w:rPr>
                      <w:rFonts w:hint="eastAsia" w:ascii="等线" w:hAnsi="等线" w:eastAsia="等线"/>
                      <w:bCs/>
                      <w:color w:val="000000"/>
                    </w:rPr>
                    <w:t>按照国家单病种平台的要求及时调整病种指标、模板相关内容，以适配国家平台。</w:t>
                  </w:r>
                  <w:r>
                    <w:rPr>
                      <w:rFonts w:hint="eastAsia"/>
                    </w:rPr>
                    <w:t>支持对病种配置过滤规则，</w:t>
                  </w:r>
                  <w:r>
                    <w:rPr>
                      <w:rFonts w:hint="eastAsia" w:ascii="等线" w:hAnsi="等线"/>
                    </w:rPr>
                    <w:t>自动筛查出符合数据进行后续的填报。支持按照标准接口的要求进行对接，获取上级平台审核结果。支持设置不同的病种逾期提醒、自动提醒、提醒数量等信息，方便管理人员对病种填报情况的跟踪。</w:t>
                  </w:r>
                </w:p>
                <w:p w14:paraId="2430304C">
                  <w:pPr>
                    <w:pStyle w:val="8"/>
                    <w:pageBreakBefore w:val="0"/>
                    <w:widowControl w:val="0"/>
                    <w:kinsoku/>
                    <w:wordWrap/>
                    <w:overflowPunct/>
                    <w:topLinePunct w:val="0"/>
                    <w:autoSpaceDE/>
                    <w:autoSpaceDN/>
                    <w:bidi w:val="0"/>
                    <w:adjustRightInd/>
                    <w:spacing w:line="360" w:lineRule="exact"/>
                    <w:textAlignment w:val="auto"/>
                  </w:pPr>
                  <w:r>
                    <w:rPr>
                      <w:rFonts w:hint="eastAsia"/>
                    </w:rPr>
                    <w:t>数据对接</w:t>
                  </w:r>
                </w:p>
                <w:p w14:paraId="69B583CF">
                  <w:pPr>
                    <w:pageBreakBefore w:val="0"/>
                    <w:widowControl w:val="0"/>
                    <w:kinsoku/>
                    <w:wordWrap/>
                    <w:overflowPunct/>
                    <w:topLinePunct w:val="0"/>
                    <w:autoSpaceDE/>
                    <w:autoSpaceDN/>
                    <w:bidi w:val="0"/>
                    <w:adjustRightInd/>
                    <w:spacing w:line="360" w:lineRule="exact"/>
                    <w:textAlignment w:val="auto"/>
                    <w:rPr>
                      <w:rFonts w:ascii="等线" w:hAnsi="等线"/>
                    </w:rPr>
                  </w:pPr>
                  <w:r>
                    <w:rPr>
                      <w:rFonts w:hint="eastAsia" w:ascii="等线" w:hAnsi="等线"/>
                    </w:rPr>
                    <w:t>平台建立系统运行所需要的数据对接。一方面与院内各系统对接，包括HIS,EMR,LIS,集成平台数据中心等，采集院内数据上报所需的数据源。</w:t>
                  </w:r>
                </w:p>
                <w:p w14:paraId="4D33B02E">
                  <w:pPr>
                    <w:pageBreakBefore w:val="0"/>
                    <w:widowControl w:val="0"/>
                    <w:kinsoku/>
                    <w:wordWrap/>
                    <w:overflowPunct/>
                    <w:topLinePunct w:val="0"/>
                    <w:autoSpaceDE/>
                    <w:autoSpaceDN/>
                    <w:bidi w:val="0"/>
                    <w:adjustRightInd/>
                    <w:spacing w:line="360" w:lineRule="exact"/>
                    <w:textAlignment w:val="auto"/>
                    <w:rPr>
                      <w:rFonts w:hint="eastAsia" w:ascii="等线" w:hAnsi="等线"/>
                    </w:rPr>
                  </w:pPr>
                  <w:r>
                    <w:rPr>
                      <w:rFonts w:hint="eastAsia" w:ascii="等线" w:hAnsi="等线"/>
                    </w:rPr>
                    <w:t>另一方面结合国家平台数据上报要求及流程，通过国家平台提供的前置机程序，与国家单病种中心进行数据对接，实现病种数据直接上报。</w:t>
                  </w:r>
                </w:p>
                <w:p w14:paraId="0A719109">
                  <w:pPr>
                    <w:pStyle w:val="8"/>
                    <w:pageBreakBefore w:val="0"/>
                    <w:widowControl w:val="0"/>
                    <w:kinsoku/>
                    <w:wordWrap/>
                    <w:overflowPunct/>
                    <w:topLinePunct w:val="0"/>
                    <w:autoSpaceDE/>
                    <w:autoSpaceDN/>
                    <w:bidi w:val="0"/>
                    <w:adjustRightInd/>
                    <w:spacing w:line="360" w:lineRule="exact"/>
                    <w:textAlignment w:val="auto"/>
                    <w:rPr>
                      <w:rFonts w:hint="eastAsia"/>
                    </w:rPr>
                  </w:pPr>
                  <w:r>
                    <w:rPr>
                      <w:rFonts w:hint="eastAsia"/>
                    </w:rPr>
                    <w:t>上报统计</w:t>
                  </w:r>
                </w:p>
                <w:p w14:paraId="1F58C32E">
                  <w:pPr>
                    <w:pageBreakBefore w:val="0"/>
                    <w:widowControl w:val="0"/>
                    <w:kinsoku/>
                    <w:wordWrap/>
                    <w:overflowPunct/>
                    <w:topLinePunct w:val="0"/>
                    <w:autoSpaceDE/>
                    <w:autoSpaceDN/>
                    <w:bidi w:val="0"/>
                    <w:adjustRightInd/>
                    <w:spacing w:line="360" w:lineRule="exact"/>
                    <w:textAlignment w:val="auto"/>
                  </w:pPr>
                  <w:r>
                    <w:t>1.</w:t>
                  </w:r>
                  <w:r>
                    <w:rPr>
                      <w:rFonts w:hint="eastAsia"/>
                    </w:rPr>
                    <w:t>支持按科室、上报时间、表单填写时间、出院时间统计已病种上报数、待上报数、应上报数、各病种上报率、上报率</w:t>
                  </w:r>
                  <w:r>
                    <w:t>&lt;80%</w:t>
                  </w:r>
                  <w:r>
                    <w:rPr>
                      <w:rFonts w:hint="eastAsia"/>
                    </w:rPr>
                    <w:t>的科室数等，并图表展示各病种上报情况。</w:t>
                  </w:r>
                </w:p>
                <w:p w14:paraId="70ACF6DF">
                  <w:pPr>
                    <w:pageBreakBefore w:val="0"/>
                    <w:widowControl w:val="0"/>
                    <w:kinsoku/>
                    <w:wordWrap/>
                    <w:overflowPunct/>
                    <w:topLinePunct w:val="0"/>
                    <w:autoSpaceDE/>
                    <w:autoSpaceDN/>
                    <w:bidi w:val="0"/>
                    <w:adjustRightInd/>
                    <w:spacing w:line="360" w:lineRule="exact"/>
                    <w:jc w:val="left"/>
                    <w:textAlignment w:val="auto"/>
                  </w:pPr>
                  <w:r>
                    <w:t>2.</w:t>
                  </w:r>
                  <w:r>
                    <w:rPr>
                      <w:rFonts w:hint="eastAsia"/>
                    </w:rPr>
                    <w:t>支持切换页面查看上报病例数据明细，按病种、科室、医生、填报时间、上报时间、出院时间、上报状态等条件查看上报情况。</w:t>
                  </w:r>
                </w:p>
                <w:p w14:paraId="52394B94">
                  <w:pPr>
                    <w:pStyle w:val="8"/>
                    <w:pageBreakBefore w:val="0"/>
                    <w:widowControl w:val="0"/>
                    <w:kinsoku/>
                    <w:wordWrap/>
                    <w:overflowPunct/>
                    <w:topLinePunct w:val="0"/>
                    <w:autoSpaceDE/>
                    <w:autoSpaceDN/>
                    <w:bidi w:val="0"/>
                    <w:adjustRightInd/>
                    <w:spacing w:line="360" w:lineRule="exact"/>
                    <w:textAlignment w:val="auto"/>
                  </w:pPr>
                  <w:r>
                    <w:rPr>
                      <w:rFonts w:hint="eastAsia"/>
                    </w:rPr>
                    <w:t>统计分析</w:t>
                  </w:r>
                </w:p>
                <w:p w14:paraId="2282E828">
                  <w:pPr>
                    <w:pageBreakBefore w:val="0"/>
                    <w:widowControl w:val="0"/>
                    <w:kinsoku/>
                    <w:wordWrap/>
                    <w:overflowPunct/>
                    <w:topLinePunct w:val="0"/>
                    <w:autoSpaceDE/>
                    <w:autoSpaceDN/>
                    <w:bidi w:val="0"/>
                    <w:adjustRightInd/>
                    <w:spacing w:line="360" w:lineRule="exact"/>
                    <w:textAlignment w:val="auto"/>
                    <w:rPr>
                      <w:rFonts w:ascii="等线" w:hAnsi="等线"/>
                    </w:rPr>
                  </w:pPr>
                  <w:r>
                    <w:rPr>
                      <w:rFonts w:hint="eastAsia" w:ascii="等线" w:hAnsi="等线"/>
                    </w:rPr>
                    <w:t>动态指标统计主要针对各类上报指标，提供多维度图形化展示。可以按照授权权限进行数据的上报情况的查询。上报分析按照不同维度进行分析：</w:t>
                  </w:r>
                </w:p>
                <w:p w14:paraId="248C93DF">
                  <w:pPr>
                    <w:pageBreakBefore w:val="0"/>
                    <w:widowControl w:val="0"/>
                    <w:kinsoku/>
                    <w:wordWrap/>
                    <w:overflowPunct/>
                    <w:topLinePunct w:val="0"/>
                    <w:autoSpaceDE/>
                    <w:autoSpaceDN/>
                    <w:bidi w:val="0"/>
                    <w:adjustRightInd/>
                    <w:spacing w:line="360" w:lineRule="exact"/>
                    <w:textAlignment w:val="auto"/>
                    <w:rPr>
                      <w:rFonts w:hint="eastAsia" w:ascii="等线" w:hAnsi="等线"/>
                    </w:rPr>
                  </w:pPr>
                  <w:r>
                    <w:rPr>
                      <w:rFonts w:hint="eastAsia" w:ascii="等线" w:hAnsi="等线"/>
                    </w:rPr>
                    <w:t>1、按科室：对上报的数据按照科室类别进行分析，支持以年月或者指定的时间范围进行查询，支持对查询结果进行导出。主要结果信息包括已上报、待审核、待填报的数量，支持按照数据升序或者降序进行排列。</w:t>
                  </w:r>
                </w:p>
                <w:p w14:paraId="6A6E0284">
                  <w:pPr>
                    <w:pageBreakBefore w:val="0"/>
                    <w:widowControl w:val="0"/>
                    <w:kinsoku/>
                    <w:wordWrap/>
                    <w:overflowPunct/>
                    <w:topLinePunct w:val="0"/>
                    <w:autoSpaceDE/>
                    <w:autoSpaceDN/>
                    <w:bidi w:val="0"/>
                    <w:adjustRightInd/>
                    <w:spacing w:line="360" w:lineRule="exact"/>
                    <w:textAlignment w:val="auto"/>
                    <w:rPr>
                      <w:rFonts w:hint="eastAsia" w:ascii="等线" w:hAnsi="等线"/>
                    </w:rPr>
                  </w:pPr>
                  <w:r>
                    <w:rPr>
                      <w:rFonts w:hint="eastAsia" w:ascii="等线" w:hAnsi="等线"/>
                    </w:rPr>
                    <w:t>2、按填报员：对上报的数据按照填报人员进行统计，支持以年月或者指定的时间范围进行查询，支持对查询结果进行导出。主要结果信息包括已上报数量，支持按照数据升序或者降序进行排列。</w:t>
                  </w:r>
                </w:p>
                <w:p w14:paraId="70FA6A1C">
                  <w:pPr>
                    <w:pageBreakBefore w:val="0"/>
                    <w:widowControl w:val="0"/>
                    <w:kinsoku/>
                    <w:wordWrap/>
                    <w:overflowPunct/>
                    <w:topLinePunct w:val="0"/>
                    <w:autoSpaceDE/>
                    <w:autoSpaceDN/>
                    <w:bidi w:val="0"/>
                    <w:adjustRightInd/>
                    <w:spacing w:line="360" w:lineRule="exact"/>
                    <w:textAlignment w:val="auto"/>
                    <w:rPr>
                      <w:rFonts w:hint="eastAsia" w:ascii="等线" w:hAnsi="等线"/>
                    </w:rPr>
                  </w:pPr>
                  <w:r>
                    <w:rPr>
                      <w:rFonts w:hint="eastAsia" w:ascii="等线" w:hAnsi="等线"/>
                    </w:rPr>
                    <w:t>3、按病种：对上报的数据按照病种名称进行分析，支持以年月或者指定的时间范围进行查询，支持对查询结果进行导出。主要结果信息包括已上报、待审核、待填报的数量，支持按照数据升序或者降序进行排列。</w:t>
                  </w:r>
                </w:p>
                <w:p w14:paraId="2324E5D4">
                  <w:pPr>
                    <w:pageBreakBefore w:val="0"/>
                    <w:widowControl w:val="0"/>
                    <w:kinsoku/>
                    <w:wordWrap/>
                    <w:overflowPunct/>
                    <w:topLinePunct w:val="0"/>
                    <w:autoSpaceDE/>
                    <w:autoSpaceDN/>
                    <w:bidi w:val="0"/>
                    <w:adjustRightInd/>
                    <w:spacing w:line="360" w:lineRule="exact"/>
                    <w:textAlignment w:val="auto"/>
                    <w:rPr>
                      <w:rFonts w:hint="eastAsia"/>
                    </w:rPr>
                  </w:pPr>
                  <w:r>
                    <w:rPr>
                      <w:rFonts w:hint="eastAsia" w:ascii="等线" w:hAnsi="等线"/>
                    </w:rPr>
                    <w:t>4、按科室病种：对上报的数据按照科室病种进行分析，支持以年月或者指定的时间范围进行查询，支持对查询结果进行导出。主要结果信息包括科室名称、病种名称、已上报、待审核、待填报的数量，支持按照数据升序或者降序进行排列。</w:t>
                  </w:r>
                </w:p>
                <w:p w14:paraId="6B7F1D70">
                  <w:pPr>
                    <w:pStyle w:val="8"/>
                    <w:pageBreakBefore w:val="0"/>
                    <w:widowControl w:val="0"/>
                    <w:kinsoku/>
                    <w:wordWrap/>
                    <w:overflowPunct/>
                    <w:topLinePunct w:val="0"/>
                    <w:autoSpaceDE/>
                    <w:autoSpaceDN/>
                    <w:bidi w:val="0"/>
                    <w:adjustRightInd/>
                    <w:spacing w:line="360" w:lineRule="exact"/>
                    <w:textAlignment w:val="auto"/>
                  </w:pPr>
                  <w:r>
                    <w:rPr>
                      <w:rFonts w:hint="eastAsia"/>
                    </w:rPr>
                    <w:t>图表分析</w:t>
                  </w:r>
                </w:p>
                <w:p w14:paraId="484A891B">
                  <w:pPr>
                    <w:pageBreakBefore w:val="0"/>
                    <w:widowControl w:val="0"/>
                    <w:kinsoku/>
                    <w:wordWrap/>
                    <w:overflowPunct/>
                    <w:topLinePunct w:val="0"/>
                    <w:autoSpaceDE/>
                    <w:autoSpaceDN/>
                    <w:bidi w:val="0"/>
                    <w:adjustRightInd/>
                    <w:spacing w:line="360" w:lineRule="exact"/>
                    <w:textAlignment w:val="auto"/>
                  </w:pPr>
                  <w:r>
                    <w:rPr>
                      <w:rFonts w:hint="eastAsia"/>
                    </w:rPr>
                    <w:t>根据动态指标统计生成动态图表，系统预置以下类型的图表：折线图、柱状图、饼图、散点图、地理图、树图等，且图形模板支持动态添加，支持新类型的图形可以直接通过图形模板模块动态添加的方式，减少程序的改造，提供应用效率。</w:t>
                  </w:r>
                </w:p>
                <w:p w14:paraId="201005E4">
                  <w:pPr>
                    <w:pStyle w:val="8"/>
                    <w:pageBreakBefore w:val="0"/>
                    <w:widowControl w:val="0"/>
                    <w:kinsoku/>
                    <w:wordWrap/>
                    <w:overflowPunct/>
                    <w:topLinePunct w:val="0"/>
                    <w:autoSpaceDE/>
                    <w:autoSpaceDN/>
                    <w:bidi w:val="0"/>
                    <w:adjustRightInd/>
                    <w:spacing w:line="360" w:lineRule="exact"/>
                    <w:textAlignment w:val="auto"/>
                  </w:pPr>
                  <w:r>
                    <w:rPr>
                      <w:rFonts w:hint="eastAsia"/>
                    </w:rPr>
                    <w:t>上报审批管理</w:t>
                  </w:r>
                </w:p>
                <w:p w14:paraId="64C76C53">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建立审批流程，加强各项上报数据审批运行管理，理清步骤、分清责任、明确审批权限及操作时限，提高工作效率，实现审批流程价值的最大化。</w:t>
                  </w:r>
                </w:p>
                <w:p w14:paraId="79ED64C5">
                  <w:pPr>
                    <w:pStyle w:val="8"/>
                    <w:pageBreakBefore w:val="0"/>
                    <w:widowControl w:val="0"/>
                    <w:kinsoku/>
                    <w:wordWrap/>
                    <w:overflowPunct/>
                    <w:topLinePunct w:val="0"/>
                    <w:autoSpaceDE/>
                    <w:autoSpaceDN/>
                    <w:bidi w:val="0"/>
                    <w:adjustRightInd/>
                    <w:spacing w:line="360" w:lineRule="exact"/>
                    <w:textAlignment w:val="auto"/>
                  </w:pPr>
                  <w:r>
                    <w:rPr>
                      <w:rFonts w:hint="eastAsia"/>
                    </w:rPr>
                    <w:t>上报任务管理</w:t>
                  </w:r>
                </w:p>
                <w:p w14:paraId="4E3ACBCF">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在数据上报过程中，如需在某个特定的时间节点，以及周期性的时间节点上报数据，</w:t>
                  </w:r>
                  <w:r>
                    <w:rPr>
                      <w:rFonts w:hint="eastAsia"/>
                      <w:lang w:val="zh-CN"/>
                    </w:rPr>
                    <w:t>支持通过定时任务进行数据上报，</w:t>
                  </w:r>
                  <w:r>
                    <w:rPr>
                      <w:rFonts w:hint="eastAsia"/>
                    </w:rPr>
                    <w:t>从而简化人工手动操作，极大提高数据上报工作效率。针对部分上报失败的数据，也可通过配置定时器调度，进行失败数据的二次上传。平台支持灵活配置定时器，如每分、每时、每日、每月或指定某一时间执行任务。</w:t>
                  </w:r>
                </w:p>
                <w:p w14:paraId="2DBB7696">
                  <w:pPr>
                    <w:pStyle w:val="8"/>
                    <w:pageBreakBefore w:val="0"/>
                    <w:widowControl w:val="0"/>
                    <w:kinsoku/>
                    <w:wordWrap/>
                    <w:overflowPunct/>
                    <w:topLinePunct w:val="0"/>
                    <w:autoSpaceDE/>
                    <w:autoSpaceDN/>
                    <w:bidi w:val="0"/>
                    <w:adjustRightInd/>
                    <w:spacing w:line="360" w:lineRule="exact"/>
                    <w:textAlignment w:val="auto"/>
                  </w:pPr>
                  <w:r>
                    <w:rPr>
                      <w:rFonts w:hint="eastAsia"/>
                    </w:rPr>
                    <w:t>上报状态管理</w:t>
                  </w:r>
                </w:p>
                <w:p w14:paraId="771267F1">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为了确保采集的医疗机构相关数据上报成功，准确、无误地完成数据上报工作，加以状态对上报机构、上报模型、上报数据进行标识，有效统一维护管理上报工作进度。</w:t>
                  </w:r>
                </w:p>
                <w:p w14:paraId="45513AA0">
                  <w:pPr>
                    <w:pStyle w:val="8"/>
                    <w:pageBreakBefore w:val="0"/>
                    <w:widowControl w:val="0"/>
                    <w:kinsoku/>
                    <w:wordWrap/>
                    <w:overflowPunct/>
                    <w:topLinePunct w:val="0"/>
                    <w:autoSpaceDE/>
                    <w:autoSpaceDN/>
                    <w:bidi w:val="0"/>
                    <w:adjustRightInd/>
                    <w:spacing w:line="360" w:lineRule="exact"/>
                    <w:textAlignment w:val="auto"/>
                  </w:pPr>
                  <w:r>
                    <w:rPr>
                      <w:rFonts w:hint="eastAsia"/>
                    </w:rPr>
                    <w:t>上报机构状态</w:t>
                  </w:r>
                </w:p>
                <w:p w14:paraId="42666C99">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上报机构状态包括上报中、上报成功、部分成功、上报失败，同时支持查看近段时间内已经操作过的上报数据，包括上报时间、上报耗时、上报数量等内容。</w:t>
                  </w:r>
                </w:p>
                <w:p w14:paraId="02C3BEB7">
                  <w:pPr>
                    <w:pStyle w:val="8"/>
                    <w:pageBreakBefore w:val="0"/>
                    <w:widowControl w:val="0"/>
                    <w:kinsoku/>
                    <w:wordWrap/>
                    <w:overflowPunct/>
                    <w:topLinePunct w:val="0"/>
                    <w:autoSpaceDE/>
                    <w:autoSpaceDN/>
                    <w:bidi w:val="0"/>
                    <w:adjustRightInd/>
                    <w:spacing w:line="360" w:lineRule="exact"/>
                    <w:textAlignment w:val="auto"/>
                  </w:pPr>
                  <w:r>
                    <w:rPr>
                      <w:rFonts w:hint="eastAsia"/>
                    </w:rPr>
                    <w:t>上报模型状态</w:t>
                  </w:r>
                </w:p>
                <w:p w14:paraId="1978399E">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上报模型状态包括采集中、采集成功、采集失败、等待审批，同时支持查看近段时间内已经采集过的业务数据，包括采集时间、采集耗时、采集数量等内容。</w:t>
                  </w:r>
                </w:p>
                <w:p w14:paraId="43169ECA">
                  <w:pPr>
                    <w:pStyle w:val="8"/>
                    <w:pageBreakBefore w:val="0"/>
                    <w:widowControl w:val="0"/>
                    <w:kinsoku/>
                    <w:wordWrap/>
                    <w:overflowPunct/>
                    <w:topLinePunct w:val="0"/>
                    <w:autoSpaceDE/>
                    <w:autoSpaceDN/>
                    <w:bidi w:val="0"/>
                    <w:adjustRightInd/>
                    <w:spacing w:line="360" w:lineRule="exact"/>
                    <w:textAlignment w:val="auto"/>
                  </w:pPr>
                  <w:r>
                    <w:rPr>
                      <w:rFonts w:hint="eastAsia"/>
                    </w:rPr>
                    <w:t>上报数据状态</w:t>
                  </w:r>
                </w:p>
                <w:p w14:paraId="193D43FB">
                  <w:pPr>
                    <w:pStyle w:val="131"/>
                    <w:pageBreakBefore w:val="0"/>
                    <w:widowControl w:val="0"/>
                    <w:kinsoku/>
                    <w:wordWrap/>
                    <w:overflowPunct/>
                    <w:topLinePunct w:val="0"/>
                    <w:autoSpaceDE/>
                    <w:autoSpaceDN/>
                    <w:bidi w:val="0"/>
                    <w:adjustRightInd/>
                    <w:spacing w:line="360" w:lineRule="exact"/>
                    <w:ind w:firstLine="0"/>
                    <w:textAlignment w:val="auto"/>
                    <w:rPr>
                      <w:rFonts w:ascii="宋体" w:hAnsi="宋体" w:cs="宋体"/>
                      <w:szCs w:val="21"/>
                    </w:rPr>
                  </w:pPr>
                  <w:r>
                    <w:rPr>
                      <w:rFonts w:hint="eastAsia"/>
                    </w:rPr>
                    <w:t>上报数据状态包括已上报和未上报，同时支持查看当前展示的所有上报数据的实际状态，方便统一上报管理。</w:t>
                  </w:r>
                </w:p>
              </w:tc>
            </w:tr>
            <w:tr w14:paraId="2620D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3" w:type="dxa"/>
                  <w:vMerge w:val="continue"/>
                  <w:tcBorders>
                    <w:top w:val="single" w:color="auto" w:sz="4" w:space="0"/>
                    <w:left w:val="single" w:color="auto" w:sz="4" w:space="0"/>
                    <w:bottom w:val="single" w:color="auto" w:sz="4" w:space="0"/>
                    <w:right w:val="single" w:color="auto" w:sz="4" w:space="0"/>
                  </w:tcBorders>
                  <w:noWrap w:val="0"/>
                  <w:vAlign w:val="center"/>
                </w:tcPr>
                <w:p w14:paraId="674C450E">
                  <w:pPr>
                    <w:widowControl/>
                    <w:jc w:val="left"/>
                    <w:rPr>
                      <w:rFonts w:ascii="宋体" w:hAnsi="宋体" w:cs="宋体"/>
                      <w:b/>
                      <w:color w:val="000000"/>
                      <w:sz w:val="20"/>
                      <w:szCs w:val="20"/>
                    </w:rPr>
                  </w:pPr>
                </w:p>
              </w:tc>
              <w:tc>
                <w:tcPr>
                  <w:tcW w:w="804" w:type="dxa"/>
                  <w:vMerge w:val="continue"/>
                  <w:tcBorders>
                    <w:top w:val="single" w:color="auto" w:sz="4" w:space="0"/>
                    <w:left w:val="single" w:color="auto" w:sz="4" w:space="0"/>
                    <w:bottom w:val="single" w:color="auto" w:sz="4" w:space="0"/>
                    <w:right w:val="single" w:color="auto" w:sz="4" w:space="0"/>
                  </w:tcBorders>
                  <w:noWrap w:val="0"/>
                  <w:vAlign w:val="center"/>
                </w:tcPr>
                <w:p w14:paraId="2D1631D7">
                  <w:pPr>
                    <w:widowControl/>
                    <w:jc w:val="left"/>
                    <w:rPr>
                      <w:rFonts w:ascii="宋体" w:hAnsi="宋体" w:cs="宋体"/>
                      <w:color w:val="000000"/>
                      <w:sz w:val="21"/>
                      <w:szCs w:val="21"/>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49575264">
                  <w:pPr>
                    <w:pageBreakBefore w:val="0"/>
                    <w:widowControl w:val="0"/>
                    <w:kinsoku/>
                    <w:wordWrap/>
                    <w:overflowPunct/>
                    <w:topLinePunct w:val="0"/>
                    <w:autoSpaceDE/>
                    <w:autoSpaceDN/>
                    <w:bidi w:val="0"/>
                    <w:adjustRightInd/>
                    <w:spacing w:line="360" w:lineRule="exact"/>
                    <w:textAlignment w:val="auto"/>
                    <w:rPr>
                      <w:rFonts w:ascii="宋体" w:hAnsi="宋体" w:cs="宋体"/>
                      <w:color w:val="000000"/>
                      <w:sz w:val="21"/>
                      <w:szCs w:val="21"/>
                    </w:rPr>
                  </w:pPr>
                  <w:r>
                    <w:rPr>
                      <w:rFonts w:hint="eastAsia"/>
                      <w:color w:val="000000"/>
                      <w:sz w:val="21"/>
                      <w:szCs w:val="21"/>
                    </w:rPr>
                    <w:t>手术分级管理</w:t>
                  </w:r>
                </w:p>
              </w:tc>
              <w:tc>
                <w:tcPr>
                  <w:tcW w:w="7748" w:type="dxa"/>
                  <w:tcBorders>
                    <w:top w:val="single" w:color="auto" w:sz="4" w:space="0"/>
                    <w:left w:val="single" w:color="auto" w:sz="4" w:space="0"/>
                    <w:bottom w:val="single" w:color="auto" w:sz="4" w:space="0"/>
                    <w:right w:val="single" w:color="auto" w:sz="4" w:space="0"/>
                  </w:tcBorders>
                  <w:noWrap/>
                  <w:vAlign w:val="center"/>
                </w:tcPr>
                <w:p w14:paraId="5EB532B7">
                  <w:pPr>
                    <w:pStyle w:val="7"/>
                    <w:pageBreakBefore w:val="0"/>
                    <w:widowControl w:val="0"/>
                    <w:kinsoku/>
                    <w:wordWrap/>
                    <w:overflowPunct/>
                    <w:topLinePunct w:val="0"/>
                    <w:autoSpaceDE/>
                    <w:autoSpaceDN/>
                    <w:bidi w:val="0"/>
                    <w:adjustRightInd/>
                    <w:spacing w:line="360" w:lineRule="exact"/>
                    <w:textAlignment w:val="auto"/>
                    <w:rPr>
                      <w:rFonts w:ascii="Calibri"/>
                      <w:sz w:val="21"/>
                    </w:rPr>
                  </w:pPr>
                  <w:r>
                    <w:rPr>
                      <w:rFonts w:hint="eastAsia"/>
                    </w:rPr>
                    <w:t>手术分级管理系统</w:t>
                  </w:r>
                </w:p>
                <w:p w14:paraId="12BE3F00">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以手术分级目录为基础，为具有不同专业技术职务任职资格的手术医生授予相应的手术权限，在手术申请流程中实现分级审批，保障手术安全进行。具体功能包括：手术等级设置、手术分级授权、手术级别管理、分级审批管理等。</w:t>
                  </w:r>
                </w:p>
                <w:p w14:paraId="3566CF43">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手术等级设置</w:t>
                  </w:r>
                </w:p>
                <w:p w14:paraId="6A31C308">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根据医疗机构级别和登记的诊疗科目，遵循国家、地方级的手术分级标准及</w:t>
                  </w:r>
                  <w:r>
                    <w:t>ICD-10</w:t>
                  </w:r>
                  <w:r>
                    <w:rPr>
                      <w:rFonts w:hint="eastAsia"/>
                    </w:rPr>
                    <w:t>手术编码设置不同的手术等级。</w:t>
                  </w:r>
                </w:p>
                <w:p w14:paraId="280FADEE">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手术分级授权</w:t>
                  </w:r>
                </w:p>
                <w:p w14:paraId="448F0EC3">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支持按医生的手术等级自动进行手术分级授权，支持手术分级授权的新增、修改、删除、查询等功能。</w:t>
                  </w:r>
                </w:p>
                <w:p w14:paraId="3DD6268A">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手术级别管理</w:t>
                  </w:r>
                </w:p>
                <w:p w14:paraId="6402F6F9">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开具手术申请单时，支持根据主刀医生配置手术等级，控制医生的手术权限。</w:t>
                  </w:r>
                </w:p>
                <w:p w14:paraId="555509C9">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分级审批管理</w:t>
                  </w:r>
                </w:p>
                <w:p w14:paraId="4EBA7015">
                  <w:pPr>
                    <w:pStyle w:val="131"/>
                    <w:pageBreakBefore w:val="0"/>
                    <w:widowControl w:val="0"/>
                    <w:kinsoku/>
                    <w:wordWrap/>
                    <w:overflowPunct/>
                    <w:topLinePunct w:val="0"/>
                    <w:autoSpaceDE/>
                    <w:autoSpaceDN/>
                    <w:bidi w:val="0"/>
                    <w:adjustRightInd/>
                    <w:spacing w:line="360" w:lineRule="exact"/>
                    <w:ind w:firstLine="0"/>
                    <w:textAlignment w:val="auto"/>
                    <w:rPr>
                      <w:rFonts w:ascii="宋体" w:hAnsi="宋体" w:cs="宋体"/>
                      <w:szCs w:val="21"/>
                    </w:rPr>
                  </w:pPr>
                  <w:r>
                    <w:rPr>
                      <w:rFonts w:hint="eastAsia"/>
                    </w:rPr>
                    <w:t>支持对不同级别手术由不同级别医生进行审批，支持对资格准入手术、高度风险手术、急诊手术、新技术新项目科研手术等特殊手术分级审批。</w:t>
                  </w:r>
                </w:p>
              </w:tc>
            </w:tr>
            <w:tr w14:paraId="171AD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3" w:type="dxa"/>
                  <w:vMerge w:val="continue"/>
                  <w:tcBorders>
                    <w:top w:val="single" w:color="auto" w:sz="4" w:space="0"/>
                    <w:left w:val="single" w:color="auto" w:sz="4" w:space="0"/>
                    <w:bottom w:val="single" w:color="auto" w:sz="4" w:space="0"/>
                    <w:right w:val="single" w:color="auto" w:sz="4" w:space="0"/>
                  </w:tcBorders>
                  <w:noWrap w:val="0"/>
                  <w:vAlign w:val="center"/>
                </w:tcPr>
                <w:p w14:paraId="099E2023">
                  <w:pPr>
                    <w:widowControl/>
                    <w:jc w:val="left"/>
                    <w:rPr>
                      <w:rFonts w:ascii="宋体" w:hAnsi="宋体" w:cs="宋体"/>
                      <w:b/>
                      <w:color w:val="000000"/>
                      <w:sz w:val="20"/>
                      <w:szCs w:val="20"/>
                    </w:rPr>
                  </w:pPr>
                </w:p>
              </w:tc>
              <w:tc>
                <w:tcPr>
                  <w:tcW w:w="804" w:type="dxa"/>
                  <w:vMerge w:val="continue"/>
                  <w:tcBorders>
                    <w:top w:val="single" w:color="auto" w:sz="4" w:space="0"/>
                    <w:left w:val="single" w:color="auto" w:sz="4" w:space="0"/>
                    <w:bottom w:val="single" w:color="auto" w:sz="4" w:space="0"/>
                    <w:right w:val="single" w:color="auto" w:sz="4" w:space="0"/>
                  </w:tcBorders>
                  <w:noWrap w:val="0"/>
                  <w:vAlign w:val="center"/>
                </w:tcPr>
                <w:p w14:paraId="68C80E57">
                  <w:pPr>
                    <w:widowControl/>
                    <w:jc w:val="left"/>
                    <w:rPr>
                      <w:rFonts w:ascii="宋体" w:hAnsi="宋体" w:cs="宋体"/>
                      <w:color w:val="000000"/>
                      <w:sz w:val="21"/>
                      <w:szCs w:val="21"/>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41F30871">
                  <w:pPr>
                    <w:pageBreakBefore w:val="0"/>
                    <w:widowControl w:val="0"/>
                    <w:kinsoku/>
                    <w:wordWrap/>
                    <w:overflowPunct/>
                    <w:topLinePunct w:val="0"/>
                    <w:autoSpaceDE/>
                    <w:autoSpaceDN/>
                    <w:bidi w:val="0"/>
                    <w:adjustRightInd/>
                    <w:spacing w:line="360" w:lineRule="exact"/>
                    <w:textAlignment w:val="auto"/>
                    <w:rPr>
                      <w:rFonts w:ascii="宋体" w:hAnsi="宋体" w:cs="宋体"/>
                      <w:color w:val="000000"/>
                      <w:sz w:val="21"/>
                      <w:szCs w:val="21"/>
                    </w:rPr>
                  </w:pPr>
                  <w:r>
                    <w:rPr>
                      <w:rFonts w:hint="eastAsia"/>
                      <w:color w:val="000000"/>
                      <w:sz w:val="21"/>
                      <w:szCs w:val="21"/>
                    </w:rPr>
                    <w:t>危急值管理</w:t>
                  </w:r>
                </w:p>
              </w:tc>
              <w:tc>
                <w:tcPr>
                  <w:tcW w:w="7748" w:type="dxa"/>
                  <w:tcBorders>
                    <w:top w:val="single" w:color="auto" w:sz="4" w:space="0"/>
                    <w:left w:val="single" w:color="auto" w:sz="4" w:space="0"/>
                    <w:bottom w:val="single" w:color="auto" w:sz="4" w:space="0"/>
                    <w:right w:val="single" w:color="auto" w:sz="4" w:space="0"/>
                  </w:tcBorders>
                  <w:noWrap/>
                  <w:vAlign w:val="center"/>
                </w:tcPr>
                <w:p w14:paraId="3B33D1B1">
                  <w:pPr>
                    <w:pStyle w:val="7"/>
                    <w:pageBreakBefore w:val="0"/>
                    <w:widowControl w:val="0"/>
                    <w:kinsoku/>
                    <w:wordWrap/>
                    <w:overflowPunct/>
                    <w:topLinePunct w:val="0"/>
                    <w:autoSpaceDE/>
                    <w:autoSpaceDN/>
                    <w:bidi w:val="0"/>
                    <w:adjustRightInd/>
                    <w:spacing w:line="360" w:lineRule="exact"/>
                    <w:textAlignment w:val="auto"/>
                    <w:rPr>
                      <w:rFonts w:ascii="Calibri"/>
                      <w:sz w:val="21"/>
                    </w:rPr>
                  </w:pPr>
                  <w:r>
                    <w:rPr>
                      <w:rFonts w:hint="eastAsia"/>
                    </w:rPr>
                    <w:t>危急值管理系统</w:t>
                  </w:r>
                </w:p>
                <w:p w14:paraId="5D06D466">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在患者的检查、检验结果出现表明患者可能正处于有生命危险的边缘状态时，支持对危急值数据进行智能提醒并及时将检验、检查信息通知于临床科室医生，提示临床医生迅速给予患者进行有效的干预措施或治疗，并对危急值传报过程实现全流程追溯。具体功能包括：危急值提示、临床干预反馈、危急值追溯等。</w:t>
                  </w:r>
                </w:p>
                <w:p w14:paraId="77210F72">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危急值提示</w:t>
                  </w:r>
                </w:p>
                <w:p w14:paraId="79C3AF7E">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在接收危急值消息时支持按照最高等级消息使用霸屏方式进行提示以确保医生能够及时看到危急值，危急值不处理则提示无法关闭。</w:t>
                  </w:r>
                </w:p>
                <w:p w14:paraId="54CA1884">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临床干预反馈</w:t>
                  </w:r>
                </w:p>
                <w:p w14:paraId="55C88304">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医生在接收到危急值通知后，可在规定时间内做出对患者处置的诊疗意见，进行危急值处理登记，并自动生成危急值处理病程记录，结束危急值通知。如医生复查确认危急值报告结果不当，可通知医技部门相关人员取消危急值报告。</w:t>
                  </w:r>
                </w:p>
                <w:p w14:paraId="0206DBA7">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危急值追溯</w:t>
                  </w:r>
                </w:p>
                <w:p w14:paraId="0C894E8E">
                  <w:pPr>
                    <w:pStyle w:val="131"/>
                    <w:pageBreakBefore w:val="0"/>
                    <w:widowControl w:val="0"/>
                    <w:kinsoku/>
                    <w:wordWrap/>
                    <w:overflowPunct/>
                    <w:topLinePunct w:val="0"/>
                    <w:autoSpaceDE/>
                    <w:autoSpaceDN/>
                    <w:bidi w:val="0"/>
                    <w:adjustRightInd/>
                    <w:spacing w:line="360" w:lineRule="exact"/>
                    <w:ind w:firstLine="0"/>
                    <w:textAlignment w:val="auto"/>
                    <w:rPr>
                      <w:rFonts w:ascii="宋体" w:hAnsi="宋体" w:cs="宋体"/>
                      <w:szCs w:val="21"/>
                    </w:rPr>
                  </w:pPr>
                  <w:r>
                    <w:rPr>
                      <w:rFonts w:hint="eastAsia"/>
                    </w:rPr>
                    <w:t>各临床科室、医技科室按照危急值管理部门的相关规定，对危急值处理的过程和相关信息做详细记录，支持危急值管理部门对危急值传报全流程进行追溯。</w:t>
                  </w:r>
                </w:p>
              </w:tc>
            </w:tr>
            <w:tr w14:paraId="66006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3" w:type="dxa"/>
                  <w:vMerge w:val="continue"/>
                  <w:tcBorders>
                    <w:top w:val="single" w:color="auto" w:sz="4" w:space="0"/>
                    <w:left w:val="single" w:color="auto" w:sz="4" w:space="0"/>
                    <w:bottom w:val="single" w:color="auto" w:sz="4" w:space="0"/>
                    <w:right w:val="single" w:color="auto" w:sz="4" w:space="0"/>
                  </w:tcBorders>
                  <w:noWrap w:val="0"/>
                  <w:vAlign w:val="center"/>
                </w:tcPr>
                <w:p w14:paraId="020FB33F">
                  <w:pPr>
                    <w:widowControl/>
                    <w:jc w:val="left"/>
                    <w:rPr>
                      <w:rFonts w:ascii="宋体" w:hAnsi="宋体" w:cs="宋体"/>
                      <w:b/>
                      <w:color w:val="000000"/>
                      <w:sz w:val="20"/>
                      <w:szCs w:val="20"/>
                    </w:rPr>
                  </w:pPr>
                </w:p>
              </w:tc>
              <w:tc>
                <w:tcPr>
                  <w:tcW w:w="804" w:type="dxa"/>
                  <w:vMerge w:val="restart"/>
                  <w:tcBorders>
                    <w:top w:val="single" w:color="auto" w:sz="4" w:space="0"/>
                    <w:left w:val="single" w:color="auto" w:sz="4" w:space="0"/>
                    <w:bottom w:val="single" w:color="auto" w:sz="4" w:space="0"/>
                    <w:right w:val="single" w:color="auto" w:sz="4" w:space="0"/>
                  </w:tcBorders>
                  <w:noWrap w:val="0"/>
                  <w:vAlign w:val="center"/>
                </w:tcPr>
                <w:p w14:paraId="66CB5D4F">
                  <w:pPr>
                    <w:rPr>
                      <w:rFonts w:ascii="宋体" w:hAnsi="宋体" w:cs="宋体"/>
                      <w:color w:val="000000"/>
                      <w:sz w:val="21"/>
                      <w:szCs w:val="21"/>
                    </w:rPr>
                  </w:pPr>
                  <w:r>
                    <w:rPr>
                      <w:rFonts w:hint="eastAsia"/>
                      <w:color w:val="000000"/>
                      <w:sz w:val="21"/>
                      <w:szCs w:val="21"/>
                    </w:rPr>
                    <w:t>药事管理</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13E4AF84">
                  <w:pPr>
                    <w:pageBreakBefore w:val="0"/>
                    <w:widowControl w:val="0"/>
                    <w:kinsoku/>
                    <w:wordWrap/>
                    <w:overflowPunct/>
                    <w:topLinePunct w:val="0"/>
                    <w:autoSpaceDE/>
                    <w:autoSpaceDN/>
                    <w:bidi w:val="0"/>
                    <w:adjustRightInd/>
                    <w:spacing w:line="360" w:lineRule="exact"/>
                    <w:textAlignment w:val="auto"/>
                    <w:rPr>
                      <w:rFonts w:ascii="宋体" w:hAnsi="宋体" w:cs="宋体"/>
                      <w:color w:val="000000"/>
                      <w:sz w:val="21"/>
                      <w:szCs w:val="21"/>
                    </w:rPr>
                  </w:pPr>
                  <w:r>
                    <w:rPr>
                      <w:rFonts w:hint="eastAsia"/>
                      <w:color w:val="000000"/>
                      <w:sz w:val="21"/>
                      <w:szCs w:val="21"/>
                    </w:rPr>
                    <w:t>发药管理</w:t>
                  </w:r>
                </w:p>
              </w:tc>
              <w:tc>
                <w:tcPr>
                  <w:tcW w:w="7748" w:type="dxa"/>
                  <w:tcBorders>
                    <w:top w:val="single" w:color="auto" w:sz="4" w:space="0"/>
                    <w:left w:val="single" w:color="auto" w:sz="4" w:space="0"/>
                    <w:bottom w:val="single" w:color="auto" w:sz="4" w:space="0"/>
                    <w:right w:val="single" w:color="auto" w:sz="4" w:space="0"/>
                  </w:tcBorders>
                  <w:noWrap/>
                  <w:vAlign w:val="center"/>
                </w:tcPr>
                <w:p w14:paraId="7F14378C">
                  <w:pPr>
                    <w:pStyle w:val="7"/>
                    <w:pageBreakBefore w:val="0"/>
                    <w:widowControl w:val="0"/>
                    <w:kinsoku/>
                    <w:wordWrap/>
                    <w:overflowPunct/>
                    <w:topLinePunct w:val="0"/>
                    <w:autoSpaceDE/>
                    <w:autoSpaceDN/>
                    <w:bidi w:val="0"/>
                    <w:adjustRightInd/>
                    <w:spacing w:line="360" w:lineRule="exact"/>
                    <w:textAlignment w:val="auto"/>
                    <w:rPr>
                      <w:rFonts w:ascii="Calibri"/>
                      <w:sz w:val="21"/>
                    </w:rPr>
                  </w:pPr>
                  <w:r>
                    <w:rPr>
                      <w:rFonts w:hint="eastAsia"/>
                    </w:rPr>
                    <w:t>门诊发药管理系统</w:t>
                  </w:r>
                </w:p>
                <w:p w14:paraId="2922AD07">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实现各药房发药流程以及退药等功能管理，支持与自动发药机进行对接，确保用药安全，实现药品的可追溯。具体功能包括：门诊自动接单，门诊发药，门诊退药等功能</w:t>
                  </w:r>
                </w:p>
                <w:p w14:paraId="2171ECF5">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门诊自动接单</w:t>
                  </w:r>
                </w:p>
                <w:p w14:paraId="757B7B03">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患者结算后，药房自动获取待发药的处方，药师根据获取的处方取相应的药品提供给前台发药窗口，系统支持自动获取处方的同时自动打印票据等信息。</w:t>
                  </w:r>
                </w:p>
                <w:p w14:paraId="7F517588">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门诊手动接单发药</w:t>
                  </w:r>
                </w:p>
                <w:p w14:paraId="384AA344">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系统针对异常情况，例如发药机故障无法自动发药，系统提供手动接单发药的功能，当自动接单发药系统异常后，患者可以到手动发药窗口排队取药。</w:t>
                  </w:r>
                </w:p>
                <w:p w14:paraId="276231D0">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门诊摆药重制</w:t>
                  </w:r>
                </w:p>
                <w:p w14:paraId="29DB5B88">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如果出现处方票据、瓶签打印异常，系统支持重制票据、瓶签等内容。</w:t>
                  </w:r>
                </w:p>
                <w:p w14:paraId="0EAFB8EB">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门诊退药处理</w:t>
                  </w:r>
                </w:p>
                <w:p w14:paraId="4B526AE2">
                  <w:pPr>
                    <w:pStyle w:val="131"/>
                    <w:pageBreakBefore w:val="0"/>
                    <w:widowControl w:val="0"/>
                    <w:kinsoku/>
                    <w:wordWrap/>
                    <w:overflowPunct/>
                    <w:topLinePunct w:val="0"/>
                    <w:autoSpaceDE/>
                    <w:autoSpaceDN/>
                    <w:bidi w:val="0"/>
                    <w:adjustRightInd/>
                    <w:spacing w:line="360" w:lineRule="exact"/>
                    <w:ind w:firstLine="0"/>
                    <w:textAlignment w:val="auto"/>
                  </w:pPr>
                  <w:r>
                    <w:t>1.</w:t>
                  </w:r>
                  <w:r>
                    <w:rPr>
                      <w:rFonts w:hint="eastAsia"/>
                    </w:rPr>
                    <w:t>门诊退药开单执行</w:t>
                  </w:r>
                </w:p>
                <w:p w14:paraId="795A320D">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针对门诊退药的场景，系统提供对应的完备的功能模块，并针对结算未取药、已取药的患者，提供相应的便捷流程。</w:t>
                  </w:r>
                </w:p>
                <w:p w14:paraId="724B9B9D">
                  <w:pPr>
                    <w:pStyle w:val="131"/>
                    <w:pageBreakBefore w:val="0"/>
                    <w:widowControl w:val="0"/>
                    <w:kinsoku/>
                    <w:wordWrap/>
                    <w:overflowPunct/>
                    <w:topLinePunct w:val="0"/>
                    <w:autoSpaceDE/>
                    <w:autoSpaceDN/>
                    <w:bidi w:val="0"/>
                    <w:adjustRightInd/>
                    <w:spacing w:line="360" w:lineRule="exact"/>
                    <w:ind w:firstLine="0"/>
                    <w:textAlignment w:val="auto"/>
                  </w:pPr>
                  <w:r>
                    <w:t>2.</w:t>
                  </w:r>
                  <w:r>
                    <w:rPr>
                      <w:rFonts w:hint="eastAsia"/>
                    </w:rPr>
                    <w:t>门诊窗口退费</w:t>
                  </w:r>
                </w:p>
                <w:p w14:paraId="0D64EF21">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患者执行退药后，退费数据更新已执行的退药金额，患者可以到收费窗口办理退费。</w:t>
                  </w:r>
                </w:p>
                <w:p w14:paraId="3429247B">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门诊发药工作量统计</w:t>
                  </w:r>
                </w:p>
                <w:p w14:paraId="270EA86B">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系统支持统计药师的工作量，可检索药师在某个时间段内发药数量情况。</w:t>
                  </w:r>
                </w:p>
                <w:p w14:paraId="6E7976C1">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住院配药管理系统</w:t>
                  </w:r>
                </w:p>
                <w:p w14:paraId="0E04FB80">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实现住院药品发药流程管理以及退药等功能管理，支持与自动发药机、合理用药系统进行对接，确保用药安全，实现药品的可追溯。具体功能包括：住院药房摆药、住院退药管理等功能</w:t>
                  </w:r>
                  <w:r>
                    <w:rPr>
                      <w:rStyle w:val="60"/>
                      <w:rFonts w:hint="eastAsia"/>
                    </w:rPr>
                    <w:t>。</w:t>
                  </w:r>
                </w:p>
                <w:p w14:paraId="1A2AC748">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住院摆药条件设置</w:t>
                  </w:r>
                </w:p>
                <w:p w14:paraId="75F30335">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住院药品类型众多，例如针剂、口服、精神类药品等等，药房根据管理要求对不同的类型的药品安排不同人员发药。系统针对这种情况，支持个性化配置不同摆药条件，各摆药窗口选择相应条件，自动获取相应的药品列表。</w:t>
                  </w:r>
                </w:p>
                <w:p w14:paraId="72FCD2EC">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住院药房摆药</w:t>
                  </w:r>
                </w:p>
                <w:p w14:paraId="7CB4BEFC">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护士申请执行后，住院药房药师，选择相应的摆药条件，系统自动获取病区对应条件的待摆药数据。系统支持按病区、科室、病人等多种条件摆药，满足医院不同的模式。系统摆药打印时，根据药师平常摆药习惯，按照针剂、口服、大输液等条件区分展示，方便药师更便捷、快速的摆药发药。</w:t>
                  </w:r>
                </w:p>
                <w:p w14:paraId="741A041E">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住院摆药重制</w:t>
                  </w:r>
                </w:p>
                <w:p w14:paraId="0BBF8C13">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页面提供住院摆药单重制功能，支持重制汇总单、瓶签等不同类型</w:t>
                  </w:r>
                </w:p>
                <w:p w14:paraId="5B212F4C">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住院退药开单与执行</w:t>
                  </w:r>
                </w:p>
                <w:p w14:paraId="1D4DC821">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系统退药开单执行，根据不同退药模式，适配相应的流程。当药品需要退到药房时，护士开完单后需要药房执行；退药抵药模式护士可以直接开单并执行，方便快捷。</w:t>
                  </w:r>
                </w:p>
                <w:p w14:paraId="30C89D6B">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汇总退药查询</w:t>
                  </w:r>
                </w:p>
                <w:p w14:paraId="17DC283C">
                  <w:pPr>
                    <w:pStyle w:val="131"/>
                    <w:pageBreakBefore w:val="0"/>
                    <w:widowControl w:val="0"/>
                    <w:kinsoku/>
                    <w:wordWrap/>
                    <w:overflowPunct/>
                    <w:topLinePunct w:val="0"/>
                    <w:autoSpaceDE/>
                    <w:autoSpaceDN/>
                    <w:bidi w:val="0"/>
                    <w:adjustRightInd/>
                    <w:spacing w:line="360" w:lineRule="exact"/>
                    <w:ind w:firstLine="0"/>
                    <w:textAlignment w:val="auto"/>
                    <w:rPr>
                      <w:rFonts w:ascii="宋体" w:hAnsi="宋体" w:cs="宋体"/>
                      <w:szCs w:val="21"/>
                    </w:rPr>
                  </w:pPr>
                  <w:r>
                    <w:rPr>
                      <w:rFonts w:hint="eastAsia"/>
                    </w:rPr>
                    <w:t>系统支持查询历史退药记录，可根据退药日期、科室查询相应的退药历史及明细信息。</w:t>
                  </w:r>
                </w:p>
              </w:tc>
            </w:tr>
            <w:tr w14:paraId="6DD20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3" w:type="dxa"/>
                  <w:vMerge w:val="continue"/>
                  <w:tcBorders>
                    <w:top w:val="single" w:color="auto" w:sz="4" w:space="0"/>
                    <w:left w:val="single" w:color="auto" w:sz="4" w:space="0"/>
                    <w:bottom w:val="single" w:color="auto" w:sz="4" w:space="0"/>
                    <w:right w:val="single" w:color="auto" w:sz="4" w:space="0"/>
                  </w:tcBorders>
                  <w:noWrap w:val="0"/>
                  <w:vAlign w:val="center"/>
                </w:tcPr>
                <w:p w14:paraId="16B24B71">
                  <w:pPr>
                    <w:widowControl/>
                    <w:jc w:val="left"/>
                    <w:rPr>
                      <w:rFonts w:ascii="宋体" w:hAnsi="宋体" w:cs="宋体"/>
                      <w:b/>
                      <w:color w:val="000000"/>
                      <w:sz w:val="20"/>
                      <w:szCs w:val="20"/>
                    </w:rPr>
                  </w:pPr>
                </w:p>
              </w:tc>
              <w:tc>
                <w:tcPr>
                  <w:tcW w:w="804" w:type="dxa"/>
                  <w:vMerge w:val="continue"/>
                  <w:tcBorders>
                    <w:top w:val="single" w:color="auto" w:sz="4" w:space="0"/>
                    <w:left w:val="single" w:color="auto" w:sz="4" w:space="0"/>
                    <w:bottom w:val="single" w:color="auto" w:sz="4" w:space="0"/>
                    <w:right w:val="single" w:color="auto" w:sz="4" w:space="0"/>
                  </w:tcBorders>
                  <w:noWrap w:val="0"/>
                  <w:vAlign w:val="center"/>
                </w:tcPr>
                <w:p w14:paraId="7EC48642">
                  <w:pPr>
                    <w:widowControl/>
                    <w:jc w:val="left"/>
                    <w:rPr>
                      <w:rFonts w:ascii="宋体" w:hAnsi="宋体" w:cs="宋体"/>
                      <w:color w:val="000000"/>
                      <w:sz w:val="20"/>
                      <w:szCs w:val="20"/>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4AAA97E5">
                  <w:pPr>
                    <w:pageBreakBefore w:val="0"/>
                    <w:widowControl w:val="0"/>
                    <w:kinsoku/>
                    <w:wordWrap/>
                    <w:overflowPunct/>
                    <w:topLinePunct w:val="0"/>
                    <w:autoSpaceDE/>
                    <w:autoSpaceDN/>
                    <w:bidi w:val="0"/>
                    <w:adjustRightInd/>
                    <w:spacing w:line="360" w:lineRule="exact"/>
                    <w:textAlignment w:val="auto"/>
                    <w:rPr>
                      <w:rFonts w:ascii="宋体" w:hAnsi="宋体" w:cs="宋体"/>
                      <w:color w:val="000000"/>
                      <w:sz w:val="20"/>
                      <w:szCs w:val="20"/>
                    </w:rPr>
                  </w:pPr>
                  <w:r>
                    <w:rPr>
                      <w:rFonts w:hint="eastAsia"/>
                      <w:color w:val="000000"/>
                      <w:sz w:val="21"/>
                      <w:szCs w:val="21"/>
                    </w:rPr>
                    <w:t>抗菌药物管理</w:t>
                  </w:r>
                </w:p>
              </w:tc>
              <w:tc>
                <w:tcPr>
                  <w:tcW w:w="7748" w:type="dxa"/>
                  <w:tcBorders>
                    <w:top w:val="single" w:color="auto" w:sz="4" w:space="0"/>
                    <w:left w:val="single" w:color="auto" w:sz="4" w:space="0"/>
                    <w:bottom w:val="single" w:color="auto" w:sz="4" w:space="0"/>
                    <w:right w:val="single" w:color="auto" w:sz="4" w:space="0"/>
                  </w:tcBorders>
                  <w:noWrap/>
                  <w:vAlign w:val="center"/>
                </w:tcPr>
                <w:p w14:paraId="2C5F6082">
                  <w:pPr>
                    <w:pStyle w:val="7"/>
                    <w:pageBreakBefore w:val="0"/>
                    <w:widowControl w:val="0"/>
                    <w:kinsoku/>
                    <w:wordWrap/>
                    <w:overflowPunct/>
                    <w:topLinePunct w:val="0"/>
                    <w:autoSpaceDE/>
                    <w:autoSpaceDN/>
                    <w:bidi w:val="0"/>
                    <w:adjustRightInd/>
                    <w:spacing w:line="360" w:lineRule="exact"/>
                    <w:textAlignment w:val="auto"/>
                    <w:rPr>
                      <w:rFonts w:ascii="Calibri"/>
                      <w:sz w:val="21"/>
                    </w:rPr>
                  </w:pPr>
                  <w:r>
                    <w:rPr>
                      <w:rFonts w:hint="eastAsia"/>
                    </w:rPr>
                    <w:t>抗生素分级管理系统</w:t>
                  </w:r>
                </w:p>
                <w:p w14:paraId="27AD8DCB">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对抗菌药物实现分级管控权限设置，监控抗菌药物在临床的使用情况，进行抗菌药物使用的全程干预、警示、评估和点评。具体功能包括：抗菌药物管理、抗菌药物分级授权、抗菌药申请填写、抗菌药用药审批。</w:t>
                  </w:r>
                </w:p>
                <w:p w14:paraId="45D83B16">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抗菌药物管理</w:t>
                  </w:r>
                </w:p>
                <w:p w14:paraId="2D09BAB6">
                  <w:pPr>
                    <w:pStyle w:val="131"/>
                    <w:pageBreakBefore w:val="0"/>
                    <w:widowControl w:val="0"/>
                    <w:kinsoku/>
                    <w:wordWrap/>
                    <w:overflowPunct/>
                    <w:topLinePunct w:val="0"/>
                    <w:autoSpaceDE/>
                    <w:autoSpaceDN/>
                    <w:bidi w:val="0"/>
                    <w:adjustRightInd/>
                    <w:spacing w:line="360" w:lineRule="exact"/>
                    <w:ind w:firstLine="0"/>
                    <w:textAlignment w:val="auto"/>
                    <w:rPr>
                      <w:rStyle w:val="60"/>
                      <w:sz w:val="24"/>
                      <w:szCs w:val="24"/>
                    </w:rPr>
                  </w:pPr>
                  <w:r>
                    <w:rPr>
                      <w:rFonts w:hint="eastAsia"/>
                    </w:rPr>
                    <w:t>支持灵活配置抗菌药物的权限等级，不同等级对应针对后续开药，申请管理流程均不同。</w:t>
                  </w:r>
                </w:p>
                <w:p w14:paraId="4806111B">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抗菌药物分级授权</w:t>
                  </w:r>
                </w:p>
                <w:p w14:paraId="70BD8670">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提供抗菌药物分级授权，在员工字典中，提供针对抗菌药物有专门的权限管理，支持不同员工分配不同级别权限。</w:t>
                  </w:r>
                </w:p>
                <w:p w14:paraId="4B8F61C9">
                  <w:pPr>
                    <w:pStyle w:val="131"/>
                    <w:pageBreakBefore w:val="0"/>
                    <w:widowControl w:val="0"/>
                    <w:kinsoku/>
                    <w:wordWrap/>
                    <w:overflowPunct/>
                    <w:topLinePunct w:val="0"/>
                    <w:autoSpaceDE/>
                    <w:autoSpaceDN/>
                    <w:bidi w:val="0"/>
                    <w:adjustRightInd/>
                    <w:spacing w:line="360" w:lineRule="exact"/>
                    <w:ind w:firstLine="0"/>
                    <w:textAlignment w:val="auto"/>
                    <w:rPr>
                      <w:b/>
                    </w:rPr>
                  </w:pPr>
                  <w:r>
                    <w:rPr>
                      <w:rFonts w:hint="eastAsia"/>
                      <w:b/>
                    </w:rPr>
                    <w:t>抗菌药申请及审批</w:t>
                  </w:r>
                </w:p>
                <w:p w14:paraId="042D42E3">
                  <w:pPr>
                    <w:pStyle w:val="131"/>
                    <w:pageBreakBefore w:val="0"/>
                    <w:widowControl w:val="0"/>
                    <w:kinsoku/>
                    <w:wordWrap/>
                    <w:overflowPunct/>
                    <w:topLinePunct w:val="0"/>
                    <w:autoSpaceDE/>
                    <w:autoSpaceDN/>
                    <w:bidi w:val="0"/>
                    <w:adjustRightInd/>
                    <w:spacing w:line="360" w:lineRule="exact"/>
                    <w:ind w:firstLine="0"/>
                    <w:textAlignment w:val="auto"/>
                    <w:rPr>
                      <w:rFonts w:hint="eastAsia"/>
                    </w:rPr>
                  </w:pPr>
                  <w:r>
                    <w:rPr>
                      <w:rFonts w:hint="eastAsia"/>
                    </w:rPr>
                    <w:t>系统完整记录抗菌药物申请、审批信息，保证用药过程闭环操作。当患者需要使用抗菌药物时，医生需要填写抗菌药物申请单，并由审批人审核通过后，患者才可以正常用药，保证抗菌药物的用药安全。</w:t>
                  </w:r>
                </w:p>
                <w:p w14:paraId="34BBDFB0">
                  <w:pPr>
                    <w:pStyle w:val="131"/>
                    <w:pageBreakBefore w:val="0"/>
                    <w:widowControl w:val="0"/>
                    <w:kinsoku/>
                    <w:wordWrap/>
                    <w:overflowPunct/>
                    <w:topLinePunct w:val="0"/>
                    <w:autoSpaceDE/>
                    <w:autoSpaceDN/>
                    <w:bidi w:val="0"/>
                    <w:adjustRightInd/>
                    <w:spacing w:line="360" w:lineRule="exact"/>
                    <w:ind w:firstLine="0"/>
                    <w:textAlignment w:val="auto"/>
                    <w:rPr>
                      <w:rFonts w:hint="eastAsia"/>
                      <w:b/>
                      <w:bCs/>
                    </w:rPr>
                  </w:pPr>
                  <w:r>
                    <w:rPr>
                      <w:rFonts w:hint="eastAsia"/>
                      <w:b/>
                      <w:bCs/>
                    </w:rPr>
                    <w:t>抗菌药物使用分析</w:t>
                  </w:r>
                </w:p>
                <w:p w14:paraId="16292D83">
                  <w:pPr>
                    <w:pStyle w:val="131"/>
                    <w:pageBreakBefore w:val="0"/>
                    <w:widowControl w:val="0"/>
                    <w:kinsoku/>
                    <w:wordWrap/>
                    <w:overflowPunct/>
                    <w:topLinePunct w:val="0"/>
                    <w:autoSpaceDE/>
                    <w:autoSpaceDN/>
                    <w:bidi w:val="0"/>
                    <w:adjustRightInd/>
                    <w:spacing w:line="360" w:lineRule="exact"/>
                    <w:ind w:firstLine="0"/>
                    <w:textAlignment w:val="auto"/>
                    <w:rPr>
                      <w:rFonts w:hint="eastAsia"/>
                    </w:rPr>
                  </w:pPr>
                  <w:r>
                    <w:rPr>
                      <w:rFonts w:hint="eastAsia"/>
                    </w:rPr>
                    <w:t>抗菌药物基本报表: 抗菌药物门诊临床应用信息报表、抗菌药物住院临床应用信息报表、抗菌药物临床应用信息月报表、抗菌药物应用信息季报表、抗菌（基本）药物百分比情况报表、抗菌（基本）药物临床使用情况表、抗菌药物临床使用排行表、抗菌药物购用品种表。</w:t>
                  </w:r>
                </w:p>
                <w:p w14:paraId="21BBFE34">
                  <w:pPr>
                    <w:pStyle w:val="131"/>
                    <w:pageBreakBefore w:val="0"/>
                    <w:widowControl w:val="0"/>
                    <w:kinsoku/>
                    <w:wordWrap/>
                    <w:overflowPunct/>
                    <w:topLinePunct w:val="0"/>
                    <w:autoSpaceDE/>
                    <w:autoSpaceDN/>
                    <w:bidi w:val="0"/>
                    <w:adjustRightInd/>
                    <w:spacing w:line="360" w:lineRule="exact"/>
                    <w:ind w:firstLine="0"/>
                    <w:textAlignment w:val="auto"/>
                    <w:rPr>
                      <w:rFonts w:hint="eastAsia"/>
                    </w:rPr>
                  </w:pPr>
                  <w:r>
                    <w:rPr>
                      <w:rFonts w:hint="eastAsia"/>
                    </w:rPr>
                    <w:t>抗菌药物指标报表: 抗菌药物使用强度、抗菌药物费用占药费总额的百分率、每次就诊人均用药品种数、每次就诊人均药费、就诊使用抗菌药物的百分率、就诊使用注射药物的百分率、基本药物占处方用药的百分率、用药强度（DDDS）、住院患者人均使用抗菌药物种数、住院患者人均使用抗菌药物百分率、住院患者人均使用抗菌药物费用、住院治疗用抗菌药物患者病原学检查百分率、清洁手术预防用抗菌药物百分率、清洁手术预防用抗菌药物人均用药天数、清洁手术前0.5-2小时内给药百分率、髋关节置换术、膝关节手术、子宫肌瘤切除术。</w:t>
                  </w:r>
                </w:p>
                <w:p w14:paraId="6229D001">
                  <w:pPr>
                    <w:pStyle w:val="131"/>
                    <w:pageBreakBefore w:val="0"/>
                    <w:widowControl w:val="0"/>
                    <w:kinsoku/>
                    <w:wordWrap/>
                    <w:overflowPunct/>
                    <w:topLinePunct w:val="0"/>
                    <w:autoSpaceDE/>
                    <w:autoSpaceDN/>
                    <w:bidi w:val="0"/>
                    <w:adjustRightInd/>
                    <w:spacing w:line="360" w:lineRule="exact"/>
                    <w:ind w:firstLine="0"/>
                    <w:textAlignment w:val="auto"/>
                    <w:rPr>
                      <w:rFonts w:ascii="宋体" w:hAnsi="宋体" w:cs="宋体"/>
                      <w:szCs w:val="21"/>
                    </w:rPr>
                  </w:pPr>
                  <w:r>
                    <w:rPr>
                      <w:rFonts w:hint="eastAsia"/>
                    </w:rPr>
                    <w:t>抗菌药物指标数据登记: 提供抗菌药物指标数据登记、查询功能。</w:t>
                  </w:r>
                </w:p>
              </w:tc>
            </w:tr>
            <w:tr w14:paraId="081FB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3" w:type="dxa"/>
                  <w:vMerge w:val="continue"/>
                  <w:tcBorders>
                    <w:top w:val="single" w:color="auto" w:sz="4" w:space="0"/>
                    <w:left w:val="single" w:color="auto" w:sz="4" w:space="0"/>
                    <w:bottom w:val="single" w:color="auto" w:sz="4" w:space="0"/>
                    <w:right w:val="single" w:color="auto" w:sz="4" w:space="0"/>
                  </w:tcBorders>
                  <w:noWrap w:val="0"/>
                  <w:vAlign w:val="center"/>
                </w:tcPr>
                <w:p w14:paraId="7ADA1691">
                  <w:pPr>
                    <w:widowControl/>
                    <w:jc w:val="left"/>
                    <w:rPr>
                      <w:rFonts w:ascii="宋体" w:hAnsi="宋体" w:cs="宋体"/>
                      <w:b/>
                      <w:color w:val="000000"/>
                      <w:sz w:val="20"/>
                      <w:szCs w:val="20"/>
                    </w:rPr>
                  </w:pPr>
                </w:p>
              </w:tc>
              <w:tc>
                <w:tcPr>
                  <w:tcW w:w="804" w:type="dxa"/>
                  <w:vMerge w:val="continue"/>
                  <w:tcBorders>
                    <w:top w:val="single" w:color="auto" w:sz="4" w:space="0"/>
                    <w:left w:val="single" w:color="auto" w:sz="4" w:space="0"/>
                    <w:bottom w:val="single" w:color="auto" w:sz="4" w:space="0"/>
                    <w:right w:val="single" w:color="auto" w:sz="4" w:space="0"/>
                  </w:tcBorders>
                  <w:noWrap w:val="0"/>
                  <w:vAlign w:val="center"/>
                </w:tcPr>
                <w:p w14:paraId="0B77DAC2">
                  <w:pPr>
                    <w:widowControl/>
                    <w:jc w:val="left"/>
                    <w:rPr>
                      <w:rFonts w:ascii="宋体" w:hAnsi="宋体" w:cs="宋体"/>
                      <w:color w:val="000000"/>
                      <w:sz w:val="20"/>
                      <w:szCs w:val="20"/>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712E55F5">
                  <w:pPr>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sz w:val="20"/>
                      <w:szCs w:val="20"/>
                      <w:highlight w:val="none"/>
                    </w:rPr>
                  </w:pPr>
                  <w:r>
                    <w:rPr>
                      <w:rFonts w:hint="eastAsia"/>
                      <w:color w:val="000000"/>
                      <w:sz w:val="21"/>
                      <w:szCs w:val="21"/>
                      <w:highlight w:val="none"/>
                    </w:rPr>
                    <w:t>药物物流管理</w:t>
                  </w:r>
                </w:p>
              </w:tc>
              <w:tc>
                <w:tcPr>
                  <w:tcW w:w="7748" w:type="dxa"/>
                  <w:tcBorders>
                    <w:top w:val="single" w:color="auto" w:sz="4" w:space="0"/>
                    <w:left w:val="single" w:color="auto" w:sz="4" w:space="0"/>
                    <w:bottom w:val="single" w:color="auto" w:sz="4" w:space="0"/>
                    <w:right w:val="single" w:color="auto" w:sz="4" w:space="0"/>
                  </w:tcBorders>
                  <w:noWrap/>
                  <w:vAlign w:val="center"/>
                </w:tcPr>
                <w:p w14:paraId="7F2BDB97">
                  <w:pPr>
                    <w:pStyle w:val="7"/>
                    <w:pageBreakBefore w:val="0"/>
                    <w:widowControl w:val="0"/>
                    <w:kinsoku/>
                    <w:wordWrap/>
                    <w:overflowPunct/>
                    <w:topLinePunct w:val="0"/>
                    <w:autoSpaceDE/>
                    <w:autoSpaceDN/>
                    <w:bidi w:val="0"/>
                    <w:adjustRightInd/>
                    <w:snapToGrid/>
                    <w:spacing w:line="360" w:lineRule="exact"/>
                    <w:textAlignment w:val="auto"/>
                    <w:rPr>
                      <w:rFonts w:ascii="Calibri"/>
                      <w:sz w:val="21"/>
                      <w:highlight w:val="none"/>
                    </w:rPr>
                  </w:pPr>
                  <w:r>
                    <w:rPr>
                      <w:rFonts w:hint="eastAsia"/>
                      <w:highlight w:val="none"/>
                    </w:rPr>
                    <w:t>药库管理系统</w:t>
                  </w:r>
                </w:p>
                <w:p w14:paraId="3176801F">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rFonts w:hint="eastAsia"/>
                      <w:highlight w:val="none"/>
                    </w:rPr>
                    <w:t>药库管理系统支持对全院药库入库管理，并将药品出库给门急诊、住院等药房；支持对药库药品进行查询、盘点、采购、保养管理等操作；支持对药品相关基础信息进行维护，包括药品对照、供应商信息、通用名、药品结余、皮试药品等</w:t>
                  </w:r>
                </w:p>
                <w:p w14:paraId="314013DE">
                  <w:pPr>
                    <w:pStyle w:val="131"/>
                    <w:pageBreakBefore w:val="0"/>
                    <w:widowControl w:val="0"/>
                    <w:kinsoku/>
                    <w:wordWrap/>
                    <w:overflowPunct/>
                    <w:topLinePunct w:val="0"/>
                    <w:autoSpaceDE/>
                    <w:autoSpaceDN/>
                    <w:bidi w:val="0"/>
                    <w:adjustRightInd/>
                    <w:snapToGrid/>
                    <w:spacing w:line="360" w:lineRule="exact"/>
                    <w:ind w:firstLine="0"/>
                    <w:textAlignment w:val="auto"/>
                    <w:rPr>
                      <w:b/>
                      <w:highlight w:val="none"/>
                    </w:rPr>
                  </w:pPr>
                  <w:r>
                    <w:rPr>
                      <w:rFonts w:hint="eastAsia"/>
                      <w:b/>
                      <w:highlight w:val="none"/>
                    </w:rPr>
                    <w:t>入库管理</w:t>
                  </w:r>
                </w:p>
                <w:p w14:paraId="62B70FE2">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rFonts w:hint="eastAsia"/>
                      <w:highlight w:val="none"/>
                    </w:rPr>
                    <w:t>支持药品退药、采购等入库操作，并在入库过程中按照登记、审核、入账的流程，实现完整的药品入库闭环。</w:t>
                  </w:r>
                </w:p>
                <w:p w14:paraId="3D7E1442">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highlight w:val="none"/>
                    </w:rPr>
                    <w:t>1</w:t>
                  </w:r>
                  <w:r>
                    <w:rPr>
                      <w:rFonts w:hint="eastAsia"/>
                      <w:highlight w:val="none"/>
                    </w:rPr>
                    <w:t>、新开单据</w:t>
                  </w:r>
                </w:p>
                <w:p w14:paraId="57E0A4C3">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rFonts w:hint="eastAsia"/>
                      <w:highlight w:val="none"/>
                    </w:rPr>
                    <w:t>药品单据登记支持配置不同的类型，例如采购入库、退药入库、盘盈入库、赠送入库、调拨入库等，登记过程需要补充完善药品相关信息，登记完成后由审核人员进行审核。</w:t>
                  </w:r>
                </w:p>
                <w:p w14:paraId="23805D02">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highlight w:val="none"/>
                    </w:rPr>
                    <w:t>2</w:t>
                  </w:r>
                  <w:r>
                    <w:rPr>
                      <w:rFonts w:hint="eastAsia"/>
                      <w:highlight w:val="none"/>
                    </w:rPr>
                    <w:t>、单据审核</w:t>
                  </w:r>
                </w:p>
                <w:p w14:paraId="64E20404">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rFonts w:hint="eastAsia"/>
                      <w:highlight w:val="none"/>
                    </w:rPr>
                    <w:t>系统支持对登记后的入库单据进行审核操作，并记录闭环中需要的节点信息，包括时间，审核人等</w:t>
                  </w:r>
                </w:p>
                <w:p w14:paraId="03CAF657">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highlight w:val="none"/>
                    </w:rPr>
                    <w:t>3</w:t>
                  </w:r>
                  <w:r>
                    <w:rPr>
                      <w:rFonts w:hint="eastAsia"/>
                      <w:highlight w:val="none"/>
                    </w:rPr>
                    <w:t>、单据入账</w:t>
                  </w:r>
                </w:p>
                <w:p w14:paraId="5E4D8808">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highlight w:val="none"/>
                    </w:rPr>
                    <w:t>1.</w:t>
                  </w:r>
                  <w:r>
                    <w:rPr>
                      <w:rFonts w:hint="eastAsia"/>
                      <w:highlight w:val="none"/>
                    </w:rPr>
                    <w:t>当收到药品后，支持药库管理人员打印入库单，根据入库单上的药品种类和数量，与实际数量进行确认，保证入库药品质量、数量，完成整个入库流程。</w:t>
                  </w:r>
                </w:p>
                <w:p w14:paraId="0AA99E30">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highlight w:val="none"/>
                    </w:rPr>
                    <w:t>2.</w:t>
                  </w:r>
                  <w:r>
                    <w:rPr>
                      <w:rFonts w:hint="eastAsia"/>
                      <w:highlight w:val="none"/>
                    </w:rPr>
                    <w:t>系统支持查询历史单据信息，单据记录药品入库过程完整的闭环信息，方便药库对药品追溯管理。</w:t>
                  </w:r>
                </w:p>
                <w:p w14:paraId="0F612F84">
                  <w:pPr>
                    <w:pStyle w:val="131"/>
                    <w:pageBreakBefore w:val="0"/>
                    <w:widowControl w:val="0"/>
                    <w:kinsoku/>
                    <w:wordWrap/>
                    <w:overflowPunct/>
                    <w:topLinePunct w:val="0"/>
                    <w:autoSpaceDE/>
                    <w:autoSpaceDN/>
                    <w:bidi w:val="0"/>
                    <w:adjustRightInd/>
                    <w:snapToGrid/>
                    <w:spacing w:line="360" w:lineRule="exact"/>
                    <w:ind w:firstLine="0"/>
                    <w:textAlignment w:val="auto"/>
                    <w:rPr>
                      <w:b/>
                      <w:highlight w:val="none"/>
                    </w:rPr>
                  </w:pPr>
                  <w:r>
                    <w:rPr>
                      <w:rFonts w:hint="eastAsia"/>
                      <w:b/>
                      <w:highlight w:val="none"/>
                    </w:rPr>
                    <w:t>出库管理</w:t>
                  </w:r>
                </w:p>
                <w:p w14:paraId="21B9EDCD">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rFonts w:hint="eastAsia"/>
                      <w:highlight w:val="none"/>
                    </w:rPr>
                    <w:t>支持对科室申请、药库登记、审核、科室接收入账整个药品出库流程进行记录，实现出库闭环操作</w:t>
                  </w:r>
                </w:p>
                <w:p w14:paraId="25A23C64">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highlight w:val="none"/>
                    </w:rPr>
                    <w:t>1</w:t>
                  </w:r>
                  <w:r>
                    <w:rPr>
                      <w:rFonts w:hint="eastAsia"/>
                      <w:highlight w:val="none"/>
                    </w:rPr>
                    <w:t>、出库请求</w:t>
                  </w:r>
                </w:p>
                <w:p w14:paraId="1F23407B">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highlight w:val="none"/>
                    </w:rPr>
                    <w:t>1.</w:t>
                  </w:r>
                  <w:r>
                    <w:rPr>
                      <w:rFonts w:hint="eastAsia"/>
                      <w:highlight w:val="none"/>
                    </w:rPr>
                    <w:t>系统支持由病区、药房根据所在科室药品情况，自主向药库申请药品，通过药库审核出库方式领取药品。</w:t>
                  </w:r>
                </w:p>
                <w:p w14:paraId="65E45ACA">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highlight w:val="none"/>
                    </w:rPr>
                    <w:t>2.</w:t>
                  </w:r>
                  <w:r>
                    <w:rPr>
                      <w:rFonts w:hint="eastAsia"/>
                      <w:highlight w:val="none"/>
                    </w:rPr>
                    <w:t>科室申请后，药库管理人员审核后可以对科室申请药品转成出库单。</w:t>
                  </w:r>
                </w:p>
                <w:p w14:paraId="6BFB03D5">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highlight w:val="none"/>
                    </w:rPr>
                    <w:t>2</w:t>
                  </w:r>
                  <w:r>
                    <w:rPr>
                      <w:rFonts w:hint="eastAsia"/>
                      <w:highlight w:val="none"/>
                    </w:rPr>
                    <w:t>、新开单据</w:t>
                  </w:r>
                </w:p>
                <w:p w14:paraId="50C44860">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rFonts w:hint="eastAsia"/>
                      <w:highlight w:val="none"/>
                    </w:rPr>
                    <w:t>根据支持不同出库单登记方式：科室申请审核后转成出库单、药库手动填写出库单、入库单转成出库单，能够适配不同的医院场景需求。</w:t>
                  </w:r>
                </w:p>
                <w:p w14:paraId="7928580B">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highlight w:val="none"/>
                    </w:rPr>
                    <w:t>1.</w:t>
                  </w:r>
                  <w:r>
                    <w:rPr>
                      <w:rFonts w:hint="eastAsia"/>
                      <w:highlight w:val="none"/>
                    </w:rPr>
                    <w:t>手动开单</w:t>
                  </w:r>
                </w:p>
                <w:p w14:paraId="38C8EFA2">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rFonts w:hint="eastAsia"/>
                      <w:highlight w:val="none"/>
                    </w:rPr>
                    <w:t>出库单支持配置不同的类型，例如领用出库、报损出库、退货出库等，登记过程需要补充完善数量等信息，登记完成后由审核人员进行审核。</w:t>
                  </w:r>
                </w:p>
                <w:p w14:paraId="3F01B1F0">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highlight w:val="none"/>
                    </w:rPr>
                    <w:t>2.</w:t>
                  </w:r>
                  <w:r>
                    <w:rPr>
                      <w:rFonts w:hint="eastAsia"/>
                      <w:highlight w:val="none"/>
                    </w:rPr>
                    <w:t>药房</w:t>
                  </w:r>
                  <w:r>
                    <w:rPr>
                      <w:highlight w:val="none"/>
                    </w:rPr>
                    <w:t>/</w:t>
                  </w:r>
                  <w:r>
                    <w:rPr>
                      <w:rFonts w:hint="eastAsia"/>
                      <w:highlight w:val="none"/>
                    </w:rPr>
                    <w:t>科室请领开单</w:t>
                  </w:r>
                </w:p>
                <w:p w14:paraId="17AD471F">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rFonts w:hint="eastAsia"/>
                      <w:highlight w:val="none"/>
                    </w:rPr>
                    <w:t>科室发起请领后，药库审核后转成出库单</w:t>
                  </w:r>
                </w:p>
                <w:p w14:paraId="469449EC">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highlight w:val="none"/>
                    </w:rPr>
                    <w:t>3.</w:t>
                  </w:r>
                  <w:r>
                    <w:rPr>
                      <w:rFonts w:hint="eastAsia"/>
                      <w:highlight w:val="none"/>
                    </w:rPr>
                    <w:t>入库单转出库单</w:t>
                  </w:r>
                </w:p>
                <w:p w14:paraId="3B6CC42C">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rFonts w:hint="eastAsia"/>
                      <w:highlight w:val="none"/>
                    </w:rPr>
                    <w:t>入库的单据支持转成出库单</w:t>
                  </w:r>
                </w:p>
                <w:p w14:paraId="5AF5F1A8">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highlight w:val="none"/>
                    </w:rPr>
                    <w:t>3</w:t>
                  </w:r>
                  <w:r>
                    <w:rPr>
                      <w:rFonts w:hint="eastAsia"/>
                      <w:highlight w:val="none"/>
                    </w:rPr>
                    <w:t>、单据审核</w:t>
                  </w:r>
                </w:p>
                <w:p w14:paraId="610405D2">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rFonts w:hint="eastAsia"/>
                      <w:highlight w:val="none"/>
                    </w:rPr>
                    <w:t>系统支持对登记后的出库单据进行审核操作，并记录闭环中需要的节点信息，包括时间，审核人等。</w:t>
                  </w:r>
                </w:p>
                <w:p w14:paraId="6D0E9BD3">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highlight w:val="none"/>
                    </w:rPr>
                    <w:t>4</w:t>
                  </w:r>
                  <w:r>
                    <w:rPr>
                      <w:rFonts w:hint="eastAsia"/>
                      <w:highlight w:val="none"/>
                    </w:rPr>
                    <w:t>、单据入账</w:t>
                  </w:r>
                </w:p>
                <w:p w14:paraId="5C429F04">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highlight w:val="none"/>
                    </w:rPr>
                    <w:t>1.</w:t>
                  </w:r>
                  <w:r>
                    <w:rPr>
                      <w:rFonts w:hint="eastAsia"/>
                      <w:highlight w:val="none"/>
                    </w:rPr>
                    <w:t>当科室接收到药品后，系统支持收货科室打印药品单据，核对药品并接收入账，完成整个药品出库过程，实现药品闭环管理。</w:t>
                  </w:r>
                </w:p>
                <w:p w14:paraId="228A613A">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highlight w:val="none"/>
                    </w:rPr>
                    <w:t>2.</w:t>
                  </w:r>
                  <w:r>
                    <w:rPr>
                      <w:rFonts w:hint="eastAsia"/>
                      <w:highlight w:val="none"/>
                    </w:rPr>
                    <w:t>系统支持查询历史出库单据信息，单据记录药出库过程完整的闭环信息，方便药库对药品追溯管理。</w:t>
                  </w:r>
                </w:p>
                <w:p w14:paraId="042940A9">
                  <w:pPr>
                    <w:pStyle w:val="131"/>
                    <w:pageBreakBefore w:val="0"/>
                    <w:widowControl w:val="0"/>
                    <w:kinsoku/>
                    <w:wordWrap/>
                    <w:overflowPunct/>
                    <w:topLinePunct w:val="0"/>
                    <w:autoSpaceDE/>
                    <w:autoSpaceDN/>
                    <w:bidi w:val="0"/>
                    <w:adjustRightInd/>
                    <w:snapToGrid/>
                    <w:spacing w:line="360" w:lineRule="exact"/>
                    <w:ind w:firstLine="0"/>
                    <w:textAlignment w:val="auto"/>
                    <w:rPr>
                      <w:b/>
                      <w:highlight w:val="none"/>
                    </w:rPr>
                  </w:pPr>
                  <w:r>
                    <w:rPr>
                      <w:rFonts w:hint="eastAsia"/>
                      <w:b/>
                      <w:highlight w:val="none"/>
                    </w:rPr>
                    <w:t>库存管理</w:t>
                  </w:r>
                </w:p>
                <w:p w14:paraId="3BB81527">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highlight w:val="none"/>
                    </w:rPr>
                    <w:t>1</w:t>
                  </w:r>
                  <w:r>
                    <w:rPr>
                      <w:rFonts w:hint="eastAsia"/>
                      <w:highlight w:val="none"/>
                    </w:rPr>
                    <w:t>、库存查询</w:t>
                  </w:r>
                </w:p>
                <w:p w14:paraId="7E194B37">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highlight w:val="none"/>
                    </w:rPr>
                    <w:t>1.</w:t>
                  </w:r>
                  <w:r>
                    <w:rPr>
                      <w:rFonts w:hint="eastAsia"/>
                      <w:highlight w:val="none"/>
                    </w:rPr>
                    <w:t>系统支持查询药库中现有的药品，并对不同状态药品进行区分标识，包括正常药品、快过期药品，已经过期药品，方便药库对于药品管理。</w:t>
                  </w:r>
                </w:p>
                <w:p w14:paraId="0119EC47">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highlight w:val="none"/>
                    </w:rPr>
                    <w:t>2.</w:t>
                  </w:r>
                  <w:r>
                    <w:rPr>
                      <w:rFonts w:hint="eastAsia"/>
                      <w:highlight w:val="none"/>
                    </w:rPr>
                    <w:t>另外药库系统还支持对药品可用状态进行管理，例如对于一些药品临时停用失效，对已占用库存的药品释放库存，并支持修改药品批次、失效日期等信息。</w:t>
                  </w:r>
                </w:p>
                <w:p w14:paraId="63FA2177">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highlight w:val="none"/>
                    </w:rPr>
                    <w:t>2</w:t>
                  </w:r>
                  <w:r>
                    <w:rPr>
                      <w:rFonts w:hint="eastAsia"/>
                      <w:highlight w:val="none"/>
                    </w:rPr>
                    <w:t>、账页查询</w:t>
                  </w:r>
                </w:p>
                <w:p w14:paraId="07D3D352">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rFonts w:hint="eastAsia"/>
                      <w:highlight w:val="none"/>
                    </w:rPr>
                    <w:t>药库需要监控药品出入库情况，系统支持记录每一条出入库信息，并通过账页查询能够查询到相应的内容，保证对药品出入库情况有完整的记录和管理。</w:t>
                  </w:r>
                </w:p>
                <w:p w14:paraId="5180D125">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highlight w:val="none"/>
                    </w:rPr>
                    <w:t>3</w:t>
                  </w:r>
                  <w:r>
                    <w:rPr>
                      <w:rFonts w:hint="eastAsia"/>
                      <w:highlight w:val="none"/>
                    </w:rPr>
                    <w:t>、库存限量与预警</w:t>
                  </w:r>
                </w:p>
                <w:p w14:paraId="0F9033EB">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highlight w:val="none"/>
                    </w:rPr>
                    <w:t>1.</w:t>
                  </w:r>
                  <w:r>
                    <w:rPr>
                      <w:rFonts w:hint="eastAsia"/>
                      <w:highlight w:val="none"/>
                    </w:rPr>
                    <w:t>系统支持对药品库存进行限量，设置某项药品的限量库存，当库存低于或者高于设置的限量库存时候，可以快速查询。</w:t>
                  </w:r>
                </w:p>
                <w:p w14:paraId="490B8EE9">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highlight w:val="none"/>
                    </w:rPr>
                    <w:t>2.</w:t>
                  </w:r>
                  <w:r>
                    <w:rPr>
                      <w:rFonts w:hint="eastAsia"/>
                      <w:highlight w:val="none"/>
                    </w:rPr>
                    <w:t>除库存限量预警外，系统支持通过消耗量等进行快速查询筛选出相应的药品，并对库存不足的预警药品快速生成采购计划。通过库存预警，药库可以快速了解到库存不足的药品并进行采购。</w:t>
                  </w:r>
                </w:p>
                <w:p w14:paraId="4E4FAC1C">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highlight w:val="none"/>
                    </w:rPr>
                    <w:t>4</w:t>
                  </w:r>
                  <w:r>
                    <w:rPr>
                      <w:rFonts w:hint="eastAsia"/>
                      <w:highlight w:val="none"/>
                    </w:rPr>
                    <w:t>、药品调价</w:t>
                  </w:r>
                </w:p>
                <w:p w14:paraId="62BC732C">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rFonts w:hint="eastAsia"/>
                      <w:highlight w:val="none"/>
                    </w:rPr>
                    <w:t>支持根据物价部门现行的调价文件实现全院统一调价，调整药品的进货价、零售价等信息。</w:t>
                  </w:r>
                </w:p>
                <w:p w14:paraId="21957BC5">
                  <w:pPr>
                    <w:pStyle w:val="131"/>
                    <w:pageBreakBefore w:val="0"/>
                    <w:widowControl w:val="0"/>
                    <w:kinsoku/>
                    <w:wordWrap/>
                    <w:overflowPunct/>
                    <w:topLinePunct w:val="0"/>
                    <w:autoSpaceDE/>
                    <w:autoSpaceDN/>
                    <w:bidi w:val="0"/>
                    <w:adjustRightInd/>
                    <w:snapToGrid/>
                    <w:spacing w:line="360" w:lineRule="exact"/>
                    <w:ind w:firstLine="0"/>
                    <w:textAlignment w:val="auto"/>
                    <w:rPr>
                      <w:b/>
                      <w:highlight w:val="none"/>
                    </w:rPr>
                  </w:pPr>
                  <w:r>
                    <w:rPr>
                      <w:rFonts w:hint="eastAsia"/>
                      <w:b/>
                      <w:highlight w:val="none"/>
                    </w:rPr>
                    <w:t>药品保养</w:t>
                  </w:r>
                </w:p>
                <w:p w14:paraId="1BC14BBB">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rFonts w:hint="eastAsia"/>
                      <w:highlight w:val="none"/>
                    </w:rPr>
                    <w:t>药库需要对药品存储过程进行规范化管理，以防止药品变质，保证药品质量，确保用药安全性和有效性。系统支持药品存储期间，对药品进行保养并生成保养记录，并管理问题药品，形成完整的药品管理闭环。</w:t>
                  </w:r>
                </w:p>
                <w:p w14:paraId="13A622DD">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highlight w:val="none"/>
                    </w:rPr>
                    <w:t>1</w:t>
                  </w:r>
                  <w:r>
                    <w:rPr>
                      <w:rFonts w:hint="eastAsia"/>
                      <w:highlight w:val="none"/>
                    </w:rPr>
                    <w:t>、重点药品养护设置</w:t>
                  </w:r>
                </w:p>
                <w:p w14:paraId="19505826">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highlight w:val="none"/>
                    </w:rPr>
                    <w:t>1.</w:t>
                  </w:r>
                  <w:r>
                    <w:rPr>
                      <w:rFonts w:hint="eastAsia"/>
                      <w:highlight w:val="none"/>
                    </w:rPr>
                    <w:t>医院管理员对需要重点养护药品进行设置，重点药品包括常用药品、质量不稳定药品、特殊储存要药品、储存时间较长药品、临近到期药品等，重点药品养护可按照年度进行制定及调整。设置药品后，需要设置时间、部门、养护人员，养护要求等，用于后续养护计划管理</w:t>
                  </w:r>
                </w:p>
                <w:p w14:paraId="683CB884">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highlight w:val="none"/>
                    </w:rPr>
                    <w:t>2.</w:t>
                  </w:r>
                  <w:r>
                    <w:rPr>
                      <w:rFonts w:hint="eastAsia"/>
                      <w:highlight w:val="none"/>
                    </w:rPr>
                    <w:t>系统支持药库管理员对质量不稳定药品、特殊储存要药品、储存时间较长药品、临近到期药品等设置为重点养护药品，并设定相应养护人员，养护要求等，建立药库养护药品系统性清单。</w:t>
                  </w:r>
                </w:p>
                <w:p w14:paraId="3C528F9C">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highlight w:val="none"/>
                    </w:rPr>
                    <w:t>2</w:t>
                  </w:r>
                  <w:r>
                    <w:rPr>
                      <w:rFonts w:hint="eastAsia"/>
                      <w:highlight w:val="none"/>
                    </w:rPr>
                    <w:t>、药品养护计划生成</w:t>
                  </w:r>
                </w:p>
                <w:p w14:paraId="521F5406">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rFonts w:hint="eastAsia"/>
                      <w:highlight w:val="none"/>
                    </w:rPr>
                    <w:t>系统支持管理员建立完备的药品养护计划，并分发给对应的养护人员。保证管理人员通过系统管理整个药品的养护，实时查看到计划完成情况、养护内容、结果等信息。</w:t>
                  </w:r>
                </w:p>
                <w:p w14:paraId="06A1479A">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highlight w:val="none"/>
                    </w:rPr>
                    <w:t>3</w:t>
                  </w:r>
                  <w:r>
                    <w:rPr>
                      <w:rFonts w:hint="eastAsia"/>
                      <w:highlight w:val="none"/>
                    </w:rPr>
                    <w:t>、药品在库养护</w:t>
                  </w:r>
                </w:p>
                <w:p w14:paraId="5550E042">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rFonts w:hint="eastAsia"/>
                      <w:highlight w:val="none"/>
                    </w:rPr>
                    <w:t>系统支持养护人员，根据养护计划在系统上登记药品养护信息，包括药品质量、处理情况、是否同意继续销售等，并记录有问题的药品、批次等。</w:t>
                  </w:r>
                </w:p>
                <w:p w14:paraId="05BB3676">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highlight w:val="none"/>
                    </w:rPr>
                    <w:t>4</w:t>
                  </w:r>
                  <w:r>
                    <w:rPr>
                      <w:rFonts w:hint="eastAsia"/>
                      <w:highlight w:val="none"/>
                    </w:rPr>
                    <w:t>、问题药品管理</w:t>
                  </w:r>
                </w:p>
                <w:p w14:paraId="21909533">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rFonts w:hint="eastAsia"/>
                      <w:highlight w:val="none"/>
                    </w:rPr>
                    <w:t>系统支持质量部门、业务部门查看养护计划，并对养护记录的问题药品进行管理分析，形成系统化文档，实现整个养护计划闭环。</w:t>
                  </w:r>
                </w:p>
                <w:p w14:paraId="3ADB6909">
                  <w:pPr>
                    <w:pStyle w:val="131"/>
                    <w:pageBreakBefore w:val="0"/>
                    <w:widowControl w:val="0"/>
                    <w:kinsoku/>
                    <w:wordWrap/>
                    <w:overflowPunct/>
                    <w:topLinePunct w:val="0"/>
                    <w:autoSpaceDE/>
                    <w:autoSpaceDN/>
                    <w:bidi w:val="0"/>
                    <w:adjustRightInd/>
                    <w:snapToGrid/>
                    <w:spacing w:line="360" w:lineRule="exact"/>
                    <w:ind w:firstLine="0"/>
                    <w:textAlignment w:val="auto"/>
                    <w:rPr>
                      <w:b/>
                      <w:highlight w:val="none"/>
                    </w:rPr>
                  </w:pPr>
                  <w:r>
                    <w:rPr>
                      <w:rFonts w:hint="eastAsia"/>
                      <w:b/>
                      <w:highlight w:val="none"/>
                    </w:rPr>
                    <w:t>盘点结存</w:t>
                  </w:r>
                </w:p>
                <w:p w14:paraId="715B65A6">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rFonts w:hint="eastAsia"/>
                      <w:highlight w:val="none"/>
                    </w:rPr>
                    <w:t>系统支持药库定期或者临时对药品实际数量进行清查盘点，并对盘点实际药品数量与库存记录核对冲正，更新实际库存数量。内容包括盘点录入、冲正、查询等功能</w:t>
                  </w:r>
                </w:p>
                <w:p w14:paraId="6602BC90">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highlight w:val="none"/>
                    </w:rPr>
                    <w:t>1</w:t>
                  </w:r>
                  <w:r>
                    <w:rPr>
                      <w:rFonts w:hint="eastAsia"/>
                      <w:highlight w:val="none"/>
                    </w:rPr>
                    <w:t>、生成盘点单</w:t>
                  </w:r>
                </w:p>
                <w:p w14:paraId="431161A6">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rFonts w:hint="eastAsia"/>
                      <w:highlight w:val="none"/>
                    </w:rPr>
                    <w:t>系统支持盘点人员手动建立盘点单，盘点单可以通过多种维度建立，例如根据药品种类、批次、价格、毒理、材质、金额等条件，能够适配医院不同的使用习惯和管理要求。</w:t>
                  </w:r>
                </w:p>
                <w:p w14:paraId="42C2F55A">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highlight w:val="none"/>
                    </w:rPr>
                    <w:t>2</w:t>
                  </w:r>
                  <w:r>
                    <w:rPr>
                      <w:rFonts w:hint="eastAsia"/>
                      <w:highlight w:val="none"/>
                    </w:rPr>
                    <w:t>、盘点录入</w:t>
                  </w:r>
                </w:p>
                <w:p w14:paraId="65A31680">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rFonts w:hint="eastAsia"/>
                      <w:highlight w:val="none"/>
                    </w:rPr>
                    <w:t>医院盘点可能是由多人进行操作，系统盘点单也支持多人盘点，并记录盘点人员信息，在盘点过程中，也能够灵活添加删除盘点药品。</w:t>
                  </w:r>
                </w:p>
                <w:p w14:paraId="37898DCD">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rFonts w:hint="eastAsia"/>
                      <w:highlight w:val="none"/>
                    </w:rPr>
                    <w:t>部分医院盘点过程中，可能会有出入库业务，系统也支持盘点过程中不停止业务，盘点期间可以操作出入库，出入库药品进行记录，盘点完成前进行补盘。</w:t>
                  </w:r>
                </w:p>
                <w:p w14:paraId="67EC327E">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rFonts w:hint="eastAsia"/>
                      <w:highlight w:val="none"/>
                    </w:rPr>
                    <w:t>另外系统满足盘点数量快速录入，例如盘点数量等于库存，盘点数量为</w:t>
                  </w:r>
                  <w:r>
                    <w:rPr>
                      <w:highlight w:val="none"/>
                    </w:rPr>
                    <w:t>0</w:t>
                  </w:r>
                  <w:r>
                    <w:rPr>
                      <w:rFonts w:hint="eastAsia"/>
                      <w:highlight w:val="none"/>
                    </w:rPr>
                    <w:t>等人性化操作，提高盘点人员填写效率。并支持盘点数量复核修改，保证盘点数量与实际数量保持一致。</w:t>
                  </w:r>
                </w:p>
                <w:p w14:paraId="0D710117">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highlight w:val="none"/>
                    </w:rPr>
                    <w:t>3</w:t>
                  </w:r>
                  <w:r>
                    <w:rPr>
                      <w:rFonts w:hint="eastAsia"/>
                      <w:highlight w:val="none"/>
                    </w:rPr>
                    <w:t>、盘点冲正</w:t>
                  </w:r>
                </w:p>
                <w:p w14:paraId="4C88C161">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rFonts w:hint="eastAsia"/>
                      <w:highlight w:val="none"/>
                    </w:rPr>
                    <w:t>盘点录入后，盘点冲正页面数据实时更新，管理员可查看盘点数量与库存记录差异，管理员可操作冲正将盘点数量更新为系统库存数量，形成完整盘点闭环。如果盘点数量有问题，系统也支持回退重新盘点。</w:t>
                  </w:r>
                </w:p>
                <w:p w14:paraId="537F2019">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highlight w:val="none"/>
                    </w:rPr>
                    <w:t>4</w:t>
                  </w:r>
                  <w:r>
                    <w:rPr>
                      <w:rFonts w:hint="eastAsia"/>
                      <w:highlight w:val="none"/>
                    </w:rPr>
                    <w:t>、盘点查询</w:t>
                  </w:r>
                </w:p>
                <w:p w14:paraId="1D424DA3">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rFonts w:hint="eastAsia"/>
                      <w:highlight w:val="none"/>
                    </w:rPr>
                    <w:t>系统会记录每一次盘点信息，支持查询并进行溯源管理。</w:t>
                  </w:r>
                </w:p>
                <w:p w14:paraId="66C24695">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highlight w:val="none"/>
                    </w:rPr>
                    <w:t>5</w:t>
                  </w:r>
                  <w:r>
                    <w:rPr>
                      <w:rFonts w:hint="eastAsia"/>
                      <w:highlight w:val="none"/>
                    </w:rPr>
                    <w:t>、盘点事件管理</w:t>
                  </w:r>
                </w:p>
                <w:p w14:paraId="04766F97">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rFonts w:hint="eastAsia"/>
                      <w:highlight w:val="none"/>
                    </w:rPr>
                    <w:t>系统支持对已冲正的盘点单进行管理，可对盘点单进行分类管理，方便后续查阅</w:t>
                  </w:r>
                </w:p>
                <w:p w14:paraId="2C78E1BC">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highlight w:val="none"/>
                    </w:rPr>
                    <w:t>6</w:t>
                  </w:r>
                  <w:r>
                    <w:rPr>
                      <w:rFonts w:hint="eastAsia"/>
                      <w:highlight w:val="none"/>
                    </w:rPr>
                    <w:t>、药品结存</w:t>
                  </w:r>
                </w:p>
                <w:p w14:paraId="49999934">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rFonts w:hint="eastAsia"/>
                      <w:highlight w:val="none"/>
                    </w:rPr>
                    <w:t>系统支持对药库入库和出库的单据进行结存，通过结存，支持查看时间范围内进出仓报表、结存汇总表、盈亏明细等相关数据，方便医院进行管理。</w:t>
                  </w:r>
                </w:p>
                <w:p w14:paraId="3BCD2825">
                  <w:pPr>
                    <w:pStyle w:val="131"/>
                    <w:pageBreakBefore w:val="0"/>
                    <w:widowControl w:val="0"/>
                    <w:kinsoku/>
                    <w:wordWrap/>
                    <w:overflowPunct/>
                    <w:topLinePunct w:val="0"/>
                    <w:autoSpaceDE/>
                    <w:autoSpaceDN/>
                    <w:bidi w:val="0"/>
                    <w:adjustRightInd/>
                    <w:snapToGrid/>
                    <w:spacing w:line="360" w:lineRule="exact"/>
                    <w:ind w:firstLine="0"/>
                    <w:textAlignment w:val="auto"/>
                    <w:rPr>
                      <w:b/>
                      <w:highlight w:val="none"/>
                    </w:rPr>
                  </w:pPr>
                  <w:r>
                    <w:rPr>
                      <w:rFonts w:hint="eastAsia"/>
                      <w:b/>
                      <w:highlight w:val="none"/>
                    </w:rPr>
                    <w:t>采购管理</w:t>
                  </w:r>
                </w:p>
                <w:p w14:paraId="16D8FD79">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highlight w:val="none"/>
                    </w:rPr>
                    <w:t>1</w:t>
                  </w:r>
                  <w:r>
                    <w:rPr>
                      <w:rFonts w:hint="eastAsia"/>
                      <w:highlight w:val="none"/>
                    </w:rPr>
                    <w:t>、采购计划制定</w:t>
                  </w:r>
                </w:p>
                <w:p w14:paraId="72486E2E">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rFonts w:hint="eastAsia"/>
                      <w:highlight w:val="none"/>
                    </w:rPr>
                    <w:t>系统支持药库工作人员，填写采购申请计划，并将采购计划与库存预警功能相结合，可以通过库存预警快速生成采购计划，另外也支持根据上个月耗量快速生成采购计划。</w:t>
                  </w:r>
                </w:p>
                <w:p w14:paraId="68AA84C3">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highlight w:val="none"/>
                    </w:rPr>
                    <w:t>2</w:t>
                  </w:r>
                  <w:r>
                    <w:rPr>
                      <w:rFonts w:hint="eastAsia"/>
                      <w:highlight w:val="none"/>
                    </w:rPr>
                    <w:t>、采购计划审核与核准</w:t>
                  </w:r>
                </w:p>
                <w:p w14:paraId="3498DA0B">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rFonts w:hint="eastAsia"/>
                      <w:highlight w:val="none"/>
                    </w:rPr>
                    <w:t>采购计划与医院实际流程相匹配，支持采购计划的多级审核功能，包括采购计划审核、采购计划核准，通过层次审核保证采购计划的合理性。</w:t>
                  </w:r>
                </w:p>
                <w:p w14:paraId="250253E1">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highlight w:val="none"/>
                    </w:rPr>
                    <w:t>3</w:t>
                  </w:r>
                  <w:r>
                    <w:rPr>
                      <w:rFonts w:hint="eastAsia"/>
                      <w:highlight w:val="none"/>
                    </w:rPr>
                    <w:t>、采购计划查询</w:t>
                  </w:r>
                </w:p>
                <w:p w14:paraId="3B6AA854">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rFonts w:hint="eastAsia"/>
                      <w:highlight w:val="none"/>
                    </w:rPr>
                    <w:t>采购计划查询对采购计划进行完整闭环管理，记录各个节点闭环信息</w:t>
                  </w:r>
                </w:p>
                <w:p w14:paraId="5A6D6988">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highlight w:val="none"/>
                    </w:rPr>
                    <w:t>4</w:t>
                  </w:r>
                  <w:r>
                    <w:rPr>
                      <w:rFonts w:hint="eastAsia"/>
                      <w:highlight w:val="none"/>
                    </w:rPr>
                    <w:t>、采购单新开</w:t>
                  </w:r>
                </w:p>
                <w:p w14:paraId="254C7FCB">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rFonts w:hint="eastAsia"/>
                      <w:highlight w:val="none"/>
                    </w:rPr>
                    <w:t>采购计划核准后，系统支持自动生成采购单，工作人员也可直接建立采购单。</w:t>
                  </w:r>
                </w:p>
                <w:p w14:paraId="2DE6034A">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highlight w:val="none"/>
                    </w:rPr>
                    <w:t>5</w:t>
                  </w:r>
                  <w:r>
                    <w:rPr>
                      <w:rFonts w:hint="eastAsia"/>
                      <w:highlight w:val="none"/>
                    </w:rPr>
                    <w:t>、采购单确认</w:t>
                  </w:r>
                </w:p>
                <w:p w14:paraId="34584699">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rFonts w:hint="eastAsia"/>
                      <w:highlight w:val="none"/>
                    </w:rPr>
                    <w:t>当采购药品到货后，系统支持采购单到货确认功能，对采购药品、数量和价格信息等进行确认并登记，完成采购过程。完成采购计划后，系统自动将数据同步至入库单据中。</w:t>
                  </w:r>
                </w:p>
                <w:p w14:paraId="613CB7FB">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highlight w:val="none"/>
                    </w:rPr>
                    <w:t>6</w:t>
                  </w:r>
                  <w:r>
                    <w:rPr>
                      <w:rFonts w:hint="eastAsia"/>
                      <w:highlight w:val="none"/>
                    </w:rPr>
                    <w:t>、采购单查询</w:t>
                  </w:r>
                </w:p>
                <w:p w14:paraId="0E2AE083">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rFonts w:hint="eastAsia"/>
                      <w:highlight w:val="none"/>
                    </w:rPr>
                    <w:t>系统支持对采购单整体流程闭环管理，记录不同节点闭环信息</w:t>
                  </w:r>
                </w:p>
                <w:p w14:paraId="21CB430A">
                  <w:pPr>
                    <w:pStyle w:val="131"/>
                    <w:pageBreakBefore w:val="0"/>
                    <w:widowControl w:val="0"/>
                    <w:kinsoku/>
                    <w:wordWrap/>
                    <w:overflowPunct/>
                    <w:topLinePunct w:val="0"/>
                    <w:autoSpaceDE/>
                    <w:autoSpaceDN/>
                    <w:bidi w:val="0"/>
                    <w:adjustRightInd/>
                    <w:snapToGrid/>
                    <w:spacing w:line="360" w:lineRule="exact"/>
                    <w:ind w:firstLine="0"/>
                    <w:textAlignment w:val="auto"/>
                    <w:rPr>
                      <w:b/>
                      <w:highlight w:val="none"/>
                    </w:rPr>
                  </w:pPr>
                  <w:r>
                    <w:rPr>
                      <w:rFonts w:hint="eastAsia"/>
                      <w:b/>
                      <w:highlight w:val="none"/>
                    </w:rPr>
                    <w:t>科室事务</w:t>
                  </w:r>
                </w:p>
                <w:p w14:paraId="396F047A">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highlight w:val="none"/>
                    </w:rPr>
                    <w:t>1</w:t>
                  </w:r>
                  <w:r>
                    <w:rPr>
                      <w:rFonts w:hint="eastAsia"/>
                      <w:highlight w:val="none"/>
                    </w:rPr>
                    <w:t>、大输液管理</w:t>
                  </w:r>
                </w:p>
                <w:p w14:paraId="2D00D89F">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rFonts w:hint="eastAsia"/>
                      <w:highlight w:val="none"/>
                    </w:rPr>
                    <w:t>医院大输液流程与普通药品不一致，一般采用批量配送的方式，系统支持大输液特殊流程，药房摆药后通过大输液管理对病区申请的大输液药品进行批量请领，请领后以药库出库的形式配送到病区。</w:t>
                  </w:r>
                </w:p>
                <w:p w14:paraId="1A971B41">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highlight w:val="none"/>
                    </w:rPr>
                    <w:t>2</w:t>
                  </w:r>
                  <w:r>
                    <w:rPr>
                      <w:rFonts w:hint="eastAsia"/>
                      <w:highlight w:val="none"/>
                    </w:rPr>
                    <w:t>、靶向药用药审核</w:t>
                  </w:r>
                </w:p>
                <w:p w14:paraId="2BB8585B">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rFonts w:hint="eastAsia"/>
                      <w:highlight w:val="none"/>
                    </w:rPr>
                    <w:t>系统支持靶向药闭环管理，通过药库工作人员创建靶向卡、靶向卡的申请、批准流程、门诊</w:t>
                  </w:r>
                  <w:r>
                    <w:rPr>
                      <w:highlight w:val="none"/>
                    </w:rPr>
                    <w:t>/</w:t>
                  </w:r>
                  <w:r>
                    <w:rPr>
                      <w:rFonts w:hint="eastAsia"/>
                      <w:highlight w:val="none"/>
                    </w:rPr>
                    <w:t>住院处方页面开具靶向药完整的流程，对靶向药使用过程进行完整的记录并监控。</w:t>
                  </w:r>
                </w:p>
                <w:p w14:paraId="7CE08822">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highlight w:val="none"/>
                    </w:rPr>
                    <w:t>3</w:t>
                  </w:r>
                  <w:r>
                    <w:rPr>
                      <w:rFonts w:hint="eastAsia"/>
                      <w:highlight w:val="none"/>
                    </w:rPr>
                    <w:t>、滞销药品管理</w:t>
                  </w:r>
                </w:p>
                <w:p w14:paraId="6EB241FA">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rFonts w:hint="eastAsia"/>
                      <w:highlight w:val="none"/>
                    </w:rPr>
                    <w:t>部分药品对储存时间有相应的要求，系统支持医院需要对长时间未售出的药品进行管理，通过设置滞销药品的规则，例如时间设置最近</w:t>
                  </w:r>
                  <w:r>
                    <w:rPr>
                      <w:highlight w:val="none"/>
                    </w:rPr>
                    <w:t>3</w:t>
                  </w:r>
                  <w:r>
                    <w:rPr>
                      <w:rFonts w:hint="eastAsia"/>
                      <w:highlight w:val="none"/>
                    </w:rPr>
                    <w:t>个月，数量设置数量小于</w:t>
                  </w:r>
                  <w:r>
                    <w:rPr>
                      <w:highlight w:val="none"/>
                    </w:rPr>
                    <w:t>10</w:t>
                  </w:r>
                  <w:r>
                    <w:rPr>
                      <w:rFonts w:hint="eastAsia"/>
                      <w:highlight w:val="none"/>
                    </w:rPr>
                    <w:t>瓶</w:t>
                  </w:r>
                  <w:r>
                    <w:rPr>
                      <w:highlight w:val="none"/>
                    </w:rPr>
                    <w:t>/</w:t>
                  </w:r>
                  <w:r>
                    <w:rPr>
                      <w:rFonts w:hint="eastAsia"/>
                      <w:highlight w:val="none"/>
                    </w:rPr>
                    <w:t>盒</w:t>
                  </w:r>
                  <w:r>
                    <w:rPr>
                      <w:highlight w:val="none"/>
                    </w:rPr>
                    <w:t>/</w:t>
                  </w:r>
                  <w:r>
                    <w:rPr>
                      <w:rFonts w:hint="eastAsia"/>
                      <w:highlight w:val="none"/>
                    </w:rPr>
                    <w:t>支，统计相关药品信息，便捷统计出这部分药品，方便后续对滞销药品进行管理。</w:t>
                  </w:r>
                </w:p>
                <w:p w14:paraId="6BA1B153">
                  <w:pPr>
                    <w:pStyle w:val="131"/>
                    <w:pageBreakBefore w:val="0"/>
                    <w:widowControl w:val="0"/>
                    <w:kinsoku/>
                    <w:wordWrap/>
                    <w:overflowPunct/>
                    <w:topLinePunct w:val="0"/>
                    <w:autoSpaceDE/>
                    <w:autoSpaceDN/>
                    <w:bidi w:val="0"/>
                    <w:adjustRightInd/>
                    <w:snapToGrid/>
                    <w:spacing w:line="360" w:lineRule="exact"/>
                    <w:ind w:firstLine="0"/>
                    <w:textAlignment w:val="auto"/>
                    <w:rPr>
                      <w:b/>
                      <w:highlight w:val="none"/>
                    </w:rPr>
                  </w:pPr>
                  <w:r>
                    <w:rPr>
                      <w:rFonts w:hint="eastAsia"/>
                      <w:b/>
                      <w:highlight w:val="none"/>
                    </w:rPr>
                    <w:t>字典维护</w:t>
                  </w:r>
                </w:p>
                <w:p w14:paraId="3C3417FB">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highlight w:val="none"/>
                    </w:rPr>
                    <w:t>1</w:t>
                  </w:r>
                  <w:r>
                    <w:rPr>
                      <w:rFonts w:hint="eastAsia"/>
                      <w:highlight w:val="none"/>
                    </w:rPr>
                    <w:t>、药品字典维护</w:t>
                  </w:r>
                </w:p>
                <w:p w14:paraId="36B264E9">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rFonts w:hint="eastAsia"/>
                      <w:highlight w:val="none"/>
                    </w:rPr>
                    <w:t>系统支持对药品信息统一管理，可以维护新增的药品，修改药品信息，实现统一规范药品名称。</w:t>
                  </w:r>
                </w:p>
                <w:p w14:paraId="3F2ED020">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highlight w:val="none"/>
                    </w:rPr>
                    <w:t>2</w:t>
                  </w:r>
                  <w:r>
                    <w:rPr>
                      <w:rFonts w:hint="eastAsia"/>
                      <w:highlight w:val="none"/>
                    </w:rPr>
                    <w:t>、药品对照</w:t>
                  </w:r>
                </w:p>
                <w:p w14:paraId="33EB136C">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rFonts w:hint="eastAsia"/>
                      <w:highlight w:val="none"/>
                    </w:rPr>
                    <w:t>针对不同系统之间药品对照，系统也建立统一模块进行配置，能够灵活管理药品对照信息。</w:t>
                  </w:r>
                </w:p>
                <w:p w14:paraId="10FB14E1">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highlight w:val="none"/>
                    </w:rPr>
                    <w:t>3</w:t>
                  </w:r>
                  <w:r>
                    <w:rPr>
                      <w:rFonts w:hint="eastAsia"/>
                      <w:highlight w:val="none"/>
                    </w:rPr>
                    <w:t>、药品货柜维护</w:t>
                  </w:r>
                </w:p>
                <w:p w14:paraId="387E6EA7">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rFonts w:hint="eastAsia"/>
                      <w:highlight w:val="none"/>
                    </w:rPr>
                    <w:t>通过维护药品货柜号信息，便于后续出入库快速查找定位药品位置。</w:t>
                  </w:r>
                </w:p>
                <w:p w14:paraId="0B643369">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highlight w:val="none"/>
                    </w:rPr>
                    <w:t>4</w:t>
                  </w:r>
                  <w:r>
                    <w:rPr>
                      <w:rFonts w:hint="eastAsia"/>
                      <w:highlight w:val="none"/>
                    </w:rPr>
                    <w:t>、药品出入库类别</w:t>
                  </w:r>
                </w:p>
                <w:p w14:paraId="2819532E">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rFonts w:hint="eastAsia"/>
                      <w:highlight w:val="none"/>
                    </w:rPr>
                    <w:t>药库药房出入库类型下拉选择，系统也支持灵活配置</w:t>
                  </w:r>
                </w:p>
                <w:p w14:paraId="6A604AEE">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highlight w:val="none"/>
                    </w:rPr>
                    <w:t>5</w:t>
                  </w:r>
                  <w:r>
                    <w:rPr>
                      <w:rFonts w:hint="eastAsia"/>
                      <w:highlight w:val="none"/>
                    </w:rPr>
                    <w:t>、供应商字典</w:t>
                  </w:r>
                </w:p>
                <w:p w14:paraId="3B41CBCD">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rFonts w:hint="eastAsia"/>
                      <w:highlight w:val="none"/>
                    </w:rPr>
                    <w:t>系统支持灵活配置涉及单位信息，包括药品生产厂家、药品供应商等。</w:t>
                  </w:r>
                </w:p>
                <w:p w14:paraId="42CA81E5">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highlight w:val="none"/>
                    </w:rPr>
                    <w:t>6</w:t>
                  </w:r>
                  <w:r>
                    <w:rPr>
                      <w:rFonts w:hint="eastAsia"/>
                      <w:highlight w:val="none"/>
                    </w:rPr>
                    <w:t>、特殊药品条件设置</w:t>
                  </w:r>
                </w:p>
                <w:p w14:paraId="0CA7F034">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rFonts w:hint="eastAsia"/>
                      <w:highlight w:val="none"/>
                    </w:rPr>
                    <w:t>针对部分特殊药品用药限制，系统支持灵活配置相关规则，包括费别（控制某个药品只对某些类型患者使用，患者类型包括省医保、市医保、自费等）、科室（控制某个药品只允许某些科室使用）、职称（控制某个药品只允许某些职称医生开具）、病种（控制某个药品只允许某些病种患者使用）</w:t>
                  </w:r>
                </w:p>
                <w:p w14:paraId="734F9C32">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highlight w:val="none"/>
                    </w:rPr>
                    <w:t>7</w:t>
                  </w:r>
                  <w:r>
                    <w:rPr>
                      <w:rFonts w:hint="eastAsia"/>
                      <w:highlight w:val="none"/>
                    </w:rPr>
                    <w:t>、药品字典发送包药机字段维护</w:t>
                  </w:r>
                </w:p>
                <w:p w14:paraId="364AF218">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rFonts w:hint="eastAsia"/>
                      <w:highlight w:val="none"/>
                    </w:rPr>
                    <w:t>系统支持针对这部分药品单独管理，选中后这类药品由自动发药机发药。</w:t>
                  </w:r>
                </w:p>
                <w:p w14:paraId="5F81A893">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highlight w:val="none"/>
                    </w:rPr>
                    <w:t>8</w:t>
                  </w:r>
                  <w:r>
                    <w:rPr>
                      <w:rFonts w:hint="eastAsia"/>
                      <w:highlight w:val="none"/>
                    </w:rPr>
                    <w:t>、药品字典结余标志维护</w:t>
                  </w:r>
                </w:p>
                <w:p w14:paraId="297C3A1E">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rFonts w:hint="eastAsia"/>
                      <w:highlight w:val="none"/>
                    </w:rPr>
                    <w:t>系统针对可结余药品，提供统一维护的界面，维护成结余药品后，住院长嘱结余药品会自动根据频次自动计算，当药品使用完后生成申请单。</w:t>
                  </w:r>
                </w:p>
                <w:p w14:paraId="69681BC4">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highlight w:val="none"/>
                    </w:rPr>
                    <w:t>9</w:t>
                  </w:r>
                  <w:r>
                    <w:rPr>
                      <w:rFonts w:hint="eastAsia"/>
                      <w:highlight w:val="none"/>
                    </w:rPr>
                    <w:t>、药品字典皮试流程字段维护</w:t>
                  </w:r>
                </w:p>
                <w:p w14:paraId="4E09BFD3">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rFonts w:hint="eastAsia"/>
                      <w:highlight w:val="none"/>
                    </w:rPr>
                    <w:t>系统支持配置需要皮试的药品，并提供完善的皮试方案以供医院选择，包括三种：公用皮试剂，先皮试后取药；原液皮试剂，先取全部药品再皮试；单独开皮试处方，选取皮试药品皮试正常后才可取用药处方的药。</w:t>
                  </w:r>
                </w:p>
                <w:p w14:paraId="75A2F71D">
                  <w:pPr>
                    <w:pStyle w:val="131"/>
                    <w:pageBreakBefore w:val="0"/>
                    <w:widowControl w:val="0"/>
                    <w:kinsoku/>
                    <w:wordWrap/>
                    <w:overflowPunct/>
                    <w:topLinePunct w:val="0"/>
                    <w:autoSpaceDE/>
                    <w:autoSpaceDN/>
                    <w:bidi w:val="0"/>
                    <w:adjustRightInd/>
                    <w:snapToGrid/>
                    <w:spacing w:line="360" w:lineRule="exact"/>
                    <w:ind w:firstLine="0"/>
                    <w:textAlignment w:val="auto"/>
                    <w:rPr>
                      <w:highlight w:val="none"/>
                    </w:rPr>
                  </w:pPr>
                  <w:r>
                    <w:rPr>
                      <w:highlight w:val="none"/>
                    </w:rPr>
                    <w:t>10</w:t>
                  </w:r>
                  <w:r>
                    <w:rPr>
                      <w:rFonts w:hint="eastAsia"/>
                      <w:highlight w:val="none"/>
                    </w:rPr>
                    <w:t>、药品字典打印剂型维护</w:t>
                  </w:r>
                </w:p>
                <w:p w14:paraId="5C0732D0">
                  <w:pPr>
                    <w:pStyle w:val="131"/>
                    <w:pageBreakBefore w:val="0"/>
                    <w:widowControl w:val="0"/>
                    <w:kinsoku/>
                    <w:wordWrap/>
                    <w:overflowPunct/>
                    <w:topLinePunct w:val="0"/>
                    <w:autoSpaceDE/>
                    <w:autoSpaceDN/>
                    <w:bidi w:val="0"/>
                    <w:adjustRightInd/>
                    <w:snapToGrid/>
                    <w:spacing w:line="360" w:lineRule="exact"/>
                    <w:ind w:firstLine="0"/>
                    <w:textAlignment w:val="auto"/>
                    <w:rPr>
                      <w:rFonts w:ascii="宋体" w:hAnsi="宋体" w:cs="宋体"/>
                      <w:szCs w:val="21"/>
                      <w:highlight w:val="none"/>
                    </w:rPr>
                  </w:pPr>
                  <w:r>
                    <w:rPr>
                      <w:rFonts w:hint="eastAsia"/>
                      <w:highlight w:val="none"/>
                    </w:rPr>
                    <w:t>支持药品打印剂型批量维护。</w:t>
                  </w:r>
                </w:p>
              </w:tc>
            </w:tr>
            <w:tr w14:paraId="57374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3" w:type="dxa"/>
                  <w:vMerge w:val="continue"/>
                  <w:tcBorders>
                    <w:top w:val="single" w:color="auto" w:sz="4" w:space="0"/>
                    <w:left w:val="single" w:color="auto" w:sz="4" w:space="0"/>
                    <w:bottom w:val="single" w:color="auto" w:sz="4" w:space="0"/>
                    <w:right w:val="single" w:color="auto" w:sz="4" w:space="0"/>
                  </w:tcBorders>
                  <w:noWrap w:val="0"/>
                  <w:vAlign w:val="center"/>
                </w:tcPr>
                <w:p w14:paraId="0BF7BED9">
                  <w:pPr>
                    <w:widowControl/>
                    <w:jc w:val="left"/>
                    <w:rPr>
                      <w:rFonts w:ascii="宋体" w:hAnsi="宋体" w:cs="宋体"/>
                      <w:b/>
                      <w:color w:val="000000"/>
                      <w:sz w:val="20"/>
                      <w:szCs w:val="20"/>
                    </w:rPr>
                  </w:pPr>
                </w:p>
              </w:tc>
              <w:tc>
                <w:tcPr>
                  <w:tcW w:w="804" w:type="dxa"/>
                  <w:vMerge w:val="restart"/>
                  <w:tcBorders>
                    <w:top w:val="single" w:color="auto" w:sz="4" w:space="0"/>
                    <w:left w:val="single" w:color="auto" w:sz="4" w:space="0"/>
                    <w:bottom w:val="single" w:color="auto" w:sz="4" w:space="0"/>
                    <w:right w:val="single" w:color="auto" w:sz="4" w:space="0"/>
                  </w:tcBorders>
                  <w:noWrap w:val="0"/>
                  <w:vAlign w:val="center"/>
                </w:tcPr>
                <w:p w14:paraId="59ED18CB">
                  <w:pPr>
                    <w:rPr>
                      <w:rFonts w:ascii="宋体" w:hAnsi="宋体" w:cs="宋体"/>
                      <w:color w:val="000000"/>
                      <w:sz w:val="21"/>
                      <w:szCs w:val="21"/>
                    </w:rPr>
                  </w:pPr>
                  <w:r>
                    <w:rPr>
                      <w:rFonts w:hint="eastAsia"/>
                      <w:color w:val="000000"/>
                      <w:sz w:val="21"/>
                      <w:szCs w:val="21"/>
                    </w:rPr>
                    <w:t>数据上报管理</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39F04800">
                  <w:pPr>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sz w:val="21"/>
                      <w:szCs w:val="21"/>
                    </w:rPr>
                  </w:pPr>
                  <w:r>
                    <w:rPr>
                      <w:rFonts w:hint="eastAsia"/>
                      <w:color w:val="000000"/>
                      <w:sz w:val="21"/>
                      <w:szCs w:val="21"/>
                    </w:rPr>
                    <w:t>医疗安全（不良事件上报</w:t>
                  </w:r>
                </w:p>
              </w:tc>
              <w:tc>
                <w:tcPr>
                  <w:tcW w:w="7748" w:type="dxa"/>
                  <w:tcBorders>
                    <w:top w:val="single" w:color="auto" w:sz="4" w:space="0"/>
                    <w:left w:val="single" w:color="auto" w:sz="4" w:space="0"/>
                    <w:bottom w:val="single" w:color="auto" w:sz="4" w:space="0"/>
                    <w:right w:val="single" w:color="auto" w:sz="4" w:space="0"/>
                  </w:tcBorders>
                  <w:noWrap/>
                  <w:vAlign w:val="center"/>
                </w:tcPr>
                <w:p w14:paraId="6282578A">
                  <w:pPr>
                    <w:pStyle w:val="8"/>
                    <w:pageBreakBefore w:val="0"/>
                    <w:widowControl w:val="0"/>
                    <w:kinsoku/>
                    <w:wordWrap/>
                    <w:overflowPunct/>
                    <w:topLinePunct w:val="0"/>
                    <w:autoSpaceDE/>
                    <w:autoSpaceDN/>
                    <w:bidi w:val="0"/>
                    <w:adjustRightInd/>
                    <w:snapToGrid/>
                    <w:spacing w:line="360" w:lineRule="exact"/>
                    <w:textAlignment w:val="auto"/>
                  </w:pPr>
                  <w:r>
                    <w:rPr>
                      <w:rFonts w:hint="eastAsia"/>
                    </w:rPr>
                    <w:t>基础类不良事件上报管理</w:t>
                  </w:r>
                </w:p>
                <w:p w14:paraId="215B0983">
                  <w:pPr>
                    <w:pStyle w:val="8"/>
                    <w:pageBreakBefore w:val="0"/>
                    <w:widowControl w:val="0"/>
                    <w:kinsoku/>
                    <w:wordWrap/>
                    <w:overflowPunct/>
                    <w:topLinePunct w:val="0"/>
                    <w:autoSpaceDE/>
                    <w:autoSpaceDN/>
                    <w:bidi w:val="0"/>
                    <w:adjustRightInd/>
                    <w:snapToGrid/>
                    <w:spacing w:line="360" w:lineRule="exact"/>
                    <w:textAlignment w:val="auto"/>
                  </w:pPr>
                  <w:r>
                    <w:t>1</w:t>
                  </w:r>
                  <w:r>
                    <w:rPr>
                      <w:rFonts w:hint="eastAsia"/>
                    </w:rPr>
                    <w:t>、上报主题</w:t>
                  </w:r>
                </w:p>
                <w:p w14:paraId="38A29642">
                  <w:pPr>
                    <w:pageBreakBefore w:val="0"/>
                    <w:widowControl w:val="0"/>
                    <w:kinsoku/>
                    <w:wordWrap/>
                    <w:overflowPunct/>
                    <w:topLinePunct w:val="0"/>
                    <w:autoSpaceDE/>
                    <w:autoSpaceDN/>
                    <w:bidi w:val="0"/>
                    <w:adjustRightInd/>
                    <w:snapToGrid/>
                    <w:spacing w:line="360" w:lineRule="exact"/>
                    <w:textAlignment w:val="auto"/>
                  </w:pPr>
                  <w:r>
                    <w:rPr>
                      <w:rFonts w:hint="eastAsia"/>
                    </w:rPr>
                    <w:t>基础类不良事件上报主题包含医疗类不良事件、护理类不良事件</w:t>
                  </w:r>
                  <w:r>
                    <w:rPr>
                      <w:rFonts w:hint="eastAsia"/>
                      <w:lang w:eastAsia="zh-CN"/>
                    </w:rPr>
                    <w:t>、</w:t>
                  </w:r>
                  <w:r>
                    <w:rPr>
                      <w:rFonts w:hint="eastAsia"/>
                    </w:rPr>
                    <w:t>院感类不良事件</w:t>
                  </w:r>
                  <w:r>
                    <w:rPr>
                      <w:rFonts w:hint="eastAsia"/>
                      <w:lang w:eastAsia="zh-CN"/>
                    </w:rPr>
                    <w:t>、</w:t>
                  </w:r>
                  <w:r>
                    <w:rPr>
                      <w:rFonts w:hint="eastAsia"/>
                    </w:rPr>
                    <w:t>医疗设备与耗材不良事件</w:t>
                  </w:r>
                  <w:r>
                    <w:rPr>
                      <w:rFonts w:hint="eastAsia"/>
                      <w:lang w:val="en-US" w:eastAsia="zh-CN"/>
                    </w:rPr>
                    <w:t>几</w:t>
                  </w:r>
                  <w:r>
                    <w:rPr>
                      <w:rFonts w:hint="eastAsia"/>
                    </w:rPr>
                    <w:t>大类。</w:t>
                  </w:r>
                </w:p>
                <w:p w14:paraId="788E88D7">
                  <w:pPr>
                    <w:pStyle w:val="131"/>
                    <w:pageBreakBefore w:val="0"/>
                    <w:widowControl w:val="0"/>
                    <w:kinsoku/>
                    <w:wordWrap/>
                    <w:overflowPunct/>
                    <w:topLinePunct w:val="0"/>
                    <w:autoSpaceDE/>
                    <w:autoSpaceDN/>
                    <w:bidi w:val="0"/>
                    <w:adjustRightInd/>
                    <w:snapToGrid/>
                    <w:spacing w:line="360" w:lineRule="exact"/>
                    <w:ind w:firstLine="0"/>
                    <w:textAlignment w:val="auto"/>
                    <w:rPr>
                      <w:b/>
                    </w:rPr>
                  </w:pPr>
                  <w:r>
                    <w:rPr>
                      <w:b/>
                    </w:rPr>
                    <w:t>1.1</w:t>
                  </w:r>
                  <w:r>
                    <w:rPr>
                      <w:rFonts w:hint="eastAsia"/>
                      <w:b/>
                    </w:rPr>
                    <w:t>医疗类不良事件</w:t>
                  </w:r>
                </w:p>
                <w:p w14:paraId="235D76AA">
                  <w:pPr>
                    <w:pageBreakBefore w:val="0"/>
                    <w:widowControl w:val="0"/>
                    <w:kinsoku/>
                    <w:wordWrap/>
                    <w:overflowPunct/>
                    <w:topLinePunct w:val="0"/>
                    <w:autoSpaceDE/>
                    <w:autoSpaceDN/>
                    <w:bidi w:val="0"/>
                    <w:adjustRightInd/>
                    <w:snapToGrid/>
                    <w:spacing w:line="360" w:lineRule="exact"/>
                    <w:textAlignment w:val="auto"/>
                  </w:pPr>
                  <w:r>
                    <w:rPr>
                      <w:rFonts w:hint="eastAsia"/>
                    </w:rPr>
                    <w:t>医疗类不良事件是因医疗诊断或治疗失误导致患者出现严重并发症、非正常死亡、严重功能障碍、住院时间延长或住院费用增加及其他非预期的事件，包括：医疗信息传递错误事件、治疗错误事件、方法／技术错误事件、药物医嘱</w:t>
                  </w:r>
                  <w:r>
                    <w:t>/</w:t>
                  </w:r>
                  <w:r>
                    <w:rPr>
                      <w:rFonts w:hint="eastAsia"/>
                    </w:rPr>
                    <w:t>使用错误（医生）、检查导致事件、麻醉事件、诊疗记录事件、知情同意事件、非预期事件、手术事件、医疗投诉事件、产伤事件、呼吸机事件、择期手术后并发症事件、医源性气胸事件、医源性意外穿刺或撕裂伤事件、其他医疗不良事件。</w:t>
                  </w:r>
                </w:p>
                <w:p w14:paraId="0A79A613">
                  <w:pPr>
                    <w:pageBreakBefore w:val="0"/>
                    <w:widowControl w:val="0"/>
                    <w:kinsoku/>
                    <w:wordWrap/>
                    <w:overflowPunct/>
                    <w:topLinePunct w:val="0"/>
                    <w:autoSpaceDE/>
                    <w:autoSpaceDN/>
                    <w:bidi w:val="0"/>
                    <w:adjustRightInd/>
                    <w:snapToGrid/>
                    <w:spacing w:line="360" w:lineRule="exact"/>
                    <w:textAlignment w:val="auto"/>
                    <w:rPr>
                      <w:b/>
                      <w:bCs/>
                    </w:rPr>
                  </w:pPr>
                  <w:r>
                    <w:rPr>
                      <w:b/>
                      <w:bCs/>
                    </w:rPr>
                    <w:t>1.1.1</w:t>
                  </w:r>
                  <w:r>
                    <w:rPr>
                      <w:rFonts w:hint="eastAsia"/>
                      <w:b/>
                      <w:bCs/>
                    </w:rPr>
                    <w:t>、医疗类不良事件上报流程维护</w:t>
                  </w:r>
                </w:p>
                <w:p w14:paraId="3D96D557">
                  <w:pPr>
                    <w:pageBreakBefore w:val="0"/>
                    <w:widowControl w:val="0"/>
                    <w:kinsoku/>
                    <w:wordWrap/>
                    <w:overflowPunct/>
                    <w:topLinePunct w:val="0"/>
                    <w:autoSpaceDE/>
                    <w:autoSpaceDN/>
                    <w:bidi w:val="0"/>
                    <w:adjustRightInd/>
                    <w:snapToGrid/>
                    <w:spacing w:line="360" w:lineRule="exact"/>
                    <w:textAlignment w:val="auto"/>
                  </w:pPr>
                  <w:r>
                    <w:rPr>
                      <w:rFonts w:hint="eastAsia"/>
                    </w:rPr>
                    <w:t>医疗类不良事件由医务处归口管理。系统提供医疗类不良事件审批处理管理流程自定义维护功能，支持分科室分级管理机制，审核流程节点灵活配置，满足医院不同管理方式。</w:t>
                  </w:r>
                </w:p>
                <w:p w14:paraId="172FA31F">
                  <w:pPr>
                    <w:pageBreakBefore w:val="0"/>
                    <w:widowControl w:val="0"/>
                    <w:kinsoku/>
                    <w:wordWrap/>
                    <w:overflowPunct/>
                    <w:topLinePunct w:val="0"/>
                    <w:autoSpaceDE/>
                    <w:autoSpaceDN/>
                    <w:bidi w:val="0"/>
                    <w:adjustRightInd/>
                    <w:snapToGrid/>
                    <w:spacing w:line="360" w:lineRule="exact"/>
                    <w:textAlignment w:val="auto"/>
                    <w:rPr>
                      <w:b/>
                      <w:bCs/>
                    </w:rPr>
                  </w:pPr>
                  <w:r>
                    <w:rPr>
                      <w:b/>
                      <w:bCs/>
                    </w:rPr>
                    <w:t>1.1.2</w:t>
                  </w:r>
                  <w:r>
                    <w:rPr>
                      <w:rFonts w:hint="eastAsia"/>
                      <w:b/>
                      <w:bCs/>
                    </w:rPr>
                    <w:t>、医疗类不良事件上报表单模板管理</w:t>
                  </w:r>
                </w:p>
                <w:p w14:paraId="75F31E2A">
                  <w:pPr>
                    <w:pageBreakBefore w:val="0"/>
                    <w:widowControl w:val="0"/>
                    <w:kinsoku/>
                    <w:wordWrap/>
                    <w:overflowPunct/>
                    <w:topLinePunct w:val="0"/>
                    <w:autoSpaceDE/>
                    <w:autoSpaceDN/>
                    <w:bidi w:val="0"/>
                    <w:adjustRightInd/>
                    <w:snapToGrid/>
                    <w:spacing w:line="360" w:lineRule="exact"/>
                    <w:textAlignment w:val="auto"/>
                  </w:pPr>
                  <w:r>
                    <w:rPr>
                      <w:rFonts w:hint="eastAsia"/>
                    </w:rPr>
                    <w:t>提供医疗类不良事件上报表单模板，快速进行各类医疗不良事件上报，上报表单可依据医院管理需求自定义修改维护。</w:t>
                  </w:r>
                </w:p>
                <w:p w14:paraId="2F0A35D5">
                  <w:pPr>
                    <w:pStyle w:val="131"/>
                    <w:pageBreakBefore w:val="0"/>
                    <w:widowControl w:val="0"/>
                    <w:kinsoku/>
                    <w:wordWrap/>
                    <w:overflowPunct/>
                    <w:topLinePunct w:val="0"/>
                    <w:autoSpaceDE/>
                    <w:autoSpaceDN/>
                    <w:bidi w:val="0"/>
                    <w:adjustRightInd/>
                    <w:snapToGrid/>
                    <w:spacing w:line="360" w:lineRule="exact"/>
                    <w:ind w:firstLine="0"/>
                    <w:textAlignment w:val="auto"/>
                    <w:rPr>
                      <w:b/>
                    </w:rPr>
                  </w:pPr>
                  <w:r>
                    <w:rPr>
                      <w:b/>
                    </w:rPr>
                    <w:t>1.2</w:t>
                  </w:r>
                  <w:r>
                    <w:rPr>
                      <w:rFonts w:hint="eastAsia"/>
                      <w:b/>
                    </w:rPr>
                    <w:t>护理类不良事件</w:t>
                  </w:r>
                </w:p>
                <w:p w14:paraId="51C183F1">
                  <w:pPr>
                    <w:pageBreakBefore w:val="0"/>
                    <w:widowControl w:val="0"/>
                    <w:kinsoku/>
                    <w:wordWrap/>
                    <w:overflowPunct/>
                    <w:topLinePunct w:val="0"/>
                    <w:autoSpaceDE/>
                    <w:autoSpaceDN/>
                    <w:bidi w:val="0"/>
                    <w:adjustRightInd/>
                    <w:snapToGrid/>
                    <w:spacing w:line="360" w:lineRule="exact"/>
                    <w:textAlignment w:val="auto"/>
                  </w:pPr>
                  <w:r>
                    <w:rPr>
                      <w:rFonts w:hint="eastAsia"/>
                    </w:rPr>
                    <w:t>护理类不良事件是病人在住院期间发生的护理意外事件，包括导管事件、跌倒／坠床事件、烧烫伤事件、给药错误（护士）、未按医嘱执行禁食禁水事件、误吸／误咽事件、营养与饮食事件、压疮事件、窒息事件、约束事件、静脉炎事件、输液药物渗漏事件、患者自杀自伤事件、患者冲动伤人</w:t>
                  </w:r>
                  <w:r>
                    <w:t>/</w:t>
                  </w:r>
                  <w:r>
                    <w:rPr>
                      <w:rFonts w:hint="eastAsia"/>
                    </w:rPr>
                    <w:t>损物事件、患者走失事件、其他护理不良事件。</w:t>
                  </w:r>
                </w:p>
                <w:p w14:paraId="362579C5">
                  <w:pPr>
                    <w:pageBreakBefore w:val="0"/>
                    <w:widowControl w:val="0"/>
                    <w:kinsoku/>
                    <w:wordWrap/>
                    <w:overflowPunct/>
                    <w:topLinePunct w:val="0"/>
                    <w:autoSpaceDE/>
                    <w:autoSpaceDN/>
                    <w:bidi w:val="0"/>
                    <w:adjustRightInd/>
                    <w:snapToGrid/>
                    <w:spacing w:line="360" w:lineRule="exact"/>
                    <w:textAlignment w:val="auto"/>
                  </w:pPr>
                  <w:r>
                    <w:rPr>
                      <w:rFonts w:hint="eastAsia"/>
                    </w:rPr>
                    <w:t>护理类不良事件上报后，由护理部组织多科室、多专业护理人员每月对上报的事件进行分析讨论，主要采用趋势分析和个案分析。趋势分析包括科室内部的纵向比较、与其他科室的横向比较。通过讨论，制定整改措施，并组织全院护理人员认真研究、严格实施，消除护理隐患及缺陷。</w:t>
                  </w:r>
                </w:p>
                <w:p w14:paraId="095E422D">
                  <w:pPr>
                    <w:pageBreakBefore w:val="0"/>
                    <w:widowControl w:val="0"/>
                    <w:kinsoku/>
                    <w:wordWrap/>
                    <w:overflowPunct/>
                    <w:topLinePunct w:val="0"/>
                    <w:autoSpaceDE/>
                    <w:autoSpaceDN/>
                    <w:bidi w:val="0"/>
                    <w:adjustRightInd/>
                    <w:snapToGrid/>
                    <w:spacing w:line="360" w:lineRule="exact"/>
                    <w:textAlignment w:val="auto"/>
                    <w:rPr>
                      <w:b/>
                      <w:bCs/>
                    </w:rPr>
                  </w:pPr>
                  <w:r>
                    <w:rPr>
                      <w:b/>
                      <w:bCs/>
                    </w:rPr>
                    <w:t>1.2.1</w:t>
                  </w:r>
                  <w:r>
                    <w:rPr>
                      <w:rFonts w:hint="eastAsia"/>
                      <w:b/>
                      <w:bCs/>
                    </w:rPr>
                    <w:t>、护理类不良事件上报流程维护</w:t>
                  </w:r>
                </w:p>
                <w:p w14:paraId="44AF98E6">
                  <w:pPr>
                    <w:pageBreakBefore w:val="0"/>
                    <w:widowControl w:val="0"/>
                    <w:kinsoku/>
                    <w:wordWrap/>
                    <w:overflowPunct/>
                    <w:topLinePunct w:val="0"/>
                    <w:autoSpaceDE/>
                    <w:autoSpaceDN/>
                    <w:bidi w:val="0"/>
                    <w:adjustRightInd/>
                    <w:snapToGrid/>
                    <w:spacing w:line="360" w:lineRule="exact"/>
                    <w:textAlignment w:val="auto"/>
                  </w:pPr>
                  <w:r>
                    <w:rPr>
                      <w:rFonts w:hint="eastAsia"/>
                    </w:rPr>
                    <w:t>护理类不良事件由护理部归口管理。系统提供护理类不良事件审批处理管理流程自定义维护功能，支持分科室分级管理机制，审核流程节点灵活配置，满足医院不同管理方式。</w:t>
                  </w:r>
                </w:p>
                <w:p w14:paraId="5EC73B1B">
                  <w:pPr>
                    <w:pageBreakBefore w:val="0"/>
                    <w:widowControl w:val="0"/>
                    <w:kinsoku/>
                    <w:wordWrap/>
                    <w:overflowPunct/>
                    <w:topLinePunct w:val="0"/>
                    <w:autoSpaceDE/>
                    <w:autoSpaceDN/>
                    <w:bidi w:val="0"/>
                    <w:adjustRightInd/>
                    <w:snapToGrid/>
                    <w:spacing w:line="360" w:lineRule="exact"/>
                    <w:textAlignment w:val="auto"/>
                    <w:rPr>
                      <w:b/>
                      <w:bCs/>
                    </w:rPr>
                  </w:pPr>
                  <w:r>
                    <w:rPr>
                      <w:b/>
                      <w:bCs/>
                    </w:rPr>
                    <w:t>1.2.2</w:t>
                  </w:r>
                  <w:r>
                    <w:rPr>
                      <w:rFonts w:hint="eastAsia"/>
                      <w:b/>
                      <w:bCs/>
                    </w:rPr>
                    <w:t>、护理类不良事件上报表单模板管理</w:t>
                  </w:r>
                </w:p>
                <w:p w14:paraId="6D983443">
                  <w:pPr>
                    <w:pageBreakBefore w:val="0"/>
                    <w:widowControl w:val="0"/>
                    <w:kinsoku/>
                    <w:wordWrap/>
                    <w:overflowPunct/>
                    <w:topLinePunct w:val="0"/>
                    <w:autoSpaceDE/>
                    <w:autoSpaceDN/>
                    <w:bidi w:val="0"/>
                    <w:adjustRightInd/>
                    <w:snapToGrid/>
                    <w:spacing w:line="360" w:lineRule="exact"/>
                    <w:textAlignment w:val="auto"/>
                  </w:pPr>
                  <w:r>
                    <w:rPr>
                      <w:rFonts w:hint="eastAsia"/>
                    </w:rPr>
                    <w:t>提供护理类不良事件上报表单模板，快速进行各类护理不良事件上报，上报表单可依据医院管理需求自定义修改维护。</w:t>
                  </w:r>
                </w:p>
                <w:p w14:paraId="00154F54">
                  <w:pPr>
                    <w:pStyle w:val="131"/>
                    <w:pageBreakBefore w:val="0"/>
                    <w:widowControl w:val="0"/>
                    <w:kinsoku/>
                    <w:wordWrap/>
                    <w:overflowPunct/>
                    <w:topLinePunct w:val="0"/>
                    <w:autoSpaceDE/>
                    <w:autoSpaceDN/>
                    <w:bidi w:val="0"/>
                    <w:adjustRightInd/>
                    <w:snapToGrid/>
                    <w:spacing w:line="360" w:lineRule="exact"/>
                    <w:ind w:firstLine="0"/>
                    <w:textAlignment w:val="auto"/>
                    <w:rPr>
                      <w:b/>
                    </w:rPr>
                  </w:pPr>
                  <w:r>
                    <w:rPr>
                      <w:b/>
                    </w:rPr>
                    <w:t>1.3</w:t>
                  </w:r>
                  <w:r>
                    <w:rPr>
                      <w:rFonts w:hint="eastAsia"/>
                      <w:b/>
                    </w:rPr>
                    <w:t>、院感类不良事件</w:t>
                  </w:r>
                </w:p>
                <w:p w14:paraId="1B14500D">
                  <w:pPr>
                    <w:pageBreakBefore w:val="0"/>
                    <w:widowControl w:val="0"/>
                    <w:kinsoku/>
                    <w:wordWrap/>
                    <w:overflowPunct/>
                    <w:topLinePunct w:val="0"/>
                    <w:autoSpaceDE/>
                    <w:autoSpaceDN/>
                    <w:bidi w:val="0"/>
                    <w:adjustRightInd/>
                    <w:snapToGrid/>
                    <w:spacing w:line="360" w:lineRule="exact"/>
                    <w:textAlignment w:val="auto"/>
                  </w:pPr>
                  <w:r>
                    <w:rPr>
                      <w:rFonts w:hint="eastAsia"/>
                    </w:rPr>
                    <w:t>院感类不良事件是在院内发生的感染等事件，包括：疑似院感暴发预警事件、血液滤过</w:t>
                  </w:r>
                  <w:r>
                    <w:t>/</w:t>
                  </w:r>
                  <w:r>
                    <w:rPr>
                      <w:rFonts w:hint="eastAsia"/>
                    </w:rPr>
                    <w:t>血液置换感染事件、环境卫生学监测事件、院内感染个案、医疗废物事件、其他院感不良事件。</w:t>
                  </w:r>
                </w:p>
                <w:p w14:paraId="188004FF">
                  <w:pPr>
                    <w:pageBreakBefore w:val="0"/>
                    <w:widowControl w:val="0"/>
                    <w:kinsoku/>
                    <w:wordWrap/>
                    <w:overflowPunct/>
                    <w:topLinePunct w:val="0"/>
                    <w:autoSpaceDE/>
                    <w:autoSpaceDN/>
                    <w:bidi w:val="0"/>
                    <w:adjustRightInd/>
                    <w:snapToGrid/>
                    <w:spacing w:line="360" w:lineRule="exact"/>
                    <w:textAlignment w:val="auto"/>
                    <w:rPr>
                      <w:b/>
                      <w:bCs/>
                    </w:rPr>
                  </w:pPr>
                  <w:r>
                    <w:rPr>
                      <w:b/>
                      <w:bCs/>
                    </w:rPr>
                    <w:t>1.3.1</w:t>
                  </w:r>
                  <w:r>
                    <w:rPr>
                      <w:rFonts w:hint="eastAsia"/>
                      <w:b/>
                      <w:bCs/>
                    </w:rPr>
                    <w:t>、院感类不良事件上报流程维护</w:t>
                  </w:r>
                </w:p>
                <w:p w14:paraId="6A2DC58C">
                  <w:pPr>
                    <w:pageBreakBefore w:val="0"/>
                    <w:widowControl w:val="0"/>
                    <w:kinsoku/>
                    <w:wordWrap/>
                    <w:overflowPunct/>
                    <w:topLinePunct w:val="0"/>
                    <w:autoSpaceDE/>
                    <w:autoSpaceDN/>
                    <w:bidi w:val="0"/>
                    <w:adjustRightInd/>
                    <w:snapToGrid/>
                    <w:spacing w:line="360" w:lineRule="exact"/>
                    <w:textAlignment w:val="auto"/>
                  </w:pPr>
                  <w:r>
                    <w:rPr>
                      <w:rFonts w:hint="eastAsia"/>
                    </w:rPr>
                    <w:t>院感类不良事件由院感科归口管理。系统提供院感类不良事件审批处理管理流程自定义维护功能，支持分科室分级管理机制，审核流程节点灵活配置，满足医院不同管理方式。</w:t>
                  </w:r>
                </w:p>
                <w:p w14:paraId="33A0639A">
                  <w:pPr>
                    <w:pageBreakBefore w:val="0"/>
                    <w:widowControl w:val="0"/>
                    <w:kinsoku/>
                    <w:wordWrap/>
                    <w:overflowPunct/>
                    <w:topLinePunct w:val="0"/>
                    <w:autoSpaceDE/>
                    <w:autoSpaceDN/>
                    <w:bidi w:val="0"/>
                    <w:adjustRightInd/>
                    <w:snapToGrid/>
                    <w:spacing w:line="360" w:lineRule="exact"/>
                    <w:textAlignment w:val="auto"/>
                    <w:rPr>
                      <w:b/>
                      <w:bCs/>
                    </w:rPr>
                  </w:pPr>
                  <w:r>
                    <w:rPr>
                      <w:b/>
                      <w:bCs/>
                    </w:rPr>
                    <w:t>1.3.2</w:t>
                  </w:r>
                  <w:r>
                    <w:rPr>
                      <w:rFonts w:hint="eastAsia"/>
                      <w:b/>
                      <w:bCs/>
                    </w:rPr>
                    <w:t>、院感类不良事件上报表单模板管理</w:t>
                  </w:r>
                </w:p>
                <w:p w14:paraId="5385BB98">
                  <w:pPr>
                    <w:pageBreakBefore w:val="0"/>
                    <w:widowControl w:val="0"/>
                    <w:kinsoku/>
                    <w:wordWrap/>
                    <w:overflowPunct/>
                    <w:topLinePunct w:val="0"/>
                    <w:autoSpaceDE/>
                    <w:autoSpaceDN/>
                    <w:bidi w:val="0"/>
                    <w:adjustRightInd/>
                    <w:snapToGrid/>
                    <w:spacing w:line="360" w:lineRule="exact"/>
                    <w:textAlignment w:val="auto"/>
                  </w:pPr>
                  <w:r>
                    <w:rPr>
                      <w:rFonts w:hint="eastAsia"/>
                    </w:rPr>
                    <w:t>提供院感类不良事件上报表单模板，快速进行各类院感不良事件上报，上报表单可依据医院管理需求自定义修改维护。</w:t>
                  </w:r>
                </w:p>
                <w:p w14:paraId="4D0FBA28">
                  <w:pPr>
                    <w:pStyle w:val="131"/>
                    <w:pageBreakBefore w:val="0"/>
                    <w:widowControl w:val="0"/>
                    <w:kinsoku/>
                    <w:wordWrap/>
                    <w:overflowPunct/>
                    <w:topLinePunct w:val="0"/>
                    <w:autoSpaceDE/>
                    <w:autoSpaceDN/>
                    <w:bidi w:val="0"/>
                    <w:adjustRightInd/>
                    <w:snapToGrid/>
                    <w:spacing w:line="360" w:lineRule="exact"/>
                    <w:ind w:firstLine="0"/>
                    <w:textAlignment w:val="auto"/>
                    <w:rPr>
                      <w:b/>
                    </w:rPr>
                  </w:pPr>
                  <w:r>
                    <w:rPr>
                      <w:b/>
                    </w:rPr>
                    <w:t>1.4</w:t>
                  </w:r>
                  <w:r>
                    <w:rPr>
                      <w:rFonts w:hint="eastAsia"/>
                      <w:b/>
                    </w:rPr>
                    <w:t>、事件上报</w:t>
                  </w:r>
                </w:p>
                <w:p w14:paraId="4BBFE7D7">
                  <w:pPr>
                    <w:pageBreakBefore w:val="0"/>
                    <w:widowControl w:val="0"/>
                    <w:kinsoku/>
                    <w:wordWrap/>
                    <w:overflowPunct/>
                    <w:topLinePunct w:val="0"/>
                    <w:autoSpaceDE/>
                    <w:autoSpaceDN/>
                    <w:bidi w:val="0"/>
                    <w:adjustRightInd/>
                    <w:snapToGrid/>
                    <w:spacing w:line="360" w:lineRule="exact"/>
                    <w:textAlignment w:val="auto"/>
                  </w:pPr>
                  <w:r>
                    <w:rPr>
                      <w:rFonts w:hint="eastAsia"/>
                    </w:rPr>
                    <w:t>事件上报模块，提供按基础类不良事件上报表单模板对事件内容统一规范、快速便捷地填写上报。系统支持普通上报、快速上报和匿名上报；支持自动调取患者相关基本信息及查看患者全息视图查阅患者详细信息；支持事件原因鱼骨图分析以及事件草稿箱。</w:t>
                  </w:r>
                </w:p>
                <w:p w14:paraId="679999E8">
                  <w:pPr>
                    <w:pStyle w:val="131"/>
                    <w:pageBreakBefore w:val="0"/>
                    <w:widowControl w:val="0"/>
                    <w:kinsoku/>
                    <w:wordWrap/>
                    <w:overflowPunct/>
                    <w:topLinePunct w:val="0"/>
                    <w:autoSpaceDE/>
                    <w:autoSpaceDN/>
                    <w:bidi w:val="0"/>
                    <w:adjustRightInd/>
                    <w:snapToGrid/>
                    <w:spacing w:line="360" w:lineRule="exact"/>
                    <w:ind w:firstLine="0"/>
                    <w:textAlignment w:val="auto"/>
                    <w:rPr>
                      <w:b/>
                    </w:rPr>
                  </w:pPr>
                  <w:r>
                    <w:rPr>
                      <w:b/>
                    </w:rPr>
                    <w:t>1.5</w:t>
                  </w:r>
                  <w:r>
                    <w:rPr>
                      <w:rFonts w:hint="eastAsia"/>
                      <w:b/>
                    </w:rPr>
                    <w:t>、快速上报</w:t>
                  </w:r>
                </w:p>
                <w:p w14:paraId="49F626B1">
                  <w:pPr>
                    <w:pageBreakBefore w:val="0"/>
                    <w:widowControl w:val="0"/>
                    <w:kinsoku/>
                    <w:wordWrap/>
                    <w:overflowPunct/>
                    <w:topLinePunct w:val="0"/>
                    <w:autoSpaceDE/>
                    <w:autoSpaceDN/>
                    <w:bidi w:val="0"/>
                    <w:adjustRightInd/>
                    <w:snapToGrid/>
                    <w:spacing w:line="360" w:lineRule="exact"/>
                    <w:textAlignment w:val="auto"/>
                  </w:pPr>
                  <w:r>
                    <w:rPr>
                      <w:rFonts w:hint="eastAsia"/>
                    </w:rPr>
                    <w:t>系统面向全院临床科室提供不良事件通过本系统的普通上报和通过业务系统的快速上报。通过上报表单模板，快速勾选录入事件内容（包括患者信息、事件信息及经</w:t>
                  </w:r>
                  <w:r>
                    <w:tab/>
                  </w:r>
                  <w:r>
                    <w:rPr>
                      <w:rFonts w:hint="eastAsia"/>
                    </w:rPr>
                    <w:t>过等），提供患者信息自动获取功能以及一键调阅查看患者全息视图功能，支持附件上传功能，减少不良事件内容的人工录入，提高上报工作效率。</w:t>
                  </w:r>
                </w:p>
                <w:p w14:paraId="4A7F6E77">
                  <w:pPr>
                    <w:pageBreakBefore w:val="0"/>
                    <w:widowControl w:val="0"/>
                    <w:kinsoku/>
                    <w:wordWrap/>
                    <w:overflowPunct/>
                    <w:topLinePunct w:val="0"/>
                    <w:autoSpaceDE/>
                    <w:autoSpaceDN/>
                    <w:bidi w:val="0"/>
                    <w:adjustRightInd/>
                    <w:snapToGrid/>
                    <w:spacing w:line="360" w:lineRule="exact"/>
                    <w:textAlignment w:val="auto"/>
                  </w:pPr>
                  <w:r>
                    <w:rPr>
                      <w:rFonts w:hint="eastAsia"/>
                    </w:rPr>
                    <w:t>患者信息自动获取：与医院现有相关系统紧密无缝结合，不良事件上报时患者的基本信息能够从医院</w:t>
                  </w:r>
                  <w:r>
                    <w:t>HIS</w:t>
                  </w:r>
                  <w:r>
                    <w:rPr>
                      <w:rFonts w:hint="eastAsia"/>
                    </w:rPr>
                    <w:t>、病案管理系统中自动调取，具体为在上报表单输入住院号或者门诊号后点击查询可自动获取带出患者相关信息。</w:t>
                  </w:r>
                </w:p>
                <w:p w14:paraId="525DD99C">
                  <w:pPr>
                    <w:pageBreakBefore w:val="0"/>
                    <w:widowControl w:val="0"/>
                    <w:kinsoku/>
                    <w:wordWrap/>
                    <w:overflowPunct/>
                    <w:topLinePunct w:val="0"/>
                    <w:autoSpaceDE/>
                    <w:autoSpaceDN/>
                    <w:bidi w:val="0"/>
                    <w:adjustRightInd/>
                    <w:snapToGrid/>
                    <w:spacing w:line="360" w:lineRule="exact"/>
                    <w:textAlignment w:val="auto"/>
                  </w:pPr>
                  <w:r>
                    <w:rPr>
                      <w:rFonts w:hint="eastAsia"/>
                    </w:rPr>
                    <w:t>患者全息视图调阅：系统提供跳转调阅集成视图查看患者详细就诊信息。</w:t>
                  </w:r>
                </w:p>
                <w:p w14:paraId="06DC5715">
                  <w:pPr>
                    <w:pStyle w:val="131"/>
                    <w:pageBreakBefore w:val="0"/>
                    <w:widowControl w:val="0"/>
                    <w:kinsoku/>
                    <w:wordWrap/>
                    <w:overflowPunct/>
                    <w:topLinePunct w:val="0"/>
                    <w:autoSpaceDE/>
                    <w:autoSpaceDN/>
                    <w:bidi w:val="0"/>
                    <w:adjustRightInd/>
                    <w:snapToGrid/>
                    <w:spacing w:line="360" w:lineRule="exact"/>
                    <w:ind w:firstLine="0"/>
                    <w:textAlignment w:val="auto"/>
                    <w:rPr>
                      <w:b/>
                    </w:rPr>
                  </w:pPr>
                  <w:r>
                    <w:rPr>
                      <w:b/>
                    </w:rPr>
                    <w:t>1.6</w:t>
                  </w:r>
                  <w:r>
                    <w:rPr>
                      <w:rFonts w:hint="eastAsia"/>
                      <w:b/>
                    </w:rPr>
                    <w:t>、匿名上报</w:t>
                  </w:r>
                </w:p>
                <w:p w14:paraId="559F24A2">
                  <w:pPr>
                    <w:pageBreakBefore w:val="0"/>
                    <w:widowControl w:val="0"/>
                    <w:kinsoku/>
                    <w:wordWrap/>
                    <w:overflowPunct/>
                    <w:topLinePunct w:val="0"/>
                    <w:autoSpaceDE/>
                    <w:autoSpaceDN/>
                    <w:bidi w:val="0"/>
                    <w:adjustRightInd/>
                    <w:snapToGrid/>
                    <w:spacing w:line="360" w:lineRule="exact"/>
                    <w:textAlignment w:val="auto"/>
                  </w:pPr>
                  <w:r>
                    <w:rPr>
                      <w:rFonts w:hint="eastAsia"/>
                    </w:rPr>
                    <w:t>系统提供匿名登录上报和用户匿名上报功能，保护上报人的隐私，鼓励全院上报积极性，保障不良事件报告制度监测自愿性、保密性、非处罚性和公开性的特征。</w:t>
                  </w:r>
                </w:p>
                <w:p w14:paraId="6D62650A">
                  <w:pPr>
                    <w:pageBreakBefore w:val="0"/>
                    <w:widowControl w:val="0"/>
                    <w:kinsoku/>
                    <w:wordWrap/>
                    <w:overflowPunct/>
                    <w:topLinePunct w:val="0"/>
                    <w:autoSpaceDE/>
                    <w:autoSpaceDN/>
                    <w:bidi w:val="0"/>
                    <w:adjustRightInd/>
                    <w:snapToGrid/>
                    <w:spacing w:line="360" w:lineRule="exact"/>
                    <w:textAlignment w:val="auto"/>
                  </w:pPr>
                  <w:r>
                    <w:rPr>
                      <w:rFonts w:hint="eastAsia"/>
                    </w:rPr>
                    <w:t>匿名登录：系统支持匿名登录，上报人可用匿名账号上报不良事件。</w:t>
                  </w:r>
                </w:p>
                <w:p w14:paraId="1423B319">
                  <w:pPr>
                    <w:pageBreakBefore w:val="0"/>
                    <w:widowControl w:val="0"/>
                    <w:kinsoku/>
                    <w:wordWrap/>
                    <w:overflowPunct/>
                    <w:topLinePunct w:val="0"/>
                    <w:autoSpaceDE/>
                    <w:autoSpaceDN/>
                    <w:bidi w:val="0"/>
                    <w:adjustRightInd/>
                    <w:snapToGrid/>
                    <w:spacing w:line="360" w:lineRule="exact"/>
                    <w:textAlignment w:val="auto"/>
                  </w:pPr>
                  <w:r>
                    <w:rPr>
                      <w:rFonts w:hint="eastAsia"/>
                    </w:rPr>
                    <w:t>匿名上报：上报人提交不良事件上报表单时支持选择匿名上报，则上报人姓名、所属科室及上报人联系电话等相关个人信息被隐藏无法查看。</w:t>
                  </w:r>
                </w:p>
                <w:p w14:paraId="549D62B8">
                  <w:pPr>
                    <w:pStyle w:val="131"/>
                    <w:pageBreakBefore w:val="0"/>
                    <w:widowControl w:val="0"/>
                    <w:kinsoku/>
                    <w:wordWrap/>
                    <w:overflowPunct/>
                    <w:topLinePunct w:val="0"/>
                    <w:autoSpaceDE/>
                    <w:autoSpaceDN/>
                    <w:bidi w:val="0"/>
                    <w:adjustRightInd/>
                    <w:snapToGrid/>
                    <w:spacing w:line="360" w:lineRule="exact"/>
                    <w:ind w:firstLine="0"/>
                    <w:textAlignment w:val="auto"/>
                    <w:rPr>
                      <w:b/>
                    </w:rPr>
                  </w:pPr>
                  <w:r>
                    <w:rPr>
                      <w:b/>
                    </w:rPr>
                    <w:t>1.7</w:t>
                  </w:r>
                  <w:r>
                    <w:rPr>
                      <w:rFonts w:hint="eastAsia"/>
                      <w:b/>
                    </w:rPr>
                    <w:t>、事件草稿箱</w:t>
                  </w:r>
                </w:p>
                <w:p w14:paraId="6A5875C0">
                  <w:pPr>
                    <w:pageBreakBefore w:val="0"/>
                    <w:widowControl w:val="0"/>
                    <w:kinsoku/>
                    <w:wordWrap/>
                    <w:overflowPunct/>
                    <w:topLinePunct w:val="0"/>
                    <w:autoSpaceDE/>
                    <w:autoSpaceDN/>
                    <w:bidi w:val="0"/>
                    <w:adjustRightInd/>
                    <w:snapToGrid/>
                    <w:spacing w:line="360" w:lineRule="exact"/>
                    <w:textAlignment w:val="auto"/>
                  </w:pPr>
                  <w:r>
                    <w:rPr>
                      <w:rFonts w:hint="eastAsia"/>
                    </w:rPr>
                    <w:t>不良事件上报提供上报表单暂存至草稿箱功能，草稿箱里的上报表单支持表单内容的多次编辑修订。</w:t>
                  </w:r>
                </w:p>
                <w:p w14:paraId="52DE6B28">
                  <w:pPr>
                    <w:pStyle w:val="131"/>
                    <w:pageBreakBefore w:val="0"/>
                    <w:widowControl w:val="0"/>
                    <w:kinsoku/>
                    <w:wordWrap/>
                    <w:overflowPunct/>
                    <w:topLinePunct w:val="0"/>
                    <w:autoSpaceDE/>
                    <w:autoSpaceDN/>
                    <w:bidi w:val="0"/>
                    <w:adjustRightInd/>
                    <w:snapToGrid/>
                    <w:spacing w:line="360" w:lineRule="exact"/>
                    <w:ind w:firstLine="0"/>
                    <w:textAlignment w:val="auto"/>
                    <w:rPr>
                      <w:b/>
                    </w:rPr>
                  </w:pPr>
                  <w:r>
                    <w:rPr>
                      <w:b/>
                    </w:rPr>
                    <w:t>1.8</w:t>
                  </w:r>
                  <w:r>
                    <w:rPr>
                      <w:rFonts w:hint="eastAsia"/>
                      <w:b/>
                    </w:rPr>
                    <w:t>、原因分析</w:t>
                  </w:r>
                </w:p>
                <w:p w14:paraId="6A03BDE6">
                  <w:pPr>
                    <w:pageBreakBefore w:val="0"/>
                    <w:widowControl w:val="0"/>
                    <w:kinsoku/>
                    <w:wordWrap/>
                    <w:overflowPunct/>
                    <w:topLinePunct w:val="0"/>
                    <w:autoSpaceDE/>
                    <w:autoSpaceDN/>
                    <w:bidi w:val="0"/>
                    <w:adjustRightInd/>
                    <w:snapToGrid/>
                    <w:spacing w:line="360" w:lineRule="exact"/>
                    <w:textAlignment w:val="auto"/>
                  </w:pPr>
                  <w:r>
                    <w:rPr>
                      <w:rFonts w:hint="eastAsia"/>
                    </w:rPr>
                    <w:t>系统提供鱼骨图原因分析可依据医院管理需求自主配置原因分析因素项功能。根据事件发生的根本原因选择人员，物料，管理，环境等多方面因素，自动生成鱼骨图分析，深度挖掘导致事件发生的实际原因，有效制定改进措施避免后续同类事件再次发生。</w:t>
                  </w:r>
                </w:p>
                <w:p w14:paraId="7AFFB178">
                  <w:pPr>
                    <w:pStyle w:val="131"/>
                    <w:pageBreakBefore w:val="0"/>
                    <w:widowControl w:val="0"/>
                    <w:kinsoku/>
                    <w:wordWrap/>
                    <w:overflowPunct/>
                    <w:topLinePunct w:val="0"/>
                    <w:autoSpaceDE/>
                    <w:autoSpaceDN/>
                    <w:bidi w:val="0"/>
                    <w:adjustRightInd/>
                    <w:snapToGrid/>
                    <w:spacing w:line="360" w:lineRule="exact"/>
                    <w:ind w:firstLine="0"/>
                    <w:textAlignment w:val="auto"/>
                    <w:rPr>
                      <w:b/>
                    </w:rPr>
                  </w:pPr>
                  <w:r>
                    <w:rPr>
                      <w:b/>
                    </w:rPr>
                    <w:t>1.9</w:t>
                  </w:r>
                  <w:r>
                    <w:rPr>
                      <w:rFonts w:hint="eastAsia"/>
                      <w:b/>
                    </w:rPr>
                    <w:t>、事件管理</w:t>
                  </w:r>
                </w:p>
                <w:p w14:paraId="1FC6A7E6">
                  <w:pPr>
                    <w:pageBreakBefore w:val="0"/>
                    <w:widowControl w:val="0"/>
                    <w:kinsoku/>
                    <w:wordWrap/>
                    <w:overflowPunct/>
                    <w:topLinePunct w:val="0"/>
                    <w:autoSpaceDE/>
                    <w:autoSpaceDN/>
                    <w:bidi w:val="0"/>
                    <w:adjustRightInd/>
                    <w:snapToGrid/>
                    <w:spacing w:line="360" w:lineRule="exact"/>
                    <w:textAlignment w:val="auto"/>
                  </w:pPr>
                  <w:r>
                    <w:rPr>
                      <w:rFonts w:hint="eastAsia"/>
                    </w:rPr>
                    <w:t>事件管理模块是对已上报的基础类不良事件进行综合管理和审批处理。系统提供对基础类事件综合筛选复合检索、支持重复上报事件标识、重点关注事件星标标记、事件改派、事件抄送、事件多科室协同处理、事件处理流程实时追踪、事件结案归档、经典事件案例分享，全面及时处理已上报事件。</w:t>
                  </w:r>
                </w:p>
                <w:p w14:paraId="11AF2302">
                  <w:pPr>
                    <w:pStyle w:val="131"/>
                    <w:pageBreakBefore w:val="0"/>
                    <w:widowControl w:val="0"/>
                    <w:kinsoku/>
                    <w:wordWrap/>
                    <w:overflowPunct/>
                    <w:topLinePunct w:val="0"/>
                    <w:autoSpaceDE/>
                    <w:autoSpaceDN/>
                    <w:bidi w:val="0"/>
                    <w:adjustRightInd/>
                    <w:snapToGrid/>
                    <w:spacing w:line="360" w:lineRule="exact"/>
                    <w:ind w:firstLine="0"/>
                    <w:textAlignment w:val="auto"/>
                    <w:rPr>
                      <w:b/>
                    </w:rPr>
                  </w:pPr>
                  <w:r>
                    <w:rPr>
                      <w:b/>
                    </w:rPr>
                    <w:t>1.10</w:t>
                  </w:r>
                  <w:r>
                    <w:rPr>
                      <w:rFonts w:hint="eastAsia"/>
                      <w:b/>
                    </w:rPr>
                    <w:t>、审批处理</w:t>
                  </w:r>
                </w:p>
                <w:p w14:paraId="03AEF1FA">
                  <w:pPr>
                    <w:pageBreakBefore w:val="0"/>
                    <w:widowControl w:val="0"/>
                    <w:kinsoku/>
                    <w:wordWrap/>
                    <w:overflowPunct/>
                    <w:topLinePunct w:val="0"/>
                    <w:autoSpaceDE/>
                    <w:autoSpaceDN/>
                    <w:bidi w:val="0"/>
                    <w:adjustRightInd/>
                    <w:snapToGrid/>
                    <w:spacing w:line="360" w:lineRule="exact"/>
                    <w:textAlignment w:val="auto"/>
                  </w:pPr>
                  <w:r>
                    <w:rPr>
                      <w:rFonts w:hint="eastAsia"/>
                    </w:rPr>
                    <w:t>系统提供基础类事件归口管理科室及审批流程自定义维护，管理科室依据审批权限对已上报的基础类事件进行审批处理，包含直接处理和事件退回，支持填写回退原因及审核处理意见，处理意见支持快速引用模板提高事件处理效率，支持查阅事件详情及事件处理流程记录，及时了解事情处理情况。</w:t>
                  </w:r>
                </w:p>
                <w:p w14:paraId="084EB707">
                  <w:pPr>
                    <w:pStyle w:val="131"/>
                    <w:pageBreakBefore w:val="0"/>
                    <w:widowControl w:val="0"/>
                    <w:kinsoku/>
                    <w:wordWrap/>
                    <w:overflowPunct/>
                    <w:topLinePunct w:val="0"/>
                    <w:autoSpaceDE/>
                    <w:autoSpaceDN/>
                    <w:bidi w:val="0"/>
                    <w:adjustRightInd/>
                    <w:snapToGrid/>
                    <w:spacing w:line="360" w:lineRule="exact"/>
                    <w:ind w:firstLine="0"/>
                    <w:textAlignment w:val="auto"/>
                    <w:rPr>
                      <w:b/>
                    </w:rPr>
                  </w:pPr>
                  <w:r>
                    <w:rPr>
                      <w:b/>
                    </w:rPr>
                    <w:t>1.11</w:t>
                  </w:r>
                  <w:r>
                    <w:rPr>
                      <w:rFonts w:hint="eastAsia"/>
                      <w:b/>
                    </w:rPr>
                    <w:t>、重复上报</w:t>
                  </w:r>
                </w:p>
                <w:p w14:paraId="11CF9D4F">
                  <w:pPr>
                    <w:pageBreakBefore w:val="0"/>
                    <w:widowControl w:val="0"/>
                    <w:kinsoku/>
                    <w:wordWrap/>
                    <w:overflowPunct/>
                    <w:topLinePunct w:val="0"/>
                    <w:autoSpaceDE/>
                    <w:autoSpaceDN/>
                    <w:bidi w:val="0"/>
                    <w:adjustRightInd/>
                    <w:snapToGrid/>
                    <w:spacing w:line="360" w:lineRule="exact"/>
                    <w:textAlignment w:val="auto"/>
                  </w:pPr>
                  <w:r>
                    <w:rPr>
                      <w:rFonts w:hint="eastAsia"/>
                    </w:rPr>
                    <w:t>职能部门针对基础类不良事件审批处理，提供同一时间段内对同一患者多次上报的事件进行重复上报标识，标识为重复上报的事件不再进行事件的审批处理流程，避免不良事件的重复上报和重复处理。</w:t>
                  </w:r>
                </w:p>
                <w:p w14:paraId="4144FA56">
                  <w:pPr>
                    <w:pStyle w:val="131"/>
                    <w:pageBreakBefore w:val="0"/>
                    <w:widowControl w:val="0"/>
                    <w:kinsoku/>
                    <w:wordWrap/>
                    <w:overflowPunct/>
                    <w:topLinePunct w:val="0"/>
                    <w:autoSpaceDE/>
                    <w:autoSpaceDN/>
                    <w:bidi w:val="0"/>
                    <w:adjustRightInd/>
                    <w:snapToGrid/>
                    <w:spacing w:line="360" w:lineRule="exact"/>
                    <w:ind w:firstLine="0"/>
                    <w:textAlignment w:val="auto"/>
                    <w:rPr>
                      <w:b/>
                    </w:rPr>
                  </w:pPr>
                  <w:r>
                    <w:rPr>
                      <w:b/>
                    </w:rPr>
                    <w:t>1.12</w:t>
                  </w:r>
                  <w:r>
                    <w:rPr>
                      <w:rFonts w:hint="eastAsia"/>
                      <w:b/>
                    </w:rPr>
                    <w:t>、事件协同</w:t>
                  </w:r>
                </w:p>
                <w:p w14:paraId="309617ED">
                  <w:pPr>
                    <w:pageBreakBefore w:val="0"/>
                    <w:widowControl w:val="0"/>
                    <w:kinsoku/>
                    <w:wordWrap/>
                    <w:overflowPunct/>
                    <w:topLinePunct w:val="0"/>
                    <w:autoSpaceDE/>
                    <w:autoSpaceDN/>
                    <w:bidi w:val="0"/>
                    <w:adjustRightInd/>
                    <w:snapToGrid/>
                    <w:spacing w:line="360" w:lineRule="exact"/>
                    <w:textAlignment w:val="auto"/>
                  </w:pPr>
                  <w:r>
                    <w:rPr>
                      <w:rFonts w:hint="eastAsia"/>
                    </w:rPr>
                    <w:t>针对需要多个部门科室协助共同审批处理的基础类事件，支持自定义选择需要协同处理的科室及协同处理人进行事件共同审批处理。</w:t>
                  </w:r>
                </w:p>
                <w:p w14:paraId="4FC31247">
                  <w:pPr>
                    <w:pStyle w:val="131"/>
                    <w:pageBreakBefore w:val="0"/>
                    <w:widowControl w:val="0"/>
                    <w:kinsoku/>
                    <w:wordWrap/>
                    <w:overflowPunct/>
                    <w:topLinePunct w:val="0"/>
                    <w:autoSpaceDE/>
                    <w:autoSpaceDN/>
                    <w:bidi w:val="0"/>
                    <w:adjustRightInd/>
                    <w:snapToGrid/>
                    <w:spacing w:line="360" w:lineRule="exact"/>
                    <w:ind w:firstLine="0"/>
                    <w:textAlignment w:val="auto"/>
                    <w:rPr>
                      <w:b/>
                    </w:rPr>
                  </w:pPr>
                  <w:r>
                    <w:rPr>
                      <w:b/>
                    </w:rPr>
                    <w:t>1.13</w:t>
                  </w:r>
                  <w:r>
                    <w:rPr>
                      <w:rFonts w:hint="eastAsia"/>
                      <w:b/>
                    </w:rPr>
                    <w:t>、改派抄送</w:t>
                  </w:r>
                </w:p>
                <w:p w14:paraId="3A199AFC">
                  <w:pPr>
                    <w:pageBreakBefore w:val="0"/>
                    <w:widowControl w:val="0"/>
                    <w:kinsoku/>
                    <w:wordWrap/>
                    <w:overflowPunct/>
                    <w:topLinePunct w:val="0"/>
                    <w:autoSpaceDE/>
                    <w:autoSpaceDN/>
                    <w:bidi w:val="0"/>
                    <w:adjustRightInd/>
                    <w:snapToGrid/>
                    <w:spacing w:line="360" w:lineRule="exact"/>
                    <w:textAlignment w:val="auto"/>
                  </w:pPr>
                  <w:r>
                    <w:rPr>
                      <w:rFonts w:hint="eastAsia"/>
                    </w:rPr>
                    <w:t>事件抄送：针对需要其他部门或人员知悉事件相关处理信息的基础类事件，支持将事件抄送给某个部门或者某个人，并提供抄送备注描述。</w:t>
                  </w:r>
                </w:p>
                <w:p w14:paraId="2466F0FC">
                  <w:pPr>
                    <w:pStyle w:val="131"/>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事件改派：针对不属于职权范围内审批处理的基础类事件，支持将事件改派给其他职权范围的部门或人员。</w:t>
                  </w:r>
                </w:p>
                <w:p w14:paraId="64C05F49">
                  <w:pPr>
                    <w:pStyle w:val="131"/>
                    <w:pageBreakBefore w:val="0"/>
                    <w:widowControl w:val="0"/>
                    <w:kinsoku/>
                    <w:wordWrap/>
                    <w:overflowPunct/>
                    <w:topLinePunct w:val="0"/>
                    <w:autoSpaceDE/>
                    <w:autoSpaceDN/>
                    <w:bidi w:val="0"/>
                    <w:adjustRightInd/>
                    <w:snapToGrid/>
                    <w:spacing w:line="360" w:lineRule="exact"/>
                    <w:ind w:firstLine="0"/>
                    <w:textAlignment w:val="auto"/>
                    <w:rPr>
                      <w:b/>
                    </w:rPr>
                  </w:pPr>
                  <w:r>
                    <w:rPr>
                      <w:b/>
                    </w:rPr>
                    <w:t>1.14</w:t>
                  </w:r>
                  <w:r>
                    <w:rPr>
                      <w:rFonts w:hint="eastAsia"/>
                      <w:b/>
                    </w:rPr>
                    <w:t>、事件归档</w:t>
                  </w:r>
                </w:p>
                <w:p w14:paraId="5679BD24">
                  <w:pPr>
                    <w:pageBreakBefore w:val="0"/>
                    <w:widowControl w:val="0"/>
                    <w:kinsoku/>
                    <w:wordWrap/>
                    <w:overflowPunct/>
                    <w:topLinePunct w:val="0"/>
                    <w:autoSpaceDE/>
                    <w:autoSpaceDN/>
                    <w:bidi w:val="0"/>
                    <w:adjustRightInd/>
                    <w:snapToGrid/>
                    <w:spacing w:line="360" w:lineRule="exact"/>
                    <w:textAlignment w:val="auto"/>
                  </w:pPr>
                  <w:r>
                    <w:rPr>
                      <w:rFonts w:hint="eastAsia"/>
                    </w:rPr>
                    <w:t>依据基础类事件所配置的监管部门，支持将已处理的基础类事件进行结案归档。对于需要持续改进的事件，可根据原因分析制定相应整改处置措施，改进措施支持引用模板并依据需求自定义维护措施模板。</w:t>
                  </w:r>
                </w:p>
                <w:p w14:paraId="5FBD7B2D">
                  <w:pPr>
                    <w:pStyle w:val="131"/>
                    <w:pageBreakBefore w:val="0"/>
                    <w:widowControl w:val="0"/>
                    <w:kinsoku/>
                    <w:wordWrap/>
                    <w:overflowPunct/>
                    <w:topLinePunct w:val="0"/>
                    <w:autoSpaceDE/>
                    <w:autoSpaceDN/>
                    <w:bidi w:val="0"/>
                    <w:adjustRightInd/>
                    <w:snapToGrid/>
                    <w:spacing w:line="360" w:lineRule="exact"/>
                    <w:ind w:firstLine="0"/>
                    <w:textAlignment w:val="auto"/>
                    <w:rPr>
                      <w:b/>
                    </w:rPr>
                  </w:pPr>
                  <w:r>
                    <w:rPr>
                      <w:b/>
                    </w:rPr>
                    <w:t>1.15</w:t>
                  </w:r>
                  <w:r>
                    <w:rPr>
                      <w:rFonts w:hint="eastAsia"/>
                      <w:b/>
                    </w:rPr>
                    <w:t>、事件分享</w:t>
                  </w:r>
                </w:p>
                <w:p w14:paraId="0213B168">
                  <w:pPr>
                    <w:pageBreakBefore w:val="0"/>
                    <w:widowControl w:val="0"/>
                    <w:kinsoku/>
                    <w:wordWrap/>
                    <w:overflowPunct/>
                    <w:topLinePunct w:val="0"/>
                    <w:autoSpaceDE/>
                    <w:autoSpaceDN/>
                    <w:bidi w:val="0"/>
                    <w:adjustRightInd/>
                    <w:snapToGrid/>
                    <w:spacing w:line="360" w:lineRule="exact"/>
                    <w:textAlignment w:val="auto"/>
                  </w:pPr>
                  <w:r>
                    <w:rPr>
                      <w:rFonts w:hint="eastAsia"/>
                    </w:rPr>
                    <w:t>监管部门针对已归档的基础类事件支持事件分享，对于经典事件提供事件案例分享至首页供全院所有科室人员进行查阅，支持对案例分享类别自定义维护，并提供分享原因描述。</w:t>
                  </w:r>
                </w:p>
                <w:p w14:paraId="34716AA8">
                  <w:pPr>
                    <w:pStyle w:val="131"/>
                    <w:pageBreakBefore w:val="0"/>
                    <w:widowControl w:val="0"/>
                    <w:kinsoku/>
                    <w:wordWrap/>
                    <w:overflowPunct/>
                    <w:topLinePunct w:val="0"/>
                    <w:autoSpaceDE/>
                    <w:autoSpaceDN/>
                    <w:bidi w:val="0"/>
                    <w:adjustRightInd/>
                    <w:snapToGrid/>
                    <w:spacing w:line="360" w:lineRule="exact"/>
                    <w:ind w:firstLine="0"/>
                    <w:textAlignment w:val="auto"/>
                    <w:rPr>
                      <w:b/>
                    </w:rPr>
                  </w:pPr>
                  <w:r>
                    <w:rPr>
                      <w:b/>
                    </w:rPr>
                    <w:t>1.16</w:t>
                  </w:r>
                  <w:r>
                    <w:rPr>
                      <w:rFonts w:hint="eastAsia"/>
                      <w:b/>
                    </w:rPr>
                    <w:t>、事件追踪</w:t>
                  </w:r>
                </w:p>
                <w:p w14:paraId="153D649C">
                  <w:pPr>
                    <w:pageBreakBefore w:val="0"/>
                    <w:widowControl w:val="0"/>
                    <w:kinsoku/>
                    <w:wordWrap/>
                    <w:overflowPunct/>
                    <w:topLinePunct w:val="0"/>
                    <w:autoSpaceDE/>
                    <w:autoSpaceDN/>
                    <w:bidi w:val="0"/>
                    <w:adjustRightInd/>
                    <w:snapToGrid/>
                    <w:spacing w:line="360" w:lineRule="exact"/>
                    <w:textAlignment w:val="auto"/>
                  </w:pPr>
                  <w:r>
                    <w:rPr>
                      <w:rFonts w:hint="eastAsia"/>
                    </w:rPr>
                    <w:t>针对基础类不良事件的事件处理审批流程进度支持实时跟进追踪，清晰了解审批处理进度情况，对超期处理事件提供超期提醒，及时督促催办未处理科室。</w:t>
                  </w:r>
                </w:p>
                <w:p w14:paraId="6F239349">
                  <w:pPr>
                    <w:pStyle w:val="131"/>
                    <w:pageBreakBefore w:val="0"/>
                    <w:widowControl w:val="0"/>
                    <w:kinsoku/>
                    <w:wordWrap/>
                    <w:overflowPunct/>
                    <w:topLinePunct w:val="0"/>
                    <w:autoSpaceDE/>
                    <w:autoSpaceDN/>
                    <w:bidi w:val="0"/>
                    <w:adjustRightInd/>
                    <w:snapToGrid/>
                    <w:spacing w:line="360" w:lineRule="exact"/>
                    <w:ind w:firstLine="0"/>
                    <w:textAlignment w:val="auto"/>
                    <w:rPr>
                      <w:b/>
                    </w:rPr>
                  </w:pPr>
                  <w:r>
                    <w:rPr>
                      <w:b/>
                    </w:rPr>
                    <w:t>1.17</w:t>
                  </w:r>
                  <w:r>
                    <w:rPr>
                      <w:rFonts w:hint="eastAsia"/>
                      <w:b/>
                    </w:rPr>
                    <w:t>、事件分析</w:t>
                  </w:r>
                </w:p>
                <w:p w14:paraId="24926AB5">
                  <w:pPr>
                    <w:pageBreakBefore w:val="0"/>
                    <w:widowControl w:val="0"/>
                    <w:kinsoku/>
                    <w:wordWrap/>
                    <w:overflowPunct/>
                    <w:topLinePunct w:val="0"/>
                    <w:autoSpaceDE/>
                    <w:autoSpaceDN/>
                    <w:bidi w:val="0"/>
                    <w:adjustRightInd/>
                    <w:snapToGrid/>
                    <w:spacing w:line="360" w:lineRule="exact"/>
                    <w:textAlignment w:val="auto"/>
                  </w:pPr>
                  <w:r>
                    <w:rPr>
                      <w:rFonts w:hint="eastAsia"/>
                    </w:rPr>
                    <w:t>事件统计分析模块是为医院提供信息化不良事件上报例数的报表统计分析，根据各种条件查询统计不良事件分析数据，包含对事件类型、事件等级、发生科室、上报科室、发生时间、上报时间、处理及时率等多维度的统计汇总，通过表格、条形图、柱状图、趋势图、饼状图等多种形式展示。支持将汇总结果导出</w:t>
                  </w:r>
                  <w:r>
                    <w:t>excel</w:t>
                  </w:r>
                  <w:r>
                    <w:rPr>
                      <w:rFonts w:hint="eastAsia"/>
                    </w:rPr>
                    <w:t>文件。</w:t>
                  </w:r>
                </w:p>
                <w:p w14:paraId="240ADAB2">
                  <w:pPr>
                    <w:pageBreakBefore w:val="0"/>
                    <w:widowControl w:val="0"/>
                    <w:kinsoku/>
                    <w:wordWrap/>
                    <w:overflowPunct/>
                    <w:topLinePunct w:val="0"/>
                    <w:autoSpaceDE/>
                    <w:autoSpaceDN/>
                    <w:bidi w:val="0"/>
                    <w:adjustRightInd/>
                    <w:snapToGrid/>
                    <w:spacing w:line="360" w:lineRule="exact"/>
                    <w:textAlignment w:val="auto"/>
                  </w:pPr>
                  <w:r>
                    <w:rPr>
                      <w:rFonts w:hint="eastAsia"/>
                    </w:rPr>
                    <w:t>多维度分析：支持根据具体情况对不同的科室、季度、年度、月度等不同情况分别查询统计，从而达到具体情况具体分析的效果。</w:t>
                  </w:r>
                </w:p>
                <w:p w14:paraId="35C55513">
                  <w:pPr>
                    <w:pageBreakBefore w:val="0"/>
                    <w:widowControl w:val="0"/>
                    <w:kinsoku/>
                    <w:wordWrap/>
                    <w:overflowPunct/>
                    <w:topLinePunct w:val="0"/>
                    <w:autoSpaceDE/>
                    <w:autoSpaceDN/>
                    <w:bidi w:val="0"/>
                    <w:adjustRightInd/>
                    <w:snapToGrid/>
                    <w:spacing w:line="360" w:lineRule="exact"/>
                    <w:textAlignment w:val="auto"/>
                  </w:pPr>
                  <w:r>
                    <w:rPr>
                      <w:rFonts w:hint="eastAsia"/>
                    </w:rPr>
                    <w:t>个案数据下钻：针对事件汇总数据支持数据下钻查看对应上报例数个案明细。</w:t>
                  </w:r>
                </w:p>
                <w:p w14:paraId="554E893C">
                  <w:pPr>
                    <w:pStyle w:val="131"/>
                    <w:pageBreakBefore w:val="0"/>
                    <w:widowControl w:val="0"/>
                    <w:kinsoku/>
                    <w:wordWrap/>
                    <w:overflowPunct/>
                    <w:topLinePunct w:val="0"/>
                    <w:autoSpaceDE/>
                    <w:autoSpaceDN/>
                    <w:bidi w:val="0"/>
                    <w:adjustRightInd/>
                    <w:snapToGrid/>
                    <w:spacing w:line="360" w:lineRule="exact"/>
                    <w:ind w:firstLine="0"/>
                    <w:textAlignment w:val="auto"/>
                    <w:rPr>
                      <w:b/>
                    </w:rPr>
                  </w:pPr>
                  <w:r>
                    <w:rPr>
                      <w:b/>
                    </w:rPr>
                    <w:t>1.18</w:t>
                  </w:r>
                  <w:r>
                    <w:rPr>
                      <w:rFonts w:hint="eastAsia"/>
                      <w:b/>
                    </w:rPr>
                    <w:t>、事件类型统计</w:t>
                  </w:r>
                </w:p>
                <w:p w14:paraId="1889063C">
                  <w:pPr>
                    <w:pageBreakBefore w:val="0"/>
                    <w:widowControl w:val="0"/>
                    <w:kinsoku/>
                    <w:wordWrap/>
                    <w:overflowPunct/>
                    <w:topLinePunct w:val="0"/>
                    <w:autoSpaceDE/>
                    <w:autoSpaceDN/>
                    <w:bidi w:val="0"/>
                    <w:adjustRightInd/>
                    <w:snapToGrid/>
                    <w:spacing w:line="360" w:lineRule="exact"/>
                    <w:textAlignment w:val="auto"/>
                  </w:pPr>
                  <w:r>
                    <w:rPr>
                      <w:rFonts w:hint="eastAsia"/>
                    </w:rPr>
                    <w:t>按不良事件“事件类型”进行汇总统计，可汇总一级事件类型总数并依据二级事件类型进行分类统计，支持选择上报时间和时间类型维度进行查询统计。</w:t>
                  </w:r>
                </w:p>
                <w:p w14:paraId="7D1A8229">
                  <w:pPr>
                    <w:pageBreakBefore w:val="0"/>
                    <w:widowControl w:val="0"/>
                    <w:kinsoku/>
                    <w:wordWrap/>
                    <w:overflowPunct/>
                    <w:topLinePunct w:val="0"/>
                    <w:autoSpaceDE/>
                    <w:autoSpaceDN/>
                    <w:bidi w:val="0"/>
                    <w:adjustRightInd/>
                    <w:snapToGrid/>
                    <w:spacing w:line="360" w:lineRule="exact"/>
                    <w:textAlignment w:val="auto"/>
                  </w:pPr>
                  <w:r>
                    <w:rPr>
                      <w:rFonts w:hint="eastAsia" w:ascii="微软雅黑" w:hAnsi="微软雅黑"/>
                    </w:rPr>
                    <w:t>数据下钻：</w:t>
                  </w:r>
                  <w:r>
                    <w:rPr>
                      <w:rFonts w:hint="eastAsia"/>
                    </w:rPr>
                    <w:t>针对事件汇总数据支持数据下钻查看对应</w:t>
                  </w:r>
                  <w:r>
                    <w:rPr>
                      <w:rFonts w:hint="eastAsia" w:ascii="微软雅黑" w:hAnsi="微软雅黑"/>
                    </w:rPr>
                    <w:t>不良事件</w:t>
                  </w:r>
                  <w:r>
                    <w:rPr>
                      <w:rFonts w:hint="eastAsia"/>
                    </w:rPr>
                    <w:t>上报例数个案明细。</w:t>
                  </w:r>
                </w:p>
                <w:p w14:paraId="3B2889BE">
                  <w:pPr>
                    <w:pStyle w:val="131"/>
                    <w:pageBreakBefore w:val="0"/>
                    <w:widowControl w:val="0"/>
                    <w:kinsoku/>
                    <w:wordWrap/>
                    <w:overflowPunct/>
                    <w:topLinePunct w:val="0"/>
                    <w:autoSpaceDE/>
                    <w:autoSpaceDN/>
                    <w:bidi w:val="0"/>
                    <w:adjustRightInd/>
                    <w:snapToGrid/>
                    <w:spacing w:line="360" w:lineRule="exact"/>
                    <w:ind w:firstLine="0"/>
                    <w:textAlignment w:val="auto"/>
                    <w:rPr>
                      <w:b/>
                    </w:rPr>
                  </w:pPr>
                  <w:r>
                    <w:rPr>
                      <w:b/>
                    </w:rPr>
                    <w:t>1.19</w:t>
                  </w:r>
                  <w:r>
                    <w:rPr>
                      <w:rFonts w:hint="eastAsia"/>
                      <w:b/>
                    </w:rPr>
                    <w:t>、及时率分析</w:t>
                  </w:r>
                </w:p>
                <w:p w14:paraId="30D2F9D0">
                  <w:pPr>
                    <w:pageBreakBefore w:val="0"/>
                    <w:widowControl w:val="0"/>
                    <w:kinsoku/>
                    <w:wordWrap/>
                    <w:overflowPunct/>
                    <w:topLinePunct w:val="0"/>
                    <w:autoSpaceDE/>
                    <w:autoSpaceDN/>
                    <w:bidi w:val="0"/>
                    <w:adjustRightInd/>
                    <w:snapToGrid/>
                    <w:spacing w:line="360" w:lineRule="exact"/>
                    <w:textAlignment w:val="auto"/>
                  </w:pPr>
                  <w:r>
                    <w:rPr>
                      <w:rFonts w:hint="eastAsia"/>
                    </w:rPr>
                    <w:t>按“上报及时率”和“处理及时率”进行汇总，实时跟踪统计不良事件上报和处理结果及效率，能够根据及时处理情况进行积极干预，有效保证不良事件处理的及时性。可选择事件类型、上报时间和时间类型进行查询。</w:t>
                  </w:r>
                </w:p>
                <w:p w14:paraId="5B27EF7A">
                  <w:pPr>
                    <w:pageBreakBefore w:val="0"/>
                    <w:widowControl w:val="0"/>
                    <w:kinsoku/>
                    <w:wordWrap/>
                    <w:overflowPunct/>
                    <w:topLinePunct w:val="0"/>
                    <w:autoSpaceDE/>
                    <w:autoSpaceDN/>
                    <w:bidi w:val="0"/>
                    <w:adjustRightInd/>
                    <w:snapToGrid/>
                    <w:spacing w:line="360" w:lineRule="exact"/>
                    <w:textAlignment w:val="auto"/>
                  </w:pPr>
                  <w:r>
                    <w:rPr>
                      <w:rFonts w:hint="eastAsia" w:ascii="微软雅黑" w:hAnsi="微软雅黑"/>
                    </w:rPr>
                    <w:t>数据下钻：</w:t>
                  </w:r>
                  <w:r>
                    <w:rPr>
                      <w:rFonts w:hint="eastAsia"/>
                    </w:rPr>
                    <w:t>针对事件汇总数据支持数据下钻查看对应</w:t>
                  </w:r>
                  <w:r>
                    <w:rPr>
                      <w:rFonts w:hint="eastAsia" w:ascii="微软雅黑" w:hAnsi="微软雅黑"/>
                    </w:rPr>
                    <w:t>不良事件</w:t>
                  </w:r>
                  <w:r>
                    <w:rPr>
                      <w:rFonts w:hint="eastAsia"/>
                    </w:rPr>
                    <w:t>上报例数个案明细。</w:t>
                  </w:r>
                </w:p>
                <w:p w14:paraId="59B5AC92">
                  <w:pPr>
                    <w:pStyle w:val="131"/>
                    <w:pageBreakBefore w:val="0"/>
                    <w:widowControl w:val="0"/>
                    <w:kinsoku/>
                    <w:wordWrap/>
                    <w:overflowPunct/>
                    <w:topLinePunct w:val="0"/>
                    <w:autoSpaceDE/>
                    <w:autoSpaceDN/>
                    <w:bidi w:val="0"/>
                    <w:adjustRightInd/>
                    <w:snapToGrid/>
                    <w:spacing w:line="360" w:lineRule="exact"/>
                    <w:ind w:firstLine="0"/>
                    <w:textAlignment w:val="auto"/>
                    <w:rPr>
                      <w:b/>
                    </w:rPr>
                  </w:pPr>
                  <w:r>
                    <w:rPr>
                      <w:b/>
                    </w:rPr>
                    <w:t>1.20</w:t>
                  </w:r>
                  <w:r>
                    <w:rPr>
                      <w:rFonts w:hint="eastAsia"/>
                      <w:b/>
                    </w:rPr>
                    <w:t>、科室分析</w:t>
                  </w:r>
                </w:p>
                <w:p w14:paraId="5A075153">
                  <w:pPr>
                    <w:pageBreakBefore w:val="0"/>
                    <w:widowControl w:val="0"/>
                    <w:kinsoku/>
                    <w:wordWrap/>
                    <w:overflowPunct/>
                    <w:topLinePunct w:val="0"/>
                    <w:autoSpaceDE/>
                    <w:autoSpaceDN/>
                    <w:bidi w:val="0"/>
                    <w:adjustRightInd/>
                    <w:snapToGrid/>
                    <w:spacing w:line="360" w:lineRule="exact"/>
                    <w:textAlignment w:val="auto"/>
                  </w:pPr>
                  <w:r>
                    <w:rPr>
                      <w:rFonts w:hint="eastAsia"/>
                    </w:rPr>
                    <w:t>按不良事件的“发生科室”和“上报科室”进行汇总，可查看各个科室的上报例数及发生例数，支持选择事件类型、科室名称、上报时间和时间类型进行查询。</w:t>
                  </w:r>
                </w:p>
                <w:p w14:paraId="38482447">
                  <w:pPr>
                    <w:pageBreakBefore w:val="0"/>
                    <w:widowControl w:val="0"/>
                    <w:kinsoku/>
                    <w:wordWrap/>
                    <w:overflowPunct/>
                    <w:topLinePunct w:val="0"/>
                    <w:autoSpaceDE/>
                    <w:autoSpaceDN/>
                    <w:bidi w:val="0"/>
                    <w:adjustRightInd/>
                    <w:snapToGrid/>
                    <w:spacing w:line="360" w:lineRule="exact"/>
                    <w:textAlignment w:val="auto"/>
                  </w:pPr>
                  <w:r>
                    <w:rPr>
                      <w:rFonts w:hint="eastAsia" w:ascii="微软雅黑" w:hAnsi="微软雅黑"/>
                    </w:rPr>
                    <w:t>数据下钻：</w:t>
                  </w:r>
                  <w:r>
                    <w:rPr>
                      <w:rFonts w:hint="eastAsia"/>
                    </w:rPr>
                    <w:t>针对事件汇总数据支持数据下钻查看对应</w:t>
                  </w:r>
                  <w:r>
                    <w:rPr>
                      <w:rFonts w:hint="eastAsia" w:ascii="微软雅黑" w:hAnsi="微软雅黑"/>
                    </w:rPr>
                    <w:t>不良事件</w:t>
                  </w:r>
                  <w:r>
                    <w:rPr>
                      <w:rFonts w:hint="eastAsia"/>
                    </w:rPr>
                    <w:t>上报例数个案明细。</w:t>
                  </w:r>
                </w:p>
                <w:p w14:paraId="1B62CC05">
                  <w:pPr>
                    <w:pStyle w:val="131"/>
                    <w:pageBreakBefore w:val="0"/>
                    <w:widowControl w:val="0"/>
                    <w:kinsoku/>
                    <w:wordWrap/>
                    <w:overflowPunct/>
                    <w:topLinePunct w:val="0"/>
                    <w:autoSpaceDE/>
                    <w:autoSpaceDN/>
                    <w:bidi w:val="0"/>
                    <w:adjustRightInd/>
                    <w:snapToGrid/>
                    <w:spacing w:line="360" w:lineRule="exact"/>
                    <w:ind w:firstLine="0"/>
                    <w:textAlignment w:val="auto"/>
                    <w:rPr>
                      <w:b/>
                    </w:rPr>
                  </w:pPr>
                  <w:r>
                    <w:rPr>
                      <w:b/>
                    </w:rPr>
                    <w:t>1.21</w:t>
                  </w:r>
                  <w:r>
                    <w:rPr>
                      <w:rFonts w:hint="eastAsia"/>
                      <w:b/>
                    </w:rPr>
                    <w:t>、</w:t>
                  </w:r>
                  <w:r>
                    <w:rPr>
                      <w:b/>
                    </w:rPr>
                    <w:t>SAC</w:t>
                  </w:r>
                  <w:r>
                    <w:rPr>
                      <w:rFonts w:hint="eastAsia"/>
                      <w:b/>
                    </w:rPr>
                    <w:t>分析</w:t>
                  </w:r>
                </w:p>
                <w:p w14:paraId="43BC13D4">
                  <w:pPr>
                    <w:pageBreakBefore w:val="0"/>
                    <w:widowControl w:val="0"/>
                    <w:kinsoku/>
                    <w:wordWrap/>
                    <w:overflowPunct/>
                    <w:topLinePunct w:val="0"/>
                    <w:autoSpaceDE/>
                    <w:autoSpaceDN/>
                    <w:bidi w:val="0"/>
                    <w:adjustRightInd/>
                    <w:snapToGrid/>
                    <w:spacing w:line="360" w:lineRule="exact"/>
                    <w:textAlignment w:val="auto"/>
                  </w:pPr>
                  <w:r>
                    <w:rPr>
                      <w:rFonts w:hint="eastAsia"/>
                    </w:rPr>
                    <w:t>按不良事件的“</w:t>
                  </w:r>
                  <w:r>
                    <w:t>SAC</w:t>
                  </w:r>
                  <w:r>
                    <w:rPr>
                      <w:rFonts w:hint="eastAsia"/>
                    </w:rPr>
                    <w:t>严重程度”进行汇总，可查看</w:t>
                  </w:r>
                  <w:r>
                    <w:t>SAC</w:t>
                  </w:r>
                  <w:r>
                    <w:rPr>
                      <w:rFonts w:hint="eastAsia"/>
                    </w:rPr>
                    <w:t>不同严重程度不同时间段的上报例数统计，支持选择上报时间和时间类型进行查询。</w:t>
                  </w:r>
                </w:p>
                <w:p w14:paraId="7AF03592">
                  <w:pPr>
                    <w:pageBreakBefore w:val="0"/>
                    <w:widowControl w:val="0"/>
                    <w:kinsoku/>
                    <w:wordWrap/>
                    <w:overflowPunct/>
                    <w:topLinePunct w:val="0"/>
                    <w:autoSpaceDE/>
                    <w:autoSpaceDN/>
                    <w:bidi w:val="0"/>
                    <w:adjustRightInd/>
                    <w:snapToGrid/>
                    <w:spacing w:line="360" w:lineRule="exact"/>
                    <w:textAlignment w:val="auto"/>
                  </w:pPr>
                  <w:r>
                    <w:rPr>
                      <w:rFonts w:hint="eastAsia" w:ascii="微软雅黑" w:hAnsi="微软雅黑"/>
                    </w:rPr>
                    <w:t>数据下钻：</w:t>
                  </w:r>
                  <w:r>
                    <w:rPr>
                      <w:rFonts w:hint="eastAsia"/>
                    </w:rPr>
                    <w:t>针对事件汇总数据支持数据下钻查看对应</w:t>
                  </w:r>
                  <w:r>
                    <w:rPr>
                      <w:rFonts w:hint="eastAsia" w:ascii="微软雅黑" w:hAnsi="微软雅黑"/>
                    </w:rPr>
                    <w:t>不良事件</w:t>
                  </w:r>
                  <w:r>
                    <w:rPr>
                      <w:rFonts w:hint="eastAsia"/>
                    </w:rPr>
                    <w:t>上报例数个案明细。</w:t>
                  </w:r>
                </w:p>
                <w:p w14:paraId="39A2BB9F">
                  <w:pPr>
                    <w:pStyle w:val="131"/>
                    <w:pageBreakBefore w:val="0"/>
                    <w:widowControl w:val="0"/>
                    <w:kinsoku/>
                    <w:wordWrap/>
                    <w:overflowPunct/>
                    <w:topLinePunct w:val="0"/>
                    <w:autoSpaceDE/>
                    <w:autoSpaceDN/>
                    <w:bidi w:val="0"/>
                    <w:adjustRightInd/>
                    <w:snapToGrid/>
                    <w:spacing w:line="360" w:lineRule="exact"/>
                    <w:ind w:firstLine="0"/>
                    <w:textAlignment w:val="auto"/>
                    <w:rPr>
                      <w:b/>
                    </w:rPr>
                  </w:pPr>
                  <w:r>
                    <w:rPr>
                      <w:b/>
                    </w:rPr>
                    <w:t>1.22</w:t>
                  </w:r>
                  <w:r>
                    <w:rPr>
                      <w:rFonts w:hint="eastAsia"/>
                      <w:b/>
                    </w:rPr>
                    <w:t>、多维统计</w:t>
                  </w:r>
                </w:p>
                <w:p w14:paraId="0CBA5826">
                  <w:pPr>
                    <w:pageBreakBefore w:val="0"/>
                    <w:widowControl w:val="0"/>
                    <w:kinsoku/>
                    <w:wordWrap/>
                    <w:overflowPunct/>
                    <w:topLinePunct w:val="0"/>
                    <w:autoSpaceDE/>
                    <w:autoSpaceDN/>
                    <w:bidi w:val="0"/>
                    <w:adjustRightInd/>
                    <w:snapToGrid/>
                    <w:spacing w:line="360" w:lineRule="exact"/>
                    <w:textAlignment w:val="auto"/>
                  </w:pPr>
                  <w:r>
                    <w:rPr>
                      <w:rFonts w:hint="eastAsia"/>
                    </w:rPr>
                    <w:t>按不良事件的“事件类型”和“自定义条件”可自定义选择分组条件自主查询汇总。自定义条件支持扩展维护，包含事件等级、严重程度、发生科室、上报科室、发生地点、患者类型等。可查看不同事件类型按照自定义查询条件的汇总统计例数，支持选择事件类型、自定义条件、上报时间和时间类型进行查询。</w:t>
                  </w:r>
                </w:p>
                <w:p w14:paraId="3EE2C64A">
                  <w:pPr>
                    <w:pageBreakBefore w:val="0"/>
                    <w:widowControl w:val="0"/>
                    <w:kinsoku/>
                    <w:wordWrap/>
                    <w:overflowPunct/>
                    <w:topLinePunct w:val="0"/>
                    <w:autoSpaceDE/>
                    <w:autoSpaceDN/>
                    <w:bidi w:val="0"/>
                    <w:adjustRightInd/>
                    <w:snapToGrid/>
                    <w:spacing w:line="360" w:lineRule="exact"/>
                    <w:textAlignment w:val="auto"/>
                  </w:pPr>
                  <w:r>
                    <w:rPr>
                      <w:rFonts w:hint="eastAsia"/>
                    </w:rPr>
                    <w:t>数据下钻：针对事件汇总数据支持数据下钻查看对应不良事件上报例数个案明细。</w:t>
                  </w:r>
                </w:p>
                <w:p w14:paraId="0EA5423B">
                  <w:pPr>
                    <w:pStyle w:val="131"/>
                    <w:pageBreakBefore w:val="0"/>
                    <w:widowControl w:val="0"/>
                    <w:kinsoku/>
                    <w:wordWrap/>
                    <w:overflowPunct/>
                    <w:topLinePunct w:val="0"/>
                    <w:autoSpaceDE/>
                    <w:autoSpaceDN/>
                    <w:bidi w:val="0"/>
                    <w:adjustRightInd/>
                    <w:snapToGrid/>
                    <w:spacing w:line="360" w:lineRule="exact"/>
                    <w:ind w:firstLine="0"/>
                    <w:textAlignment w:val="auto"/>
                    <w:rPr>
                      <w:b/>
                    </w:rPr>
                  </w:pPr>
                  <w:r>
                    <w:rPr>
                      <w:b/>
                    </w:rPr>
                    <w:t>1.23</w:t>
                  </w:r>
                  <w:r>
                    <w:rPr>
                      <w:rFonts w:hint="eastAsia"/>
                      <w:b/>
                    </w:rPr>
                    <w:t>、交叉统计</w:t>
                  </w:r>
                </w:p>
                <w:p w14:paraId="0BCAA662">
                  <w:pPr>
                    <w:pageBreakBefore w:val="0"/>
                    <w:widowControl w:val="0"/>
                    <w:kinsoku/>
                    <w:wordWrap/>
                    <w:overflowPunct/>
                    <w:topLinePunct w:val="0"/>
                    <w:autoSpaceDE/>
                    <w:autoSpaceDN/>
                    <w:bidi w:val="0"/>
                    <w:adjustRightInd/>
                    <w:snapToGrid/>
                    <w:spacing w:line="360" w:lineRule="exact"/>
                    <w:textAlignment w:val="auto"/>
                  </w:pPr>
                  <w:r>
                    <w:rPr>
                      <w:rFonts w:hint="eastAsia"/>
                    </w:rPr>
                    <w:t>按不良事件的“事件类型”、“事件科室”和“事件等级”进行两两交叉统计汇总，包括事件类别</w:t>
                  </w:r>
                  <w:r>
                    <w:t>-</w:t>
                  </w:r>
                  <w:r>
                    <w:rPr>
                      <w:rFonts w:hint="eastAsia"/>
                    </w:rPr>
                    <w:t>事件等级统计表、事件科室</w:t>
                  </w:r>
                  <w:r>
                    <w:t>-</w:t>
                  </w:r>
                  <w:r>
                    <w:rPr>
                      <w:rFonts w:hint="eastAsia"/>
                    </w:rPr>
                    <w:t>事件等级统计表、事件科室</w:t>
                  </w:r>
                  <w:r>
                    <w:t>-</w:t>
                  </w:r>
                  <w:r>
                    <w:rPr>
                      <w:rFonts w:hint="eastAsia"/>
                    </w:rPr>
                    <w:t>事件类别统计表等。支持选择事件类型、科室名称、事件等级、上报时间和时间类型进行查询。</w:t>
                  </w:r>
                </w:p>
                <w:p w14:paraId="5BA785FF">
                  <w:pPr>
                    <w:pageBreakBefore w:val="0"/>
                    <w:widowControl w:val="0"/>
                    <w:kinsoku/>
                    <w:wordWrap/>
                    <w:overflowPunct/>
                    <w:topLinePunct w:val="0"/>
                    <w:autoSpaceDE/>
                    <w:autoSpaceDN/>
                    <w:bidi w:val="0"/>
                    <w:adjustRightInd/>
                    <w:snapToGrid/>
                    <w:spacing w:line="360" w:lineRule="exact"/>
                    <w:textAlignment w:val="auto"/>
                  </w:pPr>
                  <w:r>
                    <w:rPr>
                      <w:rFonts w:hint="eastAsia"/>
                    </w:rPr>
                    <w:t>数据下钻：针对事件汇总数据支持数据下钻查看对应不良事件上报例数个案明细。</w:t>
                  </w:r>
                </w:p>
                <w:p w14:paraId="4A028092">
                  <w:pPr>
                    <w:pStyle w:val="131"/>
                    <w:pageBreakBefore w:val="0"/>
                    <w:widowControl w:val="0"/>
                    <w:kinsoku/>
                    <w:wordWrap/>
                    <w:overflowPunct/>
                    <w:topLinePunct w:val="0"/>
                    <w:autoSpaceDE/>
                    <w:autoSpaceDN/>
                    <w:bidi w:val="0"/>
                    <w:adjustRightInd/>
                    <w:snapToGrid/>
                    <w:spacing w:line="360" w:lineRule="exact"/>
                    <w:ind w:firstLine="0"/>
                    <w:textAlignment w:val="auto"/>
                    <w:rPr>
                      <w:b/>
                    </w:rPr>
                  </w:pPr>
                  <w:r>
                    <w:rPr>
                      <w:b/>
                    </w:rPr>
                    <w:t>1.24</w:t>
                  </w:r>
                  <w:r>
                    <w:rPr>
                      <w:rFonts w:hint="eastAsia"/>
                      <w:b/>
                    </w:rPr>
                    <w:t>、综合分析</w:t>
                  </w:r>
                </w:p>
                <w:p w14:paraId="71E38824">
                  <w:pPr>
                    <w:pageBreakBefore w:val="0"/>
                    <w:widowControl w:val="0"/>
                    <w:kinsoku/>
                    <w:wordWrap/>
                    <w:overflowPunct/>
                    <w:topLinePunct w:val="0"/>
                    <w:autoSpaceDE/>
                    <w:autoSpaceDN/>
                    <w:bidi w:val="0"/>
                    <w:adjustRightInd/>
                    <w:snapToGrid/>
                    <w:spacing w:line="360" w:lineRule="exact"/>
                    <w:textAlignment w:val="auto"/>
                  </w:pPr>
                  <w:r>
                    <w:rPr>
                      <w:rFonts w:hint="eastAsia"/>
                    </w:rPr>
                    <w:t>针对事件上报和处理的数据进行高度结构化，按不良事件结构化的各种查询条件进行自主查询综合汇总，支持按上报时间、发生时间、上报科室、发生科室、事件等级、严重程度、发生地点、上报期限、处理期限、重复上报、事件类型、原因分析等条件进行查询，查看对应不良事件具体明细信息，满足用户多样性个性化统计分析需求。</w:t>
                  </w:r>
                </w:p>
                <w:p w14:paraId="069688C8">
                  <w:pPr>
                    <w:pStyle w:val="9"/>
                    <w:pageBreakBefore w:val="0"/>
                    <w:widowControl w:val="0"/>
                    <w:kinsoku/>
                    <w:wordWrap/>
                    <w:overflowPunct/>
                    <w:topLinePunct w:val="0"/>
                    <w:autoSpaceDE/>
                    <w:autoSpaceDN/>
                    <w:bidi w:val="0"/>
                    <w:adjustRightInd/>
                    <w:snapToGrid/>
                    <w:spacing w:line="360" w:lineRule="exact"/>
                    <w:textAlignment w:val="auto"/>
                    <w:rPr>
                      <w:b/>
                    </w:rPr>
                  </w:pPr>
                  <w:r>
                    <w:rPr>
                      <w:rFonts w:hint="eastAsia"/>
                      <w:b/>
                    </w:rPr>
                    <w:t>系统管理</w:t>
                  </w:r>
                </w:p>
                <w:p w14:paraId="418101D9">
                  <w:pPr>
                    <w:pStyle w:val="131"/>
                    <w:pageBreakBefore w:val="0"/>
                    <w:widowControl w:val="0"/>
                    <w:kinsoku/>
                    <w:wordWrap/>
                    <w:overflowPunct/>
                    <w:topLinePunct w:val="0"/>
                    <w:autoSpaceDE/>
                    <w:autoSpaceDN/>
                    <w:bidi w:val="0"/>
                    <w:adjustRightInd/>
                    <w:snapToGrid/>
                    <w:spacing w:line="360" w:lineRule="exact"/>
                    <w:ind w:firstLine="0"/>
                    <w:textAlignment w:val="auto"/>
                    <w:rPr>
                      <w:b/>
                    </w:rPr>
                  </w:pPr>
                  <w:r>
                    <w:rPr>
                      <w:b/>
                    </w:rPr>
                    <w:t>1</w:t>
                  </w:r>
                  <w:r>
                    <w:rPr>
                      <w:rFonts w:hint="eastAsia"/>
                      <w:b/>
                    </w:rPr>
                    <w:t>、首页门户</w:t>
                  </w:r>
                </w:p>
                <w:p w14:paraId="0155069E">
                  <w:pPr>
                    <w:pageBreakBefore w:val="0"/>
                    <w:widowControl w:val="0"/>
                    <w:kinsoku/>
                    <w:wordWrap/>
                    <w:overflowPunct/>
                    <w:topLinePunct w:val="0"/>
                    <w:autoSpaceDE/>
                    <w:autoSpaceDN/>
                    <w:bidi w:val="0"/>
                    <w:adjustRightInd/>
                    <w:snapToGrid/>
                    <w:spacing w:line="360" w:lineRule="exact"/>
                    <w:textAlignment w:val="auto"/>
                  </w:pPr>
                  <w:r>
                    <w:rPr>
                      <w:rFonts w:hint="eastAsia"/>
                    </w:rPr>
                    <w:t>门户可对用户重点关注内容统一管理集中展示，作为用户的个人工作台。包括已上报、待处理、处理中、已结案、草稿箱统计、事件类型统计、上报统计分析、公告政策、</w:t>
                  </w:r>
                  <w:r>
                    <w:t xml:space="preserve"> </w:t>
                  </w:r>
                  <w:r>
                    <w:rPr>
                      <w:rFonts w:hint="eastAsia"/>
                    </w:rPr>
                    <w:t>案例分享、我的星标、我的消息。用户可通过门户快速总览查看与自己相关的工作内容，并快捷定位跳转对应菜单模块，提高不良事件管理工作效率。</w:t>
                  </w:r>
                </w:p>
                <w:p w14:paraId="1BE6C869">
                  <w:pPr>
                    <w:pStyle w:val="131"/>
                    <w:pageBreakBefore w:val="0"/>
                    <w:widowControl w:val="0"/>
                    <w:kinsoku/>
                    <w:wordWrap/>
                    <w:overflowPunct/>
                    <w:topLinePunct w:val="0"/>
                    <w:autoSpaceDE/>
                    <w:autoSpaceDN/>
                    <w:bidi w:val="0"/>
                    <w:adjustRightInd/>
                    <w:snapToGrid/>
                    <w:spacing w:line="360" w:lineRule="exact"/>
                    <w:ind w:firstLine="0"/>
                    <w:textAlignment w:val="auto"/>
                    <w:rPr>
                      <w:b/>
                    </w:rPr>
                  </w:pPr>
                  <w:r>
                    <w:rPr>
                      <w:b/>
                    </w:rPr>
                    <w:t>2</w:t>
                  </w:r>
                  <w:r>
                    <w:rPr>
                      <w:rFonts w:hint="eastAsia"/>
                      <w:b/>
                    </w:rPr>
                    <w:t>、事件类型管理</w:t>
                  </w:r>
                </w:p>
                <w:p w14:paraId="0D19AA39">
                  <w:pPr>
                    <w:pageBreakBefore w:val="0"/>
                    <w:widowControl w:val="0"/>
                    <w:kinsoku/>
                    <w:wordWrap/>
                    <w:overflowPunct/>
                    <w:topLinePunct w:val="0"/>
                    <w:autoSpaceDE/>
                    <w:autoSpaceDN/>
                    <w:bidi w:val="0"/>
                    <w:adjustRightInd/>
                    <w:snapToGrid/>
                    <w:spacing w:line="360" w:lineRule="exact"/>
                    <w:textAlignment w:val="auto"/>
                  </w:pPr>
                  <w:r>
                    <w:rPr>
                      <w:rFonts w:hint="eastAsia"/>
                    </w:rPr>
                    <w:t>依据医院不良事件管理需求，对不良事件基础类型（医疗类、护理类、院感类）和对应二级子类型进行自定义维护管理。</w:t>
                  </w:r>
                </w:p>
                <w:p w14:paraId="095C1FA3">
                  <w:pPr>
                    <w:pStyle w:val="131"/>
                    <w:pageBreakBefore w:val="0"/>
                    <w:widowControl w:val="0"/>
                    <w:kinsoku/>
                    <w:wordWrap/>
                    <w:overflowPunct/>
                    <w:topLinePunct w:val="0"/>
                    <w:autoSpaceDE/>
                    <w:autoSpaceDN/>
                    <w:bidi w:val="0"/>
                    <w:adjustRightInd/>
                    <w:snapToGrid/>
                    <w:spacing w:line="360" w:lineRule="exact"/>
                    <w:ind w:firstLine="0"/>
                    <w:textAlignment w:val="auto"/>
                    <w:rPr>
                      <w:b/>
                    </w:rPr>
                  </w:pPr>
                  <w:r>
                    <w:rPr>
                      <w:b/>
                    </w:rPr>
                    <w:t>3</w:t>
                  </w:r>
                  <w:r>
                    <w:rPr>
                      <w:rFonts w:hint="eastAsia"/>
                      <w:b/>
                    </w:rPr>
                    <w:t>、表单模板维护</w:t>
                  </w:r>
                </w:p>
                <w:p w14:paraId="1E23BC15">
                  <w:pPr>
                    <w:pageBreakBefore w:val="0"/>
                    <w:widowControl w:val="0"/>
                    <w:kinsoku/>
                    <w:wordWrap/>
                    <w:overflowPunct/>
                    <w:topLinePunct w:val="0"/>
                    <w:autoSpaceDE/>
                    <w:autoSpaceDN/>
                    <w:bidi w:val="0"/>
                    <w:adjustRightInd/>
                    <w:snapToGrid/>
                    <w:spacing w:line="360" w:lineRule="exact"/>
                    <w:textAlignment w:val="auto"/>
                  </w:pPr>
                  <w:r>
                    <w:rPr>
                      <w:rFonts w:hint="eastAsia"/>
                    </w:rPr>
                    <w:t>依据已维护的基础类不良事件，对基础类不良事件对应的上报表单模板进行维护管理，可依据医院管理需求修改表单模板内容。提供鱼骨图原因分析因素列表维护配置以及表单模板动态设计器。</w:t>
                  </w:r>
                </w:p>
                <w:p w14:paraId="0B549965">
                  <w:pPr>
                    <w:pageBreakBefore w:val="0"/>
                    <w:widowControl w:val="0"/>
                    <w:kinsoku/>
                    <w:wordWrap/>
                    <w:overflowPunct/>
                    <w:topLinePunct w:val="0"/>
                    <w:autoSpaceDE/>
                    <w:autoSpaceDN/>
                    <w:bidi w:val="0"/>
                    <w:adjustRightInd/>
                    <w:snapToGrid/>
                    <w:spacing w:line="360" w:lineRule="exact"/>
                    <w:textAlignment w:val="auto"/>
                  </w:pPr>
                  <w:r>
                    <w:rPr>
                      <w:rFonts w:hint="eastAsia"/>
                    </w:rPr>
                    <w:t>表单设计：拖拉拽组件并编辑组件属性自定义快速组装生成表单，支持在线预览配置的表单，形成基础类不良事件上报通用模板。</w:t>
                  </w:r>
                </w:p>
                <w:p w14:paraId="352B22D9">
                  <w:pPr>
                    <w:pStyle w:val="131"/>
                    <w:pageBreakBefore w:val="0"/>
                    <w:widowControl w:val="0"/>
                    <w:kinsoku/>
                    <w:wordWrap/>
                    <w:overflowPunct/>
                    <w:topLinePunct w:val="0"/>
                    <w:autoSpaceDE/>
                    <w:autoSpaceDN/>
                    <w:bidi w:val="0"/>
                    <w:adjustRightInd/>
                    <w:snapToGrid/>
                    <w:spacing w:line="360" w:lineRule="exact"/>
                    <w:ind w:firstLine="0"/>
                    <w:textAlignment w:val="auto"/>
                    <w:rPr>
                      <w:b/>
                    </w:rPr>
                  </w:pPr>
                  <w:r>
                    <w:rPr>
                      <w:b/>
                    </w:rPr>
                    <w:t>4</w:t>
                  </w:r>
                  <w:r>
                    <w:rPr>
                      <w:rFonts w:hint="eastAsia"/>
                      <w:b/>
                    </w:rPr>
                    <w:t>、审批流程维护</w:t>
                  </w:r>
                </w:p>
                <w:p w14:paraId="1ECC722D">
                  <w:pPr>
                    <w:pageBreakBefore w:val="0"/>
                    <w:widowControl w:val="0"/>
                    <w:kinsoku/>
                    <w:wordWrap/>
                    <w:overflowPunct/>
                    <w:topLinePunct w:val="0"/>
                    <w:autoSpaceDE/>
                    <w:autoSpaceDN/>
                    <w:bidi w:val="0"/>
                    <w:adjustRightInd/>
                    <w:snapToGrid/>
                    <w:spacing w:line="360" w:lineRule="exact"/>
                    <w:textAlignment w:val="auto"/>
                  </w:pPr>
                  <w:r>
                    <w:rPr>
                      <w:rFonts w:hint="eastAsia"/>
                    </w:rPr>
                    <w:t>系统提供根据基础类不良事件实际业务自主制定配置事件审批处理流程，包含自定义配置不良事件的归口管理部门、审批流程处理权限、结案监管部门。支持分科室分级管理机制，可自定义审核环节的审批部门、审核角色、处理范围，支持按不同科室的不同角色进行分节点分级处理，审核流程灵活配置，满足院方不同管理方式，使职责权限更加细化清晰。</w:t>
                  </w:r>
                </w:p>
                <w:p w14:paraId="23A31ECD">
                  <w:pPr>
                    <w:pStyle w:val="131"/>
                    <w:pageBreakBefore w:val="0"/>
                    <w:widowControl w:val="0"/>
                    <w:kinsoku/>
                    <w:wordWrap/>
                    <w:overflowPunct/>
                    <w:topLinePunct w:val="0"/>
                    <w:autoSpaceDE/>
                    <w:autoSpaceDN/>
                    <w:bidi w:val="0"/>
                    <w:adjustRightInd/>
                    <w:snapToGrid/>
                    <w:spacing w:line="360" w:lineRule="exact"/>
                    <w:ind w:firstLine="0"/>
                    <w:textAlignment w:val="auto"/>
                    <w:rPr>
                      <w:b/>
                    </w:rPr>
                  </w:pPr>
                  <w:r>
                    <w:rPr>
                      <w:b/>
                    </w:rPr>
                    <w:t>5</w:t>
                  </w:r>
                  <w:r>
                    <w:rPr>
                      <w:rFonts w:hint="eastAsia"/>
                      <w:b/>
                    </w:rPr>
                    <w:t>、期限节假日维护</w:t>
                  </w:r>
                </w:p>
                <w:p w14:paraId="51B9E095">
                  <w:pPr>
                    <w:pageBreakBefore w:val="0"/>
                    <w:widowControl w:val="0"/>
                    <w:kinsoku/>
                    <w:wordWrap/>
                    <w:overflowPunct/>
                    <w:topLinePunct w:val="0"/>
                    <w:autoSpaceDE/>
                    <w:autoSpaceDN/>
                    <w:bidi w:val="0"/>
                    <w:adjustRightInd/>
                    <w:snapToGrid/>
                    <w:spacing w:line="360" w:lineRule="exact"/>
                    <w:textAlignment w:val="auto"/>
                  </w:pPr>
                  <w:r>
                    <w:rPr>
                      <w:rFonts w:hint="eastAsia"/>
                    </w:rPr>
                    <w:t>期限管理：不良事件区分严重程度，支持超时管理机制，精准管理不良事件。根据不同的严重程度设置事件管理人的上报期限、处理期限以及提醒期限，设定各流程的不同上报超时，支持超时短信提醒，敦促阶段处理人及时处理不良事件。</w:t>
                  </w:r>
                </w:p>
                <w:p w14:paraId="1C217478">
                  <w:pPr>
                    <w:pageBreakBefore w:val="0"/>
                    <w:widowControl w:val="0"/>
                    <w:kinsoku/>
                    <w:wordWrap/>
                    <w:overflowPunct/>
                    <w:topLinePunct w:val="0"/>
                    <w:autoSpaceDE/>
                    <w:autoSpaceDN/>
                    <w:bidi w:val="0"/>
                    <w:adjustRightInd/>
                    <w:snapToGrid/>
                    <w:spacing w:line="360" w:lineRule="exact"/>
                    <w:textAlignment w:val="auto"/>
                  </w:pPr>
                  <w:r>
                    <w:rPr>
                      <w:rFonts w:hint="eastAsia"/>
                    </w:rPr>
                    <w:t>节假日管理：节假日配置提供自定义设置维护每年的节假日时间与天数，包含节假日和补班日两种类型，与期限配置的超时管理提醒功能结合使用。</w:t>
                  </w:r>
                </w:p>
                <w:p w14:paraId="31619D39">
                  <w:pPr>
                    <w:pStyle w:val="131"/>
                    <w:pageBreakBefore w:val="0"/>
                    <w:widowControl w:val="0"/>
                    <w:kinsoku/>
                    <w:wordWrap/>
                    <w:overflowPunct/>
                    <w:topLinePunct w:val="0"/>
                    <w:autoSpaceDE/>
                    <w:autoSpaceDN/>
                    <w:bidi w:val="0"/>
                    <w:adjustRightInd/>
                    <w:snapToGrid/>
                    <w:spacing w:line="360" w:lineRule="exact"/>
                    <w:ind w:firstLine="0"/>
                    <w:textAlignment w:val="auto"/>
                    <w:rPr>
                      <w:b/>
                    </w:rPr>
                  </w:pPr>
                  <w:r>
                    <w:rPr>
                      <w:b/>
                    </w:rPr>
                    <w:t>6</w:t>
                  </w:r>
                  <w:r>
                    <w:rPr>
                      <w:rFonts w:hint="eastAsia"/>
                      <w:b/>
                    </w:rPr>
                    <w:t>、意见模板管理</w:t>
                  </w:r>
                </w:p>
                <w:p w14:paraId="3FA56158">
                  <w:pPr>
                    <w:pageBreakBefore w:val="0"/>
                    <w:widowControl w:val="0"/>
                    <w:kinsoku/>
                    <w:wordWrap/>
                    <w:overflowPunct/>
                    <w:topLinePunct w:val="0"/>
                    <w:autoSpaceDE/>
                    <w:autoSpaceDN/>
                    <w:bidi w:val="0"/>
                    <w:adjustRightInd/>
                    <w:snapToGrid/>
                    <w:spacing w:line="360" w:lineRule="exact"/>
                    <w:textAlignment w:val="auto"/>
                  </w:pPr>
                  <w:r>
                    <w:rPr>
                      <w:rFonts w:hint="eastAsia"/>
                    </w:rPr>
                    <w:t>针对基础类事件提供审核意见及整改措施模板自定义维护配置功能，事件审批处理填写处理意见支持一键引用意见模板，提高审核处理的工作效率。</w:t>
                  </w:r>
                </w:p>
                <w:p w14:paraId="3F446F41">
                  <w:pPr>
                    <w:pStyle w:val="131"/>
                    <w:pageBreakBefore w:val="0"/>
                    <w:widowControl w:val="0"/>
                    <w:kinsoku/>
                    <w:wordWrap/>
                    <w:overflowPunct/>
                    <w:topLinePunct w:val="0"/>
                    <w:autoSpaceDE/>
                    <w:autoSpaceDN/>
                    <w:bidi w:val="0"/>
                    <w:adjustRightInd/>
                    <w:snapToGrid/>
                    <w:spacing w:line="360" w:lineRule="exact"/>
                    <w:ind w:firstLine="0"/>
                    <w:textAlignment w:val="auto"/>
                    <w:rPr>
                      <w:b/>
                    </w:rPr>
                  </w:pPr>
                  <w:r>
                    <w:rPr>
                      <w:b/>
                    </w:rPr>
                    <w:t>7</w:t>
                  </w:r>
                  <w:r>
                    <w:rPr>
                      <w:rFonts w:hint="eastAsia"/>
                      <w:b/>
                    </w:rPr>
                    <w:t>、组织管理</w:t>
                  </w:r>
                </w:p>
                <w:p w14:paraId="7D42832B">
                  <w:pPr>
                    <w:pageBreakBefore w:val="0"/>
                    <w:widowControl w:val="0"/>
                    <w:kinsoku/>
                    <w:wordWrap/>
                    <w:overflowPunct/>
                    <w:topLinePunct w:val="0"/>
                    <w:autoSpaceDE/>
                    <w:autoSpaceDN/>
                    <w:bidi w:val="0"/>
                    <w:adjustRightInd/>
                    <w:snapToGrid/>
                    <w:spacing w:line="360" w:lineRule="exact"/>
                    <w:textAlignment w:val="auto"/>
                  </w:pPr>
                  <w:r>
                    <w:rPr>
                      <w:rFonts w:hint="eastAsia"/>
                    </w:rPr>
                    <w:t>对系统的组织科室统一管理，包括机构、组织的创建和基本信息维护，通过可视化管理，支持对组织科室进行科室属性类别分类，对组织科室快速分配对应用户，一键同步导入组织列表，切合医院组织体系架构，满足医院不同组织管理需求。</w:t>
                  </w:r>
                </w:p>
                <w:p w14:paraId="6532DBFA">
                  <w:pPr>
                    <w:pStyle w:val="131"/>
                    <w:pageBreakBefore w:val="0"/>
                    <w:widowControl w:val="0"/>
                    <w:kinsoku/>
                    <w:wordWrap/>
                    <w:overflowPunct/>
                    <w:topLinePunct w:val="0"/>
                    <w:autoSpaceDE/>
                    <w:autoSpaceDN/>
                    <w:bidi w:val="0"/>
                    <w:adjustRightInd/>
                    <w:snapToGrid/>
                    <w:spacing w:line="360" w:lineRule="exact"/>
                    <w:ind w:firstLine="0"/>
                    <w:textAlignment w:val="auto"/>
                    <w:rPr>
                      <w:b/>
                    </w:rPr>
                  </w:pPr>
                  <w:r>
                    <w:rPr>
                      <w:b/>
                    </w:rPr>
                    <w:t>8</w:t>
                  </w:r>
                  <w:r>
                    <w:rPr>
                      <w:rFonts w:hint="eastAsia"/>
                      <w:b/>
                    </w:rPr>
                    <w:t>、用户管理</w:t>
                  </w:r>
                </w:p>
                <w:p w14:paraId="35DA3363">
                  <w:pPr>
                    <w:pageBreakBefore w:val="0"/>
                    <w:widowControl w:val="0"/>
                    <w:kinsoku/>
                    <w:wordWrap/>
                    <w:overflowPunct/>
                    <w:topLinePunct w:val="0"/>
                    <w:autoSpaceDE/>
                    <w:autoSpaceDN/>
                    <w:bidi w:val="0"/>
                    <w:adjustRightInd/>
                    <w:snapToGrid/>
                    <w:spacing w:line="360" w:lineRule="exact"/>
                    <w:textAlignment w:val="auto"/>
                  </w:pPr>
                  <w:r>
                    <w:rPr>
                      <w:rFonts w:hint="eastAsia"/>
                    </w:rPr>
                    <w:t>对访问系统的相关用户管理，包括用户的基本信息、用户所在科室、用户所属角色。主要对接入系统的相关用户进行有效管理。用户按照不同的角色进行划分，并结合科室进行管理，直观有效的进行用户管理。通过可视化管理，能快速分发及删除用户的权限。</w:t>
                  </w:r>
                </w:p>
                <w:p w14:paraId="64F2C364">
                  <w:pPr>
                    <w:pStyle w:val="131"/>
                    <w:pageBreakBefore w:val="0"/>
                    <w:widowControl w:val="0"/>
                    <w:kinsoku/>
                    <w:wordWrap/>
                    <w:overflowPunct/>
                    <w:topLinePunct w:val="0"/>
                    <w:autoSpaceDE/>
                    <w:autoSpaceDN/>
                    <w:bidi w:val="0"/>
                    <w:adjustRightInd/>
                    <w:snapToGrid/>
                    <w:spacing w:line="360" w:lineRule="exact"/>
                    <w:ind w:firstLine="0"/>
                    <w:textAlignment w:val="auto"/>
                    <w:rPr>
                      <w:b/>
                    </w:rPr>
                  </w:pPr>
                  <w:r>
                    <w:rPr>
                      <w:b/>
                    </w:rPr>
                    <w:t>9</w:t>
                  </w:r>
                  <w:r>
                    <w:rPr>
                      <w:rFonts w:hint="eastAsia"/>
                      <w:b/>
                    </w:rPr>
                    <w:t>、角色管理</w:t>
                  </w:r>
                </w:p>
                <w:p w14:paraId="436FA16C">
                  <w:pPr>
                    <w:pageBreakBefore w:val="0"/>
                    <w:widowControl w:val="0"/>
                    <w:kinsoku/>
                    <w:wordWrap/>
                    <w:overflowPunct/>
                    <w:topLinePunct w:val="0"/>
                    <w:autoSpaceDE/>
                    <w:autoSpaceDN/>
                    <w:bidi w:val="0"/>
                    <w:adjustRightInd/>
                    <w:snapToGrid/>
                    <w:spacing w:line="360" w:lineRule="exact"/>
                    <w:textAlignment w:val="auto"/>
                  </w:pPr>
                  <w:r>
                    <w:rPr>
                      <w:rFonts w:hint="eastAsia"/>
                    </w:rPr>
                    <w:t>对不同业务模块下的角色进行有效管理，包括角色的创建和角色的业务模块归属，结合模块和菜单对角色统一管理，也可以根据医院的业务开展及命名需要进行调整；通过可视化管理，能快速对角色进行用户及权限的分发，方便对系统的功能和数据进行操作。</w:t>
                  </w:r>
                </w:p>
                <w:p w14:paraId="06905924">
                  <w:pPr>
                    <w:pStyle w:val="131"/>
                    <w:pageBreakBefore w:val="0"/>
                    <w:widowControl w:val="0"/>
                    <w:kinsoku/>
                    <w:wordWrap/>
                    <w:overflowPunct/>
                    <w:topLinePunct w:val="0"/>
                    <w:autoSpaceDE/>
                    <w:autoSpaceDN/>
                    <w:bidi w:val="0"/>
                    <w:adjustRightInd/>
                    <w:snapToGrid/>
                    <w:spacing w:line="360" w:lineRule="exact"/>
                    <w:ind w:firstLine="0"/>
                    <w:textAlignment w:val="auto"/>
                    <w:rPr>
                      <w:b/>
                    </w:rPr>
                  </w:pPr>
                  <w:r>
                    <w:rPr>
                      <w:b/>
                    </w:rPr>
                    <w:t>10</w:t>
                  </w:r>
                  <w:r>
                    <w:rPr>
                      <w:rFonts w:hint="eastAsia"/>
                      <w:b/>
                    </w:rPr>
                    <w:t>、权限管理</w:t>
                  </w:r>
                </w:p>
                <w:p w14:paraId="7AE35178">
                  <w:pPr>
                    <w:pageBreakBefore w:val="0"/>
                    <w:widowControl w:val="0"/>
                    <w:kinsoku/>
                    <w:wordWrap/>
                    <w:overflowPunct/>
                    <w:topLinePunct w:val="0"/>
                    <w:autoSpaceDE/>
                    <w:autoSpaceDN/>
                    <w:bidi w:val="0"/>
                    <w:adjustRightInd/>
                    <w:snapToGrid/>
                    <w:spacing w:line="360" w:lineRule="exact"/>
                    <w:textAlignment w:val="auto"/>
                  </w:pPr>
                  <w:r>
                    <w:rPr>
                      <w:rFonts w:hint="eastAsia" w:cs="宋体"/>
                    </w:rPr>
                    <w:t>系统面向全院临床科室及职能部门提供权限的自主配置功能，具体包含功能权限配置和数据权限配置，通过整体的权限管理来精确控制本系统的操作使用权限和数据查看权限。</w:t>
                  </w:r>
                </w:p>
                <w:p w14:paraId="7971CA5C">
                  <w:pPr>
                    <w:pageBreakBefore w:val="0"/>
                    <w:widowControl w:val="0"/>
                    <w:kinsoku/>
                    <w:wordWrap/>
                    <w:overflowPunct/>
                    <w:topLinePunct w:val="0"/>
                    <w:autoSpaceDE/>
                    <w:autoSpaceDN/>
                    <w:bidi w:val="0"/>
                    <w:adjustRightInd/>
                    <w:snapToGrid/>
                    <w:spacing w:line="360" w:lineRule="exact"/>
                    <w:textAlignment w:val="auto"/>
                  </w:pPr>
                  <w:r>
                    <w:rPr>
                      <w:rFonts w:hint="eastAsia"/>
                    </w:rPr>
                    <w:t>功能权限：为不同层级的科室用户配置菜单功能的权限来实现系统菜单功能的操作使用。</w:t>
                  </w:r>
                </w:p>
                <w:p w14:paraId="09CA4531">
                  <w:pPr>
                    <w:pageBreakBefore w:val="0"/>
                    <w:widowControl w:val="0"/>
                    <w:kinsoku/>
                    <w:wordWrap/>
                    <w:overflowPunct/>
                    <w:topLinePunct w:val="0"/>
                    <w:autoSpaceDE/>
                    <w:autoSpaceDN/>
                    <w:bidi w:val="0"/>
                    <w:adjustRightInd/>
                    <w:snapToGrid/>
                    <w:spacing w:line="360" w:lineRule="exact"/>
                    <w:textAlignment w:val="auto"/>
                  </w:pPr>
                  <w:r>
                    <w:rPr>
                      <w:rFonts w:hint="eastAsia"/>
                    </w:rPr>
                    <w:t>数据权限：通过科室所管辖的范围进行数据查看权限的控制，例如：院领导以及职能管理科室可以看到全院所有科室的相关数据，临床科室主任只能看到本科室的相关数据内容。</w:t>
                  </w:r>
                </w:p>
                <w:p w14:paraId="5F43D0A5">
                  <w:pPr>
                    <w:pStyle w:val="9"/>
                    <w:pageBreakBefore w:val="0"/>
                    <w:widowControl w:val="0"/>
                    <w:kinsoku/>
                    <w:wordWrap/>
                    <w:overflowPunct/>
                    <w:topLinePunct w:val="0"/>
                    <w:autoSpaceDE/>
                    <w:autoSpaceDN/>
                    <w:bidi w:val="0"/>
                    <w:adjustRightInd/>
                    <w:snapToGrid/>
                    <w:spacing w:line="360" w:lineRule="exact"/>
                    <w:textAlignment w:val="auto"/>
                    <w:rPr>
                      <w:b/>
                      <w:sz w:val="22"/>
                      <w:szCs w:val="22"/>
                    </w:rPr>
                  </w:pPr>
                  <w:r>
                    <w:rPr>
                      <w:rFonts w:hint="eastAsia"/>
                      <w:b/>
                      <w:sz w:val="22"/>
                      <w:szCs w:val="22"/>
                    </w:rPr>
                    <w:t>日志管理</w:t>
                  </w:r>
                  <w:r>
                    <w:rPr>
                      <w:b/>
                      <w:sz w:val="22"/>
                      <w:szCs w:val="22"/>
                    </w:rPr>
                    <w:t xml:space="preserve"> </w:t>
                  </w:r>
                </w:p>
                <w:p w14:paraId="3C4CCD84">
                  <w:pPr>
                    <w:pageBreakBefore w:val="0"/>
                    <w:widowControl w:val="0"/>
                    <w:kinsoku/>
                    <w:wordWrap/>
                    <w:overflowPunct/>
                    <w:topLinePunct w:val="0"/>
                    <w:autoSpaceDE/>
                    <w:autoSpaceDN/>
                    <w:bidi w:val="0"/>
                    <w:adjustRightInd/>
                    <w:snapToGrid/>
                    <w:spacing w:line="360" w:lineRule="exact"/>
                    <w:textAlignment w:val="auto"/>
                    <w:rPr>
                      <w:sz w:val="20"/>
                      <w:szCs w:val="22"/>
                    </w:rPr>
                  </w:pPr>
                  <w:r>
                    <w:rPr>
                      <w:rFonts w:hint="eastAsia"/>
                      <w:sz w:val="20"/>
                      <w:szCs w:val="22"/>
                    </w:rPr>
                    <w:t>系统自动记录用户的登入日志和操作日志，管理人员可以随时查询用户使用系统情况。</w:t>
                  </w:r>
                </w:p>
                <w:p w14:paraId="1D69C8FD">
                  <w:pPr>
                    <w:pStyle w:val="9"/>
                    <w:pageBreakBefore w:val="0"/>
                    <w:widowControl w:val="0"/>
                    <w:kinsoku/>
                    <w:wordWrap/>
                    <w:overflowPunct/>
                    <w:topLinePunct w:val="0"/>
                    <w:autoSpaceDE/>
                    <w:autoSpaceDN/>
                    <w:bidi w:val="0"/>
                    <w:adjustRightInd/>
                    <w:snapToGrid/>
                    <w:spacing w:line="360" w:lineRule="exact"/>
                    <w:textAlignment w:val="auto"/>
                    <w:rPr>
                      <w:b/>
                      <w:sz w:val="22"/>
                      <w:szCs w:val="22"/>
                    </w:rPr>
                  </w:pPr>
                  <w:r>
                    <w:rPr>
                      <w:rFonts w:hint="eastAsia"/>
                      <w:b/>
                      <w:sz w:val="22"/>
                      <w:szCs w:val="22"/>
                    </w:rPr>
                    <w:t>输血类不良事件上报</w:t>
                  </w:r>
                </w:p>
                <w:p w14:paraId="3918D4B6">
                  <w:pPr>
                    <w:pageBreakBefore w:val="0"/>
                    <w:widowControl w:val="0"/>
                    <w:kinsoku/>
                    <w:wordWrap/>
                    <w:overflowPunct/>
                    <w:topLinePunct w:val="0"/>
                    <w:autoSpaceDE/>
                    <w:autoSpaceDN/>
                    <w:bidi w:val="0"/>
                    <w:adjustRightInd/>
                    <w:snapToGrid/>
                    <w:spacing w:line="360" w:lineRule="exact"/>
                    <w:textAlignment w:val="auto"/>
                  </w:pPr>
                  <w:r>
                    <w:rPr>
                      <w:rFonts w:hint="eastAsia"/>
                    </w:rPr>
                    <w:t>输血类不良事件是包括在输血过程中因操作或记录引起的不良事件、输血过程中出现的输血不良反应事件、其他输血不良事件。</w:t>
                  </w:r>
                </w:p>
                <w:p w14:paraId="3E830136">
                  <w:pPr>
                    <w:pageBreakBefore w:val="0"/>
                    <w:widowControl w:val="0"/>
                    <w:kinsoku/>
                    <w:wordWrap/>
                    <w:overflowPunct/>
                    <w:topLinePunct w:val="0"/>
                    <w:autoSpaceDE/>
                    <w:autoSpaceDN/>
                    <w:bidi w:val="0"/>
                    <w:adjustRightInd/>
                    <w:snapToGrid/>
                    <w:spacing w:line="360" w:lineRule="exact"/>
                    <w:textAlignment w:val="auto"/>
                  </w:pPr>
                  <w:r>
                    <w:rPr>
                      <w:rFonts w:hint="eastAsia"/>
                    </w:rPr>
                    <w:t>输血反应是指在输血过程中或结束后，因输入血液或其制品或所用输注用具而产生的不良反应。输血反应中最常见的为过敏反应。输血类不良事件上报后，输血科应及时深入临床科室，协同临床科室作好相关处理与记录，提出输血指导意见并反馈给科室，收回和保存因输血反应未输完的血液。输血科每月对上报的事件召开分析讨论，系统提供多维度的输血类不良事件报表分析，主要采用趋势分析、饼图分析和个案分析。通过综合分析，制定整改措施，及时在科内进行输血不良反应知识的再培训，并督促科室医护人员严格三查七对。加强输血制度的再认识，在全科内针对输血情况进行全面的检查，持续增强医护人员的输血意识。</w:t>
                  </w:r>
                </w:p>
                <w:p w14:paraId="6960BA76">
                  <w:pPr>
                    <w:pageBreakBefore w:val="0"/>
                    <w:widowControl w:val="0"/>
                    <w:numPr>
                      <w:ilvl w:val="0"/>
                      <w:numId w:val="5"/>
                    </w:numPr>
                    <w:kinsoku/>
                    <w:wordWrap/>
                    <w:overflowPunct/>
                    <w:topLinePunct w:val="0"/>
                    <w:autoSpaceDE/>
                    <w:autoSpaceDN/>
                    <w:bidi w:val="0"/>
                    <w:adjustRightInd/>
                    <w:snapToGrid/>
                    <w:spacing w:line="360" w:lineRule="exact"/>
                    <w:textAlignment w:val="auto"/>
                    <w:rPr>
                      <w:b/>
                      <w:bCs/>
                    </w:rPr>
                  </w:pPr>
                  <w:r>
                    <w:rPr>
                      <w:rFonts w:hint="eastAsia"/>
                      <w:b/>
                      <w:bCs/>
                    </w:rPr>
                    <w:t>输血类不良事件上报流程维护</w:t>
                  </w:r>
                </w:p>
                <w:p w14:paraId="36FD71AD">
                  <w:pPr>
                    <w:pageBreakBefore w:val="0"/>
                    <w:widowControl w:val="0"/>
                    <w:kinsoku/>
                    <w:wordWrap/>
                    <w:overflowPunct/>
                    <w:topLinePunct w:val="0"/>
                    <w:autoSpaceDE/>
                    <w:autoSpaceDN/>
                    <w:bidi w:val="0"/>
                    <w:adjustRightInd/>
                    <w:snapToGrid/>
                    <w:spacing w:line="360" w:lineRule="exact"/>
                    <w:textAlignment w:val="auto"/>
                  </w:pPr>
                  <w:r>
                    <w:rPr>
                      <w:rFonts w:hint="eastAsia"/>
                    </w:rPr>
                    <w:t>输血类不良事件由输血科归口管理。系统提供输血类不良事件审批处理管理流程自定义维护，支持分科室分级管理机制，审核流程节点灵活配置，满足医院不同管理方式。</w:t>
                  </w:r>
                </w:p>
                <w:p w14:paraId="59822E34">
                  <w:pPr>
                    <w:pageBreakBefore w:val="0"/>
                    <w:widowControl w:val="0"/>
                    <w:numPr>
                      <w:ilvl w:val="0"/>
                      <w:numId w:val="5"/>
                    </w:numPr>
                    <w:kinsoku/>
                    <w:wordWrap/>
                    <w:overflowPunct/>
                    <w:topLinePunct w:val="0"/>
                    <w:autoSpaceDE/>
                    <w:autoSpaceDN/>
                    <w:bidi w:val="0"/>
                    <w:adjustRightInd/>
                    <w:snapToGrid/>
                    <w:spacing w:line="360" w:lineRule="exact"/>
                    <w:textAlignment w:val="auto"/>
                    <w:rPr>
                      <w:b/>
                      <w:bCs/>
                    </w:rPr>
                  </w:pPr>
                  <w:r>
                    <w:rPr>
                      <w:rFonts w:hint="eastAsia"/>
                      <w:b/>
                      <w:bCs/>
                    </w:rPr>
                    <w:t>输血类不良事件上报表单模板管理</w:t>
                  </w:r>
                </w:p>
                <w:p w14:paraId="0984CBDE">
                  <w:pPr>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cs="宋体"/>
                    </w:rPr>
                    <w:t>对于输血不良事件，需要提供输血者的基本信息、输血过程的详细情况等信息。</w:t>
                  </w:r>
                  <w:r>
                    <w:rPr>
                      <w:rFonts w:hint="eastAsia"/>
                    </w:rPr>
                    <w:t>提供输血类不良事件上报表单模板，快速进行各类输血不良事件上报，上报表单可依据医院管理需求自定义修改维护。</w:t>
                  </w:r>
                </w:p>
                <w:p w14:paraId="7069B90C">
                  <w:pPr>
                    <w:pageBreakBefore w:val="0"/>
                    <w:widowControl w:val="0"/>
                    <w:kinsoku/>
                    <w:wordWrap/>
                    <w:overflowPunct/>
                    <w:topLinePunct w:val="0"/>
                    <w:autoSpaceDE/>
                    <w:autoSpaceDN/>
                    <w:bidi w:val="0"/>
                    <w:adjustRightInd/>
                    <w:snapToGrid/>
                    <w:spacing w:line="360" w:lineRule="exact"/>
                    <w:textAlignment w:val="auto"/>
                    <w:rPr>
                      <w:rFonts w:hint="eastAsia"/>
                    </w:rPr>
                  </w:pPr>
                </w:p>
                <w:p w14:paraId="25164E3B">
                  <w:pPr>
                    <w:pageBreakBefore w:val="0"/>
                    <w:widowControl w:val="0"/>
                    <w:kinsoku/>
                    <w:wordWrap/>
                    <w:overflowPunct/>
                    <w:topLinePunct w:val="0"/>
                    <w:autoSpaceDE/>
                    <w:autoSpaceDN/>
                    <w:bidi w:val="0"/>
                    <w:adjustRightInd/>
                    <w:snapToGrid/>
                    <w:spacing w:line="360" w:lineRule="exact"/>
                    <w:textAlignment w:val="auto"/>
                    <w:rPr>
                      <w:rFonts w:hint="eastAsia"/>
                      <w:b/>
                      <w:sz w:val="22"/>
                      <w:szCs w:val="22"/>
                      <w:lang w:val="en-US" w:eastAsia="zh-CN"/>
                    </w:rPr>
                  </w:pPr>
                  <w:r>
                    <w:rPr>
                      <w:rFonts w:hint="eastAsia"/>
                      <w:b/>
                      <w:sz w:val="22"/>
                      <w:szCs w:val="22"/>
                    </w:rPr>
                    <w:t>医疗设备与耗材不良事件</w:t>
                  </w:r>
                  <w:r>
                    <w:rPr>
                      <w:rFonts w:hint="eastAsia"/>
                      <w:b/>
                      <w:sz w:val="22"/>
                      <w:szCs w:val="22"/>
                      <w:lang w:val="en-US" w:eastAsia="zh-CN"/>
                    </w:rPr>
                    <w:t>上报</w:t>
                  </w:r>
                </w:p>
                <w:p w14:paraId="246D2611">
                  <w:pPr>
                    <w:pageBreakBefore w:val="0"/>
                    <w:widowControl w:val="0"/>
                    <w:kinsoku/>
                    <w:wordWrap/>
                    <w:overflowPunct/>
                    <w:topLinePunct w:val="0"/>
                    <w:autoSpaceDE/>
                    <w:autoSpaceDN/>
                    <w:bidi w:val="0"/>
                    <w:adjustRightInd/>
                    <w:snapToGrid/>
                    <w:spacing w:line="360" w:lineRule="exact"/>
                    <w:textAlignment w:val="auto"/>
                    <w:rPr>
                      <w:rFonts w:hint="default"/>
                      <w:lang w:val="en-US" w:eastAsia="zh-CN"/>
                    </w:rPr>
                  </w:pPr>
                  <w:r>
                    <w:rPr>
                      <w:rFonts w:hint="default"/>
                      <w:lang w:val="en-US" w:eastAsia="zh-CN"/>
                    </w:rPr>
                    <w:t>医疗设备与耗材类不良事件是使用医疗设备与耗材过程中发生的，与医疗设备与耗材相关的，导致或者可能导致人体伤害的任何事件，包括：医疗设备在使用过程中出现失灵、精度偏差、电源故障、操作失控、漏电、辐射异常等问题，导致诊断或治疗失败；医疗耗材（如导管、注射器、人工关节、心脏支架、敷料等）因材料不合格、灭菌不彻底、结构设计缺陷或包装破损，引发感染、断裂、脱落、堵塞或过敏反应；产品标签不清、使用说明不完整、警告信息缺失，导致使用者误操作或忽视禁忌症，引发伤害；因操作人员未按规程使用、参数设置错误、未进行定期校准或维护，导致不良事件；同一型号、同一批次的医疗器械在短时间内集中出现相似不良反应，呈现聚集性趋势，提示可能存在系统性安全风险。</w:t>
                  </w:r>
                </w:p>
                <w:p w14:paraId="3422A8AF">
                  <w:pPr>
                    <w:pageBreakBefore w:val="0"/>
                    <w:widowControl w:val="0"/>
                    <w:kinsoku/>
                    <w:wordWrap/>
                    <w:overflowPunct/>
                    <w:topLinePunct w:val="0"/>
                    <w:autoSpaceDE/>
                    <w:autoSpaceDN/>
                    <w:bidi w:val="0"/>
                    <w:adjustRightInd/>
                    <w:snapToGrid/>
                    <w:spacing w:line="360" w:lineRule="exact"/>
                    <w:textAlignment w:val="auto"/>
                    <w:rPr>
                      <w:rFonts w:hint="default"/>
                      <w:lang w:val="en-US" w:eastAsia="zh-CN"/>
                    </w:rPr>
                  </w:pPr>
                  <w:r>
                    <w:rPr>
                      <w:rFonts w:hint="default"/>
                      <w:lang w:val="en-US" w:eastAsia="zh-CN"/>
                    </w:rPr>
                    <w:t>1、医疗设备与耗材类不良事件上报流程维护</w:t>
                  </w:r>
                </w:p>
                <w:p w14:paraId="1EA7C48B">
                  <w:pPr>
                    <w:pageBreakBefore w:val="0"/>
                    <w:widowControl w:val="0"/>
                    <w:kinsoku/>
                    <w:wordWrap/>
                    <w:overflowPunct/>
                    <w:topLinePunct w:val="0"/>
                    <w:autoSpaceDE/>
                    <w:autoSpaceDN/>
                    <w:bidi w:val="0"/>
                    <w:adjustRightInd/>
                    <w:snapToGrid/>
                    <w:spacing w:line="360" w:lineRule="exact"/>
                    <w:textAlignment w:val="auto"/>
                    <w:rPr>
                      <w:rFonts w:hint="default"/>
                      <w:lang w:val="en-US" w:eastAsia="zh-CN"/>
                    </w:rPr>
                  </w:pPr>
                  <w:r>
                    <w:rPr>
                      <w:rFonts w:hint="default"/>
                      <w:lang w:val="en-US" w:eastAsia="zh-CN"/>
                    </w:rPr>
                    <w:t>医疗设备与耗材类不良事件由医务处归口管理。系统提供医疗设备与耗材类不良事件审批处理管理流程自定义维护功能，支持分科室分级管理机制，审核流程节点灵活配置，满足医院不同管理方式。</w:t>
                  </w:r>
                </w:p>
                <w:p w14:paraId="6772FF1C">
                  <w:pPr>
                    <w:pageBreakBefore w:val="0"/>
                    <w:widowControl w:val="0"/>
                    <w:kinsoku/>
                    <w:wordWrap/>
                    <w:overflowPunct/>
                    <w:topLinePunct w:val="0"/>
                    <w:autoSpaceDE/>
                    <w:autoSpaceDN/>
                    <w:bidi w:val="0"/>
                    <w:adjustRightInd/>
                    <w:snapToGrid/>
                    <w:spacing w:line="360" w:lineRule="exact"/>
                    <w:textAlignment w:val="auto"/>
                    <w:rPr>
                      <w:rFonts w:hint="default"/>
                      <w:lang w:val="en-US" w:eastAsia="zh-CN"/>
                    </w:rPr>
                  </w:pPr>
                  <w:r>
                    <w:rPr>
                      <w:rFonts w:hint="default"/>
                      <w:lang w:val="en-US" w:eastAsia="zh-CN"/>
                    </w:rPr>
                    <w:t>2、医疗设备与耗材类不良事件上报表单模板管理</w:t>
                  </w:r>
                </w:p>
                <w:p w14:paraId="04427CA1">
                  <w:pPr>
                    <w:pageBreakBefore w:val="0"/>
                    <w:widowControl w:val="0"/>
                    <w:kinsoku/>
                    <w:wordWrap/>
                    <w:overflowPunct/>
                    <w:topLinePunct w:val="0"/>
                    <w:autoSpaceDE/>
                    <w:autoSpaceDN/>
                    <w:bidi w:val="0"/>
                    <w:adjustRightInd/>
                    <w:snapToGrid/>
                    <w:spacing w:line="360" w:lineRule="exact"/>
                    <w:textAlignment w:val="auto"/>
                  </w:pPr>
                  <w:r>
                    <w:rPr>
                      <w:rFonts w:hint="default"/>
                      <w:lang w:val="en-US" w:eastAsia="zh-CN"/>
                    </w:rPr>
                    <w:t>提供医疗设备与耗材类不良事件上报表单模板，快速进行各类医疗设备与耗材不良事件上报，上报表单可依据医院管理需求自定义修改维护。</w:t>
                  </w:r>
                </w:p>
              </w:tc>
            </w:tr>
            <w:tr w14:paraId="6C918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continue"/>
                  <w:tcBorders>
                    <w:top w:val="single" w:color="auto" w:sz="4" w:space="0"/>
                    <w:left w:val="single" w:color="auto" w:sz="4" w:space="0"/>
                    <w:bottom w:val="single" w:color="auto" w:sz="4" w:space="0"/>
                    <w:right w:val="single" w:color="auto" w:sz="4" w:space="0"/>
                  </w:tcBorders>
                  <w:noWrap w:val="0"/>
                  <w:vAlign w:val="center"/>
                </w:tcPr>
                <w:p w14:paraId="7661ADDA">
                  <w:pPr>
                    <w:widowControl/>
                    <w:jc w:val="left"/>
                    <w:rPr>
                      <w:rFonts w:ascii="宋体" w:hAnsi="宋体" w:cs="宋体"/>
                      <w:b/>
                      <w:color w:val="000000"/>
                      <w:sz w:val="20"/>
                      <w:szCs w:val="20"/>
                    </w:rPr>
                  </w:pPr>
                </w:p>
              </w:tc>
              <w:tc>
                <w:tcPr>
                  <w:tcW w:w="804" w:type="dxa"/>
                  <w:vMerge w:val="continue"/>
                  <w:tcBorders>
                    <w:top w:val="single" w:color="auto" w:sz="4" w:space="0"/>
                    <w:left w:val="single" w:color="auto" w:sz="4" w:space="0"/>
                    <w:bottom w:val="single" w:color="auto" w:sz="4" w:space="0"/>
                    <w:right w:val="single" w:color="auto" w:sz="4" w:space="0"/>
                  </w:tcBorders>
                  <w:noWrap w:val="0"/>
                  <w:vAlign w:val="center"/>
                </w:tcPr>
                <w:p w14:paraId="2CEB2A80">
                  <w:pPr>
                    <w:widowControl/>
                    <w:jc w:val="left"/>
                    <w:rPr>
                      <w:rFonts w:ascii="宋体" w:hAnsi="宋体" w:cs="宋体"/>
                      <w:color w:val="000000"/>
                      <w:sz w:val="21"/>
                      <w:szCs w:val="21"/>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29FA8A38">
                  <w:pPr>
                    <w:pageBreakBefore w:val="0"/>
                    <w:widowControl w:val="0"/>
                    <w:kinsoku/>
                    <w:wordWrap/>
                    <w:overflowPunct/>
                    <w:topLinePunct w:val="0"/>
                    <w:autoSpaceDE/>
                    <w:autoSpaceDN/>
                    <w:bidi w:val="0"/>
                    <w:adjustRightInd/>
                    <w:spacing w:line="360" w:lineRule="exact"/>
                    <w:textAlignment w:val="auto"/>
                    <w:rPr>
                      <w:rFonts w:ascii="宋体" w:hAnsi="宋体" w:cs="宋体"/>
                      <w:color w:val="000000"/>
                      <w:sz w:val="21"/>
                      <w:szCs w:val="21"/>
                    </w:rPr>
                  </w:pPr>
                  <w:r>
                    <w:rPr>
                      <w:rFonts w:hint="eastAsia"/>
                      <w:color w:val="000000"/>
                      <w:sz w:val="21"/>
                      <w:szCs w:val="21"/>
                    </w:rPr>
                    <w:t>传染病信息上报</w:t>
                  </w:r>
                </w:p>
              </w:tc>
              <w:tc>
                <w:tcPr>
                  <w:tcW w:w="7748" w:type="dxa"/>
                  <w:tcBorders>
                    <w:top w:val="single" w:color="auto" w:sz="4" w:space="0"/>
                    <w:left w:val="single" w:color="auto" w:sz="4" w:space="0"/>
                    <w:bottom w:val="single" w:color="auto" w:sz="4" w:space="0"/>
                    <w:right w:val="single" w:color="auto" w:sz="4" w:space="0"/>
                  </w:tcBorders>
                  <w:noWrap/>
                  <w:vAlign w:val="center"/>
                </w:tcPr>
                <w:p w14:paraId="2F23F175">
                  <w:pPr>
                    <w:pStyle w:val="7"/>
                    <w:pageBreakBefore w:val="0"/>
                    <w:widowControl w:val="0"/>
                    <w:kinsoku/>
                    <w:wordWrap/>
                    <w:overflowPunct/>
                    <w:topLinePunct w:val="0"/>
                    <w:autoSpaceDE/>
                    <w:autoSpaceDN/>
                    <w:bidi w:val="0"/>
                    <w:adjustRightInd/>
                    <w:spacing w:line="360" w:lineRule="exact"/>
                    <w:textAlignment w:val="auto"/>
                    <w:rPr>
                      <w:rFonts w:ascii="Calibri"/>
                      <w:sz w:val="21"/>
                    </w:rPr>
                  </w:pPr>
                  <w:r>
                    <w:rPr>
                      <w:rFonts w:hint="eastAsia"/>
                    </w:rPr>
                    <w:t>传染病信息上报</w:t>
                  </w:r>
                </w:p>
                <w:p w14:paraId="43576257">
                  <w:pPr>
                    <w:pStyle w:val="131"/>
                    <w:pageBreakBefore w:val="0"/>
                    <w:widowControl w:val="0"/>
                    <w:kinsoku/>
                    <w:wordWrap/>
                    <w:overflowPunct/>
                    <w:topLinePunct w:val="0"/>
                    <w:autoSpaceDE/>
                    <w:autoSpaceDN/>
                    <w:bidi w:val="0"/>
                    <w:adjustRightInd/>
                    <w:spacing w:line="360" w:lineRule="exact"/>
                    <w:ind w:firstLine="0"/>
                    <w:textAlignment w:val="auto"/>
                    <w:rPr>
                      <w:rFonts w:ascii="宋体" w:hAnsi="宋体" w:cs="宋体"/>
                      <w:szCs w:val="21"/>
                    </w:rPr>
                  </w:pPr>
                  <w:r>
                    <w:rPr>
                      <w:rFonts w:hint="eastAsia"/>
                    </w:rPr>
                    <w:t>传染病信息上报，是医院疾控科或者院感科将门诊急诊确诊的传染病，及时上报到国家传染病报告信息管理系统，甲类和乙类中按甲类管理的传染病</w:t>
                  </w:r>
                  <w:r>
                    <w:t>2</w:t>
                  </w:r>
                  <w:r>
                    <w:rPr>
                      <w:rFonts w:hint="eastAsia"/>
                    </w:rPr>
                    <w:t>小时内，其他乙类、丙类传染病</w:t>
                  </w:r>
                  <w:r>
                    <w:t>24</w:t>
                  </w:r>
                  <w:r>
                    <w:rPr>
                      <w:rFonts w:hint="eastAsia"/>
                    </w:rPr>
                    <w:t>小时内通过数据上报平台进行报告。上报的传染病数据，支持从医院业务系统直接采集数据，也支持通过</w:t>
                  </w:r>
                  <w:r>
                    <w:t>Excel</w:t>
                  </w:r>
                  <w:r>
                    <w:rPr>
                      <w:rFonts w:hint="eastAsia"/>
                    </w:rPr>
                    <w:t>模板导入上传数据。</w:t>
                  </w:r>
                </w:p>
              </w:tc>
            </w:tr>
            <w:tr w14:paraId="4C641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3" w:type="dxa"/>
                  <w:vMerge w:val="continue"/>
                  <w:tcBorders>
                    <w:top w:val="single" w:color="auto" w:sz="4" w:space="0"/>
                    <w:left w:val="single" w:color="auto" w:sz="4" w:space="0"/>
                    <w:bottom w:val="single" w:color="auto" w:sz="4" w:space="0"/>
                    <w:right w:val="single" w:color="auto" w:sz="4" w:space="0"/>
                  </w:tcBorders>
                  <w:noWrap w:val="0"/>
                  <w:vAlign w:val="center"/>
                </w:tcPr>
                <w:p w14:paraId="62BCF79B">
                  <w:pPr>
                    <w:widowControl/>
                    <w:jc w:val="left"/>
                    <w:rPr>
                      <w:rFonts w:ascii="宋体" w:hAnsi="宋体" w:cs="宋体"/>
                      <w:b/>
                      <w:color w:val="000000"/>
                      <w:sz w:val="20"/>
                      <w:szCs w:val="20"/>
                    </w:rPr>
                  </w:pPr>
                </w:p>
              </w:tc>
              <w:tc>
                <w:tcPr>
                  <w:tcW w:w="804" w:type="dxa"/>
                  <w:vMerge w:val="continue"/>
                  <w:tcBorders>
                    <w:top w:val="single" w:color="auto" w:sz="4" w:space="0"/>
                    <w:left w:val="single" w:color="auto" w:sz="4" w:space="0"/>
                    <w:bottom w:val="single" w:color="auto" w:sz="4" w:space="0"/>
                    <w:right w:val="single" w:color="auto" w:sz="4" w:space="0"/>
                  </w:tcBorders>
                  <w:noWrap w:val="0"/>
                  <w:vAlign w:val="center"/>
                </w:tcPr>
                <w:p w14:paraId="2891DEA0">
                  <w:pPr>
                    <w:widowControl/>
                    <w:jc w:val="left"/>
                    <w:rPr>
                      <w:rFonts w:ascii="宋体" w:hAnsi="宋体" w:cs="宋体"/>
                      <w:color w:val="000000"/>
                      <w:sz w:val="21"/>
                      <w:szCs w:val="21"/>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050C2966">
                  <w:pPr>
                    <w:pageBreakBefore w:val="0"/>
                    <w:widowControl w:val="0"/>
                    <w:kinsoku/>
                    <w:wordWrap/>
                    <w:overflowPunct/>
                    <w:topLinePunct w:val="0"/>
                    <w:autoSpaceDE/>
                    <w:autoSpaceDN/>
                    <w:bidi w:val="0"/>
                    <w:adjustRightInd/>
                    <w:spacing w:line="360" w:lineRule="exact"/>
                    <w:textAlignment w:val="auto"/>
                    <w:rPr>
                      <w:rFonts w:ascii="宋体" w:hAnsi="宋体" w:cs="宋体"/>
                      <w:color w:val="000000"/>
                      <w:sz w:val="21"/>
                      <w:szCs w:val="21"/>
                    </w:rPr>
                  </w:pPr>
                  <w:r>
                    <w:rPr>
                      <w:rFonts w:hint="eastAsia"/>
                      <w:color w:val="000000"/>
                      <w:sz w:val="21"/>
                      <w:szCs w:val="21"/>
                    </w:rPr>
                    <w:t>重大非传染性疾病及死亡信息上报</w:t>
                  </w:r>
                </w:p>
              </w:tc>
              <w:tc>
                <w:tcPr>
                  <w:tcW w:w="7748" w:type="dxa"/>
                  <w:tcBorders>
                    <w:top w:val="single" w:color="auto" w:sz="4" w:space="0"/>
                    <w:left w:val="single" w:color="auto" w:sz="4" w:space="0"/>
                    <w:bottom w:val="single" w:color="auto" w:sz="4" w:space="0"/>
                    <w:right w:val="single" w:color="auto" w:sz="4" w:space="0"/>
                  </w:tcBorders>
                  <w:noWrap/>
                  <w:vAlign w:val="center"/>
                </w:tcPr>
                <w:p w14:paraId="4F124F03">
                  <w:pPr>
                    <w:pStyle w:val="7"/>
                    <w:pageBreakBefore w:val="0"/>
                    <w:widowControl w:val="0"/>
                    <w:kinsoku/>
                    <w:wordWrap/>
                    <w:overflowPunct/>
                    <w:topLinePunct w:val="0"/>
                    <w:autoSpaceDE/>
                    <w:autoSpaceDN/>
                    <w:bidi w:val="0"/>
                    <w:adjustRightInd/>
                    <w:spacing w:line="360" w:lineRule="exact"/>
                    <w:textAlignment w:val="auto"/>
                    <w:rPr>
                      <w:rFonts w:ascii="Calibri"/>
                      <w:sz w:val="21"/>
                    </w:rPr>
                  </w:pPr>
                  <w:r>
                    <w:rPr>
                      <w:rFonts w:hint="eastAsia"/>
                    </w:rPr>
                    <w:t>重大非传染性疾病及死亡信息上报</w:t>
                  </w:r>
                </w:p>
                <w:p w14:paraId="1D56B953">
                  <w:pPr>
                    <w:pStyle w:val="131"/>
                    <w:pageBreakBefore w:val="0"/>
                    <w:widowControl w:val="0"/>
                    <w:kinsoku/>
                    <w:wordWrap/>
                    <w:overflowPunct/>
                    <w:topLinePunct w:val="0"/>
                    <w:autoSpaceDE/>
                    <w:autoSpaceDN/>
                    <w:bidi w:val="0"/>
                    <w:adjustRightInd/>
                    <w:spacing w:line="360" w:lineRule="exact"/>
                    <w:ind w:firstLine="0"/>
                    <w:textAlignment w:val="auto"/>
                    <w:rPr>
                      <w:rFonts w:ascii="宋体" w:hAnsi="宋体" w:cs="宋体"/>
                      <w:szCs w:val="21"/>
                    </w:rPr>
                  </w:pPr>
                  <w:r>
                    <w:rPr>
                      <w:rFonts w:hint="eastAsia"/>
                    </w:rPr>
                    <w:t>随着工业化、城镇化、人口老龄化进程加快和生态环境、生活方式变化，慢性非传染性疾病已经成为我国居民的主要死亡原因和疾病负担。心脑血管疾病、癌症、慢性呼吸系统疾病、糖尿病等慢性非传染性疾病导致的死亡人数占总死亡人数的比例逐渐升高。通过</w:t>
                  </w:r>
                  <w:r>
                    <w:rPr>
                      <w:rStyle w:val="60"/>
                      <w:rFonts w:hint="eastAsia"/>
                    </w:rPr>
                    <w:t>上报</w:t>
                  </w:r>
                  <w:r>
                    <w:rPr>
                      <w:rFonts w:hint="eastAsia"/>
                    </w:rPr>
                    <w:t>平台及时将医院重大非传染性疾病及死亡信息上报至区、市、省平台。</w:t>
                  </w:r>
                </w:p>
              </w:tc>
            </w:tr>
            <w:tr w14:paraId="17CEB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3" w:type="dxa"/>
                  <w:vMerge w:val="continue"/>
                  <w:tcBorders>
                    <w:top w:val="single" w:color="auto" w:sz="4" w:space="0"/>
                    <w:left w:val="single" w:color="auto" w:sz="4" w:space="0"/>
                    <w:bottom w:val="single" w:color="auto" w:sz="4" w:space="0"/>
                    <w:right w:val="single" w:color="auto" w:sz="4" w:space="0"/>
                  </w:tcBorders>
                  <w:noWrap w:val="0"/>
                  <w:vAlign w:val="center"/>
                </w:tcPr>
                <w:p w14:paraId="1B5834C5">
                  <w:pPr>
                    <w:widowControl/>
                    <w:jc w:val="left"/>
                    <w:rPr>
                      <w:rFonts w:ascii="宋体" w:hAnsi="宋体" w:cs="宋体"/>
                      <w:b/>
                      <w:color w:val="000000"/>
                      <w:sz w:val="20"/>
                      <w:szCs w:val="20"/>
                    </w:rPr>
                  </w:pPr>
                </w:p>
              </w:tc>
              <w:tc>
                <w:tcPr>
                  <w:tcW w:w="804" w:type="dxa"/>
                  <w:vMerge w:val="continue"/>
                  <w:tcBorders>
                    <w:top w:val="single" w:color="auto" w:sz="4" w:space="0"/>
                    <w:left w:val="single" w:color="auto" w:sz="4" w:space="0"/>
                    <w:bottom w:val="single" w:color="auto" w:sz="4" w:space="0"/>
                    <w:right w:val="single" w:color="auto" w:sz="4" w:space="0"/>
                  </w:tcBorders>
                  <w:noWrap w:val="0"/>
                  <w:vAlign w:val="center"/>
                </w:tcPr>
                <w:p w14:paraId="6AF37036">
                  <w:pPr>
                    <w:widowControl/>
                    <w:jc w:val="left"/>
                    <w:rPr>
                      <w:rFonts w:ascii="宋体" w:hAnsi="宋体" w:cs="宋体"/>
                      <w:color w:val="000000"/>
                      <w:sz w:val="21"/>
                      <w:szCs w:val="21"/>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74D0F941">
                  <w:pPr>
                    <w:pageBreakBefore w:val="0"/>
                    <w:widowControl w:val="0"/>
                    <w:kinsoku/>
                    <w:wordWrap/>
                    <w:overflowPunct/>
                    <w:topLinePunct w:val="0"/>
                    <w:autoSpaceDE/>
                    <w:autoSpaceDN/>
                    <w:bidi w:val="0"/>
                    <w:adjustRightInd/>
                    <w:spacing w:line="360" w:lineRule="exact"/>
                    <w:textAlignment w:val="auto"/>
                    <w:rPr>
                      <w:rFonts w:ascii="宋体" w:hAnsi="宋体" w:cs="宋体"/>
                      <w:color w:val="000000"/>
                      <w:sz w:val="21"/>
                      <w:szCs w:val="21"/>
                    </w:rPr>
                  </w:pPr>
                  <w:r>
                    <w:rPr>
                      <w:rFonts w:hint="eastAsia"/>
                      <w:color w:val="000000"/>
                      <w:sz w:val="21"/>
                      <w:szCs w:val="21"/>
                    </w:rPr>
                    <w:t>食源性疾病信息上报</w:t>
                  </w:r>
                </w:p>
              </w:tc>
              <w:tc>
                <w:tcPr>
                  <w:tcW w:w="7748" w:type="dxa"/>
                  <w:tcBorders>
                    <w:top w:val="single" w:color="auto" w:sz="4" w:space="0"/>
                    <w:left w:val="single" w:color="auto" w:sz="4" w:space="0"/>
                    <w:bottom w:val="single" w:color="auto" w:sz="4" w:space="0"/>
                    <w:right w:val="single" w:color="auto" w:sz="4" w:space="0"/>
                  </w:tcBorders>
                  <w:noWrap/>
                  <w:vAlign w:val="center"/>
                </w:tcPr>
                <w:p w14:paraId="0F76524C">
                  <w:pPr>
                    <w:pStyle w:val="7"/>
                    <w:pageBreakBefore w:val="0"/>
                    <w:widowControl w:val="0"/>
                    <w:kinsoku/>
                    <w:wordWrap/>
                    <w:overflowPunct/>
                    <w:topLinePunct w:val="0"/>
                    <w:autoSpaceDE/>
                    <w:autoSpaceDN/>
                    <w:bidi w:val="0"/>
                    <w:adjustRightInd/>
                    <w:spacing w:line="360" w:lineRule="exact"/>
                    <w:textAlignment w:val="auto"/>
                    <w:rPr>
                      <w:rFonts w:ascii="Calibri"/>
                      <w:sz w:val="21"/>
                    </w:rPr>
                  </w:pPr>
                  <w:r>
                    <w:rPr>
                      <w:rFonts w:hint="eastAsia"/>
                    </w:rPr>
                    <w:t>食源性疾病信息上报</w:t>
                  </w:r>
                </w:p>
                <w:p w14:paraId="64FD4E62">
                  <w:pPr>
                    <w:pStyle w:val="131"/>
                    <w:pageBreakBefore w:val="0"/>
                    <w:widowControl w:val="0"/>
                    <w:kinsoku/>
                    <w:wordWrap/>
                    <w:overflowPunct/>
                    <w:topLinePunct w:val="0"/>
                    <w:autoSpaceDE/>
                    <w:autoSpaceDN/>
                    <w:bidi w:val="0"/>
                    <w:adjustRightInd/>
                    <w:spacing w:line="360" w:lineRule="exact"/>
                    <w:textAlignment w:val="auto"/>
                    <w:rPr>
                      <w:rFonts w:ascii="宋体" w:hAnsi="宋体" w:cs="宋体"/>
                      <w:szCs w:val="21"/>
                    </w:rPr>
                  </w:pPr>
                  <w:r>
                    <w:rPr>
                      <w:rFonts w:hint="eastAsia"/>
                    </w:rPr>
                    <w:t>患者到医院就诊，临床医生发现其疑似食源性异常病例以后，上报主要内容包括：病例基本信息，临床症状和体征，初步诊断结果、饮食暴露史，标本采集信息等。通过上报平台有效做好食源性疾病信息数据上报的相关工作</w:t>
                  </w:r>
                  <w:r>
                    <w:rPr>
                      <w:rFonts w:hint="eastAsia"/>
                      <w:lang w:eastAsia="zh-CN"/>
                    </w:rPr>
                    <w:t>，</w:t>
                  </w:r>
                  <w:r>
                    <w:rPr>
                      <w:rFonts w:hint="eastAsia"/>
                    </w:rPr>
                    <w:t>提高工作效率</w:t>
                  </w:r>
                  <w:r>
                    <w:rPr>
                      <w:rFonts w:hint="eastAsia"/>
                      <w:lang w:eastAsia="zh-CN"/>
                    </w:rPr>
                    <w:t>，</w:t>
                  </w:r>
                  <w:r>
                    <w:rPr>
                      <w:rFonts w:hint="eastAsia"/>
                    </w:rPr>
                    <w:t>避免漏报、迟报。</w:t>
                  </w:r>
                </w:p>
              </w:tc>
            </w:tr>
            <w:tr w14:paraId="70CE6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3" w:type="dxa"/>
                  <w:vMerge w:val="continue"/>
                  <w:tcBorders>
                    <w:top w:val="single" w:color="auto" w:sz="4" w:space="0"/>
                    <w:left w:val="single" w:color="auto" w:sz="4" w:space="0"/>
                    <w:bottom w:val="single" w:color="auto" w:sz="4" w:space="0"/>
                    <w:right w:val="single" w:color="auto" w:sz="4" w:space="0"/>
                  </w:tcBorders>
                  <w:noWrap w:val="0"/>
                  <w:vAlign w:val="center"/>
                </w:tcPr>
                <w:p w14:paraId="4E3AD8CE">
                  <w:pPr>
                    <w:widowControl/>
                    <w:jc w:val="left"/>
                    <w:rPr>
                      <w:rFonts w:ascii="宋体" w:hAnsi="宋体" w:cs="宋体"/>
                      <w:b/>
                      <w:color w:val="000000"/>
                      <w:sz w:val="20"/>
                      <w:szCs w:val="20"/>
                    </w:rPr>
                  </w:pPr>
                </w:p>
              </w:tc>
              <w:tc>
                <w:tcPr>
                  <w:tcW w:w="804" w:type="dxa"/>
                  <w:vMerge w:val="continue"/>
                  <w:tcBorders>
                    <w:top w:val="single" w:color="auto" w:sz="4" w:space="0"/>
                    <w:left w:val="single" w:color="auto" w:sz="4" w:space="0"/>
                    <w:bottom w:val="single" w:color="auto" w:sz="4" w:space="0"/>
                    <w:right w:val="single" w:color="auto" w:sz="4" w:space="0"/>
                  </w:tcBorders>
                  <w:noWrap w:val="0"/>
                  <w:vAlign w:val="center"/>
                </w:tcPr>
                <w:p w14:paraId="72A1A57C">
                  <w:pPr>
                    <w:widowControl/>
                    <w:jc w:val="left"/>
                    <w:rPr>
                      <w:rFonts w:ascii="宋体" w:hAnsi="宋体" w:cs="宋体"/>
                      <w:color w:val="000000"/>
                      <w:sz w:val="21"/>
                      <w:szCs w:val="21"/>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422F95C5">
                  <w:pPr>
                    <w:pageBreakBefore w:val="0"/>
                    <w:widowControl w:val="0"/>
                    <w:kinsoku/>
                    <w:wordWrap/>
                    <w:overflowPunct/>
                    <w:topLinePunct w:val="0"/>
                    <w:autoSpaceDE/>
                    <w:autoSpaceDN/>
                    <w:bidi w:val="0"/>
                    <w:adjustRightInd/>
                    <w:spacing w:line="360" w:lineRule="exact"/>
                    <w:textAlignment w:val="auto"/>
                    <w:rPr>
                      <w:rFonts w:ascii="宋体" w:hAnsi="宋体" w:cs="宋体"/>
                      <w:color w:val="000000"/>
                      <w:sz w:val="21"/>
                      <w:szCs w:val="21"/>
                    </w:rPr>
                  </w:pPr>
                  <w:r>
                    <w:rPr>
                      <w:color w:val="000000"/>
                      <w:sz w:val="21"/>
                      <w:szCs w:val="21"/>
                    </w:rPr>
                    <w:t>HQMS</w:t>
                  </w:r>
                  <w:r>
                    <w:rPr>
                      <w:rFonts w:hint="eastAsia"/>
                      <w:color w:val="000000"/>
                      <w:sz w:val="21"/>
                      <w:szCs w:val="21"/>
                    </w:rPr>
                    <w:t>数据上报</w:t>
                  </w:r>
                </w:p>
              </w:tc>
              <w:tc>
                <w:tcPr>
                  <w:tcW w:w="7748" w:type="dxa"/>
                  <w:tcBorders>
                    <w:top w:val="single" w:color="auto" w:sz="4" w:space="0"/>
                    <w:left w:val="single" w:color="auto" w:sz="4" w:space="0"/>
                    <w:bottom w:val="single" w:color="auto" w:sz="4" w:space="0"/>
                    <w:right w:val="single" w:color="auto" w:sz="4" w:space="0"/>
                  </w:tcBorders>
                  <w:noWrap/>
                  <w:vAlign w:val="center"/>
                </w:tcPr>
                <w:p w14:paraId="56306393">
                  <w:pPr>
                    <w:pStyle w:val="7"/>
                    <w:pageBreakBefore w:val="0"/>
                    <w:widowControl w:val="0"/>
                    <w:kinsoku/>
                    <w:wordWrap/>
                    <w:overflowPunct/>
                    <w:topLinePunct w:val="0"/>
                    <w:autoSpaceDE/>
                    <w:autoSpaceDN/>
                    <w:bidi w:val="0"/>
                    <w:adjustRightInd/>
                    <w:spacing w:line="360" w:lineRule="exact"/>
                    <w:textAlignment w:val="auto"/>
                    <w:rPr>
                      <w:rFonts w:ascii="Calibri"/>
                      <w:sz w:val="21"/>
                    </w:rPr>
                  </w:pPr>
                  <w:r>
                    <w:t>HQMS</w:t>
                  </w:r>
                  <w:r>
                    <w:rPr>
                      <w:rFonts w:hint="eastAsia"/>
                    </w:rPr>
                    <w:t>数据上报</w:t>
                  </w:r>
                </w:p>
                <w:p w14:paraId="111789DA">
                  <w:pPr>
                    <w:pStyle w:val="131"/>
                    <w:pageBreakBefore w:val="0"/>
                    <w:widowControl w:val="0"/>
                    <w:kinsoku/>
                    <w:wordWrap/>
                    <w:overflowPunct/>
                    <w:topLinePunct w:val="0"/>
                    <w:autoSpaceDE/>
                    <w:autoSpaceDN/>
                    <w:bidi w:val="0"/>
                    <w:adjustRightInd/>
                    <w:spacing w:line="360" w:lineRule="exact"/>
                    <w:ind w:firstLine="0"/>
                    <w:textAlignment w:val="auto"/>
                  </w:pPr>
                  <w:r>
                    <w:t>HQMS</w:t>
                  </w:r>
                  <w:r>
                    <w:rPr>
                      <w:rFonts w:hint="eastAsia"/>
                    </w:rPr>
                    <w:t>是卫健委医管司开展的医院质量监管信息网络直报工作。</w:t>
                  </w:r>
                  <w:r>
                    <w:t>HQMS</w:t>
                  </w:r>
                  <w:r>
                    <w:rPr>
                      <w:rFonts w:hint="eastAsia"/>
                    </w:rPr>
                    <w:t>医院质量监测上报系统</w:t>
                  </w:r>
                  <w:r>
                    <w:rPr>
                      <w:rFonts w:hint="eastAsia"/>
                      <w:lang w:eastAsia="zh-CN"/>
                    </w:rPr>
                    <w:t>，</w:t>
                  </w:r>
                  <w:r>
                    <w:rPr>
                      <w:rFonts w:hint="eastAsia"/>
                    </w:rPr>
                    <w:t>是配合卫健委医管司实现对医院监测数据的采集、转换及上报，实现数据上传的实时性、准确性，提高数据上传质量。</w:t>
                  </w:r>
                </w:p>
                <w:p w14:paraId="76795AD2">
                  <w:pPr>
                    <w:pStyle w:val="131"/>
                    <w:pageBreakBefore w:val="0"/>
                    <w:widowControl w:val="0"/>
                    <w:kinsoku/>
                    <w:wordWrap/>
                    <w:overflowPunct/>
                    <w:topLinePunct w:val="0"/>
                    <w:autoSpaceDE/>
                    <w:autoSpaceDN/>
                    <w:bidi w:val="0"/>
                    <w:adjustRightInd/>
                    <w:spacing w:line="360" w:lineRule="exact"/>
                    <w:ind w:firstLine="0"/>
                    <w:textAlignment w:val="auto"/>
                    <w:rPr>
                      <w:rFonts w:ascii="宋体" w:hAnsi="宋体" w:cs="宋体"/>
                      <w:szCs w:val="21"/>
                    </w:rPr>
                  </w:pPr>
                  <w:r>
                    <w:rPr>
                      <w:rFonts w:hint="eastAsia"/>
                    </w:rPr>
                    <w:t>数据上报平台提供字典映射功能。按照《住院病案首页数据采集接口标准》，进行病案首页原始数据与</w:t>
                  </w:r>
                  <w:r>
                    <w:t>HQMS</w:t>
                  </w:r>
                  <w:r>
                    <w:rPr>
                      <w:rFonts w:hint="eastAsia"/>
                    </w:rPr>
                    <w:t>数据标准的映射；提供结构化病案首页数据抽取功能。从电子病历结构化病案首页中自动抽取出医管司所需要病案首页原始数据；提供数据转换功能。根据字典映射结果，将抽取的病案首页原始数据按照字典映射进行转换，转换后再将数据进行上报。</w:t>
                  </w:r>
                </w:p>
              </w:tc>
            </w:tr>
            <w:tr w14:paraId="4A05D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14:paraId="419FB826">
                  <w:pPr>
                    <w:rPr>
                      <w:rFonts w:ascii="宋体" w:hAnsi="宋体" w:cs="宋体"/>
                      <w:b/>
                      <w:color w:val="000000"/>
                      <w:sz w:val="21"/>
                      <w:szCs w:val="21"/>
                    </w:rPr>
                  </w:pPr>
                  <w:r>
                    <w:rPr>
                      <w:rFonts w:hint="eastAsia"/>
                      <w:b/>
                      <w:color w:val="000000"/>
                      <w:sz w:val="21"/>
                      <w:szCs w:val="21"/>
                    </w:rPr>
                    <w:t>医疗协同</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48E6F5E3">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宋体"/>
                      <w:color w:val="000000"/>
                      <w:sz w:val="21"/>
                      <w:szCs w:val="21"/>
                    </w:rPr>
                  </w:pPr>
                  <w:r>
                    <w:rPr>
                      <w:rFonts w:hint="eastAsia"/>
                      <w:color w:val="000000"/>
                      <w:sz w:val="21"/>
                      <w:szCs w:val="21"/>
                    </w:rPr>
                    <w:t>院内协同</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1D23691B">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宋体"/>
                      <w:color w:val="000000"/>
                      <w:sz w:val="21"/>
                      <w:szCs w:val="21"/>
                    </w:rPr>
                  </w:pPr>
                  <w:r>
                    <w:rPr>
                      <w:rFonts w:hint="eastAsia"/>
                      <w:color w:val="000000"/>
                      <w:sz w:val="21"/>
                      <w:szCs w:val="21"/>
                    </w:rPr>
                    <w:t>院内会诊管理</w:t>
                  </w:r>
                </w:p>
              </w:tc>
              <w:tc>
                <w:tcPr>
                  <w:tcW w:w="7748" w:type="dxa"/>
                  <w:tcBorders>
                    <w:top w:val="single" w:color="auto" w:sz="4" w:space="0"/>
                    <w:left w:val="single" w:color="auto" w:sz="4" w:space="0"/>
                    <w:bottom w:val="single" w:color="auto" w:sz="4" w:space="0"/>
                    <w:right w:val="single" w:color="auto" w:sz="4" w:space="0"/>
                  </w:tcBorders>
                  <w:noWrap/>
                  <w:vAlign w:val="center"/>
                </w:tcPr>
                <w:p w14:paraId="011E120C">
                  <w:pPr>
                    <w:pStyle w:val="7"/>
                    <w:keepNext w:val="0"/>
                    <w:keepLines w:val="0"/>
                    <w:pageBreakBefore w:val="0"/>
                    <w:widowControl w:val="0"/>
                    <w:kinsoku/>
                    <w:wordWrap/>
                    <w:overflowPunct/>
                    <w:topLinePunct w:val="0"/>
                    <w:autoSpaceDE/>
                    <w:autoSpaceDN/>
                    <w:bidi w:val="0"/>
                    <w:adjustRightInd/>
                    <w:spacing w:line="360" w:lineRule="exact"/>
                    <w:textAlignment w:val="auto"/>
                    <w:rPr>
                      <w:rFonts w:ascii="Calibri"/>
                      <w:sz w:val="21"/>
                    </w:rPr>
                  </w:pPr>
                  <w:r>
                    <w:rPr>
                      <w:rFonts w:hint="eastAsia"/>
                    </w:rPr>
                    <w:t>院内会诊管理系统</w:t>
                  </w:r>
                </w:p>
                <w:p w14:paraId="1CB58BAB">
                  <w:pPr>
                    <w:pStyle w:val="131"/>
                    <w:keepNext w:val="0"/>
                    <w:keepLines w:val="0"/>
                    <w:pageBreakBefore w:val="0"/>
                    <w:widowControl w:val="0"/>
                    <w:kinsoku/>
                    <w:wordWrap/>
                    <w:overflowPunct/>
                    <w:topLinePunct w:val="0"/>
                    <w:autoSpaceDE/>
                    <w:autoSpaceDN/>
                    <w:bidi w:val="0"/>
                    <w:adjustRightInd/>
                    <w:spacing w:line="360" w:lineRule="exact"/>
                    <w:ind w:firstLine="0"/>
                    <w:textAlignment w:val="auto"/>
                  </w:pPr>
                  <w:r>
                    <w:rPr>
                      <w:rFonts w:hint="eastAsia"/>
                    </w:rPr>
                    <w:t>院内会诊管理系统主要完成会诊申请、会诊审批、会诊应答、会诊意见书写以及会诊扣费功能，并支持院内多科室会诊管理。</w:t>
                  </w:r>
                </w:p>
                <w:p w14:paraId="0ACB27DE">
                  <w:pPr>
                    <w:keepNext w:val="0"/>
                    <w:keepLines w:val="0"/>
                    <w:pageBreakBefore w:val="0"/>
                    <w:widowControl w:val="0"/>
                    <w:kinsoku/>
                    <w:wordWrap/>
                    <w:overflowPunct/>
                    <w:topLinePunct w:val="0"/>
                    <w:autoSpaceDE/>
                    <w:autoSpaceDN/>
                    <w:bidi w:val="0"/>
                    <w:adjustRightInd/>
                    <w:snapToGrid w:val="0"/>
                    <w:spacing w:line="360" w:lineRule="exact"/>
                    <w:textAlignment w:val="auto"/>
                    <w:rPr>
                      <w:b/>
                      <w:color w:val="000000"/>
                      <w:szCs w:val="21"/>
                    </w:rPr>
                  </w:pPr>
                  <w:r>
                    <w:rPr>
                      <w:rFonts w:hint="eastAsia"/>
                      <w:b/>
                      <w:color w:val="000000"/>
                      <w:szCs w:val="21"/>
                    </w:rPr>
                    <w:t>会诊申请</w:t>
                  </w:r>
                </w:p>
                <w:p w14:paraId="559B23F3">
                  <w:pPr>
                    <w:pStyle w:val="131"/>
                    <w:keepNext w:val="0"/>
                    <w:keepLines w:val="0"/>
                    <w:pageBreakBefore w:val="0"/>
                    <w:widowControl w:val="0"/>
                    <w:kinsoku/>
                    <w:wordWrap/>
                    <w:overflowPunct/>
                    <w:topLinePunct w:val="0"/>
                    <w:autoSpaceDE/>
                    <w:autoSpaceDN/>
                    <w:bidi w:val="0"/>
                    <w:adjustRightInd/>
                    <w:spacing w:line="360" w:lineRule="exact"/>
                    <w:ind w:firstLine="0"/>
                    <w:textAlignment w:val="auto"/>
                  </w:pPr>
                  <w:r>
                    <w:rPr>
                      <w:rFonts w:hint="eastAsia"/>
                    </w:rPr>
                    <w:t>支持医生书写会诊申请单要求医生或科室进行会诊，并自动生成会诊医嘱。申请会诊时支持选择单个</w:t>
                  </w:r>
                  <w:r>
                    <w:t>/</w:t>
                  </w:r>
                  <w:r>
                    <w:rPr>
                      <w:rFonts w:hint="eastAsia"/>
                    </w:rPr>
                    <w:t>多个医生、单个</w:t>
                  </w:r>
                  <w:r>
                    <w:t>/</w:t>
                  </w:r>
                  <w:r>
                    <w:rPr>
                      <w:rFonts w:hint="eastAsia"/>
                    </w:rPr>
                    <w:t>多个科室、单个</w:t>
                  </w:r>
                  <w:r>
                    <w:t>/</w:t>
                  </w:r>
                  <w:r>
                    <w:rPr>
                      <w:rFonts w:hint="eastAsia"/>
                    </w:rPr>
                    <w:t>多个专业。</w:t>
                  </w:r>
                </w:p>
                <w:p w14:paraId="6ECE509E">
                  <w:pPr>
                    <w:keepNext w:val="0"/>
                    <w:keepLines w:val="0"/>
                    <w:pageBreakBefore w:val="0"/>
                    <w:widowControl w:val="0"/>
                    <w:kinsoku/>
                    <w:wordWrap/>
                    <w:overflowPunct/>
                    <w:topLinePunct w:val="0"/>
                    <w:autoSpaceDE/>
                    <w:autoSpaceDN/>
                    <w:bidi w:val="0"/>
                    <w:adjustRightInd/>
                    <w:snapToGrid w:val="0"/>
                    <w:spacing w:line="360" w:lineRule="exact"/>
                    <w:textAlignment w:val="auto"/>
                    <w:rPr>
                      <w:b/>
                      <w:color w:val="000000"/>
                      <w:szCs w:val="21"/>
                    </w:rPr>
                  </w:pPr>
                  <w:r>
                    <w:rPr>
                      <w:rFonts w:hint="eastAsia"/>
                      <w:b/>
                      <w:color w:val="000000"/>
                      <w:szCs w:val="21"/>
                    </w:rPr>
                    <w:t>会诊审批</w:t>
                  </w:r>
                </w:p>
                <w:p w14:paraId="22F74E5B">
                  <w:pPr>
                    <w:pStyle w:val="131"/>
                    <w:keepNext w:val="0"/>
                    <w:keepLines w:val="0"/>
                    <w:pageBreakBefore w:val="0"/>
                    <w:widowControl w:val="0"/>
                    <w:kinsoku/>
                    <w:wordWrap/>
                    <w:overflowPunct/>
                    <w:topLinePunct w:val="0"/>
                    <w:autoSpaceDE/>
                    <w:autoSpaceDN/>
                    <w:bidi w:val="0"/>
                    <w:adjustRightInd/>
                    <w:spacing w:line="360" w:lineRule="exact"/>
                    <w:ind w:firstLine="0"/>
                    <w:textAlignment w:val="auto"/>
                  </w:pPr>
                  <w:r>
                    <w:t>1.</w:t>
                  </w:r>
                  <w:r>
                    <w:rPr>
                      <w:rFonts w:hint="eastAsia"/>
                    </w:rPr>
                    <w:t>支持科主任或者医务部根据申请的会诊进行查看与审批，支持按照不同会诊类型走不同审批流程，例如跨科会诊只需科主任审批，多学科会诊需要医务部审批。</w:t>
                  </w:r>
                </w:p>
                <w:p w14:paraId="32EF9911">
                  <w:pPr>
                    <w:pStyle w:val="131"/>
                    <w:keepNext w:val="0"/>
                    <w:keepLines w:val="0"/>
                    <w:pageBreakBefore w:val="0"/>
                    <w:widowControl w:val="0"/>
                    <w:kinsoku/>
                    <w:wordWrap/>
                    <w:overflowPunct/>
                    <w:topLinePunct w:val="0"/>
                    <w:autoSpaceDE/>
                    <w:autoSpaceDN/>
                    <w:bidi w:val="0"/>
                    <w:adjustRightInd/>
                    <w:spacing w:line="360" w:lineRule="exact"/>
                    <w:ind w:firstLine="0"/>
                    <w:textAlignment w:val="auto"/>
                  </w:pPr>
                  <w:r>
                    <w:t>2.</w:t>
                  </w:r>
                  <w:r>
                    <w:rPr>
                      <w:rFonts w:hint="eastAsia"/>
                    </w:rPr>
                    <w:t>支持设置审批时限，超过时限未审批则申请作废。</w:t>
                  </w:r>
                </w:p>
                <w:p w14:paraId="564077A5">
                  <w:pPr>
                    <w:keepNext w:val="0"/>
                    <w:keepLines w:val="0"/>
                    <w:pageBreakBefore w:val="0"/>
                    <w:widowControl w:val="0"/>
                    <w:kinsoku/>
                    <w:wordWrap/>
                    <w:overflowPunct/>
                    <w:topLinePunct w:val="0"/>
                    <w:autoSpaceDE/>
                    <w:autoSpaceDN/>
                    <w:bidi w:val="0"/>
                    <w:adjustRightInd/>
                    <w:snapToGrid w:val="0"/>
                    <w:spacing w:line="360" w:lineRule="exact"/>
                    <w:textAlignment w:val="auto"/>
                    <w:rPr>
                      <w:b/>
                      <w:color w:val="000000"/>
                      <w:szCs w:val="21"/>
                    </w:rPr>
                  </w:pPr>
                  <w:r>
                    <w:rPr>
                      <w:rFonts w:hint="eastAsia"/>
                      <w:b/>
                      <w:color w:val="000000"/>
                      <w:szCs w:val="21"/>
                    </w:rPr>
                    <w:t>我的会诊</w:t>
                  </w:r>
                </w:p>
                <w:p w14:paraId="3F604D9A">
                  <w:pPr>
                    <w:pStyle w:val="131"/>
                    <w:keepNext w:val="0"/>
                    <w:keepLines w:val="0"/>
                    <w:pageBreakBefore w:val="0"/>
                    <w:widowControl w:val="0"/>
                    <w:kinsoku/>
                    <w:wordWrap/>
                    <w:overflowPunct/>
                    <w:topLinePunct w:val="0"/>
                    <w:autoSpaceDE/>
                    <w:autoSpaceDN/>
                    <w:bidi w:val="0"/>
                    <w:adjustRightInd/>
                    <w:spacing w:line="360" w:lineRule="exact"/>
                    <w:ind w:firstLine="0"/>
                    <w:textAlignment w:val="auto"/>
                  </w:pPr>
                  <w:r>
                    <w:t>1.</w:t>
                  </w:r>
                  <w:r>
                    <w:rPr>
                      <w:rFonts w:hint="eastAsia"/>
                    </w:rPr>
                    <w:t>支持接诊医生</w:t>
                  </w:r>
                  <w:r>
                    <w:t>/</w:t>
                  </w:r>
                  <w:r>
                    <w:rPr>
                      <w:rFonts w:hint="eastAsia"/>
                    </w:rPr>
                    <w:t>科室收到会诊申请对会诊进行应答，支持撤回应答。</w:t>
                  </w:r>
                </w:p>
                <w:p w14:paraId="5F0AAD28">
                  <w:pPr>
                    <w:pStyle w:val="131"/>
                    <w:keepNext w:val="0"/>
                    <w:keepLines w:val="0"/>
                    <w:pageBreakBefore w:val="0"/>
                    <w:widowControl w:val="0"/>
                    <w:kinsoku/>
                    <w:wordWrap/>
                    <w:overflowPunct/>
                    <w:topLinePunct w:val="0"/>
                    <w:autoSpaceDE/>
                    <w:autoSpaceDN/>
                    <w:bidi w:val="0"/>
                    <w:adjustRightInd/>
                    <w:spacing w:line="360" w:lineRule="exact"/>
                    <w:ind w:firstLine="0"/>
                    <w:textAlignment w:val="auto"/>
                  </w:pPr>
                  <w:r>
                    <w:t>2.</w:t>
                  </w:r>
                  <w:r>
                    <w:rPr>
                      <w:rFonts w:hint="eastAsia"/>
                    </w:rPr>
                    <w:t>支持设置应答时限，超过时限未应答会诊申请失效。</w:t>
                  </w:r>
                </w:p>
                <w:p w14:paraId="4D31F38A">
                  <w:pPr>
                    <w:keepNext w:val="0"/>
                    <w:keepLines w:val="0"/>
                    <w:pageBreakBefore w:val="0"/>
                    <w:widowControl w:val="0"/>
                    <w:kinsoku/>
                    <w:wordWrap/>
                    <w:overflowPunct/>
                    <w:topLinePunct w:val="0"/>
                    <w:autoSpaceDE/>
                    <w:autoSpaceDN/>
                    <w:bidi w:val="0"/>
                    <w:adjustRightInd/>
                    <w:snapToGrid w:val="0"/>
                    <w:spacing w:line="360" w:lineRule="exact"/>
                    <w:textAlignment w:val="auto"/>
                    <w:rPr>
                      <w:b/>
                      <w:color w:val="000000"/>
                      <w:szCs w:val="21"/>
                    </w:rPr>
                  </w:pPr>
                  <w:r>
                    <w:rPr>
                      <w:rFonts w:hint="eastAsia"/>
                      <w:b/>
                      <w:color w:val="000000"/>
                      <w:szCs w:val="21"/>
                    </w:rPr>
                    <w:t>会诊结束</w:t>
                  </w:r>
                </w:p>
                <w:p w14:paraId="4945B106">
                  <w:pPr>
                    <w:pStyle w:val="131"/>
                    <w:keepNext w:val="0"/>
                    <w:keepLines w:val="0"/>
                    <w:pageBreakBefore w:val="0"/>
                    <w:widowControl w:val="0"/>
                    <w:kinsoku/>
                    <w:wordWrap/>
                    <w:overflowPunct/>
                    <w:topLinePunct w:val="0"/>
                    <w:autoSpaceDE/>
                    <w:autoSpaceDN/>
                    <w:bidi w:val="0"/>
                    <w:adjustRightInd/>
                    <w:spacing w:line="360" w:lineRule="exact"/>
                    <w:ind w:firstLine="0"/>
                    <w:textAlignment w:val="auto"/>
                  </w:pPr>
                  <w:r>
                    <w:t>1.</w:t>
                  </w:r>
                  <w:r>
                    <w:rPr>
                      <w:rFonts w:hint="eastAsia"/>
                    </w:rPr>
                    <w:t>会诊完成时会诊医生在会诊申请单后面填写会诊意见，支持多人填写会诊意见。</w:t>
                  </w:r>
                </w:p>
                <w:p w14:paraId="5D9E2D40">
                  <w:pPr>
                    <w:pStyle w:val="131"/>
                    <w:keepNext w:val="0"/>
                    <w:keepLines w:val="0"/>
                    <w:pageBreakBefore w:val="0"/>
                    <w:widowControl w:val="0"/>
                    <w:kinsoku/>
                    <w:wordWrap/>
                    <w:overflowPunct/>
                    <w:topLinePunct w:val="0"/>
                    <w:autoSpaceDE/>
                    <w:autoSpaceDN/>
                    <w:bidi w:val="0"/>
                    <w:adjustRightInd/>
                    <w:spacing w:line="360" w:lineRule="exact"/>
                    <w:ind w:firstLine="0"/>
                    <w:textAlignment w:val="auto"/>
                  </w:pPr>
                  <w:r>
                    <w:t>2.</w:t>
                  </w:r>
                  <w:r>
                    <w:rPr>
                      <w:rFonts w:hint="eastAsia"/>
                    </w:rPr>
                    <w:t>支持会诊医生新增书写会诊所需的其他类型病历。</w:t>
                  </w:r>
                </w:p>
                <w:p w14:paraId="48819003">
                  <w:pPr>
                    <w:pStyle w:val="131"/>
                    <w:keepNext w:val="0"/>
                    <w:keepLines w:val="0"/>
                    <w:pageBreakBefore w:val="0"/>
                    <w:widowControl w:val="0"/>
                    <w:kinsoku/>
                    <w:wordWrap/>
                    <w:overflowPunct/>
                    <w:topLinePunct w:val="0"/>
                    <w:autoSpaceDE/>
                    <w:autoSpaceDN/>
                    <w:bidi w:val="0"/>
                    <w:adjustRightInd/>
                    <w:spacing w:line="360" w:lineRule="exact"/>
                    <w:ind w:firstLine="0"/>
                    <w:textAlignment w:val="auto"/>
                  </w:pPr>
                  <w:r>
                    <w:t>3.</w:t>
                  </w:r>
                  <w:r>
                    <w:rPr>
                      <w:rFonts w:hint="eastAsia"/>
                    </w:rPr>
                    <w:t>支持会诊医生为会诊病人开具医嘱，会诊医生只能保存医嘱，需主管医生确认后再发送医嘱。</w:t>
                  </w:r>
                </w:p>
                <w:p w14:paraId="19B64937">
                  <w:pPr>
                    <w:pStyle w:val="131"/>
                    <w:keepNext w:val="0"/>
                    <w:keepLines w:val="0"/>
                    <w:pageBreakBefore w:val="0"/>
                    <w:widowControl w:val="0"/>
                    <w:kinsoku/>
                    <w:wordWrap/>
                    <w:overflowPunct/>
                    <w:topLinePunct w:val="0"/>
                    <w:autoSpaceDE/>
                    <w:autoSpaceDN/>
                    <w:bidi w:val="0"/>
                    <w:adjustRightInd/>
                    <w:spacing w:line="360" w:lineRule="exact"/>
                    <w:ind w:firstLine="0"/>
                    <w:textAlignment w:val="auto"/>
                    <w:rPr>
                      <w:rFonts w:ascii="宋体" w:hAnsi="宋体" w:cs="宋体"/>
                      <w:szCs w:val="21"/>
                    </w:rPr>
                  </w:pPr>
                  <w:r>
                    <w:t>4.</w:t>
                  </w:r>
                  <w:r>
                    <w:rPr>
                      <w:rFonts w:hint="eastAsia"/>
                    </w:rPr>
                    <w:t>会诊结束时，支持接诊医生对此次会诊进行扣费</w:t>
                  </w:r>
                </w:p>
              </w:tc>
            </w:tr>
            <w:tr w14:paraId="0C446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14:paraId="61272926">
                  <w:pPr>
                    <w:rPr>
                      <w:rFonts w:ascii="宋体" w:hAnsi="宋体" w:cs="宋体"/>
                      <w:b/>
                      <w:color w:val="000000"/>
                      <w:sz w:val="21"/>
                      <w:szCs w:val="21"/>
                    </w:rPr>
                  </w:pPr>
                  <w:r>
                    <w:rPr>
                      <w:rFonts w:hint="eastAsia"/>
                      <w:b/>
                      <w:color w:val="000000"/>
                      <w:sz w:val="21"/>
                      <w:szCs w:val="21"/>
                    </w:rPr>
                    <w:t>运营管理</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2D623517">
                  <w:pPr>
                    <w:pageBreakBefore w:val="0"/>
                    <w:widowControl w:val="0"/>
                    <w:kinsoku/>
                    <w:wordWrap/>
                    <w:overflowPunct/>
                    <w:topLinePunct w:val="0"/>
                    <w:autoSpaceDE/>
                    <w:autoSpaceDN/>
                    <w:bidi w:val="0"/>
                    <w:adjustRightInd/>
                    <w:spacing w:line="360" w:lineRule="exact"/>
                    <w:textAlignment w:val="auto"/>
                    <w:rPr>
                      <w:rFonts w:ascii="宋体" w:hAnsi="宋体" w:cs="宋体"/>
                      <w:color w:val="000000"/>
                      <w:sz w:val="21"/>
                      <w:szCs w:val="21"/>
                    </w:rPr>
                  </w:pPr>
                  <w:r>
                    <w:rPr>
                      <w:rFonts w:hint="eastAsia"/>
                      <w:color w:val="000000"/>
                      <w:sz w:val="21"/>
                      <w:szCs w:val="21"/>
                    </w:rPr>
                    <w:t>财务管理</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2C0A9AD5">
                  <w:pPr>
                    <w:pageBreakBefore w:val="0"/>
                    <w:widowControl w:val="0"/>
                    <w:kinsoku/>
                    <w:wordWrap/>
                    <w:overflowPunct/>
                    <w:topLinePunct w:val="0"/>
                    <w:autoSpaceDE/>
                    <w:autoSpaceDN/>
                    <w:bidi w:val="0"/>
                    <w:adjustRightInd/>
                    <w:spacing w:line="360" w:lineRule="exact"/>
                    <w:textAlignment w:val="auto"/>
                    <w:rPr>
                      <w:rFonts w:ascii="宋体" w:hAnsi="宋体" w:cs="宋体"/>
                      <w:color w:val="000000"/>
                      <w:sz w:val="21"/>
                      <w:szCs w:val="21"/>
                    </w:rPr>
                  </w:pPr>
                  <w:r>
                    <w:rPr>
                      <w:rFonts w:hint="eastAsia"/>
                      <w:color w:val="000000"/>
                      <w:sz w:val="21"/>
                      <w:szCs w:val="21"/>
                    </w:rPr>
                    <w:t>业务结算与收费</w:t>
                  </w:r>
                </w:p>
              </w:tc>
              <w:tc>
                <w:tcPr>
                  <w:tcW w:w="7748" w:type="dxa"/>
                  <w:tcBorders>
                    <w:top w:val="single" w:color="auto" w:sz="4" w:space="0"/>
                    <w:left w:val="single" w:color="auto" w:sz="4" w:space="0"/>
                    <w:bottom w:val="single" w:color="auto" w:sz="4" w:space="0"/>
                    <w:right w:val="single" w:color="auto" w:sz="4" w:space="0"/>
                  </w:tcBorders>
                  <w:noWrap/>
                  <w:vAlign w:val="center"/>
                </w:tcPr>
                <w:p w14:paraId="6EE3E732">
                  <w:pPr>
                    <w:pStyle w:val="8"/>
                    <w:pageBreakBefore w:val="0"/>
                    <w:widowControl w:val="0"/>
                    <w:kinsoku/>
                    <w:wordWrap/>
                    <w:overflowPunct/>
                    <w:topLinePunct w:val="0"/>
                    <w:autoSpaceDE/>
                    <w:autoSpaceDN/>
                    <w:bidi w:val="0"/>
                    <w:adjustRightInd/>
                    <w:spacing w:line="360" w:lineRule="exact"/>
                    <w:jc w:val="left"/>
                    <w:textAlignment w:val="auto"/>
                    <w:rPr>
                      <w:sz w:val="21"/>
                    </w:rPr>
                  </w:pPr>
                  <w:r>
                    <w:rPr>
                      <w:rFonts w:hint="eastAsia"/>
                    </w:rPr>
                    <w:t>门诊收费与结算</w:t>
                  </w:r>
                </w:p>
                <w:p w14:paraId="49F0331D">
                  <w:pPr>
                    <w:pStyle w:val="131"/>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门急诊患者费用处理主要集中在收费窗口，系统支持门急诊患者收退预交金、费用结算等业务处理。医院的财务做账模式主要分为预交金模式和现金模式，医院门诊使用预交金模式下支持收退预交金功能，患者入院就诊前需到收费窗口进行收预交金作为后续就诊费用，减少患者就诊过程中需多次支付的繁琐步骤。</w:t>
                  </w:r>
                </w:p>
                <w:p w14:paraId="3E33E27B">
                  <w:pPr>
                    <w:pageBreakBefore w:val="0"/>
                    <w:widowControl w:val="0"/>
                    <w:kinsoku/>
                    <w:wordWrap/>
                    <w:overflowPunct/>
                    <w:topLinePunct w:val="0"/>
                    <w:autoSpaceDE/>
                    <w:autoSpaceDN/>
                    <w:bidi w:val="0"/>
                    <w:adjustRightInd/>
                    <w:snapToGrid w:val="0"/>
                    <w:spacing w:line="360" w:lineRule="exact"/>
                    <w:textAlignment w:val="auto"/>
                    <w:rPr>
                      <w:b/>
                      <w:color w:val="000000"/>
                      <w:szCs w:val="21"/>
                    </w:rPr>
                  </w:pPr>
                  <w:r>
                    <w:rPr>
                      <w:b/>
                      <w:color w:val="000000"/>
                      <w:szCs w:val="21"/>
                    </w:rPr>
                    <w:t>1</w:t>
                  </w:r>
                  <w:r>
                    <w:rPr>
                      <w:rFonts w:hint="eastAsia"/>
                      <w:b/>
                      <w:color w:val="000000"/>
                      <w:szCs w:val="21"/>
                    </w:rPr>
                    <w:t>、收预交金</w:t>
                  </w:r>
                </w:p>
                <w:p w14:paraId="15A67A3A">
                  <w:pPr>
                    <w:pStyle w:val="131"/>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患者入院就诊前到收费窗口进行就诊费预充，收费员读卡后获取门诊患者信息、费用及预交金余额信息，支持多种支付方式交纳预交金。充值完成后患者到诊室就诊时即可直接扣除预交金里的余额，减少患者来回缴费的就医体验，待患者完成了全部就诊后可再次到窗口进行退款以及发票的打印。</w:t>
                  </w:r>
                </w:p>
                <w:p w14:paraId="3E6CDD67">
                  <w:pPr>
                    <w:pageBreakBefore w:val="0"/>
                    <w:widowControl w:val="0"/>
                    <w:kinsoku/>
                    <w:wordWrap/>
                    <w:overflowPunct/>
                    <w:topLinePunct w:val="0"/>
                    <w:autoSpaceDE/>
                    <w:autoSpaceDN/>
                    <w:bidi w:val="0"/>
                    <w:adjustRightInd/>
                    <w:snapToGrid w:val="0"/>
                    <w:spacing w:line="360" w:lineRule="exact"/>
                    <w:textAlignment w:val="auto"/>
                    <w:rPr>
                      <w:b/>
                      <w:color w:val="000000"/>
                      <w:szCs w:val="21"/>
                    </w:rPr>
                  </w:pPr>
                  <w:r>
                    <w:rPr>
                      <w:b/>
                      <w:color w:val="000000"/>
                      <w:szCs w:val="21"/>
                    </w:rPr>
                    <w:t>2</w:t>
                  </w:r>
                  <w:r>
                    <w:rPr>
                      <w:rFonts w:hint="eastAsia"/>
                      <w:b/>
                      <w:color w:val="000000"/>
                      <w:szCs w:val="21"/>
                    </w:rPr>
                    <w:t>、退预交金</w:t>
                  </w:r>
                </w:p>
                <w:p w14:paraId="45A201F3">
                  <w:pPr>
                    <w:pStyle w:val="131"/>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患者就诊结束后，到收费窗口将余额退还，收费员读卡后获取门诊患者费用及预交金充值支付信息，并计算当前可退金额以及对应的退款方式。</w:t>
                  </w:r>
                </w:p>
                <w:p w14:paraId="7C14FFF3">
                  <w:pPr>
                    <w:pageBreakBefore w:val="0"/>
                    <w:widowControl w:val="0"/>
                    <w:kinsoku/>
                    <w:wordWrap/>
                    <w:overflowPunct/>
                    <w:topLinePunct w:val="0"/>
                    <w:autoSpaceDE/>
                    <w:autoSpaceDN/>
                    <w:bidi w:val="0"/>
                    <w:adjustRightInd/>
                    <w:snapToGrid w:val="0"/>
                    <w:spacing w:line="360" w:lineRule="exact"/>
                    <w:textAlignment w:val="auto"/>
                    <w:rPr>
                      <w:b/>
                      <w:color w:val="000000"/>
                      <w:szCs w:val="21"/>
                    </w:rPr>
                  </w:pPr>
                  <w:r>
                    <w:rPr>
                      <w:b/>
                      <w:color w:val="000000"/>
                      <w:szCs w:val="21"/>
                    </w:rPr>
                    <w:t>3</w:t>
                  </w:r>
                  <w:r>
                    <w:rPr>
                      <w:rFonts w:hint="eastAsia"/>
                      <w:b/>
                      <w:color w:val="000000"/>
                      <w:szCs w:val="21"/>
                    </w:rPr>
                    <w:t>、预交金查询</w:t>
                  </w:r>
                </w:p>
                <w:p w14:paraId="14ED8FD1">
                  <w:pPr>
                    <w:pStyle w:val="131"/>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收费员可查询患者的预交金缴费退款明细数据，支持收据的重打和重制。收费员也可通过底部的汇总数据查看到今日的收退金额情况，方便每日结账的准备工作及时发现金额不对问题。</w:t>
                  </w:r>
                </w:p>
                <w:p w14:paraId="06114CA5">
                  <w:pPr>
                    <w:pageBreakBefore w:val="0"/>
                    <w:widowControl w:val="0"/>
                    <w:kinsoku/>
                    <w:wordWrap/>
                    <w:overflowPunct/>
                    <w:topLinePunct w:val="0"/>
                    <w:autoSpaceDE/>
                    <w:autoSpaceDN/>
                    <w:bidi w:val="0"/>
                    <w:adjustRightInd/>
                    <w:snapToGrid w:val="0"/>
                    <w:spacing w:line="360" w:lineRule="exact"/>
                    <w:textAlignment w:val="auto"/>
                    <w:rPr>
                      <w:b/>
                      <w:color w:val="000000"/>
                      <w:szCs w:val="21"/>
                    </w:rPr>
                  </w:pPr>
                  <w:r>
                    <w:rPr>
                      <w:b/>
                      <w:color w:val="000000"/>
                      <w:szCs w:val="21"/>
                    </w:rPr>
                    <w:t>4</w:t>
                  </w:r>
                  <w:r>
                    <w:rPr>
                      <w:rFonts w:hint="eastAsia"/>
                      <w:b/>
                      <w:color w:val="000000"/>
                      <w:szCs w:val="21"/>
                    </w:rPr>
                    <w:t>、共享预交金</w:t>
                  </w:r>
                </w:p>
                <w:p w14:paraId="41C7C38B">
                  <w:pPr>
                    <w:pStyle w:val="131"/>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伴随着医院集团化的出现，医院信息系统建设也在往集团化方向进行兼容和发展，集团化医院存在不同院区的财务采用独立做账模式，且院区的商户主体不同导致无法进行跨院区退款和共享预交金，这使得患者在集团化医院的多院区就诊时产生繁琐的就诊缴费流程。</w:t>
                  </w:r>
                </w:p>
                <w:p w14:paraId="5C9EFB29">
                  <w:pPr>
                    <w:pStyle w:val="131"/>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在集团化医院层面支持各院区的预交金共享，患者就医时通过预交金下载将其他院区的预交金转入当前院区，实现预交金的共享使用，减少患者多院区充值退款的情况，方便就医流程，让预交金使用更加便捷。</w:t>
                  </w:r>
                </w:p>
                <w:p w14:paraId="07BD6DAD">
                  <w:pPr>
                    <w:pageBreakBefore w:val="0"/>
                    <w:widowControl w:val="0"/>
                    <w:kinsoku/>
                    <w:wordWrap/>
                    <w:overflowPunct/>
                    <w:topLinePunct w:val="0"/>
                    <w:autoSpaceDE/>
                    <w:autoSpaceDN/>
                    <w:bidi w:val="0"/>
                    <w:adjustRightInd/>
                    <w:snapToGrid w:val="0"/>
                    <w:spacing w:line="360" w:lineRule="exact"/>
                    <w:textAlignment w:val="auto"/>
                    <w:rPr>
                      <w:b/>
                      <w:color w:val="000000"/>
                      <w:szCs w:val="21"/>
                    </w:rPr>
                  </w:pPr>
                  <w:r>
                    <w:rPr>
                      <w:b/>
                      <w:color w:val="000000"/>
                      <w:szCs w:val="21"/>
                    </w:rPr>
                    <w:t>5</w:t>
                  </w:r>
                  <w:r>
                    <w:rPr>
                      <w:rFonts w:hint="eastAsia"/>
                      <w:b/>
                      <w:color w:val="000000"/>
                      <w:szCs w:val="21"/>
                    </w:rPr>
                    <w:t>、门诊结算</w:t>
                  </w:r>
                </w:p>
                <w:p w14:paraId="46527660">
                  <w:pPr>
                    <w:pStyle w:val="131"/>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支持查询未结算的门诊费用明细，打印发票。医保病人的费用上报医保中心，实现医保在线实时报销功能。主要包括预扣费用、结算费用、补交或退还预交金、打印发票等功能。根据不同患者类别，自动确定收费比例，计算患者自付金额与记账金额，并可将结算完毕的药品处方同步传送给对应药房的摆药机。支持患者通过线上线下等多种支付方式完成结算。支持根据不同患者类别打印不同格式的发票。</w:t>
                  </w:r>
                </w:p>
                <w:p w14:paraId="01976067">
                  <w:pPr>
                    <w:pageBreakBefore w:val="0"/>
                    <w:widowControl w:val="0"/>
                    <w:kinsoku/>
                    <w:wordWrap/>
                    <w:overflowPunct/>
                    <w:topLinePunct w:val="0"/>
                    <w:autoSpaceDE/>
                    <w:autoSpaceDN/>
                    <w:bidi w:val="0"/>
                    <w:adjustRightInd/>
                    <w:snapToGrid w:val="0"/>
                    <w:spacing w:line="360" w:lineRule="exact"/>
                    <w:textAlignment w:val="auto"/>
                    <w:rPr>
                      <w:b/>
                      <w:color w:val="000000"/>
                      <w:szCs w:val="21"/>
                    </w:rPr>
                  </w:pPr>
                  <w:r>
                    <w:rPr>
                      <w:b/>
                      <w:color w:val="000000"/>
                      <w:szCs w:val="21"/>
                    </w:rPr>
                    <w:t>6</w:t>
                  </w:r>
                  <w:r>
                    <w:rPr>
                      <w:rFonts w:hint="eastAsia"/>
                      <w:b/>
                      <w:color w:val="000000"/>
                      <w:szCs w:val="21"/>
                    </w:rPr>
                    <w:t>、门诊费用清单</w:t>
                  </w:r>
                </w:p>
                <w:p w14:paraId="00FD6648">
                  <w:pPr>
                    <w:pStyle w:val="131"/>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患者如需费用清单明细数据时，收费员支持通过此界面进行患者费用明细的打印，且支持通过不同维度方式打印患者所需，包含按清单格式、每日清单、医保清单、医保上传明细以及发票号查询维度查看及打印清单内容，同时也支持医保清单的下载。</w:t>
                  </w:r>
                </w:p>
                <w:p w14:paraId="10D956BE">
                  <w:pPr>
                    <w:pageBreakBefore w:val="0"/>
                    <w:widowControl w:val="0"/>
                    <w:kinsoku/>
                    <w:wordWrap/>
                    <w:overflowPunct/>
                    <w:topLinePunct w:val="0"/>
                    <w:autoSpaceDE/>
                    <w:autoSpaceDN/>
                    <w:bidi w:val="0"/>
                    <w:adjustRightInd/>
                    <w:snapToGrid w:val="0"/>
                    <w:spacing w:line="360" w:lineRule="exact"/>
                    <w:textAlignment w:val="auto"/>
                    <w:rPr>
                      <w:b/>
                      <w:color w:val="000000"/>
                      <w:szCs w:val="21"/>
                    </w:rPr>
                  </w:pPr>
                  <w:r>
                    <w:rPr>
                      <w:b/>
                      <w:color w:val="000000"/>
                      <w:szCs w:val="21"/>
                    </w:rPr>
                    <w:t>7</w:t>
                  </w:r>
                  <w:r>
                    <w:rPr>
                      <w:rFonts w:hint="eastAsia"/>
                      <w:b/>
                      <w:color w:val="000000"/>
                      <w:szCs w:val="21"/>
                    </w:rPr>
                    <w:t>、门诊费别转换</w:t>
                  </w:r>
                </w:p>
                <w:p w14:paraId="0C3907B2">
                  <w:pPr>
                    <w:pStyle w:val="131"/>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患者结算时选择的费别类型存在问题，或因为紧急情况以绿色通道身份进入院内治疗，待后续稳定结算时允许在收费窗口提出转换请求，收费员选择新的费别类型，连接医保接口即进行医保类型的费别转换。</w:t>
                  </w:r>
                </w:p>
                <w:p w14:paraId="4EA22348">
                  <w:pPr>
                    <w:pageBreakBefore w:val="0"/>
                    <w:widowControl w:val="0"/>
                    <w:kinsoku/>
                    <w:wordWrap/>
                    <w:overflowPunct/>
                    <w:topLinePunct w:val="0"/>
                    <w:autoSpaceDE/>
                    <w:autoSpaceDN/>
                    <w:bidi w:val="0"/>
                    <w:adjustRightInd/>
                    <w:snapToGrid w:val="0"/>
                    <w:spacing w:line="360" w:lineRule="exact"/>
                    <w:textAlignment w:val="auto"/>
                    <w:rPr>
                      <w:b/>
                      <w:color w:val="000000"/>
                      <w:szCs w:val="21"/>
                    </w:rPr>
                  </w:pPr>
                  <w:r>
                    <w:rPr>
                      <w:b/>
                      <w:color w:val="000000"/>
                      <w:szCs w:val="21"/>
                    </w:rPr>
                    <w:t>8</w:t>
                  </w:r>
                  <w:r>
                    <w:rPr>
                      <w:rFonts w:hint="eastAsia"/>
                      <w:b/>
                      <w:color w:val="000000"/>
                      <w:szCs w:val="21"/>
                    </w:rPr>
                    <w:t>、统一支付查询</w:t>
                  </w:r>
                </w:p>
                <w:p w14:paraId="527D1647">
                  <w:pPr>
                    <w:pStyle w:val="131"/>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系统支持查询每一笔支付信息，通过统一支付查询可以看到每笔预交金的支付情况，当涉及到异常时允许收款员手工对预交金进行补退或是更新状态。</w:t>
                  </w:r>
                </w:p>
                <w:p w14:paraId="205C1910">
                  <w:pPr>
                    <w:pageBreakBefore w:val="0"/>
                    <w:widowControl w:val="0"/>
                    <w:kinsoku/>
                    <w:wordWrap/>
                    <w:overflowPunct/>
                    <w:topLinePunct w:val="0"/>
                    <w:autoSpaceDE/>
                    <w:autoSpaceDN/>
                    <w:bidi w:val="0"/>
                    <w:adjustRightInd/>
                    <w:snapToGrid w:val="0"/>
                    <w:spacing w:line="360" w:lineRule="exact"/>
                    <w:textAlignment w:val="auto"/>
                    <w:rPr>
                      <w:b/>
                      <w:color w:val="000000"/>
                      <w:szCs w:val="21"/>
                    </w:rPr>
                  </w:pPr>
                  <w:r>
                    <w:rPr>
                      <w:b/>
                      <w:color w:val="000000"/>
                      <w:szCs w:val="21"/>
                    </w:rPr>
                    <w:t>9</w:t>
                  </w:r>
                  <w:r>
                    <w:rPr>
                      <w:rFonts w:hint="eastAsia"/>
                      <w:b/>
                      <w:color w:val="000000"/>
                      <w:szCs w:val="21"/>
                    </w:rPr>
                    <w:t>、门诊退费管理</w:t>
                  </w:r>
                </w:p>
                <w:p w14:paraId="2982EA2B">
                  <w:pPr>
                    <w:pStyle w:val="131"/>
                    <w:pageBreakBefore w:val="0"/>
                    <w:widowControl w:val="0"/>
                    <w:kinsoku/>
                    <w:wordWrap/>
                    <w:overflowPunct/>
                    <w:topLinePunct w:val="0"/>
                    <w:autoSpaceDE/>
                    <w:autoSpaceDN/>
                    <w:bidi w:val="0"/>
                    <w:adjustRightInd/>
                    <w:spacing w:line="360" w:lineRule="exact"/>
                    <w:ind w:firstLine="0"/>
                    <w:jc w:val="left"/>
                    <w:textAlignment w:val="auto"/>
                  </w:pPr>
                  <w:r>
                    <w:rPr>
                      <w:rFonts w:hint="eastAsia"/>
                    </w:rPr>
                    <w:t>患者结算完成后遇到部分项目因为其他原因不做了，向医生申请退费，医生同意后开具退费单，审核通过后患者即可到收费窗口进行退款，收费员依据医生开具的退费单可查询对应费用明细及发票明细内容，根据患者需求进行退费退款，且支持多种退款路径。</w:t>
                  </w:r>
                </w:p>
                <w:p w14:paraId="30BB3865">
                  <w:pPr>
                    <w:pageBreakBefore w:val="0"/>
                    <w:widowControl w:val="0"/>
                    <w:kinsoku/>
                    <w:wordWrap/>
                    <w:overflowPunct/>
                    <w:topLinePunct w:val="0"/>
                    <w:autoSpaceDE/>
                    <w:autoSpaceDN/>
                    <w:bidi w:val="0"/>
                    <w:adjustRightInd/>
                    <w:snapToGrid w:val="0"/>
                    <w:spacing w:line="360" w:lineRule="exact"/>
                    <w:textAlignment w:val="auto"/>
                    <w:rPr>
                      <w:b/>
                      <w:color w:val="000000"/>
                      <w:szCs w:val="21"/>
                    </w:rPr>
                  </w:pPr>
                  <w:r>
                    <w:rPr>
                      <w:b/>
                      <w:color w:val="000000"/>
                      <w:szCs w:val="21"/>
                    </w:rPr>
                    <w:t>10</w:t>
                  </w:r>
                  <w:r>
                    <w:rPr>
                      <w:rFonts w:hint="eastAsia"/>
                      <w:b/>
                      <w:color w:val="000000"/>
                      <w:szCs w:val="21"/>
                    </w:rPr>
                    <w:t>、门诊结账</w:t>
                  </w:r>
                </w:p>
                <w:p w14:paraId="5A61FC3D">
                  <w:pPr>
                    <w:pageBreakBefore w:val="0"/>
                    <w:widowControl w:val="0"/>
                    <w:kinsoku/>
                    <w:wordWrap/>
                    <w:overflowPunct/>
                    <w:topLinePunct w:val="0"/>
                    <w:autoSpaceDE/>
                    <w:autoSpaceDN/>
                    <w:bidi w:val="0"/>
                    <w:adjustRightInd/>
                    <w:snapToGrid w:val="0"/>
                    <w:spacing w:line="360" w:lineRule="exact"/>
                    <w:jc w:val="left"/>
                    <w:textAlignment w:val="auto"/>
                  </w:pPr>
                  <w:r>
                    <w:rPr>
                      <w:rFonts w:hint="eastAsia"/>
                    </w:rPr>
                    <w:t>收费员在上下班交接时会针对今日的工作进行结账核对，收费组长根据系统每日结账单与收费员的实际上缴金额进行比对，当涉及到问题时能够通过明细数据找到异常。每日结账支持通过系统定时器的方式自动结账，减少收费组长的日常机械工作。在结账时支持获取收款员某一段时间内门诊的预交金、结算记录、卡等未结账的信息进行结账财务处理。提供门诊结账管理功能，对收款员的预交金、发票等工作情况进行账务处理。</w:t>
                  </w:r>
                </w:p>
                <w:p w14:paraId="5433E1A9">
                  <w:pPr>
                    <w:pStyle w:val="7"/>
                    <w:pageBreakBefore w:val="0"/>
                    <w:widowControl w:val="0"/>
                    <w:kinsoku/>
                    <w:wordWrap/>
                    <w:overflowPunct/>
                    <w:topLinePunct w:val="0"/>
                    <w:autoSpaceDE/>
                    <w:autoSpaceDN/>
                    <w:bidi w:val="0"/>
                    <w:adjustRightInd/>
                    <w:spacing w:line="360" w:lineRule="exact"/>
                    <w:textAlignment w:val="auto"/>
                  </w:pPr>
                  <w:r>
                    <w:rPr>
                      <w:rFonts w:hint="eastAsia"/>
                    </w:rPr>
                    <w:t>住院收费系统</w:t>
                  </w:r>
                </w:p>
                <w:p w14:paraId="4C55DB00">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住院收费系统主要针对住院患者信息以及收费结算的管理系统，通过系统进行病人入院登记、医保登记、预交金收退以及住院费用的结算收费。患者入院就诊后根据医生所开的入院证到收费处办理住院手续，系统支持通过扫码方式读取病人信息减少收费员的操作成本，依据患者情况进行医保信息登记及预交金缴纳。</w:t>
                  </w:r>
                </w:p>
                <w:p w14:paraId="791C093D">
                  <w:pPr>
                    <w:pageBreakBefore w:val="0"/>
                    <w:widowControl w:val="0"/>
                    <w:kinsoku/>
                    <w:wordWrap/>
                    <w:overflowPunct/>
                    <w:topLinePunct w:val="0"/>
                    <w:autoSpaceDE/>
                    <w:autoSpaceDN/>
                    <w:bidi w:val="0"/>
                    <w:adjustRightInd/>
                    <w:snapToGrid w:val="0"/>
                    <w:spacing w:line="360" w:lineRule="exact"/>
                    <w:textAlignment w:val="auto"/>
                    <w:rPr>
                      <w:b/>
                      <w:color w:val="000000"/>
                      <w:szCs w:val="21"/>
                    </w:rPr>
                  </w:pPr>
                  <w:r>
                    <w:rPr>
                      <w:b/>
                      <w:color w:val="000000"/>
                      <w:szCs w:val="21"/>
                    </w:rPr>
                    <w:t>1</w:t>
                  </w:r>
                  <w:r>
                    <w:rPr>
                      <w:rFonts w:hint="eastAsia"/>
                      <w:b/>
                      <w:color w:val="000000"/>
                      <w:szCs w:val="21"/>
                    </w:rPr>
                    <w:t>、患者管理</w:t>
                  </w:r>
                </w:p>
                <w:p w14:paraId="639E5B7D">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住院收费系统的患者管理主要是针对患者的信息注册以及修改，是患者收入住院后的第一步，患者从门诊转入住院后进行入院登记。</w:t>
                  </w:r>
                </w:p>
                <w:p w14:paraId="5DF43DF2">
                  <w:pPr>
                    <w:pageBreakBefore w:val="0"/>
                    <w:widowControl w:val="0"/>
                    <w:kinsoku/>
                    <w:wordWrap/>
                    <w:overflowPunct/>
                    <w:topLinePunct w:val="0"/>
                    <w:autoSpaceDE/>
                    <w:autoSpaceDN/>
                    <w:bidi w:val="0"/>
                    <w:adjustRightInd/>
                    <w:snapToGrid w:val="0"/>
                    <w:spacing w:line="360" w:lineRule="exact"/>
                    <w:textAlignment w:val="auto"/>
                    <w:rPr>
                      <w:b/>
                      <w:color w:val="000000"/>
                      <w:szCs w:val="21"/>
                    </w:rPr>
                  </w:pPr>
                  <w:r>
                    <w:rPr>
                      <w:b/>
                      <w:color w:val="000000"/>
                      <w:szCs w:val="21"/>
                    </w:rPr>
                    <w:t>2</w:t>
                  </w:r>
                  <w:r>
                    <w:rPr>
                      <w:rFonts w:hint="eastAsia"/>
                      <w:b/>
                      <w:color w:val="000000"/>
                      <w:szCs w:val="21"/>
                    </w:rPr>
                    <w:t>、入院登记</w:t>
                  </w:r>
                </w:p>
                <w:p w14:paraId="12B096FA">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支持已注册的病人或从门诊转入住院的病人进行基本信息登记和维护。</w:t>
                  </w:r>
                </w:p>
                <w:p w14:paraId="0A19CF0D">
                  <w:pPr>
                    <w:pageBreakBefore w:val="0"/>
                    <w:widowControl w:val="0"/>
                    <w:kinsoku/>
                    <w:wordWrap/>
                    <w:overflowPunct/>
                    <w:topLinePunct w:val="0"/>
                    <w:autoSpaceDE/>
                    <w:autoSpaceDN/>
                    <w:bidi w:val="0"/>
                    <w:adjustRightInd/>
                    <w:snapToGrid w:val="0"/>
                    <w:spacing w:line="360" w:lineRule="exact"/>
                    <w:textAlignment w:val="auto"/>
                    <w:rPr>
                      <w:b/>
                      <w:color w:val="000000"/>
                      <w:szCs w:val="21"/>
                    </w:rPr>
                  </w:pPr>
                  <w:r>
                    <w:rPr>
                      <w:b/>
                      <w:color w:val="000000"/>
                      <w:szCs w:val="21"/>
                    </w:rPr>
                    <w:t>3</w:t>
                  </w:r>
                  <w:r>
                    <w:rPr>
                      <w:rFonts w:hint="eastAsia"/>
                      <w:b/>
                      <w:color w:val="000000"/>
                      <w:szCs w:val="21"/>
                    </w:rPr>
                    <w:t>、住院信息修改</w:t>
                  </w:r>
                </w:p>
                <w:p w14:paraId="7DB119DF">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当患者住院信息需要调整时，支持对患者住院信息进行修订。</w:t>
                  </w:r>
                </w:p>
                <w:p w14:paraId="2E156FAE">
                  <w:pPr>
                    <w:pageBreakBefore w:val="0"/>
                    <w:widowControl w:val="0"/>
                    <w:kinsoku/>
                    <w:wordWrap/>
                    <w:overflowPunct/>
                    <w:topLinePunct w:val="0"/>
                    <w:autoSpaceDE/>
                    <w:autoSpaceDN/>
                    <w:bidi w:val="0"/>
                    <w:adjustRightInd/>
                    <w:snapToGrid w:val="0"/>
                    <w:spacing w:line="360" w:lineRule="exact"/>
                    <w:textAlignment w:val="auto"/>
                    <w:rPr>
                      <w:b/>
                      <w:color w:val="000000"/>
                      <w:szCs w:val="21"/>
                    </w:rPr>
                  </w:pPr>
                  <w:r>
                    <w:rPr>
                      <w:b/>
                      <w:color w:val="000000"/>
                      <w:szCs w:val="21"/>
                    </w:rPr>
                    <w:t>4</w:t>
                  </w:r>
                  <w:r>
                    <w:rPr>
                      <w:rFonts w:hint="eastAsia"/>
                      <w:b/>
                      <w:color w:val="000000"/>
                      <w:szCs w:val="21"/>
                    </w:rPr>
                    <w:t>、住院取消</w:t>
                  </w:r>
                </w:p>
                <w:p w14:paraId="4A59951D">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当患者因为某些原因不住院时，系统支持已入院未入科的患者取消住院，收费员将患者恢复为未入院状态。</w:t>
                  </w:r>
                </w:p>
                <w:p w14:paraId="31949043">
                  <w:pPr>
                    <w:pageBreakBefore w:val="0"/>
                    <w:widowControl w:val="0"/>
                    <w:kinsoku/>
                    <w:wordWrap/>
                    <w:overflowPunct/>
                    <w:topLinePunct w:val="0"/>
                    <w:autoSpaceDE/>
                    <w:autoSpaceDN/>
                    <w:bidi w:val="0"/>
                    <w:adjustRightInd/>
                    <w:snapToGrid w:val="0"/>
                    <w:spacing w:line="360" w:lineRule="exact"/>
                    <w:textAlignment w:val="auto"/>
                    <w:rPr>
                      <w:b/>
                      <w:color w:val="000000"/>
                      <w:szCs w:val="21"/>
                    </w:rPr>
                  </w:pPr>
                  <w:r>
                    <w:rPr>
                      <w:b/>
                      <w:color w:val="000000"/>
                      <w:szCs w:val="21"/>
                    </w:rPr>
                    <w:t>5</w:t>
                  </w:r>
                  <w:r>
                    <w:rPr>
                      <w:rFonts w:hint="eastAsia"/>
                      <w:b/>
                      <w:color w:val="000000"/>
                      <w:szCs w:val="21"/>
                    </w:rPr>
                    <w:t>、病人注册</w:t>
                  </w:r>
                </w:p>
                <w:p w14:paraId="1A98B038">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针对未注册的患者，住院收费处也支持通过身份证、医保卡或预注册信息进行病人信息注册，完善病人信息。</w:t>
                  </w:r>
                </w:p>
                <w:p w14:paraId="254F0678">
                  <w:pPr>
                    <w:pStyle w:val="8"/>
                    <w:pageBreakBefore w:val="0"/>
                    <w:widowControl w:val="0"/>
                    <w:kinsoku/>
                    <w:wordWrap/>
                    <w:overflowPunct/>
                    <w:topLinePunct w:val="0"/>
                    <w:autoSpaceDE/>
                    <w:autoSpaceDN/>
                    <w:bidi w:val="0"/>
                    <w:adjustRightInd/>
                    <w:spacing w:line="360" w:lineRule="exact"/>
                    <w:textAlignment w:val="auto"/>
                  </w:pPr>
                  <w:r>
                    <w:rPr>
                      <w:rFonts w:hint="eastAsia"/>
                    </w:rPr>
                    <w:t>预交金</w:t>
                  </w:r>
                </w:p>
                <w:p w14:paraId="245B2318">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医院的住院使用预交金模式进行做账，收费员在办理患者的入院登记后依据医生入院单建议收取患者的预交金作为后续的就诊费用，且系统会持续根据预交金的使用情况，当不足时能够及时通知病区护士，患者还可通过病区自助机或回到收费处进行预交金充值。</w:t>
                  </w:r>
                </w:p>
                <w:p w14:paraId="18309B22">
                  <w:pPr>
                    <w:pageBreakBefore w:val="0"/>
                    <w:widowControl w:val="0"/>
                    <w:kinsoku/>
                    <w:wordWrap/>
                    <w:overflowPunct/>
                    <w:topLinePunct w:val="0"/>
                    <w:autoSpaceDE/>
                    <w:autoSpaceDN/>
                    <w:bidi w:val="0"/>
                    <w:adjustRightInd/>
                    <w:snapToGrid w:val="0"/>
                    <w:spacing w:line="360" w:lineRule="exact"/>
                    <w:textAlignment w:val="auto"/>
                    <w:rPr>
                      <w:b/>
                      <w:color w:val="000000"/>
                      <w:szCs w:val="21"/>
                    </w:rPr>
                  </w:pPr>
                  <w:r>
                    <w:rPr>
                      <w:b/>
                      <w:color w:val="000000"/>
                      <w:szCs w:val="21"/>
                    </w:rPr>
                    <w:t>1</w:t>
                  </w:r>
                  <w:r>
                    <w:rPr>
                      <w:rFonts w:hint="eastAsia"/>
                      <w:b/>
                      <w:color w:val="000000"/>
                      <w:szCs w:val="21"/>
                    </w:rPr>
                    <w:t>、收预交金</w:t>
                  </w:r>
                </w:p>
                <w:p w14:paraId="0EDF2617">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收费员可通过病案号读取或直接科室选择到患者，读取信息后能查看到他所剩余额信息以及历次的缴交记录，支持多种支付方式缴纳预交金。</w:t>
                  </w:r>
                </w:p>
                <w:p w14:paraId="1AAADF04">
                  <w:pPr>
                    <w:pageBreakBefore w:val="0"/>
                    <w:widowControl w:val="0"/>
                    <w:kinsoku/>
                    <w:wordWrap/>
                    <w:overflowPunct/>
                    <w:topLinePunct w:val="0"/>
                    <w:autoSpaceDE/>
                    <w:autoSpaceDN/>
                    <w:bidi w:val="0"/>
                    <w:adjustRightInd/>
                    <w:snapToGrid w:val="0"/>
                    <w:spacing w:line="360" w:lineRule="exact"/>
                    <w:textAlignment w:val="auto"/>
                    <w:rPr>
                      <w:b/>
                      <w:color w:val="000000"/>
                      <w:szCs w:val="21"/>
                    </w:rPr>
                  </w:pPr>
                  <w:r>
                    <w:rPr>
                      <w:b/>
                      <w:color w:val="000000"/>
                      <w:szCs w:val="21"/>
                    </w:rPr>
                    <w:t>2</w:t>
                  </w:r>
                  <w:r>
                    <w:rPr>
                      <w:rFonts w:hint="eastAsia"/>
                      <w:b/>
                      <w:color w:val="000000"/>
                      <w:szCs w:val="21"/>
                    </w:rPr>
                    <w:t>、退预交金</w:t>
                  </w:r>
                </w:p>
                <w:p w14:paraId="76A97E61">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患者在出院结算完成后仍有余额情况下支持通过收费系统退预交金，通过病案号或选择病人信息方式获取住院患者费用、单据及预交金余额信息，并自动计算当前可退金额以及对应的退款方式。</w:t>
                  </w:r>
                </w:p>
                <w:p w14:paraId="44AC064F">
                  <w:pPr>
                    <w:pageBreakBefore w:val="0"/>
                    <w:widowControl w:val="0"/>
                    <w:kinsoku/>
                    <w:wordWrap/>
                    <w:overflowPunct/>
                    <w:topLinePunct w:val="0"/>
                    <w:autoSpaceDE/>
                    <w:autoSpaceDN/>
                    <w:bidi w:val="0"/>
                    <w:adjustRightInd/>
                    <w:snapToGrid w:val="0"/>
                    <w:spacing w:line="360" w:lineRule="exact"/>
                    <w:textAlignment w:val="auto"/>
                    <w:rPr>
                      <w:b/>
                      <w:color w:val="000000"/>
                      <w:szCs w:val="21"/>
                    </w:rPr>
                  </w:pPr>
                  <w:r>
                    <w:rPr>
                      <w:b/>
                      <w:color w:val="000000"/>
                      <w:szCs w:val="21"/>
                    </w:rPr>
                    <w:t>3</w:t>
                  </w:r>
                  <w:r>
                    <w:rPr>
                      <w:rFonts w:hint="eastAsia"/>
                      <w:b/>
                      <w:color w:val="000000"/>
                      <w:szCs w:val="21"/>
                    </w:rPr>
                    <w:t>、预交金查询</w:t>
                  </w:r>
                </w:p>
                <w:p w14:paraId="4AB6972A">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收费员可查询患者的预交金缴费退款明细数据，支持收据的重打和重制。</w:t>
                  </w:r>
                </w:p>
                <w:p w14:paraId="23C96C9B">
                  <w:pPr>
                    <w:pageBreakBefore w:val="0"/>
                    <w:widowControl w:val="0"/>
                    <w:kinsoku/>
                    <w:wordWrap/>
                    <w:overflowPunct/>
                    <w:topLinePunct w:val="0"/>
                    <w:autoSpaceDE/>
                    <w:autoSpaceDN/>
                    <w:bidi w:val="0"/>
                    <w:adjustRightInd/>
                    <w:snapToGrid w:val="0"/>
                    <w:spacing w:line="360" w:lineRule="exact"/>
                    <w:textAlignment w:val="auto"/>
                    <w:rPr>
                      <w:b/>
                      <w:color w:val="000000"/>
                      <w:szCs w:val="21"/>
                    </w:rPr>
                  </w:pPr>
                  <w:r>
                    <w:rPr>
                      <w:b/>
                      <w:color w:val="000000"/>
                      <w:szCs w:val="21"/>
                    </w:rPr>
                    <w:t>4</w:t>
                  </w:r>
                  <w:r>
                    <w:rPr>
                      <w:rFonts w:hint="eastAsia"/>
                      <w:b/>
                      <w:color w:val="000000"/>
                      <w:szCs w:val="21"/>
                    </w:rPr>
                    <w:t>、支付查询</w:t>
                  </w:r>
                </w:p>
                <w:p w14:paraId="35DADAC7">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收费员可通过支付查询功能查询每一笔支付信息，通过统一支付查询可查询每笔预交金的支付情况，当涉及到异常支付信息时支持收款员手工对预交金进行补退或是更新状态。</w:t>
                  </w:r>
                </w:p>
                <w:p w14:paraId="3B4429E3">
                  <w:pPr>
                    <w:pStyle w:val="8"/>
                    <w:pageBreakBefore w:val="0"/>
                    <w:widowControl w:val="0"/>
                    <w:kinsoku/>
                    <w:wordWrap/>
                    <w:overflowPunct/>
                    <w:topLinePunct w:val="0"/>
                    <w:autoSpaceDE/>
                    <w:autoSpaceDN/>
                    <w:bidi w:val="0"/>
                    <w:adjustRightInd/>
                    <w:spacing w:line="360" w:lineRule="exact"/>
                    <w:textAlignment w:val="auto"/>
                  </w:pPr>
                  <w:r>
                    <w:rPr>
                      <w:rFonts w:hint="eastAsia"/>
                    </w:rPr>
                    <w:t>结算管理</w:t>
                  </w:r>
                </w:p>
                <w:p w14:paraId="5018C0A9">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出院结算是医院服务的最后环节，主要为病人办理出院手续，最后环节的顺利与否，往往更能够直接的影响病人及其家属对医院整个服务流程满意度的评价，对医院的声誉也会产生一定影响。因此，医院针对出院结算处理环节的管理也是相对比较重视的，系统的智能和可靠保障患者离院的最后服务，体现出医院管理的科学和规范。</w:t>
                  </w:r>
                </w:p>
                <w:p w14:paraId="3FCCD2E0">
                  <w:pPr>
                    <w:pageBreakBefore w:val="0"/>
                    <w:widowControl w:val="0"/>
                    <w:kinsoku/>
                    <w:wordWrap/>
                    <w:overflowPunct/>
                    <w:topLinePunct w:val="0"/>
                    <w:autoSpaceDE/>
                    <w:autoSpaceDN/>
                    <w:bidi w:val="0"/>
                    <w:adjustRightInd/>
                    <w:snapToGrid w:val="0"/>
                    <w:spacing w:line="360" w:lineRule="exact"/>
                    <w:textAlignment w:val="auto"/>
                    <w:rPr>
                      <w:b/>
                      <w:color w:val="000000"/>
                      <w:szCs w:val="21"/>
                    </w:rPr>
                  </w:pPr>
                  <w:r>
                    <w:rPr>
                      <w:b/>
                      <w:color w:val="000000"/>
                      <w:szCs w:val="21"/>
                    </w:rPr>
                    <w:t>1</w:t>
                  </w:r>
                  <w:r>
                    <w:rPr>
                      <w:rFonts w:hint="eastAsia"/>
                      <w:b/>
                      <w:color w:val="000000"/>
                      <w:szCs w:val="21"/>
                    </w:rPr>
                    <w:t>、出院结算</w:t>
                  </w:r>
                </w:p>
                <w:p w14:paraId="122BE9B2">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护士站依据患者的出院医嘱进行最后的确认，完成后患者或其家属需到收费处完成最后的出院结算。系统计算出患者的待结算项目信息以及金额，优先使用预交金金额进行多退少补。</w:t>
                  </w:r>
                </w:p>
                <w:p w14:paraId="3DD52A68">
                  <w:pPr>
                    <w:pageBreakBefore w:val="0"/>
                    <w:widowControl w:val="0"/>
                    <w:kinsoku/>
                    <w:wordWrap/>
                    <w:overflowPunct/>
                    <w:topLinePunct w:val="0"/>
                    <w:autoSpaceDE/>
                    <w:autoSpaceDN/>
                    <w:bidi w:val="0"/>
                    <w:adjustRightInd/>
                    <w:snapToGrid w:val="0"/>
                    <w:spacing w:line="360" w:lineRule="exact"/>
                    <w:textAlignment w:val="auto"/>
                    <w:rPr>
                      <w:b/>
                      <w:color w:val="000000"/>
                      <w:szCs w:val="21"/>
                    </w:rPr>
                  </w:pPr>
                  <w:r>
                    <w:rPr>
                      <w:b/>
                      <w:color w:val="000000"/>
                      <w:szCs w:val="21"/>
                    </w:rPr>
                    <w:t>2</w:t>
                  </w:r>
                  <w:r>
                    <w:rPr>
                      <w:rFonts w:hint="eastAsia"/>
                      <w:b/>
                      <w:color w:val="000000"/>
                      <w:szCs w:val="21"/>
                    </w:rPr>
                    <w:t>、中途结算</w:t>
                  </w:r>
                </w:p>
                <w:p w14:paraId="0581C1B8">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当患者遇到跨年报销等特殊原因需要分批次结算时，系统允许收款员对在院患者进行中途结算，根据项目类型统计住院期间花费金额，费用对患者透明化，当患者对费用产生疑问时可追溯每笔具体扣费使用记录，避免因此产生医患矛盾，做到有理可依有据可循。</w:t>
                  </w:r>
                </w:p>
                <w:p w14:paraId="6D3000F1">
                  <w:pPr>
                    <w:pageBreakBefore w:val="0"/>
                    <w:widowControl w:val="0"/>
                    <w:kinsoku/>
                    <w:wordWrap/>
                    <w:overflowPunct/>
                    <w:topLinePunct w:val="0"/>
                    <w:autoSpaceDE/>
                    <w:autoSpaceDN/>
                    <w:bidi w:val="0"/>
                    <w:adjustRightInd/>
                    <w:snapToGrid w:val="0"/>
                    <w:spacing w:line="360" w:lineRule="exact"/>
                    <w:textAlignment w:val="auto"/>
                    <w:rPr>
                      <w:b/>
                      <w:color w:val="000000"/>
                      <w:szCs w:val="21"/>
                    </w:rPr>
                  </w:pPr>
                  <w:r>
                    <w:rPr>
                      <w:b/>
                      <w:color w:val="000000"/>
                      <w:szCs w:val="21"/>
                    </w:rPr>
                    <w:t>3</w:t>
                  </w:r>
                  <w:r>
                    <w:rPr>
                      <w:rFonts w:hint="eastAsia"/>
                      <w:b/>
                      <w:color w:val="000000"/>
                      <w:szCs w:val="21"/>
                    </w:rPr>
                    <w:t>、挂账结算</w:t>
                  </w:r>
                </w:p>
                <w:p w14:paraId="03EB837B">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当病人遇到突发情况无法对住院费用进行缴费，而医院需要对费用进行结算对账时，通过挂账形式进行处理。这样避免了因患者长时间未办理出院结算而造成医院无法和医保单位及时对账核算费用，减少医院对账积压的情况发生，保障医院的正常运营和管理。</w:t>
                  </w:r>
                </w:p>
                <w:p w14:paraId="51E84A1D">
                  <w:pPr>
                    <w:pageBreakBefore w:val="0"/>
                    <w:widowControl w:val="0"/>
                    <w:kinsoku/>
                    <w:wordWrap/>
                    <w:overflowPunct/>
                    <w:topLinePunct w:val="0"/>
                    <w:autoSpaceDE/>
                    <w:autoSpaceDN/>
                    <w:bidi w:val="0"/>
                    <w:adjustRightInd/>
                    <w:snapToGrid w:val="0"/>
                    <w:spacing w:line="360" w:lineRule="exact"/>
                    <w:textAlignment w:val="auto"/>
                    <w:rPr>
                      <w:b/>
                      <w:color w:val="000000"/>
                      <w:szCs w:val="21"/>
                    </w:rPr>
                  </w:pPr>
                  <w:r>
                    <w:rPr>
                      <w:b/>
                      <w:color w:val="000000"/>
                      <w:szCs w:val="21"/>
                    </w:rPr>
                    <w:t>4</w:t>
                  </w:r>
                  <w:r>
                    <w:rPr>
                      <w:rFonts w:hint="eastAsia"/>
                      <w:b/>
                      <w:color w:val="000000"/>
                      <w:szCs w:val="21"/>
                    </w:rPr>
                    <w:t>、住院发票查询</w:t>
                  </w:r>
                </w:p>
                <w:p w14:paraId="2F8F1122">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系统根据发票进行住院费用记录查询，日常偶尔出现发票打印出问题时，允许对发票进行重打，患者因意外发生发票丢失情况下，依据医院管理制度提供证明后可在系统上进行重制发票。同时，允许收费员查看患者的具体发票明细以及费用明细数据，了解每一笔费用支出和扣费时间，更好解答患者对费用的疑惑。</w:t>
                  </w:r>
                </w:p>
                <w:p w14:paraId="7DA5B4D7">
                  <w:pPr>
                    <w:pStyle w:val="8"/>
                    <w:pageBreakBefore w:val="0"/>
                    <w:widowControl w:val="0"/>
                    <w:kinsoku/>
                    <w:wordWrap/>
                    <w:overflowPunct/>
                    <w:topLinePunct w:val="0"/>
                    <w:autoSpaceDE/>
                    <w:autoSpaceDN/>
                    <w:bidi w:val="0"/>
                    <w:adjustRightInd/>
                    <w:spacing w:line="360" w:lineRule="exact"/>
                    <w:textAlignment w:val="auto"/>
                  </w:pPr>
                  <w:r>
                    <w:rPr>
                      <w:rFonts w:hint="eastAsia"/>
                    </w:rPr>
                    <w:t>费用管理</w:t>
                  </w:r>
                </w:p>
                <w:p w14:paraId="5D15AF24">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费用管理模块主要是针对患者的费别以及单据扣费负责，根据医院管理运营方案允许通过系统自动设置患者的担保金额，以备患者不时之需，通过换位角度为患者提供有温度且便利的就医环境，让患者在危急时分感受医院的医者仁心。</w:t>
                  </w:r>
                </w:p>
                <w:p w14:paraId="7339B389">
                  <w:pPr>
                    <w:pageBreakBefore w:val="0"/>
                    <w:widowControl w:val="0"/>
                    <w:kinsoku/>
                    <w:wordWrap/>
                    <w:overflowPunct/>
                    <w:topLinePunct w:val="0"/>
                    <w:autoSpaceDE/>
                    <w:autoSpaceDN/>
                    <w:bidi w:val="0"/>
                    <w:adjustRightInd/>
                    <w:snapToGrid w:val="0"/>
                    <w:spacing w:line="360" w:lineRule="exact"/>
                    <w:textAlignment w:val="auto"/>
                    <w:rPr>
                      <w:b/>
                      <w:color w:val="000000"/>
                      <w:szCs w:val="21"/>
                    </w:rPr>
                  </w:pPr>
                  <w:r>
                    <w:rPr>
                      <w:b/>
                      <w:color w:val="000000"/>
                      <w:szCs w:val="21"/>
                    </w:rPr>
                    <w:t>1</w:t>
                  </w:r>
                  <w:r>
                    <w:rPr>
                      <w:rFonts w:hint="eastAsia"/>
                      <w:b/>
                      <w:color w:val="000000"/>
                      <w:szCs w:val="21"/>
                    </w:rPr>
                    <w:t>、住院费别转换</w:t>
                  </w:r>
                </w:p>
                <w:p w14:paraId="204E9591">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在入院登记时患者会在收费处登记医保相关费别信息，但部分患者也会发生在住院过程中产生登记有误或符合其他保险报销的情况，收费处提供变更医保费别服务，允许选择新的费别类型并连接医保接口即可对患者进行费别转换。</w:t>
                  </w:r>
                </w:p>
                <w:p w14:paraId="08EBB8AC">
                  <w:pPr>
                    <w:pageBreakBefore w:val="0"/>
                    <w:widowControl w:val="0"/>
                    <w:kinsoku/>
                    <w:wordWrap/>
                    <w:overflowPunct/>
                    <w:topLinePunct w:val="0"/>
                    <w:autoSpaceDE/>
                    <w:autoSpaceDN/>
                    <w:bidi w:val="0"/>
                    <w:adjustRightInd/>
                    <w:snapToGrid w:val="0"/>
                    <w:spacing w:line="360" w:lineRule="exact"/>
                    <w:textAlignment w:val="auto"/>
                    <w:rPr>
                      <w:b/>
                      <w:color w:val="000000"/>
                      <w:szCs w:val="21"/>
                    </w:rPr>
                  </w:pPr>
                  <w:r>
                    <w:rPr>
                      <w:b/>
                      <w:color w:val="000000"/>
                      <w:szCs w:val="21"/>
                    </w:rPr>
                    <w:t>2</w:t>
                  </w:r>
                  <w:r>
                    <w:rPr>
                      <w:rFonts w:hint="eastAsia"/>
                      <w:b/>
                      <w:color w:val="000000"/>
                      <w:szCs w:val="21"/>
                    </w:rPr>
                    <w:t>、自动担保设置</w:t>
                  </w:r>
                </w:p>
                <w:p w14:paraId="25FBC911">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医院根据住院费用管理规定提供患者担保费用，当患者办理住院或住院期间暂时无法交够预交金额，优先保障患者的正常就医，待后续补齐款项。医院可根据患者在系统中所登记的费别进行担保金额的设置，系统根据设置对患者进行担保金额控制，在担保范围内允许患者欠费，超出后系统会控制新的开单和项目执行。这样一方面体现了医院的医者仁心，一切以患者的健康出发，另一方面将担保金额控制和及时提醒，有效避免了让医院利益过度受损。让双方的关系运营按良性方向持续发展，一定程度上促进医患的关系走向和谐。</w:t>
                  </w:r>
                </w:p>
                <w:p w14:paraId="22DA7C11">
                  <w:pPr>
                    <w:pageBreakBefore w:val="0"/>
                    <w:widowControl w:val="0"/>
                    <w:kinsoku/>
                    <w:wordWrap/>
                    <w:overflowPunct/>
                    <w:topLinePunct w:val="0"/>
                    <w:autoSpaceDE/>
                    <w:autoSpaceDN/>
                    <w:bidi w:val="0"/>
                    <w:adjustRightInd/>
                    <w:snapToGrid w:val="0"/>
                    <w:spacing w:line="360" w:lineRule="exact"/>
                    <w:textAlignment w:val="auto"/>
                    <w:rPr>
                      <w:b/>
                      <w:color w:val="000000"/>
                      <w:szCs w:val="21"/>
                    </w:rPr>
                  </w:pPr>
                  <w:r>
                    <w:rPr>
                      <w:b/>
                      <w:color w:val="000000"/>
                      <w:szCs w:val="21"/>
                    </w:rPr>
                    <w:t>3</w:t>
                  </w:r>
                  <w:r>
                    <w:rPr>
                      <w:rFonts w:hint="eastAsia"/>
                      <w:b/>
                      <w:color w:val="000000"/>
                      <w:szCs w:val="21"/>
                    </w:rPr>
                    <w:t>、住院病人担保</w:t>
                  </w:r>
                </w:p>
                <w:p w14:paraId="4FC27888">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办理患者担保手续时，主要是由医院的在职职工进行身份担保，需要写明担保原因以及对应担保类型，方便医院就担保一事进行掌控，针对未能在约定时间内将预交金补齐的患者，所发生的的欠款需要由担保人承担，系统能够控制欠费金额在担保金额范围内，也保障了担保人的损失在可控范围。通过担保列表能够清晰查看担保原因，当患者遇到特殊情况时可根据诉求添加担保，同时针对职工能够设定其最高担保金额保障医院的利益。</w:t>
                  </w:r>
                </w:p>
                <w:p w14:paraId="04889AB2">
                  <w:pPr>
                    <w:pageBreakBefore w:val="0"/>
                    <w:widowControl w:val="0"/>
                    <w:kinsoku/>
                    <w:wordWrap/>
                    <w:overflowPunct/>
                    <w:topLinePunct w:val="0"/>
                    <w:autoSpaceDE/>
                    <w:autoSpaceDN/>
                    <w:bidi w:val="0"/>
                    <w:adjustRightInd/>
                    <w:snapToGrid w:val="0"/>
                    <w:spacing w:line="360" w:lineRule="exact"/>
                    <w:textAlignment w:val="auto"/>
                    <w:rPr>
                      <w:b/>
                      <w:color w:val="000000"/>
                      <w:szCs w:val="21"/>
                    </w:rPr>
                  </w:pPr>
                  <w:r>
                    <w:rPr>
                      <w:b/>
                      <w:color w:val="000000"/>
                      <w:szCs w:val="21"/>
                    </w:rPr>
                    <w:t>4</w:t>
                  </w:r>
                  <w:r>
                    <w:rPr>
                      <w:rFonts w:hint="eastAsia"/>
                      <w:b/>
                      <w:color w:val="000000"/>
                      <w:szCs w:val="21"/>
                    </w:rPr>
                    <w:t>、住院单据扣费</w:t>
                  </w:r>
                </w:p>
                <w:p w14:paraId="33877FF5">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住院采用的是预交金模式，患者在院期间产生的费用主要是以预扣费的方式进行，待出院时才进行出院结算。在院期间医护人员针对患者开具的项目需进行单据扣费后再做执行，有效保障了费用的及时同步，也能够让患者清晰知道目前产生的费用信息以及剩余预交金金额。通过查看患者项目单据信息，如遇到部分材料或是项目遗漏，收款员可在此新开并进行扣费。</w:t>
                  </w:r>
                </w:p>
                <w:p w14:paraId="196FBD44">
                  <w:pPr>
                    <w:pStyle w:val="8"/>
                    <w:pageBreakBefore w:val="0"/>
                    <w:widowControl w:val="0"/>
                    <w:kinsoku/>
                    <w:wordWrap/>
                    <w:overflowPunct/>
                    <w:topLinePunct w:val="0"/>
                    <w:autoSpaceDE/>
                    <w:autoSpaceDN/>
                    <w:bidi w:val="0"/>
                    <w:adjustRightInd/>
                    <w:spacing w:line="360" w:lineRule="exact"/>
                    <w:textAlignment w:val="auto"/>
                  </w:pPr>
                  <w:r>
                    <w:rPr>
                      <w:rFonts w:hint="eastAsia"/>
                    </w:rPr>
                    <w:t>统计查询</w:t>
                  </w:r>
                </w:p>
                <w:p w14:paraId="46C3DBFF">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患者在院期间的费用信息科通过系统查询，病区护士会根据医院管理规定在患者确定出院时打印清单数据用来核对费用以及特殊的保险报销使用，同时收费处也支持费用清单的查询，避免因时间差产生费用不一致的情况而要让患者再去寻求病区护士重新打印的烦恼。通过统计查询模块查看住院费用清单，允许以清单格式、每日清单、医保清单、未结算费用等维度进行清单数据查看和打印。</w:t>
                  </w:r>
                </w:p>
                <w:p w14:paraId="6EB0FC43">
                  <w:pPr>
                    <w:pStyle w:val="8"/>
                    <w:pageBreakBefore w:val="0"/>
                    <w:widowControl w:val="0"/>
                    <w:kinsoku/>
                    <w:wordWrap/>
                    <w:overflowPunct/>
                    <w:topLinePunct w:val="0"/>
                    <w:autoSpaceDE/>
                    <w:autoSpaceDN/>
                    <w:bidi w:val="0"/>
                    <w:adjustRightInd/>
                    <w:spacing w:line="360" w:lineRule="exact"/>
                    <w:textAlignment w:val="auto"/>
                  </w:pPr>
                  <w:r>
                    <w:rPr>
                      <w:rFonts w:hint="eastAsia"/>
                    </w:rPr>
                    <w:t>结账管理</w:t>
                  </w:r>
                </w:p>
                <w:p w14:paraId="17D15C15">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依据医院收费管理方式，在收费员交接班时需要对当日的工作进行结账，保证每日结账的准确性，有问题及时发现。住院结账管理包括当日患者预交金、入院患者预交金、在院患者各项费用、出院患者结账和退款等账务处理。</w:t>
                  </w:r>
                </w:p>
                <w:p w14:paraId="729B62D0">
                  <w:pPr>
                    <w:pageBreakBefore w:val="0"/>
                    <w:widowControl w:val="0"/>
                    <w:kinsoku/>
                    <w:wordWrap/>
                    <w:overflowPunct/>
                    <w:topLinePunct w:val="0"/>
                    <w:autoSpaceDE/>
                    <w:autoSpaceDN/>
                    <w:bidi w:val="0"/>
                    <w:adjustRightInd/>
                    <w:snapToGrid w:val="0"/>
                    <w:spacing w:line="360" w:lineRule="exact"/>
                    <w:textAlignment w:val="auto"/>
                    <w:rPr>
                      <w:b/>
                      <w:color w:val="000000"/>
                      <w:szCs w:val="21"/>
                    </w:rPr>
                  </w:pPr>
                  <w:r>
                    <w:rPr>
                      <w:rFonts w:hint="eastAsia"/>
                      <w:b/>
                      <w:color w:val="000000"/>
                      <w:szCs w:val="21"/>
                    </w:rPr>
                    <w:t>住院结账</w:t>
                  </w:r>
                </w:p>
                <w:p w14:paraId="01653855">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收费员在下班时通过住院结账模块能够查询到当日的账单收支，系统也支持通过定时服务进行每日自动结账，减少收费组长的结账工作量，在次日根据已结的数据进行对账。结账完成后由收费管理员进行审核，审核通过进行结账单打印存档。</w:t>
                  </w:r>
                </w:p>
                <w:p w14:paraId="1B1DE6DF">
                  <w:pPr>
                    <w:pageBreakBefore w:val="0"/>
                    <w:widowControl w:val="0"/>
                    <w:kinsoku/>
                    <w:wordWrap/>
                    <w:overflowPunct/>
                    <w:topLinePunct w:val="0"/>
                    <w:autoSpaceDE/>
                    <w:autoSpaceDN/>
                    <w:bidi w:val="0"/>
                    <w:adjustRightInd/>
                    <w:snapToGrid w:val="0"/>
                    <w:spacing w:line="360" w:lineRule="exact"/>
                    <w:textAlignment w:val="auto"/>
                    <w:rPr>
                      <w:b/>
                      <w:color w:val="000000"/>
                      <w:szCs w:val="21"/>
                    </w:rPr>
                  </w:pPr>
                  <w:r>
                    <w:rPr>
                      <w:rFonts w:hint="eastAsia"/>
                      <w:b/>
                      <w:color w:val="000000"/>
                      <w:szCs w:val="21"/>
                    </w:rPr>
                    <w:t>住院结账查询</w:t>
                  </w:r>
                </w:p>
                <w:p w14:paraId="039372C2">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住院结账查询主要是根据收费员查询结账单信息，收费处管理员通过结账单数据进行审核，审核通过即表示结账数据准确，进行结账单打印存档。</w:t>
                  </w:r>
                </w:p>
                <w:p w14:paraId="52E0D816">
                  <w:pPr>
                    <w:pStyle w:val="8"/>
                    <w:pageBreakBefore w:val="0"/>
                    <w:widowControl w:val="0"/>
                    <w:kinsoku/>
                    <w:wordWrap/>
                    <w:overflowPunct/>
                    <w:topLinePunct w:val="0"/>
                    <w:autoSpaceDE/>
                    <w:autoSpaceDN/>
                    <w:bidi w:val="0"/>
                    <w:adjustRightInd/>
                    <w:spacing w:line="360" w:lineRule="exact"/>
                    <w:textAlignment w:val="auto"/>
                  </w:pPr>
                  <w:r>
                    <w:rPr>
                      <w:rFonts w:hint="eastAsia"/>
                    </w:rPr>
                    <w:t>票据管理</w:t>
                  </w:r>
                </w:p>
                <w:p w14:paraId="7BBD7D6C">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医院针对住院的票据管理主要是发票和收据的管理领用，这两者的管理模块应用让纸质票据在系统中留存记录，便于后续工作的跟踪和掌控，在必要时刻也能够追溯每张发票的使用情况。</w:t>
                  </w:r>
                </w:p>
                <w:p w14:paraId="5E531E65">
                  <w:pPr>
                    <w:pageBreakBefore w:val="0"/>
                    <w:widowControl w:val="0"/>
                    <w:kinsoku/>
                    <w:wordWrap/>
                    <w:overflowPunct/>
                    <w:topLinePunct w:val="0"/>
                    <w:autoSpaceDE/>
                    <w:autoSpaceDN/>
                    <w:bidi w:val="0"/>
                    <w:adjustRightInd/>
                    <w:snapToGrid w:val="0"/>
                    <w:spacing w:line="360" w:lineRule="exact"/>
                    <w:textAlignment w:val="auto"/>
                    <w:rPr>
                      <w:b/>
                      <w:color w:val="000000"/>
                      <w:szCs w:val="21"/>
                    </w:rPr>
                  </w:pPr>
                  <w:r>
                    <w:rPr>
                      <w:b/>
                      <w:color w:val="000000"/>
                      <w:szCs w:val="21"/>
                    </w:rPr>
                    <w:t>1</w:t>
                  </w:r>
                  <w:r>
                    <w:rPr>
                      <w:rFonts w:hint="eastAsia"/>
                      <w:b/>
                      <w:color w:val="000000"/>
                      <w:szCs w:val="21"/>
                    </w:rPr>
                    <w:t>、住院收据管理</w:t>
                  </w:r>
                </w:p>
                <w:p w14:paraId="3767172B">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针对住院收据的出入库管理，财务通过财政局等渠道购买的收据录入到系统中，收费管理员领用库存收据后分发给各收费员，通过系统的有序管理，不仅让收据方便可追溯，也能够了解当前使用情况好及时采购和分发收据。</w:t>
                  </w:r>
                </w:p>
                <w:p w14:paraId="72B737DE">
                  <w:pPr>
                    <w:pageBreakBefore w:val="0"/>
                    <w:widowControl w:val="0"/>
                    <w:kinsoku/>
                    <w:wordWrap/>
                    <w:overflowPunct/>
                    <w:topLinePunct w:val="0"/>
                    <w:autoSpaceDE/>
                    <w:autoSpaceDN/>
                    <w:bidi w:val="0"/>
                    <w:adjustRightInd/>
                    <w:snapToGrid w:val="0"/>
                    <w:spacing w:line="360" w:lineRule="exact"/>
                    <w:textAlignment w:val="auto"/>
                    <w:rPr>
                      <w:b/>
                      <w:color w:val="000000"/>
                      <w:szCs w:val="21"/>
                    </w:rPr>
                  </w:pPr>
                  <w:r>
                    <w:rPr>
                      <w:b/>
                      <w:color w:val="000000"/>
                      <w:szCs w:val="21"/>
                    </w:rPr>
                    <w:t>2</w:t>
                  </w:r>
                  <w:r>
                    <w:rPr>
                      <w:rFonts w:hint="eastAsia"/>
                      <w:b/>
                      <w:color w:val="000000"/>
                      <w:szCs w:val="21"/>
                    </w:rPr>
                    <w:t>、住院收据领用</w:t>
                  </w:r>
                </w:p>
                <w:p w14:paraId="7B4E09DA">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收费处管理者通过财务部领取的收据分发给对应收费员，在系统中记录分发的人员及收据信息，这样更好管理收据存量情况。通过库存查询能够看到所有收据的领用情况以及当前库存情况信息，便于对收据起到管控效果。</w:t>
                  </w:r>
                </w:p>
                <w:p w14:paraId="4F86D24A">
                  <w:pPr>
                    <w:pageBreakBefore w:val="0"/>
                    <w:widowControl w:val="0"/>
                    <w:kinsoku/>
                    <w:wordWrap/>
                    <w:overflowPunct/>
                    <w:topLinePunct w:val="0"/>
                    <w:autoSpaceDE/>
                    <w:autoSpaceDN/>
                    <w:bidi w:val="0"/>
                    <w:adjustRightInd/>
                    <w:snapToGrid w:val="0"/>
                    <w:spacing w:line="360" w:lineRule="exact"/>
                    <w:textAlignment w:val="auto"/>
                    <w:rPr>
                      <w:b/>
                      <w:color w:val="000000"/>
                      <w:szCs w:val="21"/>
                    </w:rPr>
                  </w:pPr>
                  <w:r>
                    <w:rPr>
                      <w:b/>
                      <w:color w:val="000000"/>
                      <w:szCs w:val="21"/>
                    </w:rPr>
                    <w:t>3</w:t>
                  </w:r>
                  <w:r>
                    <w:rPr>
                      <w:rFonts w:hint="eastAsia"/>
                      <w:b/>
                      <w:color w:val="000000"/>
                      <w:szCs w:val="21"/>
                    </w:rPr>
                    <w:t>、住院发票管理</w:t>
                  </w:r>
                </w:p>
                <w:p w14:paraId="262A82F4">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针对住院发票的出入库管理，财务通过财政局等渠道购买的发票录入到系统中，收费管理员领用库存发票后分发给各收费员，通过系统的有序管理，不仅让发票方便可追溯，也能够了解当前使用情况好及时采购和分发发票。</w:t>
                  </w:r>
                </w:p>
                <w:p w14:paraId="31484AFA">
                  <w:pPr>
                    <w:pageBreakBefore w:val="0"/>
                    <w:widowControl w:val="0"/>
                    <w:kinsoku/>
                    <w:wordWrap/>
                    <w:overflowPunct/>
                    <w:topLinePunct w:val="0"/>
                    <w:autoSpaceDE/>
                    <w:autoSpaceDN/>
                    <w:bidi w:val="0"/>
                    <w:adjustRightInd/>
                    <w:snapToGrid w:val="0"/>
                    <w:spacing w:line="360" w:lineRule="exact"/>
                    <w:textAlignment w:val="auto"/>
                    <w:rPr>
                      <w:b/>
                      <w:color w:val="000000"/>
                      <w:szCs w:val="21"/>
                    </w:rPr>
                  </w:pPr>
                  <w:r>
                    <w:rPr>
                      <w:b/>
                      <w:color w:val="000000"/>
                      <w:szCs w:val="21"/>
                    </w:rPr>
                    <w:t>4</w:t>
                  </w:r>
                  <w:r>
                    <w:rPr>
                      <w:rFonts w:hint="eastAsia"/>
                      <w:b/>
                      <w:color w:val="000000"/>
                      <w:szCs w:val="21"/>
                    </w:rPr>
                    <w:t>、住院发票领用</w:t>
                  </w:r>
                </w:p>
                <w:p w14:paraId="7271E481">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收费处管理者通过财务部领取的发票分发给对应收费员，在系统中记录分发的人员及发票信息，这样更好管理发票存量情况。通过库存查询能够看到所有发票的领用情况以及当前库存情况信息，便于对发票起到管控效果。</w:t>
                  </w:r>
                </w:p>
                <w:p w14:paraId="4A4773AB">
                  <w:pPr>
                    <w:pageBreakBefore w:val="0"/>
                    <w:widowControl w:val="0"/>
                    <w:kinsoku/>
                    <w:wordWrap/>
                    <w:overflowPunct/>
                    <w:topLinePunct w:val="0"/>
                    <w:autoSpaceDE/>
                    <w:autoSpaceDN/>
                    <w:bidi w:val="0"/>
                    <w:adjustRightInd/>
                    <w:snapToGrid w:val="0"/>
                    <w:spacing w:line="360" w:lineRule="exact"/>
                    <w:textAlignment w:val="auto"/>
                    <w:rPr>
                      <w:b/>
                      <w:color w:val="000000"/>
                      <w:szCs w:val="21"/>
                    </w:rPr>
                  </w:pPr>
                  <w:r>
                    <w:rPr>
                      <w:b/>
                      <w:color w:val="000000"/>
                      <w:szCs w:val="21"/>
                    </w:rPr>
                    <w:t>5</w:t>
                  </w:r>
                  <w:r>
                    <w:rPr>
                      <w:rFonts w:hint="eastAsia"/>
                      <w:b/>
                      <w:color w:val="000000"/>
                      <w:szCs w:val="21"/>
                    </w:rPr>
                    <w:t>、票据查询</w:t>
                  </w:r>
                </w:p>
                <w:p w14:paraId="63D5E66F">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系统提供统一的票据查询，方便管理员或是财务清晰明了看到当前全院票据的使用情况以及调号作废等行为。财务在日常工作中对票据的管理和调整即可通过此模块一目了然，通过票据和收费员绑定，后续若产生问题时也能够更好追溯。</w:t>
                  </w:r>
                </w:p>
                <w:p w14:paraId="170DDF3A">
                  <w:pPr>
                    <w:pStyle w:val="7"/>
                    <w:pageBreakBefore w:val="0"/>
                    <w:widowControl w:val="0"/>
                    <w:kinsoku/>
                    <w:wordWrap/>
                    <w:overflowPunct/>
                    <w:topLinePunct w:val="0"/>
                    <w:autoSpaceDE/>
                    <w:autoSpaceDN/>
                    <w:bidi w:val="0"/>
                    <w:adjustRightInd/>
                    <w:spacing w:line="360" w:lineRule="exact"/>
                    <w:textAlignment w:val="auto"/>
                  </w:pPr>
                  <w:r>
                    <w:rPr>
                      <w:rFonts w:hint="eastAsia"/>
                    </w:rPr>
                    <w:t>住院入出转管理</w:t>
                  </w:r>
                </w:p>
                <w:p w14:paraId="37D676CB">
                  <w:pPr>
                    <w:pStyle w:val="131"/>
                    <w:pageBreakBefore w:val="0"/>
                    <w:widowControl w:val="0"/>
                    <w:kinsoku/>
                    <w:wordWrap/>
                    <w:overflowPunct/>
                    <w:topLinePunct w:val="0"/>
                    <w:autoSpaceDE/>
                    <w:autoSpaceDN/>
                    <w:bidi w:val="0"/>
                    <w:adjustRightInd/>
                    <w:spacing w:line="360" w:lineRule="exact"/>
                    <w:ind w:firstLine="0"/>
                    <w:textAlignment w:val="auto"/>
                    <w:rPr>
                      <w:rStyle w:val="60"/>
                      <w:sz w:val="24"/>
                      <w:szCs w:val="24"/>
                    </w:rPr>
                  </w:pPr>
                  <w:r>
                    <w:rPr>
                      <w:rFonts w:hint="eastAsia"/>
                    </w:rPr>
                    <w:t>系统支持门诊医生看诊时，对需要住院治疗的患者，开具住院单收入住院。患者按照预定入院时间，到医院窗口办理入院登记，护士站办理入科登记。患者治愈或者需要转院，由医生开具出院通知，在护士站办理出院。</w:t>
                  </w:r>
                </w:p>
                <w:p w14:paraId="7A7A61E6">
                  <w:pPr>
                    <w:pageBreakBefore w:val="0"/>
                    <w:widowControl w:val="0"/>
                    <w:kinsoku/>
                    <w:wordWrap/>
                    <w:overflowPunct/>
                    <w:topLinePunct w:val="0"/>
                    <w:autoSpaceDE/>
                    <w:autoSpaceDN/>
                    <w:bidi w:val="0"/>
                    <w:adjustRightInd/>
                    <w:snapToGrid w:val="0"/>
                    <w:spacing w:line="360" w:lineRule="exact"/>
                    <w:textAlignment w:val="auto"/>
                    <w:rPr>
                      <w:b/>
                      <w:color w:val="000000"/>
                      <w:szCs w:val="21"/>
                    </w:rPr>
                  </w:pPr>
                  <w:r>
                    <w:rPr>
                      <w:b/>
                      <w:color w:val="000000"/>
                      <w:szCs w:val="21"/>
                    </w:rPr>
                    <w:t>1</w:t>
                  </w:r>
                  <w:r>
                    <w:rPr>
                      <w:rFonts w:hint="eastAsia"/>
                      <w:b/>
                      <w:color w:val="000000"/>
                      <w:szCs w:val="21"/>
                    </w:rPr>
                    <w:t>、入院开单</w:t>
                  </w:r>
                </w:p>
                <w:p w14:paraId="446B82EC">
                  <w:pPr>
                    <w:pStyle w:val="131"/>
                    <w:pageBreakBefore w:val="0"/>
                    <w:widowControl w:val="0"/>
                    <w:kinsoku/>
                    <w:wordWrap/>
                    <w:overflowPunct/>
                    <w:topLinePunct w:val="0"/>
                    <w:autoSpaceDE/>
                    <w:autoSpaceDN/>
                    <w:bidi w:val="0"/>
                    <w:adjustRightInd/>
                    <w:spacing w:line="360" w:lineRule="exact"/>
                    <w:ind w:firstLine="0"/>
                    <w:textAlignment w:val="auto"/>
                    <w:rPr>
                      <w:rStyle w:val="60"/>
                      <w:sz w:val="24"/>
                      <w:szCs w:val="24"/>
                    </w:rPr>
                  </w:pPr>
                  <w:r>
                    <w:rPr>
                      <w:rFonts w:hint="eastAsia"/>
                    </w:rPr>
                    <w:t>医生门诊诊病时，如果该患者需要入院治疗，可以在诊病页面开具入院单，填写患者基本入院基本信息，陪护亲属信息，并查看病区床位使用情况，预估提醒入院时间，（具体入院时间由病区护士通知）。</w:t>
                  </w:r>
                </w:p>
                <w:p w14:paraId="18B1751F">
                  <w:pPr>
                    <w:pageBreakBefore w:val="0"/>
                    <w:widowControl w:val="0"/>
                    <w:kinsoku/>
                    <w:wordWrap/>
                    <w:overflowPunct/>
                    <w:topLinePunct w:val="0"/>
                    <w:autoSpaceDE/>
                    <w:autoSpaceDN/>
                    <w:bidi w:val="0"/>
                    <w:adjustRightInd/>
                    <w:snapToGrid w:val="0"/>
                    <w:spacing w:line="360" w:lineRule="exact"/>
                    <w:textAlignment w:val="auto"/>
                    <w:rPr>
                      <w:b/>
                      <w:color w:val="000000"/>
                      <w:szCs w:val="21"/>
                    </w:rPr>
                  </w:pPr>
                  <w:r>
                    <w:rPr>
                      <w:b/>
                      <w:color w:val="000000"/>
                      <w:szCs w:val="21"/>
                    </w:rPr>
                    <w:t>2</w:t>
                  </w:r>
                  <w:r>
                    <w:rPr>
                      <w:rFonts w:hint="eastAsia"/>
                      <w:b/>
                      <w:color w:val="000000"/>
                      <w:szCs w:val="21"/>
                    </w:rPr>
                    <w:t>、入院管理</w:t>
                  </w:r>
                </w:p>
                <w:p w14:paraId="5A8FD5AB">
                  <w:pPr>
                    <w:pStyle w:val="131"/>
                    <w:pageBreakBefore w:val="0"/>
                    <w:widowControl w:val="0"/>
                    <w:kinsoku/>
                    <w:wordWrap/>
                    <w:overflowPunct/>
                    <w:topLinePunct w:val="0"/>
                    <w:autoSpaceDE/>
                    <w:autoSpaceDN/>
                    <w:bidi w:val="0"/>
                    <w:adjustRightInd/>
                    <w:spacing w:line="360" w:lineRule="exact"/>
                    <w:ind w:firstLine="0"/>
                    <w:textAlignment w:val="auto"/>
                  </w:pPr>
                  <w:r>
                    <w:t>1.</w:t>
                  </w:r>
                  <w:r>
                    <w:rPr>
                      <w:rFonts w:hint="eastAsia"/>
                    </w:rPr>
                    <w:t>患者首先需要在窗口办理入院登记，登记住院信息，病人基本信息，大部分信息均由系统自动代入，窗口工作人员只需要补充其中的部分信息，例如预交金缴纳金额，保证窗口工作效率。</w:t>
                  </w:r>
                </w:p>
                <w:p w14:paraId="71AB4135">
                  <w:pPr>
                    <w:pStyle w:val="131"/>
                    <w:pageBreakBefore w:val="0"/>
                    <w:widowControl w:val="0"/>
                    <w:kinsoku/>
                    <w:wordWrap/>
                    <w:overflowPunct/>
                    <w:topLinePunct w:val="0"/>
                    <w:autoSpaceDE/>
                    <w:autoSpaceDN/>
                    <w:bidi w:val="0"/>
                    <w:adjustRightInd/>
                    <w:spacing w:line="360" w:lineRule="exact"/>
                    <w:ind w:firstLine="0"/>
                    <w:textAlignment w:val="auto"/>
                  </w:pPr>
                  <w:r>
                    <w:t>2.</w:t>
                  </w:r>
                  <w:r>
                    <w:rPr>
                      <w:rFonts w:hint="eastAsia"/>
                    </w:rPr>
                    <w:t>入院登记后，患者因为某些原因不想办理入院的，系统也支持取消这部分患者入院</w:t>
                  </w:r>
                </w:p>
                <w:p w14:paraId="24E0888A">
                  <w:pPr>
                    <w:pStyle w:val="131"/>
                    <w:pageBreakBefore w:val="0"/>
                    <w:widowControl w:val="0"/>
                    <w:kinsoku/>
                    <w:wordWrap/>
                    <w:overflowPunct/>
                    <w:topLinePunct w:val="0"/>
                    <w:autoSpaceDE/>
                    <w:autoSpaceDN/>
                    <w:bidi w:val="0"/>
                    <w:adjustRightInd/>
                    <w:spacing w:line="360" w:lineRule="exact"/>
                    <w:ind w:firstLine="0"/>
                    <w:textAlignment w:val="auto"/>
                  </w:pPr>
                  <w:r>
                    <w:t>3.</w:t>
                  </w:r>
                  <w:r>
                    <w:rPr>
                      <w:rFonts w:hint="eastAsia"/>
                    </w:rPr>
                    <w:t>患者入院登记办理后，即可到病区办理入科，护士登记患者主管医生、护士、床位等信息，并进行入科宣教，实现流程化入科办理</w:t>
                  </w:r>
                </w:p>
                <w:p w14:paraId="79611D28">
                  <w:pPr>
                    <w:pageBreakBefore w:val="0"/>
                    <w:widowControl w:val="0"/>
                    <w:kinsoku/>
                    <w:wordWrap/>
                    <w:overflowPunct/>
                    <w:topLinePunct w:val="0"/>
                    <w:autoSpaceDE/>
                    <w:autoSpaceDN/>
                    <w:bidi w:val="0"/>
                    <w:adjustRightInd/>
                    <w:snapToGrid w:val="0"/>
                    <w:spacing w:line="360" w:lineRule="exact"/>
                    <w:textAlignment w:val="auto"/>
                    <w:rPr>
                      <w:b/>
                      <w:color w:val="000000"/>
                      <w:szCs w:val="21"/>
                    </w:rPr>
                  </w:pPr>
                  <w:r>
                    <w:rPr>
                      <w:b/>
                      <w:color w:val="000000"/>
                      <w:szCs w:val="21"/>
                    </w:rPr>
                    <w:t>3</w:t>
                  </w:r>
                  <w:r>
                    <w:rPr>
                      <w:rFonts w:hint="eastAsia"/>
                      <w:b/>
                      <w:color w:val="000000"/>
                      <w:szCs w:val="21"/>
                    </w:rPr>
                    <w:t>、出院管理</w:t>
                  </w:r>
                </w:p>
                <w:p w14:paraId="34C46882">
                  <w:pPr>
                    <w:pStyle w:val="131"/>
                    <w:pageBreakBefore w:val="0"/>
                    <w:widowControl w:val="0"/>
                    <w:kinsoku/>
                    <w:wordWrap/>
                    <w:overflowPunct/>
                    <w:topLinePunct w:val="0"/>
                    <w:autoSpaceDE/>
                    <w:autoSpaceDN/>
                    <w:bidi w:val="0"/>
                    <w:adjustRightInd/>
                    <w:spacing w:line="360" w:lineRule="exact"/>
                    <w:ind w:firstLine="0"/>
                    <w:textAlignment w:val="auto"/>
                  </w:pPr>
                  <w:r>
                    <w:rPr>
                      <w:rFonts w:hint="eastAsia"/>
                    </w:rPr>
                    <w:t>出院前，护士通过出院页面，对患者住院期间的事项进行一一核对，查看是否有未扣费项目、是否有未退药品或者费用、医嘱是否都已执行停止等，通过统一的页面审核、处理待出院患者医嘱、药品、费用等信息，提高护士办理出院效率。</w:t>
                  </w:r>
                </w:p>
              </w:tc>
            </w:tr>
            <w:tr w14:paraId="2EF5F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14:paraId="40968034">
                  <w:pPr>
                    <w:pStyle w:val="6"/>
                    <w:numPr>
                      <w:ilvl w:val="0"/>
                      <w:numId w:val="0"/>
                    </w:numPr>
                    <w:tabs>
                      <w:tab w:val="left" w:pos="420"/>
                    </w:tabs>
                    <w:rPr>
                      <w:sz w:val="21"/>
                      <w:szCs w:val="21"/>
                    </w:rPr>
                  </w:pPr>
                  <w:r>
                    <w:rPr>
                      <w:rFonts w:hint="eastAsia"/>
                      <w:sz w:val="21"/>
                      <w:szCs w:val="21"/>
                    </w:rPr>
                    <w:t>运维管理</w:t>
                  </w:r>
                </w:p>
                <w:p w14:paraId="65B338A1">
                  <w:pPr>
                    <w:rPr>
                      <w:b/>
                      <w:color w:val="000000"/>
                      <w:sz w:val="20"/>
                      <w:szCs w:val="20"/>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7B6729D4">
                  <w:pPr>
                    <w:jc w:val="center"/>
                  </w:pPr>
                  <w:r>
                    <w:rPr>
                      <w:rFonts w:hint="eastAsia"/>
                      <w:color w:val="000000"/>
                      <w:sz w:val="20"/>
                      <w:szCs w:val="20"/>
                      <w:lang w:val="en-US" w:eastAsia="zh-CN"/>
                    </w:rPr>
                    <w:t>/</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0CA91CAE">
                  <w:pPr>
                    <w:pageBreakBefore w:val="0"/>
                    <w:widowControl w:val="0"/>
                    <w:kinsoku/>
                    <w:wordWrap/>
                    <w:overflowPunct/>
                    <w:topLinePunct w:val="0"/>
                    <w:autoSpaceDE/>
                    <w:autoSpaceDN/>
                    <w:bidi w:val="0"/>
                    <w:adjustRightInd/>
                    <w:snapToGrid/>
                    <w:spacing w:line="360" w:lineRule="exact"/>
                    <w:jc w:val="center"/>
                    <w:textAlignment w:val="auto"/>
                    <w:rPr>
                      <w:color w:val="000000"/>
                      <w:sz w:val="20"/>
                      <w:szCs w:val="20"/>
                    </w:rPr>
                  </w:pPr>
                  <w:r>
                    <w:rPr>
                      <w:rFonts w:hint="eastAsia"/>
                      <w:lang w:val="en-US" w:eastAsia="zh-CN"/>
                    </w:rPr>
                    <w:t>/</w:t>
                  </w:r>
                </w:p>
              </w:tc>
              <w:tc>
                <w:tcPr>
                  <w:tcW w:w="7748" w:type="dxa"/>
                  <w:tcBorders>
                    <w:top w:val="single" w:color="auto" w:sz="4" w:space="0"/>
                    <w:left w:val="single" w:color="auto" w:sz="4" w:space="0"/>
                    <w:bottom w:val="single" w:color="auto" w:sz="4" w:space="0"/>
                    <w:right w:val="single" w:color="auto" w:sz="4" w:space="0"/>
                  </w:tcBorders>
                  <w:noWrap/>
                  <w:vAlign w:val="center"/>
                </w:tcPr>
                <w:p w14:paraId="3A6914F4">
                  <w:pPr>
                    <w:pStyle w:val="6"/>
                    <w:pageBreakBefore w:val="0"/>
                    <w:widowControl w:val="0"/>
                    <w:numPr>
                      <w:ilvl w:val="0"/>
                      <w:numId w:val="0"/>
                    </w:numPr>
                    <w:tabs>
                      <w:tab w:val="left" w:pos="420"/>
                    </w:tabs>
                    <w:kinsoku/>
                    <w:wordWrap/>
                    <w:overflowPunct/>
                    <w:topLinePunct w:val="0"/>
                    <w:autoSpaceDE/>
                    <w:autoSpaceDN/>
                    <w:bidi w:val="0"/>
                    <w:adjustRightInd/>
                    <w:snapToGrid/>
                    <w:spacing w:line="360" w:lineRule="exact"/>
                    <w:textAlignment w:val="auto"/>
                  </w:pPr>
                  <w:r>
                    <w:rPr>
                      <w:rFonts w:hint="eastAsia"/>
                    </w:rPr>
                    <w:t>一、运维管理</w:t>
                  </w:r>
                </w:p>
                <w:p w14:paraId="75E7F818">
                  <w:pPr>
                    <w:pStyle w:val="6"/>
                    <w:pageBreakBefore w:val="0"/>
                    <w:widowControl w:val="0"/>
                    <w:numPr>
                      <w:ilvl w:val="0"/>
                      <w:numId w:val="0"/>
                    </w:numPr>
                    <w:tabs>
                      <w:tab w:val="left" w:pos="420"/>
                    </w:tabs>
                    <w:kinsoku/>
                    <w:wordWrap/>
                    <w:overflowPunct/>
                    <w:topLinePunct w:val="0"/>
                    <w:autoSpaceDE/>
                    <w:autoSpaceDN/>
                    <w:bidi w:val="0"/>
                    <w:adjustRightInd/>
                    <w:snapToGrid/>
                    <w:spacing w:line="360" w:lineRule="exact"/>
                    <w:textAlignment w:val="auto"/>
                    <w:rPr>
                      <w:sz w:val="24"/>
                      <w:szCs w:val="22"/>
                    </w:rPr>
                  </w:pPr>
                  <w:r>
                    <w:rPr>
                      <w:rFonts w:hint="eastAsia"/>
                      <w:sz w:val="24"/>
                      <w:szCs w:val="22"/>
                    </w:rPr>
                    <w:t>业务应用</w:t>
                  </w:r>
                </w:p>
                <w:p w14:paraId="0A48413B">
                  <w:pPr>
                    <w:pStyle w:val="7"/>
                    <w:pageBreakBefore w:val="0"/>
                    <w:widowControl w:val="0"/>
                    <w:kinsoku/>
                    <w:wordWrap/>
                    <w:overflowPunct/>
                    <w:topLinePunct w:val="0"/>
                    <w:autoSpaceDE/>
                    <w:autoSpaceDN/>
                    <w:bidi w:val="0"/>
                    <w:adjustRightInd/>
                    <w:snapToGrid/>
                    <w:spacing w:line="360" w:lineRule="exact"/>
                    <w:textAlignment w:val="auto"/>
                    <w:rPr>
                      <w:sz w:val="21"/>
                    </w:rPr>
                  </w:pPr>
                  <w:r>
                    <w:rPr>
                      <w:rFonts w:hint="eastAsia"/>
                    </w:rPr>
                    <w:t>医院综合查询报表系统</w:t>
                  </w:r>
                </w:p>
                <w:p w14:paraId="7A1D312A">
                  <w:pPr>
                    <w:pStyle w:val="131"/>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医院综合查询报表系统包含以下功能：</w:t>
                  </w:r>
                </w:p>
                <w:p w14:paraId="0F5BBCE5">
                  <w:pPr>
                    <w:pStyle w:val="131"/>
                    <w:pageBreakBefore w:val="0"/>
                    <w:widowControl w:val="0"/>
                    <w:kinsoku/>
                    <w:wordWrap/>
                    <w:overflowPunct/>
                    <w:topLinePunct w:val="0"/>
                    <w:autoSpaceDE/>
                    <w:autoSpaceDN/>
                    <w:bidi w:val="0"/>
                    <w:adjustRightInd/>
                    <w:snapToGrid/>
                    <w:spacing w:line="360" w:lineRule="exact"/>
                    <w:ind w:firstLine="0"/>
                    <w:textAlignment w:val="auto"/>
                  </w:pPr>
                  <w:r>
                    <w:t>1.</w:t>
                  </w:r>
                  <w:r>
                    <w:rPr>
                      <w:rFonts w:hint="eastAsia"/>
                    </w:rPr>
                    <w:t>支持可视化报表制作，可根据医院要求定制各类统计查询报表。</w:t>
                  </w:r>
                </w:p>
                <w:p w14:paraId="1B49C85E">
                  <w:pPr>
                    <w:pStyle w:val="131"/>
                    <w:pageBreakBefore w:val="0"/>
                    <w:widowControl w:val="0"/>
                    <w:kinsoku/>
                    <w:wordWrap/>
                    <w:overflowPunct/>
                    <w:topLinePunct w:val="0"/>
                    <w:autoSpaceDE/>
                    <w:autoSpaceDN/>
                    <w:bidi w:val="0"/>
                    <w:adjustRightInd/>
                    <w:snapToGrid/>
                    <w:spacing w:line="360" w:lineRule="exact"/>
                    <w:ind w:firstLine="0"/>
                    <w:textAlignment w:val="auto"/>
                  </w:pPr>
                  <w:r>
                    <w:t>2.</w:t>
                  </w:r>
                  <w:r>
                    <w:rPr>
                      <w:rFonts w:hint="eastAsia"/>
                    </w:rPr>
                    <w:t>可按角色、用户等多种方式对报表进行授权。</w:t>
                  </w:r>
                </w:p>
                <w:p w14:paraId="2FD92F1C">
                  <w:pPr>
                    <w:pStyle w:val="131"/>
                    <w:pageBreakBefore w:val="0"/>
                    <w:widowControl w:val="0"/>
                    <w:kinsoku/>
                    <w:wordWrap/>
                    <w:overflowPunct/>
                    <w:topLinePunct w:val="0"/>
                    <w:autoSpaceDE/>
                    <w:autoSpaceDN/>
                    <w:bidi w:val="0"/>
                    <w:adjustRightInd/>
                    <w:snapToGrid/>
                    <w:spacing w:line="360" w:lineRule="exact"/>
                    <w:ind w:firstLine="0"/>
                    <w:textAlignment w:val="auto"/>
                  </w:pPr>
                  <w:r>
                    <w:t>3.</w:t>
                  </w:r>
                  <w:r>
                    <w:rPr>
                      <w:rFonts w:hint="eastAsia"/>
                    </w:rPr>
                    <w:t>提供报表检索日志记录功能。</w:t>
                  </w:r>
                </w:p>
                <w:p w14:paraId="3B8F2B4C">
                  <w:pPr>
                    <w:pStyle w:val="131"/>
                    <w:pageBreakBefore w:val="0"/>
                    <w:widowControl w:val="0"/>
                    <w:kinsoku/>
                    <w:wordWrap/>
                    <w:overflowPunct/>
                    <w:topLinePunct w:val="0"/>
                    <w:autoSpaceDE/>
                    <w:autoSpaceDN/>
                    <w:bidi w:val="0"/>
                    <w:adjustRightInd/>
                    <w:snapToGrid/>
                    <w:spacing w:line="360" w:lineRule="exact"/>
                    <w:ind w:firstLine="0"/>
                    <w:textAlignment w:val="auto"/>
                  </w:pPr>
                  <w:r>
                    <w:t>4.</w:t>
                  </w:r>
                  <w:r>
                    <w:rPr>
                      <w:rFonts w:hint="eastAsia"/>
                    </w:rPr>
                    <w:t>支持报表备注记录功能。</w:t>
                  </w:r>
                </w:p>
                <w:p w14:paraId="62BD468D">
                  <w:pPr>
                    <w:pStyle w:val="131"/>
                    <w:pageBreakBefore w:val="0"/>
                    <w:widowControl w:val="0"/>
                    <w:kinsoku/>
                    <w:wordWrap/>
                    <w:overflowPunct/>
                    <w:topLinePunct w:val="0"/>
                    <w:autoSpaceDE/>
                    <w:autoSpaceDN/>
                    <w:bidi w:val="0"/>
                    <w:adjustRightInd/>
                    <w:snapToGrid/>
                    <w:spacing w:line="360" w:lineRule="exact"/>
                    <w:ind w:firstLine="0"/>
                    <w:textAlignment w:val="auto"/>
                  </w:pPr>
                  <w:r>
                    <w:t>5.</w:t>
                  </w:r>
                  <w:r>
                    <w:rPr>
                      <w:rFonts w:hint="eastAsia"/>
                    </w:rPr>
                    <w:t>支持报表的导入导出作废功能。</w:t>
                  </w:r>
                </w:p>
                <w:p w14:paraId="297B27C7">
                  <w:pPr>
                    <w:pStyle w:val="131"/>
                    <w:pageBreakBefore w:val="0"/>
                    <w:widowControl w:val="0"/>
                    <w:kinsoku/>
                    <w:wordWrap/>
                    <w:overflowPunct/>
                    <w:topLinePunct w:val="0"/>
                    <w:autoSpaceDE/>
                    <w:autoSpaceDN/>
                    <w:bidi w:val="0"/>
                    <w:adjustRightInd/>
                    <w:snapToGrid/>
                    <w:spacing w:line="360" w:lineRule="exact"/>
                    <w:ind w:firstLine="0"/>
                    <w:textAlignment w:val="auto"/>
                  </w:pPr>
                  <w:r>
                    <w:t>6.</w:t>
                  </w:r>
                  <w:r>
                    <w:rPr>
                      <w:rFonts w:hint="eastAsia"/>
                    </w:rPr>
                    <w:t>支持报表数据的排序、检索、过滤、导出功能。</w:t>
                  </w:r>
                </w:p>
                <w:p w14:paraId="649B0E6F">
                  <w:pPr>
                    <w:pStyle w:val="131"/>
                    <w:pageBreakBefore w:val="0"/>
                    <w:widowControl w:val="0"/>
                    <w:kinsoku/>
                    <w:wordWrap/>
                    <w:overflowPunct/>
                    <w:topLinePunct w:val="0"/>
                    <w:autoSpaceDE/>
                    <w:autoSpaceDN/>
                    <w:bidi w:val="0"/>
                    <w:adjustRightInd/>
                    <w:snapToGrid/>
                    <w:spacing w:line="360" w:lineRule="exact"/>
                    <w:ind w:firstLine="0"/>
                    <w:textAlignment w:val="auto"/>
                  </w:pPr>
                  <w:r>
                    <w:t>7.</w:t>
                  </w:r>
                  <w:r>
                    <w:rPr>
                      <w:rFonts w:hint="eastAsia"/>
                    </w:rPr>
                    <w:t>提供医院业务情况、资源利用、医疗质量、工作效率等各方面统计报表。</w:t>
                  </w:r>
                </w:p>
                <w:p w14:paraId="3E877EFC">
                  <w:pPr>
                    <w:pStyle w:val="6"/>
                    <w:pageBreakBefore w:val="0"/>
                    <w:widowControl w:val="0"/>
                    <w:numPr>
                      <w:ilvl w:val="0"/>
                      <w:numId w:val="0"/>
                    </w:numPr>
                    <w:tabs>
                      <w:tab w:val="left" w:pos="420"/>
                    </w:tabs>
                    <w:kinsoku/>
                    <w:wordWrap/>
                    <w:overflowPunct/>
                    <w:topLinePunct w:val="0"/>
                    <w:autoSpaceDE/>
                    <w:autoSpaceDN/>
                    <w:bidi w:val="0"/>
                    <w:adjustRightInd/>
                    <w:snapToGrid/>
                    <w:spacing w:line="360" w:lineRule="exact"/>
                    <w:textAlignment w:val="auto"/>
                    <w:rPr>
                      <w:sz w:val="24"/>
                      <w:szCs w:val="22"/>
                    </w:rPr>
                  </w:pPr>
                  <w:r>
                    <w:rPr>
                      <w:rFonts w:hint="eastAsia"/>
                      <w:sz w:val="24"/>
                      <w:szCs w:val="22"/>
                    </w:rPr>
                    <w:t>运维管理</w:t>
                  </w:r>
                </w:p>
                <w:p w14:paraId="5702CDC6">
                  <w:pPr>
                    <w:pStyle w:val="7"/>
                    <w:pageBreakBefore w:val="0"/>
                    <w:widowControl w:val="0"/>
                    <w:kinsoku/>
                    <w:wordWrap/>
                    <w:overflowPunct/>
                    <w:topLinePunct w:val="0"/>
                    <w:autoSpaceDE/>
                    <w:autoSpaceDN/>
                    <w:bidi w:val="0"/>
                    <w:adjustRightInd/>
                    <w:snapToGrid/>
                    <w:spacing w:line="360" w:lineRule="exact"/>
                    <w:textAlignment w:val="auto"/>
                    <w:rPr>
                      <w:sz w:val="21"/>
                    </w:rPr>
                  </w:pPr>
                  <w:r>
                    <w:rPr>
                      <w:rFonts w:hint="eastAsia"/>
                    </w:rPr>
                    <w:t>实施管理系统</w:t>
                  </w:r>
                </w:p>
                <w:p w14:paraId="1145E514">
                  <w:pPr>
                    <w:pStyle w:val="131"/>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对系统的安全和扩展负责，</w:t>
                  </w:r>
                  <w:r>
                    <w:rPr>
                      <w:rFonts w:hint="eastAsia"/>
                      <w:lang w:val="en-US" w:eastAsia="zh-CN"/>
                    </w:rPr>
                    <w:t>提</w:t>
                  </w:r>
                  <w:r>
                    <w:rPr>
                      <w:rFonts w:hint="eastAsia"/>
                    </w:rPr>
                    <w:t>供可视化的安装、卸载、升级、版本管理、人员角色管理、权限管理等功能，系统配置的安全备份与恢复，系统字典表的维护与维护授权，系统运行模式、系统参数的配置与调整，系统运行状态的监控与干预；重大的业务扩展（增加部门、增加费别等），各类资源（员工、药品、部门、单据等）的管理与授权。</w:t>
                  </w:r>
                </w:p>
                <w:p w14:paraId="1EC35778">
                  <w:pPr>
                    <w:pStyle w:val="131"/>
                    <w:pageBreakBefore w:val="0"/>
                    <w:widowControl w:val="0"/>
                    <w:kinsoku/>
                    <w:wordWrap/>
                    <w:overflowPunct/>
                    <w:topLinePunct w:val="0"/>
                    <w:autoSpaceDE/>
                    <w:autoSpaceDN/>
                    <w:bidi w:val="0"/>
                    <w:adjustRightInd/>
                    <w:snapToGrid/>
                    <w:spacing w:line="360" w:lineRule="exact"/>
                    <w:ind w:firstLine="0"/>
                    <w:textAlignment w:val="auto"/>
                  </w:pPr>
                  <w:r>
                    <w:t>1</w:t>
                  </w:r>
                  <w:r>
                    <w:rPr>
                      <w:rFonts w:hint="eastAsia"/>
                    </w:rPr>
                    <w:t>、提供可视化的安装、卸载、升级功能</w:t>
                  </w:r>
                </w:p>
                <w:p w14:paraId="64E37947">
                  <w:pPr>
                    <w:pStyle w:val="131"/>
                    <w:pageBreakBefore w:val="0"/>
                    <w:widowControl w:val="0"/>
                    <w:kinsoku/>
                    <w:wordWrap/>
                    <w:overflowPunct/>
                    <w:topLinePunct w:val="0"/>
                    <w:autoSpaceDE/>
                    <w:autoSpaceDN/>
                    <w:bidi w:val="0"/>
                    <w:adjustRightInd/>
                    <w:snapToGrid/>
                    <w:spacing w:line="360" w:lineRule="exact"/>
                    <w:ind w:firstLine="0"/>
                    <w:textAlignment w:val="auto"/>
                  </w:pPr>
                  <w:r>
                    <w:t>2</w:t>
                  </w:r>
                  <w:r>
                    <w:rPr>
                      <w:rFonts w:hint="eastAsia"/>
                    </w:rPr>
                    <w:t>、有完备的系统版本管理功能，方便医院技术人员进行软件版本管理。</w:t>
                  </w:r>
                </w:p>
                <w:p w14:paraId="32E87E69">
                  <w:pPr>
                    <w:pStyle w:val="131"/>
                    <w:pageBreakBefore w:val="0"/>
                    <w:widowControl w:val="0"/>
                    <w:kinsoku/>
                    <w:wordWrap/>
                    <w:overflowPunct/>
                    <w:topLinePunct w:val="0"/>
                    <w:autoSpaceDE/>
                    <w:autoSpaceDN/>
                    <w:bidi w:val="0"/>
                    <w:adjustRightInd/>
                    <w:snapToGrid/>
                    <w:spacing w:line="360" w:lineRule="exact"/>
                    <w:ind w:firstLine="0"/>
                    <w:textAlignment w:val="auto"/>
                  </w:pPr>
                  <w:r>
                    <w:t>3</w:t>
                  </w:r>
                  <w:r>
                    <w:rPr>
                      <w:rFonts w:hint="eastAsia"/>
                    </w:rPr>
                    <w:t>、支持查看授权用户的信息及应用授权模块。</w:t>
                  </w:r>
                </w:p>
                <w:p w14:paraId="75E88BE6">
                  <w:pPr>
                    <w:pStyle w:val="131"/>
                    <w:pageBreakBefore w:val="0"/>
                    <w:widowControl w:val="0"/>
                    <w:kinsoku/>
                    <w:wordWrap/>
                    <w:overflowPunct/>
                    <w:topLinePunct w:val="0"/>
                    <w:autoSpaceDE/>
                    <w:autoSpaceDN/>
                    <w:bidi w:val="0"/>
                    <w:adjustRightInd/>
                    <w:snapToGrid/>
                    <w:spacing w:line="360" w:lineRule="exact"/>
                    <w:ind w:firstLine="0"/>
                    <w:textAlignment w:val="auto"/>
                  </w:pPr>
                  <w:r>
                    <w:t>4</w:t>
                  </w:r>
                  <w:r>
                    <w:rPr>
                      <w:rFonts w:hint="eastAsia"/>
                    </w:rPr>
                    <w:t>、可设置实现各个工作站的自动升级。可实现对各个工作站的运行控制，对各个站点进行增加、删除、修改及禁止运行等控制。</w:t>
                  </w:r>
                </w:p>
                <w:p w14:paraId="644D9817">
                  <w:pPr>
                    <w:pStyle w:val="131"/>
                    <w:pageBreakBefore w:val="0"/>
                    <w:widowControl w:val="0"/>
                    <w:kinsoku/>
                    <w:wordWrap/>
                    <w:overflowPunct/>
                    <w:topLinePunct w:val="0"/>
                    <w:autoSpaceDE/>
                    <w:autoSpaceDN/>
                    <w:bidi w:val="0"/>
                    <w:adjustRightInd/>
                    <w:snapToGrid/>
                    <w:spacing w:line="360" w:lineRule="exact"/>
                    <w:ind w:firstLine="0"/>
                    <w:textAlignment w:val="auto"/>
                  </w:pPr>
                  <w:r>
                    <w:t>5</w:t>
                  </w:r>
                  <w:r>
                    <w:rPr>
                      <w:rFonts w:hint="eastAsia"/>
                    </w:rPr>
                    <w:t>、提供对人员角色的分配、用户授权、及菜单重组功能，系统按人员的工作性质进行角色分配，再进一步进行批量授权，在人员性质改变的情况下，只需集中对角色进行重新授权即可，提高人员权限的可控性。</w:t>
                  </w:r>
                </w:p>
                <w:p w14:paraId="55193F3A">
                  <w:pPr>
                    <w:pStyle w:val="131"/>
                    <w:pageBreakBefore w:val="0"/>
                    <w:widowControl w:val="0"/>
                    <w:kinsoku/>
                    <w:wordWrap/>
                    <w:overflowPunct/>
                    <w:topLinePunct w:val="0"/>
                    <w:autoSpaceDE/>
                    <w:autoSpaceDN/>
                    <w:bidi w:val="0"/>
                    <w:adjustRightInd/>
                    <w:snapToGrid/>
                    <w:spacing w:line="360" w:lineRule="exact"/>
                    <w:ind w:firstLine="0"/>
                    <w:textAlignment w:val="auto"/>
                  </w:pPr>
                  <w:r>
                    <w:t>6</w:t>
                  </w:r>
                  <w:r>
                    <w:rPr>
                      <w:rFonts w:hint="eastAsia"/>
                    </w:rPr>
                    <w:t>、提供自定义报表向导功能，系统管理员在系统向导的指导下可独自完成自定义报表的定制。</w:t>
                  </w:r>
                </w:p>
                <w:p w14:paraId="202246BD">
                  <w:pPr>
                    <w:pStyle w:val="131"/>
                    <w:pageBreakBefore w:val="0"/>
                    <w:widowControl w:val="0"/>
                    <w:kinsoku/>
                    <w:wordWrap/>
                    <w:overflowPunct/>
                    <w:topLinePunct w:val="0"/>
                    <w:autoSpaceDE/>
                    <w:autoSpaceDN/>
                    <w:bidi w:val="0"/>
                    <w:adjustRightInd/>
                    <w:snapToGrid/>
                    <w:spacing w:line="360" w:lineRule="exact"/>
                    <w:ind w:firstLine="0"/>
                    <w:textAlignment w:val="auto"/>
                  </w:pPr>
                  <w:r>
                    <w:t>7</w:t>
                  </w:r>
                  <w:r>
                    <w:rPr>
                      <w:rFonts w:hint="eastAsia"/>
                    </w:rPr>
                    <w:t>、系统管理员可根据应用需要，实现对应用系统的任意数据提取。</w:t>
                  </w:r>
                </w:p>
                <w:p w14:paraId="6E1162C6">
                  <w:pPr>
                    <w:pStyle w:val="131"/>
                    <w:pageBreakBefore w:val="0"/>
                    <w:widowControl w:val="0"/>
                    <w:kinsoku/>
                    <w:wordWrap/>
                    <w:overflowPunct/>
                    <w:topLinePunct w:val="0"/>
                    <w:autoSpaceDE/>
                    <w:autoSpaceDN/>
                    <w:bidi w:val="0"/>
                    <w:adjustRightInd/>
                    <w:snapToGrid/>
                    <w:spacing w:line="360" w:lineRule="exact"/>
                    <w:ind w:firstLine="0"/>
                    <w:textAlignment w:val="auto"/>
                  </w:pPr>
                  <w:r>
                    <w:t>8</w:t>
                  </w:r>
                  <w:r>
                    <w:rPr>
                      <w:rFonts w:hint="eastAsia"/>
                    </w:rPr>
                    <w:t>、基础参数管理能：包括票据管理参数控制、自动计算参数控制、记帐报警参数控制、操作权限参数控制、单据操作参数控制、药品流向参数控制、库存检查参数控制等功能，能满足医院应用模式的变化，通过参数调整即可完成医院应用模式的调整。</w:t>
                  </w:r>
                </w:p>
                <w:p w14:paraId="2C90FE53">
                  <w:pPr>
                    <w:pStyle w:val="131"/>
                    <w:pageBreakBefore w:val="0"/>
                    <w:widowControl w:val="0"/>
                    <w:kinsoku/>
                    <w:wordWrap/>
                    <w:overflowPunct/>
                    <w:topLinePunct w:val="0"/>
                    <w:autoSpaceDE/>
                    <w:autoSpaceDN/>
                    <w:bidi w:val="0"/>
                    <w:adjustRightInd/>
                    <w:snapToGrid/>
                    <w:spacing w:line="360" w:lineRule="exact"/>
                    <w:ind w:firstLine="0"/>
                    <w:textAlignment w:val="auto"/>
                  </w:pPr>
                  <w:r>
                    <w:t>9</w:t>
                  </w:r>
                  <w:r>
                    <w:rPr>
                      <w:rFonts w:hint="eastAsia"/>
                    </w:rPr>
                    <w:t>、数据字典管理：包括国家标准数据字典、行业标准数据字典、地方标准数据字典和用户数据字典等标准数据，需符合我国法律、法规、规章及有关规定。</w:t>
                  </w:r>
                </w:p>
                <w:p w14:paraId="01766FDF">
                  <w:pPr>
                    <w:pStyle w:val="131"/>
                    <w:pageBreakBefore w:val="0"/>
                    <w:widowControl w:val="0"/>
                    <w:kinsoku/>
                    <w:wordWrap/>
                    <w:overflowPunct/>
                    <w:topLinePunct w:val="0"/>
                    <w:autoSpaceDE/>
                    <w:autoSpaceDN/>
                    <w:bidi w:val="0"/>
                    <w:adjustRightInd/>
                    <w:snapToGrid/>
                    <w:spacing w:line="360" w:lineRule="exact"/>
                    <w:ind w:firstLine="0"/>
                    <w:textAlignment w:val="auto"/>
                  </w:pPr>
                  <w:r>
                    <w:t>10</w:t>
                  </w:r>
                  <w:r>
                    <w:rPr>
                      <w:rFonts w:hint="eastAsia"/>
                    </w:rPr>
                    <w:t>、收费项目拼音、五笔简码的自动生成，最大程度满足所有使用者的需求差异。</w:t>
                  </w:r>
                </w:p>
                <w:p w14:paraId="37A03C18">
                  <w:pPr>
                    <w:pStyle w:val="131"/>
                    <w:pageBreakBefore w:val="0"/>
                    <w:widowControl w:val="0"/>
                    <w:kinsoku/>
                    <w:wordWrap/>
                    <w:overflowPunct/>
                    <w:topLinePunct w:val="0"/>
                    <w:autoSpaceDE/>
                    <w:autoSpaceDN/>
                    <w:bidi w:val="0"/>
                    <w:adjustRightInd/>
                    <w:snapToGrid/>
                    <w:spacing w:line="360" w:lineRule="exact"/>
                    <w:ind w:firstLine="0"/>
                    <w:textAlignment w:val="auto"/>
                  </w:pPr>
                  <w:r>
                    <w:t>11</w:t>
                  </w:r>
                  <w:r>
                    <w:rPr>
                      <w:rFonts w:hint="eastAsia"/>
                    </w:rPr>
                    <w:t>、密码安全管理：</w:t>
                  </w:r>
                </w:p>
                <w:p w14:paraId="5B79C441">
                  <w:pPr>
                    <w:pStyle w:val="131"/>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统一对数据库的超级管理员以及该数据库的用户进行密码管理（需具有超级管理员权限）。</w:t>
                  </w:r>
                </w:p>
                <w:p w14:paraId="4190508C">
                  <w:pPr>
                    <w:pStyle w:val="131"/>
                    <w:pageBreakBefore w:val="0"/>
                    <w:widowControl w:val="0"/>
                    <w:kinsoku/>
                    <w:wordWrap/>
                    <w:overflowPunct/>
                    <w:topLinePunct w:val="0"/>
                    <w:autoSpaceDE/>
                    <w:autoSpaceDN/>
                    <w:bidi w:val="0"/>
                    <w:adjustRightInd/>
                    <w:snapToGrid/>
                    <w:spacing w:line="360" w:lineRule="exact"/>
                    <w:ind w:firstLine="0"/>
                    <w:textAlignment w:val="auto"/>
                  </w:pPr>
                  <w:r>
                    <w:t>12</w:t>
                  </w:r>
                  <w:r>
                    <w:rPr>
                      <w:rFonts w:hint="eastAsia"/>
                    </w:rPr>
                    <w:t>、操作日志管理。</w:t>
                  </w:r>
                </w:p>
                <w:p w14:paraId="031A94CA">
                  <w:pPr>
                    <w:pStyle w:val="7"/>
                    <w:pageBreakBefore w:val="0"/>
                    <w:widowControl w:val="0"/>
                    <w:kinsoku/>
                    <w:wordWrap/>
                    <w:overflowPunct/>
                    <w:topLinePunct w:val="0"/>
                    <w:autoSpaceDE/>
                    <w:autoSpaceDN/>
                    <w:bidi w:val="0"/>
                    <w:adjustRightInd/>
                    <w:snapToGrid/>
                    <w:spacing w:line="360" w:lineRule="exact"/>
                    <w:textAlignment w:val="auto"/>
                  </w:pPr>
                  <w:r>
                    <w:rPr>
                      <w:rFonts w:hint="eastAsia"/>
                    </w:rPr>
                    <w:t>配置管理系统</w:t>
                  </w:r>
                </w:p>
                <w:p w14:paraId="07215A39">
                  <w:pPr>
                    <w:pStyle w:val="131"/>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支持保证系统正常运行基本条件的配置，包含系统参数管理、数据字典管理、系统菜单管理、系统提示内容配置、缓存配置、定时器配置。</w:t>
                  </w:r>
                </w:p>
                <w:p w14:paraId="64B103E6">
                  <w:pPr>
                    <w:pStyle w:val="8"/>
                    <w:pageBreakBefore w:val="0"/>
                    <w:widowControl w:val="0"/>
                    <w:kinsoku/>
                    <w:wordWrap/>
                    <w:overflowPunct/>
                    <w:topLinePunct w:val="0"/>
                    <w:autoSpaceDE/>
                    <w:autoSpaceDN/>
                    <w:bidi w:val="0"/>
                    <w:adjustRightInd/>
                    <w:snapToGrid/>
                    <w:spacing w:line="360" w:lineRule="exact"/>
                    <w:textAlignment w:val="auto"/>
                  </w:pPr>
                  <w:r>
                    <w:rPr>
                      <w:rFonts w:hint="eastAsia"/>
                    </w:rPr>
                    <w:t>系统参数管理</w:t>
                  </w:r>
                </w:p>
                <w:p w14:paraId="000DCA74">
                  <w:pPr>
                    <w:pStyle w:val="131"/>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支持对系统业务流程控制类、系统业务判断类、系统业务入参类等业务运行参数的管理，能满足医院业务流程的变化，不需要修改程序，通过手工修改参数值即可完成医院应用模式的调整。</w:t>
                  </w:r>
                </w:p>
                <w:p w14:paraId="64A9C259">
                  <w:pPr>
                    <w:pStyle w:val="131"/>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可配置参数的生效范围，范围分为：全局参数、院区参数、个人参数。全局参数作用于所有用户和科室，默认生效。院区参数可将参数分发给对应科室，参数只在对应科室生效。个人参数可将参数分发给某个用户，参数只对某个登陆用户生效。</w:t>
                  </w:r>
                </w:p>
                <w:p w14:paraId="6B328155">
                  <w:pPr>
                    <w:pStyle w:val="8"/>
                    <w:pageBreakBefore w:val="0"/>
                    <w:widowControl w:val="0"/>
                    <w:kinsoku/>
                    <w:wordWrap/>
                    <w:overflowPunct/>
                    <w:topLinePunct w:val="0"/>
                    <w:autoSpaceDE/>
                    <w:autoSpaceDN/>
                    <w:bidi w:val="0"/>
                    <w:adjustRightInd/>
                    <w:snapToGrid/>
                    <w:spacing w:line="360" w:lineRule="exact"/>
                    <w:textAlignment w:val="auto"/>
                  </w:pPr>
                  <w:r>
                    <w:rPr>
                      <w:rFonts w:hint="eastAsia"/>
                    </w:rPr>
                    <w:t>数据字典管理</w:t>
                  </w:r>
                </w:p>
                <w:p w14:paraId="6400531C">
                  <w:pPr>
                    <w:pStyle w:val="131"/>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支持对业务数据字典内容进行可视化维护，可以按照字典分类查看字典所有内容，可以直接在界面修改字典内容以及增加内容，支持从外部</w:t>
                  </w:r>
                  <w:r>
                    <w:t>Excle</w:t>
                  </w:r>
                  <w:r>
                    <w:rPr>
                      <w:rFonts w:hint="eastAsia"/>
                    </w:rPr>
                    <w:t>文件等导入字典内容进系统。</w:t>
                  </w:r>
                </w:p>
                <w:p w14:paraId="5F88CCE1">
                  <w:pPr>
                    <w:pStyle w:val="8"/>
                    <w:pageBreakBefore w:val="0"/>
                    <w:widowControl w:val="0"/>
                    <w:kinsoku/>
                    <w:wordWrap/>
                    <w:overflowPunct/>
                    <w:topLinePunct w:val="0"/>
                    <w:autoSpaceDE/>
                    <w:autoSpaceDN/>
                    <w:bidi w:val="0"/>
                    <w:adjustRightInd/>
                    <w:snapToGrid/>
                    <w:spacing w:line="360" w:lineRule="exact"/>
                    <w:textAlignment w:val="auto"/>
                  </w:pPr>
                  <w:r>
                    <w:rPr>
                      <w:rFonts w:hint="eastAsia"/>
                    </w:rPr>
                    <w:t>系统菜单管理</w:t>
                  </w:r>
                </w:p>
                <w:p w14:paraId="5500350A">
                  <w:pPr>
                    <w:pStyle w:val="131"/>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支持对系统菜单统一进行管理，可新增、修改、删除菜单，可对菜单的使用权限进行统一分发和授权，可对菜单里具体页面内容进行配置管理。</w:t>
                  </w:r>
                </w:p>
                <w:p w14:paraId="59A3EFBA">
                  <w:pPr>
                    <w:pStyle w:val="131"/>
                    <w:pageBreakBefore w:val="0"/>
                    <w:widowControl w:val="0"/>
                    <w:kinsoku/>
                    <w:wordWrap/>
                    <w:overflowPunct/>
                    <w:topLinePunct w:val="0"/>
                    <w:autoSpaceDE/>
                    <w:autoSpaceDN/>
                    <w:bidi w:val="0"/>
                    <w:adjustRightInd/>
                    <w:snapToGrid/>
                    <w:spacing w:line="360" w:lineRule="exact"/>
                    <w:ind w:firstLine="0"/>
                    <w:textAlignment w:val="auto"/>
                  </w:pPr>
                  <w:r>
                    <w:t>1.</w:t>
                  </w:r>
                  <w:r>
                    <w:rPr>
                      <w:rFonts w:hint="eastAsia"/>
                    </w:rPr>
                    <w:t>按照系统分类展示对应系统下所有菜单，可在对应系统菜单类别下面增加子类别和菜单，可设置菜单的名称、类别、图标、快捷键以及菜单的地址链接，可对菜单显示位置进行显示顺序设置。</w:t>
                  </w:r>
                </w:p>
                <w:p w14:paraId="270B381E">
                  <w:pPr>
                    <w:pStyle w:val="131"/>
                    <w:pageBreakBefore w:val="0"/>
                    <w:widowControl w:val="0"/>
                    <w:kinsoku/>
                    <w:wordWrap/>
                    <w:overflowPunct/>
                    <w:topLinePunct w:val="0"/>
                    <w:autoSpaceDE/>
                    <w:autoSpaceDN/>
                    <w:bidi w:val="0"/>
                    <w:adjustRightInd/>
                    <w:snapToGrid/>
                    <w:spacing w:line="360" w:lineRule="exact"/>
                    <w:ind w:firstLine="0"/>
                    <w:textAlignment w:val="auto"/>
                  </w:pPr>
                  <w:r>
                    <w:t>2.</w:t>
                  </w:r>
                  <w:r>
                    <w:rPr>
                      <w:rFonts w:hint="eastAsia"/>
                    </w:rPr>
                    <w:t>支持将系统菜单分发给不同的角色以及科室，对应角色登陆对应科室后即可使用分发的菜单（需要同时分发角色和科室），支持批量分发以及权限收回。</w:t>
                  </w:r>
                </w:p>
                <w:p w14:paraId="3CEF1F04">
                  <w:pPr>
                    <w:pStyle w:val="131"/>
                    <w:pageBreakBefore w:val="0"/>
                    <w:widowControl w:val="0"/>
                    <w:kinsoku/>
                    <w:wordWrap/>
                    <w:overflowPunct/>
                    <w:topLinePunct w:val="0"/>
                    <w:autoSpaceDE/>
                    <w:autoSpaceDN/>
                    <w:bidi w:val="0"/>
                    <w:adjustRightInd/>
                    <w:snapToGrid/>
                    <w:spacing w:line="360" w:lineRule="exact"/>
                    <w:ind w:firstLine="0"/>
                    <w:textAlignment w:val="auto"/>
                  </w:pPr>
                  <w:r>
                    <w:t>3.</w:t>
                  </w:r>
                  <w:r>
                    <w:rPr>
                      <w:rFonts w:hint="eastAsia"/>
                    </w:rPr>
                    <w:t>支持对菜单里的具体页面进行显示控制和默认值设置，可设置页面按钮或者子页面的显示隐藏状态，可设置页面文本控件的默认值，可设置页面或者控件的功能描述。</w:t>
                  </w:r>
                </w:p>
                <w:p w14:paraId="7F502989">
                  <w:pPr>
                    <w:pStyle w:val="131"/>
                    <w:pageBreakBefore w:val="0"/>
                    <w:widowControl w:val="0"/>
                    <w:kinsoku/>
                    <w:wordWrap/>
                    <w:overflowPunct/>
                    <w:topLinePunct w:val="0"/>
                    <w:autoSpaceDE/>
                    <w:autoSpaceDN/>
                    <w:bidi w:val="0"/>
                    <w:adjustRightInd/>
                    <w:snapToGrid/>
                    <w:spacing w:line="360" w:lineRule="exact"/>
                    <w:ind w:firstLine="0"/>
                    <w:textAlignment w:val="auto"/>
                  </w:pPr>
                  <w:r>
                    <w:t>4.</w:t>
                  </w:r>
                  <w:r>
                    <w:rPr>
                      <w:rFonts w:hint="eastAsia"/>
                    </w:rPr>
                    <w:t>支持菜单下页面里的快捷键设置，系统将页面按钮、表单等控件加载出来，根据控件</w:t>
                  </w:r>
                  <w:r>
                    <w:t>ID</w:t>
                  </w:r>
                  <w:r>
                    <w:rPr>
                      <w:rFonts w:hint="eastAsia"/>
                    </w:rPr>
                    <w:t>逐一设置使用控件时的快捷键，设置完成后用户在使用对应页面时，可通用使用快捷键进行全键盘操作。</w:t>
                  </w:r>
                </w:p>
                <w:p w14:paraId="72DC023D">
                  <w:pPr>
                    <w:pStyle w:val="8"/>
                    <w:pageBreakBefore w:val="0"/>
                    <w:widowControl w:val="0"/>
                    <w:kinsoku/>
                    <w:wordWrap/>
                    <w:overflowPunct/>
                    <w:topLinePunct w:val="0"/>
                    <w:autoSpaceDE/>
                    <w:autoSpaceDN/>
                    <w:bidi w:val="0"/>
                    <w:adjustRightInd/>
                    <w:snapToGrid/>
                    <w:spacing w:line="360" w:lineRule="exact"/>
                    <w:textAlignment w:val="auto"/>
                  </w:pPr>
                  <w:r>
                    <w:rPr>
                      <w:rFonts w:hint="eastAsia"/>
                    </w:rPr>
                    <w:t>系统提示内容配置</w:t>
                  </w:r>
                </w:p>
                <w:p w14:paraId="082F0529">
                  <w:pPr>
                    <w:pStyle w:val="131"/>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系统内置了各类提示语内容，维护人员可根据医院需求在原内容上修改提示语，不用修改程序，无需发布即可生效。</w:t>
                  </w:r>
                </w:p>
                <w:p w14:paraId="1B1820D1">
                  <w:pPr>
                    <w:pStyle w:val="8"/>
                    <w:pageBreakBefore w:val="0"/>
                    <w:widowControl w:val="0"/>
                    <w:kinsoku/>
                    <w:wordWrap/>
                    <w:overflowPunct/>
                    <w:topLinePunct w:val="0"/>
                    <w:autoSpaceDE/>
                    <w:autoSpaceDN/>
                    <w:bidi w:val="0"/>
                    <w:adjustRightInd/>
                    <w:snapToGrid/>
                    <w:spacing w:line="360" w:lineRule="exact"/>
                    <w:textAlignment w:val="auto"/>
                  </w:pPr>
                  <w:r>
                    <w:rPr>
                      <w:rFonts w:hint="eastAsia"/>
                    </w:rPr>
                    <w:t>定时器配置</w:t>
                  </w:r>
                </w:p>
                <w:p w14:paraId="14CEEAB1">
                  <w:pPr>
                    <w:pStyle w:val="131"/>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系统可使用定时器在指定时间内对实时性要求不高且需要批量处理的业务进行定时执行，可避开系统运行的高峰期，保证系统稳定性。</w:t>
                  </w:r>
                </w:p>
                <w:p w14:paraId="4FECBF86">
                  <w:pPr>
                    <w:pStyle w:val="131"/>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配置系统支持对定时执行的任务的开启时间、执行频率、执行业务内容进行配置，可以对定时器进行增删改管理、定时器开启关闭管理、查看定时器运行状态、定时器配置的修改日志以及定时器的执行日志，并支持将失败的执行任务进行补执行。</w:t>
                  </w:r>
                </w:p>
                <w:p w14:paraId="7DCA086A">
                  <w:pPr>
                    <w:pStyle w:val="8"/>
                    <w:pageBreakBefore w:val="0"/>
                    <w:widowControl w:val="0"/>
                    <w:kinsoku/>
                    <w:wordWrap/>
                    <w:overflowPunct/>
                    <w:topLinePunct w:val="0"/>
                    <w:autoSpaceDE/>
                    <w:autoSpaceDN/>
                    <w:bidi w:val="0"/>
                    <w:adjustRightInd/>
                    <w:snapToGrid/>
                    <w:spacing w:line="360" w:lineRule="exact"/>
                    <w:textAlignment w:val="auto"/>
                  </w:pPr>
                  <w:r>
                    <w:rPr>
                      <w:rFonts w:hint="eastAsia"/>
                    </w:rPr>
                    <w:t>模板平台</w:t>
                  </w:r>
                </w:p>
                <w:p w14:paraId="1415955F">
                  <w:pPr>
                    <w:pStyle w:val="131"/>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根据相关政策和标准规范的要求，提供高质量的结构化电子病历模板制作与管理的功能。</w:t>
                  </w:r>
                </w:p>
                <w:p w14:paraId="6B8B80B4">
                  <w:pPr>
                    <w:pStyle w:val="9"/>
                    <w:pageBreakBefore w:val="0"/>
                    <w:widowControl w:val="0"/>
                    <w:kinsoku/>
                    <w:wordWrap/>
                    <w:overflowPunct/>
                    <w:topLinePunct w:val="0"/>
                    <w:autoSpaceDE/>
                    <w:autoSpaceDN/>
                    <w:bidi w:val="0"/>
                    <w:adjustRightInd/>
                    <w:snapToGrid/>
                    <w:spacing w:line="360" w:lineRule="exact"/>
                    <w:textAlignment w:val="auto"/>
                  </w:pPr>
                  <w:r>
                    <w:rPr>
                      <w:rFonts w:hint="eastAsia"/>
                    </w:rPr>
                    <w:t>数据元管理</w:t>
                  </w:r>
                </w:p>
                <w:p w14:paraId="2A69FFA1">
                  <w:pPr>
                    <w:pStyle w:val="131"/>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能够对数据元进行统一管理，病历模板使用一套数据元，保证数据一致性。</w:t>
                  </w:r>
                </w:p>
                <w:p w14:paraId="4F467746">
                  <w:pPr>
                    <w:pStyle w:val="131"/>
                    <w:pageBreakBefore w:val="0"/>
                    <w:widowControl w:val="0"/>
                    <w:kinsoku/>
                    <w:wordWrap/>
                    <w:overflowPunct/>
                    <w:topLinePunct w:val="0"/>
                    <w:autoSpaceDE/>
                    <w:autoSpaceDN/>
                    <w:bidi w:val="0"/>
                    <w:adjustRightInd/>
                    <w:snapToGrid/>
                    <w:spacing w:line="360" w:lineRule="exact"/>
                    <w:ind w:firstLine="0"/>
                    <w:textAlignment w:val="auto"/>
                    <w:rPr>
                      <w:rFonts w:hint="eastAsia" w:eastAsia="宋体"/>
                      <w:lang w:val="en-US" w:eastAsia="zh-CN"/>
                    </w:rPr>
                  </w:pPr>
                  <w:r>
                    <w:rPr>
                      <w:rFonts w:hint="eastAsia"/>
                    </w:rPr>
                    <w:t>数据元分为国家标准数据元和自定义数据元，国家标准依据《电子病历临床文档基础模板数据集标准（试行）》创建，自定义数据元在国家标准上进行扩展。数据元管理主要</w:t>
                  </w:r>
                  <w:r>
                    <w:rPr>
                      <w:rFonts w:hint="eastAsia"/>
                      <w:lang w:val="en-US" w:eastAsia="zh-CN"/>
                    </w:rPr>
                    <w:t>包括：</w:t>
                  </w:r>
                </w:p>
                <w:p w14:paraId="67598CF0">
                  <w:pPr>
                    <w:pStyle w:val="131"/>
                    <w:pageBreakBefore w:val="0"/>
                    <w:widowControl w:val="0"/>
                    <w:kinsoku/>
                    <w:wordWrap/>
                    <w:overflowPunct/>
                    <w:topLinePunct w:val="0"/>
                    <w:autoSpaceDE/>
                    <w:autoSpaceDN/>
                    <w:bidi w:val="0"/>
                    <w:adjustRightInd/>
                    <w:snapToGrid/>
                    <w:spacing w:line="360" w:lineRule="exact"/>
                    <w:ind w:firstLine="0"/>
                    <w:textAlignment w:val="auto"/>
                  </w:pPr>
                  <w:r>
                    <w:t>1.</w:t>
                  </w:r>
                  <w:r>
                    <w:rPr>
                      <w:rFonts w:hint="eastAsia"/>
                    </w:rPr>
                    <w:t>支持设置数据元的基本属性和数据数据属性，包含：数据元标准</w:t>
                  </w:r>
                  <w:r>
                    <w:t>ID</w:t>
                  </w:r>
                  <w:r>
                    <w:rPr>
                      <w:rFonts w:hint="eastAsia"/>
                    </w:rPr>
                    <w:t>、名称、数据是否解析、数据来源等。</w:t>
                  </w:r>
                </w:p>
                <w:p w14:paraId="5974E02E">
                  <w:pPr>
                    <w:pStyle w:val="131"/>
                    <w:pageBreakBefore w:val="0"/>
                    <w:widowControl w:val="0"/>
                    <w:kinsoku/>
                    <w:wordWrap/>
                    <w:overflowPunct/>
                    <w:topLinePunct w:val="0"/>
                    <w:autoSpaceDE/>
                    <w:autoSpaceDN/>
                    <w:bidi w:val="0"/>
                    <w:adjustRightInd/>
                    <w:snapToGrid/>
                    <w:spacing w:line="360" w:lineRule="exact"/>
                    <w:ind w:firstLine="0"/>
                    <w:textAlignment w:val="auto"/>
                  </w:pPr>
                  <w:r>
                    <w:t>2.</w:t>
                  </w:r>
                  <w:r>
                    <w:rPr>
                      <w:rFonts w:hint="eastAsia"/>
                    </w:rPr>
                    <w:t>支持在标准数据元外新增自定义的数据元，数据元属性同标准数据元一样设置。</w:t>
                  </w:r>
                </w:p>
                <w:p w14:paraId="414BC26D">
                  <w:pPr>
                    <w:pStyle w:val="131"/>
                    <w:pageBreakBefore w:val="0"/>
                    <w:widowControl w:val="0"/>
                    <w:kinsoku/>
                    <w:wordWrap/>
                    <w:overflowPunct/>
                    <w:topLinePunct w:val="0"/>
                    <w:autoSpaceDE/>
                    <w:autoSpaceDN/>
                    <w:bidi w:val="0"/>
                    <w:adjustRightInd/>
                    <w:snapToGrid/>
                    <w:spacing w:line="360" w:lineRule="exact"/>
                    <w:ind w:firstLine="0"/>
                    <w:textAlignment w:val="auto"/>
                  </w:pPr>
                  <w:r>
                    <w:t>3.</w:t>
                  </w:r>
                  <w:r>
                    <w:rPr>
                      <w:rFonts w:hint="eastAsia"/>
                    </w:rPr>
                    <w:t>支持数据元的批量导出和导入。</w:t>
                  </w:r>
                </w:p>
                <w:p w14:paraId="176ADCA1">
                  <w:pPr>
                    <w:pStyle w:val="9"/>
                    <w:pageBreakBefore w:val="0"/>
                    <w:widowControl w:val="0"/>
                    <w:kinsoku/>
                    <w:wordWrap/>
                    <w:overflowPunct/>
                    <w:topLinePunct w:val="0"/>
                    <w:autoSpaceDE/>
                    <w:autoSpaceDN/>
                    <w:bidi w:val="0"/>
                    <w:adjustRightInd/>
                    <w:snapToGrid/>
                    <w:spacing w:line="360" w:lineRule="exact"/>
                    <w:textAlignment w:val="auto"/>
                  </w:pPr>
                  <w:r>
                    <w:rPr>
                      <w:rFonts w:hint="eastAsia"/>
                    </w:rPr>
                    <w:t>模板制作</w:t>
                  </w:r>
                </w:p>
                <w:p w14:paraId="4D6BBB43">
                  <w:pPr>
                    <w:pStyle w:val="131"/>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提供模板制作工具，能够根据医院病历要求制作出对应电子病历模板，包含以下功能：</w:t>
                  </w:r>
                </w:p>
                <w:p w14:paraId="1F372695">
                  <w:pPr>
                    <w:pStyle w:val="131"/>
                    <w:pageBreakBefore w:val="0"/>
                    <w:widowControl w:val="0"/>
                    <w:kinsoku/>
                    <w:wordWrap/>
                    <w:overflowPunct/>
                    <w:topLinePunct w:val="0"/>
                    <w:autoSpaceDE/>
                    <w:autoSpaceDN/>
                    <w:bidi w:val="0"/>
                    <w:adjustRightInd/>
                    <w:snapToGrid/>
                    <w:spacing w:line="360" w:lineRule="exact"/>
                    <w:ind w:firstLine="0"/>
                    <w:textAlignment w:val="auto"/>
                  </w:pPr>
                  <w:r>
                    <w:t>1.</w:t>
                  </w:r>
                  <w:r>
                    <w:rPr>
                      <w:rFonts w:hint="eastAsia"/>
                    </w:rPr>
                    <w:t>提供文本编辑器，能够满足文本编辑（字体、样式、表格</w:t>
                  </w:r>
                  <w:r>
                    <w:t>…</w:t>
                  </w:r>
                  <w:r>
                    <w:rPr>
                      <w:rFonts w:hint="eastAsia"/>
                    </w:rPr>
                    <w:t>）要求。</w:t>
                  </w:r>
                </w:p>
                <w:p w14:paraId="0CE5C5C7">
                  <w:pPr>
                    <w:pStyle w:val="131"/>
                    <w:pageBreakBefore w:val="0"/>
                    <w:widowControl w:val="0"/>
                    <w:kinsoku/>
                    <w:wordWrap/>
                    <w:overflowPunct/>
                    <w:topLinePunct w:val="0"/>
                    <w:autoSpaceDE/>
                    <w:autoSpaceDN/>
                    <w:bidi w:val="0"/>
                    <w:adjustRightInd/>
                    <w:snapToGrid/>
                    <w:spacing w:line="360" w:lineRule="exact"/>
                    <w:ind w:firstLine="0"/>
                    <w:textAlignment w:val="auto"/>
                  </w:pPr>
                  <w:r>
                    <w:t>2.</w:t>
                  </w:r>
                  <w:r>
                    <w:rPr>
                      <w:rFonts w:hint="eastAsia"/>
                    </w:rPr>
                    <w:t>支持使用数据元制作结构化模板。</w:t>
                  </w:r>
                </w:p>
                <w:p w14:paraId="52A245FE">
                  <w:pPr>
                    <w:pStyle w:val="131"/>
                    <w:pageBreakBefore w:val="0"/>
                    <w:widowControl w:val="0"/>
                    <w:kinsoku/>
                    <w:wordWrap/>
                    <w:overflowPunct/>
                    <w:topLinePunct w:val="0"/>
                    <w:autoSpaceDE/>
                    <w:autoSpaceDN/>
                    <w:bidi w:val="0"/>
                    <w:adjustRightInd/>
                    <w:snapToGrid/>
                    <w:spacing w:line="360" w:lineRule="exact"/>
                    <w:ind w:firstLine="0"/>
                    <w:textAlignment w:val="auto"/>
                  </w:pPr>
                  <w:r>
                    <w:t>3.</w:t>
                  </w:r>
                  <w:r>
                    <w:rPr>
                      <w:rFonts w:hint="eastAsia"/>
                    </w:rPr>
                    <w:t>支持模板里数据元解析配置，满足病历结构化数据存储要求。</w:t>
                  </w:r>
                </w:p>
                <w:p w14:paraId="21D53C7A">
                  <w:pPr>
                    <w:pStyle w:val="131"/>
                    <w:pageBreakBefore w:val="0"/>
                    <w:widowControl w:val="0"/>
                    <w:kinsoku/>
                    <w:wordWrap/>
                    <w:overflowPunct/>
                    <w:topLinePunct w:val="0"/>
                    <w:autoSpaceDE/>
                    <w:autoSpaceDN/>
                    <w:bidi w:val="0"/>
                    <w:adjustRightInd/>
                    <w:snapToGrid/>
                    <w:spacing w:line="360" w:lineRule="exact"/>
                    <w:ind w:firstLine="0"/>
                    <w:textAlignment w:val="auto"/>
                  </w:pPr>
                  <w:r>
                    <w:t>4.</w:t>
                  </w:r>
                  <w:r>
                    <w:rPr>
                      <w:rFonts w:hint="eastAsia"/>
                    </w:rPr>
                    <w:t>支持月经表达式、视野表达式等医学表达式插入。</w:t>
                  </w:r>
                </w:p>
                <w:p w14:paraId="7C4DD6B2">
                  <w:pPr>
                    <w:pStyle w:val="131"/>
                    <w:pageBreakBefore w:val="0"/>
                    <w:widowControl w:val="0"/>
                    <w:kinsoku/>
                    <w:wordWrap/>
                    <w:overflowPunct/>
                    <w:topLinePunct w:val="0"/>
                    <w:autoSpaceDE/>
                    <w:autoSpaceDN/>
                    <w:bidi w:val="0"/>
                    <w:adjustRightInd/>
                    <w:snapToGrid/>
                    <w:spacing w:line="360" w:lineRule="exact"/>
                    <w:ind w:firstLine="0"/>
                    <w:textAlignment w:val="auto"/>
                  </w:pPr>
                  <w:r>
                    <w:t>5.</w:t>
                  </w:r>
                  <w:r>
                    <w:rPr>
                      <w:rFonts w:hint="eastAsia"/>
                    </w:rPr>
                    <w:t>支持使用文档段快速插入内容到模板。</w:t>
                  </w:r>
                </w:p>
                <w:p w14:paraId="517BA4C9">
                  <w:pPr>
                    <w:pStyle w:val="131"/>
                    <w:pageBreakBefore w:val="0"/>
                    <w:widowControl w:val="0"/>
                    <w:kinsoku/>
                    <w:wordWrap/>
                    <w:overflowPunct/>
                    <w:topLinePunct w:val="0"/>
                    <w:autoSpaceDE/>
                    <w:autoSpaceDN/>
                    <w:bidi w:val="0"/>
                    <w:adjustRightInd/>
                    <w:snapToGrid/>
                    <w:spacing w:line="360" w:lineRule="exact"/>
                    <w:ind w:firstLine="0"/>
                    <w:textAlignment w:val="auto"/>
                  </w:pPr>
                  <w:r>
                    <w:t>6.</w:t>
                  </w:r>
                  <w:r>
                    <w:rPr>
                      <w:rFonts w:hint="eastAsia"/>
                    </w:rPr>
                    <w:t>支持模板设置隐私属性，设置了隐私部分录入内容后，再打开为</w:t>
                  </w:r>
                  <w:r>
                    <w:t>***</w:t>
                  </w:r>
                  <w:r>
                    <w:rPr>
                      <w:rFonts w:hint="eastAsia"/>
                    </w:rPr>
                    <w:t>。</w:t>
                  </w:r>
                </w:p>
                <w:p w14:paraId="75B52187">
                  <w:pPr>
                    <w:pStyle w:val="131"/>
                    <w:pageBreakBefore w:val="0"/>
                    <w:widowControl w:val="0"/>
                    <w:kinsoku/>
                    <w:wordWrap/>
                    <w:overflowPunct/>
                    <w:topLinePunct w:val="0"/>
                    <w:autoSpaceDE/>
                    <w:autoSpaceDN/>
                    <w:bidi w:val="0"/>
                    <w:adjustRightInd/>
                    <w:snapToGrid/>
                    <w:spacing w:line="360" w:lineRule="exact"/>
                    <w:ind w:firstLine="0"/>
                    <w:textAlignment w:val="auto"/>
                  </w:pPr>
                  <w:r>
                    <w:t>7.</w:t>
                  </w:r>
                  <w:r>
                    <w:rPr>
                      <w:rFonts w:hint="eastAsia"/>
                    </w:rPr>
                    <w:t>支持按照角色设置内容的书写权限，例如同一份模板医生护士都可写，可控制哪部分为医生写，哪部分为护士书写。</w:t>
                  </w:r>
                </w:p>
                <w:p w14:paraId="1AD8EBE0">
                  <w:pPr>
                    <w:pStyle w:val="9"/>
                    <w:pageBreakBefore w:val="0"/>
                    <w:widowControl w:val="0"/>
                    <w:kinsoku/>
                    <w:wordWrap/>
                    <w:overflowPunct/>
                    <w:topLinePunct w:val="0"/>
                    <w:autoSpaceDE/>
                    <w:autoSpaceDN/>
                    <w:bidi w:val="0"/>
                    <w:adjustRightInd/>
                    <w:snapToGrid/>
                    <w:spacing w:line="360" w:lineRule="exact"/>
                    <w:textAlignment w:val="auto"/>
                  </w:pPr>
                  <w:r>
                    <w:rPr>
                      <w:rFonts w:hint="eastAsia"/>
                    </w:rPr>
                    <w:t>模板管理</w:t>
                  </w:r>
                </w:p>
                <w:p w14:paraId="56B273E7">
                  <w:pPr>
                    <w:pStyle w:val="131"/>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支持对制作完成的模板进行使用权限管理，主要包含以下：</w:t>
                  </w:r>
                </w:p>
                <w:p w14:paraId="389805E6">
                  <w:pPr>
                    <w:pStyle w:val="131"/>
                    <w:pageBreakBefore w:val="0"/>
                    <w:widowControl w:val="0"/>
                    <w:kinsoku/>
                    <w:wordWrap/>
                    <w:overflowPunct/>
                    <w:topLinePunct w:val="0"/>
                    <w:autoSpaceDE/>
                    <w:autoSpaceDN/>
                    <w:bidi w:val="0"/>
                    <w:adjustRightInd/>
                    <w:snapToGrid/>
                    <w:spacing w:line="360" w:lineRule="exact"/>
                    <w:ind w:firstLine="0"/>
                    <w:textAlignment w:val="auto"/>
                  </w:pPr>
                  <w:r>
                    <w:t>1.</w:t>
                  </w:r>
                  <w:r>
                    <w:rPr>
                      <w:rFonts w:hint="eastAsia"/>
                    </w:rPr>
                    <w:t>支持将模板分发给需要使用的科室。</w:t>
                  </w:r>
                </w:p>
                <w:p w14:paraId="16C16F45">
                  <w:pPr>
                    <w:pStyle w:val="131"/>
                    <w:pageBreakBefore w:val="0"/>
                    <w:widowControl w:val="0"/>
                    <w:kinsoku/>
                    <w:wordWrap/>
                    <w:overflowPunct/>
                    <w:topLinePunct w:val="0"/>
                    <w:autoSpaceDE/>
                    <w:autoSpaceDN/>
                    <w:bidi w:val="0"/>
                    <w:adjustRightInd/>
                    <w:snapToGrid/>
                    <w:spacing w:line="360" w:lineRule="exact"/>
                    <w:ind w:firstLine="0"/>
                    <w:textAlignment w:val="auto"/>
                  </w:pPr>
                  <w:r>
                    <w:t>2.</w:t>
                  </w:r>
                  <w:r>
                    <w:rPr>
                      <w:rFonts w:hint="eastAsia"/>
                    </w:rPr>
                    <w:t>支持将模板分发给需要使用的单个用户。</w:t>
                  </w:r>
                </w:p>
                <w:p w14:paraId="0493F162">
                  <w:pPr>
                    <w:pStyle w:val="131"/>
                    <w:pageBreakBefore w:val="0"/>
                    <w:widowControl w:val="0"/>
                    <w:kinsoku/>
                    <w:wordWrap/>
                    <w:overflowPunct/>
                    <w:topLinePunct w:val="0"/>
                    <w:autoSpaceDE/>
                    <w:autoSpaceDN/>
                    <w:bidi w:val="0"/>
                    <w:adjustRightInd/>
                    <w:snapToGrid/>
                    <w:spacing w:line="360" w:lineRule="exact"/>
                    <w:ind w:firstLine="0"/>
                    <w:textAlignment w:val="auto"/>
                  </w:pPr>
                  <w:r>
                    <w:t>3.</w:t>
                  </w:r>
                  <w:r>
                    <w:rPr>
                      <w:rFonts w:hint="eastAsia"/>
                    </w:rPr>
                    <w:t>支持将模板设置为模板默认，用户需要使用对应模板时，默认为该模板。</w:t>
                  </w:r>
                </w:p>
                <w:p w14:paraId="683590CC">
                  <w:pPr>
                    <w:pStyle w:val="131"/>
                    <w:pageBreakBefore w:val="0"/>
                    <w:widowControl w:val="0"/>
                    <w:kinsoku/>
                    <w:wordWrap/>
                    <w:overflowPunct/>
                    <w:topLinePunct w:val="0"/>
                    <w:autoSpaceDE/>
                    <w:autoSpaceDN/>
                    <w:bidi w:val="0"/>
                    <w:adjustRightInd/>
                    <w:snapToGrid/>
                    <w:spacing w:line="360" w:lineRule="exact"/>
                    <w:ind w:firstLine="0"/>
                    <w:textAlignment w:val="auto"/>
                  </w:pPr>
                  <w:r>
                    <w:t>4.</w:t>
                  </w:r>
                  <w:r>
                    <w:rPr>
                      <w:rFonts w:hint="eastAsia"/>
                    </w:rPr>
                    <w:t>支持设置模板的使用角色（医生、护士、治疗、通用等）。</w:t>
                  </w:r>
                </w:p>
                <w:p w14:paraId="1D693E36">
                  <w:pPr>
                    <w:pStyle w:val="131"/>
                    <w:pageBreakBefore w:val="0"/>
                    <w:widowControl w:val="0"/>
                    <w:kinsoku/>
                    <w:wordWrap/>
                    <w:overflowPunct/>
                    <w:topLinePunct w:val="0"/>
                    <w:autoSpaceDE/>
                    <w:autoSpaceDN/>
                    <w:bidi w:val="0"/>
                    <w:adjustRightInd/>
                    <w:snapToGrid/>
                    <w:spacing w:line="360" w:lineRule="exact"/>
                    <w:ind w:firstLine="0"/>
                    <w:textAlignment w:val="auto"/>
                  </w:pPr>
                  <w:r>
                    <w:t>5.</w:t>
                  </w:r>
                  <w:r>
                    <w:rPr>
                      <w:rFonts w:hint="eastAsia"/>
                    </w:rPr>
                    <w:t>支持设置模板是否需要上级签名。</w:t>
                  </w:r>
                </w:p>
                <w:p w14:paraId="0C73F474">
                  <w:pPr>
                    <w:pStyle w:val="131"/>
                    <w:pageBreakBefore w:val="0"/>
                    <w:widowControl w:val="0"/>
                    <w:kinsoku/>
                    <w:wordWrap/>
                    <w:overflowPunct/>
                    <w:topLinePunct w:val="0"/>
                    <w:autoSpaceDE/>
                    <w:autoSpaceDN/>
                    <w:bidi w:val="0"/>
                    <w:adjustRightInd/>
                    <w:snapToGrid/>
                    <w:spacing w:line="360" w:lineRule="exact"/>
                    <w:ind w:firstLine="0"/>
                    <w:textAlignment w:val="auto"/>
                  </w:pPr>
                  <w:r>
                    <w:t>6.</w:t>
                  </w:r>
                  <w:r>
                    <w:rPr>
                      <w:rFonts w:hint="eastAsia"/>
                    </w:rPr>
                    <w:t>支持设置模板新建时的提示语，用户在使用该模板新建病历时，弹出对应提示语。</w:t>
                  </w:r>
                </w:p>
                <w:p w14:paraId="06917B46">
                  <w:pPr>
                    <w:pStyle w:val="131"/>
                    <w:pageBreakBefore w:val="0"/>
                    <w:widowControl w:val="0"/>
                    <w:kinsoku/>
                    <w:wordWrap/>
                    <w:overflowPunct/>
                    <w:topLinePunct w:val="0"/>
                    <w:autoSpaceDE/>
                    <w:autoSpaceDN/>
                    <w:bidi w:val="0"/>
                    <w:adjustRightInd/>
                    <w:snapToGrid/>
                    <w:spacing w:line="360" w:lineRule="exact"/>
                    <w:ind w:firstLine="0"/>
                    <w:textAlignment w:val="auto"/>
                  </w:pPr>
                  <w:r>
                    <w:t>7.</w:t>
                  </w:r>
                  <w:r>
                    <w:rPr>
                      <w:rFonts w:hint="eastAsia"/>
                    </w:rPr>
                    <w:t>支持模板的导入与导出。</w:t>
                  </w:r>
                </w:p>
                <w:p w14:paraId="7EF6C945">
                  <w:pPr>
                    <w:pStyle w:val="8"/>
                    <w:pageBreakBefore w:val="0"/>
                    <w:widowControl w:val="0"/>
                    <w:kinsoku/>
                    <w:wordWrap/>
                    <w:overflowPunct/>
                    <w:topLinePunct w:val="0"/>
                    <w:autoSpaceDE/>
                    <w:autoSpaceDN/>
                    <w:bidi w:val="0"/>
                    <w:adjustRightInd/>
                    <w:snapToGrid/>
                    <w:spacing w:line="360" w:lineRule="exact"/>
                    <w:textAlignment w:val="auto"/>
                  </w:pPr>
                  <w:r>
                    <w:rPr>
                      <w:rFonts w:hint="eastAsia"/>
                    </w:rPr>
                    <w:t>票据制作平台</w:t>
                  </w:r>
                </w:p>
                <w:p w14:paraId="65008568">
                  <w:pPr>
                    <w:pStyle w:val="131"/>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支持根据医院的需求定制系统业务需要使用的各类发票、清单、护理卡、上报卡等票据，提供可视化的制作界面，用户可自定义票据样式以及选择票据里数据来源，制作完成后可将票据分发给对应业务使用。</w:t>
                  </w:r>
                </w:p>
                <w:p w14:paraId="223ABB37">
                  <w:pPr>
                    <w:pStyle w:val="9"/>
                    <w:pageBreakBefore w:val="0"/>
                    <w:widowControl w:val="0"/>
                    <w:kinsoku/>
                    <w:wordWrap/>
                    <w:overflowPunct/>
                    <w:topLinePunct w:val="0"/>
                    <w:autoSpaceDE/>
                    <w:autoSpaceDN/>
                    <w:bidi w:val="0"/>
                    <w:adjustRightInd/>
                    <w:snapToGrid/>
                    <w:spacing w:line="360" w:lineRule="exact"/>
                    <w:textAlignment w:val="auto"/>
                  </w:pPr>
                  <w:r>
                    <w:rPr>
                      <w:rFonts w:hint="eastAsia"/>
                    </w:rPr>
                    <w:t>票据制作</w:t>
                  </w:r>
                </w:p>
                <w:p w14:paraId="2981CAAA">
                  <w:pPr>
                    <w:pStyle w:val="131"/>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票据制作支持使用可视化界面制作各类票据，主要包含：</w:t>
                  </w:r>
                </w:p>
                <w:p w14:paraId="2AADFC94">
                  <w:pPr>
                    <w:pStyle w:val="131"/>
                    <w:pageBreakBefore w:val="0"/>
                    <w:widowControl w:val="0"/>
                    <w:kinsoku/>
                    <w:wordWrap/>
                    <w:overflowPunct/>
                    <w:topLinePunct w:val="0"/>
                    <w:autoSpaceDE/>
                    <w:autoSpaceDN/>
                    <w:bidi w:val="0"/>
                    <w:adjustRightInd/>
                    <w:snapToGrid/>
                    <w:spacing w:line="360" w:lineRule="exact"/>
                    <w:ind w:firstLine="0"/>
                    <w:textAlignment w:val="auto"/>
                  </w:pPr>
                  <w:r>
                    <w:t>1.</w:t>
                  </w:r>
                  <w:r>
                    <w:rPr>
                      <w:rFonts w:hint="eastAsia"/>
                    </w:rPr>
                    <w:t>提供票据可视化页面编辑工具，支持根据医院要求制作不同格式的票据。</w:t>
                  </w:r>
                </w:p>
                <w:p w14:paraId="339831D8">
                  <w:pPr>
                    <w:pStyle w:val="131"/>
                    <w:pageBreakBefore w:val="0"/>
                    <w:widowControl w:val="0"/>
                    <w:kinsoku/>
                    <w:wordWrap/>
                    <w:overflowPunct/>
                    <w:topLinePunct w:val="0"/>
                    <w:autoSpaceDE/>
                    <w:autoSpaceDN/>
                    <w:bidi w:val="0"/>
                    <w:adjustRightInd/>
                    <w:snapToGrid/>
                    <w:spacing w:line="360" w:lineRule="exact"/>
                    <w:ind w:firstLine="0"/>
                    <w:textAlignment w:val="auto"/>
                  </w:pPr>
                  <w:r>
                    <w:t>2.</w:t>
                  </w:r>
                  <w:r>
                    <w:rPr>
                      <w:rFonts w:hint="eastAsia"/>
                    </w:rPr>
                    <w:t>页面编辑工具能够满足文本编辑（字体、样式、表格</w:t>
                  </w:r>
                  <w:r>
                    <w:t>…</w:t>
                  </w:r>
                  <w:r>
                    <w:rPr>
                      <w:rFonts w:hint="eastAsia"/>
                    </w:rPr>
                    <w:t>）要求。</w:t>
                  </w:r>
                </w:p>
                <w:p w14:paraId="2775E1AB">
                  <w:pPr>
                    <w:pStyle w:val="131"/>
                    <w:pageBreakBefore w:val="0"/>
                    <w:widowControl w:val="0"/>
                    <w:kinsoku/>
                    <w:wordWrap/>
                    <w:overflowPunct/>
                    <w:topLinePunct w:val="0"/>
                    <w:autoSpaceDE/>
                    <w:autoSpaceDN/>
                    <w:bidi w:val="0"/>
                    <w:adjustRightInd/>
                    <w:snapToGrid/>
                    <w:spacing w:line="360" w:lineRule="exact"/>
                    <w:ind w:firstLine="0"/>
                    <w:textAlignment w:val="auto"/>
                  </w:pPr>
                  <w:r>
                    <w:t>3.</w:t>
                  </w:r>
                  <w:r>
                    <w:rPr>
                      <w:rFonts w:hint="eastAsia"/>
                    </w:rPr>
                    <w:t>页面编辑工具支持配置自动填充的数据来源。</w:t>
                  </w:r>
                </w:p>
                <w:p w14:paraId="633B66A5">
                  <w:pPr>
                    <w:pStyle w:val="131"/>
                    <w:pageBreakBefore w:val="0"/>
                    <w:widowControl w:val="0"/>
                    <w:kinsoku/>
                    <w:wordWrap/>
                    <w:overflowPunct/>
                    <w:topLinePunct w:val="0"/>
                    <w:autoSpaceDE/>
                    <w:autoSpaceDN/>
                    <w:bidi w:val="0"/>
                    <w:adjustRightInd/>
                    <w:snapToGrid/>
                    <w:spacing w:line="360" w:lineRule="exact"/>
                    <w:ind w:firstLine="0"/>
                    <w:textAlignment w:val="auto"/>
                  </w:pPr>
                  <w:r>
                    <w:t>4.</w:t>
                  </w:r>
                  <w:r>
                    <w:rPr>
                      <w:rFonts w:hint="eastAsia"/>
                    </w:rPr>
                    <w:t>支持对制作的票据进行测试样式以及数据获取的准确性。</w:t>
                  </w:r>
                </w:p>
                <w:p w14:paraId="0885F940">
                  <w:pPr>
                    <w:pStyle w:val="9"/>
                    <w:pageBreakBefore w:val="0"/>
                    <w:widowControl w:val="0"/>
                    <w:kinsoku/>
                    <w:wordWrap/>
                    <w:overflowPunct/>
                    <w:topLinePunct w:val="0"/>
                    <w:autoSpaceDE/>
                    <w:autoSpaceDN/>
                    <w:bidi w:val="0"/>
                    <w:adjustRightInd/>
                    <w:snapToGrid/>
                    <w:spacing w:line="360" w:lineRule="exact"/>
                    <w:textAlignment w:val="auto"/>
                  </w:pPr>
                  <w:r>
                    <w:rPr>
                      <w:rFonts w:hint="eastAsia"/>
                    </w:rPr>
                    <w:t>票据管理</w:t>
                  </w:r>
                </w:p>
                <w:p w14:paraId="7CE16D28">
                  <w:pPr>
                    <w:pStyle w:val="131"/>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票据管理支持对票据的增加、删除、修改以及维护，包含：</w:t>
                  </w:r>
                </w:p>
                <w:p w14:paraId="1A8CB7D0">
                  <w:pPr>
                    <w:pStyle w:val="131"/>
                    <w:pageBreakBefore w:val="0"/>
                    <w:widowControl w:val="0"/>
                    <w:kinsoku/>
                    <w:wordWrap/>
                    <w:overflowPunct/>
                    <w:topLinePunct w:val="0"/>
                    <w:autoSpaceDE/>
                    <w:autoSpaceDN/>
                    <w:bidi w:val="0"/>
                    <w:adjustRightInd/>
                    <w:snapToGrid/>
                    <w:spacing w:line="360" w:lineRule="exact"/>
                    <w:ind w:firstLine="0"/>
                    <w:textAlignment w:val="auto"/>
                  </w:pPr>
                  <w:r>
                    <w:t>1.</w:t>
                  </w:r>
                  <w:r>
                    <w:tab/>
                  </w:r>
                  <w:r>
                    <w:rPr>
                      <w:rFonts w:hint="eastAsia"/>
                    </w:rPr>
                    <w:t>支持对票据类型根据业务进行分类管理。</w:t>
                  </w:r>
                </w:p>
                <w:p w14:paraId="778A3604">
                  <w:pPr>
                    <w:pStyle w:val="131"/>
                    <w:pageBreakBefore w:val="0"/>
                    <w:widowControl w:val="0"/>
                    <w:kinsoku/>
                    <w:wordWrap/>
                    <w:overflowPunct/>
                    <w:topLinePunct w:val="0"/>
                    <w:autoSpaceDE/>
                    <w:autoSpaceDN/>
                    <w:bidi w:val="0"/>
                    <w:adjustRightInd/>
                    <w:snapToGrid/>
                    <w:spacing w:line="360" w:lineRule="exact"/>
                    <w:ind w:firstLine="0"/>
                    <w:textAlignment w:val="auto"/>
                  </w:pPr>
                  <w:r>
                    <w:t>2.</w:t>
                  </w:r>
                  <w:r>
                    <w:tab/>
                  </w:r>
                  <w:r>
                    <w:rPr>
                      <w:rFonts w:hint="eastAsia"/>
                    </w:rPr>
                    <w:t>支持根据票据类型设置不同的默认打印机类型（针式、喷墨</w:t>
                  </w:r>
                  <w:r>
                    <w:t>…</w:t>
                  </w:r>
                  <w:r>
                    <w:rPr>
                      <w:rFonts w:hint="eastAsia"/>
                    </w:rPr>
                    <w:t>）。</w:t>
                  </w:r>
                </w:p>
                <w:p w14:paraId="30437324">
                  <w:pPr>
                    <w:pStyle w:val="131"/>
                    <w:pageBreakBefore w:val="0"/>
                    <w:widowControl w:val="0"/>
                    <w:kinsoku/>
                    <w:wordWrap/>
                    <w:overflowPunct/>
                    <w:topLinePunct w:val="0"/>
                    <w:autoSpaceDE/>
                    <w:autoSpaceDN/>
                    <w:bidi w:val="0"/>
                    <w:adjustRightInd/>
                    <w:snapToGrid/>
                    <w:spacing w:line="360" w:lineRule="exact"/>
                    <w:ind w:firstLine="0"/>
                    <w:textAlignment w:val="auto"/>
                  </w:pPr>
                  <w:r>
                    <w:t>3.</w:t>
                  </w:r>
                  <w:r>
                    <w:tab/>
                  </w:r>
                  <w:r>
                    <w:rPr>
                      <w:rFonts w:hint="eastAsia"/>
                    </w:rPr>
                    <w:t>支持将票据分发给指定的业务类型使用，例如需要打印发票时将发票分发给收费业务。</w:t>
                  </w:r>
                </w:p>
                <w:p w14:paraId="3DC1A758">
                  <w:pPr>
                    <w:pStyle w:val="131"/>
                    <w:pageBreakBefore w:val="0"/>
                    <w:widowControl w:val="0"/>
                    <w:kinsoku/>
                    <w:wordWrap/>
                    <w:overflowPunct/>
                    <w:topLinePunct w:val="0"/>
                    <w:autoSpaceDE/>
                    <w:autoSpaceDN/>
                    <w:bidi w:val="0"/>
                    <w:adjustRightInd/>
                    <w:snapToGrid/>
                    <w:spacing w:line="360" w:lineRule="exact"/>
                    <w:ind w:firstLine="0"/>
                    <w:textAlignment w:val="auto"/>
                  </w:pPr>
                  <w:r>
                    <w:t>4.</w:t>
                  </w:r>
                  <w:r>
                    <w:tab/>
                  </w:r>
                  <w:r>
                    <w:rPr>
                      <w:rFonts w:hint="eastAsia"/>
                    </w:rPr>
                    <w:t>支持票据的导出与导入。</w:t>
                  </w:r>
                </w:p>
                <w:p w14:paraId="25C22702">
                  <w:pPr>
                    <w:pStyle w:val="131"/>
                    <w:pageBreakBefore w:val="0"/>
                    <w:widowControl w:val="0"/>
                    <w:kinsoku/>
                    <w:wordWrap/>
                    <w:overflowPunct/>
                    <w:topLinePunct w:val="0"/>
                    <w:autoSpaceDE/>
                    <w:autoSpaceDN/>
                    <w:bidi w:val="0"/>
                    <w:adjustRightInd/>
                    <w:snapToGrid/>
                    <w:spacing w:line="360" w:lineRule="exact"/>
                    <w:ind w:firstLine="0"/>
                    <w:textAlignment w:val="auto"/>
                  </w:pPr>
                  <w:r>
                    <w:t>5.</w:t>
                  </w:r>
                  <w:r>
                    <w:tab/>
                  </w:r>
                  <w:r>
                    <w:rPr>
                      <w:rFonts w:hint="eastAsia"/>
                    </w:rPr>
                    <w:t>支持查看票据的修改日志。</w:t>
                  </w:r>
                </w:p>
                <w:p w14:paraId="06E11595">
                  <w:pPr>
                    <w:pStyle w:val="8"/>
                    <w:pageBreakBefore w:val="0"/>
                    <w:widowControl w:val="0"/>
                    <w:kinsoku/>
                    <w:wordWrap/>
                    <w:overflowPunct/>
                    <w:topLinePunct w:val="0"/>
                    <w:autoSpaceDE/>
                    <w:autoSpaceDN/>
                    <w:bidi w:val="0"/>
                    <w:adjustRightInd/>
                    <w:snapToGrid/>
                    <w:spacing w:line="360" w:lineRule="exact"/>
                    <w:textAlignment w:val="auto"/>
                  </w:pPr>
                  <w:r>
                    <w:rPr>
                      <w:rFonts w:hint="eastAsia"/>
                    </w:rPr>
                    <w:t>体温单设计器</w:t>
                  </w:r>
                </w:p>
                <w:p w14:paraId="4CBDCA46">
                  <w:pPr>
                    <w:pStyle w:val="131"/>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支持根据医院需求界面化配置体温单的展示样式，例如显示的格式、线条样式、上下注释样式等，配置完成后即可生效，无需发布程序。</w:t>
                  </w:r>
                </w:p>
                <w:p w14:paraId="1331CB99">
                  <w:pPr>
                    <w:pStyle w:val="131"/>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支持配置体温单的录入项目以及录入字典和校验规则，例如可配置需要录入的呼吸、心率等项目，配置体温的录入数值区间等。</w:t>
                  </w:r>
                </w:p>
                <w:p w14:paraId="0AF3F31B">
                  <w:pPr>
                    <w:pStyle w:val="8"/>
                    <w:pageBreakBefore w:val="0"/>
                    <w:widowControl w:val="0"/>
                    <w:kinsoku/>
                    <w:wordWrap/>
                    <w:overflowPunct/>
                    <w:topLinePunct w:val="0"/>
                    <w:autoSpaceDE/>
                    <w:autoSpaceDN/>
                    <w:bidi w:val="0"/>
                    <w:adjustRightInd/>
                    <w:snapToGrid/>
                    <w:spacing w:line="360" w:lineRule="exact"/>
                    <w:textAlignment w:val="auto"/>
                  </w:pPr>
                  <w:r>
                    <w:rPr>
                      <w:rFonts w:hint="eastAsia"/>
                    </w:rPr>
                    <w:t>工作流配置</w:t>
                  </w:r>
                </w:p>
                <w:p w14:paraId="220524D4">
                  <w:pPr>
                    <w:pStyle w:val="131"/>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针对医院固定的业务流程，例如输血流程、手术流程支持界面化配置。流程发生改变只需要修改工作流无需修改程序，支持对工作流进行增加、修改、删除，支持开启关闭工作流。工作流配置支持配置各个流程的执行条件、执行人以及下一步流程分支。</w:t>
                  </w:r>
                </w:p>
                <w:p w14:paraId="700DF4C0">
                  <w:pPr>
                    <w:pStyle w:val="8"/>
                    <w:pageBreakBefore w:val="0"/>
                    <w:widowControl w:val="0"/>
                    <w:kinsoku/>
                    <w:wordWrap/>
                    <w:overflowPunct/>
                    <w:topLinePunct w:val="0"/>
                    <w:autoSpaceDE/>
                    <w:autoSpaceDN/>
                    <w:bidi w:val="0"/>
                    <w:adjustRightInd/>
                    <w:snapToGrid/>
                    <w:spacing w:line="360" w:lineRule="exact"/>
                    <w:textAlignment w:val="auto"/>
                  </w:pPr>
                  <w:r>
                    <w:rPr>
                      <w:rFonts w:hint="eastAsia"/>
                    </w:rPr>
                    <w:t>护理配置管理</w:t>
                  </w:r>
                </w:p>
                <w:p w14:paraId="6081285F">
                  <w:pPr>
                    <w:pStyle w:val="131"/>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护理配置管理支持对护理类文书进行录入项目以及录入格式配置。主要包含护理记录项目配置、交接班配置、护理评估表格配置。</w:t>
                  </w:r>
                </w:p>
                <w:p w14:paraId="4E0C028E">
                  <w:pPr>
                    <w:pStyle w:val="9"/>
                    <w:pageBreakBefore w:val="0"/>
                    <w:widowControl w:val="0"/>
                    <w:kinsoku/>
                    <w:wordWrap/>
                    <w:overflowPunct/>
                    <w:topLinePunct w:val="0"/>
                    <w:autoSpaceDE/>
                    <w:autoSpaceDN/>
                    <w:bidi w:val="0"/>
                    <w:adjustRightInd/>
                    <w:snapToGrid/>
                    <w:spacing w:line="360" w:lineRule="exact"/>
                    <w:textAlignment w:val="auto"/>
                  </w:pPr>
                  <w:r>
                    <w:rPr>
                      <w:rFonts w:hint="eastAsia"/>
                    </w:rPr>
                    <w:t>护理记录项目配置</w:t>
                  </w:r>
                </w:p>
                <w:p w14:paraId="0F3C0BF1">
                  <w:pPr>
                    <w:pStyle w:val="131"/>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可针对科室对于护理记录录入项目的不同要求进行个性化的配置，包含配置护理记录需要录入的项目以及录入时对应的字典，例如护理记录里的入量项目，不同科室有不同要求，可以根据科室进行项目的分发，分发后对应科室的护理记录可使用分发的项目。</w:t>
                  </w:r>
                </w:p>
                <w:p w14:paraId="15CF4F44">
                  <w:pPr>
                    <w:pStyle w:val="9"/>
                    <w:pageBreakBefore w:val="0"/>
                    <w:widowControl w:val="0"/>
                    <w:kinsoku/>
                    <w:wordWrap/>
                    <w:overflowPunct/>
                    <w:topLinePunct w:val="0"/>
                    <w:autoSpaceDE/>
                    <w:autoSpaceDN/>
                    <w:bidi w:val="0"/>
                    <w:adjustRightInd/>
                    <w:snapToGrid/>
                    <w:spacing w:line="360" w:lineRule="exact"/>
                    <w:textAlignment w:val="auto"/>
                  </w:pPr>
                  <w:r>
                    <w:rPr>
                      <w:rFonts w:hint="eastAsia"/>
                    </w:rPr>
                    <w:t>交接班配置</w:t>
                  </w:r>
                </w:p>
                <w:p w14:paraId="2C92E3C0">
                  <w:pPr>
                    <w:pStyle w:val="131"/>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支持配置需要交接班病人的类型，例如病危病人类型、一级护理病人类型等，以及配置对应类型病人的获取语法，配置后可自动获取需要交班的病人。支持配置多份交班本，可以根据需求将不同交班本分发给对应的科室使用。</w:t>
                  </w:r>
                </w:p>
                <w:p w14:paraId="7DEB62D4">
                  <w:pPr>
                    <w:pStyle w:val="9"/>
                    <w:pageBreakBefore w:val="0"/>
                    <w:widowControl w:val="0"/>
                    <w:kinsoku/>
                    <w:wordWrap/>
                    <w:overflowPunct/>
                    <w:topLinePunct w:val="0"/>
                    <w:autoSpaceDE/>
                    <w:autoSpaceDN/>
                    <w:bidi w:val="0"/>
                    <w:adjustRightInd/>
                    <w:snapToGrid/>
                    <w:spacing w:line="360" w:lineRule="exact"/>
                    <w:textAlignment w:val="auto"/>
                  </w:pPr>
                  <w:r>
                    <w:rPr>
                      <w:rFonts w:hint="eastAsia"/>
                    </w:rPr>
                    <w:t>护理评估表配置</w:t>
                  </w:r>
                </w:p>
                <w:p w14:paraId="3DB517C3">
                  <w:pPr>
                    <w:pStyle w:val="131"/>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支持对护理各类评估表进行配置，包含需要录入的评估项、评估项目对应录入字典、录入格式、录入合理性校验等，支持配置评估表结果的趋势图类型（现状图、饼状图等），配置完成后可分发给对应科室使用，无需更新程序。</w:t>
                  </w:r>
                </w:p>
                <w:p w14:paraId="614FDD8D">
                  <w:pPr>
                    <w:pStyle w:val="8"/>
                    <w:pageBreakBefore w:val="0"/>
                    <w:widowControl w:val="0"/>
                    <w:kinsoku/>
                    <w:wordWrap/>
                    <w:overflowPunct/>
                    <w:topLinePunct w:val="0"/>
                    <w:autoSpaceDE/>
                    <w:autoSpaceDN/>
                    <w:bidi w:val="0"/>
                    <w:adjustRightInd/>
                    <w:snapToGrid/>
                    <w:spacing w:line="360" w:lineRule="exact"/>
                    <w:textAlignment w:val="auto"/>
                  </w:pPr>
                  <w:r>
                    <w:rPr>
                      <w:rFonts w:hint="eastAsia"/>
                    </w:rPr>
                    <w:t>角色管理</w:t>
                  </w:r>
                </w:p>
                <w:p w14:paraId="1D775F7D">
                  <w:pPr>
                    <w:pStyle w:val="131"/>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系统按照类别进行角色分类，角色管理可在对应的类别下新增、修改、作废角色，可以将多个角色归类为角色组。</w:t>
                  </w:r>
                </w:p>
                <w:p w14:paraId="4E9D4E78">
                  <w:pPr>
                    <w:pStyle w:val="131"/>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角色维护好后可对角色权限进行管理，包含角色拥有的菜单、角色可登陆的科室以及将角色分发给用户，用户拥有对应角色后即可使用分发的菜单与科室。</w:t>
                  </w:r>
                </w:p>
                <w:p w14:paraId="4570214B">
                  <w:pPr>
                    <w:pStyle w:val="8"/>
                    <w:pageBreakBefore w:val="0"/>
                    <w:widowControl w:val="0"/>
                    <w:kinsoku/>
                    <w:wordWrap/>
                    <w:overflowPunct/>
                    <w:topLinePunct w:val="0"/>
                    <w:autoSpaceDE/>
                    <w:autoSpaceDN/>
                    <w:bidi w:val="0"/>
                    <w:adjustRightInd/>
                    <w:snapToGrid/>
                    <w:spacing w:line="360" w:lineRule="exact"/>
                    <w:textAlignment w:val="auto"/>
                  </w:pPr>
                  <w:r>
                    <w:rPr>
                      <w:rFonts w:hint="eastAsia"/>
                    </w:rPr>
                    <w:t>医疗组管理</w:t>
                  </w:r>
                </w:p>
                <w:p w14:paraId="40E8DFD1">
                  <w:pPr>
                    <w:pStyle w:val="131"/>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系统支持根据门诊科室或者住院科室进行医疗组设置，一个科室可设置多个医疗组，每个医疗组能加入多位医生，可设置医生在医疗组里的级别，级别可与用户的业务权限绑定。</w:t>
                  </w:r>
                </w:p>
                <w:p w14:paraId="19FD9C47">
                  <w:pPr>
                    <w:pStyle w:val="8"/>
                    <w:pageBreakBefore w:val="0"/>
                    <w:widowControl w:val="0"/>
                    <w:kinsoku/>
                    <w:wordWrap/>
                    <w:overflowPunct/>
                    <w:topLinePunct w:val="0"/>
                    <w:autoSpaceDE/>
                    <w:autoSpaceDN/>
                    <w:bidi w:val="0"/>
                    <w:adjustRightInd/>
                    <w:snapToGrid/>
                    <w:spacing w:line="360" w:lineRule="exact"/>
                    <w:textAlignment w:val="auto"/>
                  </w:pPr>
                  <w:r>
                    <w:rPr>
                      <w:rFonts w:hint="eastAsia"/>
                    </w:rPr>
                    <w:t>科室管理</w:t>
                  </w:r>
                </w:p>
                <w:p w14:paraId="13C5F808">
                  <w:pPr>
                    <w:pStyle w:val="131"/>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支持对科室的信息进行维护与管理，信息包含：科室名称、科室属性、科室地址位置等基本信息。科室维护完成后可以进行人员分发，被分发的人员能登陆对应科室。</w:t>
                  </w:r>
                </w:p>
                <w:p w14:paraId="4207253F">
                  <w:pPr>
                    <w:pageBreakBefore w:val="0"/>
                    <w:widowControl w:val="0"/>
                    <w:kinsoku/>
                    <w:wordWrap/>
                    <w:overflowPunct/>
                    <w:topLinePunct w:val="0"/>
                    <w:autoSpaceDE/>
                    <w:autoSpaceDN/>
                    <w:bidi w:val="0"/>
                    <w:adjustRightInd/>
                    <w:snapToGrid/>
                    <w:spacing w:line="360" w:lineRule="exact"/>
                    <w:ind w:firstLine="480"/>
                    <w:textAlignment w:val="auto"/>
                  </w:pPr>
                </w:p>
                <w:p w14:paraId="638DA422">
                  <w:pPr>
                    <w:pStyle w:val="6"/>
                    <w:pageBreakBefore w:val="0"/>
                    <w:widowControl w:val="0"/>
                    <w:numPr>
                      <w:ilvl w:val="0"/>
                      <w:numId w:val="0"/>
                    </w:numPr>
                    <w:tabs>
                      <w:tab w:val="left" w:pos="420"/>
                    </w:tabs>
                    <w:kinsoku/>
                    <w:wordWrap/>
                    <w:overflowPunct/>
                    <w:topLinePunct w:val="0"/>
                    <w:autoSpaceDE/>
                    <w:autoSpaceDN/>
                    <w:bidi w:val="0"/>
                    <w:adjustRightInd/>
                    <w:snapToGrid/>
                    <w:spacing w:line="360" w:lineRule="exact"/>
                    <w:textAlignment w:val="auto"/>
                  </w:pPr>
                  <w:r>
                    <w:rPr>
                      <w:rFonts w:hint="eastAsia"/>
                    </w:rPr>
                    <w:t>二、统一门户</w:t>
                  </w:r>
                </w:p>
                <w:p w14:paraId="124C8522">
                  <w:pPr>
                    <w:pStyle w:val="131"/>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统一门户是整个医院信息平台对内和对外使用的入口和展示的窗口，可根据不同的使用者进行配置和管理。</w:t>
                  </w:r>
                </w:p>
                <w:p w14:paraId="43CBCFBC">
                  <w:pPr>
                    <w:pStyle w:val="7"/>
                    <w:pageBreakBefore w:val="0"/>
                    <w:widowControl w:val="0"/>
                    <w:kinsoku/>
                    <w:wordWrap/>
                    <w:overflowPunct/>
                    <w:topLinePunct w:val="0"/>
                    <w:autoSpaceDE/>
                    <w:autoSpaceDN/>
                    <w:bidi w:val="0"/>
                    <w:adjustRightInd/>
                    <w:snapToGrid/>
                    <w:spacing w:line="360" w:lineRule="exact"/>
                    <w:textAlignment w:val="auto"/>
                  </w:pPr>
                  <w:r>
                    <w:rPr>
                      <w:rFonts w:hint="eastAsia"/>
                    </w:rPr>
                    <w:t>个人通用门户</w:t>
                  </w:r>
                </w:p>
                <w:p w14:paraId="6E1A425F">
                  <w:pPr>
                    <w:pStyle w:val="131"/>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支持根据医院需求以及用户使用习惯，提供简单、迅速、客户化的门户配置，实现各种资源的集中管理，将医疗信息、医疗应用以有效的方式提供给医院使用者。个人通用门户管理内容主要包含门户主题配置以及桌面配置。</w:t>
                  </w:r>
                </w:p>
                <w:p w14:paraId="479F93DB">
                  <w:pPr>
                    <w:pStyle w:val="8"/>
                    <w:pageBreakBefore w:val="0"/>
                    <w:widowControl w:val="0"/>
                    <w:kinsoku/>
                    <w:wordWrap/>
                    <w:overflowPunct/>
                    <w:topLinePunct w:val="0"/>
                    <w:autoSpaceDE/>
                    <w:autoSpaceDN/>
                    <w:bidi w:val="0"/>
                    <w:adjustRightInd/>
                    <w:snapToGrid/>
                    <w:spacing w:line="360" w:lineRule="exact"/>
                    <w:textAlignment w:val="auto"/>
                  </w:pPr>
                  <w:r>
                    <w:rPr>
                      <w:rFonts w:hint="eastAsia"/>
                    </w:rPr>
                    <w:t>专业浏览器</w:t>
                  </w:r>
                </w:p>
                <w:p w14:paraId="3B4B75AA">
                  <w:pPr>
                    <w:pStyle w:val="131"/>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为方便使用操作系统资源（打印资源、音视频资源等）以及应用外部设备（读卡设备、手写板等），将专业浏览器作为系统使用基座，客户端电脑安装专业浏览器后即可打开使用所有子系统。</w:t>
                  </w:r>
                </w:p>
                <w:p w14:paraId="1897877C">
                  <w:pPr>
                    <w:pStyle w:val="131"/>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专业浏览器以</w:t>
                  </w:r>
                  <w:r>
                    <w:t>GoogleChromium</w:t>
                  </w:r>
                  <w:r>
                    <w:rPr>
                      <w:rFonts w:hint="eastAsia"/>
                    </w:rPr>
                    <w:t>为内核，依托</w:t>
                  </w:r>
                  <w:r>
                    <w:t>CEF</w:t>
                  </w:r>
                  <w:r>
                    <w:rPr>
                      <w:rFonts w:hint="eastAsia"/>
                    </w:rPr>
                    <w:t>开发框架构建可调用本地代码的</w:t>
                  </w:r>
                  <w:r>
                    <w:t>API</w:t>
                  </w:r>
                  <w:r>
                    <w:rPr>
                      <w:rFonts w:hint="eastAsia"/>
                    </w:rPr>
                    <w:t>，支持已有各类系统工具的插件框架，方便整合各类系统功能。</w:t>
                  </w:r>
                </w:p>
                <w:p w14:paraId="31488DC0">
                  <w:pPr>
                    <w:pStyle w:val="8"/>
                    <w:pageBreakBefore w:val="0"/>
                    <w:widowControl w:val="0"/>
                    <w:kinsoku/>
                    <w:wordWrap/>
                    <w:overflowPunct/>
                    <w:topLinePunct w:val="0"/>
                    <w:autoSpaceDE/>
                    <w:autoSpaceDN/>
                    <w:bidi w:val="0"/>
                    <w:adjustRightInd/>
                    <w:snapToGrid/>
                    <w:spacing w:line="360" w:lineRule="exact"/>
                    <w:textAlignment w:val="auto"/>
                  </w:pPr>
                  <w:r>
                    <w:rPr>
                      <w:rFonts w:hint="eastAsia"/>
                    </w:rPr>
                    <w:t>门户主题配置</w:t>
                  </w:r>
                </w:p>
                <w:p w14:paraId="719462D5">
                  <w:pPr>
                    <w:pStyle w:val="131"/>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用户可从系统内置的主题风格中进行选择设置，选择完成后立即生效。用户也可进行自定义主题设置，可设置主题包含：桌面布局、字体样式、系统外框颜色、图标风格、壁纸以及壁纸样式，设置完成后支持效果预览以及立即生效应用到系统。</w:t>
                  </w:r>
                </w:p>
                <w:p w14:paraId="5046B5C6">
                  <w:pPr>
                    <w:pStyle w:val="131"/>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系统支持氛围主题设置的人性化功能。根据节假日设置对应时间登陆系统的界面氛围，用户在节假日登陆系统时可以接收到节日祝福，体现系统人性化特色。</w:t>
                  </w:r>
                </w:p>
                <w:p w14:paraId="39E46698">
                  <w:pPr>
                    <w:pStyle w:val="8"/>
                    <w:pageBreakBefore w:val="0"/>
                    <w:widowControl w:val="0"/>
                    <w:kinsoku/>
                    <w:wordWrap/>
                    <w:overflowPunct/>
                    <w:topLinePunct w:val="0"/>
                    <w:autoSpaceDE/>
                    <w:autoSpaceDN/>
                    <w:bidi w:val="0"/>
                    <w:adjustRightInd/>
                    <w:snapToGrid/>
                    <w:spacing w:line="360" w:lineRule="exact"/>
                    <w:textAlignment w:val="auto"/>
                  </w:pPr>
                  <w:r>
                    <w:rPr>
                      <w:rFonts w:hint="eastAsia"/>
                    </w:rPr>
                    <w:t>门户桌面配置</w:t>
                  </w:r>
                </w:p>
                <w:p w14:paraId="5CB8CFAA">
                  <w:pPr>
                    <w:pStyle w:val="131"/>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系统提供门户桌面方式作为用户应用系统的入口。门户桌面内容可以将系统菜单放到桌面作为业务快捷入口，同时门户内置了待办事项、备忘录、日期等小工具以及床位导航、患者列表、收入统计等与业务相关组件，用户可从组件库选择所需要的组件和小工具放入桌面。桌面里放置的组件和工具的大小以及位置可以使用拖拽的方式进行调整，调整完成后可进行固定。系统支持设置多个门户桌面，用户可根据需求对桌面进行删减。</w:t>
                  </w:r>
                </w:p>
                <w:p w14:paraId="659F0398">
                  <w:pPr>
                    <w:pStyle w:val="131"/>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为方便用户设置桌面，系统根据不同角色内置了不同门户桌面。内置的桌面包含了对应角色的菜单快捷入口以及角色需要用到门户组件和工具，例如护士门户桌面内置了床位导航以方便护士管理患者。用户在初次登陆系统时，系统会根据用户拥有的角色加载对应的桌面，有多个角色则加载多个桌面，用户可对桌面显示顺序以及桌面内容进行调整。也支持用户在自行新建桌面时，可根据用户角色所拥有的所有内置桌面进行选择。</w:t>
                  </w:r>
                </w:p>
                <w:p w14:paraId="15C608F0">
                  <w:pPr>
                    <w:pStyle w:val="8"/>
                    <w:pageBreakBefore w:val="0"/>
                    <w:widowControl w:val="0"/>
                    <w:kinsoku/>
                    <w:wordWrap/>
                    <w:overflowPunct/>
                    <w:topLinePunct w:val="0"/>
                    <w:autoSpaceDE/>
                    <w:autoSpaceDN/>
                    <w:bidi w:val="0"/>
                    <w:adjustRightInd/>
                    <w:snapToGrid/>
                    <w:spacing w:line="360" w:lineRule="exact"/>
                    <w:textAlignment w:val="auto"/>
                  </w:pPr>
                  <w:r>
                    <w:rPr>
                      <w:rFonts w:hint="eastAsia"/>
                    </w:rPr>
                    <w:t>门户插件中心</w:t>
                  </w:r>
                </w:p>
                <w:p w14:paraId="2D39BE0D">
                  <w:pPr>
                    <w:pStyle w:val="131"/>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系统支持自定义插件，实现动态定制浏览器插件功能。支持动态库、</w:t>
                  </w:r>
                  <w:r>
                    <w:t>JS</w:t>
                  </w:r>
                  <w:r>
                    <w:rPr>
                      <w:rFonts w:hint="eastAsia"/>
                    </w:rPr>
                    <w:t>页面等不同结构的插件，例如不同产商的医保插件都能集成到浏览器，用户可根据实际工作需要下载安装插件，保证了专业浏览器对各类业务使用的支撑。同时可以实现插件的自动升级，保证了插件的可用性。</w:t>
                  </w:r>
                </w:p>
                <w:p w14:paraId="2D5BF6AF">
                  <w:pPr>
                    <w:pStyle w:val="8"/>
                    <w:pageBreakBefore w:val="0"/>
                    <w:widowControl w:val="0"/>
                    <w:kinsoku/>
                    <w:wordWrap/>
                    <w:overflowPunct/>
                    <w:topLinePunct w:val="0"/>
                    <w:autoSpaceDE/>
                    <w:autoSpaceDN/>
                    <w:bidi w:val="0"/>
                    <w:adjustRightInd/>
                    <w:snapToGrid/>
                    <w:spacing w:line="360" w:lineRule="exact"/>
                    <w:textAlignment w:val="auto"/>
                  </w:pPr>
                  <w:r>
                    <w:rPr>
                      <w:rFonts w:hint="eastAsia"/>
                    </w:rPr>
                    <w:t>多屏展示互动</w:t>
                  </w:r>
                </w:p>
                <w:p w14:paraId="77B7100A">
                  <w:pPr>
                    <w:pStyle w:val="131"/>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专业浏览器可实现多屏展示。不同的工作界面可以拉出浏览器单独展示。用户在使用时，能够根据实际的硬件情况使用多屏进行工作，减少页面切换，提高工作效率。</w:t>
                  </w:r>
                </w:p>
                <w:p w14:paraId="62647239">
                  <w:pPr>
                    <w:pStyle w:val="8"/>
                    <w:pageBreakBefore w:val="0"/>
                    <w:widowControl w:val="0"/>
                    <w:kinsoku/>
                    <w:wordWrap/>
                    <w:overflowPunct/>
                    <w:topLinePunct w:val="0"/>
                    <w:autoSpaceDE/>
                    <w:autoSpaceDN/>
                    <w:bidi w:val="0"/>
                    <w:adjustRightInd/>
                    <w:snapToGrid/>
                    <w:spacing w:line="360" w:lineRule="exact"/>
                    <w:textAlignment w:val="auto"/>
                  </w:pPr>
                  <w:r>
                    <w:rPr>
                      <w:rFonts w:hint="eastAsia"/>
                    </w:rPr>
                    <w:t>门户消息任务中心</w:t>
                  </w:r>
                </w:p>
                <w:p w14:paraId="0B607EE9">
                  <w:pPr>
                    <w:pStyle w:val="131"/>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浏览器可对用户消息进行统一提示。无论是来自</w:t>
                  </w:r>
                  <w:r>
                    <w:t>HIS/EMR</w:t>
                  </w:r>
                  <w:r>
                    <w:rPr>
                      <w:rFonts w:hint="eastAsia"/>
                    </w:rPr>
                    <w:t>还是检查检验的消息都能够在浏览器进行提示。可以根据消息的轻重缓急进行不同方式的提示：</w:t>
                  </w:r>
                </w:p>
                <w:p w14:paraId="57C83D94">
                  <w:pPr>
                    <w:pStyle w:val="131"/>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常规提示消息在消息列表中展示，用户可以随时进行查看。</w:t>
                  </w:r>
                </w:p>
                <w:p w14:paraId="17141E99">
                  <w:pPr>
                    <w:pStyle w:val="131"/>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代办消息可以在下方进行浮窗提示，确保用户看到并进行操作。</w:t>
                  </w:r>
                </w:p>
                <w:p w14:paraId="6FC8D251">
                  <w:pPr>
                    <w:pStyle w:val="131"/>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紧急的危急值消息，可以霸屏提示，用户不进行危急值处理不能关闭消息，一直展示。</w:t>
                  </w:r>
                </w:p>
                <w:p w14:paraId="1695B32B">
                  <w:pPr>
                    <w:pStyle w:val="131"/>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如果需要进行处理的消息，点击消息就能一键直达处理页面，提高用户处理效率。</w:t>
                  </w:r>
                </w:p>
                <w:p w14:paraId="522BCCE2">
                  <w:pPr>
                    <w:pStyle w:val="7"/>
                    <w:pageBreakBefore w:val="0"/>
                    <w:widowControl w:val="0"/>
                    <w:kinsoku/>
                    <w:wordWrap/>
                    <w:overflowPunct/>
                    <w:topLinePunct w:val="0"/>
                    <w:autoSpaceDE/>
                    <w:autoSpaceDN/>
                    <w:bidi w:val="0"/>
                    <w:adjustRightInd/>
                    <w:snapToGrid/>
                    <w:spacing w:line="360" w:lineRule="exact"/>
                    <w:textAlignment w:val="auto"/>
                  </w:pPr>
                  <w:r>
                    <w:rPr>
                      <w:rFonts w:hint="eastAsia"/>
                    </w:rPr>
                    <w:t>统一身份认证及单点登录</w:t>
                  </w:r>
                </w:p>
                <w:p w14:paraId="3A599ED7">
                  <w:pPr>
                    <w:pStyle w:val="131"/>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支持统一的身份认证和单点登录，无需重复登录与安装系统。同时支持与数字签名厂商进行对接，用户可通过短信、人脸或扫码等多种方式进行登陆。</w:t>
                  </w:r>
                </w:p>
                <w:p w14:paraId="61A6B098">
                  <w:pPr>
                    <w:pStyle w:val="8"/>
                    <w:pageBreakBefore w:val="0"/>
                    <w:widowControl w:val="0"/>
                    <w:kinsoku/>
                    <w:wordWrap/>
                    <w:overflowPunct/>
                    <w:topLinePunct w:val="0"/>
                    <w:autoSpaceDE/>
                    <w:autoSpaceDN/>
                    <w:bidi w:val="0"/>
                    <w:adjustRightInd/>
                    <w:snapToGrid/>
                    <w:spacing w:line="360" w:lineRule="exact"/>
                    <w:textAlignment w:val="auto"/>
                  </w:pPr>
                  <w:r>
                    <w:rPr>
                      <w:rFonts w:hint="eastAsia"/>
                    </w:rPr>
                    <w:t>门户账户统一管理</w:t>
                  </w:r>
                </w:p>
                <w:p w14:paraId="5B24F51B">
                  <w:pPr>
                    <w:pStyle w:val="131"/>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对登录门户的用户进行增加、删除、修改等统一管理，主要包含以下功能：</w:t>
                  </w:r>
                </w:p>
                <w:p w14:paraId="6284FCC5">
                  <w:pPr>
                    <w:pStyle w:val="131"/>
                    <w:pageBreakBefore w:val="0"/>
                    <w:widowControl w:val="0"/>
                    <w:kinsoku/>
                    <w:wordWrap/>
                    <w:overflowPunct/>
                    <w:topLinePunct w:val="0"/>
                    <w:autoSpaceDE/>
                    <w:autoSpaceDN/>
                    <w:bidi w:val="0"/>
                    <w:adjustRightInd/>
                    <w:snapToGrid/>
                    <w:spacing w:line="360" w:lineRule="exact"/>
                    <w:ind w:firstLine="0"/>
                    <w:textAlignment w:val="auto"/>
                  </w:pPr>
                  <w:r>
                    <w:t>1.</w:t>
                  </w:r>
                  <w:r>
                    <w:rPr>
                      <w:rFonts w:hint="eastAsia"/>
                    </w:rPr>
                    <w:t>用户账户可从外部通过文件形式导入到门户进行管理。</w:t>
                  </w:r>
                </w:p>
                <w:p w14:paraId="69A4D7EC">
                  <w:pPr>
                    <w:pStyle w:val="131"/>
                    <w:pageBreakBefore w:val="0"/>
                    <w:widowControl w:val="0"/>
                    <w:kinsoku/>
                    <w:wordWrap/>
                    <w:overflowPunct/>
                    <w:topLinePunct w:val="0"/>
                    <w:autoSpaceDE/>
                    <w:autoSpaceDN/>
                    <w:bidi w:val="0"/>
                    <w:adjustRightInd/>
                    <w:snapToGrid/>
                    <w:spacing w:line="360" w:lineRule="exact"/>
                    <w:ind w:firstLine="0"/>
                    <w:textAlignment w:val="auto"/>
                  </w:pPr>
                  <w:r>
                    <w:t>2.</w:t>
                  </w:r>
                  <w:r>
                    <w:rPr>
                      <w:rFonts w:hint="eastAsia"/>
                    </w:rPr>
                    <w:t>特殊情况暂时不允许用户使用系统时，可以锁定账户，锁定后禁止登陆。</w:t>
                  </w:r>
                </w:p>
                <w:p w14:paraId="0F4922FA">
                  <w:pPr>
                    <w:pStyle w:val="131"/>
                    <w:pageBreakBefore w:val="0"/>
                    <w:widowControl w:val="0"/>
                    <w:kinsoku/>
                    <w:wordWrap/>
                    <w:overflowPunct/>
                    <w:topLinePunct w:val="0"/>
                    <w:autoSpaceDE/>
                    <w:autoSpaceDN/>
                    <w:bidi w:val="0"/>
                    <w:adjustRightInd/>
                    <w:snapToGrid/>
                    <w:spacing w:line="360" w:lineRule="exact"/>
                    <w:ind w:firstLine="0"/>
                    <w:textAlignment w:val="auto"/>
                  </w:pPr>
                  <w:r>
                    <w:t>3.</w:t>
                  </w:r>
                  <w:r>
                    <w:rPr>
                      <w:rFonts w:hint="eastAsia"/>
                    </w:rPr>
                    <w:t>用户忘记密码后，可对账户密码进行重置。</w:t>
                  </w:r>
                </w:p>
                <w:p w14:paraId="32062680">
                  <w:pPr>
                    <w:pStyle w:val="131"/>
                    <w:pageBreakBefore w:val="0"/>
                    <w:widowControl w:val="0"/>
                    <w:kinsoku/>
                    <w:wordWrap/>
                    <w:overflowPunct/>
                    <w:topLinePunct w:val="0"/>
                    <w:autoSpaceDE/>
                    <w:autoSpaceDN/>
                    <w:bidi w:val="0"/>
                    <w:adjustRightInd/>
                    <w:snapToGrid/>
                    <w:spacing w:line="360" w:lineRule="exact"/>
                    <w:ind w:firstLine="0"/>
                    <w:textAlignment w:val="auto"/>
                  </w:pPr>
                  <w:r>
                    <w:t>4.</w:t>
                  </w:r>
                  <w:r>
                    <w:rPr>
                      <w:rFonts w:hint="eastAsia"/>
                    </w:rPr>
                    <w:t>支持设置账户的有效开始时间和失效时间，未设置时间默认永久有效，有设置时间只能在设置的时间范围内使用该账户。</w:t>
                  </w:r>
                </w:p>
                <w:p w14:paraId="5893347A">
                  <w:pPr>
                    <w:pStyle w:val="131"/>
                    <w:pageBreakBefore w:val="0"/>
                    <w:widowControl w:val="0"/>
                    <w:kinsoku/>
                    <w:wordWrap/>
                    <w:overflowPunct/>
                    <w:topLinePunct w:val="0"/>
                    <w:autoSpaceDE/>
                    <w:autoSpaceDN/>
                    <w:bidi w:val="0"/>
                    <w:adjustRightInd/>
                    <w:snapToGrid/>
                    <w:spacing w:line="360" w:lineRule="exact"/>
                    <w:ind w:firstLine="0"/>
                    <w:textAlignment w:val="auto"/>
                  </w:pPr>
                  <w:r>
                    <w:t>5.</w:t>
                  </w:r>
                  <w:r>
                    <w:rPr>
                      <w:rFonts w:hint="eastAsia"/>
                    </w:rPr>
                    <w:t>支持查看所有用户登陆系统的日志信息，包含：登陆人、登陆时间、在线状态、登陆的设备信息、登陆方式、退出时间等。</w:t>
                  </w:r>
                </w:p>
                <w:p w14:paraId="47E1EE91">
                  <w:pPr>
                    <w:pStyle w:val="131"/>
                    <w:pageBreakBefore w:val="0"/>
                    <w:widowControl w:val="0"/>
                    <w:kinsoku/>
                    <w:wordWrap/>
                    <w:overflowPunct/>
                    <w:topLinePunct w:val="0"/>
                    <w:autoSpaceDE/>
                    <w:autoSpaceDN/>
                    <w:bidi w:val="0"/>
                    <w:adjustRightInd/>
                    <w:snapToGrid/>
                    <w:spacing w:line="360" w:lineRule="exact"/>
                    <w:ind w:firstLine="0"/>
                    <w:textAlignment w:val="auto"/>
                  </w:pPr>
                  <w:r>
                    <w:t>6.</w:t>
                  </w:r>
                  <w:r>
                    <w:rPr>
                      <w:rFonts w:hint="eastAsia"/>
                    </w:rPr>
                    <w:t>支持查看所有用户对账户操作的日志信息，包含：操作类型（修改密码、重置密码等）、操作人、操作时间、操作设备信息。</w:t>
                  </w:r>
                </w:p>
                <w:p w14:paraId="0B6B0588">
                  <w:pPr>
                    <w:pStyle w:val="8"/>
                    <w:pageBreakBefore w:val="0"/>
                    <w:widowControl w:val="0"/>
                    <w:kinsoku/>
                    <w:wordWrap/>
                    <w:overflowPunct/>
                    <w:topLinePunct w:val="0"/>
                    <w:autoSpaceDE/>
                    <w:autoSpaceDN/>
                    <w:bidi w:val="0"/>
                    <w:adjustRightInd/>
                    <w:snapToGrid/>
                    <w:spacing w:line="360" w:lineRule="exact"/>
                    <w:textAlignment w:val="auto"/>
                  </w:pPr>
                  <w:r>
                    <w:rPr>
                      <w:rFonts w:hint="eastAsia"/>
                    </w:rPr>
                    <w:t>用户权限管理</w:t>
                  </w:r>
                </w:p>
                <w:p w14:paraId="16F7CF62">
                  <w:pPr>
                    <w:pStyle w:val="131"/>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支持对用户登陆门户后可使用的功能进行管理，包含：</w:t>
                  </w:r>
                </w:p>
                <w:p w14:paraId="34499E42">
                  <w:pPr>
                    <w:pStyle w:val="131"/>
                    <w:pageBreakBefore w:val="0"/>
                    <w:widowControl w:val="0"/>
                    <w:kinsoku/>
                    <w:wordWrap/>
                    <w:overflowPunct/>
                    <w:topLinePunct w:val="0"/>
                    <w:autoSpaceDE/>
                    <w:autoSpaceDN/>
                    <w:bidi w:val="0"/>
                    <w:adjustRightInd/>
                    <w:snapToGrid/>
                    <w:spacing w:line="360" w:lineRule="exact"/>
                    <w:ind w:firstLine="0"/>
                    <w:textAlignment w:val="auto"/>
                  </w:pPr>
                  <w:r>
                    <w:t>1.</w:t>
                  </w:r>
                  <w:r>
                    <w:rPr>
                      <w:rFonts w:hint="eastAsia"/>
                    </w:rPr>
                    <w:t>支持配置对应用户角色可使用的系统菜单，实现用户在权限内的菜单进入对应业务应用。</w:t>
                  </w:r>
                </w:p>
                <w:p w14:paraId="26E77B8E">
                  <w:pPr>
                    <w:pStyle w:val="131"/>
                    <w:pageBreakBefore w:val="0"/>
                    <w:widowControl w:val="0"/>
                    <w:kinsoku/>
                    <w:wordWrap/>
                    <w:overflowPunct/>
                    <w:topLinePunct w:val="0"/>
                    <w:autoSpaceDE/>
                    <w:autoSpaceDN/>
                    <w:bidi w:val="0"/>
                    <w:adjustRightInd/>
                    <w:snapToGrid/>
                    <w:spacing w:line="360" w:lineRule="exact"/>
                    <w:ind w:firstLine="0"/>
                    <w:textAlignment w:val="auto"/>
                  </w:pPr>
                  <w:r>
                    <w:t>2.</w:t>
                  </w:r>
                  <w:r>
                    <w:rPr>
                      <w:rFonts w:hint="eastAsia"/>
                    </w:rPr>
                    <w:t>支持配置对应用户角色可使用的门户组件与工具，实现用户在门户内可选择使用对应的组件和工具。</w:t>
                  </w:r>
                </w:p>
                <w:p w14:paraId="4D8F3F05">
                  <w:pPr>
                    <w:pStyle w:val="131"/>
                    <w:pageBreakBefore w:val="0"/>
                    <w:widowControl w:val="0"/>
                    <w:kinsoku/>
                    <w:wordWrap/>
                    <w:overflowPunct/>
                    <w:topLinePunct w:val="0"/>
                    <w:autoSpaceDE/>
                    <w:autoSpaceDN/>
                    <w:bidi w:val="0"/>
                    <w:adjustRightInd/>
                    <w:snapToGrid/>
                    <w:spacing w:line="360" w:lineRule="exact"/>
                    <w:ind w:firstLine="0"/>
                    <w:textAlignment w:val="auto"/>
                  </w:pPr>
                  <w:r>
                    <w:t>3.</w:t>
                  </w:r>
                  <w:r>
                    <w:rPr>
                      <w:rFonts w:hint="eastAsia"/>
                    </w:rPr>
                    <w:t>支持配置角色可使用的默认门户桌面，实现用户登陆系统后可选择使用配置的默认门户桌面，同时支持配置多个桌面。</w:t>
                  </w:r>
                </w:p>
                <w:p w14:paraId="02BF73E1">
                  <w:pPr>
                    <w:pStyle w:val="8"/>
                    <w:pageBreakBefore w:val="0"/>
                    <w:widowControl w:val="0"/>
                    <w:kinsoku/>
                    <w:wordWrap/>
                    <w:overflowPunct/>
                    <w:topLinePunct w:val="0"/>
                    <w:autoSpaceDE/>
                    <w:autoSpaceDN/>
                    <w:bidi w:val="0"/>
                    <w:adjustRightInd/>
                    <w:snapToGrid/>
                    <w:spacing w:line="360" w:lineRule="exact"/>
                    <w:textAlignment w:val="auto"/>
                  </w:pPr>
                  <w:r>
                    <w:rPr>
                      <w:rFonts w:hint="eastAsia"/>
                    </w:rPr>
                    <w:t>单点登录</w:t>
                  </w:r>
                </w:p>
                <w:p w14:paraId="6998A931">
                  <w:pPr>
                    <w:pStyle w:val="131"/>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支持统一的身份认证和单点登录，无需重复登录。</w:t>
                  </w:r>
                </w:p>
                <w:p w14:paraId="6A9C21E7">
                  <w:pPr>
                    <w:pStyle w:val="131"/>
                    <w:pageBreakBefore w:val="0"/>
                    <w:widowControl w:val="0"/>
                    <w:kinsoku/>
                    <w:wordWrap/>
                    <w:overflowPunct/>
                    <w:topLinePunct w:val="0"/>
                    <w:autoSpaceDE/>
                    <w:autoSpaceDN/>
                    <w:bidi w:val="0"/>
                    <w:adjustRightInd/>
                    <w:snapToGrid/>
                    <w:spacing w:line="360" w:lineRule="exact"/>
                    <w:ind w:firstLine="0"/>
                    <w:textAlignment w:val="auto"/>
                  </w:pPr>
                  <w:r>
                    <w:rPr>
                      <w:rFonts w:hint="eastAsia"/>
                    </w:rPr>
                    <w:t>支持与</w:t>
                  </w:r>
                  <w:r>
                    <w:rPr>
                      <w:rFonts w:hint="eastAsia"/>
                      <w:lang w:val="en-US" w:eastAsia="zh-CN"/>
                    </w:rPr>
                    <w:t>第三方</w:t>
                  </w:r>
                  <w:r>
                    <w:rPr>
                      <w:rFonts w:hint="eastAsia"/>
                    </w:rPr>
                    <w:t>产品对接实现统一身份认证和单点登录，用户在使用</w:t>
                  </w:r>
                  <w:r>
                    <w:rPr>
                      <w:rFonts w:hint="eastAsia"/>
                      <w:lang w:val="en-US" w:eastAsia="zh-CN"/>
                    </w:rPr>
                    <w:t>第三方</w:t>
                  </w:r>
                  <w:r>
                    <w:rPr>
                      <w:rFonts w:hint="eastAsia"/>
                    </w:rPr>
                    <w:t>产品，无需重复登录。同时支持系统嵌入到门户中，如下：</w:t>
                  </w:r>
                </w:p>
                <w:p w14:paraId="661FFCC2">
                  <w:pPr>
                    <w:pStyle w:val="131"/>
                    <w:pageBreakBefore w:val="0"/>
                    <w:widowControl w:val="0"/>
                    <w:kinsoku/>
                    <w:wordWrap/>
                    <w:overflowPunct/>
                    <w:topLinePunct w:val="0"/>
                    <w:autoSpaceDE/>
                    <w:autoSpaceDN/>
                    <w:bidi w:val="0"/>
                    <w:adjustRightInd/>
                    <w:snapToGrid/>
                    <w:spacing w:line="360" w:lineRule="exact"/>
                    <w:ind w:firstLine="0"/>
                    <w:textAlignment w:val="auto"/>
                  </w:pPr>
                  <w:r>
                    <w:t>1.</w:t>
                  </w:r>
                  <w:r>
                    <w:rPr>
                      <w:rFonts w:hint="eastAsia"/>
                    </w:rPr>
                    <w:t>针对</w:t>
                  </w:r>
                  <w:r>
                    <w:t>B/S</w:t>
                  </w:r>
                  <w:r>
                    <w:rPr>
                      <w:rFonts w:hint="eastAsia"/>
                    </w:rPr>
                    <w:t>系统，可实现菜单级别的嵌入，合作厂商需提供系统菜单</w:t>
                  </w:r>
                  <w:r>
                    <w:t>URL</w:t>
                  </w:r>
                  <w:r>
                    <w:rPr>
                      <w:rFonts w:hint="eastAsia"/>
                    </w:rPr>
                    <w:t>地址，对接后可在统一门户中打开。</w:t>
                  </w:r>
                </w:p>
                <w:p w14:paraId="7775644D">
                  <w:pPr>
                    <w:pStyle w:val="131"/>
                    <w:pageBreakBefore w:val="0"/>
                    <w:widowControl w:val="0"/>
                    <w:kinsoku/>
                    <w:wordWrap/>
                    <w:overflowPunct/>
                    <w:topLinePunct w:val="0"/>
                    <w:autoSpaceDE/>
                    <w:autoSpaceDN/>
                    <w:bidi w:val="0"/>
                    <w:adjustRightInd/>
                    <w:snapToGrid/>
                    <w:spacing w:line="360" w:lineRule="exact"/>
                    <w:ind w:firstLine="0"/>
                    <w:textAlignment w:val="auto"/>
                  </w:pPr>
                  <w:r>
                    <w:t>2.</w:t>
                  </w:r>
                  <w:r>
                    <w:rPr>
                      <w:rFonts w:hint="eastAsia"/>
                    </w:rPr>
                    <w:t>针对</w:t>
                  </w:r>
                  <w:r>
                    <w:t>C/S</w:t>
                  </w:r>
                  <w:r>
                    <w:rPr>
                      <w:rFonts w:hint="eastAsia"/>
                    </w:rPr>
                    <w:t>系统，在门户配置系统的启动程序，则可在统一门户中启动打开，实现统一登录入口。</w:t>
                  </w:r>
                </w:p>
              </w:tc>
            </w:tr>
            <w:tr w14:paraId="705F3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3" w:type="dxa"/>
                  <w:vMerge w:val="restart"/>
                  <w:tcBorders>
                    <w:top w:val="single" w:color="auto" w:sz="4" w:space="0"/>
                    <w:left w:val="single" w:color="auto" w:sz="4" w:space="0"/>
                    <w:bottom w:val="single" w:color="auto" w:sz="4" w:space="0"/>
                    <w:right w:val="single" w:color="auto" w:sz="4" w:space="0"/>
                  </w:tcBorders>
                  <w:noWrap/>
                  <w:vAlign w:val="center"/>
                </w:tcPr>
                <w:p w14:paraId="6C7E50C8">
                  <w:pPr>
                    <w:jc w:val="center"/>
                    <w:rPr>
                      <w:rFonts w:ascii="宋体" w:hAnsi="宋体" w:cs="宋体"/>
                      <w:b/>
                      <w:color w:val="000000"/>
                      <w:sz w:val="21"/>
                      <w:szCs w:val="21"/>
                    </w:rPr>
                  </w:pPr>
                  <w:r>
                    <w:rPr>
                      <w:rFonts w:hint="eastAsia"/>
                      <w:b/>
                      <w:color w:val="000000"/>
                      <w:sz w:val="21"/>
                      <w:szCs w:val="21"/>
                    </w:rPr>
                    <w:t>第三方接口</w:t>
                  </w:r>
                </w:p>
              </w:tc>
              <w:tc>
                <w:tcPr>
                  <w:tcW w:w="804" w:type="dxa"/>
                  <w:vMerge w:val="restart"/>
                  <w:tcBorders>
                    <w:top w:val="single" w:color="auto" w:sz="4" w:space="0"/>
                    <w:left w:val="single" w:color="auto" w:sz="4" w:space="0"/>
                    <w:bottom w:val="single" w:color="auto" w:sz="4" w:space="0"/>
                    <w:right w:val="single" w:color="auto" w:sz="4" w:space="0"/>
                  </w:tcBorders>
                  <w:noWrap w:val="0"/>
                  <w:vAlign w:val="center"/>
                </w:tcPr>
                <w:p w14:paraId="6273E9A9">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宋体"/>
                      <w:color w:val="000000"/>
                      <w:sz w:val="21"/>
                      <w:szCs w:val="21"/>
                    </w:rPr>
                  </w:pPr>
                  <w:r>
                    <w:rPr>
                      <w:rFonts w:hint="eastAsia"/>
                      <w:color w:val="000000"/>
                      <w:sz w:val="21"/>
                      <w:szCs w:val="21"/>
                    </w:rPr>
                    <w:t>第三方接口</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161B0012">
                  <w:pPr>
                    <w:keepNext w:val="0"/>
                    <w:keepLines w:val="0"/>
                    <w:pageBreakBefore w:val="0"/>
                    <w:kinsoku/>
                    <w:wordWrap/>
                    <w:overflowPunct/>
                    <w:topLinePunct w:val="0"/>
                    <w:autoSpaceDE/>
                    <w:autoSpaceDN/>
                    <w:bidi w:val="0"/>
                    <w:adjustRightInd/>
                    <w:snapToGrid/>
                    <w:spacing w:line="360" w:lineRule="exact"/>
                    <w:textAlignment w:val="auto"/>
                    <w:rPr>
                      <w:rFonts w:ascii="宋体" w:hAnsi="宋体" w:cs="宋体"/>
                      <w:color w:val="000000"/>
                      <w:sz w:val="21"/>
                      <w:szCs w:val="21"/>
                    </w:rPr>
                  </w:pPr>
                  <w:r>
                    <w:rPr>
                      <w:rFonts w:hint="eastAsia"/>
                      <w:color w:val="000000"/>
                      <w:sz w:val="21"/>
                      <w:szCs w:val="21"/>
                    </w:rPr>
                    <w:t>国家医保接口</w:t>
                  </w:r>
                </w:p>
              </w:tc>
              <w:tc>
                <w:tcPr>
                  <w:tcW w:w="7748" w:type="dxa"/>
                  <w:tcBorders>
                    <w:top w:val="single" w:color="auto" w:sz="4" w:space="0"/>
                    <w:left w:val="single" w:color="auto" w:sz="4" w:space="0"/>
                    <w:bottom w:val="single" w:color="auto" w:sz="4" w:space="0"/>
                    <w:right w:val="single" w:color="auto" w:sz="4" w:space="0"/>
                  </w:tcBorders>
                  <w:noWrap/>
                  <w:vAlign w:val="center"/>
                </w:tcPr>
                <w:p w14:paraId="10763E2F">
                  <w:pPr>
                    <w:pStyle w:val="131"/>
                    <w:keepNext w:val="0"/>
                    <w:keepLines w:val="0"/>
                    <w:pageBreakBefore w:val="0"/>
                    <w:kinsoku/>
                    <w:wordWrap/>
                    <w:overflowPunct/>
                    <w:topLinePunct w:val="0"/>
                    <w:autoSpaceDE/>
                    <w:autoSpaceDN/>
                    <w:bidi w:val="0"/>
                    <w:adjustRightInd/>
                    <w:snapToGrid/>
                    <w:spacing w:line="360" w:lineRule="exact"/>
                    <w:ind w:firstLine="0"/>
                    <w:textAlignment w:val="auto"/>
                  </w:pPr>
                  <w:r>
                    <w:rPr>
                      <w:rFonts w:hint="eastAsia"/>
                    </w:rPr>
                    <w:t>实现医院信息系统与国家医保系统的对接，完成医保病人的实时结算。</w:t>
                  </w:r>
                </w:p>
              </w:tc>
            </w:tr>
            <w:tr w14:paraId="22182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3" w:type="dxa"/>
                  <w:vMerge w:val="continue"/>
                  <w:tcBorders>
                    <w:top w:val="single" w:color="auto" w:sz="4" w:space="0"/>
                    <w:left w:val="single" w:color="auto" w:sz="4" w:space="0"/>
                    <w:bottom w:val="single" w:color="auto" w:sz="4" w:space="0"/>
                    <w:right w:val="single" w:color="auto" w:sz="4" w:space="0"/>
                  </w:tcBorders>
                  <w:noWrap w:val="0"/>
                  <w:vAlign w:val="center"/>
                </w:tcPr>
                <w:p w14:paraId="3E5E3AD1">
                  <w:pPr>
                    <w:widowControl/>
                    <w:jc w:val="left"/>
                    <w:rPr>
                      <w:rFonts w:ascii="宋体" w:hAnsi="宋体" w:cs="宋体"/>
                      <w:b/>
                      <w:color w:val="000000"/>
                      <w:sz w:val="21"/>
                      <w:szCs w:val="21"/>
                    </w:rPr>
                  </w:pPr>
                </w:p>
              </w:tc>
              <w:tc>
                <w:tcPr>
                  <w:tcW w:w="804" w:type="dxa"/>
                  <w:vMerge w:val="continue"/>
                  <w:tcBorders>
                    <w:top w:val="single" w:color="auto" w:sz="4" w:space="0"/>
                    <w:left w:val="single" w:color="auto" w:sz="4" w:space="0"/>
                    <w:bottom w:val="single" w:color="auto" w:sz="4" w:space="0"/>
                    <w:right w:val="single" w:color="auto" w:sz="4" w:space="0"/>
                  </w:tcBorders>
                  <w:noWrap w:val="0"/>
                  <w:vAlign w:val="center"/>
                </w:tcPr>
                <w:p w14:paraId="1C8823D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000000"/>
                      <w:sz w:val="21"/>
                      <w:szCs w:val="21"/>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2C88151C">
                  <w:pPr>
                    <w:keepNext w:val="0"/>
                    <w:keepLines w:val="0"/>
                    <w:pageBreakBefore w:val="0"/>
                    <w:kinsoku/>
                    <w:wordWrap/>
                    <w:overflowPunct/>
                    <w:topLinePunct w:val="0"/>
                    <w:autoSpaceDE/>
                    <w:autoSpaceDN/>
                    <w:bidi w:val="0"/>
                    <w:adjustRightInd/>
                    <w:snapToGrid/>
                    <w:spacing w:line="360" w:lineRule="exact"/>
                    <w:textAlignment w:val="auto"/>
                    <w:rPr>
                      <w:rFonts w:ascii="宋体" w:hAnsi="宋体" w:cs="宋体"/>
                      <w:color w:val="000000"/>
                      <w:sz w:val="21"/>
                      <w:szCs w:val="21"/>
                    </w:rPr>
                  </w:pPr>
                  <w:r>
                    <w:rPr>
                      <w:rFonts w:hint="eastAsia"/>
                      <w:color w:val="000000"/>
                      <w:sz w:val="21"/>
                      <w:szCs w:val="21"/>
                    </w:rPr>
                    <w:t>国家传染病智能监测预警前置软件接口</w:t>
                  </w:r>
                </w:p>
              </w:tc>
              <w:tc>
                <w:tcPr>
                  <w:tcW w:w="7748" w:type="dxa"/>
                  <w:tcBorders>
                    <w:top w:val="single" w:color="auto" w:sz="4" w:space="0"/>
                    <w:left w:val="single" w:color="auto" w:sz="4" w:space="0"/>
                    <w:bottom w:val="single" w:color="auto" w:sz="4" w:space="0"/>
                    <w:right w:val="single" w:color="auto" w:sz="4" w:space="0"/>
                  </w:tcBorders>
                  <w:noWrap/>
                  <w:vAlign w:val="center"/>
                </w:tcPr>
                <w:p w14:paraId="56A69B3B">
                  <w:pPr>
                    <w:pStyle w:val="131"/>
                    <w:keepNext w:val="0"/>
                    <w:keepLines w:val="0"/>
                    <w:pageBreakBefore w:val="0"/>
                    <w:kinsoku/>
                    <w:wordWrap/>
                    <w:overflowPunct/>
                    <w:topLinePunct w:val="0"/>
                    <w:autoSpaceDE/>
                    <w:autoSpaceDN/>
                    <w:bidi w:val="0"/>
                    <w:adjustRightInd/>
                    <w:snapToGrid/>
                    <w:spacing w:line="360" w:lineRule="exact"/>
                    <w:ind w:firstLine="0"/>
                    <w:textAlignment w:val="auto"/>
                  </w:pPr>
                  <w:r>
                    <w:rPr>
                      <w:rFonts w:hint="eastAsia"/>
                    </w:rPr>
                    <w:t>实现医院信息系统与国家传染病智能监测预警前置软件的对接，实现数据上传。</w:t>
                  </w:r>
                </w:p>
              </w:tc>
            </w:tr>
            <w:tr w14:paraId="14DFB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3" w:type="dxa"/>
                  <w:vMerge w:val="continue"/>
                  <w:tcBorders>
                    <w:top w:val="single" w:color="auto" w:sz="4" w:space="0"/>
                    <w:left w:val="single" w:color="auto" w:sz="4" w:space="0"/>
                    <w:bottom w:val="single" w:color="auto" w:sz="4" w:space="0"/>
                    <w:right w:val="single" w:color="auto" w:sz="4" w:space="0"/>
                  </w:tcBorders>
                  <w:noWrap w:val="0"/>
                  <w:vAlign w:val="center"/>
                </w:tcPr>
                <w:p w14:paraId="2C0F460B">
                  <w:pPr>
                    <w:widowControl/>
                    <w:jc w:val="left"/>
                    <w:rPr>
                      <w:rFonts w:ascii="宋体" w:hAnsi="宋体" w:cs="宋体"/>
                      <w:b/>
                      <w:color w:val="000000"/>
                      <w:sz w:val="21"/>
                      <w:szCs w:val="21"/>
                    </w:rPr>
                  </w:pPr>
                </w:p>
              </w:tc>
              <w:tc>
                <w:tcPr>
                  <w:tcW w:w="804" w:type="dxa"/>
                  <w:vMerge w:val="continue"/>
                  <w:tcBorders>
                    <w:top w:val="single" w:color="auto" w:sz="4" w:space="0"/>
                    <w:left w:val="single" w:color="auto" w:sz="4" w:space="0"/>
                    <w:bottom w:val="single" w:color="auto" w:sz="4" w:space="0"/>
                    <w:right w:val="single" w:color="auto" w:sz="4" w:space="0"/>
                  </w:tcBorders>
                  <w:noWrap w:val="0"/>
                  <w:vAlign w:val="center"/>
                </w:tcPr>
                <w:p w14:paraId="3539925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000000"/>
                      <w:sz w:val="21"/>
                      <w:szCs w:val="21"/>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654ECF33">
                  <w:pPr>
                    <w:keepNext w:val="0"/>
                    <w:keepLines w:val="0"/>
                    <w:pageBreakBefore w:val="0"/>
                    <w:kinsoku/>
                    <w:wordWrap/>
                    <w:overflowPunct/>
                    <w:topLinePunct w:val="0"/>
                    <w:autoSpaceDE/>
                    <w:autoSpaceDN/>
                    <w:bidi w:val="0"/>
                    <w:adjustRightInd/>
                    <w:snapToGrid/>
                    <w:spacing w:line="360" w:lineRule="exact"/>
                    <w:textAlignment w:val="auto"/>
                    <w:rPr>
                      <w:rFonts w:ascii="宋体" w:hAnsi="宋体" w:cs="宋体"/>
                      <w:color w:val="000000"/>
                      <w:sz w:val="21"/>
                      <w:szCs w:val="21"/>
                    </w:rPr>
                  </w:pPr>
                  <w:r>
                    <w:rPr>
                      <w:rFonts w:hint="eastAsia"/>
                      <w:color w:val="000000"/>
                      <w:sz w:val="21"/>
                      <w:szCs w:val="21"/>
                    </w:rPr>
                    <w:t>新建和利旧系统第三方接口</w:t>
                  </w:r>
                </w:p>
              </w:tc>
              <w:tc>
                <w:tcPr>
                  <w:tcW w:w="7748" w:type="dxa"/>
                  <w:tcBorders>
                    <w:top w:val="single" w:color="auto" w:sz="4" w:space="0"/>
                    <w:left w:val="single" w:color="auto" w:sz="4" w:space="0"/>
                    <w:bottom w:val="single" w:color="auto" w:sz="4" w:space="0"/>
                    <w:right w:val="single" w:color="auto" w:sz="4" w:space="0"/>
                  </w:tcBorders>
                  <w:noWrap/>
                  <w:vAlign w:val="center"/>
                </w:tcPr>
                <w:p w14:paraId="03F1EBEA">
                  <w:pPr>
                    <w:pStyle w:val="131"/>
                    <w:keepNext w:val="0"/>
                    <w:keepLines w:val="0"/>
                    <w:pageBreakBefore w:val="0"/>
                    <w:kinsoku/>
                    <w:wordWrap/>
                    <w:overflowPunct/>
                    <w:topLinePunct w:val="0"/>
                    <w:autoSpaceDE/>
                    <w:autoSpaceDN/>
                    <w:bidi w:val="0"/>
                    <w:adjustRightInd/>
                    <w:snapToGrid/>
                    <w:spacing w:line="360" w:lineRule="exact"/>
                    <w:ind w:firstLine="0"/>
                    <w:textAlignment w:val="auto"/>
                    <w:rPr>
                      <w:rFonts w:hint="default"/>
                      <w:lang w:val="en-US"/>
                    </w:rPr>
                  </w:pPr>
                  <w:r>
                    <w:rPr>
                      <w:rFonts w:hint="eastAsia"/>
                    </w:rPr>
                    <w:t>实现新建系统与利旧系统的对接，包括与广西全民健康平台、医学影像管理系统（</w:t>
                  </w:r>
                  <w:r>
                    <w:t>PACS</w:t>
                  </w:r>
                  <w:r>
                    <w:rPr>
                      <w:rFonts w:hint="eastAsia"/>
                    </w:rPr>
                    <w:t>）、超声管理系统、心电管理系统、手术麻醉系统、重症监护管理系统、医院感控管理系统、合理用药检测系统、处方前置审核系统、数字认证系统（医护电子签名）、数字认证系统（患者电子签名）、电子发票系统等的对接。</w:t>
                  </w:r>
                  <w:r>
                    <w:rPr>
                      <w:rFonts w:hint="eastAsia"/>
                      <w:lang w:val="en-US" w:eastAsia="zh-CN"/>
                    </w:rPr>
                    <w:t>相关接口文件，详见技术文件（另附）</w:t>
                  </w:r>
                </w:p>
              </w:tc>
            </w:tr>
            <w:tr w14:paraId="03257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3" w:type="dxa"/>
                  <w:vMerge w:val="restart"/>
                  <w:tcBorders>
                    <w:top w:val="single" w:color="auto" w:sz="4" w:space="0"/>
                    <w:left w:val="single" w:color="auto" w:sz="4" w:space="0"/>
                    <w:bottom w:val="single" w:color="auto" w:sz="4" w:space="0"/>
                    <w:right w:val="single" w:color="auto" w:sz="4" w:space="0"/>
                  </w:tcBorders>
                  <w:noWrap/>
                  <w:vAlign w:val="center"/>
                </w:tcPr>
                <w:p w14:paraId="11E91C6F">
                  <w:pPr>
                    <w:jc w:val="center"/>
                    <w:rPr>
                      <w:rFonts w:ascii="宋体" w:hAnsi="宋体" w:cs="宋体"/>
                      <w:b/>
                      <w:color w:val="000000"/>
                      <w:sz w:val="21"/>
                      <w:szCs w:val="21"/>
                    </w:rPr>
                  </w:pPr>
                  <w:r>
                    <w:rPr>
                      <w:rFonts w:hint="eastAsia"/>
                      <w:b/>
                      <w:color w:val="000000"/>
                      <w:sz w:val="21"/>
                      <w:szCs w:val="21"/>
                    </w:rPr>
                    <w:t>电子病历评级支持</w:t>
                  </w:r>
                </w:p>
              </w:tc>
              <w:tc>
                <w:tcPr>
                  <w:tcW w:w="804" w:type="dxa"/>
                  <w:vMerge w:val="restart"/>
                  <w:tcBorders>
                    <w:top w:val="single" w:color="auto" w:sz="4" w:space="0"/>
                    <w:left w:val="single" w:color="auto" w:sz="4" w:space="0"/>
                    <w:bottom w:val="single" w:color="auto" w:sz="4" w:space="0"/>
                    <w:right w:val="single" w:color="auto" w:sz="4" w:space="0"/>
                  </w:tcBorders>
                  <w:noWrap w:val="0"/>
                  <w:vAlign w:val="center"/>
                </w:tcPr>
                <w:p w14:paraId="4B60EBE2">
                  <w:pPr>
                    <w:pageBreakBefore w:val="0"/>
                    <w:widowControl w:val="0"/>
                    <w:kinsoku/>
                    <w:wordWrap/>
                    <w:overflowPunct/>
                    <w:topLinePunct w:val="0"/>
                    <w:autoSpaceDE/>
                    <w:autoSpaceDN/>
                    <w:bidi w:val="0"/>
                    <w:adjustRightInd/>
                    <w:spacing w:line="360" w:lineRule="exact"/>
                    <w:jc w:val="center"/>
                    <w:textAlignment w:val="auto"/>
                    <w:rPr>
                      <w:rFonts w:ascii="宋体" w:hAnsi="宋体" w:cs="宋体"/>
                      <w:color w:val="000000"/>
                      <w:sz w:val="21"/>
                      <w:szCs w:val="21"/>
                    </w:rPr>
                  </w:pPr>
                  <w:r>
                    <w:rPr>
                      <w:rFonts w:hint="eastAsia"/>
                      <w:color w:val="000000"/>
                      <w:sz w:val="21"/>
                      <w:szCs w:val="21"/>
                    </w:rPr>
                    <w:t>电子病历评级辅助</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7DEC2F0F">
                  <w:pPr>
                    <w:pageBreakBefore w:val="0"/>
                    <w:widowControl w:val="0"/>
                    <w:kinsoku/>
                    <w:wordWrap/>
                    <w:overflowPunct/>
                    <w:topLinePunct w:val="0"/>
                    <w:autoSpaceDE/>
                    <w:autoSpaceDN/>
                    <w:bidi w:val="0"/>
                    <w:adjustRightInd/>
                    <w:spacing w:line="360" w:lineRule="exact"/>
                    <w:textAlignment w:val="auto"/>
                    <w:rPr>
                      <w:rFonts w:ascii="宋体" w:hAnsi="宋体" w:cs="宋体"/>
                      <w:color w:val="000000"/>
                      <w:sz w:val="21"/>
                      <w:szCs w:val="21"/>
                    </w:rPr>
                  </w:pPr>
                  <w:r>
                    <w:rPr>
                      <w:rFonts w:hint="eastAsia"/>
                      <w:color w:val="000000"/>
                      <w:sz w:val="21"/>
                      <w:szCs w:val="21"/>
                    </w:rPr>
                    <w:t>数据质量工具</w:t>
                  </w:r>
                </w:p>
              </w:tc>
              <w:tc>
                <w:tcPr>
                  <w:tcW w:w="7748" w:type="dxa"/>
                  <w:tcBorders>
                    <w:top w:val="single" w:color="auto" w:sz="4" w:space="0"/>
                    <w:left w:val="single" w:color="auto" w:sz="4" w:space="0"/>
                    <w:bottom w:val="single" w:color="auto" w:sz="4" w:space="0"/>
                    <w:right w:val="single" w:color="auto" w:sz="4" w:space="0"/>
                  </w:tcBorders>
                  <w:noWrap/>
                  <w:vAlign w:val="center"/>
                </w:tcPr>
                <w:p w14:paraId="26641260">
                  <w:pPr>
                    <w:pStyle w:val="6"/>
                    <w:pageBreakBefore w:val="0"/>
                    <w:widowControl w:val="0"/>
                    <w:numPr>
                      <w:ilvl w:val="0"/>
                      <w:numId w:val="0"/>
                    </w:numPr>
                    <w:tabs>
                      <w:tab w:val="left" w:pos="420"/>
                    </w:tabs>
                    <w:kinsoku/>
                    <w:wordWrap/>
                    <w:overflowPunct/>
                    <w:topLinePunct w:val="0"/>
                    <w:autoSpaceDE/>
                    <w:autoSpaceDN/>
                    <w:bidi w:val="0"/>
                    <w:adjustRightInd/>
                    <w:spacing w:line="360" w:lineRule="exact"/>
                    <w:textAlignment w:val="auto"/>
                    <w:rPr>
                      <w:lang w:val="zh-CN"/>
                    </w:rPr>
                  </w:pPr>
                  <w:r>
                    <w:rPr>
                      <w:rFonts w:hint="eastAsia"/>
                      <w:lang w:val="zh-CN"/>
                    </w:rPr>
                    <w:t>电子病历评级辅助工具</w:t>
                  </w:r>
                </w:p>
                <w:p w14:paraId="62A2781B">
                  <w:pPr>
                    <w:pStyle w:val="7"/>
                    <w:pageBreakBefore w:val="0"/>
                    <w:widowControl w:val="0"/>
                    <w:kinsoku/>
                    <w:wordWrap/>
                    <w:overflowPunct/>
                    <w:topLinePunct w:val="0"/>
                    <w:autoSpaceDE/>
                    <w:autoSpaceDN/>
                    <w:bidi w:val="0"/>
                    <w:adjustRightInd/>
                    <w:spacing w:line="360" w:lineRule="exact"/>
                    <w:textAlignment w:val="auto"/>
                  </w:pPr>
                  <w:r>
                    <w:rPr>
                      <w:rFonts w:hint="eastAsia"/>
                    </w:rPr>
                    <w:t>评级首页</w:t>
                  </w:r>
                </w:p>
                <w:p w14:paraId="4D570EE3">
                  <w:pPr>
                    <w:pageBreakBefore w:val="0"/>
                    <w:widowControl w:val="0"/>
                    <w:kinsoku/>
                    <w:wordWrap/>
                    <w:overflowPunct/>
                    <w:topLinePunct w:val="0"/>
                    <w:autoSpaceDE/>
                    <w:autoSpaceDN/>
                    <w:bidi w:val="0"/>
                    <w:adjustRightInd/>
                    <w:spacing w:line="360" w:lineRule="exact"/>
                    <w:textAlignment w:val="auto"/>
                  </w:pPr>
                  <w:r>
                    <w:rPr>
                      <w:rFonts w:hint="eastAsia"/>
                    </w:rPr>
                    <w:t>评级首页支持针对不同角色分配不同的菜单权限、功能权限以及数据调阅权限。首页展示内容包括评级模块数量、评级项目数量、考察项目类型数量、评级等级数量，以及数据改善趋势图和规则配置情况。</w:t>
                  </w:r>
                </w:p>
                <w:p w14:paraId="603B35B3">
                  <w:pPr>
                    <w:pStyle w:val="7"/>
                    <w:pageBreakBefore w:val="0"/>
                    <w:widowControl w:val="0"/>
                    <w:kinsoku/>
                    <w:wordWrap/>
                    <w:overflowPunct/>
                    <w:topLinePunct w:val="0"/>
                    <w:autoSpaceDE/>
                    <w:autoSpaceDN/>
                    <w:bidi w:val="0"/>
                    <w:adjustRightInd/>
                    <w:spacing w:line="360" w:lineRule="exact"/>
                    <w:textAlignment w:val="auto"/>
                  </w:pPr>
                  <w:r>
                    <w:rPr>
                      <w:rFonts w:hint="eastAsia"/>
                    </w:rPr>
                    <w:t>评级标准管理</w:t>
                  </w:r>
                </w:p>
                <w:p w14:paraId="0F0C7DBF">
                  <w:pPr>
                    <w:pageBreakBefore w:val="0"/>
                    <w:widowControl w:val="0"/>
                    <w:kinsoku/>
                    <w:wordWrap/>
                    <w:overflowPunct/>
                    <w:topLinePunct w:val="0"/>
                    <w:autoSpaceDE/>
                    <w:autoSpaceDN/>
                    <w:bidi w:val="0"/>
                    <w:adjustRightInd/>
                    <w:spacing w:line="360" w:lineRule="exact"/>
                    <w:textAlignment w:val="auto"/>
                  </w:pPr>
                  <w:r>
                    <w:rPr>
                      <w:rFonts w:hint="eastAsia"/>
                    </w:rPr>
                    <w:t>电子病历评级内容标准化管理的目的在于保证与提高医院电子病历数据质量，实现电子病历评级数据质量目标，通过数据质量评分体系对医院电子病历数据质量进行规则校验，提升医院电子病历管理使用水平。</w:t>
                  </w:r>
                </w:p>
                <w:p w14:paraId="202DC1F5">
                  <w:pPr>
                    <w:pStyle w:val="8"/>
                    <w:pageBreakBefore w:val="0"/>
                    <w:widowControl w:val="0"/>
                    <w:kinsoku/>
                    <w:wordWrap/>
                    <w:overflowPunct/>
                    <w:topLinePunct w:val="0"/>
                    <w:autoSpaceDE/>
                    <w:autoSpaceDN/>
                    <w:bidi w:val="0"/>
                    <w:adjustRightInd/>
                    <w:spacing w:line="360" w:lineRule="exact"/>
                    <w:textAlignment w:val="auto"/>
                  </w:pPr>
                  <w:r>
                    <w:rPr>
                      <w:rFonts w:hint="eastAsia"/>
                    </w:rPr>
                    <w:t>工作角色管理</w:t>
                  </w:r>
                </w:p>
                <w:p w14:paraId="5431D085">
                  <w:pPr>
                    <w:pageBreakBefore w:val="0"/>
                    <w:widowControl w:val="0"/>
                    <w:kinsoku/>
                    <w:wordWrap/>
                    <w:overflowPunct/>
                    <w:topLinePunct w:val="0"/>
                    <w:autoSpaceDE/>
                    <w:autoSpaceDN/>
                    <w:bidi w:val="0"/>
                    <w:adjustRightInd/>
                    <w:spacing w:line="360" w:lineRule="exact"/>
                    <w:textAlignment w:val="auto"/>
                  </w:pPr>
                  <w:r>
                    <w:rPr>
                      <w:rFonts w:hint="eastAsia"/>
                    </w:rPr>
                    <w:t>支持按照“电子病历系统应用水平分级评分标准”要求的医疗工作流程中的</w:t>
                  </w:r>
                  <w:r>
                    <w:t>10</w:t>
                  </w:r>
                  <w:r>
                    <w:rPr>
                      <w:rFonts w:hint="eastAsia"/>
                    </w:rPr>
                    <w:t>个工作角色进行管理。</w:t>
                  </w:r>
                </w:p>
                <w:p w14:paraId="0973AF3F">
                  <w:pPr>
                    <w:pStyle w:val="8"/>
                    <w:pageBreakBefore w:val="0"/>
                    <w:widowControl w:val="0"/>
                    <w:kinsoku/>
                    <w:wordWrap/>
                    <w:overflowPunct/>
                    <w:topLinePunct w:val="0"/>
                    <w:autoSpaceDE/>
                    <w:autoSpaceDN/>
                    <w:bidi w:val="0"/>
                    <w:adjustRightInd/>
                    <w:spacing w:line="360" w:lineRule="exact"/>
                    <w:textAlignment w:val="auto"/>
                  </w:pPr>
                  <w:r>
                    <w:rPr>
                      <w:rFonts w:hint="eastAsia"/>
                    </w:rPr>
                    <w:t>评价项目管理</w:t>
                  </w:r>
                </w:p>
                <w:p w14:paraId="063371E8">
                  <w:pPr>
                    <w:pageBreakBefore w:val="0"/>
                    <w:widowControl w:val="0"/>
                    <w:kinsoku/>
                    <w:wordWrap/>
                    <w:overflowPunct/>
                    <w:topLinePunct w:val="0"/>
                    <w:autoSpaceDE/>
                    <w:autoSpaceDN/>
                    <w:bidi w:val="0"/>
                    <w:adjustRightInd/>
                    <w:spacing w:line="360" w:lineRule="exact"/>
                    <w:textAlignment w:val="auto"/>
                  </w:pPr>
                  <w:r>
                    <w:rPr>
                      <w:rFonts w:hint="eastAsia"/>
                    </w:rPr>
                    <w:t>支持按照“电子病历系统应用水平分级评分标准”要求的医疗工作流程中的</w:t>
                  </w:r>
                  <w:r>
                    <w:t>10</w:t>
                  </w:r>
                  <w:r>
                    <w:rPr>
                      <w:rFonts w:hint="eastAsia"/>
                    </w:rPr>
                    <w:t>个工作角色的</w:t>
                  </w:r>
                  <w:r>
                    <w:t>39</w:t>
                  </w:r>
                  <w:r>
                    <w:rPr>
                      <w:rFonts w:hint="eastAsia"/>
                    </w:rPr>
                    <w:t>个评价项目进行管理。</w:t>
                  </w:r>
                </w:p>
                <w:p w14:paraId="5E605F02">
                  <w:pPr>
                    <w:pStyle w:val="8"/>
                    <w:pageBreakBefore w:val="0"/>
                    <w:widowControl w:val="0"/>
                    <w:kinsoku/>
                    <w:wordWrap/>
                    <w:overflowPunct/>
                    <w:topLinePunct w:val="0"/>
                    <w:autoSpaceDE/>
                    <w:autoSpaceDN/>
                    <w:bidi w:val="0"/>
                    <w:adjustRightInd/>
                    <w:spacing w:line="360" w:lineRule="exact"/>
                    <w:textAlignment w:val="auto"/>
                  </w:pPr>
                  <w:r>
                    <w:rPr>
                      <w:rFonts w:hint="eastAsia"/>
                    </w:rPr>
                    <w:t>考察项目管理</w:t>
                  </w:r>
                </w:p>
                <w:p w14:paraId="7D23BA79">
                  <w:pPr>
                    <w:pageBreakBefore w:val="0"/>
                    <w:widowControl w:val="0"/>
                    <w:kinsoku/>
                    <w:wordWrap/>
                    <w:overflowPunct/>
                    <w:topLinePunct w:val="0"/>
                    <w:autoSpaceDE/>
                    <w:autoSpaceDN/>
                    <w:bidi w:val="0"/>
                    <w:adjustRightInd/>
                    <w:spacing w:line="360" w:lineRule="exact"/>
                    <w:textAlignment w:val="auto"/>
                  </w:pPr>
                  <w:r>
                    <w:rPr>
                      <w:rFonts w:hint="eastAsia"/>
                    </w:rPr>
                    <w:t>电子病历评审的重要一环是数据质量评价，系统支持从数据标准化与一致性、完整性、整合性和及时性</w:t>
                  </w:r>
                  <w:r>
                    <w:t>4</w:t>
                  </w:r>
                  <w:r>
                    <w:rPr>
                      <w:rFonts w:hint="eastAsia"/>
                    </w:rPr>
                    <w:t>个方面，对覆盖医疗工作流程各角色、各评价项目的数据质量进行考察评分。</w:t>
                  </w:r>
                </w:p>
                <w:p w14:paraId="06BDA1C3">
                  <w:pPr>
                    <w:pageBreakBefore w:val="0"/>
                    <w:widowControl w:val="0"/>
                    <w:kinsoku/>
                    <w:wordWrap/>
                    <w:overflowPunct/>
                    <w:topLinePunct w:val="0"/>
                    <w:autoSpaceDE/>
                    <w:autoSpaceDN/>
                    <w:bidi w:val="0"/>
                    <w:adjustRightInd/>
                    <w:spacing w:line="360" w:lineRule="exact"/>
                    <w:textAlignment w:val="auto"/>
                  </w:pPr>
                  <w:r>
                    <w:rPr>
                      <w:rFonts w:hint="eastAsia"/>
                    </w:rPr>
                    <w:t>（</w:t>
                  </w:r>
                  <w:r>
                    <w:t>1</w:t>
                  </w:r>
                  <w:r>
                    <w:rPr>
                      <w:rFonts w:hint="eastAsia"/>
                    </w:rPr>
                    <w:t>）一致性</w:t>
                  </w:r>
                </w:p>
                <w:p w14:paraId="5504C367">
                  <w:pPr>
                    <w:pageBreakBefore w:val="0"/>
                    <w:widowControl w:val="0"/>
                    <w:kinsoku/>
                    <w:wordWrap/>
                    <w:overflowPunct/>
                    <w:topLinePunct w:val="0"/>
                    <w:autoSpaceDE/>
                    <w:autoSpaceDN/>
                    <w:bidi w:val="0"/>
                    <w:adjustRightInd/>
                    <w:spacing w:line="360" w:lineRule="exact"/>
                    <w:textAlignment w:val="auto"/>
                  </w:pPr>
                  <w:r>
                    <w:rPr>
                      <w:rFonts w:hint="eastAsia"/>
                    </w:rPr>
                    <w:t>数据标准化与一致性：考察对应评价项目中关键数据项内容与字典数据内容的一致性。</w:t>
                  </w:r>
                </w:p>
                <w:p w14:paraId="30A43B68">
                  <w:pPr>
                    <w:pageBreakBefore w:val="0"/>
                    <w:widowControl w:val="0"/>
                    <w:kinsoku/>
                    <w:wordWrap/>
                    <w:overflowPunct/>
                    <w:topLinePunct w:val="0"/>
                    <w:autoSpaceDE/>
                    <w:autoSpaceDN/>
                    <w:bidi w:val="0"/>
                    <w:adjustRightInd/>
                    <w:spacing w:line="360" w:lineRule="exact"/>
                    <w:textAlignment w:val="auto"/>
                  </w:pPr>
                  <w:r>
                    <w:rPr>
                      <w:rFonts w:hint="eastAsia"/>
                    </w:rPr>
                    <w:t>以数据字典项目为基准内容值，考察实际数据记录中与基准一致内容所占的比例。一致性系数</w:t>
                  </w:r>
                  <w:r>
                    <w:t>=</w:t>
                  </w:r>
                  <w:r>
                    <w:rPr>
                      <w:rFonts w:hint="eastAsia"/>
                    </w:rPr>
                    <w:t>数据记录对应的项目中与字典内容一致的记录数</w:t>
                  </w:r>
                  <w:r>
                    <w:t>/</w:t>
                  </w:r>
                  <w:r>
                    <w:rPr>
                      <w:rFonts w:hint="eastAsia"/>
                    </w:rPr>
                    <w:t>数据记录项的总记录数。</w:t>
                  </w:r>
                </w:p>
                <w:p w14:paraId="335FE978">
                  <w:pPr>
                    <w:pageBreakBefore w:val="0"/>
                    <w:widowControl w:val="0"/>
                    <w:kinsoku/>
                    <w:wordWrap/>
                    <w:overflowPunct/>
                    <w:topLinePunct w:val="0"/>
                    <w:autoSpaceDE/>
                    <w:autoSpaceDN/>
                    <w:bidi w:val="0"/>
                    <w:adjustRightInd/>
                    <w:spacing w:line="360" w:lineRule="exact"/>
                    <w:textAlignment w:val="auto"/>
                  </w:pPr>
                  <w:r>
                    <w:rPr>
                      <w:rFonts w:hint="eastAsia"/>
                    </w:rPr>
                    <w:t>（</w:t>
                  </w:r>
                  <w:r>
                    <w:t>2</w:t>
                  </w:r>
                  <w:r>
                    <w:rPr>
                      <w:rFonts w:hint="eastAsia"/>
                    </w:rPr>
                    <w:t>）完整性</w:t>
                  </w:r>
                </w:p>
                <w:p w14:paraId="589B1EC7">
                  <w:pPr>
                    <w:pageBreakBefore w:val="0"/>
                    <w:widowControl w:val="0"/>
                    <w:kinsoku/>
                    <w:wordWrap/>
                    <w:overflowPunct/>
                    <w:topLinePunct w:val="0"/>
                    <w:autoSpaceDE/>
                    <w:autoSpaceDN/>
                    <w:bidi w:val="0"/>
                    <w:adjustRightInd/>
                    <w:spacing w:line="360" w:lineRule="exact"/>
                    <w:textAlignment w:val="auto"/>
                  </w:pPr>
                  <w:r>
                    <w:rPr>
                      <w:rFonts w:hint="eastAsia"/>
                    </w:rPr>
                    <w:t>数据完整性：考察对应项目中必填项数据的完整情况、常用项数据的完整情况。必填项是记录电子病历数据时必须有的内容。常用项是电子病历记录用于临床决策支持、质量管理应用时所需要的内容。</w:t>
                  </w:r>
                </w:p>
                <w:p w14:paraId="68F86D20">
                  <w:pPr>
                    <w:pageBreakBefore w:val="0"/>
                    <w:widowControl w:val="0"/>
                    <w:kinsoku/>
                    <w:wordWrap/>
                    <w:overflowPunct/>
                    <w:topLinePunct w:val="0"/>
                    <w:autoSpaceDE/>
                    <w:autoSpaceDN/>
                    <w:bidi w:val="0"/>
                    <w:adjustRightInd/>
                    <w:spacing w:line="360" w:lineRule="exact"/>
                    <w:textAlignment w:val="auto"/>
                  </w:pPr>
                  <w:r>
                    <w:rPr>
                      <w:rFonts w:hint="eastAsia"/>
                    </w:rPr>
                    <w:t>以评价项目列出的具体项目清单为基准，考察项目清单所列实际数据记录中项目内容完整（或内容超过合理字符）所占的比例。完整性系数</w:t>
                  </w:r>
                  <w:r>
                    <w:t>=</w:t>
                  </w:r>
                  <w:r>
                    <w:rPr>
                      <w:rFonts w:hint="eastAsia"/>
                    </w:rPr>
                    <w:t>项目内容完整（或内容效果合理字符）记录数</w:t>
                  </w:r>
                  <w:r>
                    <w:t>/</w:t>
                  </w:r>
                  <w:r>
                    <w:rPr>
                      <w:rFonts w:hint="eastAsia"/>
                    </w:rPr>
                    <w:t>项目总记录数。对于结构化数据，直接用数据项目的内容进行判断；对于文件数据，可使用文件内容字符数、特定的结构化标记要求内容进行判断。</w:t>
                  </w:r>
                </w:p>
                <w:p w14:paraId="1799D652">
                  <w:pPr>
                    <w:pageBreakBefore w:val="0"/>
                    <w:widowControl w:val="0"/>
                    <w:kinsoku/>
                    <w:wordWrap/>
                    <w:overflowPunct/>
                    <w:topLinePunct w:val="0"/>
                    <w:autoSpaceDE/>
                    <w:autoSpaceDN/>
                    <w:bidi w:val="0"/>
                    <w:adjustRightInd/>
                    <w:spacing w:line="360" w:lineRule="exact"/>
                    <w:textAlignment w:val="auto"/>
                  </w:pPr>
                  <w:r>
                    <w:rPr>
                      <w:rFonts w:hint="eastAsia"/>
                    </w:rPr>
                    <w:t>（</w:t>
                  </w:r>
                  <w:r>
                    <w:t>3</w:t>
                  </w:r>
                  <w:r>
                    <w:rPr>
                      <w:rFonts w:hint="eastAsia"/>
                    </w:rPr>
                    <w:t>）整合性</w:t>
                  </w:r>
                </w:p>
                <w:p w14:paraId="0B0D25D7">
                  <w:pPr>
                    <w:pageBreakBefore w:val="0"/>
                    <w:widowControl w:val="0"/>
                    <w:kinsoku/>
                    <w:wordWrap/>
                    <w:overflowPunct/>
                    <w:topLinePunct w:val="0"/>
                    <w:autoSpaceDE/>
                    <w:autoSpaceDN/>
                    <w:bidi w:val="0"/>
                    <w:adjustRightInd/>
                    <w:spacing w:line="360" w:lineRule="exact"/>
                    <w:textAlignment w:val="auto"/>
                  </w:pPr>
                  <w:r>
                    <w:rPr>
                      <w:rFonts w:hint="eastAsia"/>
                    </w:rPr>
                    <w:t>数据整合性：考察对应项目中的关键项数据与相关项目（或系统）对应项目可否对照或关联。</w:t>
                  </w:r>
                </w:p>
                <w:p w14:paraId="3FDE205D">
                  <w:pPr>
                    <w:pageBreakBefore w:val="0"/>
                    <w:widowControl w:val="0"/>
                    <w:kinsoku/>
                    <w:wordWrap/>
                    <w:overflowPunct/>
                    <w:topLinePunct w:val="0"/>
                    <w:autoSpaceDE/>
                    <w:autoSpaceDN/>
                    <w:bidi w:val="0"/>
                    <w:adjustRightInd/>
                    <w:spacing w:line="360" w:lineRule="exact"/>
                    <w:textAlignment w:val="auto"/>
                  </w:pPr>
                  <w:r>
                    <w:rPr>
                      <w:rFonts w:hint="eastAsia"/>
                    </w:rPr>
                    <w:t>按照列出的两个对应考察项目相关的数据记录中匹配对照项的一致性或可对照性，需要从两个层次评估：是否有对照项；对照项目数据的一致性。数据整合性系数</w:t>
                  </w:r>
                  <w:r>
                    <w:t>=</w:t>
                  </w:r>
                  <w:r>
                    <w:rPr>
                      <w:rFonts w:hint="eastAsia"/>
                    </w:rPr>
                    <w:t>对照项可匹配数</w:t>
                  </w:r>
                  <w:r>
                    <w:t>/</w:t>
                  </w:r>
                  <w:r>
                    <w:rPr>
                      <w:rFonts w:hint="eastAsia"/>
                    </w:rPr>
                    <w:t>项目总记录数。空值（或空格值）作为不可匹配项处理。</w:t>
                  </w:r>
                </w:p>
                <w:p w14:paraId="2F79C243">
                  <w:pPr>
                    <w:pageBreakBefore w:val="0"/>
                    <w:widowControl w:val="0"/>
                    <w:kinsoku/>
                    <w:wordWrap/>
                    <w:overflowPunct/>
                    <w:topLinePunct w:val="0"/>
                    <w:autoSpaceDE/>
                    <w:autoSpaceDN/>
                    <w:bidi w:val="0"/>
                    <w:adjustRightInd/>
                    <w:spacing w:line="360" w:lineRule="exact"/>
                    <w:textAlignment w:val="auto"/>
                  </w:pPr>
                  <w:r>
                    <w:rPr>
                      <w:rFonts w:hint="eastAsia"/>
                    </w:rPr>
                    <w:t>（</w:t>
                  </w:r>
                  <w:r>
                    <w:t>4</w:t>
                  </w:r>
                  <w:r>
                    <w:rPr>
                      <w:rFonts w:hint="eastAsia"/>
                    </w:rPr>
                    <w:t>）及时性</w:t>
                  </w:r>
                </w:p>
                <w:p w14:paraId="68B8FD5B">
                  <w:pPr>
                    <w:pageBreakBefore w:val="0"/>
                    <w:widowControl w:val="0"/>
                    <w:kinsoku/>
                    <w:wordWrap/>
                    <w:overflowPunct/>
                    <w:topLinePunct w:val="0"/>
                    <w:autoSpaceDE/>
                    <w:autoSpaceDN/>
                    <w:bidi w:val="0"/>
                    <w:adjustRightInd/>
                    <w:spacing w:line="360" w:lineRule="exact"/>
                    <w:textAlignment w:val="auto"/>
                  </w:pPr>
                  <w:r>
                    <w:rPr>
                      <w:rFonts w:hint="eastAsia"/>
                    </w:rPr>
                    <w:t>数据及时性：考察对应项目中时间相关项完整性、逻辑合理性。</w:t>
                  </w:r>
                </w:p>
                <w:p w14:paraId="4E68984A">
                  <w:pPr>
                    <w:pageBreakBefore w:val="0"/>
                    <w:widowControl w:val="0"/>
                    <w:kinsoku/>
                    <w:wordWrap/>
                    <w:overflowPunct/>
                    <w:topLinePunct w:val="0"/>
                    <w:autoSpaceDE/>
                    <w:autoSpaceDN/>
                    <w:bidi w:val="0"/>
                    <w:adjustRightInd/>
                    <w:spacing w:line="360" w:lineRule="exact"/>
                    <w:textAlignment w:val="auto"/>
                  </w:pPr>
                  <w:r>
                    <w:rPr>
                      <w:rFonts w:hint="eastAsia"/>
                    </w:rPr>
                    <w:t>根据列出时间项目清单内容进行判断，主要看时间项是否有数值，其内容是否符合时间顺序关系。数据及时性系数</w:t>
                  </w:r>
                  <w:r>
                    <w:t>=</w:t>
                  </w:r>
                  <w:r>
                    <w:rPr>
                      <w:rFonts w:hint="eastAsia"/>
                    </w:rPr>
                    <w:t>数据记录内容符合逻辑关系时间项数量</w:t>
                  </w:r>
                  <w:r>
                    <w:t>/</w:t>
                  </w:r>
                  <w:r>
                    <w:rPr>
                      <w:rFonts w:hint="eastAsia"/>
                    </w:rPr>
                    <w:t>考察记录时间项目总数量。针对每个项目，列出进行考察的时间项目清单以及这些项目之间的时间顺序、时间间隔等逻辑关系说明。</w:t>
                  </w:r>
                </w:p>
                <w:p w14:paraId="359678DA">
                  <w:pPr>
                    <w:pStyle w:val="8"/>
                    <w:pageBreakBefore w:val="0"/>
                    <w:widowControl w:val="0"/>
                    <w:kinsoku/>
                    <w:wordWrap/>
                    <w:overflowPunct/>
                    <w:topLinePunct w:val="0"/>
                    <w:autoSpaceDE/>
                    <w:autoSpaceDN/>
                    <w:bidi w:val="0"/>
                    <w:adjustRightInd/>
                    <w:spacing w:line="360" w:lineRule="exact"/>
                    <w:textAlignment w:val="auto"/>
                  </w:pPr>
                  <w:r>
                    <w:rPr>
                      <w:rFonts w:hint="eastAsia"/>
                    </w:rPr>
                    <w:t>考察类别管理</w:t>
                  </w:r>
                </w:p>
                <w:p w14:paraId="612A74EE">
                  <w:pPr>
                    <w:pageBreakBefore w:val="0"/>
                    <w:widowControl w:val="0"/>
                    <w:kinsoku/>
                    <w:wordWrap/>
                    <w:overflowPunct/>
                    <w:topLinePunct w:val="0"/>
                    <w:autoSpaceDE/>
                    <w:autoSpaceDN/>
                    <w:bidi w:val="0"/>
                    <w:adjustRightInd/>
                    <w:spacing w:line="360" w:lineRule="exact"/>
                    <w:textAlignment w:val="auto"/>
                  </w:pPr>
                  <w:r>
                    <w:rPr>
                      <w:rFonts w:hint="eastAsia"/>
                    </w:rPr>
                    <w:t>支持按照“电子病历系统应用水平分级评分标准”考察项目的项目类别进行管理。</w:t>
                  </w:r>
                </w:p>
                <w:p w14:paraId="38044C94">
                  <w:pPr>
                    <w:pageBreakBefore w:val="0"/>
                    <w:widowControl w:val="0"/>
                    <w:kinsoku/>
                    <w:wordWrap/>
                    <w:overflowPunct/>
                    <w:topLinePunct w:val="0"/>
                    <w:autoSpaceDE/>
                    <w:autoSpaceDN/>
                    <w:bidi w:val="0"/>
                    <w:adjustRightInd/>
                    <w:spacing w:line="360" w:lineRule="exact"/>
                    <w:textAlignment w:val="auto"/>
                  </w:pPr>
                  <w:r>
                    <w:rPr>
                      <w:rFonts w:hint="eastAsia"/>
                    </w:rPr>
                    <w:t>（</w:t>
                  </w:r>
                  <w:r>
                    <w:t>1</w:t>
                  </w:r>
                  <w:r>
                    <w:rPr>
                      <w:rFonts w:hint="eastAsia"/>
                    </w:rPr>
                    <w:t>）基本项</w:t>
                  </w:r>
                </w:p>
                <w:p w14:paraId="252E0BD0">
                  <w:pPr>
                    <w:pageBreakBefore w:val="0"/>
                    <w:widowControl w:val="0"/>
                    <w:kinsoku/>
                    <w:wordWrap/>
                    <w:overflowPunct/>
                    <w:topLinePunct w:val="0"/>
                    <w:autoSpaceDE/>
                    <w:autoSpaceDN/>
                    <w:bidi w:val="0"/>
                    <w:adjustRightInd/>
                    <w:spacing w:line="360" w:lineRule="exact"/>
                    <w:textAlignment w:val="auto"/>
                  </w:pPr>
                  <w:r>
                    <w:rPr>
                      <w:rFonts w:hint="eastAsia"/>
                    </w:rPr>
                    <w:t>基本项目是电子病历系统中的关键功能，“电子病历系统应用水平分级评分标准”中列出的各个级别的基本项是医疗机构整体达到该级别所必须实现的功能。</w:t>
                  </w:r>
                </w:p>
                <w:p w14:paraId="6581B2CB">
                  <w:pPr>
                    <w:pageBreakBefore w:val="0"/>
                    <w:widowControl w:val="0"/>
                    <w:kinsoku/>
                    <w:wordWrap/>
                    <w:overflowPunct/>
                    <w:topLinePunct w:val="0"/>
                    <w:autoSpaceDE/>
                    <w:autoSpaceDN/>
                    <w:bidi w:val="0"/>
                    <w:adjustRightInd/>
                    <w:spacing w:line="360" w:lineRule="exact"/>
                    <w:textAlignment w:val="auto"/>
                  </w:pPr>
                  <w:r>
                    <w:rPr>
                      <w:rFonts w:hint="eastAsia"/>
                    </w:rPr>
                    <w:t>（</w:t>
                  </w:r>
                  <w:r>
                    <w:t>2</w:t>
                  </w:r>
                  <w:r>
                    <w:rPr>
                      <w:rFonts w:hint="eastAsia"/>
                    </w:rPr>
                    <w:t>）选择项</w:t>
                  </w:r>
                </w:p>
                <w:p w14:paraId="7DFA0326">
                  <w:pPr>
                    <w:pageBreakBefore w:val="0"/>
                    <w:widowControl w:val="0"/>
                    <w:kinsoku/>
                    <w:wordWrap/>
                    <w:overflowPunct/>
                    <w:topLinePunct w:val="0"/>
                    <w:autoSpaceDE/>
                    <w:autoSpaceDN/>
                    <w:bidi w:val="0"/>
                    <w:adjustRightInd/>
                    <w:spacing w:line="360" w:lineRule="exact"/>
                    <w:textAlignment w:val="auto"/>
                  </w:pPr>
                  <w:r>
                    <w:rPr>
                      <w:rFonts w:hint="eastAsia"/>
                    </w:rPr>
                    <w:t>考察选择项的目的是保证医疗机构中局部达标的项目数（基本项</w:t>
                  </w:r>
                  <w:r>
                    <w:t>+</w:t>
                  </w:r>
                  <w:r>
                    <w:rPr>
                      <w:rFonts w:hint="eastAsia"/>
                    </w:rPr>
                    <w:t>选择项）整体上不低于全部项目的</w:t>
                  </w:r>
                  <w:r>
                    <w:t>2/3</w:t>
                  </w:r>
                  <w:r>
                    <w:rPr>
                      <w:rFonts w:hint="eastAsia"/>
                    </w:rPr>
                    <w:t>。</w:t>
                  </w:r>
                </w:p>
                <w:p w14:paraId="767006C5">
                  <w:pPr>
                    <w:pStyle w:val="7"/>
                    <w:pageBreakBefore w:val="0"/>
                    <w:widowControl w:val="0"/>
                    <w:kinsoku/>
                    <w:wordWrap/>
                    <w:overflowPunct/>
                    <w:topLinePunct w:val="0"/>
                    <w:autoSpaceDE/>
                    <w:autoSpaceDN/>
                    <w:bidi w:val="0"/>
                    <w:adjustRightInd/>
                    <w:spacing w:line="360" w:lineRule="exact"/>
                    <w:textAlignment w:val="auto"/>
                  </w:pPr>
                  <w:r>
                    <w:rPr>
                      <w:rFonts w:hint="eastAsia"/>
                    </w:rPr>
                    <w:t>质控规则配置</w:t>
                  </w:r>
                </w:p>
                <w:p w14:paraId="7E081E98">
                  <w:pPr>
                    <w:pageBreakBefore w:val="0"/>
                    <w:widowControl w:val="0"/>
                    <w:kinsoku/>
                    <w:wordWrap/>
                    <w:overflowPunct/>
                    <w:topLinePunct w:val="0"/>
                    <w:autoSpaceDE/>
                    <w:autoSpaceDN/>
                    <w:bidi w:val="0"/>
                    <w:adjustRightInd/>
                    <w:spacing w:line="360" w:lineRule="exact"/>
                    <w:textAlignment w:val="auto"/>
                  </w:pPr>
                  <w:r>
                    <w:rPr>
                      <w:rFonts w:hint="eastAsia"/>
                    </w:rPr>
                    <w:t>在电子病历评级工作中，需要针对考察项目进行规则配置的场景，系统支持基于一致性、完整性、整合性、及时性以上四个数据校验规则进行配置，规则配置详情信息包括规则名称、要求项目名称、医院项目名称、数据库表与字段名、数据库字典表与字段名、数据记录值查询语法。</w:t>
                  </w:r>
                </w:p>
                <w:p w14:paraId="5AC80901">
                  <w:pPr>
                    <w:pStyle w:val="7"/>
                    <w:pageBreakBefore w:val="0"/>
                    <w:widowControl w:val="0"/>
                    <w:kinsoku/>
                    <w:wordWrap/>
                    <w:overflowPunct/>
                    <w:topLinePunct w:val="0"/>
                    <w:autoSpaceDE/>
                    <w:autoSpaceDN/>
                    <w:bidi w:val="0"/>
                    <w:adjustRightInd/>
                    <w:spacing w:line="360" w:lineRule="exact"/>
                    <w:textAlignment w:val="auto"/>
                  </w:pPr>
                  <w:r>
                    <w:rPr>
                      <w:rFonts w:hint="eastAsia"/>
                    </w:rPr>
                    <w:t>数据源管理</w:t>
                  </w:r>
                </w:p>
                <w:p w14:paraId="579F8A3F">
                  <w:pPr>
                    <w:pageBreakBefore w:val="0"/>
                    <w:widowControl w:val="0"/>
                    <w:kinsoku/>
                    <w:wordWrap/>
                    <w:overflowPunct/>
                    <w:topLinePunct w:val="0"/>
                    <w:autoSpaceDE/>
                    <w:autoSpaceDN/>
                    <w:bidi w:val="0"/>
                    <w:adjustRightInd/>
                    <w:spacing w:line="360" w:lineRule="exact"/>
                    <w:textAlignment w:val="auto"/>
                  </w:pPr>
                  <w:r>
                    <w:rPr>
                      <w:rFonts w:hint="eastAsia"/>
                    </w:rPr>
                    <w:t>支持各数据源信息独立进行管理维护，在需要时可以及时更新，灵活组合不同源的数据，实现快速接入电子病历数据，为电子病历数据质量评估工作提供数据源支撑。系统支持多种主流数据库的数据源管理，如</w:t>
                  </w:r>
                  <w:r>
                    <w:t>Oracle</w:t>
                  </w:r>
                  <w:r>
                    <w:rPr>
                      <w:rFonts w:hint="eastAsia"/>
                    </w:rPr>
                    <w:t>、</w:t>
                  </w:r>
                  <w:r>
                    <w:t>Mysql</w:t>
                  </w:r>
                  <w:r>
                    <w:rPr>
                      <w:rFonts w:hint="eastAsia"/>
                    </w:rPr>
                    <w:t>、</w:t>
                  </w:r>
                  <w:r>
                    <w:t>sqlServer</w:t>
                  </w:r>
                  <w:r>
                    <w:rPr>
                      <w:rFonts w:hint="eastAsia"/>
                    </w:rPr>
                    <w:t>以上三个主流数据库，也支持测试数据库是否成功连接功能。</w:t>
                  </w:r>
                </w:p>
                <w:p w14:paraId="0AC21FDD">
                  <w:pPr>
                    <w:pStyle w:val="7"/>
                    <w:pageBreakBefore w:val="0"/>
                    <w:widowControl w:val="0"/>
                    <w:kinsoku/>
                    <w:wordWrap/>
                    <w:overflowPunct/>
                    <w:topLinePunct w:val="0"/>
                    <w:autoSpaceDE/>
                    <w:autoSpaceDN/>
                    <w:bidi w:val="0"/>
                    <w:adjustRightInd/>
                    <w:spacing w:line="360" w:lineRule="exact"/>
                    <w:textAlignment w:val="auto"/>
                  </w:pPr>
                  <w:r>
                    <w:rPr>
                      <w:rFonts w:hint="eastAsia"/>
                    </w:rPr>
                    <w:t>模拟上报</w:t>
                  </w:r>
                </w:p>
                <w:p w14:paraId="5C1617AC">
                  <w:pPr>
                    <w:pageBreakBefore w:val="0"/>
                    <w:widowControl w:val="0"/>
                    <w:kinsoku/>
                    <w:wordWrap/>
                    <w:overflowPunct/>
                    <w:topLinePunct w:val="0"/>
                    <w:autoSpaceDE/>
                    <w:autoSpaceDN/>
                    <w:bidi w:val="0"/>
                    <w:adjustRightInd/>
                    <w:spacing w:line="360" w:lineRule="exact"/>
                    <w:textAlignment w:val="auto"/>
                  </w:pPr>
                  <w:r>
                    <w:rPr>
                      <w:rFonts w:hint="eastAsia"/>
                    </w:rPr>
                    <w:t>模拟上报功能支持动态配置表单项，模拟生成上报网页。提供手写值、配置</w:t>
                  </w:r>
                  <w:r>
                    <w:t>SQL</w:t>
                  </w:r>
                  <w:r>
                    <w:rPr>
                      <w:rFonts w:hint="eastAsia"/>
                    </w:rPr>
                    <w:t>、关联基础数据等三种值写入方式，支持基础校验和提示功能，实现简易的模拟上报服务，模拟上报完成后可得出结论值和细项信息。通过结论值和细项信息筛选出不符合上报要求的记录，并及时通知业务系统负责人整改数据，直至数据符合上报要求。</w:t>
                  </w:r>
                </w:p>
                <w:p w14:paraId="33074207">
                  <w:pPr>
                    <w:pStyle w:val="7"/>
                    <w:pageBreakBefore w:val="0"/>
                    <w:widowControl w:val="0"/>
                    <w:kinsoku/>
                    <w:wordWrap/>
                    <w:overflowPunct/>
                    <w:topLinePunct w:val="0"/>
                    <w:autoSpaceDE/>
                    <w:autoSpaceDN/>
                    <w:bidi w:val="0"/>
                    <w:adjustRightInd/>
                    <w:spacing w:line="360" w:lineRule="exact"/>
                    <w:textAlignment w:val="auto"/>
                  </w:pPr>
                  <w:r>
                    <w:rPr>
                      <w:rFonts w:hint="eastAsia"/>
                    </w:rPr>
                    <w:t>评估报表</w:t>
                  </w:r>
                </w:p>
                <w:p w14:paraId="6652CDB5">
                  <w:pPr>
                    <w:pageBreakBefore w:val="0"/>
                    <w:widowControl w:val="0"/>
                    <w:kinsoku/>
                    <w:wordWrap/>
                    <w:overflowPunct/>
                    <w:topLinePunct w:val="0"/>
                    <w:autoSpaceDE/>
                    <w:autoSpaceDN/>
                    <w:bidi w:val="0"/>
                    <w:adjustRightInd/>
                    <w:spacing w:line="360" w:lineRule="exact"/>
                    <w:textAlignment w:val="auto"/>
                  </w:pPr>
                  <w:r>
                    <w:rPr>
                      <w:rFonts w:hint="eastAsia"/>
                    </w:rPr>
                    <w:t>评估报表通过对数据进行统计汇总，根据统计的数据辅助电子病历评级工作，当评估结果系数不为</w:t>
                  </w:r>
                  <w:r>
                    <w:t>1</w:t>
                  </w:r>
                  <w:r>
                    <w:rPr>
                      <w:rFonts w:hint="eastAsia"/>
                    </w:rPr>
                    <w:t>时，支持添加编辑评估结果系数不为</w:t>
                  </w:r>
                  <w:r>
                    <w:t>1</w:t>
                  </w:r>
                  <w:r>
                    <w:rPr>
                      <w:rFonts w:hint="eastAsia"/>
                    </w:rPr>
                    <w:t>的原因内容和整改措施的具体内容。同时支持将枯燥的数据转化为可以更加直观的分析图表图形，如饼状体、柱状图、进度图等，支持对图表进行直观的对比，快速查找到能作为参考依据的数据项。</w:t>
                  </w:r>
                </w:p>
                <w:p w14:paraId="4448FC25">
                  <w:pPr>
                    <w:pageBreakBefore w:val="0"/>
                    <w:widowControl w:val="0"/>
                    <w:kinsoku/>
                    <w:wordWrap/>
                    <w:overflowPunct/>
                    <w:topLinePunct w:val="0"/>
                    <w:autoSpaceDE/>
                    <w:autoSpaceDN/>
                    <w:bidi w:val="0"/>
                    <w:adjustRightInd/>
                    <w:spacing w:line="360" w:lineRule="exact"/>
                    <w:textAlignment w:val="auto"/>
                    <w:rPr>
                      <w:rFonts w:ascii="宋体" w:hAnsi="宋体" w:cs="宋体"/>
                      <w:szCs w:val="21"/>
                    </w:rPr>
                  </w:pPr>
                  <w:r>
                    <w:rPr>
                      <w:rFonts w:hint="eastAsia"/>
                    </w:rPr>
                    <w:t>评估报表内容包括考察项目与要求项目、数据库表与字段名、数据字典表与字段名、数据质量计算公式等、支持下载</w:t>
                  </w:r>
                  <w:r>
                    <w:t>word</w:t>
                  </w:r>
                  <w:r>
                    <w:rPr>
                      <w:rFonts w:hint="eastAsia"/>
                    </w:rPr>
                    <w:t>格式数据质量评级报表</w:t>
                  </w:r>
                  <w:r>
                    <w:t>,</w:t>
                  </w:r>
                  <w:r>
                    <w:rPr>
                      <w:rFonts w:hint="eastAsia"/>
                    </w:rPr>
                    <w:t>通过数据质量报表，用户可直观的查看该报表涉及的数据质量考察项目信息，包括考察项目名称、总记录数、符合评级要求的记录数，结果比例系数，从而进一步分析电子病历数据质量情况。</w:t>
                  </w:r>
                </w:p>
              </w:tc>
            </w:tr>
            <w:tr w14:paraId="52108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3" w:type="dxa"/>
                  <w:vMerge w:val="continue"/>
                  <w:tcBorders>
                    <w:top w:val="single" w:color="auto" w:sz="4" w:space="0"/>
                    <w:left w:val="single" w:color="auto" w:sz="4" w:space="0"/>
                    <w:bottom w:val="single" w:color="auto" w:sz="4" w:space="0"/>
                    <w:right w:val="single" w:color="auto" w:sz="4" w:space="0"/>
                  </w:tcBorders>
                  <w:noWrap w:val="0"/>
                  <w:vAlign w:val="center"/>
                </w:tcPr>
                <w:p w14:paraId="28137DE2">
                  <w:pPr>
                    <w:widowControl/>
                    <w:jc w:val="left"/>
                    <w:rPr>
                      <w:rFonts w:ascii="宋体" w:hAnsi="宋体" w:cs="宋体"/>
                      <w:b/>
                      <w:color w:val="000000"/>
                      <w:sz w:val="20"/>
                      <w:szCs w:val="20"/>
                    </w:rPr>
                  </w:pPr>
                </w:p>
              </w:tc>
              <w:tc>
                <w:tcPr>
                  <w:tcW w:w="804" w:type="dxa"/>
                  <w:vMerge w:val="continue"/>
                  <w:tcBorders>
                    <w:top w:val="single" w:color="auto" w:sz="4" w:space="0"/>
                    <w:left w:val="single" w:color="auto" w:sz="4" w:space="0"/>
                    <w:bottom w:val="single" w:color="auto" w:sz="4" w:space="0"/>
                    <w:right w:val="single" w:color="auto" w:sz="4" w:space="0"/>
                  </w:tcBorders>
                  <w:noWrap w:val="0"/>
                  <w:vAlign w:val="center"/>
                </w:tcPr>
                <w:p w14:paraId="1CEDB215">
                  <w:pPr>
                    <w:widowControl/>
                    <w:jc w:val="left"/>
                    <w:rPr>
                      <w:rFonts w:ascii="宋体" w:hAnsi="宋体" w:cs="宋体"/>
                      <w:color w:val="000000"/>
                      <w:sz w:val="20"/>
                      <w:szCs w:val="20"/>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0012606A">
                  <w:pPr>
                    <w:pageBreakBefore w:val="0"/>
                    <w:widowControl w:val="0"/>
                    <w:kinsoku/>
                    <w:wordWrap/>
                    <w:overflowPunct/>
                    <w:topLinePunct w:val="0"/>
                    <w:autoSpaceDE/>
                    <w:autoSpaceDN/>
                    <w:bidi w:val="0"/>
                    <w:adjustRightInd/>
                    <w:spacing w:line="360" w:lineRule="exact"/>
                    <w:textAlignment w:val="auto"/>
                    <w:rPr>
                      <w:rFonts w:ascii="宋体" w:hAnsi="宋体" w:cs="宋体"/>
                      <w:color w:val="000000"/>
                      <w:sz w:val="20"/>
                      <w:szCs w:val="20"/>
                    </w:rPr>
                  </w:pPr>
                  <w:r>
                    <w:rPr>
                      <w:rFonts w:hint="eastAsia"/>
                      <w:color w:val="000000"/>
                      <w:sz w:val="21"/>
                      <w:szCs w:val="21"/>
                    </w:rPr>
                    <w:t>电子病历四级评级过程支持服务</w:t>
                  </w:r>
                </w:p>
              </w:tc>
              <w:tc>
                <w:tcPr>
                  <w:tcW w:w="7748" w:type="dxa"/>
                  <w:tcBorders>
                    <w:top w:val="single" w:color="auto" w:sz="4" w:space="0"/>
                    <w:left w:val="single" w:color="auto" w:sz="4" w:space="0"/>
                    <w:bottom w:val="single" w:color="auto" w:sz="4" w:space="0"/>
                    <w:right w:val="single" w:color="auto" w:sz="4" w:space="0"/>
                  </w:tcBorders>
                  <w:noWrap/>
                  <w:vAlign w:val="center"/>
                </w:tcPr>
                <w:p w14:paraId="68AAAEC7">
                  <w:pPr>
                    <w:pStyle w:val="6"/>
                    <w:pageBreakBefore w:val="0"/>
                    <w:widowControl w:val="0"/>
                    <w:numPr>
                      <w:ilvl w:val="0"/>
                      <w:numId w:val="0"/>
                    </w:numPr>
                    <w:tabs>
                      <w:tab w:val="left" w:pos="420"/>
                    </w:tabs>
                    <w:kinsoku/>
                    <w:wordWrap/>
                    <w:overflowPunct/>
                    <w:topLinePunct w:val="0"/>
                    <w:autoSpaceDE/>
                    <w:autoSpaceDN/>
                    <w:bidi w:val="0"/>
                    <w:adjustRightInd/>
                    <w:spacing w:line="360" w:lineRule="exact"/>
                    <w:textAlignment w:val="auto"/>
                  </w:pPr>
                  <w:r>
                    <w:rPr>
                      <w:rFonts w:hint="eastAsia"/>
                    </w:rPr>
                    <w:t>电子病历评级过程支持服务</w:t>
                  </w:r>
                </w:p>
                <w:p w14:paraId="4D7B992F">
                  <w:pPr>
                    <w:pageBreakBefore w:val="0"/>
                    <w:widowControl w:val="0"/>
                    <w:kinsoku/>
                    <w:wordWrap/>
                    <w:overflowPunct/>
                    <w:topLinePunct w:val="0"/>
                    <w:autoSpaceDE/>
                    <w:autoSpaceDN/>
                    <w:bidi w:val="0"/>
                    <w:adjustRightInd/>
                    <w:spacing w:line="360" w:lineRule="exact"/>
                    <w:textAlignment w:val="auto"/>
                  </w:pPr>
                  <w:r>
                    <w:rPr>
                      <w:rFonts w:hint="eastAsia"/>
                    </w:rPr>
                    <w:t>参照《电子病历系统功能应用水平分级评价方法及标准（</w:t>
                  </w:r>
                  <w:r>
                    <w:t>2018</w:t>
                  </w:r>
                  <w:r>
                    <w:rPr>
                      <w:rFonts w:hint="eastAsia"/>
                    </w:rPr>
                    <w:t>版）》测评等级</w:t>
                  </w:r>
                  <w:r>
                    <w:t>4</w:t>
                  </w:r>
                  <w:r>
                    <w:rPr>
                      <w:rFonts w:hint="eastAsia"/>
                    </w:rPr>
                    <w:t>级要求，作为评审目标进行项目自评，然后根据自评结果与差异项进行项目建设完善工作，再进行项目文审实证材料准备和报审的相关工作，在此期间医院各部门及各系统承建商应积极配合相关工作。包括项目差距调研分析评估服务、申报材料整理的指导和准备、网上申报支持、文审答辩支持，并提供评级所需的数据质量工具。</w:t>
                  </w:r>
                </w:p>
                <w:p w14:paraId="2EFDB91A">
                  <w:pPr>
                    <w:pageBreakBefore w:val="0"/>
                    <w:widowControl w:val="0"/>
                    <w:kinsoku/>
                    <w:wordWrap/>
                    <w:overflowPunct/>
                    <w:topLinePunct w:val="0"/>
                    <w:autoSpaceDE/>
                    <w:autoSpaceDN/>
                    <w:bidi w:val="0"/>
                    <w:adjustRightInd/>
                    <w:spacing w:line="360" w:lineRule="exact"/>
                    <w:textAlignment w:val="auto"/>
                  </w:pPr>
                  <w:r>
                    <w:t>1.</w:t>
                  </w:r>
                  <w:r>
                    <w:rPr>
                      <w:rFonts w:hint="eastAsia"/>
                    </w:rPr>
                    <w:t>项目差距调研分析评估服务</w:t>
                  </w:r>
                </w:p>
                <w:p w14:paraId="445CD2E7">
                  <w:pPr>
                    <w:pageBreakBefore w:val="0"/>
                    <w:widowControl w:val="0"/>
                    <w:kinsoku/>
                    <w:wordWrap/>
                    <w:overflowPunct/>
                    <w:topLinePunct w:val="0"/>
                    <w:autoSpaceDE/>
                    <w:autoSpaceDN/>
                    <w:bidi w:val="0"/>
                    <w:adjustRightInd/>
                    <w:spacing w:line="360" w:lineRule="exact"/>
                    <w:textAlignment w:val="auto"/>
                  </w:pPr>
                  <w:r>
                    <w:rPr>
                      <w:rFonts w:hint="eastAsia"/>
                    </w:rPr>
                    <w:t>遵照《电子病历系统功能应用水平分级评价方法及标准（</w:t>
                  </w:r>
                  <w:r>
                    <w:t>2018</w:t>
                  </w:r>
                  <w:r>
                    <w:rPr>
                      <w:rFonts w:hint="eastAsia"/>
                    </w:rPr>
                    <w:t>版）》要求的</w:t>
                  </w:r>
                  <w:r>
                    <w:t>10</w:t>
                  </w:r>
                  <w:r>
                    <w:rPr>
                      <w:rFonts w:hint="eastAsia"/>
                    </w:rPr>
                    <w:t>大角色展开相关信息系统建设现状的调研工作。</w:t>
                  </w:r>
                </w:p>
                <w:p w14:paraId="7ED1D79C">
                  <w:pPr>
                    <w:pageBreakBefore w:val="0"/>
                    <w:widowControl w:val="0"/>
                    <w:kinsoku/>
                    <w:wordWrap/>
                    <w:overflowPunct/>
                    <w:topLinePunct w:val="0"/>
                    <w:autoSpaceDE/>
                    <w:autoSpaceDN/>
                    <w:bidi w:val="0"/>
                    <w:adjustRightInd/>
                    <w:spacing w:line="360" w:lineRule="exact"/>
                    <w:textAlignment w:val="auto"/>
                  </w:pPr>
                  <w:r>
                    <w:rPr>
                      <w:rFonts w:hint="eastAsia"/>
                    </w:rPr>
                    <w:t>对医院现有相关信息系统具体功能实现水平与评价标准进行差异化分析。</w:t>
                  </w:r>
                </w:p>
                <w:p w14:paraId="27FE52E9">
                  <w:pPr>
                    <w:pageBreakBefore w:val="0"/>
                    <w:widowControl w:val="0"/>
                    <w:kinsoku/>
                    <w:wordWrap/>
                    <w:overflowPunct/>
                    <w:topLinePunct w:val="0"/>
                    <w:autoSpaceDE/>
                    <w:autoSpaceDN/>
                    <w:bidi w:val="0"/>
                    <w:adjustRightInd/>
                    <w:spacing w:line="360" w:lineRule="exact"/>
                    <w:textAlignment w:val="auto"/>
                  </w:pPr>
                  <w:r>
                    <w:rPr>
                      <w:rFonts w:hint="eastAsia"/>
                    </w:rPr>
                    <w:t>整理缺漏的功能和各系统的升级改造的功能要求明细。</w:t>
                  </w:r>
                </w:p>
                <w:p w14:paraId="66CF1EA6">
                  <w:pPr>
                    <w:pageBreakBefore w:val="0"/>
                    <w:widowControl w:val="0"/>
                    <w:kinsoku/>
                    <w:wordWrap/>
                    <w:overflowPunct/>
                    <w:topLinePunct w:val="0"/>
                    <w:autoSpaceDE/>
                    <w:autoSpaceDN/>
                    <w:bidi w:val="0"/>
                    <w:adjustRightInd/>
                    <w:spacing w:line="360" w:lineRule="exact"/>
                    <w:textAlignment w:val="auto"/>
                  </w:pPr>
                  <w:r>
                    <w:rPr>
                      <w:rFonts w:hint="eastAsia"/>
                    </w:rPr>
                    <w:t>在整个建设过程中，需要定期进行多次的项目差距调研分析评估，以保证建设</w:t>
                  </w:r>
                  <w:r>
                    <w:t>\</w:t>
                  </w:r>
                  <w:r>
                    <w:rPr>
                      <w:rFonts w:hint="eastAsia"/>
                    </w:rPr>
                    <w:t>改造工作的完整性。</w:t>
                  </w:r>
                </w:p>
                <w:p w14:paraId="3F9AECE7">
                  <w:pPr>
                    <w:pageBreakBefore w:val="0"/>
                    <w:widowControl w:val="0"/>
                    <w:kinsoku/>
                    <w:wordWrap/>
                    <w:overflowPunct/>
                    <w:topLinePunct w:val="0"/>
                    <w:autoSpaceDE/>
                    <w:autoSpaceDN/>
                    <w:bidi w:val="0"/>
                    <w:adjustRightInd/>
                    <w:spacing w:line="360" w:lineRule="exact"/>
                    <w:textAlignment w:val="auto"/>
                  </w:pPr>
                  <w:r>
                    <w:t>2.</w:t>
                  </w:r>
                  <w:r>
                    <w:rPr>
                      <w:rFonts w:hint="eastAsia"/>
                    </w:rPr>
                    <w:t>申报材料整理的指导和准备</w:t>
                  </w:r>
                </w:p>
                <w:p w14:paraId="47DF50E4">
                  <w:pPr>
                    <w:pageBreakBefore w:val="0"/>
                    <w:widowControl w:val="0"/>
                    <w:kinsoku/>
                    <w:wordWrap/>
                    <w:overflowPunct/>
                    <w:topLinePunct w:val="0"/>
                    <w:autoSpaceDE/>
                    <w:autoSpaceDN/>
                    <w:bidi w:val="0"/>
                    <w:adjustRightInd/>
                    <w:spacing w:line="360" w:lineRule="exact"/>
                    <w:textAlignment w:val="auto"/>
                  </w:pPr>
                  <w:r>
                    <w:rPr>
                      <w:rFonts w:hint="eastAsia"/>
                    </w:rPr>
                    <w:t>指导医院自查前级功能，确认均完全实现。列表声明这些项目的前级功能全部实现。</w:t>
                  </w:r>
                </w:p>
                <w:p w14:paraId="6F2AC335">
                  <w:pPr>
                    <w:pageBreakBefore w:val="0"/>
                    <w:widowControl w:val="0"/>
                    <w:kinsoku/>
                    <w:wordWrap/>
                    <w:overflowPunct/>
                    <w:topLinePunct w:val="0"/>
                    <w:autoSpaceDE/>
                    <w:autoSpaceDN/>
                    <w:bidi w:val="0"/>
                    <w:adjustRightInd/>
                    <w:spacing w:line="360" w:lineRule="exact"/>
                    <w:textAlignment w:val="auto"/>
                  </w:pPr>
                  <w:r>
                    <w:rPr>
                      <w:rFonts w:hint="eastAsia"/>
                    </w:rPr>
                    <w:t>协助医院提供考察项目的实证材料。</w:t>
                  </w:r>
                </w:p>
                <w:p w14:paraId="2E8A68C3">
                  <w:pPr>
                    <w:pageBreakBefore w:val="0"/>
                    <w:widowControl w:val="0"/>
                    <w:kinsoku/>
                    <w:wordWrap/>
                    <w:overflowPunct/>
                    <w:topLinePunct w:val="0"/>
                    <w:autoSpaceDE/>
                    <w:autoSpaceDN/>
                    <w:bidi w:val="0"/>
                    <w:adjustRightInd/>
                    <w:spacing w:line="360" w:lineRule="exact"/>
                    <w:textAlignment w:val="auto"/>
                  </w:pPr>
                  <w:r>
                    <w:rPr>
                      <w:rFonts w:hint="eastAsia"/>
                    </w:rPr>
                    <w:t>项目按照申报等级的基本项和所实现的选择项列出。实证内容包括：系统截屏、统计数据、方案说明与场景描述。</w:t>
                  </w:r>
                </w:p>
                <w:p w14:paraId="6A798E42">
                  <w:pPr>
                    <w:pageBreakBefore w:val="0"/>
                    <w:widowControl w:val="0"/>
                    <w:kinsoku/>
                    <w:wordWrap/>
                    <w:overflowPunct/>
                    <w:topLinePunct w:val="0"/>
                    <w:autoSpaceDE/>
                    <w:autoSpaceDN/>
                    <w:bidi w:val="0"/>
                    <w:adjustRightInd/>
                    <w:spacing w:line="360" w:lineRule="exact"/>
                    <w:textAlignment w:val="auto"/>
                  </w:pPr>
                  <w:r>
                    <w:t>3.</w:t>
                  </w:r>
                  <w:r>
                    <w:rPr>
                      <w:rFonts w:hint="eastAsia"/>
                    </w:rPr>
                    <w:t>网上申报支持</w:t>
                  </w:r>
                </w:p>
                <w:p w14:paraId="1AAA1924">
                  <w:pPr>
                    <w:pageBreakBefore w:val="0"/>
                    <w:widowControl w:val="0"/>
                    <w:kinsoku/>
                    <w:wordWrap/>
                    <w:overflowPunct/>
                    <w:topLinePunct w:val="0"/>
                    <w:autoSpaceDE/>
                    <w:autoSpaceDN/>
                    <w:bidi w:val="0"/>
                    <w:adjustRightInd/>
                    <w:spacing w:line="360" w:lineRule="exact"/>
                    <w:textAlignment w:val="auto"/>
                  </w:pPr>
                  <w:r>
                    <w:rPr>
                      <w:rFonts w:hint="eastAsia"/>
                    </w:rPr>
                    <w:t>当功能应用数据至少达到三个月以上，进行评估数据的采集与整理汇总。按照应用水平分级标准要求，进行数据报表整理。</w:t>
                  </w:r>
                </w:p>
                <w:p w14:paraId="3208A5C9">
                  <w:pPr>
                    <w:pageBreakBefore w:val="0"/>
                    <w:widowControl w:val="0"/>
                    <w:kinsoku/>
                    <w:wordWrap/>
                    <w:overflowPunct/>
                    <w:topLinePunct w:val="0"/>
                    <w:autoSpaceDE/>
                    <w:autoSpaceDN/>
                    <w:bidi w:val="0"/>
                    <w:adjustRightInd/>
                    <w:spacing w:line="360" w:lineRule="exact"/>
                    <w:textAlignment w:val="auto"/>
                  </w:pPr>
                  <w:r>
                    <w:rPr>
                      <w:rFonts w:hint="eastAsia"/>
                    </w:rPr>
                    <w:t>指导医院通过国家卫健委医院管理研究所的电子病历系统分级评价平台进行数据填报。填报的数据主要分为两个方面：</w:t>
                  </w:r>
                </w:p>
                <w:p w14:paraId="032D1BDB">
                  <w:pPr>
                    <w:pageBreakBefore w:val="0"/>
                    <w:widowControl w:val="0"/>
                    <w:kinsoku/>
                    <w:wordWrap/>
                    <w:overflowPunct/>
                    <w:topLinePunct w:val="0"/>
                    <w:autoSpaceDE/>
                    <w:autoSpaceDN/>
                    <w:bidi w:val="0"/>
                    <w:adjustRightInd/>
                    <w:spacing w:line="360" w:lineRule="exact"/>
                    <w:textAlignment w:val="auto"/>
                  </w:pPr>
                  <w:r>
                    <w:rPr>
                      <w:rFonts w:hint="eastAsia"/>
                    </w:rPr>
                    <w:t>（</w:t>
                  </w:r>
                  <w:r>
                    <w:t>1</w:t>
                  </w:r>
                  <w:r>
                    <w:rPr>
                      <w:rFonts w:hint="eastAsia"/>
                    </w:rPr>
                    <w:t>）医院基础数据填报</w:t>
                  </w:r>
                </w:p>
                <w:p w14:paraId="1868EF36">
                  <w:pPr>
                    <w:pageBreakBefore w:val="0"/>
                    <w:widowControl w:val="0"/>
                    <w:kinsoku/>
                    <w:wordWrap/>
                    <w:overflowPunct/>
                    <w:topLinePunct w:val="0"/>
                    <w:autoSpaceDE/>
                    <w:autoSpaceDN/>
                    <w:bidi w:val="0"/>
                    <w:adjustRightInd/>
                    <w:spacing w:line="360" w:lineRule="exact"/>
                    <w:textAlignment w:val="auto"/>
                  </w:pPr>
                  <w:r>
                    <w:rPr>
                      <w:rFonts w:hint="eastAsia"/>
                    </w:rPr>
                    <w:t>基础信息包括“医院当前展开的病房数”、“医院门诊科室数”、“医院床位数”、“医院是否有专门的信息化部门”等等。“医院运行基础数据”中“医疗服务信息”全部为近</w:t>
                  </w:r>
                  <w:r>
                    <w:t>3</w:t>
                  </w:r>
                  <w:r>
                    <w:rPr>
                      <w:rFonts w:hint="eastAsia"/>
                    </w:rPr>
                    <w:t>个月的数据。</w:t>
                  </w:r>
                </w:p>
                <w:p w14:paraId="1F043E9C">
                  <w:pPr>
                    <w:pageBreakBefore w:val="0"/>
                    <w:widowControl w:val="0"/>
                    <w:kinsoku/>
                    <w:wordWrap/>
                    <w:overflowPunct/>
                    <w:topLinePunct w:val="0"/>
                    <w:autoSpaceDE/>
                    <w:autoSpaceDN/>
                    <w:bidi w:val="0"/>
                    <w:adjustRightInd/>
                    <w:spacing w:line="360" w:lineRule="exact"/>
                    <w:textAlignment w:val="auto"/>
                  </w:pPr>
                  <w:r>
                    <w:rPr>
                      <w:rFonts w:hint="eastAsia"/>
                    </w:rPr>
                    <w:t>（</w:t>
                  </w:r>
                  <w:r>
                    <w:t>2</w:t>
                  </w:r>
                  <w:r>
                    <w:rPr>
                      <w:rFonts w:hint="eastAsia"/>
                    </w:rPr>
                    <w:t>）</w:t>
                  </w:r>
                  <w:r>
                    <w:t>EMR</w:t>
                  </w:r>
                  <w:r>
                    <w:rPr>
                      <w:rFonts w:hint="eastAsia"/>
                    </w:rPr>
                    <w:t>数据填报</w:t>
                  </w:r>
                </w:p>
                <w:p w14:paraId="14A1B21E">
                  <w:pPr>
                    <w:pageBreakBefore w:val="0"/>
                    <w:widowControl w:val="0"/>
                    <w:kinsoku/>
                    <w:wordWrap/>
                    <w:overflowPunct/>
                    <w:topLinePunct w:val="0"/>
                    <w:autoSpaceDE/>
                    <w:autoSpaceDN/>
                    <w:bidi w:val="0"/>
                    <w:adjustRightInd/>
                    <w:spacing w:line="360" w:lineRule="exact"/>
                    <w:textAlignment w:val="auto"/>
                  </w:pPr>
                  <w:r>
                    <w:t>EMR</w:t>
                  </w:r>
                  <w:r>
                    <w:rPr>
                      <w:rFonts w:hint="eastAsia"/>
                    </w:rPr>
                    <w:t>数据按照考察项目角色划分为</w:t>
                  </w:r>
                  <w:r>
                    <w:t>10</w:t>
                  </w:r>
                  <w:r>
                    <w:rPr>
                      <w:rFonts w:hint="eastAsia"/>
                    </w:rPr>
                    <w:t>个部分，分别是“病房医师”、“病房护士”、“门诊医师”、“检查科室”、“检验处理”、“治疗信息处理”、“医疗保障”、“病历管理”、“电子病历基础”、“信息利用”。数据填报方式为逐级填报，上一级别达标时显示下一级别考察内容。</w:t>
                  </w:r>
                </w:p>
                <w:p w14:paraId="22B544D7">
                  <w:pPr>
                    <w:pageBreakBefore w:val="0"/>
                    <w:widowControl w:val="0"/>
                    <w:kinsoku/>
                    <w:wordWrap/>
                    <w:overflowPunct/>
                    <w:topLinePunct w:val="0"/>
                    <w:autoSpaceDE/>
                    <w:autoSpaceDN/>
                    <w:bidi w:val="0"/>
                    <w:adjustRightInd/>
                    <w:spacing w:line="360" w:lineRule="exact"/>
                    <w:textAlignment w:val="auto"/>
                  </w:pPr>
                  <w:r>
                    <w:rPr>
                      <w:rFonts w:hint="eastAsia"/>
                    </w:rPr>
                    <w:t>医院基础数据以及全部角色填写完成后，将系统数据上报。数据上报完成后，医院即可获得网上自评结果。</w:t>
                  </w:r>
                </w:p>
                <w:p w14:paraId="39597B87">
                  <w:pPr>
                    <w:pageBreakBefore w:val="0"/>
                    <w:widowControl w:val="0"/>
                    <w:kinsoku/>
                    <w:wordWrap/>
                    <w:overflowPunct/>
                    <w:topLinePunct w:val="0"/>
                    <w:autoSpaceDE/>
                    <w:autoSpaceDN/>
                    <w:bidi w:val="0"/>
                    <w:adjustRightInd/>
                    <w:spacing w:line="360" w:lineRule="exact"/>
                    <w:textAlignment w:val="auto"/>
                  </w:pPr>
                  <w:r>
                    <w:t>4.</w:t>
                  </w:r>
                  <w:r>
                    <w:rPr>
                      <w:rFonts w:hint="eastAsia"/>
                    </w:rPr>
                    <w:t>文审答辩支持</w:t>
                  </w:r>
                </w:p>
                <w:p w14:paraId="2A66D6A7">
                  <w:pPr>
                    <w:pageBreakBefore w:val="0"/>
                    <w:widowControl w:val="0"/>
                    <w:kinsoku/>
                    <w:wordWrap/>
                    <w:overflowPunct/>
                    <w:topLinePunct w:val="0"/>
                    <w:autoSpaceDE/>
                    <w:autoSpaceDN/>
                    <w:bidi w:val="0"/>
                    <w:adjustRightInd/>
                    <w:spacing w:line="360" w:lineRule="exact"/>
                    <w:textAlignment w:val="auto"/>
                    <w:rPr>
                      <w:rFonts w:ascii="宋体" w:hAnsi="宋体" w:cs="宋体"/>
                      <w:szCs w:val="21"/>
                    </w:rPr>
                  </w:pPr>
                  <w:r>
                    <w:rPr>
                      <w:rFonts w:hint="eastAsia"/>
                    </w:rPr>
                    <w:t>在文审答辩过程中，提供辅助编制汇报材料、制定测评路线、模拟测评演练、专家疑问答疑等服务。</w:t>
                  </w:r>
                </w:p>
              </w:tc>
            </w:tr>
            <w:tr w14:paraId="069B4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3" w:type="dxa"/>
                  <w:tcBorders>
                    <w:top w:val="single" w:color="auto" w:sz="4" w:space="0"/>
                    <w:left w:val="single" w:color="auto" w:sz="4" w:space="0"/>
                    <w:bottom w:val="single" w:color="auto" w:sz="4" w:space="0"/>
                    <w:right w:val="single" w:color="auto" w:sz="4" w:space="0"/>
                  </w:tcBorders>
                  <w:noWrap w:val="0"/>
                  <w:vAlign w:val="center"/>
                </w:tcPr>
                <w:p w14:paraId="6A4D5A90">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cs="宋体"/>
                      <w:b/>
                      <w:color w:val="000000"/>
                      <w:kern w:val="2"/>
                      <w:sz w:val="21"/>
                      <w:szCs w:val="21"/>
                      <w:lang w:val="en-US" w:eastAsia="zh-CN" w:bidi="ar-SA"/>
                    </w:rPr>
                  </w:pPr>
                  <w:r>
                    <w:rPr>
                      <w:rFonts w:hint="eastAsia"/>
                      <w:b/>
                      <w:color w:val="000000"/>
                      <w:sz w:val="21"/>
                      <w:szCs w:val="21"/>
                    </w:rPr>
                    <w:t>下属医疗机构推广实施</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7FD02968">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cs="宋体"/>
                      <w:color w:val="000000"/>
                      <w:kern w:val="2"/>
                      <w:sz w:val="21"/>
                      <w:szCs w:val="21"/>
                      <w:lang w:val="en-US" w:eastAsia="zh-CN" w:bidi="ar-SA"/>
                    </w:rPr>
                  </w:pPr>
                  <w:r>
                    <w:rPr>
                      <w:rFonts w:hint="eastAsia"/>
                      <w:color w:val="000000"/>
                      <w:sz w:val="21"/>
                      <w:szCs w:val="21"/>
                    </w:rPr>
                    <w:t>推广实施</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0EF4AA0D">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hAnsi="宋体" w:cs="宋体"/>
                      <w:color w:val="000000"/>
                      <w:kern w:val="2"/>
                      <w:sz w:val="21"/>
                      <w:szCs w:val="21"/>
                      <w:lang w:val="en-US" w:eastAsia="zh-CN" w:bidi="ar-SA"/>
                    </w:rPr>
                  </w:pPr>
                  <w:r>
                    <w:rPr>
                      <w:rFonts w:hint="eastAsia"/>
                      <w:color w:val="000000"/>
                      <w:sz w:val="21"/>
                      <w:szCs w:val="21"/>
                    </w:rPr>
                    <w:t>两个社区推广实施</w:t>
                  </w:r>
                </w:p>
              </w:tc>
              <w:tc>
                <w:tcPr>
                  <w:tcW w:w="7748" w:type="dxa"/>
                  <w:tcBorders>
                    <w:top w:val="single" w:color="auto" w:sz="4" w:space="0"/>
                    <w:left w:val="single" w:color="auto" w:sz="4" w:space="0"/>
                    <w:bottom w:val="single" w:color="auto" w:sz="4" w:space="0"/>
                    <w:right w:val="single" w:color="auto" w:sz="4" w:space="0"/>
                  </w:tcBorders>
                  <w:noWrap/>
                  <w:vAlign w:val="center"/>
                </w:tcPr>
                <w:p w14:paraId="41A23132">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hAnsi="宋体" w:cs="宋体"/>
                      <w:kern w:val="2"/>
                      <w:sz w:val="21"/>
                      <w:szCs w:val="21"/>
                      <w:lang w:val="en-US" w:eastAsia="zh-CN" w:bidi="ar-SA"/>
                    </w:rPr>
                  </w:pPr>
                  <w:r>
                    <w:rPr>
                      <w:rFonts w:hint="eastAsia"/>
                    </w:rPr>
                    <w:t>将基础医疗业务模块</w:t>
                  </w:r>
                  <w:r>
                    <w:t>HIS</w:t>
                  </w:r>
                  <w:r>
                    <w:rPr>
                      <w:rFonts w:hint="eastAsia"/>
                    </w:rPr>
                    <w:t>、</w:t>
                  </w:r>
                  <w:r>
                    <w:t>EMR</w:t>
                  </w:r>
                  <w:r>
                    <w:rPr>
                      <w:rFonts w:hint="eastAsia"/>
                    </w:rPr>
                    <w:t>、</w:t>
                  </w:r>
                  <w:r>
                    <w:t>LIS</w:t>
                  </w:r>
                  <w:r>
                    <w:rPr>
                      <w:rFonts w:hint="eastAsia"/>
                    </w:rPr>
                    <w:t>、</w:t>
                  </w:r>
                  <w:r>
                    <w:t>PACS</w:t>
                  </w:r>
                  <w:r>
                    <w:rPr>
                      <w:rFonts w:hint="eastAsia"/>
                    </w:rPr>
                    <w:t>延伸到两个社区推广实施，实现集团化管理、数据实时共享、业务无缝互联互通，打破信息孤岛。</w:t>
                  </w:r>
                </w:p>
              </w:tc>
            </w:tr>
          </w:tbl>
          <w:p w14:paraId="78664BFA">
            <w:pPr>
              <w:widowControl/>
              <w:adjustRightInd w:val="0"/>
              <w:snapToGrid w:val="0"/>
              <w:jc w:val="left"/>
              <w:rPr>
                <w:rFonts w:hint="eastAsia" w:ascii="宋体" w:hAnsi="宋体" w:cs="宋体"/>
                <w:b/>
                <w:bCs/>
              </w:rPr>
            </w:pPr>
          </w:p>
        </w:tc>
      </w:tr>
    </w:tbl>
    <w:p w14:paraId="742091E3">
      <w:pPr>
        <w:spacing w:line="400" w:lineRule="exact"/>
        <w:ind w:firstLine="435"/>
        <w:rPr>
          <w:rFonts w:hint="eastAsia" w:ascii="宋体"/>
          <w:b/>
          <w:bCs/>
          <w:color w:val="auto"/>
          <w:sz w:val="24"/>
          <w:szCs w:val="24"/>
        </w:rPr>
      </w:pPr>
    </w:p>
    <w:p w14:paraId="1C2D0361">
      <w:pPr>
        <w:rPr>
          <w:rFonts w:hint="eastAsia"/>
        </w:rPr>
      </w:pPr>
    </w:p>
    <w:p w14:paraId="24AC8BA6">
      <w:pPr>
        <w:rPr>
          <w:rFonts w:hint="eastAsia"/>
        </w:rPr>
      </w:pPr>
    </w:p>
    <w:p w14:paraId="14C2F0F1">
      <w:pPr>
        <w:rPr>
          <w:rFonts w:hint="eastAsia"/>
        </w:rPr>
      </w:pPr>
    </w:p>
    <w:p w14:paraId="2BEC5B80">
      <w:pPr>
        <w:rPr>
          <w:rFonts w:hint="eastAsia"/>
        </w:rPr>
      </w:pPr>
    </w:p>
    <w:p w14:paraId="7E4E9D97">
      <w:pPr>
        <w:rPr>
          <w:rFonts w:hint="eastAsia"/>
        </w:rPr>
      </w:pPr>
    </w:p>
    <w:p w14:paraId="028D27EA">
      <w:pPr>
        <w:rPr>
          <w:rFonts w:hint="eastAsia"/>
        </w:rPr>
      </w:pPr>
    </w:p>
    <w:p w14:paraId="5C13E3B8">
      <w:pPr>
        <w:rPr>
          <w:rFonts w:hint="eastAsia"/>
        </w:rPr>
      </w:pPr>
    </w:p>
    <w:p w14:paraId="25CE1C9A">
      <w:pPr>
        <w:spacing w:line="360" w:lineRule="auto"/>
        <w:jc w:val="left"/>
        <w:rPr>
          <w:rFonts w:hint="eastAsia" w:ascii="宋体"/>
          <w:b w:val="0"/>
          <w:bCs w:val="0"/>
          <w:szCs w:val="21"/>
        </w:rPr>
      </w:pPr>
    </w:p>
    <w:bookmarkEnd w:id="54"/>
    <w:bookmarkEnd w:id="55"/>
    <w:p w14:paraId="6911C052">
      <w:pPr>
        <w:pStyle w:val="3"/>
        <w:keepNext w:val="0"/>
        <w:keepLines w:val="0"/>
        <w:spacing w:line="240" w:lineRule="auto"/>
        <w:jc w:val="center"/>
        <w:rPr>
          <w:rFonts w:hint="eastAsia" w:ascii="宋体" w:hAnsi="宋体" w:eastAsia="宋体" w:cs="宋体"/>
          <w:color w:val="auto"/>
        </w:rPr>
      </w:pPr>
      <w:bookmarkStart w:id="58" w:name="_Toc19686831"/>
      <w:r>
        <w:rPr>
          <w:rFonts w:hint="eastAsia" w:ascii="宋体" w:hAnsi="宋体" w:eastAsia="宋体" w:cs="宋体"/>
          <w:color w:val="auto"/>
        </w:rPr>
        <w:br w:type="page"/>
      </w:r>
      <w:r>
        <w:rPr>
          <w:rFonts w:hint="eastAsia" w:ascii="宋体" w:hAnsi="宋体" w:eastAsia="宋体" w:cs="宋体"/>
          <w:color w:val="auto"/>
        </w:rPr>
        <w:t>第三章  投标人须知</w:t>
      </w:r>
      <w:bookmarkEnd w:id="58"/>
    </w:p>
    <w:p w14:paraId="70C7EFC0">
      <w:pPr>
        <w:spacing w:line="240" w:lineRule="auto"/>
        <w:jc w:val="center"/>
        <w:rPr>
          <w:rFonts w:hint="eastAsia" w:ascii="宋体" w:hAnsi="宋体" w:cs="宋体"/>
          <w:color w:val="auto"/>
          <w:sz w:val="36"/>
          <w:szCs w:val="36"/>
        </w:rPr>
      </w:pPr>
      <w:bookmarkStart w:id="59" w:name="_Toc254970667"/>
      <w:bookmarkStart w:id="60" w:name="_Toc254970526"/>
      <w:r>
        <w:rPr>
          <w:rFonts w:hint="eastAsia" w:ascii="宋体" w:hAnsi="宋体" w:cs="宋体"/>
          <w:color w:val="auto"/>
          <w:sz w:val="36"/>
          <w:szCs w:val="36"/>
        </w:rPr>
        <w:t>投标人须知前附表</w:t>
      </w:r>
      <w:bookmarkEnd w:id="59"/>
      <w:bookmarkEnd w:id="60"/>
    </w:p>
    <w:tbl>
      <w:tblPr>
        <w:tblStyle w:val="5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9099"/>
      </w:tblGrid>
      <w:tr w14:paraId="217960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068C7FC4">
            <w:pPr>
              <w:snapToGrid w:val="0"/>
              <w:spacing w:line="360" w:lineRule="exact"/>
              <w:jc w:val="center"/>
              <w:rPr>
                <w:rFonts w:hint="eastAsia" w:ascii="宋体"/>
                <w:szCs w:val="21"/>
              </w:rPr>
            </w:pPr>
            <w:r>
              <w:rPr>
                <w:rFonts w:hint="eastAsia" w:ascii="宋体"/>
                <w:szCs w:val="21"/>
              </w:rPr>
              <w:t>序号</w:t>
            </w:r>
          </w:p>
        </w:tc>
        <w:tc>
          <w:tcPr>
            <w:tcW w:w="9099" w:type="dxa"/>
            <w:tcBorders>
              <w:top w:val="single" w:color="auto" w:sz="4" w:space="0"/>
              <w:left w:val="single" w:color="auto" w:sz="4" w:space="0"/>
              <w:bottom w:val="single" w:color="auto" w:sz="4" w:space="0"/>
              <w:right w:val="single" w:color="auto" w:sz="4" w:space="0"/>
            </w:tcBorders>
            <w:noWrap w:val="0"/>
            <w:vAlign w:val="center"/>
          </w:tcPr>
          <w:p w14:paraId="53568038">
            <w:pPr>
              <w:snapToGrid w:val="0"/>
              <w:spacing w:line="360" w:lineRule="exact"/>
              <w:jc w:val="center"/>
              <w:rPr>
                <w:rFonts w:hint="eastAsia" w:ascii="宋体"/>
                <w:szCs w:val="21"/>
              </w:rPr>
            </w:pPr>
            <w:r>
              <w:rPr>
                <w:rFonts w:hint="eastAsia" w:ascii="宋体"/>
                <w:szCs w:val="21"/>
              </w:rPr>
              <w:t>内容、要求</w:t>
            </w:r>
          </w:p>
        </w:tc>
      </w:tr>
      <w:tr w14:paraId="50E460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32145F54">
            <w:pPr>
              <w:numPr>
                <w:ilvl w:val="0"/>
                <w:numId w:val="6"/>
              </w:numPr>
              <w:snapToGrid w:val="0"/>
              <w:spacing w:line="360" w:lineRule="exact"/>
              <w:jc w:val="center"/>
              <w:rPr>
                <w:rFonts w:hint="eastAsia" w:ascii="宋体"/>
                <w:szCs w:val="21"/>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0984917C">
            <w:pPr>
              <w:snapToGrid w:val="0"/>
              <w:spacing w:line="360" w:lineRule="exact"/>
              <w:rPr>
                <w:rFonts w:hint="eastAsia" w:ascii="宋体"/>
                <w:szCs w:val="21"/>
              </w:rPr>
            </w:pPr>
            <w:r>
              <w:rPr>
                <w:rFonts w:hint="eastAsia" w:ascii="宋体"/>
                <w:szCs w:val="21"/>
              </w:rPr>
              <w:t>采购项目名称：</w:t>
            </w:r>
            <w:r>
              <w:rPr>
                <w:rFonts w:hint="eastAsia" w:ascii="宋体" w:hAnsi="宋体" w:cs="宋体"/>
                <w:szCs w:val="21"/>
              </w:rPr>
              <w:t>广西骨伤医院智慧医院建设（一期）项目</w:t>
            </w:r>
          </w:p>
          <w:p w14:paraId="63DF9338">
            <w:pPr>
              <w:snapToGrid w:val="0"/>
              <w:spacing w:line="360" w:lineRule="exact"/>
              <w:rPr>
                <w:rFonts w:hint="eastAsia" w:ascii="宋体"/>
                <w:szCs w:val="21"/>
              </w:rPr>
            </w:pPr>
            <w:r>
              <w:rPr>
                <w:rFonts w:hint="eastAsia" w:ascii="宋体"/>
                <w:szCs w:val="21"/>
              </w:rPr>
              <w:t>采购项目编号：GXZC2026-G3-000742-GXZJ</w:t>
            </w:r>
          </w:p>
        </w:tc>
      </w:tr>
      <w:tr w14:paraId="0E070C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142649A3">
            <w:pPr>
              <w:numPr>
                <w:ilvl w:val="0"/>
                <w:numId w:val="6"/>
              </w:numPr>
              <w:snapToGrid w:val="0"/>
              <w:spacing w:line="360" w:lineRule="exact"/>
              <w:jc w:val="center"/>
              <w:rPr>
                <w:rFonts w:hint="eastAsia" w:ascii="宋体"/>
                <w:szCs w:val="21"/>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323D0BAD">
            <w:pPr>
              <w:snapToGrid w:val="0"/>
              <w:spacing w:line="360" w:lineRule="exact"/>
              <w:rPr>
                <w:rFonts w:hint="eastAsia" w:ascii="宋体"/>
                <w:szCs w:val="21"/>
              </w:rPr>
            </w:pPr>
            <w:r>
              <w:rPr>
                <w:rFonts w:hint="eastAsia" w:ascii="宋体"/>
                <w:szCs w:val="21"/>
              </w:rPr>
              <w:t>投标报价及费用：1、本项目投标应以人民币报价；2、不论投标结果如何，投标人均应自行承担所有与投标有关的全部费用；3、本项目的代理服务费按投标人须知第九条规定的（服务类）标准折扣80%采用差额定率累进计费方式计算，由中标人向采购代理机构支付。</w:t>
            </w:r>
          </w:p>
        </w:tc>
      </w:tr>
      <w:tr w14:paraId="7C8F17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144E4252">
            <w:pPr>
              <w:numPr>
                <w:ilvl w:val="0"/>
                <w:numId w:val="6"/>
              </w:numPr>
              <w:snapToGrid w:val="0"/>
              <w:spacing w:line="360" w:lineRule="exact"/>
              <w:jc w:val="center"/>
              <w:rPr>
                <w:rFonts w:hint="eastAsia" w:ascii="宋体"/>
                <w:szCs w:val="21"/>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799FF4DF">
            <w:pPr>
              <w:snapToGrid w:val="0"/>
              <w:spacing w:line="360" w:lineRule="exact"/>
              <w:rPr>
                <w:rFonts w:hint="eastAsia"/>
                <w:b/>
              </w:rPr>
            </w:pPr>
            <w:r>
              <w:rPr>
                <w:rFonts w:hint="eastAsia" w:ascii="宋体"/>
                <w:szCs w:val="21"/>
              </w:rPr>
              <w:t>投标保证金（人民币）：详见本项目公开招标公告。</w:t>
            </w:r>
          </w:p>
          <w:p w14:paraId="1D0FCB7C">
            <w:pPr>
              <w:snapToGrid w:val="0"/>
              <w:spacing w:line="360" w:lineRule="exact"/>
              <w:rPr>
                <w:rFonts w:hint="eastAsia" w:ascii="宋体"/>
                <w:color w:val="FF0000"/>
                <w:szCs w:val="21"/>
              </w:rPr>
            </w:pPr>
            <w:r>
              <w:rPr>
                <w:rFonts w:hint="eastAsia"/>
              </w:rPr>
              <w:t>投标保证金必须根据招标公告的要求进行缴纳，否则视为无效投标保证金。本项目不接受现金形式或从个人账户转出的投标保证金。</w:t>
            </w:r>
          </w:p>
        </w:tc>
      </w:tr>
      <w:tr w14:paraId="10E51A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655E68D2">
            <w:pPr>
              <w:numPr>
                <w:ilvl w:val="0"/>
                <w:numId w:val="6"/>
              </w:numPr>
              <w:snapToGrid w:val="0"/>
              <w:spacing w:line="360" w:lineRule="exact"/>
              <w:jc w:val="center"/>
              <w:rPr>
                <w:rFonts w:hint="eastAsia" w:ascii="宋体"/>
                <w:szCs w:val="21"/>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2B652904">
            <w:pPr>
              <w:snapToGrid w:val="0"/>
              <w:spacing w:line="360" w:lineRule="exact"/>
              <w:rPr>
                <w:rFonts w:hint="eastAsia" w:ascii="宋体"/>
                <w:szCs w:val="21"/>
              </w:rPr>
            </w:pPr>
            <w:r>
              <w:rPr>
                <w:rFonts w:hint="eastAsia" w:ascii="宋体"/>
                <w:szCs w:val="21"/>
              </w:rPr>
              <w:t>现场踏勘：</w:t>
            </w:r>
            <w:r>
              <w:rPr>
                <w:rFonts w:hint="eastAsia" w:ascii="宋体"/>
                <w:szCs w:val="21"/>
                <w:u w:val="single"/>
              </w:rPr>
              <w:t>无</w:t>
            </w:r>
            <w:r>
              <w:rPr>
                <w:rFonts w:hint="eastAsia" w:ascii="宋体"/>
                <w:szCs w:val="21"/>
              </w:rPr>
              <w:t>。</w:t>
            </w:r>
          </w:p>
        </w:tc>
      </w:tr>
      <w:tr w14:paraId="5328AF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3C71C575">
            <w:pPr>
              <w:numPr>
                <w:ilvl w:val="0"/>
                <w:numId w:val="6"/>
              </w:numPr>
              <w:snapToGrid w:val="0"/>
              <w:spacing w:line="360" w:lineRule="exact"/>
              <w:jc w:val="center"/>
              <w:rPr>
                <w:rFonts w:hint="eastAsia" w:ascii="宋体"/>
                <w:szCs w:val="21"/>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1A891A43">
            <w:pPr>
              <w:snapToGrid w:val="0"/>
              <w:spacing w:line="360" w:lineRule="exact"/>
              <w:rPr>
                <w:rFonts w:hint="eastAsia" w:ascii="宋体"/>
                <w:szCs w:val="21"/>
              </w:rPr>
            </w:pPr>
            <w:r>
              <w:rPr>
                <w:rFonts w:hint="eastAsia" w:ascii="宋体"/>
                <w:szCs w:val="21"/>
              </w:rPr>
              <w:t>演示时间及地点：</w:t>
            </w:r>
            <w:r>
              <w:rPr>
                <w:rFonts w:hint="eastAsia" w:ascii="宋体"/>
                <w:szCs w:val="21"/>
                <w:u w:val="single"/>
              </w:rPr>
              <w:t>无</w:t>
            </w:r>
            <w:r>
              <w:rPr>
                <w:rFonts w:hint="eastAsia" w:ascii="宋体"/>
                <w:szCs w:val="21"/>
              </w:rPr>
              <w:t>。</w:t>
            </w:r>
          </w:p>
        </w:tc>
      </w:tr>
      <w:tr w14:paraId="225B1C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03767D56">
            <w:pPr>
              <w:numPr>
                <w:ilvl w:val="0"/>
                <w:numId w:val="6"/>
              </w:numPr>
              <w:snapToGrid w:val="0"/>
              <w:spacing w:line="360" w:lineRule="exact"/>
              <w:jc w:val="center"/>
              <w:rPr>
                <w:rFonts w:hint="eastAsia" w:ascii="宋体"/>
                <w:szCs w:val="21"/>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17F2A983">
            <w:pPr>
              <w:snapToGrid w:val="0"/>
              <w:spacing w:line="360" w:lineRule="exact"/>
              <w:rPr>
                <w:rFonts w:hint="eastAsia" w:ascii="宋体"/>
                <w:szCs w:val="21"/>
              </w:rPr>
            </w:pPr>
            <w:r>
              <w:rPr>
                <w:rFonts w:hint="eastAsia" w:ascii="宋体"/>
                <w:szCs w:val="21"/>
              </w:rPr>
              <w:t>答疑、澄清：投标人如认为招标文件表述不清晰、有误或有不合理要求的，应以书面形式要求采购人或者本公司作出书面答疑、澄清；</w:t>
            </w:r>
          </w:p>
          <w:p w14:paraId="6403F501">
            <w:pPr>
              <w:snapToGrid w:val="0"/>
              <w:spacing w:line="360" w:lineRule="exact"/>
              <w:rPr>
                <w:rFonts w:hint="eastAsia" w:ascii="宋体"/>
                <w:szCs w:val="21"/>
              </w:rPr>
            </w:pPr>
            <w:r>
              <w:rPr>
                <w:rFonts w:hint="eastAsia" w:ascii="宋体"/>
                <w:szCs w:val="21"/>
              </w:rPr>
              <w:t>询问、质疑：投标人如认为招标文件存在歧视性、排他性或者其他违法内容的，按投标人须知“一、总则（九）询问、质疑和投诉”中的要求向采购人或者本公司提出书面询问、质疑。</w:t>
            </w:r>
          </w:p>
          <w:p w14:paraId="04D42080">
            <w:pPr>
              <w:snapToGrid w:val="0"/>
              <w:spacing w:line="360" w:lineRule="exact"/>
              <w:rPr>
                <w:rFonts w:hint="eastAsia" w:ascii="宋体"/>
                <w:szCs w:val="21"/>
              </w:rPr>
            </w:pPr>
            <w:r>
              <w:rPr>
                <w:rFonts w:hint="eastAsia" w:ascii="宋体"/>
                <w:szCs w:val="21"/>
              </w:rPr>
              <w:t>答疑、澄清内容是招标文件的组成部份，本公司将以书面形式送达所有已报名的投标人；本公司可以视采购具体情况，延长招标文件或者资格预审文件提供期限，并在财政部门指定的政府采购信息发布媒体上发布公告。</w:t>
            </w:r>
          </w:p>
        </w:tc>
      </w:tr>
      <w:tr w14:paraId="61DDE1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6F7C4E0D">
            <w:pPr>
              <w:numPr>
                <w:ilvl w:val="0"/>
                <w:numId w:val="6"/>
              </w:numPr>
              <w:snapToGrid w:val="0"/>
              <w:spacing w:line="360" w:lineRule="exact"/>
              <w:jc w:val="center"/>
              <w:rPr>
                <w:rFonts w:hint="eastAsia" w:ascii="宋体"/>
                <w:szCs w:val="21"/>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1460581E">
            <w:pPr>
              <w:autoSpaceDE w:val="0"/>
              <w:autoSpaceDN w:val="0"/>
              <w:snapToGrid w:val="0"/>
              <w:spacing w:line="360" w:lineRule="exact"/>
              <w:textAlignment w:val="bottom"/>
              <w:rPr>
                <w:rFonts w:hint="eastAsia" w:ascii="宋体"/>
                <w:szCs w:val="21"/>
              </w:rPr>
            </w:pPr>
            <w:r>
              <w:rPr>
                <w:rFonts w:hint="eastAsia" w:ascii="宋体"/>
                <w:szCs w:val="21"/>
              </w:rPr>
              <w:t>投标文件形式：投标供应商应准备电子投标文件。</w:t>
            </w:r>
          </w:p>
          <w:p w14:paraId="178265AC">
            <w:pPr>
              <w:autoSpaceDE w:val="0"/>
              <w:autoSpaceDN w:val="0"/>
              <w:snapToGrid w:val="0"/>
              <w:spacing w:line="360" w:lineRule="exact"/>
              <w:textAlignment w:val="bottom"/>
              <w:rPr>
                <w:rFonts w:hint="eastAsia" w:ascii="宋体"/>
                <w:szCs w:val="21"/>
              </w:rPr>
            </w:pPr>
            <w:r>
              <w:rPr>
                <w:rFonts w:hint="eastAsia" w:ascii="宋体"/>
                <w:szCs w:val="21"/>
              </w:rPr>
              <w:t>电子投标文件是指通过“广西政府采购云平台电子投标客户端”完成投标文件编制后生成并加密的数据电文形式的电子加密投标文件。</w:t>
            </w:r>
          </w:p>
        </w:tc>
      </w:tr>
      <w:tr w14:paraId="4A4C17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1A710BE8">
            <w:pPr>
              <w:numPr>
                <w:ilvl w:val="0"/>
                <w:numId w:val="6"/>
              </w:numPr>
              <w:snapToGrid w:val="0"/>
              <w:spacing w:line="360" w:lineRule="exact"/>
              <w:jc w:val="center"/>
              <w:rPr>
                <w:rFonts w:hint="eastAsia" w:ascii="宋体"/>
                <w:szCs w:val="21"/>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3E49F17A">
            <w:pPr>
              <w:autoSpaceDE w:val="0"/>
              <w:autoSpaceDN w:val="0"/>
              <w:snapToGrid w:val="0"/>
              <w:spacing w:line="360" w:lineRule="exact"/>
              <w:textAlignment w:val="bottom"/>
              <w:rPr>
                <w:rFonts w:hint="eastAsia" w:ascii="宋体"/>
                <w:szCs w:val="21"/>
              </w:rPr>
            </w:pPr>
            <w:r>
              <w:rPr>
                <w:rFonts w:hint="eastAsia" w:ascii="宋体"/>
                <w:szCs w:val="21"/>
              </w:rPr>
              <w:t>投标文件的编制：供应商应先安装“广西政府采购云平台电子投标客户端”，并按照本招标文件和“广西政府采购云平台”的要求，通过“广西政府采购云平台电子投标客户端”编制并加密投标文件。</w:t>
            </w:r>
          </w:p>
        </w:tc>
      </w:tr>
      <w:tr w14:paraId="137B56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4879516A">
            <w:pPr>
              <w:numPr>
                <w:ilvl w:val="0"/>
                <w:numId w:val="6"/>
              </w:numPr>
              <w:snapToGrid w:val="0"/>
              <w:spacing w:line="360" w:lineRule="exact"/>
              <w:jc w:val="center"/>
              <w:rPr>
                <w:rFonts w:hint="eastAsia" w:ascii="宋体"/>
                <w:szCs w:val="21"/>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59D4C751">
            <w:pPr>
              <w:autoSpaceDE w:val="0"/>
              <w:autoSpaceDN w:val="0"/>
              <w:snapToGrid w:val="0"/>
              <w:spacing w:line="360" w:lineRule="exact"/>
              <w:textAlignment w:val="bottom"/>
              <w:rPr>
                <w:rFonts w:hint="eastAsia" w:ascii="宋体"/>
                <w:szCs w:val="21"/>
              </w:rPr>
            </w:pPr>
            <w:r>
              <w:rPr>
                <w:rFonts w:hint="eastAsia" w:ascii="宋体"/>
                <w:szCs w:val="21"/>
              </w:rPr>
              <w:t>投标文件的盖章：投标文件中所涉及的加盖公章均采用CA电子签章。</w:t>
            </w:r>
          </w:p>
        </w:tc>
      </w:tr>
      <w:tr w14:paraId="36D85C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7F66A088">
            <w:pPr>
              <w:numPr>
                <w:ilvl w:val="0"/>
                <w:numId w:val="6"/>
              </w:numPr>
              <w:snapToGrid w:val="0"/>
              <w:spacing w:line="360" w:lineRule="exact"/>
              <w:jc w:val="center"/>
              <w:rPr>
                <w:rFonts w:hint="eastAsia" w:ascii="宋体"/>
                <w:szCs w:val="21"/>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5089DFFA">
            <w:pPr>
              <w:autoSpaceDE w:val="0"/>
              <w:autoSpaceDN w:val="0"/>
              <w:snapToGrid w:val="0"/>
              <w:spacing w:line="360" w:lineRule="exact"/>
              <w:textAlignment w:val="bottom"/>
              <w:rPr>
                <w:rFonts w:hint="eastAsia" w:ascii="宋体"/>
                <w:szCs w:val="21"/>
              </w:rPr>
            </w:pPr>
            <w:r>
              <w:rPr>
                <w:rFonts w:hint="eastAsia" w:ascii="宋体"/>
                <w:szCs w:val="21"/>
              </w:rPr>
              <w:t>法定代表人或其授权代表签字或盖章：本招标文件所涉及的法定代表人或其授权代表签字或盖章的内容，如果投标单位没有法定代表人电子签章，涉及到法定代表人或其授权代表签字或盖章的内容，投标单位可以线下签字或盖章后扫描上传。</w:t>
            </w:r>
          </w:p>
        </w:tc>
      </w:tr>
      <w:tr w14:paraId="39763E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394B9A57">
            <w:pPr>
              <w:numPr>
                <w:ilvl w:val="0"/>
                <w:numId w:val="6"/>
              </w:numPr>
              <w:snapToGrid w:val="0"/>
              <w:spacing w:line="360" w:lineRule="exact"/>
              <w:jc w:val="center"/>
              <w:rPr>
                <w:rFonts w:hint="eastAsia" w:ascii="宋体"/>
                <w:szCs w:val="21"/>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3D693B16">
            <w:pPr>
              <w:autoSpaceDE w:val="0"/>
              <w:autoSpaceDN w:val="0"/>
              <w:snapToGrid w:val="0"/>
              <w:spacing w:line="360" w:lineRule="exact"/>
              <w:textAlignment w:val="bottom"/>
              <w:rPr>
                <w:rFonts w:hint="eastAsia" w:ascii="宋体"/>
                <w:szCs w:val="21"/>
              </w:rPr>
            </w:pPr>
            <w:r>
              <w:rPr>
                <w:rFonts w:hint="eastAsia" w:ascii="宋体"/>
                <w:szCs w:val="21"/>
              </w:rPr>
              <w:t>投标文件份数：电子加密投标文件在线上传提交一份。</w:t>
            </w:r>
          </w:p>
        </w:tc>
      </w:tr>
      <w:tr w14:paraId="111B2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30E28BEB">
            <w:pPr>
              <w:numPr>
                <w:ilvl w:val="0"/>
                <w:numId w:val="6"/>
              </w:numPr>
              <w:snapToGrid w:val="0"/>
              <w:spacing w:line="360" w:lineRule="exact"/>
              <w:jc w:val="center"/>
              <w:rPr>
                <w:rFonts w:hint="eastAsia" w:ascii="宋体"/>
                <w:szCs w:val="21"/>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539ED9B2">
            <w:pPr>
              <w:autoSpaceDE w:val="0"/>
              <w:autoSpaceDN w:val="0"/>
              <w:snapToGrid w:val="0"/>
              <w:spacing w:line="360" w:lineRule="exact"/>
              <w:textAlignment w:val="bottom"/>
              <w:rPr>
                <w:rFonts w:ascii="宋体"/>
                <w:szCs w:val="21"/>
              </w:rPr>
            </w:pPr>
            <w:r>
              <w:rPr>
                <w:rFonts w:hint="eastAsia" w:ascii="宋体"/>
                <w:szCs w:val="21"/>
              </w:rPr>
              <w:t>投标文件的上传和提交：本项目通过“广西政府采购云平台”</w:t>
            </w:r>
            <w:r>
              <w:rPr>
                <w:rFonts w:ascii="宋体"/>
                <w:szCs w:val="21"/>
              </w:rPr>
              <w:t>实行在线投标响应（电子投标），投标供应商应当在投标截止时间前，将生成的</w:t>
            </w:r>
            <w:r>
              <w:rPr>
                <w:rFonts w:hint="eastAsia" w:ascii="宋体"/>
                <w:szCs w:val="21"/>
              </w:rPr>
              <w:t>“</w:t>
            </w:r>
            <w:r>
              <w:rPr>
                <w:rFonts w:ascii="宋体"/>
                <w:szCs w:val="21"/>
              </w:rPr>
              <w:t>电子加密投标文件</w:t>
            </w:r>
            <w:r>
              <w:rPr>
                <w:rFonts w:hint="eastAsia" w:ascii="宋体"/>
                <w:szCs w:val="21"/>
              </w:rPr>
              <w:t>”</w:t>
            </w:r>
            <w:r>
              <w:rPr>
                <w:rFonts w:ascii="宋体"/>
                <w:szCs w:val="21"/>
              </w:rPr>
              <w:t>上传提交至</w:t>
            </w:r>
            <w:r>
              <w:rPr>
                <w:rFonts w:hint="eastAsia" w:ascii="宋体"/>
                <w:szCs w:val="21"/>
              </w:rPr>
              <w:t>“广西政府采购云平台”</w:t>
            </w:r>
            <w:r>
              <w:rPr>
                <w:rFonts w:ascii="宋体"/>
                <w:szCs w:val="21"/>
              </w:rPr>
              <w:t>。</w:t>
            </w:r>
          </w:p>
          <w:p w14:paraId="72B38FF6">
            <w:pPr>
              <w:autoSpaceDE w:val="0"/>
              <w:autoSpaceDN w:val="0"/>
              <w:snapToGrid w:val="0"/>
              <w:spacing w:line="360" w:lineRule="exact"/>
              <w:textAlignment w:val="bottom"/>
              <w:rPr>
                <w:rFonts w:ascii="宋体"/>
                <w:szCs w:val="21"/>
              </w:rPr>
            </w:pPr>
            <w:r>
              <w:rPr>
                <w:rFonts w:hint="eastAsia" w:ascii="宋体"/>
                <w:szCs w:val="21"/>
              </w:rPr>
              <w:t>“电子加密投标文件”的上传、提交：</w:t>
            </w:r>
          </w:p>
          <w:p w14:paraId="1EB4BE65">
            <w:pPr>
              <w:autoSpaceDE w:val="0"/>
              <w:autoSpaceDN w:val="0"/>
              <w:snapToGrid w:val="0"/>
              <w:spacing w:line="360" w:lineRule="exact"/>
              <w:textAlignment w:val="bottom"/>
              <w:rPr>
                <w:rFonts w:ascii="宋体"/>
                <w:szCs w:val="21"/>
              </w:rPr>
            </w:pPr>
            <w:r>
              <w:rPr>
                <w:rFonts w:hint="eastAsia" w:ascii="宋体"/>
                <w:szCs w:val="21"/>
              </w:rPr>
              <w:t>a.投标供应商应在投标截止时间前将“电子加密投标文件”成功上传提交至“广西政府采购云平台”，否则投标无效。</w:t>
            </w:r>
          </w:p>
          <w:p w14:paraId="29CE85F5">
            <w:pPr>
              <w:autoSpaceDE w:val="0"/>
              <w:autoSpaceDN w:val="0"/>
              <w:snapToGrid w:val="0"/>
              <w:spacing w:line="360" w:lineRule="exact"/>
              <w:textAlignment w:val="bottom"/>
              <w:rPr>
                <w:rFonts w:hint="eastAsia" w:ascii="宋体"/>
                <w:szCs w:val="21"/>
              </w:rPr>
            </w:pPr>
            <w:r>
              <w:rPr>
                <w:rFonts w:hint="eastAsia" w:ascii="宋体"/>
                <w:szCs w:val="21"/>
              </w:rPr>
              <w:t>b.“电子加密投标文件”成功上传提交后，供应商可自行打印投标文件接收回执。</w:t>
            </w:r>
          </w:p>
        </w:tc>
      </w:tr>
      <w:tr w14:paraId="5B57A2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2B944250">
            <w:pPr>
              <w:numPr>
                <w:ilvl w:val="0"/>
                <w:numId w:val="6"/>
              </w:numPr>
              <w:snapToGrid w:val="0"/>
              <w:spacing w:line="360" w:lineRule="exact"/>
              <w:jc w:val="center"/>
              <w:rPr>
                <w:rFonts w:hint="eastAsia" w:ascii="宋体"/>
                <w:szCs w:val="21"/>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506C6657">
            <w:pPr>
              <w:autoSpaceDE w:val="0"/>
              <w:autoSpaceDN w:val="0"/>
              <w:snapToGrid w:val="0"/>
              <w:spacing w:line="360" w:lineRule="exact"/>
              <w:textAlignment w:val="bottom"/>
              <w:rPr>
                <w:rFonts w:hint="eastAsia" w:ascii="宋体"/>
                <w:szCs w:val="21"/>
              </w:rPr>
            </w:pPr>
            <w:r>
              <w:rPr>
                <w:rFonts w:hint="eastAsia" w:ascii="宋体"/>
                <w:szCs w:val="21"/>
              </w:rPr>
              <w:t>电子加密投标文件的解密：</w:t>
            </w:r>
          </w:p>
          <w:p w14:paraId="5FA2C192">
            <w:pPr>
              <w:autoSpaceDE w:val="0"/>
              <w:autoSpaceDN w:val="0"/>
              <w:snapToGrid w:val="0"/>
              <w:spacing w:line="360" w:lineRule="exact"/>
              <w:textAlignment w:val="bottom"/>
              <w:rPr>
                <w:rFonts w:hint="eastAsia" w:ascii="宋体"/>
                <w:szCs w:val="21"/>
              </w:rPr>
            </w:pPr>
            <w:r>
              <w:rPr>
                <w:rFonts w:hint="eastAsia" w:ascii="宋体"/>
                <w:szCs w:val="21"/>
              </w:rPr>
              <w:t>开标后，采购代理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14:paraId="56BF75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5ED67CF8">
            <w:pPr>
              <w:numPr>
                <w:ilvl w:val="0"/>
                <w:numId w:val="6"/>
              </w:numPr>
              <w:snapToGrid w:val="0"/>
              <w:spacing w:line="360" w:lineRule="exact"/>
              <w:jc w:val="center"/>
              <w:rPr>
                <w:rFonts w:hint="eastAsia" w:ascii="宋体"/>
                <w:szCs w:val="21"/>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16C44DA7">
            <w:pPr>
              <w:snapToGrid w:val="0"/>
              <w:spacing w:line="360" w:lineRule="exact"/>
              <w:rPr>
                <w:rFonts w:hint="eastAsia" w:ascii="宋体"/>
                <w:color w:val="000000"/>
                <w:szCs w:val="21"/>
              </w:rPr>
            </w:pPr>
            <w:r>
              <w:rPr>
                <w:rFonts w:hint="eastAsia" w:ascii="宋体"/>
                <w:color w:val="000000"/>
                <w:szCs w:val="21"/>
              </w:rPr>
              <w:t>提交投标文件截止时间、开标时间和地点：</w:t>
            </w:r>
            <w:r>
              <w:rPr>
                <w:rFonts w:hint="eastAsia" w:ascii="宋体"/>
                <w:b/>
                <w:szCs w:val="21"/>
              </w:rPr>
              <w:t>详见本项目公开招标公告。</w:t>
            </w:r>
          </w:p>
        </w:tc>
      </w:tr>
      <w:tr w14:paraId="3FDA18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50F9DF81">
            <w:pPr>
              <w:numPr>
                <w:ilvl w:val="0"/>
                <w:numId w:val="6"/>
              </w:numPr>
              <w:snapToGrid w:val="0"/>
              <w:spacing w:line="360" w:lineRule="exact"/>
              <w:jc w:val="center"/>
              <w:rPr>
                <w:rFonts w:hint="eastAsia" w:ascii="宋体"/>
                <w:szCs w:val="21"/>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0C5E856E">
            <w:pPr>
              <w:autoSpaceDE w:val="0"/>
              <w:autoSpaceDN w:val="0"/>
              <w:snapToGrid w:val="0"/>
              <w:spacing w:line="360" w:lineRule="exact"/>
              <w:textAlignment w:val="bottom"/>
              <w:rPr>
                <w:rFonts w:hint="eastAsia" w:ascii="宋体"/>
                <w:szCs w:val="21"/>
              </w:rPr>
            </w:pPr>
            <w:r>
              <w:rPr>
                <w:rFonts w:hint="eastAsia" w:ascii="宋体"/>
                <w:szCs w:val="21"/>
              </w:rPr>
              <w:t>评标方法：综合评分法。</w:t>
            </w:r>
          </w:p>
        </w:tc>
      </w:tr>
      <w:tr w14:paraId="0853D9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4B218DBE">
            <w:pPr>
              <w:numPr>
                <w:ilvl w:val="0"/>
                <w:numId w:val="6"/>
              </w:numPr>
              <w:snapToGrid w:val="0"/>
              <w:spacing w:line="360" w:lineRule="exact"/>
              <w:jc w:val="center"/>
              <w:rPr>
                <w:rFonts w:hint="eastAsia" w:ascii="宋体"/>
                <w:szCs w:val="21"/>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7C16DBD9">
            <w:pPr>
              <w:autoSpaceDE w:val="0"/>
              <w:autoSpaceDN w:val="0"/>
              <w:snapToGrid w:val="0"/>
              <w:spacing w:line="360" w:lineRule="exact"/>
              <w:textAlignment w:val="bottom"/>
              <w:rPr>
                <w:rFonts w:hint="eastAsia" w:ascii="宋体"/>
                <w:szCs w:val="21"/>
              </w:rPr>
            </w:pPr>
            <w:r>
              <w:rPr>
                <w:rFonts w:hint="eastAsia" w:ascii="宋体"/>
                <w:szCs w:val="21"/>
              </w:rPr>
              <w:t>中标公告及中标通知书：采购代理机构在采购人依法确认中标人后二个工作日内发布中标公告和中标通知书，中标公告发布于财政部门指定的政府采购信息发布媒体。</w:t>
            </w:r>
          </w:p>
        </w:tc>
      </w:tr>
      <w:tr w14:paraId="0055AA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6A90C849">
            <w:pPr>
              <w:numPr>
                <w:ilvl w:val="0"/>
                <w:numId w:val="6"/>
              </w:numPr>
              <w:snapToGrid w:val="0"/>
              <w:spacing w:line="360" w:lineRule="exact"/>
              <w:jc w:val="center"/>
              <w:rPr>
                <w:rFonts w:hint="eastAsia" w:ascii="宋体"/>
                <w:szCs w:val="21"/>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74D223CB">
            <w:pPr>
              <w:autoSpaceDE w:val="0"/>
              <w:autoSpaceDN w:val="0"/>
              <w:snapToGrid w:val="0"/>
              <w:spacing w:line="360" w:lineRule="exact"/>
              <w:textAlignment w:val="bottom"/>
              <w:rPr>
                <w:rFonts w:hint="eastAsia" w:ascii="宋体"/>
                <w:szCs w:val="21"/>
              </w:rPr>
            </w:pPr>
            <w:r>
              <w:rPr>
                <w:rFonts w:hint="eastAsia" w:ascii="宋体"/>
                <w:szCs w:val="21"/>
              </w:rPr>
              <w:t>采购资金来源：</w:t>
            </w:r>
            <w:r>
              <w:rPr>
                <w:rFonts w:hint="eastAsia"/>
              </w:rPr>
              <w:t>财政性资金</w:t>
            </w:r>
            <w:r>
              <w:rPr>
                <w:rFonts w:hint="eastAsia" w:ascii="宋体"/>
                <w:szCs w:val="21"/>
              </w:rPr>
              <w:t>。</w:t>
            </w:r>
          </w:p>
        </w:tc>
      </w:tr>
      <w:tr w14:paraId="4B1703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3FE26090">
            <w:pPr>
              <w:numPr>
                <w:ilvl w:val="0"/>
                <w:numId w:val="6"/>
              </w:numPr>
              <w:snapToGrid w:val="0"/>
              <w:spacing w:line="360" w:lineRule="exact"/>
              <w:jc w:val="center"/>
              <w:rPr>
                <w:rFonts w:hint="eastAsia" w:ascii="宋体"/>
                <w:szCs w:val="21"/>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7ACE05C2">
            <w:pPr>
              <w:snapToGrid w:val="0"/>
              <w:spacing w:line="360" w:lineRule="exact"/>
              <w:rPr>
                <w:rFonts w:hint="eastAsia" w:ascii="宋体"/>
                <w:szCs w:val="21"/>
              </w:rPr>
            </w:pPr>
            <w:r>
              <w:rPr>
                <w:rFonts w:hint="eastAsia" w:ascii="宋体"/>
                <w:szCs w:val="21"/>
              </w:rPr>
              <w:t>付款方式：</w:t>
            </w:r>
            <w:r>
              <w:rPr>
                <w:rFonts w:hint="eastAsia" w:ascii="宋体" w:hAnsi="宋体" w:cs="宋体"/>
                <w:kern w:val="0"/>
                <w:szCs w:val="21"/>
              </w:rPr>
              <w:t>见招标项目采购需求。</w:t>
            </w:r>
          </w:p>
        </w:tc>
      </w:tr>
      <w:tr w14:paraId="45662C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3CBA9F27">
            <w:pPr>
              <w:numPr>
                <w:ilvl w:val="0"/>
                <w:numId w:val="6"/>
              </w:numPr>
              <w:snapToGrid w:val="0"/>
              <w:spacing w:line="360" w:lineRule="exact"/>
              <w:jc w:val="center"/>
              <w:rPr>
                <w:rFonts w:hint="eastAsia" w:ascii="宋体"/>
                <w:szCs w:val="21"/>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1BF89423">
            <w:pPr>
              <w:snapToGrid w:val="0"/>
              <w:spacing w:line="360" w:lineRule="exact"/>
              <w:rPr>
                <w:rFonts w:hint="eastAsia" w:ascii="宋体"/>
                <w:szCs w:val="21"/>
              </w:rPr>
            </w:pPr>
            <w:r>
              <w:rPr>
                <w:rFonts w:hint="eastAsia" w:ascii="宋体"/>
                <w:szCs w:val="21"/>
              </w:rPr>
              <w:t>投标文件有效期：</w:t>
            </w:r>
            <w:r>
              <w:rPr>
                <w:rFonts w:hint="eastAsia" w:ascii="宋体" w:cs="Arial"/>
                <w:szCs w:val="21"/>
                <w:u w:val="single"/>
              </w:rPr>
              <w:t xml:space="preserve"> 60</w:t>
            </w:r>
            <w:r>
              <w:rPr>
                <w:rFonts w:hint="eastAsia" w:ascii="宋体" w:cs="Arial"/>
                <w:szCs w:val="21"/>
              </w:rPr>
              <w:t>天。</w:t>
            </w:r>
          </w:p>
        </w:tc>
      </w:tr>
      <w:tr w14:paraId="0A81A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1722FCD7">
            <w:pPr>
              <w:numPr>
                <w:ilvl w:val="0"/>
                <w:numId w:val="6"/>
              </w:numPr>
              <w:snapToGrid w:val="0"/>
              <w:spacing w:line="360" w:lineRule="exact"/>
              <w:jc w:val="center"/>
              <w:rPr>
                <w:rFonts w:hint="eastAsia" w:ascii="宋体"/>
                <w:szCs w:val="21"/>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1F6D296B">
            <w:pPr>
              <w:snapToGrid w:val="0"/>
              <w:spacing w:line="360" w:lineRule="exact"/>
              <w:rPr>
                <w:rFonts w:hint="eastAsia"/>
                <w:color w:val="FF0000"/>
              </w:rPr>
            </w:pPr>
            <w:r>
              <w:rPr>
                <w:rFonts w:hint="eastAsia"/>
              </w:rPr>
              <w:t>本招标文件解释权属广西中吉银工程项目管理有限公司。</w:t>
            </w:r>
          </w:p>
        </w:tc>
      </w:tr>
    </w:tbl>
    <w:p w14:paraId="51631070">
      <w:pPr>
        <w:jc w:val="center"/>
        <w:rPr>
          <w:rFonts w:hint="eastAsia" w:ascii="宋体" w:hAnsi="宋体" w:cs="宋体"/>
          <w:color w:val="auto"/>
          <w:sz w:val="36"/>
          <w:szCs w:val="36"/>
        </w:rPr>
      </w:pPr>
    </w:p>
    <w:p w14:paraId="5843562E">
      <w:pPr>
        <w:snapToGrid w:val="0"/>
        <w:rPr>
          <w:rFonts w:hint="eastAsia" w:ascii="宋体" w:hAnsi="宋体" w:cs="宋体"/>
          <w:color w:val="auto"/>
          <w:sz w:val="24"/>
          <w:szCs w:val="20"/>
        </w:rPr>
      </w:pPr>
    </w:p>
    <w:p w14:paraId="4C676A02">
      <w:pPr>
        <w:snapToGrid w:val="0"/>
        <w:rPr>
          <w:rFonts w:hint="eastAsia" w:ascii="宋体" w:hAnsi="宋体" w:cs="宋体"/>
          <w:color w:val="auto"/>
          <w:sz w:val="24"/>
          <w:szCs w:val="20"/>
        </w:rPr>
      </w:pPr>
    </w:p>
    <w:p w14:paraId="29AF9717">
      <w:pPr>
        <w:spacing w:line="360" w:lineRule="exact"/>
        <w:rPr>
          <w:rFonts w:hint="eastAsia" w:ascii="宋体" w:hAnsi="宋体" w:cs="宋体"/>
          <w:color w:val="auto"/>
        </w:rPr>
      </w:pPr>
    </w:p>
    <w:p w14:paraId="3598250F">
      <w:pPr>
        <w:pStyle w:val="4"/>
        <w:keepNext w:val="0"/>
        <w:keepLines w:val="0"/>
        <w:spacing w:line="240" w:lineRule="auto"/>
        <w:jc w:val="center"/>
        <w:rPr>
          <w:rFonts w:hint="eastAsia" w:ascii="宋体" w:hAnsi="宋体" w:cs="宋体"/>
          <w:color w:val="auto"/>
        </w:rPr>
      </w:pPr>
      <w:r>
        <w:rPr>
          <w:rFonts w:hint="eastAsia" w:ascii="宋体" w:hAnsi="宋体" w:cs="宋体"/>
          <w:color w:val="auto"/>
        </w:rPr>
        <w:br w:type="page"/>
      </w:r>
      <w:r>
        <w:rPr>
          <w:rFonts w:hint="eastAsia" w:ascii="宋体" w:hAnsi="宋体" w:cs="宋体"/>
          <w:color w:val="auto"/>
        </w:rPr>
        <w:t>投标人须知正文</w:t>
      </w:r>
    </w:p>
    <w:p w14:paraId="57A405FD">
      <w:pPr>
        <w:pStyle w:val="28"/>
        <w:snapToGrid w:val="0"/>
        <w:spacing w:before="120" w:after="120" w:line="380" w:lineRule="exact"/>
        <w:jc w:val="center"/>
        <w:rPr>
          <w:rFonts w:hint="eastAsia"/>
          <w:b/>
        </w:rPr>
      </w:pPr>
      <w:r>
        <w:rPr>
          <w:rFonts w:hint="eastAsia"/>
          <w:b/>
        </w:rPr>
        <w:t>一、总  则</w:t>
      </w:r>
      <w:bookmarkStart w:id="61" w:name="_Toc254970527"/>
      <w:bookmarkStart w:id="62" w:name="_Toc254970668"/>
    </w:p>
    <w:p w14:paraId="2CA2F4F8">
      <w:pPr>
        <w:keepNext w:val="0"/>
        <w:keepLines w:val="0"/>
        <w:pageBreakBefore w:val="0"/>
        <w:widowControl w:val="0"/>
        <w:kinsoku/>
        <w:wordWrap/>
        <w:overflowPunct/>
        <w:topLinePunct w:val="0"/>
        <w:autoSpaceDE/>
        <w:autoSpaceDN/>
        <w:bidi w:val="0"/>
        <w:adjustRightInd/>
        <w:snapToGrid w:val="0"/>
        <w:spacing w:line="370" w:lineRule="exact"/>
        <w:ind w:firstLine="422" w:firstLineChars="200"/>
        <w:jc w:val="left"/>
        <w:textAlignment w:val="auto"/>
        <w:rPr>
          <w:rFonts w:hint="eastAsia" w:ascii="Times New Roman" w:hAnsi="宋体" w:eastAsia="宋体" w:cs="Times New Roman"/>
          <w:b/>
          <w:bCs/>
        </w:rPr>
      </w:pPr>
      <w:r>
        <w:rPr>
          <w:rFonts w:hint="eastAsia" w:ascii="Times New Roman" w:hAnsi="宋体" w:eastAsia="宋体" w:cs="Times New Roman"/>
          <w:b/>
          <w:bCs/>
        </w:rPr>
        <w:t>（一）适用范围</w:t>
      </w:r>
      <w:bookmarkEnd w:id="61"/>
      <w:bookmarkEnd w:id="62"/>
    </w:p>
    <w:p w14:paraId="1FC02AEF">
      <w:pPr>
        <w:keepNext w:val="0"/>
        <w:keepLines w:val="0"/>
        <w:pageBreakBefore w:val="0"/>
        <w:widowControl w:val="0"/>
        <w:kinsoku/>
        <w:wordWrap/>
        <w:overflowPunct/>
        <w:topLinePunct w:val="0"/>
        <w:autoSpaceDE/>
        <w:autoSpaceDN/>
        <w:bidi w:val="0"/>
        <w:adjustRightInd/>
        <w:snapToGrid w:val="0"/>
        <w:spacing w:line="370" w:lineRule="exact"/>
        <w:ind w:firstLine="420" w:firstLineChars="200"/>
        <w:jc w:val="left"/>
        <w:textAlignment w:val="auto"/>
        <w:rPr>
          <w:rFonts w:hint="eastAsia" w:ascii="Times New Roman" w:hAnsi="宋体" w:eastAsia="宋体" w:cs="Times New Roman"/>
        </w:rPr>
      </w:pPr>
      <w:r>
        <w:rPr>
          <w:rFonts w:hint="eastAsia" w:ascii="Times New Roman" w:hAnsi="宋体" w:eastAsia="宋体" w:cs="Times New Roman"/>
        </w:rPr>
        <w:t>本招标文件适用于</w:t>
      </w:r>
      <w:r>
        <w:rPr>
          <w:rFonts w:hint="eastAsia" w:ascii="Times New Roman" w:hAnsi="宋体" w:eastAsia="宋体" w:cs="Times New Roman"/>
          <w:lang w:eastAsia="zh-CN"/>
        </w:rPr>
        <w:t>本项目</w:t>
      </w:r>
      <w:r>
        <w:rPr>
          <w:rFonts w:hint="eastAsia" w:ascii="Times New Roman" w:hAnsi="宋体" w:eastAsia="宋体" w:cs="Times New Roman"/>
        </w:rPr>
        <w:t>的招标、投标、评标、定标、验收、合同履约、付款等行为（法律、法规另有规定的，从其规定）。</w:t>
      </w:r>
      <w:bookmarkStart w:id="63" w:name="_Toc254970528"/>
      <w:bookmarkStart w:id="64" w:name="_Toc254970669"/>
    </w:p>
    <w:p w14:paraId="0DF2E23A">
      <w:pPr>
        <w:keepNext w:val="0"/>
        <w:keepLines w:val="0"/>
        <w:pageBreakBefore w:val="0"/>
        <w:widowControl w:val="0"/>
        <w:kinsoku/>
        <w:wordWrap/>
        <w:overflowPunct/>
        <w:topLinePunct w:val="0"/>
        <w:autoSpaceDE/>
        <w:autoSpaceDN/>
        <w:bidi w:val="0"/>
        <w:adjustRightInd/>
        <w:snapToGrid w:val="0"/>
        <w:spacing w:line="370" w:lineRule="exact"/>
        <w:ind w:firstLine="422" w:firstLineChars="200"/>
        <w:jc w:val="left"/>
        <w:textAlignment w:val="auto"/>
        <w:rPr>
          <w:rFonts w:hint="eastAsia" w:ascii="Times New Roman" w:hAnsi="宋体" w:eastAsia="宋体" w:cs="Times New Roman"/>
          <w:b/>
          <w:bCs/>
        </w:rPr>
      </w:pPr>
      <w:r>
        <w:rPr>
          <w:rFonts w:hint="eastAsia" w:ascii="Times New Roman" w:hAnsi="宋体" w:eastAsia="宋体" w:cs="Times New Roman"/>
          <w:b/>
          <w:bCs/>
        </w:rPr>
        <w:t>（二）定义</w:t>
      </w:r>
      <w:bookmarkEnd w:id="63"/>
      <w:bookmarkEnd w:id="64"/>
    </w:p>
    <w:p w14:paraId="357E041F">
      <w:pPr>
        <w:keepNext w:val="0"/>
        <w:keepLines w:val="0"/>
        <w:pageBreakBefore w:val="0"/>
        <w:widowControl w:val="0"/>
        <w:kinsoku/>
        <w:wordWrap/>
        <w:overflowPunct/>
        <w:topLinePunct w:val="0"/>
        <w:autoSpaceDE/>
        <w:autoSpaceDN/>
        <w:bidi w:val="0"/>
        <w:adjustRightInd/>
        <w:snapToGrid w:val="0"/>
        <w:spacing w:line="370" w:lineRule="exact"/>
        <w:ind w:firstLine="420" w:firstLineChars="200"/>
        <w:jc w:val="left"/>
        <w:textAlignment w:val="auto"/>
        <w:rPr>
          <w:rFonts w:hint="eastAsia" w:hAnsi="宋体"/>
        </w:rPr>
      </w:pPr>
      <w:r>
        <w:rPr>
          <w:rFonts w:hint="eastAsia" w:ascii="宋体" w:hAnsi="宋体"/>
          <w:szCs w:val="21"/>
        </w:rPr>
        <w:t>1.</w:t>
      </w:r>
      <w:r>
        <w:rPr>
          <w:rFonts w:hint="eastAsia" w:hAnsi="宋体"/>
        </w:rPr>
        <w:t xml:space="preserve"> “采购人”系指组织本次招标的采购单位。</w:t>
      </w:r>
    </w:p>
    <w:p w14:paraId="0A3C909E">
      <w:pPr>
        <w:keepNext w:val="0"/>
        <w:keepLines w:val="0"/>
        <w:pageBreakBefore w:val="0"/>
        <w:widowControl w:val="0"/>
        <w:kinsoku/>
        <w:wordWrap/>
        <w:overflowPunct/>
        <w:topLinePunct w:val="0"/>
        <w:autoSpaceDE/>
        <w:autoSpaceDN/>
        <w:bidi w:val="0"/>
        <w:adjustRightInd/>
        <w:snapToGrid w:val="0"/>
        <w:spacing w:line="370" w:lineRule="exact"/>
        <w:ind w:firstLine="420" w:firstLineChars="200"/>
        <w:jc w:val="left"/>
        <w:textAlignment w:val="auto"/>
        <w:rPr>
          <w:rFonts w:hint="eastAsia" w:ascii="宋体" w:hAnsi="宋体"/>
          <w:szCs w:val="21"/>
        </w:rPr>
      </w:pPr>
      <w:r>
        <w:rPr>
          <w:rFonts w:hint="eastAsia" w:ascii="宋体" w:hAnsi="宋体"/>
          <w:szCs w:val="21"/>
        </w:rPr>
        <w:t>2.</w:t>
      </w:r>
      <w:r>
        <w:rPr>
          <w:rFonts w:hint="eastAsia" w:hAnsi="宋体"/>
        </w:rPr>
        <w:t xml:space="preserve"> “采购代理机构”系指广西中吉银工程项目管理有限公司（以下简称“本公司”）。</w:t>
      </w:r>
    </w:p>
    <w:p w14:paraId="28817854">
      <w:pPr>
        <w:keepNext w:val="0"/>
        <w:keepLines w:val="0"/>
        <w:pageBreakBefore w:val="0"/>
        <w:widowControl w:val="0"/>
        <w:kinsoku/>
        <w:wordWrap/>
        <w:overflowPunct/>
        <w:topLinePunct w:val="0"/>
        <w:autoSpaceDE/>
        <w:autoSpaceDN/>
        <w:bidi w:val="0"/>
        <w:adjustRightInd/>
        <w:snapToGrid w:val="0"/>
        <w:spacing w:line="370" w:lineRule="exact"/>
        <w:ind w:firstLine="420" w:firstLineChars="200"/>
        <w:jc w:val="left"/>
        <w:textAlignment w:val="auto"/>
        <w:rPr>
          <w:rFonts w:hint="eastAsia" w:hAnsi="宋体"/>
        </w:rPr>
      </w:pPr>
      <w:r>
        <w:rPr>
          <w:rFonts w:hint="eastAsia" w:ascii="宋体" w:hAnsi="宋体"/>
          <w:szCs w:val="21"/>
        </w:rPr>
        <w:t>3.</w:t>
      </w:r>
      <w:r>
        <w:rPr>
          <w:rFonts w:hint="eastAsia" w:hAnsi="宋体"/>
        </w:rPr>
        <w:t xml:space="preserve"> “投标人”系指响应招标、参加投标竞争的法人、其他组织或者自然人。</w:t>
      </w:r>
    </w:p>
    <w:p w14:paraId="38E6DE2B">
      <w:pPr>
        <w:keepNext w:val="0"/>
        <w:keepLines w:val="0"/>
        <w:pageBreakBefore w:val="0"/>
        <w:widowControl w:val="0"/>
        <w:kinsoku/>
        <w:wordWrap/>
        <w:overflowPunct/>
        <w:topLinePunct w:val="0"/>
        <w:autoSpaceDE/>
        <w:autoSpaceDN/>
        <w:bidi w:val="0"/>
        <w:adjustRightInd/>
        <w:snapToGrid w:val="0"/>
        <w:spacing w:line="370" w:lineRule="exact"/>
        <w:ind w:firstLine="420" w:firstLineChars="200"/>
        <w:jc w:val="left"/>
        <w:textAlignment w:val="auto"/>
        <w:rPr>
          <w:rFonts w:hint="eastAsia"/>
        </w:rPr>
      </w:pPr>
      <w:r>
        <w:rPr>
          <w:rFonts w:hint="eastAsia"/>
        </w:rPr>
        <w:t>4.“产品”系指供方按招标文件规定，须向采购人提供的一切设备、保险、税金、备品备件、工具、手册及其它有关技术资料和材料。</w:t>
      </w:r>
    </w:p>
    <w:p w14:paraId="7B09EAEA">
      <w:pPr>
        <w:keepNext w:val="0"/>
        <w:keepLines w:val="0"/>
        <w:pageBreakBefore w:val="0"/>
        <w:widowControl w:val="0"/>
        <w:kinsoku/>
        <w:wordWrap/>
        <w:overflowPunct/>
        <w:topLinePunct w:val="0"/>
        <w:autoSpaceDE/>
        <w:autoSpaceDN/>
        <w:bidi w:val="0"/>
        <w:adjustRightInd/>
        <w:snapToGrid w:val="0"/>
        <w:spacing w:line="370" w:lineRule="exact"/>
        <w:ind w:firstLine="420" w:firstLineChars="200"/>
        <w:jc w:val="left"/>
        <w:textAlignment w:val="auto"/>
        <w:rPr>
          <w:rFonts w:hint="eastAsia"/>
        </w:rPr>
      </w:pPr>
      <w:r>
        <w:rPr>
          <w:rFonts w:hint="eastAsia"/>
        </w:rPr>
        <w:t>5.“服务”系指招标文件规定投标人须承担的安装、调试、技术协助、校准、培训、技术指导以及其他类似的义务。</w:t>
      </w:r>
    </w:p>
    <w:p w14:paraId="42A1DDF5">
      <w:pPr>
        <w:keepNext w:val="0"/>
        <w:keepLines w:val="0"/>
        <w:pageBreakBefore w:val="0"/>
        <w:widowControl w:val="0"/>
        <w:kinsoku/>
        <w:wordWrap/>
        <w:overflowPunct/>
        <w:topLinePunct w:val="0"/>
        <w:autoSpaceDE/>
        <w:autoSpaceDN/>
        <w:bidi w:val="0"/>
        <w:adjustRightInd/>
        <w:snapToGrid w:val="0"/>
        <w:spacing w:line="370" w:lineRule="exact"/>
        <w:ind w:firstLine="420" w:firstLineChars="200"/>
        <w:jc w:val="left"/>
        <w:textAlignment w:val="auto"/>
        <w:rPr>
          <w:rFonts w:hint="eastAsia"/>
        </w:rPr>
      </w:pPr>
      <w:r>
        <w:rPr>
          <w:rFonts w:hint="eastAsia"/>
        </w:rPr>
        <w:t>6.“项目”系指投标人按招标文件规定向采购人提供的产品和服务。</w:t>
      </w:r>
    </w:p>
    <w:p w14:paraId="6A252B58">
      <w:pPr>
        <w:keepNext w:val="0"/>
        <w:keepLines w:val="0"/>
        <w:pageBreakBefore w:val="0"/>
        <w:widowControl w:val="0"/>
        <w:kinsoku/>
        <w:wordWrap/>
        <w:overflowPunct/>
        <w:topLinePunct w:val="0"/>
        <w:autoSpaceDE/>
        <w:autoSpaceDN/>
        <w:bidi w:val="0"/>
        <w:adjustRightInd/>
        <w:snapToGrid w:val="0"/>
        <w:spacing w:line="370" w:lineRule="exact"/>
        <w:ind w:firstLine="420" w:firstLineChars="200"/>
        <w:jc w:val="left"/>
        <w:textAlignment w:val="auto"/>
        <w:rPr>
          <w:rFonts w:hint="eastAsia"/>
        </w:rPr>
      </w:pPr>
      <w:r>
        <w:rPr>
          <w:rFonts w:hint="eastAsia"/>
        </w:rPr>
        <w:t>7.“书面形式”包括信函、传真、电报等。</w:t>
      </w:r>
    </w:p>
    <w:p w14:paraId="4E2CBFA5">
      <w:pPr>
        <w:keepNext w:val="0"/>
        <w:keepLines w:val="0"/>
        <w:pageBreakBefore w:val="0"/>
        <w:widowControl w:val="0"/>
        <w:kinsoku/>
        <w:wordWrap/>
        <w:overflowPunct/>
        <w:topLinePunct w:val="0"/>
        <w:autoSpaceDE/>
        <w:autoSpaceDN/>
        <w:bidi w:val="0"/>
        <w:adjustRightInd/>
        <w:snapToGrid w:val="0"/>
        <w:spacing w:line="370" w:lineRule="exact"/>
        <w:ind w:firstLine="420" w:firstLineChars="200"/>
        <w:jc w:val="left"/>
        <w:textAlignment w:val="auto"/>
        <w:rPr>
          <w:rFonts w:hint="eastAsia"/>
        </w:rPr>
      </w:pPr>
      <w:r>
        <w:rPr>
          <w:rFonts w:hint="eastAsia"/>
        </w:rPr>
        <w:t>8.“★”系指实质性要求条款。</w:t>
      </w:r>
      <w:bookmarkStart w:id="65" w:name="_Toc254970670"/>
      <w:bookmarkStart w:id="66" w:name="_Toc254970529"/>
    </w:p>
    <w:p w14:paraId="0B329619">
      <w:pPr>
        <w:keepNext w:val="0"/>
        <w:keepLines w:val="0"/>
        <w:pageBreakBefore w:val="0"/>
        <w:widowControl w:val="0"/>
        <w:kinsoku/>
        <w:wordWrap/>
        <w:overflowPunct/>
        <w:topLinePunct w:val="0"/>
        <w:autoSpaceDE/>
        <w:autoSpaceDN/>
        <w:bidi w:val="0"/>
        <w:adjustRightInd/>
        <w:snapToGrid w:val="0"/>
        <w:spacing w:line="370" w:lineRule="exact"/>
        <w:ind w:firstLine="420" w:firstLineChars="200"/>
        <w:jc w:val="left"/>
        <w:textAlignment w:val="auto"/>
        <w:rPr>
          <w:rFonts w:hint="eastAsia"/>
        </w:rPr>
      </w:pPr>
      <w:r>
        <w:rPr>
          <w:rFonts w:hint="eastAsia"/>
        </w:rPr>
        <w:t>9. “允许偏离的技术、性能指标或者辅助功能项目”系指不带“★”的非实质性要求的技术指标、主要功能项目条款。</w:t>
      </w:r>
    </w:p>
    <w:p w14:paraId="2699BD9E">
      <w:pPr>
        <w:keepNext w:val="0"/>
        <w:keepLines w:val="0"/>
        <w:pageBreakBefore w:val="0"/>
        <w:widowControl w:val="0"/>
        <w:kinsoku/>
        <w:wordWrap/>
        <w:overflowPunct/>
        <w:topLinePunct w:val="0"/>
        <w:autoSpaceDE/>
        <w:autoSpaceDN/>
        <w:bidi w:val="0"/>
        <w:adjustRightInd/>
        <w:snapToGrid w:val="0"/>
        <w:spacing w:line="370" w:lineRule="exact"/>
        <w:ind w:firstLine="422" w:firstLineChars="200"/>
        <w:jc w:val="left"/>
        <w:textAlignment w:val="auto"/>
        <w:rPr>
          <w:rFonts w:hint="eastAsia"/>
          <w:b/>
        </w:rPr>
      </w:pPr>
      <w:r>
        <w:rPr>
          <w:rFonts w:hint="eastAsia"/>
          <w:b/>
        </w:rPr>
        <w:t>（三）招标方式</w:t>
      </w:r>
      <w:bookmarkEnd w:id="65"/>
      <w:bookmarkEnd w:id="66"/>
    </w:p>
    <w:p w14:paraId="07DA4561">
      <w:pPr>
        <w:keepNext w:val="0"/>
        <w:keepLines w:val="0"/>
        <w:pageBreakBefore w:val="0"/>
        <w:widowControl w:val="0"/>
        <w:kinsoku/>
        <w:wordWrap/>
        <w:overflowPunct/>
        <w:topLinePunct w:val="0"/>
        <w:autoSpaceDE/>
        <w:autoSpaceDN/>
        <w:bidi w:val="0"/>
        <w:adjustRightInd/>
        <w:snapToGrid w:val="0"/>
        <w:spacing w:line="370" w:lineRule="exact"/>
        <w:ind w:firstLine="420" w:firstLineChars="200"/>
        <w:jc w:val="left"/>
        <w:textAlignment w:val="auto"/>
        <w:rPr>
          <w:rFonts w:hint="eastAsia"/>
        </w:rPr>
      </w:pPr>
      <w:r>
        <w:rPr>
          <w:rFonts w:hint="eastAsia"/>
        </w:rPr>
        <w:t>公开招标方式。</w:t>
      </w:r>
      <w:bookmarkStart w:id="67" w:name="_Toc254970530"/>
      <w:bookmarkStart w:id="68" w:name="_Toc254970671"/>
    </w:p>
    <w:p w14:paraId="622DAB61">
      <w:pPr>
        <w:keepNext w:val="0"/>
        <w:keepLines w:val="0"/>
        <w:pageBreakBefore w:val="0"/>
        <w:widowControl w:val="0"/>
        <w:kinsoku/>
        <w:wordWrap/>
        <w:overflowPunct/>
        <w:topLinePunct w:val="0"/>
        <w:autoSpaceDE/>
        <w:autoSpaceDN/>
        <w:bidi w:val="0"/>
        <w:adjustRightInd/>
        <w:snapToGrid w:val="0"/>
        <w:spacing w:line="370" w:lineRule="exact"/>
        <w:ind w:firstLine="422" w:firstLineChars="200"/>
        <w:jc w:val="left"/>
        <w:textAlignment w:val="auto"/>
        <w:rPr>
          <w:rFonts w:hint="eastAsia"/>
          <w:b/>
        </w:rPr>
      </w:pPr>
      <w:r>
        <w:rPr>
          <w:rFonts w:hint="eastAsia"/>
          <w:b/>
        </w:rPr>
        <w:t>（四）投标委托</w:t>
      </w:r>
      <w:bookmarkEnd w:id="67"/>
      <w:bookmarkEnd w:id="68"/>
    </w:p>
    <w:p w14:paraId="3F52AC19">
      <w:pPr>
        <w:keepNext w:val="0"/>
        <w:keepLines w:val="0"/>
        <w:pageBreakBefore w:val="0"/>
        <w:widowControl w:val="0"/>
        <w:kinsoku/>
        <w:wordWrap/>
        <w:overflowPunct/>
        <w:topLinePunct w:val="0"/>
        <w:autoSpaceDE/>
        <w:autoSpaceDN/>
        <w:bidi w:val="0"/>
        <w:adjustRightInd/>
        <w:snapToGrid w:val="0"/>
        <w:spacing w:line="370" w:lineRule="exact"/>
        <w:ind w:firstLine="420" w:firstLineChars="200"/>
        <w:jc w:val="left"/>
        <w:textAlignment w:val="auto"/>
        <w:rPr>
          <w:rFonts w:hint="eastAsia"/>
        </w:rPr>
      </w:pPr>
      <w:r>
        <w:rPr>
          <w:rFonts w:hint="eastAsia"/>
        </w:rPr>
        <w:t>如投标人代表不是法定代表人(负责人)，须有法定代表人(负责人)出具的授权委托书（格式见第六章《投标文件格式》）。</w:t>
      </w:r>
      <w:bookmarkStart w:id="69" w:name="_Toc254970531"/>
      <w:bookmarkStart w:id="70" w:name="_Toc254970672"/>
    </w:p>
    <w:p w14:paraId="24622618">
      <w:pPr>
        <w:keepNext w:val="0"/>
        <w:keepLines w:val="0"/>
        <w:pageBreakBefore w:val="0"/>
        <w:widowControl w:val="0"/>
        <w:kinsoku/>
        <w:wordWrap/>
        <w:overflowPunct/>
        <w:topLinePunct w:val="0"/>
        <w:autoSpaceDE/>
        <w:autoSpaceDN/>
        <w:bidi w:val="0"/>
        <w:adjustRightInd/>
        <w:snapToGrid w:val="0"/>
        <w:spacing w:line="370" w:lineRule="exact"/>
        <w:ind w:firstLine="422" w:firstLineChars="200"/>
        <w:jc w:val="left"/>
        <w:textAlignment w:val="auto"/>
        <w:rPr>
          <w:rFonts w:hint="eastAsia"/>
          <w:b/>
        </w:rPr>
      </w:pPr>
      <w:r>
        <w:rPr>
          <w:rFonts w:hint="eastAsia"/>
          <w:b/>
        </w:rPr>
        <w:t>（五）投标费用</w:t>
      </w:r>
      <w:bookmarkEnd w:id="69"/>
      <w:bookmarkEnd w:id="70"/>
    </w:p>
    <w:p w14:paraId="4D7D5303">
      <w:pPr>
        <w:keepNext w:val="0"/>
        <w:keepLines w:val="0"/>
        <w:pageBreakBefore w:val="0"/>
        <w:widowControl w:val="0"/>
        <w:kinsoku/>
        <w:wordWrap/>
        <w:overflowPunct/>
        <w:topLinePunct w:val="0"/>
        <w:autoSpaceDE/>
        <w:autoSpaceDN/>
        <w:bidi w:val="0"/>
        <w:adjustRightInd/>
        <w:snapToGrid w:val="0"/>
        <w:spacing w:line="370" w:lineRule="exact"/>
        <w:ind w:firstLine="420" w:firstLineChars="200"/>
        <w:jc w:val="left"/>
        <w:textAlignment w:val="auto"/>
        <w:rPr>
          <w:rFonts w:hint="eastAsia"/>
        </w:rPr>
      </w:pPr>
      <w:r>
        <w:rPr>
          <w:rFonts w:hint="eastAsia"/>
        </w:rPr>
        <w:t>投标人均应自行承担所有与投标有关的全部费用（招标文件有相关的规定除外）。</w:t>
      </w:r>
    </w:p>
    <w:p w14:paraId="0BD3EAB6">
      <w:pPr>
        <w:keepNext w:val="0"/>
        <w:keepLines w:val="0"/>
        <w:pageBreakBefore w:val="0"/>
        <w:widowControl w:val="0"/>
        <w:kinsoku/>
        <w:wordWrap/>
        <w:overflowPunct/>
        <w:topLinePunct w:val="0"/>
        <w:autoSpaceDE/>
        <w:autoSpaceDN/>
        <w:bidi w:val="0"/>
        <w:adjustRightInd/>
        <w:snapToGrid w:val="0"/>
        <w:spacing w:line="370" w:lineRule="exact"/>
        <w:ind w:firstLine="422" w:firstLineChars="200"/>
        <w:jc w:val="left"/>
        <w:textAlignment w:val="auto"/>
        <w:rPr>
          <w:rFonts w:hint="eastAsia"/>
          <w:b/>
        </w:rPr>
      </w:pPr>
      <w:r>
        <w:rPr>
          <w:rFonts w:hint="eastAsia"/>
          <w:b/>
        </w:rPr>
        <w:t>（六）联合体投标</w:t>
      </w:r>
    </w:p>
    <w:p w14:paraId="1BD06BD1">
      <w:pPr>
        <w:keepNext w:val="0"/>
        <w:keepLines w:val="0"/>
        <w:pageBreakBefore w:val="0"/>
        <w:widowControl w:val="0"/>
        <w:kinsoku/>
        <w:wordWrap/>
        <w:overflowPunct/>
        <w:topLinePunct w:val="0"/>
        <w:autoSpaceDE/>
        <w:autoSpaceDN/>
        <w:bidi w:val="0"/>
        <w:adjustRightInd/>
        <w:snapToGrid w:val="0"/>
        <w:spacing w:line="370" w:lineRule="exact"/>
        <w:ind w:firstLine="420" w:firstLineChars="200"/>
        <w:jc w:val="left"/>
        <w:textAlignment w:val="auto"/>
        <w:rPr>
          <w:rFonts w:hint="eastAsia" w:hAnsi="宋体"/>
          <w:color w:val="auto"/>
        </w:rPr>
      </w:pPr>
      <w:r>
        <w:rPr>
          <w:rFonts w:hint="eastAsia" w:hAnsi="宋体"/>
          <w:color w:val="auto"/>
        </w:rPr>
        <w:t>本项目明确不接受联合体形式投标，本招标文件所有相关联合体要求及格式文件均不适用。投标人以联合体形式参加投标的，投标无效。</w:t>
      </w:r>
    </w:p>
    <w:p w14:paraId="0F893856">
      <w:pPr>
        <w:keepNext w:val="0"/>
        <w:keepLines w:val="0"/>
        <w:pageBreakBefore w:val="0"/>
        <w:widowControl w:val="0"/>
        <w:kinsoku/>
        <w:wordWrap/>
        <w:overflowPunct/>
        <w:topLinePunct w:val="0"/>
        <w:autoSpaceDE/>
        <w:autoSpaceDN/>
        <w:bidi w:val="0"/>
        <w:adjustRightInd/>
        <w:snapToGrid w:val="0"/>
        <w:spacing w:line="370" w:lineRule="exact"/>
        <w:ind w:firstLine="422" w:firstLineChars="200"/>
        <w:jc w:val="left"/>
        <w:textAlignment w:val="auto"/>
        <w:rPr>
          <w:rFonts w:hint="eastAsia" w:cs="宋体"/>
          <w:b/>
          <w:color w:val="auto"/>
          <w:kern w:val="0"/>
        </w:rPr>
      </w:pPr>
      <w:r>
        <w:rPr>
          <w:rFonts w:hint="eastAsia"/>
          <w:b/>
          <w:color w:val="auto"/>
        </w:rPr>
        <w:t>（七）</w:t>
      </w:r>
      <w:r>
        <w:rPr>
          <w:rFonts w:hint="eastAsia" w:cs="宋体"/>
          <w:b/>
          <w:color w:val="auto"/>
          <w:kern w:val="0"/>
        </w:rPr>
        <w:t>转包与分包</w:t>
      </w:r>
    </w:p>
    <w:p w14:paraId="70C6937A">
      <w:pPr>
        <w:keepNext w:val="0"/>
        <w:keepLines w:val="0"/>
        <w:pageBreakBefore w:val="0"/>
        <w:widowControl w:val="0"/>
        <w:kinsoku/>
        <w:wordWrap/>
        <w:overflowPunct/>
        <w:topLinePunct w:val="0"/>
        <w:autoSpaceDE/>
        <w:autoSpaceDN/>
        <w:bidi w:val="0"/>
        <w:adjustRightInd/>
        <w:snapToGrid w:val="0"/>
        <w:spacing w:line="370" w:lineRule="exact"/>
        <w:ind w:firstLine="420" w:firstLineChars="200"/>
        <w:jc w:val="left"/>
        <w:textAlignment w:val="auto"/>
        <w:rPr>
          <w:rFonts w:hint="eastAsia" w:cs="宋体"/>
          <w:kern w:val="0"/>
        </w:rPr>
      </w:pPr>
      <w:r>
        <w:rPr>
          <w:rFonts w:hint="eastAsia" w:cs="宋体"/>
          <w:kern w:val="0"/>
        </w:rPr>
        <w:t>1.本项目不允许转包。</w:t>
      </w:r>
    </w:p>
    <w:p w14:paraId="545CC89D">
      <w:pPr>
        <w:keepNext w:val="0"/>
        <w:keepLines w:val="0"/>
        <w:pageBreakBefore w:val="0"/>
        <w:widowControl w:val="0"/>
        <w:kinsoku/>
        <w:wordWrap/>
        <w:overflowPunct/>
        <w:topLinePunct w:val="0"/>
        <w:autoSpaceDE/>
        <w:autoSpaceDN/>
        <w:bidi w:val="0"/>
        <w:adjustRightInd/>
        <w:snapToGrid w:val="0"/>
        <w:spacing w:line="370" w:lineRule="exact"/>
        <w:ind w:firstLine="420" w:firstLineChars="200"/>
        <w:jc w:val="left"/>
        <w:textAlignment w:val="auto"/>
        <w:rPr>
          <w:rFonts w:hint="eastAsia" w:cs="宋体"/>
          <w:kern w:val="0"/>
        </w:rPr>
      </w:pPr>
      <w:r>
        <w:rPr>
          <w:rFonts w:hint="eastAsia" w:cs="宋体"/>
          <w:kern w:val="0"/>
        </w:rPr>
        <w:t>2.本项目不可以分包。</w:t>
      </w:r>
      <w:bookmarkStart w:id="71" w:name="_Toc254970673"/>
      <w:bookmarkStart w:id="72" w:name="_Toc254970532"/>
    </w:p>
    <w:p w14:paraId="1B559A45">
      <w:pPr>
        <w:keepNext w:val="0"/>
        <w:keepLines w:val="0"/>
        <w:pageBreakBefore w:val="0"/>
        <w:widowControl w:val="0"/>
        <w:kinsoku/>
        <w:wordWrap/>
        <w:overflowPunct/>
        <w:topLinePunct w:val="0"/>
        <w:autoSpaceDE/>
        <w:autoSpaceDN/>
        <w:bidi w:val="0"/>
        <w:adjustRightInd/>
        <w:snapToGrid w:val="0"/>
        <w:spacing w:line="370" w:lineRule="exact"/>
        <w:ind w:firstLine="422" w:firstLineChars="200"/>
        <w:jc w:val="left"/>
        <w:textAlignment w:val="auto"/>
        <w:rPr>
          <w:rFonts w:hint="eastAsia"/>
          <w:b/>
        </w:rPr>
      </w:pPr>
      <w:r>
        <w:rPr>
          <w:rFonts w:hint="eastAsia"/>
          <w:b/>
        </w:rPr>
        <w:t>（八）特别说明：</w:t>
      </w:r>
      <w:bookmarkEnd w:id="71"/>
      <w:bookmarkEnd w:id="72"/>
      <w:bookmarkStart w:id="73" w:name="_Toc254970533"/>
      <w:bookmarkStart w:id="74" w:name="_Toc254970674"/>
    </w:p>
    <w:p w14:paraId="4C547C17">
      <w:pPr>
        <w:keepNext w:val="0"/>
        <w:keepLines w:val="0"/>
        <w:pageBreakBefore w:val="0"/>
        <w:widowControl w:val="0"/>
        <w:kinsoku/>
        <w:wordWrap/>
        <w:overflowPunct/>
        <w:topLinePunct w:val="0"/>
        <w:autoSpaceDE/>
        <w:autoSpaceDN/>
        <w:bidi w:val="0"/>
        <w:adjustRightInd/>
        <w:snapToGrid w:val="0"/>
        <w:spacing w:line="370" w:lineRule="exact"/>
        <w:ind w:firstLine="420" w:firstLineChars="200"/>
        <w:jc w:val="left"/>
        <w:textAlignment w:val="auto"/>
        <w:rPr>
          <w:rFonts w:hint="eastAsia"/>
        </w:rPr>
      </w:pPr>
      <w:r>
        <w:rPr>
          <w:rFonts w:hint="eastAsia"/>
        </w:rPr>
        <w:t>★1.单位负责人为同一人或者存在直接控股、管理关系的不同供应商，不得参加同一合同项下的政府采购活动。</w:t>
      </w:r>
    </w:p>
    <w:p w14:paraId="5F521258">
      <w:pPr>
        <w:keepNext w:val="0"/>
        <w:keepLines w:val="0"/>
        <w:pageBreakBefore w:val="0"/>
        <w:widowControl w:val="0"/>
        <w:kinsoku/>
        <w:wordWrap/>
        <w:overflowPunct/>
        <w:topLinePunct w:val="0"/>
        <w:autoSpaceDE/>
        <w:autoSpaceDN/>
        <w:bidi w:val="0"/>
        <w:adjustRightInd/>
        <w:snapToGrid w:val="0"/>
        <w:spacing w:line="370" w:lineRule="exact"/>
        <w:ind w:firstLine="420" w:firstLineChars="200"/>
        <w:jc w:val="left"/>
        <w:textAlignment w:val="auto"/>
        <w:rPr>
          <w:rFonts w:hint="eastAsia"/>
        </w:rPr>
      </w:pPr>
      <w:r>
        <w:rPr>
          <w:rFonts w:hint="eastAsia" w:ascii="宋体" w:hAnsi="宋体" w:cs="宋体"/>
        </w:rPr>
        <w:t>★</w:t>
      </w:r>
      <w:r>
        <w:rPr>
          <w:rFonts w:hint="eastAsia"/>
        </w:rPr>
        <w:t>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评标方法及评分标准》中的推荐原则确定一个投标人获得中标人推荐资格，其他同品牌投标人不作为中标候选人。</w:t>
      </w:r>
    </w:p>
    <w:p w14:paraId="2BA4AD02">
      <w:pPr>
        <w:keepNext w:val="0"/>
        <w:keepLines w:val="0"/>
        <w:pageBreakBefore w:val="0"/>
        <w:widowControl w:val="0"/>
        <w:kinsoku/>
        <w:wordWrap/>
        <w:overflowPunct/>
        <w:topLinePunct w:val="0"/>
        <w:autoSpaceDE/>
        <w:autoSpaceDN/>
        <w:bidi w:val="0"/>
        <w:adjustRightInd/>
        <w:snapToGrid w:val="0"/>
        <w:spacing w:line="370" w:lineRule="exact"/>
        <w:ind w:firstLine="420" w:firstLineChars="200"/>
        <w:jc w:val="left"/>
        <w:textAlignment w:val="auto"/>
        <w:rPr>
          <w:rFonts w:hint="eastAsia"/>
        </w:rPr>
      </w:pPr>
      <w:r>
        <w:rPr>
          <w:rFonts w:hint="eastAsia"/>
        </w:rPr>
        <w:t>非单一产品采购项目中，多家投标人提供的招标文件中载明的核心产品品牌相同的，视为提供相同品牌产品。</w:t>
      </w:r>
    </w:p>
    <w:p w14:paraId="397FBFC6">
      <w:pPr>
        <w:keepNext w:val="0"/>
        <w:keepLines w:val="0"/>
        <w:pageBreakBefore w:val="0"/>
        <w:widowControl w:val="0"/>
        <w:kinsoku/>
        <w:wordWrap/>
        <w:overflowPunct/>
        <w:topLinePunct w:val="0"/>
        <w:autoSpaceDE/>
        <w:autoSpaceDN/>
        <w:bidi w:val="0"/>
        <w:adjustRightInd/>
        <w:snapToGrid w:val="0"/>
        <w:spacing w:line="370" w:lineRule="exact"/>
        <w:ind w:firstLine="420" w:firstLineChars="200"/>
        <w:jc w:val="left"/>
        <w:textAlignment w:val="auto"/>
        <w:rPr>
          <w:rFonts w:hint="eastAsia"/>
        </w:rPr>
      </w:pPr>
      <w:r>
        <w:rPr>
          <w:rFonts w:hint="eastAsia" w:ascii="宋体" w:hAnsi="宋体" w:cs="宋体"/>
        </w:rPr>
        <w:t>★</w:t>
      </w:r>
      <w:r>
        <w:rPr>
          <w:rFonts w:hint="eastAsia"/>
          <w:lang w:eastAsia="zh-CN"/>
        </w:rPr>
        <w:t>3</w:t>
      </w:r>
      <w:r>
        <w:rPr>
          <w:rFonts w:hint="eastAsia"/>
        </w:rPr>
        <w:t>.投标人应仔细阅读招标文件的所有内容，按照招标文件的要求提交投标文件，并对所提供的全部资料的真实性承担法律责任。</w:t>
      </w:r>
    </w:p>
    <w:p w14:paraId="5FE07177">
      <w:pPr>
        <w:keepNext w:val="0"/>
        <w:keepLines w:val="0"/>
        <w:pageBreakBefore w:val="0"/>
        <w:widowControl w:val="0"/>
        <w:kinsoku/>
        <w:wordWrap/>
        <w:overflowPunct/>
        <w:topLinePunct w:val="0"/>
        <w:autoSpaceDE/>
        <w:autoSpaceDN/>
        <w:bidi w:val="0"/>
        <w:adjustRightInd/>
        <w:snapToGrid w:val="0"/>
        <w:spacing w:line="370" w:lineRule="exact"/>
        <w:ind w:firstLine="420" w:firstLineChars="200"/>
        <w:jc w:val="left"/>
        <w:textAlignment w:val="auto"/>
        <w:rPr>
          <w:rFonts w:hint="eastAsia" w:ascii="Times New Roman" w:hAnsi="Times New Roman" w:eastAsia="宋体" w:cs="Times New Roman"/>
        </w:rPr>
      </w:pPr>
      <w:r>
        <w:rPr>
          <w:rFonts w:hint="eastAsia" w:ascii="宋体" w:hAnsi="宋体" w:cs="宋体"/>
        </w:rPr>
        <w:t>★</w:t>
      </w:r>
      <w:r>
        <w:rPr>
          <w:rFonts w:hint="eastAsia"/>
          <w:lang w:eastAsia="zh-CN"/>
        </w:rPr>
        <w:t>4</w:t>
      </w:r>
      <w:r>
        <w:rPr>
          <w:rFonts w:hint="eastAsia"/>
        </w:rPr>
        <w:t>.投标</w:t>
      </w:r>
      <w:r>
        <w:rPr>
          <w:rFonts w:hint="eastAsia" w:ascii="Times New Roman" w:hAnsi="Times New Roman" w:eastAsia="宋体" w:cs="Times New Roman"/>
        </w:rPr>
        <w:t>人在投标活动中提供任何虚假材料、互相串通投标，其投标无效，并报监管部门查处。</w:t>
      </w:r>
    </w:p>
    <w:p w14:paraId="3B840B9A">
      <w:pPr>
        <w:keepNext w:val="0"/>
        <w:keepLines w:val="0"/>
        <w:pageBreakBefore w:val="0"/>
        <w:widowControl w:val="0"/>
        <w:kinsoku/>
        <w:wordWrap/>
        <w:overflowPunct/>
        <w:topLinePunct w:val="0"/>
        <w:autoSpaceDE/>
        <w:autoSpaceDN/>
        <w:bidi w:val="0"/>
        <w:adjustRightInd/>
        <w:snapToGrid w:val="0"/>
        <w:spacing w:line="370" w:lineRule="exact"/>
        <w:ind w:firstLine="422" w:firstLineChars="200"/>
        <w:jc w:val="left"/>
        <w:textAlignment w:val="auto"/>
        <w:rPr>
          <w:b/>
          <w:bCs/>
          <w:sz w:val="21"/>
          <w:szCs w:val="21"/>
        </w:rPr>
      </w:pPr>
      <w:r>
        <w:rPr>
          <w:rFonts w:hint="eastAsia"/>
          <w:b/>
          <w:bCs/>
          <w:sz w:val="21"/>
          <w:szCs w:val="21"/>
        </w:rPr>
        <w:t>（九）</w:t>
      </w:r>
      <w:bookmarkEnd w:id="73"/>
      <w:bookmarkEnd w:id="74"/>
      <w:r>
        <w:rPr>
          <w:rFonts w:hint="eastAsia"/>
          <w:b/>
          <w:sz w:val="21"/>
          <w:szCs w:val="21"/>
        </w:rPr>
        <w:t>询问、质疑和投诉</w:t>
      </w:r>
    </w:p>
    <w:p w14:paraId="6155B3F0">
      <w:pPr>
        <w:pStyle w:val="28"/>
        <w:keepNext w:val="0"/>
        <w:keepLines w:val="0"/>
        <w:pageBreakBefore w:val="0"/>
        <w:widowControl w:val="0"/>
        <w:kinsoku/>
        <w:wordWrap/>
        <w:overflowPunct/>
        <w:topLinePunct w:val="0"/>
        <w:autoSpaceDE/>
        <w:autoSpaceDN/>
        <w:bidi w:val="0"/>
        <w:adjustRightInd/>
        <w:snapToGrid w:val="0"/>
        <w:spacing w:line="370" w:lineRule="exact"/>
        <w:ind w:firstLine="420" w:firstLineChars="200"/>
        <w:textAlignment w:val="auto"/>
        <w:rPr>
          <w:rFonts w:hint="eastAsia"/>
          <w:sz w:val="21"/>
          <w:szCs w:val="21"/>
        </w:rPr>
      </w:pPr>
      <w:r>
        <w:rPr>
          <w:rFonts w:hint="eastAsia"/>
          <w:sz w:val="21"/>
          <w:szCs w:val="21"/>
        </w:rPr>
        <w:t>1.投标人对政府采购活动事项有疑问的，可以向采购人、采购代理机构提出询问。</w:t>
      </w:r>
    </w:p>
    <w:p w14:paraId="1972F660">
      <w:pPr>
        <w:pStyle w:val="28"/>
        <w:keepNext w:val="0"/>
        <w:keepLines w:val="0"/>
        <w:pageBreakBefore w:val="0"/>
        <w:widowControl w:val="0"/>
        <w:kinsoku/>
        <w:wordWrap/>
        <w:overflowPunct/>
        <w:topLinePunct w:val="0"/>
        <w:autoSpaceDE/>
        <w:autoSpaceDN/>
        <w:bidi w:val="0"/>
        <w:adjustRightInd/>
        <w:snapToGrid w:val="0"/>
        <w:spacing w:line="370" w:lineRule="exact"/>
        <w:ind w:firstLine="420" w:firstLineChars="200"/>
        <w:textAlignment w:val="auto"/>
        <w:rPr>
          <w:rFonts w:hint="eastAsia"/>
          <w:sz w:val="21"/>
          <w:szCs w:val="21"/>
        </w:rPr>
      </w:pPr>
      <w:r>
        <w:rPr>
          <w:rFonts w:hint="eastAsia"/>
          <w:sz w:val="21"/>
          <w:szCs w:val="21"/>
        </w:rPr>
        <w:t>2.投标人认为招标文件、招标过程或中标结果使自己的合法权益受到损害的，应当在知道或者应知其权益受到损害之日起七个工作日内，以书面形式向采购人、采购代理机构提出质疑，投标人在法定质疑期内必须一次性提出针对同一采购程序环节的质疑。具体计算时间如下：</w:t>
      </w:r>
    </w:p>
    <w:p w14:paraId="75E3A87B">
      <w:pPr>
        <w:pStyle w:val="28"/>
        <w:keepNext w:val="0"/>
        <w:keepLines w:val="0"/>
        <w:pageBreakBefore w:val="0"/>
        <w:widowControl w:val="0"/>
        <w:kinsoku/>
        <w:wordWrap/>
        <w:overflowPunct/>
        <w:topLinePunct w:val="0"/>
        <w:autoSpaceDE/>
        <w:autoSpaceDN/>
        <w:bidi w:val="0"/>
        <w:adjustRightInd/>
        <w:snapToGrid w:val="0"/>
        <w:spacing w:line="370" w:lineRule="exact"/>
        <w:ind w:firstLine="420" w:firstLineChars="200"/>
        <w:textAlignment w:val="auto"/>
        <w:rPr>
          <w:rFonts w:hint="eastAsia"/>
          <w:sz w:val="21"/>
          <w:szCs w:val="21"/>
        </w:rPr>
      </w:pPr>
      <w:r>
        <w:rPr>
          <w:sz w:val="21"/>
          <w:szCs w:val="21"/>
        </w:rPr>
        <w:t>（</w:t>
      </w:r>
      <w:r>
        <w:rPr>
          <w:rFonts w:hint="eastAsia"/>
          <w:sz w:val="21"/>
          <w:szCs w:val="21"/>
        </w:rPr>
        <w:t>1</w:t>
      </w:r>
      <w:r>
        <w:rPr>
          <w:sz w:val="21"/>
          <w:szCs w:val="21"/>
        </w:rPr>
        <w:t>）</w:t>
      </w:r>
      <w:r>
        <w:rPr>
          <w:rFonts w:hint="eastAsia"/>
          <w:sz w:val="21"/>
          <w:szCs w:val="21"/>
        </w:rPr>
        <w:t>对可以质疑的采购文件提出质疑的，为收到采购文件之日或者采购文件公告期限届满之日</w:t>
      </w:r>
      <w:r>
        <w:rPr>
          <w:sz w:val="21"/>
          <w:szCs w:val="21"/>
        </w:rPr>
        <w:t>；</w:t>
      </w:r>
    </w:p>
    <w:p w14:paraId="2E64BC0D">
      <w:pPr>
        <w:pStyle w:val="28"/>
        <w:keepNext w:val="0"/>
        <w:keepLines w:val="0"/>
        <w:pageBreakBefore w:val="0"/>
        <w:widowControl w:val="0"/>
        <w:kinsoku/>
        <w:wordWrap/>
        <w:overflowPunct/>
        <w:topLinePunct w:val="0"/>
        <w:autoSpaceDE/>
        <w:autoSpaceDN/>
        <w:bidi w:val="0"/>
        <w:adjustRightInd/>
        <w:snapToGrid w:val="0"/>
        <w:spacing w:line="370" w:lineRule="exact"/>
        <w:ind w:firstLine="420" w:firstLineChars="200"/>
        <w:textAlignment w:val="auto"/>
        <w:rPr>
          <w:rFonts w:hint="eastAsia"/>
          <w:sz w:val="21"/>
          <w:szCs w:val="21"/>
        </w:rPr>
      </w:pPr>
      <w:r>
        <w:rPr>
          <w:sz w:val="21"/>
          <w:szCs w:val="21"/>
        </w:rPr>
        <w:t>（</w:t>
      </w:r>
      <w:r>
        <w:rPr>
          <w:rFonts w:hint="eastAsia"/>
          <w:sz w:val="21"/>
          <w:szCs w:val="21"/>
        </w:rPr>
        <w:t>2</w:t>
      </w:r>
      <w:r>
        <w:rPr>
          <w:sz w:val="21"/>
          <w:szCs w:val="21"/>
        </w:rPr>
        <w:t>）对</w:t>
      </w:r>
      <w:r>
        <w:rPr>
          <w:rFonts w:hint="eastAsia"/>
          <w:sz w:val="21"/>
          <w:szCs w:val="21"/>
          <w:lang w:eastAsia="zh-CN"/>
        </w:rPr>
        <w:t>采购</w:t>
      </w:r>
      <w:r>
        <w:rPr>
          <w:sz w:val="21"/>
          <w:szCs w:val="21"/>
        </w:rPr>
        <w:t>过程提出质疑的，为各采购程序环节结束之日；</w:t>
      </w:r>
    </w:p>
    <w:p w14:paraId="36059AC2">
      <w:pPr>
        <w:pStyle w:val="28"/>
        <w:keepNext w:val="0"/>
        <w:keepLines w:val="0"/>
        <w:pageBreakBefore w:val="0"/>
        <w:widowControl w:val="0"/>
        <w:kinsoku/>
        <w:wordWrap/>
        <w:overflowPunct/>
        <w:topLinePunct w:val="0"/>
        <w:autoSpaceDE/>
        <w:autoSpaceDN/>
        <w:bidi w:val="0"/>
        <w:adjustRightInd/>
        <w:snapToGrid w:val="0"/>
        <w:spacing w:line="370" w:lineRule="exact"/>
        <w:ind w:firstLine="420" w:firstLineChars="200"/>
        <w:textAlignment w:val="auto"/>
        <w:rPr>
          <w:rFonts w:hint="eastAsia"/>
          <w:sz w:val="21"/>
          <w:szCs w:val="21"/>
        </w:rPr>
      </w:pPr>
      <w:r>
        <w:rPr>
          <w:sz w:val="21"/>
          <w:szCs w:val="21"/>
        </w:rPr>
        <w:t>（</w:t>
      </w:r>
      <w:r>
        <w:rPr>
          <w:rFonts w:hint="eastAsia"/>
          <w:sz w:val="21"/>
          <w:szCs w:val="21"/>
        </w:rPr>
        <w:t>3</w:t>
      </w:r>
      <w:r>
        <w:rPr>
          <w:sz w:val="21"/>
          <w:szCs w:val="21"/>
        </w:rPr>
        <w:t>）对中标结果提出质疑的，为中标结果公告期限届满之日。</w:t>
      </w:r>
    </w:p>
    <w:p w14:paraId="7B721A88">
      <w:pPr>
        <w:pStyle w:val="28"/>
        <w:keepNext w:val="0"/>
        <w:keepLines w:val="0"/>
        <w:pageBreakBefore w:val="0"/>
        <w:widowControl w:val="0"/>
        <w:kinsoku/>
        <w:wordWrap/>
        <w:overflowPunct/>
        <w:topLinePunct w:val="0"/>
        <w:autoSpaceDE/>
        <w:autoSpaceDN/>
        <w:bidi w:val="0"/>
        <w:adjustRightInd/>
        <w:snapToGrid w:val="0"/>
        <w:spacing w:line="370" w:lineRule="exact"/>
        <w:ind w:firstLine="420" w:firstLineChars="200"/>
        <w:textAlignment w:val="auto"/>
        <w:rPr>
          <w:rFonts w:hint="eastAsia"/>
          <w:sz w:val="21"/>
          <w:szCs w:val="21"/>
        </w:rPr>
      </w:pPr>
      <w:r>
        <w:rPr>
          <w:rFonts w:hint="eastAsia"/>
          <w:sz w:val="21"/>
          <w:szCs w:val="21"/>
        </w:rPr>
        <w:t>投标人对招标采购单位的质疑答复不满意或者招标采购单位未在规定时间内作出答复的，可以在答复期满后十五个工作日内向同级采购监管部门投诉。</w:t>
      </w:r>
    </w:p>
    <w:p w14:paraId="5D4E29A2">
      <w:pPr>
        <w:pStyle w:val="28"/>
        <w:keepNext w:val="0"/>
        <w:keepLines w:val="0"/>
        <w:pageBreakBefore w:val="0"/>
        <w:widowControl w:val="0"/>
        <w:kinsoku/>
        <w:wordWrap/>
        <w:overflowPunct/>
        <w:topLinePunct w:val="0"/>
        <w:autoSpaceDE/>
        <w:autoSpaceDN/>
        <w:bidi w:val="0"/>
        <w:adjustRightInd/>
        <w:snapToGrid w:val="0"/>
        <w:spacing w:line="370" w:lineRule="exact"/>
        <w:ind w:firstLine="420" w:firstLineChars="200"/>
        <w:textAlignment w:val="auto"/>
        <w:rPr>
          <w:rFonts w:hint="eastAsia"/>
          <w:bCs/>
          <w:sz w:val="21"/>
          <w:szCs w:val="21"/>
          <w:lang w:eastAsia="zh-CN"/>
        </w:rPr>
      </w:pPr>
      <w:r>
        <w:rPr>
          <w:rFonts w:hint="eastAsia"/>
          <w:bCs/>
          <w:color w:val="000000"/>
          <w:sz w:val="21"/>
          <w:szCs w:val="21"/>
        </w:rPr>
        <w:t>3.质疑、投诉应当采用书面形式，质疑书、投诉书均应明确阐述招标采购文件、招标采购过程、中标结果中使自己合</w:t>
      </w:r>
      <w:r>
        <w:rPr>
          <w:rFonts w:hint="eastAsia"/>
          <w:bCs/>
          <w:sz w:val="21"/>
          <w:szCs w:val="21"/>
        </w:rPr>
        <w:t>法权益受到损害的实质性内容，提供相关事实、明确的请求、必要的证明材料，便于有关单位调查、答复和处理。</w:t>
      </w:r>
      <w:bookmarkStart w:id="75" w:name="_Toc254970675"/>
      <w:bookmarkStart w:id="76" w:name="_Toc254970534"/>
    </w:p>
    <w:p w14:paraId="4D3B94A2">
      <w:pPr>
        <w:keepNext w:val="0"/>
        <w:keepLines w:val="0"/>
        <w:pageBreakBefore w:val="0"/>
        <w:widowControl w:val="0"/>
        <w:kinsoku/>
        <w:wordWrap/>
        <w:overflowPunct/>
        <w:topLinePunct w:val="0"/>
        <w:autoSpaceDE/>
        <w:autoSpaceDN/>
        <w:bidi w:val="0"/>
        <w:adjustRightInd/>
        <w:spacing w:line="370" w:lineRule="exact"/>
        <w:ind w:firstLine="420" w:firstLineChars="200"/>
        <w:textAlignment w:val="auto"/>
        <w:rPr>
          <w:rFonts w:hint="eastAsia" w:ascii="宋体" w:hAnsi="宋体"/>
          <w:sz w:val="21"/>
          <w:szCs w:val="21"/>
        </w:rPr>
      </w:pPr>
      <w:r>
        <w:rPr>
          <w:rFonts w:hint="eastAsia" w:ascii="宋体" w:hAnsi="宋体"/>
          <w:sz w:val="21"/>
          <w:szCs w:val="21"/>
        </w:rPr>
        <w:t>4.供应商提出质疑应当提交质疑函和必要的证明材料。质疑函应当包括下列内容：</w:t>
      </w:r>
    </w:p>
    <w:p w14:paraId="48E6EAB8">
      <w:pPr>
        <w:spacing w:line="370" w:lineRule="exact"/>
        <w:ind w:firstLine="420" w:firstLineChars="200"/>
        <w:rPr>
          <w:rFonts w:hint="eastAsia" w:ascii="宋体" w:hAnsi="宋体"/>
          <w:sz w:val="21"/>
          <w:szCs w:val="21"/>
        </w:rPr>
      </w:pPr>
      <w:r>
        <w:rPr>
          <w:rFonts w:hint="eastAsia" w:ascii="宋体" w:hAnsi="宋体"/>
          <w:sz w:val="21"/>
          <w:szCs w:val="21"/>
        </w:rPr>
        <w:t>（1）供应商的姓名或者名称、地址、邮编、联系人及联系电话；</w:t>
      </w:r>
    </w:p>
    <w:p w14:paraId="293F18AF">
      <w:pPr>
        <w:spacing w:line="370" w:lineRule="exact"/>
        <w:ind w:firstLine="420" w:firstLineChars="200"/>
        <w:rPr>
          <w:rFonts w:hint="eastAsia" w:ascii="宋体" w:hAnsi="宋体"/>
          <w:sz w:val="21"/>
          <w:szCs w:val="21"/>
        </w:rPr>
      </w:pPr>
      <w:r>
        <w:rPr>
          <w:rFonts w:hint="eastAsia" w:ascii="宋体" w:hAnsi="宋体"/>
          <w:sz w:val="21"/>
          <w:szCs w:val="21"/>
        </w:rPr>
        <w:t>（2）质疑项目的名称、编号；</w:t>
      </w:r>
    </w:p>
    <w:p w14:paraId="7BC1867A">
      <w:pPr>
        <w:spacing w:line="370" w:lineRule="exact"/>
        <w:ind w:firstLine="420" w:firstLineChars="200"/>
        <w:rPr>
          <w:rFonts w:hint="eastAsia" w:ascii="宋体" w:hAnsi="宋体"/>
          <w:sz w:val="21"/>
          <w:szCs w:val="21"/>
        </w:rPr>
      </w:pPr>
      <w:r>
        <w:rPr>
          <w:rFonts w:hint="eastAsia" w:ascii="宋体" w:hAnsi="宋体"/>
          <w:sz w:val="21"/>
          <w:szCs w:val="21"/>
        </w:rPr>
        <w:t>（3）具体、明确的质疑事项和与质疑事项相关的请求；</w:t>
      </w:r>
    </w:p>
    <w:p w14:paraId="207DF0A7">
      <w:pPr>
        <w:spacing w:line="370" w:lineRule="exact"/>
        <w:ind w:firstLine="420" w:firstLineChars="200"/>
        <w:rPr>
          <w:rFonts w:hint="eastAsia" w:ascii="宋体" w:hAnsi="宋体"/>
          <w:sz w:val="21"/>
          <w:szCs w:val="21"/>
        </w:rPr>
      </w:pPr>
      <w:r>
        <w:rPr>
          <w:rFonts w:hint="eastAsia" w:ascii="宋体" w:hAnsi="宋体"/>
          <w:sz w:val="21"/>
          <w:szCs w:val="21"/>
        </w:rPr>
        <w:t>（4）事实依据；</w:t>
      </w:r>
    </w:p>
    <w:p w14:paraId="158AD633">
      <w:pPr>
        <w:spacing w:line="370" w:lineRule="exact"/>
        <w:ind w:firstLine="420" w:firstLineChars="200"/>
        <w:rPr>
          <w:rFonts w:hint="eastAsia" w:ascii="宋体" w:hAnsi="宋体"/>
        </w:rPr>
      </w:pPr>
      <w:r>
        <w:rPr>
          <w:rFonts w:hint="eastAsia" w:ascii="宋体" w:hAnsi="宋体"/>
        </w:rPr>
        <w:t>（5）必要的法律依据；</w:t>
      </w:r>
    </w:p>
    <w:p w14:paraId="57B84AE8">
      <w:pPr>
        <w:spacing w:line="370" w:lineRule="exact"/>
        <w:ind w:firstLine="420" w:firstLineChars="200"/>
        <w:rPr>
          <w:rFonts w:hint="eastAsia" w:ascii="宋体" w:hAnsi="宋体"/>
          <w:sz w:val="21"/>
          <w:szCs w:val="21"/>
        </w:rPr>
      </w:pPr>
      <w:r>
        <w:rPr>
          <w:rFonts w:hint="eastAsia" w:ascii="宋体" w:hAnsi="宋体"/>
        </w:rPr>
        <w:t>（6）提出质疑的日</w:t>
      </w:r>
      <w:r>
        <w:rPr>
          <w:rFonts w:hint="eastAsia" w:ascii="宋体" w:hAnsi="宋体"/>
          <w:sz w:val="21"/>
          <w:szCs w:val="21"/>
        </w:rPr>
        <w:t>期。</w:t>
      </w:r>
    </w:p>
    <w:p w14:paraId="3982FFC8">
      <w:pPr>
        <w:spacing w:line="370" w:lineRule="exact"/>
        <w:ind w:firstLine="420" w:firstLineChars="200"/>
        <w:rPr>
          <w:rFonts w:hint="eastAsia" w:ascii="宋体" w:hAnsi="宋体"/>
          <w:sz w:val="21"/>
          <w:szCs w:val="21"/>
        </w:rPr>
      </w:pPr>
      <w:r>
        <w:rPr>
          <w:rFonts w:hint="eastAsia" w:ascii="宋体" w:hAnsi="宋体"/>
          <w:sz w:val="21"/>
          <w:szCs w:val="21"/>
        </w:rPr>
        <w:t>供应商为自然人的，应当由本人签字；供应商为法人或者其他组织的，应当由法定代表人、主要负责人，或者其授权代表签字或者盖章，并加盖公章。</w:t>
      </w:r>
    </w:p>
    <w:p w14:paraId="57BDF100">
      <w:pPr>
        <w:spacing w:line="370" w:lineRule="exact"/>
        <w:ind w:firstLine="420" w:firstLineChars="200"/>
        <w:rPr>
          <w:rFonts w:ascii="宋体" w:hAnsi="宋体"/>
          <w:sz w:val="21"/>
          <w:szCs w:val="21"/>
        </w:rPr>
      </w:pPr>
      <w:r>
        <w:rPr>
          <w:rFonts w:hint="eastAsia" w:ascii="宋体" w:hAnsi="宋体"/>
          <w:sz w:val="21"/>
          <w:szCs w:val="21"/>
        </w:rPr>
        <w:t>代理人提出质疑和投诉，应当提交供应商签署的授权委托书。</w:t>
      </w:r>
    </w:p>
    <w:p w14:paraId="74E21E3B">
      <w:pPr>
        <w:pStyle w:val="28"/>
        <w:snapToGrid w:val="0"/>
        <w:spacing w:line="370" w:lineRule="exact"/>
        <w:ind w:firstLine="420" w:firstLineChars="200"/>
        <w:rPr>
          <w:rFonts w:hAnsi="宋体"/>
          <w:sz w:val="21"/>
          <w:szCs w:val="21"/>
        </w:rPr>
      </w:pPr>
      <w:r>
        <w:rPr>
          <w:rFonts w:hint="eastAsia" w:hAnsi="宋体"/>
          <w:sz w:val="21"/>
          <w:szCs w:val="21"/>
          <w:lang w:eastAsia="zh-CN"/>
        </w:rPr>
        <w:t>5</w:t>
      </w:r>
      <w:r>
        <w:rPr>
          <w:rFonts w:hint="eastAsia" w:hAnsi="宋体"/>
          <w:sz w:val="21"/>
          <w:szCs w:val="21"/>
        </w:rPr>
        <w:t>.采购人、采购代理机构认为供应商质疑不成立，或者成立但未对中标结果构成影响的，继续开展采购活动；认为供应商质疑成立且影响或者可能影响中标结果的，按照下列情况处理：</w:t>
      </w:r>
    </w:p>
    <w:p w14:paraId="6819A7F4">
      <w:pPr>
        <w:pStyle w:val="28"/>
        <w:snapToGrid w:val="0"/>
        <w:spacing w:line="370" w:lineRule="exact"/>
        <w:ind w:firstLine="420" w:firstLineChars="200"/>
        <w:rPr>
          <w:rFonts w:hAnsi="宋体"/>
          <w:sz w:val="21"/>
          <w:szCs w:val="21"/>
        </w:rPr>
      </w:pPr>
      <w:r>
        <w:rPr>
          <w:rFonts w:hint="eastAsia" w:hAnsi="宋体"/>
          <w:sz w:val="21"/>
          <w:szCs w:val="21"/>
        </w:rPr>
        <w:t>（一）对采购文件提出的质疑，依法通过澄清或者修改可以继续开展采购活动的，澄清或者修改采购文件后继续开展采购活动；否则应当修改采购文件后重新开展采购活动。</w:t>
      </w:r>
    </w:p>
    <w:p w14:paraId="5D159E9C">
      <w:pPr>
        <w:pStyle w:val="28"/>
        <w:snapToGrid w:val="0"/>
        <w:spacing w:line="370" w:lineRule="exact"/>
        <w:ind w:firstLine="420" w:firstLineChars="200"/>
        <w:rPr>
          <w:rFonts w:hAnsi="宋体"/>
          <w:sz w:val="21"/>
          <w:szCs w:val="21"/>
        </w:rPr>
      </w:pPr>
      <w:r>
        <w:rPr>
          <w:rFonts w:hint="eastAsia" w:hAnsi="宋体"/>
          <w:sz w:val="21"/>
          <w:szCs w:val="21"/>
        </w:rPr>
        <w:t>（二）对采购过程、中标结果提出的质疑，合格供应商符合法定数量时，可以从合格的中标候选人中另行确定中标供应商的，应当依法根据中标候选人推荐原则另行确定中标供应商；否则应当重新开展采购活动。</w:t>
      </w:r>
    </w:p>
    <w:p w14:paraId="4EA6D7C3">
      <w:pPr>
        <w:pStyle w:val="28"/>
        <w:snapToGrid w:val="0"/>
        <w:spacing w:line="370" w:lineRule="exact"/>
        <w:ind w:firstLine="420" w:firstLineChars="200"/>
        <w:rPr>
          <w:rFonts w:hAnsi="宋体"/>
          <w:sz w:val="21"/>
          <w:szCs w:val="21"/>
        </w:rPr>
      </w:pPr>
      <w:r>
        <w:rPr>
          <w:rFonts w:hint="eastAsia" w:hAnsi="宋体"/>
          <w:sz w:val="21"/>
          <w:szCs w:val="21"/>
        </w:rPr>
        <w:t>质疑答复导致中标结果改变的，采购人或者采购代理机构应当将有关情况书面报告本级财政部门。</w:t>
      </w:r>
    </w:p>
    <w:p w14:paraId="1E578A9A">
      <w:pPr>
        <w:snapToGrid w:val="0"/>
        <w:spacing w:line="360" w:lineRule="exact"/>
        <w:ind w:firstLine="420"/>
        <w:jc w:val="left"/>
        <w:rPr>
          <w:rFonts w:hint="eastAsia" w:ascii="宋体" w:hAnsi="宋体"/>
          <w:sz w:val="21"/>
          <w:szCs w:val="21"/>
        </w:rPr>
      </w:pPr>
      <w:r>
        <w:rPr>
          <w:rFonts w:hint="eastAsia" w:ascii="宋体" w:hAnsi="宋体"/>
          <w:sz w:val="21"/>
          <w:szCs w:val="21"/>
        </w:rPr>
        <w:t xml:space="preserve">①质疑联系部门及电话为：广西中吉银工程项目管理有限公司     </w:t>
      </w:r>
      <w:r>
        <w:rPr>
          <w:rFonts w:hint="eastAsia" w:ascii="宋体" w:hAnsi="宋体"/>
          <w:sz w:val="21"/>
          <w:szCs w:val="21"/>
          <w:lang w:val="en-US" w:eastAsia="zh-CN"/>
        </w:rPr>
        <w:t xml:space="preserve">       </w:t>
      </w:r>
      <w:r>
        <w:rPr>
          <w:rFonts w:hint="eastAsia" w:ascii="宋体" w:hAnsi="宋体"/>
          <w:sz w:val="21"/>
          <w:szCs w:val="21"/>
        </w:rPr>
        <w:t xml:space="preserve">0771-3120820                  </w:t>
      </w:r>
    </w:p>
    <w:p w14:paraId="4ECAD750">
      <w:pPr>
        <w:snapToGrid w:val="0"/>
        <w:spacing w:line="360" w:lineRule="exact"/>
        <w:ind w:firstLine="420" w:firstLineChars="200"/>
        <w:jc w:val="left"/>
        <w:rPr>
          <w:rFonts w:hint="eastAsia" w:ascii="宋体" w:hAnsi="宋体"/>
        </w:rPr>
      </w:pPr>
      <w:r>
        <w:rPr>
          <w:rFonts w:hint="eastAsia" w:ascii="宋体" w:hAnsi="宋体"/>
          <w:sz w:val="21"/>
          <w:szCs w:val="21"/>
        </w:rPr>
        <w:t>通讯地址：南宁市青秀区民族大道159号凤岭·新新家园</w:t>
      </w:r>
      <w:r>
        <w:rPr>
          <w:rFonts w:hint="eastAsia" w:ascii="宋体" w:hAnsi="宋体"/>
        </w:rPr>
        <w:t>A区2栋15层</w:t>
      </w:r>
    </w:p>
    <w:p w14:paraId="2C0D1324">
      <w:pPr>
        <w:snapToGrid w:val="0"/>
        <w:spacing w:line="360" w:lineRule="exact"/>
        <w:ind w:firstLine="420" w:firstLineChars="200"/>
        <w:jc w:val="left"/>
        <w:rPr>
          <w:rFonts w:hint="eastAsia" w:ascii="宋体" w:hAnsi="宋体"/>
        </w:rPr>
      </w:pPr>
      <w:r>
        <w:rPr>
          <w:rFonts w:hint="eastAsia" w:ascii="宋体" w:hAnsi="宋体"/>
        </w:rPr>
        <w:t>②投诉联系部门及电话为：广西壮族自治区财政厅政府采购监督管理处    0771-5331544</w:t>
      </w:r>
    </w:p>
    <w:p w14:paraId="793780F1">
      <w:pPr>
        <w:snapToGrid w:val="0"/>
        <w:spacing w:line="360" w:lineRule="exact"/>
        <w:ind w:firstLine="420" w:firstLineChars="200"/>
        <w:jc w:val="left"/>
        <w:rPr>
          <w:rFonts w:hint="eastAsia" w:ascii="宋体" w:hAnsi="宋体"/>
        </w:rPr>
      </w:pPr>
      <w:r>
        <w:rPr>
          <w:rFonts w:hint="eastAsia" w:ascii="宋体" w:hAnsi="宋体"/>
        </w:rPr>
        <w:t>通讯地址：广西南宁市桃源路69号</w:t>
      </w:r>
    </w:p>
    <w:p w14:paraId="70E9C653">
      <w:pPr>
        <w:pStyle w:val="28"/>
        <w:snapToGrid w:val="0"/>
        <w:spacing w:line="370" w:lineRule="exact"/>
        <w:rPr>
          <w:rFonts w:hint="eastAsia"/>
          <w:bCs/>
          <w:lang w:val="en-US"/>
        </w:rPr>
      </w:pPr>
    </w:p>
    <w:p w14:paraId="3C472674">
      <w:pPr>
        <w:pStyle w:val="28"/>
        <w:snapToGrid w:val="0"/>
        <w:spacing w:line="370" w:lineRule="exact"/>
        <w:jc w:val="center"/>
        <w:rPr>
          <w:rFonts w:hint="eastAsia"/>
          <w:b/>
          <w:sz w:val="21"/>
          <w:szCs w:val="21"/>
        </w:rPr>
      </w:pPr>
      <w:r>
        <w:rPr>
          <w:rFonts w:hint="eastAsia"/>
          <w:b/>
          <w:sz w:val="21"/>
          <w:szCs w:val="21"/>
        </w:rPr>
        <w:t>二、招标文件</w:t>
      </w:r>
      <w:bookmarkEnd w:id="75"/>
      <w:bookmarkEnd w:id="76"/>
    </w:p>
    <w:p w14:paraId="5BFAD87F">
      <w:pPr>
        <w:pStyle w:val="28"/>
        <w:snapToGrid w:val="0"/>
        <w:spacing w:line="370" w:lineRule="exact"/>
        <w:ind w:firstLine="422" w:firstLineChars="200"/>
        <w:rPr>
          <w:rFonts w:hint="eastAsia"/>
          <w:b/>
          <w:sz w:val="21"/>
          <w:szCs w:val="21"/>
        </w:rPr>
      </w:pPr>
      <w:r>
        <w:rPr>
          <w:rFonts w:hint="eastAsia"/>
          <w:b/>
          <w:sz w:val="21"/>
          <w:szCs w:val="21"/>
        </w:rPr>
        <w:t>（一）招标文件的构成</w:t>
      </w:r>
    </w:p>
    <w:p w14:paraId="0DDE338F">
      <w:pPr>
        <w:pStyle w:val="28"/>
        <w:snapToGrid w:val="0"/>
        <w:spacing w:line="370" w:lineRule="exact"/>
        <w:ind w:firstLine="420" w:firstLineChars="200"/>
        <w:rPr>
          <w:rFonts w:hint="eastAsia"/>
          <w:sz w:val="21"/>
          <w:szCs w:val="21"/>
        </w:rPr>
      </w:pPr>
      <w:r>
        <w:rPr>
          <w:rFonts w:hint="eastAsia"/>
          <w:sz w:val="21"/>
          <w:szCs w:val="21"/>
        </w:rPr>
        <w:t>1.公开招标公告；</w:t>
      </w:r>
    </w:p>
    <w:p w14:paraId="49B3C082">
      <w:pPr>
        <w:pStyle w:val="28"/>
        <w:snapToGrid w:val="0"/>
        <w:spacing w:line="370" w:lineRule="exact"/>
        <w:ind w:firstLine="420" w:firstLineChars="200"/>
        <w:rPr>
          <w:rFonts w:hint="eastAsia"/>
          <w:sz w:val="21"/>
          <w:szCs w:val="21"/>
        </w:rPr>
      </w:pPr>
      <w:r>
        <w:rPr>
          <w:rFonts w:hint="eastAsia"/>
          <w:sz w:val="21"/>
          <w:szCs w:val="21"/>
        </w:rPr>
        <w:t>2.招标项目采购需求</w:t>
      </w:r>
    </w:p>
    <w:p w14:paraId="06365B0E">
      <w:pPr>
        <w:pStyle w:val="28"/>
        <w:snapToGrid w:val="0"/>
        <w:spacing w:line="370" w:lineRule="exact"/>
        <w:ind w:firstLine="420" w:firstLineChars="200"/>
        <w:rPr>
          <w:rFonts w:hint="eastAsia"/>
          <w:sz w:val="21"/>
          <w:szCs w:val="21"/>
        </w:rPr>
      </w:pPr>
      <w:r>
        <w:rPr>
          <w:rFonts w:hint="eastAsia"/>
          <w:sz w:val="21"/>
          <w:szCs w:val="21"/>
        </w:rPr>
        <w:t>3.投标人须知；</w:t>
      </w:r>
    </w:p>
    <w:p w14:paraId="79780074">
      <w:pPr>
        <w:pStyle w:val="28"/>
        <w:snapToGrid w:val="0"/>
        <w:spacing w:line="370" w:lineRule="exact"/>
        <w:ind w:firstLine="420" w:firstLineChars="200"/>
        <w:rPr>
          <w:rFonts w:hint="eastAsia"/>
          <w:color w:val="00B0F0"/>
          <w:sz w:val="21"/>
          <w:szCs w:val="21"/>
        </w:rPr>
      </w:pPr>
      <w:r>
        <w:rPr>
          <w:rFonts w:hint="eastAsia"/>
          <w:sz w:val="21"/>
          <w:szCs w:val="21"/>
        </w:rPr>
        <w:t>4.评标方法及评分标准；</w:t>
      </w:r>
    </w:p>
    <w:p w14:paraId="2A286129">
      <w:pPr>
        <w:pStyle w:val="28"/>
        <w:snapToGrid w:val="0"/>
        <w:spacing w:line="370" w:lineRule="exact"/>
        <w:ind w:firstLine="420" w:firstLineChars="200"/>
        <w:rPr>
          <w:rFonts w:hint="eastAsia"/>
          <w:sz w:val="21"/>
          <w:szCs w:val="21"/>
        </w:rPr>
      </w:pPr>
      <w:r>
        <w:rPr>
          <w:rFonts w:hint="eastAsia"/>
          <w:sz w:val="21"/>
          <w:szCs w:val="21"/>
        </w:rPr>
        <w:t>5.政府采购合同主要条款；</w:t>
      </w:r>
    </w:p>
    <w:p w14:paraId="194F492F">
      <w:pPr>
        <w:pStyle w:val="28"/>
        <w:snapToGrid w:val="0"/>
        <w:spacing w:line="370" w:lineRule="exact"/>
        <w:ind w:firstLine="420" w:firstLineChars="200"/>
        <w:rPr>
          <w:rFonts w:hint="eastAsia"/>
          <w:sz w:val="21"/>
          <w:szCs w:val="21"/>
        </w:rPr>
      </w:pPr>
      <w:r>
        <w:rPr>
          <w:rFonts w:hint="eastAsia"/>
          <w:sz w:val="21"/>
          <w:szCs w:val="21"/>
        </w:rPr>
        <w:t>6.投标文件格式。</w:t>
      </w:r>
    </w:p>
    <w:p w14:paraId="7E7E50BC">
      <w:pPr>
        <w:pStyle w:val="28"/>
        <w:snapToGrid w:val="0"/>
        <w:spacing w:line="370" w:lineRule="exact"/>
        <w:ind w:firstLine="422" w:firstLineChars="200"/>
        <w:rPr>
          <w:rFonts w:hint="eastAsia"/>
          <w:b/>
          <w:sz w:val="21"/>
          <w:szCs w:val="21"/>
        </w:rPr>
      </w:pPr>
      <w:r>
        <w:rPr>
          <w:rFonts w:hint="eastAsia"/>
          <w:b/>
          <w:sz w:val="21"/>
          <w:szCs w:val="21"/>
        </w:rPr>
        <w:t>（二）投标人的风险</w:t>
      </w:r>
    </w:p>
    <w:p w14:paraId="1050DD94">
      <w:pPr>
        <w:pStyle w:val="28"/>
        <w:snapToGrid w:val="0"/>
        <w:spacing w:line="370" w:lineRule="exact"/>
        <w:ind w:firstLine="420" w:firstLineChars="200"/>
        <w:rPr>
          <w:rFonts w:hint="eastAsia"/>
          <w:sz w:val="21"/>
          <w:szCs w:val="21"/>
        </w:rPr>
      </w:pPr>
      <w:r>
        <w:rPr>
          <w:rFonts w:hint="eastAsia"/>
          <w:sz w:val="21"/>
          <w:szCs w:val="21"/>
        </w:rPr>
        <w:t>1.投标人应认真阅读招标文件，按照招标文件的要求编制投标文件。投标文件应对招标文件提出的要求和条件作出实质性的响应。投标人没有按照招标文件要求提供全部资料，或者投标人没有对招标文件在各方面作出实质性响应是投标人的风险，并可能导致其投标被拒绝。</w:t>
      </w:r>
    </w:p>
    <w:p w14:paraId="0B8F801F">
      <w:pPr>
        <w:pStyle w:val="28"/>
        <w:snapToGrid w:val="0"/>
        <w:spacing w:line="370" w:lineRule="exact"/>
        <w:ind w:firstLine="420" w:firstLineChars="200"/>
        <w:rPr>
          <w:rFonts w:hint="eastAsia"/>
          <w:sz w:val="21"/>
          <w:szCs w:val="21"/>
        </w:rPr>
      </w:pPr>
      <w:r>
        <w:rPr>
          <w:rFonts w:hint="eastAsia"/>
          <w:sz w:val="21"/>
          <w:szCs w:val="21"/>
        </w:rPr>
        <w:t>2.对招标文件提出的实质性要求和条件作出响应是指投标人必须对招标文件中涉及招标项目的价格、采购</w:t>
      </w:r>
      <w:r>
        <w:rPr>
          <w:rFonts w:hint="eastAsia"/>
          <w:sz w:val="21"/>
          <w:szCs w:val="21"/>
          <w:lang w:eastAsia="zh-CN"/>
        </w:rPr>
        <w:t>服务</w:t>
      </w:r>
      <w:r>
        <w:rPr>
          <w:rFonts w:hint="eastAsia"/>
          <w:sz w:val="21"/>
          <w:szCs w:val="21"/>
        </w:rPr>
        <w:t>的</w:t>
      </w:r>
      <w:r>
        <w:rPr>
          <w:rFonts w:hint="eastAsia"/>
          <w:sz w:val="21"/>
          <w:szCs w:val="21"/>
          <w:lang w:eastAsia="zh-CN"/>
        </w:rPr>
        <w:t>服务要求</w:t>
      </w:r>
      <w:r>
        <w:rPr>
          <w:rFonts w:hint="eastAsia"/>
          <w:sz w:val="21"/>
          <w:szCs w:val="21"/>
        </w:rPr>
        <w:t>及其它要求、合同主要条款等内容作出响应。</w:t>
      </w:r>
    </w:p>
    <w:p w14:paraId="227ADB82">
      <w:pPr>
        <w:pStyle w:val="28"/>
        <w:snapToGrid w:val="0"/>
        <w:spacing w:line="370" w:lineRule="exact"/>
        <w:ind w:firstLine="422" w:firstLineChars="200"/>
        <w:rPr>
          <w:rFonts w:hint="eastAsia"/>
          <w:b/>
          <w:sz w:val="21"/>
          <w:szCs w:val="21"/>
        </w:rPr>
      </w:pPr>
      <w:r>
        <w:rPr>
          <w:rFonts w:hint="eastAsia"/>
          <w:b/>
          <w:sz w:val="21"/>
          <w:szCs w:val="21"/>
        </w:rPr>
        <w:t>（三）招标文件的澄清与修改</w:t>
      </w:r>
    </w:p>
    <w:p w14:paraId="6306CC12">
      <w:pPr>
        <w:pStyle w:val="28"/>
        <w:snapToGrid w:val="0"/>
        <w:spacing w:line="370" w:lineRule="exact"/>
        <w:ind w:firstLine="420" w:firstLineChars="200"/>
        <w:rPr>
          <w:rFonts w:hint="eastAsia"/>
          <w:sz w:val="21"/>
          <w:szCs w:val="21"/>
        </w:rPr>
      </w:pPr>
      <w:r>
        <w:rPr>
          <w:rFonts w:hint="eastAsia"/>
          <w:sz w:val="21"/>
          <w:szCs w:val="21"/>
        </w:rPr>
        <w:t xml:space="preserve">1. </w:t>
      </w:r>
      <w:r>
        <w:rPr>
          <w:rFonts w:hint="eastAsia"/>
          <w:bCs/>
          <w:sz w:val="21"/>
          <w:szCs w:val="21"/>
        </w:rPr>
        <w:t>投标人应认真阅读本招标文件，发现其中有误或有不合理要求的，</w:t>
      </w:r>
      <w:r>
        <w:rPr>
          <w:rFonts w:hint="eastAsia" w:hAnsi="宋体"/>
          <w:bCs/>
          <w:sz w:val="21"/>
          <w:szCs w:val="21"/>
        </w:rPr>
        <w:t>投标人</w:t>
      </w:r>
      <w:r>
        <w:rPr>
          <w:rFonts w:hint="eastAsia" w:hAnsi="宋体"/>
          <w:b/>
          <w:bCs/>
          <w:sz w:val="21"/>
          <w:szCs w:val="21"/>
        </w:rPr>
        <w:t>应当</w:t>
      </w:r>
      <w:r>
        <w:rPr>
          <w:rFonts w:hint="eastAsia" w:hAnsi="宋体"/>
          <w:bCs/>
          <w:sz w:val="21"/>
          <w:szCs w:val="21"/>
        </w:rPr>
        <w:t>在</w:t>
      </w:r>
      <w:r>
        <w:rPr>
          <w:rFonts w:hint="eastAsia" w:hAnsi="宋体"/>
          <w:bCs/>
          <w:sz w:val="21"/>
          <w:szCs w:val="21"/>
          <w:u w:val="single"/>
        </w:rPr>
        <w:t>“采购文件：第三章 《投标人须知及前附表》序号6”规定的时间</w:t>
      </w:r>
      <w:r>
        <w:rPr>
          <w:rFonts w:hint="eastAsia" w:hAnsi="宋体"/>
          <w:bCs/>
          <w:sz w:val="21"/>
          <w:szCs w:val="21"/>
        </w:rPr>
        <w:t>前以书面形式要求</w:t>
      </w:r>
      <w:r>
        <w:rPr>
          <w:rFonts w:hAnsi="宋体"/>
          <w:sz w:val="21"/>
          <w:szCs w:val="21"/>
        </w:rPr>
        <w:t>采购人或者采购代理机构</w:t>
      </w:r>
      <w:r>
        <w:rPr>
          <w:rFonts w:hint="eastAsia" w:hAnsi="宋体"/>
          <w:sz w:val="21"/>
          <w:szCs w:val="21"/>
        </w:rPr>
        <w:t>答疑、澄清</w:t>
      </w:r>
      <w:r>
        <w:rPr>
          <w:rFonts w:hint="eastAsia" w:hAnsi="宋体"/>
          <w:bCs/>
          <w:sz w:val="21"/>
          <w:szCs w:val="21"/>
        </w:rPr>
        <w:t>。</w:t>
      </w:r>
      <w:r>
        <w:rPr>
          <w:rFonts w:hint="eastAsia"/>
          <w:bCs/>
          <w:sz w:val="21"/>
          <w:szCs w:val="21"/>
        </w:rPr>
        <w:t>采购代理机构对已发出的招标文件进行必要澄清、答复、修改或补充</w:t>
      </w:r>
      <w:r>
        <w:rPr>
          <w:rFonts w:hint="eastAsia" w:hAnsi="宋体"/>
          <w:b/>
          <w:bCs/>
          <w:sz w:val="21"/>
          <w:szCs w:val="21"/>
          <w:lang w:eastAsia="zh-CN"/>
        </w:rPr>
        <w:t>的内容</w:t>
      </w:r>
      <w:r>
        <w:rPr>
          <w:rFonts w:hint="eastAsia" w:hAnsi="宋体"/>
          <w:b/>
          <w:bCs/>
          <w:sz w:val="21"/>
          <w:szCs w:val="21"/>
        </w:rPr>
        <w:t>可能影响投标文件编制的</w:t>
      </w:r>
      <w:r>
        <w:rPr>
          <w:rFonts w:hint="eastAsia"/>
          <w:bCs/>
          <w:sz w:val="21"/>
          <w:szCs w:val="21"/>
        </w:rPr>
        <w:t>，应当在招标文件要求提交投标文件截止时间</w:t>
      </w:r>
      <w:r>
        <w:rPr>
          <w:rFonts w:hint="eastAsia"/>
          <w:bCs/>
          <w:sz w:val="21"/>
          <w:szCs w:val="21"/>
          <w:lang w:eastAsia="zh-CN"/>
        </w:rPr>
        <w:t>15</w:t>
      </w:r>
      <w:r>
        <w:rPr>
          <w:rFonts w:hint="eastAsia"/>
          <w:bCs/>
          <w:sz w:val="21"/>
          <w:szCs w:val="21"/>
        </w:rPr>
        <w:t>日前，在财政部门指定的政府采购信息发布媒体上发布更正公告，并以书面形式通知所有招标文件收受人。</w:t>
      </w:r>
    </w:p>
    <w:p w14:paraId="71E954BD">
      <w:pPr>
        <w:pStyle w:val="28"/>
        <w:snapToGrid w:val="0"/>
        <w:spacing w:line="370" w:lineRule="exact"/>
        <w:ind w:firstLine="420" w:firstLineChars="200"/>
        <w:rPr>
          <w:rFonts w:hint="eastAsia"/>
          <w:sz w:val="21"/>
          <w:szCs w:val="21"/>
        </w:rPr>
      </w:pPr>
      <w:r>
        <w:rPr>
          <w:rFonts w:hint="eastAsia"/>
          <w:sz w:val="21"/>
          <w:szCs w:val="21"/>
        </w:rPr>
        <w:t>2. 招标文件澄清、答复、修改、补充的内容为招标文件的组成部分。当招标文件与招标文件的答复、澄清、修改、补充通知就同一内容的表述不一致时，以最后发出的书面文件为准。</w:t>
      </w:r>
    </w:p>
    <w:p w14:paraId="6EBE4560">
      <w:pPr>
        <w:pStyle w:val="28"/>
        <w:snapToGrid w:val="0"/>
        <w:spacing w:line="370" w:lineRule="exact"/>
        <w:ind w:firstLine="420" w:firstLineChars="200"/>
        <w:rPr>
          <w:rFonts w:hint="eastAsia"/>
          <w:sz w:val="21"/>
          <w:szCs w:val="21"/>
        </w:rPr>
      </w:pPr>
      <w:r>
        <w:rPr>
          <w:rFonts w:hint="eastAsia"/>
          <w:sz w:val="21"/>
          <w:szCs w:val="21"/>
        </w:rPr>
        <w:t>3. 招标文件的</w:t>
      </w:r>
      <w:r>
        <w:rPr>
          <w:rFonts w:hint="eastAsia"/>
          <w:color w:val="000000"/>
          <w:sz w:val="21"/>
          <w:szCs w:val="21"/>
        </w:rPr>
        <w:t>澄清</w:t>
      </w:r>
      <w:r>
        <w:rPr>
          <w:rFonts w:hint="eastAsia"/>
          <w:sz w:val="21"/>
          <w:szCs w:val="21"/>
        </w:rPr>
        <w:t>、</w:t>
      </w:r>
      <w:r>
        <w:rPr>
          <w:rFonts w:hint="eastAsia"/>
          <w:color w:val="000000"/>
          <w:sz w:val="21"/>
          <w:szCs w:val="21"/>
        </w:rPr>
        <w:t>答</w:t>
      </w:r>
      <w:r>
        <w:rPr>
          <w:rFonts w:hint="eastAsia"/>
          <w:sz w:val="21"/>
          <w:szCs w:val="21"/>
        </w:rPr>
        <w:t>复</w:t>
      </w:r>
      <w:r>
        <w:rPr>
          <w:rFonts w:hint="eastAsia"/>
          <w:color w:val="000000"/>
          <w:sz w:val="21"/>
          <w:szCs w:val="21"/>
        </w:rPr>
        <w:t>、</w:t>
      </w:r>
      <w:r>
        <w:rPr>
          <w:rFonts w:hint="eastAsia"/>
          <w:sz w:val="21"/>
          <w:szCs w:val="21"/>
        </w:rPr>
        <w:t>修改、补充都应该通过本采购代理机构以法定形式发布，采购人非通过本机构，不得擅自澄清、答复、修改、补充招标文件。</w:t>
      </w:r>
    </w:p>
    <w:p w14:paraId="0486FC11">
      <w:pPr>
        <w:pStyle w:val="28"/>
        <w:snapToGrid w:val="0"/>
        <w:spacing w:line="370" w:lineRule="exact"/>
        <w:ind w:firstLine="420" w:firstLineChars="200"/>
        <w:rPr>
          <w:rFonts w:hint="eastAsia"/>
          <w:sz w:val="21"/>
          <w:szCs w:val="21"/>
        </w:rPr>
      </w:pPr>
      <w:r>
        <w:rPr>
          <w:rFonts w:hint="eastAsia"/>
          <w:sz w:val="21"/>
          <w:szCs w:val="21"/>
        </w:rPr>
        <w:t>4. 采购代理机构</w:t>
      </w:r>
      <w:r>
        <w:rPr>
          <w:rFonts w:hint="eastAsia" w:hAnsi="宋体"/>
          <w:sz w:val="21"/>
          <w:szCs w:val="21"/>
        </w:rPr>
        <w:t>可以视采购具体情况，延长招标文件或者资格预审文件提供期限，并在财政部门指定的政府采购信息发布媒体上发布公告。</w:t>
      </w:r>
    </w:p>
    <w:p w14:paraId="31DA9C86">
      <w:pPr>
        <w:pStyle w:val="28"/>
        <w:snapToGrid w:val="0"/>
        <w:spacing w:line="370" w:lineRule="exact"/>
        <w:rPr>
          <w:rFonts w:hint="eastAsia"/>
          <w:sz w:val="21"/>
          <w:szCs w:val="21"/>
        </w:rPr>
      </w:pPr>
      <w:bookmarkStart w:id="77" w:name="_Toc254970676"/>
      <w:bookmarkStart w:id="78" w:name="_Toc254970535"/>
    </w:p>
    <w:p w14:paraId="20FC8A10">
      <w:pPr>
        <w:pStyle w:val="28"/>
        <w:snapToGrid w:val="0"/>
        <w:spacing w:line="370" w:lineRule="exact"/>
        <w:jc w:val="center"/>
        <w:rPr>
          <w:rFonts w:hint="eastAsia"/>
          <w:b/>
          <w:sz w:val="21"/>
          <w:szCs w:val="21"/>
        </w:rPr>
      </w:pPr>
      <w:r>
        <w:rPr>
          <w:rFonts w:hint="eastAsia"/>
          <w:b/>
          <w:sz w:val="21"/>
          <w:szCs w:val="21"/>
        </w:rPr>
        <w:t>三、投标文件的编制</w:t>
      </w:r>
      <w:bookmarkEnd w:id="77"/>
      <w:bookmarkEnd w:id="78"/>
      <w:bookmarkStart w:id="79" w:name="_Toc254970677"/>
      <w:bookmarkStart w:id="80" w:name="_Toc254970536"/>
    </w:p>
    <w:p w14:paraId="6C7A0E91">
      <w:pPr>
        <w:pStyle w:val="28"/>
        <w:snapToGrid w:val="0"/>
        <w:spacing w:line="370" w:lineRule="exact"/>
        <w:ind w:firstLine="422" w:firstLineChars="200"/>
        <w:jc w:val="left"/>
        <w:rPr>
          <w:rFonts w:hint="eastAsia"/>
          <w:b/>
          <w:sz w:val="21"/>
          <w:szCs w:val="21"/>
        </w:rPr>
      </w:pPr>
      <w:r>
        <w:rPr>
          <w:rFonts w:hint="eastAsia"/>
          <w:b/>
          <w:sz w:val="21"/>
          <w:szCs w:val="21"/>
        </w:rPr>
        <w:t>（一）投标文件的组成</w:t>
      </w:r>
      <w:bookmarkEnd w:id="79"/>
      <w:bookmarkEnd w:id="80"/>
      <w:r>
        <w:rPr>
          <w:rFonts w:hint="eastAsia"/>
          <w:b/>
          <w:sz w:val="21"/>
          <w:szCs w:val="21"/>
        </w:rPr>
        <w:t>（以下要求“必须提供”的，请按要求在投标文件中提供，否则作投标无效处理；其他如有请提供）</w:t>
      </w:r>
    </w:p>
    <w:p w14:paraId="24CE1AB1">
      <w:pPr>
        <w:snapToGrid w:val="0"/>
        <w:spacing w:line="360" w:lineRule="exact"/>
        <w:ind w:firstLine="420" w:firstLineChars="200"/>
        <w:jc w:val="left"/>
        <w:rPr>
          <w:rFonts w:hint="eastAsia" w:ascii="宋体"/>
          <w:sz w:val="21"/>
          <w:szCs w:val="21"/>
        </w:rPr>
      </w:pPr>
      <w:r>
        <w:rPr>
          <w:rFonts w:hint="eastAsia" w:ascii="宋体" w:hAnsi="宋体"/>
          <w:sz w:val="21"/>
          <w:szCs w:val="21"/>
        </w:rPr>
        <w:t>投标文件由资格文件、商务技术文件、报价文件</w:t>
      </w:r>
      <w:r>
        <w:rPr>
          <w:rFonts w:hint="eastAsia" w:ascii="宋体"/>
          <w:b/>
          <w:sz w:val="21"/>
          <w:szCs w:val="21"/>
        </w:rPr>
        <w:t>三部分</w:t>
      </w:r>
      <w:r>
        <w:rPr>
          <w:rFonts w:hint="eastAsia" w:ascii="宋体"/>
          <w:sz w:val="21"/>
          <w:szCs w:val="21"/>
        </w:rPr>
        <w:t>组成。</w:t>
      </w:r>
      <w:r>
        <w:rPr>
          <w:rFonts w:hint="eastAsia" w:ascii="宋体"/>
          <w:b/>
          <w:sz w:val="21"/>
          <w:szCs w:val="21"/>
        </w:rPr>
        <w:t>（扫描件或其他电子文件）</w:t>
      </w:r>
    </w:p>
    <w:p w14:paraId="10275BB3">
      <w:pPr>
        <w:snapToGrid w:val="0"/>
        <w:spacing w:before="156" w:beforeLines="50" w:line="360" w:lineRule="exact"/>
        <w:ind w:firstLine="413" w:firstLineChars="196"/>
        <w:jc w:val="left"/>
        <w:rPr>
          <w:rFonts w:hint="eastAsia" w:ascii="宋体" w:hAnsi="宋体"/>
          <w:b/>
          <w:sz w:val="21"/>
          <w:szCs w:val="21"/>
        </w:rPr>
      </w:pPr>
      <w:r>
        <w:rPr>
          <w:rFonts w:hint="eastAsia" w:ascii="宋体" w:hAnsi="宋体"/>
          <w:b/>
          <w:sz w:val="21"/>
          <w:szCs w:val="21"/>
        </w:rPr>
        <w:t>1.资格文件：</w:t>
      </w:r>
    </w:p>
    <w:p w14:paraId="5B38EBDF">
      <w:pPr>
        <w:snapToGrid w:val="0"/>
        <w:spacing w:line="360" w:lineRule="exact"/>
        <w:ind w:firstLine="411" w:firstLineChars="196"/>
        <w:jc w:val="left"/>
        <w:rPr>
          <w:rFonts w:hint="eastAsia" w:ascii="宋体" w:hAnsi="宋体"/>
          <w:szCs w:val="21"/>
        </w:rPr>
      </w:pPr>
      <w:r>
        <w:rPr>
          <w:rFonts w:hint="eastAsia" w:ascii="宋体" w:hAnsi="宋体"/>
          <w:szCs w:val="21"/>
        </w:rPr>
        <w:t>（1）有效的主体资格证明文件；</w:t>
      </w:r>
    </w:p>
    <w:p w14:paraId="02EAB05F">
      <w:pPr>
        <w:spacing w:line="370" w:lineRule="exact"/>
        <w:rPr>
          <w:rFonts w:hint="eastAsia"/>
          <w:b/>
          <w:color w:val="auto"/>
        </w:rPr>
      </w:pPr>
      <w:r>
        <w:rPr>
          <w:rFonts w:hint="eastAsia"/>
          <w:b/>
        </w:rPr>
        <w:t xml:space="preserve">    </w:t>
      </w:r>
      <w:r>
        <w:rPr>
          <w:rFonts w:hint="eastAsia" w:ascii="宋体" w:hAnsi="宋体"/>
        </w:rPr>
        <w:t xml:space="preserve"> 投</w:t>
      </w:r>
      <w:r>
        <w:rPr>
          <w:rFonts w:hint="eastAsia" w:ascii="宋体" w:hAnsi="宋体"/>
          <w:color w:val="auto"/>
        </w:rPr>
        <w:t>标人有效的“主体资格证明文件”（如营业执照、事业单位法人证书、执业许可证、自然人身份证等）</w:t>
      </w:r>
      <w:r>
        <w:rPr>
          <w:rFonts w:hint="eastAsia" w:hAnsi="宋体"/>
          <w:color w:val="auto"/>
        </w:rPr>
        <w:t>复印件</w:t>
      </w:r>
      <w:r>
        <w:rPr>
          <w:rFonts w:hint="eastAsia" w:ascii="宋体" w:hAnsi="宋体"/>
          <w:color w:val="auto"/>
        </w:rPr>
        <w:t>；</w:t>
      </w:r>
      <w:r>
        <w:rPr>
          <w:rFonts w:hint="eastAsia" w:ascii="宋体" w:hAnsi="宋体"/>
          <w:b/>
          <w:color w:val="auto"/>
        </w:rPr>
        <w:t>（必须提供）</w:t>
      </w:r>
    </w:p>
    <w:p w14:paraId="67F45FA3">
      <w:pPr>
        <w:snapToGrid w:val="0"/>
        <w:spacing w:line="360" w:lineRule="exact"/>
        <w:ind w:firstLine="411" w:firstLineChars="196"/>
        <w:jc w:val="left"/>
        <w:rPr>
          <w:rFonts w:ascii="宋体" w:hAnsi="宋体"/>
          <w:color w:val="auto"/>
          <w:szCs w:val="21"/>
        </w:rPr>
      </w:pPr>
      <w:r>
        <w:rPr>
          <w:rFonts w:hint="eastAsia" w:ascii="宋体" w:hAnsi="宋体"/>
          <w:color w:val="auto"/>
          <w:szCs w:val="21"/>
        </w:rPr>
        <w:t>（2）投标截止之日前一年内投标人连续三个月的依法缴纳税费或依法免缴税费的证明；无纳税记录的，应提供由投标人所在地的税务部门出具的《依法纳税或依法免税证明》。</w:t>
      </w:r>
      <w:r>
        <w:rPr>
          <w:rFonts w:hint="eastAsia" w:ascii="宋体" w:hAnsi="宋体"/>
          <w:b/>
          <w:color w:val="auto"/>
          <w:szCs w:val="21"/>
        </w:rPr>
        <w:t>（必须提供，新成立单位按实际提供）</w:t>
      </w:r>
    </w:p>
    <w:p w14:paraId="484C2E0F">
      <w:pPr>
        <w:snapToGrid w:val="0"/>
        <w:spacing w:line="360" w:lineRule="exact"/>
        <w:ind w:firstLine="411" w:firstLineChars="196"/>
        <w:jc w:val="left"/>
        <w:rPr>
          <w:rFonts w:hint="eastAsia" w:ascii="宋体" w:hAnsi="宋体"/>
          <w:color w:val="auto"/>
          <w:szCs w:val="21"/>
        </w:rPr>
      </w:pPr>
      <w:r>
        <w:rPr>
          <w:rFonts w:hint="eastAsia" w:ascii="宋体" w:hAnsi="宋体"/>
          <w:color w:val="auto"/>
          <w:szCs w:val="21"/>
        </w:rPr>
        <w:t>（3）投标截止之日前一年内投标人连续三个月的依法缴纳社保费的缴费凭证；无缴费记录的，应提供由投标人所在地社保等相关部门出具的《依法缴纳或依法免缴社保费证明》。</w:t>
      </w:r>
      <w:r>
        <w:rPr>
          <w:rFonts w:hint="eastAsia" w:ascii="宋体" w:hAnsi="宋体"/>
          <w:b/>
          <w:color w:val="auto"/>
          <w:szCs w:val="21"/>
        </w:rPr>
        <w:t>（必须提供，新成立单位按实际提供）</w:t>
      </w:r>
    </w:p>
    <w:p w14:paraId="2897C953">
      <w:pPr>
        <w:snapToGrid w:val="0"/>
        <w:spacing w:line="360" w:lineRule="exact"/>
        <w:jc w:val="left"/>
        <w:rPr>
          <w:rFonts w:hint="eastAsia" w:ascii="宋体" w:hAnsi="宋体"/>
          <w:b/>
          <w:color w:val="auto"/>
          <w:szCs w:val="21"/>
        </w:rPr>
      </w:pPr>
      <w:r>
        <w:rPr>
          <w:rFonts w:hint="eastAsia" w:ascii="宋体" w:hAnsi="宋体"/>
          <w:b/>
          <w:color w:val="auto"/>
          <w:szCs w:val="21"/>
        </w:rPr>
        <w:t xml:space="preserve">    </w:t>
      </w:r>
      <w:r>
        <w:rPr>
          <w:rFonts w:hint="eastAsia" w:ascii="宋体" w:hAnsi="宋体"/>
          <w:color w:val="auto"/>
          <w:szCs w:val="21"/>
        </w:rPr>
        <w:t>（4）</w:t>
      </w:r>
      <w:r>
        <w:rPr>
          <w:rFonts w:hint="eastAsia" w:ascii="宋体" w:hAnsi="宋体"/>
          <w:color w:val="auto"/>
          <w:szCs w:val="21"/>
          <w:highlight w:val="none"/>
        </w:rPr>
        <w:t>财务状况报告</w:t>
      </w:r>
      <w:r>
        <w:rPr>
          <w:rFonts w:hint="eastAsia"/>
          <w:color w:val="auto"/>
          <w:szCs w:val="21"/>
          <w:highlight w:val="none"/>
        </w:rPr>
        <w:t>（</w:t>
      </w:r>
      <w:r>
        <w:rPr>
          <w:rFonts w:hint="eastAsia"/>
          <w:color w:val="auto"/>
          <w:szCs w:val="21"/>
          <w:highlight w:val="none"/>
          <w:u w:val="single"/>
        </w:rPr>
        <w:t>2</w:t>
      </w:r>
      <w:r>
        <w:rPr>
          <w:color w:val="auto"/>
          <w:szCs w:val="21"/>
          <w:highlight w:val="none"/>
          <w:u w:val="single"/>
        </w:rPr>
        <w:t>02</w:t>
      </w:r>
      <w:r>
        <w:rPr>
          <w:rFonts w:hint="eastAsia"/>
          <w:color w:val="auto"/>
          <w:szCs w:val="21"/>
          <w:highlight w:val="none"/>
          <w:u w:val="single"/>
          <w:lang w:val="en-US" w:eastAsia="zh-CN"/>
        </w:rPr>
        <w:t>4</w:t>
      </w:r>
      <w:r>
        <w:rPr>
          <w:rFonts w:hint="eastAsia"/>
          <w:color w:val="auto"/>
          <w:szCs w:val="21"/>
          <w:highlight w:val="none"/>
          <w:u w:val="single"/>
        </w:rPr>
        <w:t>年</w:t>
      </w:r>
      <w:r>
        <w:rPr>
          <w:rFonts w:hint="eastAsia"/>
          <w:color w:val="auto"/>
          <w:szCs w:val="21"/>
          <w:highlight w:val="none"/>
          <w:u w:val="single"/>
          <w:lang w:val="en-US" w:eastAsia="zh-CN"/>
        </w:rPr>
        <w:t>或2025年</w:t>
      </w:r>
      <w:r>
        <w:rPr>
          <w:rFonts w:hint="eastAsia"/>
          <w:color w:val="auto"/>
          <w:szCs w:val="21"/>
          <w:highlight w:val="none"/>
        </w:rPr>
        <w:t>财务报表复印件）或者银行出具的资信证明，或者中国人民银行征信中心出具的信用报告（企业竞标的提供企业信用报告，自然人竞标的提供个人信用报告）；供应商属于</w:t>
      </w:r>
      <w:r>
        <w:rPr>
          <w:rFonts w:hint="eastAsia"/>
          <w:color w:val="auto"/>
          <w:highlight w:val="none"/>
        </w:rPr>
        <w:t>成立时间</w:t>
      </w:r>
      <w:r>
        <w:rPr>
          <w:rFonts w:hint="eastAsia"/>
          <w:color w:val="auto"/>
          <w:kern w:val="0"/>
          <w:highlight w:val="none"/>
        </w:rPr>
        <w:t>在规定年度之后</w:t>
      </w:r>
      <w:r>
        <w:rPr>
          <w:rFonts w:hint="eastAsia"/>
          <w:color w:val="auto"/>
          <w:highlight w:val="none"/>
        </w:rPr>
        <w:t>的</w:t>
      </w:r>
      <w:r>
        <w:rPr>
          <w:rFonts w:hint="eastAsia"/>
          <w:color w:val="auto"/>
          <w:szCs w:val="21"/>
          <w:highlight w:val="none"/>
        </w:rPr>
        <w:t>法人或其他组织</w:t>
      </w:r>
      <w:r>
        <w:rPr>
          <w:rFonts w:hint="eastAsia"/>
          <w:color w:val="auto"/>
          <w:highlight w:val="none"/>
        </w:rPr>
        <w:t>，只需提供响应文件提交截止时间前一个月的财务状况报告（表）</w:t>
      </w:r>
      <w:r>
        <w:rPr>
          <w:rFonts w:hint="eastAsia"/>
          <w:color w:val="auto"/>
          <w:szCs w:val="21"/>
          <w:highlight w:val="none"/>
        </w:rPr>
        <w:t>或银行出具的资信证明或者中国人民银行征信中心出具的企业信用报告；资信证明应在有效期内，未注明有效期的，银行出具时间至响应文件提交截止时间不超过一年）</w:t>
      </w:r>
      <w:r>
        <w:rPr>
          <w:rFonts w:hint="eastAsia" w:ascii="宋体" w:hAnsi="宋体"/>
          <w:b/>
          <w:color w:val="auto"/>
          <w:szCs w:val="21"/>
        </w:rPr>
        <w:t>（必须提供）</w:t>
      </w:r>
    </w:p>
    <w:p w14:paraId="2140508B">
      <w:pPr>
        <w:snapToGrid w:val="0"/>
        <w:spacing w:line="360" w:lineRule="exact"/>
        <w:ind w:firstLine="411" w:firstLineChars="196"/>
        <w:jc w:val="left"/>
        <w:rPr>
          <w:rFonts w:hint="eastAsia" w:ascii="宋体" w:hAnsi="宋体"/>
          <w:b/>
          <w:color w:val="auto"/>
          <w:szCs w:val="21"/>
        </w:rPr>
      </w:pPr>
      <w:r>
        <w:rPr>
          <w:rFonts w:hint="eastAsia" w:ascii="宋体" w:hAnsi="宋体" w:cs="宋体"/>
          <w:color w:val="auto"/>
          <w:kern w:val="0"/>
          <w:szCs w:val="21"/>
        </w:rPr>
        <w:t>（5）</w:t>
      </w:r>
      <w:r>
        <w:rPr>
          <w:rFonts w:ascii="宋体" w:hAnsi="宋体"/>
          <w:color w:val="auto"/>
          <w:szCs w:val="21"/>
        </w:rPr>
        <w:t>具备履行合同所必需的设备和专业技术能力的证明材料</w:t>
      </w:r>
      <w:r>
        <w:rPr>
          <w:rFonts w:hint="eastAsia" w:ascii="宋体" w:hAnsi="宋体" w:cs="宋体"/>
          <w:color w:val="auto"/>
          <w:kern w:val="0"/>
          <w:szCs w:val="21"/>
        </w:rPr>
        <w:t>。</w:t>
      </w:r>
      <w:r>
        <w:rPr>
          <w:rFonts w:hint="eastAsia" w:ascii="宋体" w:hAnsi="宋体"/>
          <w:b/>
          <w:color w:val="auto"/>
          <w:szCs w:val="21"/>
        </w:rPr>
        <w:t>（内容、格式自拟，必须提供）</w:t>
      </w:r>
    </w:p>
    <w:p w14:paraId="6E0358F7">
      <w:pPr>
        <w:snapToGrid w:val="0"/>
        <w:spacing w:line="360" w:lineRule="exact"/>
        <w:ind w:firstLine="411" w:firstLineChars="196"/>
        <w:jc w:val="left"/>
        <w:rPr>
          <w:rFonts w:hint="eastAsia" w:ascii="宋体" w:hAnsi="宋体"/>
          <w:color w:val="auto"/>
          <w:szCs w:val="21"/>
        </w:rPr>
      </w:pPr>
      <w:r>
        <w:rPr>
          <w:rFonts w:hint="eastAsia" w:ascii="宋体" w:hAnsi="宋体" w:cs="宋体"/>
          <w:color w:val="auto"/>
          <w:kern w:val="0"/>
          <w:szCs w:val="21"/>
        </w:rPr>
        <w:t>（</w:t>
      </w:r>
      <w:r>
        <w:rPr>
          <w:rFonts w:hint="eastAsia" w:ascii="宋体" w:hAnsi="宋体" w:cs="宋体"/>
          <w:color w:val="auto"/>
          <w:kern w:val="0"/>
          <w:szCs w:val="21"/>
          <w:lang w:val="en-US" w:eastAsia="zh-CN"/>
        </w:rPr>
        <w:t>6</w:t>
      </w:r>
      <w:r>
        <w:rPr>
          <w:rFonts w:hint="eastAsia" w:ascii="宋体" w:hAnsi="宋体" w:cs="宋体"/>
          <w:color w:val="auto"/>
          <w:kern w:val="0"/>
          <w:szCs w:val="21"/>
        </w:rPr>
        <w:t>）</w:t>
      </w:r>
      <w:r>
        <w:rPr>
          <w:rFonts w:hint="eastAsia" w:ascii="宋体" w:hAnsi="宋体"/>
          <w:color w:val="auto"/>
          <w:szCs w:val="21"/>
        </w:rPr>
        <w:t>参加政府采购活动前三年内在经营活动中没有重大违法记录和不良信用记录的书面声明。（</w:t>
      </w:r>
      <w:r>
        <w:rPr>
          <w:rFonts w:hint="eastAsia" w:ascii="宋体" w:hAnsi="宋体"/>
          <w:b/>
          <w:color w:val="auto"/>
          <w:szCs w:val="21"/>
        </w:rPr>
        <w:t>格式自拟，必须提供</w:t>
      </w:r>
      <w:r>
        <w:rPr>
          <w:rFonts w:hint="eastAsia" w:ascii="宋体" w:hAnsi="宋体"/>
          <w:color w:val="auto"/>
          <w:szCs w:val="21"/>
        </w:rPr>
        <w:t>）</w:t>
      </w:r>
    </w:p>
    <w:p w14:paraId="3368C553">
      <w:pPr>
        <w:snapToGrid w:val="0"/>
        <w:spacing w:line="360" w:lineRule="exact"/>
        <w:ind w:firstLine="413" w:firstLineChars="196"/>
        <w:jc w:val="left"/>
        <w:rPr>
          <w:rFonts w:hint="eastAsia" w:ascii="宋体" w:hAnsi="宋体"/>
          <w:b/>
          <w:szCs w:val="21"/>
        </w:rPr>
      </w:pPr>
      <w:r>
        <w:rPr>
          <w:rFonts w:hint="eastAsia" w:ascii="宋体" w:hAnsi="宋体"/>
          <w:b/>
          <w:color w:val="auto"/>
          <w:szCs w:val="21"/>
        </w:rPr>
        <w:t>注：采购人或采购代理机构在资格审查</w:t>
      </w:r>
      <w:r>
        <w:rPr>
          <w:rFonts w:hint="eastAsia" w:ascii="宋体" w:hAnsi="宋体"/>
          <w:b/>
          <w:szCs w:val="21"/>
        </w:rPr>
        <w:t>结束前对供应商进行信用查询</w:t>
      </w:r>
    </w:p>
    <w:p w14:paraId="660382BC">
      <w:pPr>
        <w:snapToGrid w:val="0"/>
        <w:spacing w:line="360" w:lineRule="exact"/>
        <w:ind w:firstLine="413" w:firstLineChars="196"/>
        <w:jc w:val="left"/>
        <w:rPr>
          <w:rFonts w:hint="eastAsia" w:ascii="宋体" w:hAnsi="宋体"/>
          <w:b/>
          <w:szCs w:val="21"/>
        </w:rPr>
      </w:pPr>
      <w:r>
        <w:rPr>
          <w:rFonts w:hint="eastAsia" w:ascii="宋体" w:hAnsi="宋体"/>
          <w:b/>
          <w:szCs w:val="21"/>
        </w:rPr>
        <w:t>查询渠道：“信用中国”网站(www.creditchina.gov.cn) 、中国政府采购网(www.ccgp.gov.cn)</w:t>
      </w:r>
    </w:p>
    <w:p w14:paraId="6199B94E">
      <w:pPr>
        <w:snapToGrid w:val="0"/>
        <w:spacing w:line="360" w:lineRule="exact"/>
        <w:ind w:firstLine="413" w:firstLineChars="196"/>
        <w:jc w:val="left"/>
        <w:rPr>
          <w:rFonts w:hint="eastAsia" w:ascii="宋体" w:hAnsi="宋体"/>
          <w:b/>
          <w:szCs w:val="21"/>
        </w:rPr>
      </w:pPr>
      <w:r>
        <w:rPr>
          <w:rFonts w:hint="eastAsia" w:ascii="宋体" w:hAnsi="宋体"/>
          <w:b/>
          <w:szCs w:val="21"/>
        </w:rPr>
        <w:t>查询截止时间：资格审查结束前。</w:t>
      </w:r>
    </w:p>
    <w:p w14:paraId="77B9CC60">
      <w:pPr>
        <w:snapToGrid w:val="0"/>
        <w:spacing w:line="360" w:lineRule="exact"/>
        <w:ind w:firstLine="413" w:firstLineChars="196"/>
        <w:jc w:val="left"/>
        <w:rPr>
          <w:rFonts w:hint="eastAsia" w:ascii="宋体" w:hAnsi="宋体"/>
          <w:b/>
          <w:szCs w:val="21"/>
        </w:rPr>
      </w:pPr>
      <w:r>
        <w:rPr>
          <w:rFonts w:hint="eastAsia" w:ascii="宋体" w:hAnsi="宋体"/>
          <w:b/>
          <w:szCs w:val="21"/>
        </w:rPr>
        <w:t>查询记录和证据留存方式：在查询网站中直接打印查询记录，打印材料作为评审资料保存。</w:t>
      </w:r>
    </w:p>
    <w:p w14:paraId="5BB70F8D">
      <w:pPr>
        <w:snapToGrid w:val="0"/>
        <w:spacing w:line="360" w:lineRule="exact"/>
        <w:ind w:firstLine="413" w:firstLineChars="196"/>
        <w:jc w:val="left"/>
        <w:rPr>
          <w:rFonts w:hint="eastAsia" w:ascii="宋体" w:hAnsi="宋体"/>
          <w:b/>
          <w:sz w:val="21"/>
          <w:szCs w:val="21"/>
        </w:rPr>
      </w:pPr>
      <w:r>
        <w:rPr>
          <w:rFonts w:hint="eastAsia" w:ascii="宋体" w:hAnsi="宋体"/>
          <w:b/>
          <w:szCs w:val="21"/>
        </w:rPr>
        <w:t>信用信息使用规则：对在“信用中国”网站(www.creditchina.gov.cn) 、中国政府采购网(www.ccgp.gov.cn)</w:t>
      </w:r>
      <w:r>
        <w:rPr>
          <w:rFonts w:hint="eastAsia" w:ascii="宋体" w:hAnsi="宋体"/>
          <w:b/>
          <w:sz w:val="21"/>
          <w:szCs w:val="21"/>
        </w:rPr>
        <w:t>被列入失信被执行人、重大税收违法失信主体、政府采购严重违法失信行为记录名单及其他不符合《中华人民共和国政府采购法》第二十二条规定条件的供应商，将拒绝其参与政府采购活动。</w:t>
      </w:r>
    </w:p>
    <w:p w14:paraId="15A75D4A">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lang w:eastAsia="zh-CN"/>
        </w:rPr>
        <w:t>（</w:t>
      </w:r>
      <w:r>
        <w:rPr>
          <w:rFonts w:hint="eastAsia" w:ascii="宋体" w:hAnsi="宋体" w:eastAsia="宋体" w:cs="宋体"/>
          <w:color w:val="auto"/>
          <w:lang w:val="en-US" w:eastAsia="zh-CN"/>
        </w:rPr>
        <w:t>7</w:t>
      </w:r>
      <w:r>
        <w:rPr>
          <w:rFonts w:hint="eastAsia" w:ascii="宋体" w:hAnsi="宋体" w:eastAsia="宋体" w:cs="宋体"/>
          <w:color w:val="auto"/>
          <w:lang w:eastAsia="zh-CN"/>
        </w:rPr>
        <w:t>）</w:t>
      </w:r>
      <w:r>
        <w:rPr>
          <w:rFonts w:hint="eastAsia" w:ascii="宋体" w:hAnsi="宋体" w:eastAsia="宋体" w:cs="宋体"/>
          <w:color w:val="auto"/>
          <w:szCs w:val="21"/>
        </w:rPr>
        <w:t>投标人直接控股、管理关系信息表（</w:t>
      </w:r>
      <w:r>
        <w:rPr>
          <w:rFonts w:hint="eastAsia" w:ascii="宋体" w:hAnsi="宋体" w:eastAsia="宋体" w:cs="宋体"/>
          <w:color w:val="auto"/>
          <w:szCs w:val="21"/>
          <w:highlight w:val="none"/>
        </w:rPr>
        <w:t>格式后附）；</w:t>
      </w:r>
      <w:r>
        <w:rPr>
          <w:rFonts w:hint="eastAsia" w:ascii="宋体" w:hAnsi="宋体" w:eastAsia="宋体" w:cs="宋体"/>
          <w:b/>
          <w:bCs/>
          <w:color w:val="auto"/>
          <w:szCs w:val="21"/>
          <w:highlight w:val="none"/>
        </w:rPr>
        <w:t>（必须提供</w:t>
      </w:r>
      <w:r>
        <w:rPr>
          <w:rFonts w:hint="eastAsia" w:ascii="宋体" w:hAnsi="宋体" w:eastAsia="宋体" w:cs="宋体"/>
          <w:b/>
          <w:bCs/>
          <w:color w:val="auto"/>
          <w:sz w:val="21"/>
          <w:szCs w:val="21"/>
          <w:highlight w:val="none"/>
        </w:rPr>
        <w:t>，否则作无效投标处理</w:t>
      </w:r>
      <w:r>
        <w:rPr>
          <w:rFonts w:hint="eastAsia" w:ascii="宋体" w:hAnsi="宋体" w:eastAsia="宋体" w:cs="宋体"/>
          <w:b/>
          <w:bCs/>
          <w:color w:val="auto"/>
          <w:szCs w:val="21"/>
          <w:highlight w:val="none"/>
        </w:rPr>
        <w:t>）</w:t>
      </w:r>
    </w:p>
    <w:p w14:paraId="1F3044E8">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hint="default" w:ascii="宋体" w:hAnsi="宋体" w:eastAsia="宋体" w:cs="宋体"/>
          <w:color w:val="FF0000"/>
          <w:szCs w:val="21"/>
          <w:highlight w:val="yellow"/>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投</w:t>
      </w:r>
      <w:r>
        <w:rPr>
          <w:rFonts w:hint="eastAsia" w:ascii="宋体" w:hAnsi="宋体" w:eastAsia="宋体" w:cs="宋体"/>
          <w:color w:val="auto"/>
          <w:szCs w:val="21"/>
          <w:highlight w:val="none"/>
          <w:lang w:val="en-US" w:eastAsia="zh-CN"/>
        </w:rPr>
        <w:t>标人参加本项目无围标串标行为的承诺；</w:t>
      </w:r>
      <w:r>
        <w:rPr>
          <w:rFonts w:hint="eastAsia" w:ascii="宋体" w:hAnsi="宋体" w:eastAsia="宋体" w:cs="宋体"/>
          <w:b w:val="0"/>
          <w:bCs w:val="0"/>
          <w:color w:val="auto"/>
          <w:sz w:val="21"/>
          <w:szCs w:val="21"/>
          <w:highlight w:val="none"/>
        </w:rPr>
        <w:t>（</w:t>
      </w:r>
      <w:r>
        <w:rPr>
          <w:rFonts w:hint="eastAsia" w:ascii="宋体" w:hAnsi="宋体" w:eastAsia="宋体" w:cs="宋体"/>
          <w:b/>
          <w:bCs/>
          <w:color w:val="auto"/>
          <w:sz w:val="21"/>
          <w:szCs w:val="21"/>
          <w:highlight w:val="none"/>
        </w:rPr>
        <w:t>必须提供</w:t>
      </w:r>
      <w:r>
        <w:rPr>
          <w:rFonts w:hint="eastAsia" w:ascii="宋体" w:hAnsi="宋体" w:eastAsia="宋体" w:cs="宋体"/>
          <w:b/>
          <w:bCs/>
          <w:color w:val="000000"/>
          <w:sz w:val="21"/>
          <w:szCs w:val="21"/>
        </w:rPr>
        <w:t>，否则作无效投标处理</w:t>
      </w:r>
      <w:r>
        <w:rPr>
          <w:rFonts w:hint="eastAsia" w:ascii="宋体" w:hAnsi="宋体" w:eastAsia="宋体" w:cs="宋体"/>
          <w:b w:val="0"/>
          <w:bCs w:val="0"/>
          <w:color w:val="000000"/>
          <w:sz w:val="21"/>
          <w:szCs w:val="21"/>
        </w:rPr>
        <w:t>）</w:t>
      </w:r>
    </w:p>
    <w:p w14:paraId="604152AC">
      <w:pPr>
        <w:pStyle w:val="28"/>
        <w:snapToGrid w:val="0"/>
        <w:spacing w:line="370" w:lineRule="exact"/>
        <w:ind w:firstLine="422" w:firstLineChars="200"/>
        <w:jc w:val="left"/>
        <w:rPr>
          <w:rFonts w:hint="eastAsia"/>
          <w:b/>
          <w:sz w:val="21"/>
          <w:szCs w:val="21"/>
        </w:rPr>
      </w:pPr>
    </w:p>
    <w:p w14:paraId="7A07894D">
      <w:pPr>
        <w:pStyle w:val="28"/>
        <w:snapToGrid w:val="0"/>
        <w:spacing w:line="370" w:lineRule="exact"/>
        <w:ind w:firstLine="422" w:firstLineChars="200"/>
        <w:jc w:val="left"/>
        <w:rPr>
          <w:rFonts w:hint="eastAsia"/>
          <w:b/>
          <w:sz w:val="21"/>
          <w:szCs w:val="21"/>
          <w:lang w:eastAsia="zh-CN"/>
        </w:rPr>
      </w:pPr>
      <w:r>
        <w:rPr>
          <w:rFonts w:hint="eastAsia"/>
          <w:b/>
          <w:sz w:val="21"/>
          <w:szCs w:val="21"/>
        </w:rPr>
        <w:t>2.商务技术文件：</w:t>
      </w:r>
    </w:p>
    <w:p w14:paraId="1D1EA3D9">
      <w:pPr>
        <w:pStyle w:val="28"/>
        <w:snapToGrid w:val="0"/>
        <w:spacing w:line="370" w:lineRule="exact"/>
        <w:ind w:firstLine="422" w:firstLineChars="200"/>
        <w:jc w:val="left"/>
        <w:rPr>
          <w:rFonts w:hint="eastAsia"/>
          <w:b/>
          <w:sz w:val="21"/>
          <w:szCs w:val="21"/>
        </w:rPr>
      </w:pPr>
      <w:r>
        <w:rPr>
          <w:rFonts w:hint="eastAsia"/>
          <w:b/>
          <w:sz w:val="21"/>
          <w:szCs w:val="21"/>
        </w:rPr>
        <w:t>2.</w:t>
      </w:r>
      <w:r>
        <w:rPr>
          <w:rFonts w:hint="eastAsia"/>
          <w:b/>
          <w:sz w:val="21"/>
          <w:szCs w:val="21"/>
          <w:lang w:eastAsia="zh-CN"/>
        </w:rPr>
        <w:t>1</w:t>
      </w:r>
      <w:r>
        <w:rPr>
          <w:rFonts w:hint="eastAsia"/>
          <w:b/>
          <w:sz w:val="21"/>
          <w:szCs w:val="21"/>
        </w:rPr>
        <w:t>商务文件：</w:t>
      </w:r>
    </w:p>
    <w:p w14:paraId="0CF9413E">
      <w:pPr>
        <w:snapToGrid w:val="0"/>
        <w:spacing w:line="370" w:lineRule="exact"/>
        <w:ind w:firstLine="411" w:firstLineChars="196"/>
        <w:jc w:val="left"/>
        <w:rPr>
          <w:rFonts w:hint="eastAsia" w:ascii="宋体"/>
          <w:szCs w:val="21"/>
        </w:rPr>
      </w:pPr>
      <w:r>
        <w:rPr>
          <w:rFonts w:hint="eastAsia" w:ascii="宋体"/>
          <w:sz w:val="21"/>
          <w:szCs w:val="21"/>
        </w:rPr>
        <w:t>（1）</w:t>
      </w:r>
      <w:r>
        <w:rPr>
          <w:rFonts w:hint="eastAsia" w:ascii="宋体" w:hAnsi="宋体"/>
          <w:color w:val="000000"/>
          <w:sz w:val="21"/>
          <w:szCs w:val="21"/>
        </w:rPr>
        <w:t>投标保证金的</w:t>
      </w:r>
      <w:r>
        <w:rPr>
          <w:rFonts w:hint="eastAsia" w:ascii="宋体" w:hAnsi="宋体"/>
          <w:color w:val="000000"/>
          <w:szCs w:val="21"/>
        </w:rPr>
        <w:t>提交凭证</w:t>
      </w:r>
      <w:r>
        <w:rPr>
          <w:rFonts w:hint="eastAsia" w:ascii="宋体"/>
          <w:szCs w:val="21"/>
        </w:rPr>
        <w:t>；</w:t>
      </w:r>
      <w:r>
        <w:rPr>
          <w:rFonts w:hint="eastAsia" w:ascii="宋体"/>
          <w:b/>
          <w:color w:val="000000"/>
          <w:szCs w:val="21"/>
        </w:rPr>
        <w:t>（必须提供）</w:t>
      </w:r>
    </w:p>
    <w:p w14:paraId="4967C15B">
      <w:pPr>
        <w:snapToGrid w:val="0"/>
        <w:spacing w:line="370" w:lineRule="exact"/>
        <w:ind w:firstLine="411" w:firstLineChars="196"/>
        <w:jc w:val="left"/>
        <w:rPr>
          <w:rFonts w:hint="eastAsia" w:ascii="宋体"/>
          <w:szCs w:val="21"/>
        </w:rPr>
      </w:pPr>
      <w:r>
        <w:rPr>
          <w:rFonts w:hint="eastAsia" w:ascii="宋体"/>
          <w:szCs w:val="21"/>
        </w:rPr>
        <w:t>（2）投标声明书 (格式见第六章)；</w:t>
      </w:r>
      <w:r>
        <w:rPr>
          <w:rFonts w:hint="eastAsia" w:ascii="宋体"/>
          <w:b/>
          <w:color w:val="000000"/>
          <w:szCs w:val="21"/>
        </w:rPr>
        <w:t>（必须提供）</w:t>
      </w:r>
    </w:p>
    <w:p w14:paraId="27CEE6D4">
      <w:pPr>
        <w:snapToGrid w:val="0"/>
        <w:spacing w:line="370" w:lineRule="exact"/>
        <w:ind w:firstLine="411" w:firstLineChars="196"/>
        <w:jc w:val="left"/>
        <w:rPr>
          <w:rFonts w:hint="eastAsia" w:ascii="宋体" w:eastAsia="宋体"/>
          <w:szCs w:val="21"/>
          <w:lang w:eastAsia="zh-CN"/>
        </w:rPr>
      </w:pPr>
      <w:r>
        <w:rPr>
          <w:rFonts w:hint="eastAsia" w:ascii="宋体"/>
          <w:szCs w:val="21"/>
        </w:rPr>
        <w:t>（3）法定代表人(负责人)授权委托书和委托代理人身份证正、反面复印件（格式见第六章)</w:t>
      </w:r>
      <w:r>
        <w:rPr>
          <w:rFonts w:hint="eastAsia" w:ascii="宋体"/>
          <w:b/>
          <w:szCs w:val="21"/>
        </w:rPr>
        <w:t>（委托时必须提供）</w:t>
      </w:r>
      <w:r>
        <w:rPr>
          <w:rFonts w:hint="eastAsia" w:ascii="宋体"/>
          <w:b w:val="0"/>
          <w:bCs/>
          <w:szCs w:val="21"/>
          <w:lang w:eastAsia="zh-CN"/>
        </w:rPr>
        <w:t>；</w:t>
      </w:r>
    </w:p>
    <w:p w14:paraId="31FFE58C">
      <w:pPr>
        <w:snapToGrid w:val="0"/>
        <w:spacing w:line="370" w:lineRule="exact"/>
        <w:ind w:firstLine="411" w:firstLineChars="196"/>
        <w:jc w:val="left"/>
        <w:rPr>
          <w:rFonts w:hint="eastAsia" w:ascii="宋体"/>
          <w:szCs w:val="21"/>
        </w:rPr>
      </w:pPr>
      <w:r>
        <w:rPr>
          <w:rFonts w:hint="eastAsia" w:ascii="宋体"/>
          <w:szCs w:val="21"/>
        </w:rPr>
        <w:t>（4）法定代表人(负责人)身份证明书（格式见附件)、法定代表人（负责人）有效身份证正反面复印件</w:t>
      </w:r>
      <w:r>
        <w:rPr>
          <w:rFonts w:hint="eastAsia" w:ascii="宋体"/>
          <w:b/>
          <w:szCs w:val="21"/>
        </w:rPr>
        <w:t>（必须提供）</w:t>
      </w:r>
      <w:r>
        <w:rPr>
          <w:rFonts w:hint="eastAsia" w:ascii="宋体"/>
          <w:szCs w:val="21"/>
        </w:rPr>
        <w:t xml:space="preserve">； </w:t>
      </w:r>
    </w:p>
    <w:p w14:paraId="155AF092">
      <w:pPr>
        <w:snapToGrid w:val="0"/>
        <w:spacing w:line="370" w:lineRule="exact"/>
        <w:ind w:firstLine="411" w:firstLineChars="196"/>
        <w:jc w:val="left"/>
        <w:rPr>
          <w:rFonts w:hint="eastAsia" w:ascii="宋体"/>
          <w:b/>
          <w:color w:val="000000"/>
          <w:szCs w:val="21"/>
        </w:rPr>
      </w:pPr>
      <w:r>
        <w:rPr>
          <w:rFonts w:hint="eastAsia" w:ascii="宋体"/>
          <w:szCs w:val="21"/>
        </w:rPr>
        <w:t>（5）商务响应表（格式见第六章）；</w:t>
      </w:r>
      <w:r>
        <w:rPr>
          <w:rFonts w:hint="eastAsia" w:ascii="宋体"/>
          <w:b/>
          <w:color w:val="000000"/>
          <w:szCs w:val="21"/>
        </w:rPr>
        <w:t>（必须提供）</w:t>
      </w:r>
    </w:p>
    <w:p w14:paraId="412675B5">
      <w:pPr>
        <w:snapToGrid w:val="0"/>
        <w:spacing w:line="370" w:lineRule="exact"/>
        <w:ind w:firstLine="411" w:firstLineChars="196"/>
        <w:jc w:val="left"/>
        <w:rPr>
          <w:rFonts w:hint="eastAsia" w:ascii="宋体"/>
          <w:b/>
          <w:szCs w:val="21"/>
        </w:rPr>
      </w:pPr>
      <w:r>
        <w:rPr>
          <w:rFonts w:hint="eastAsia" w:ascii="宋体"/>
          <w:szCs w:val="21"/>
        </w:rPr>
        <w:t>（6）招标项目采购需求中要求必须提供的材料等；</w:t>
      </w:r>
      <w:r>
        <w:rPr>
          <w:rFonts w:hint="eastAsia"/>
        </w:rPr>
        <w:t>（招标项目采购需求中要求必须提供的材料，据实提供）</w:t>
      </w:r>
    </w:p>
    <w:p w14:paraId="6C22A6BF">
      <w:pPr>
        <w:snapToGrid w:val="0"/>
        <w:spacing w:line="370" w:lineRule="exact"/>
        <w:ind w:firstLine="411" w:firstLineChars="196"/>
        <w:jc w:val="left"/>
        <w:rPr>
          <w:rFonts w:hint="eastAsia" w:ascii="宋体"/>
          <w:b/>
          <w:szCs w:val="21"/>
        </w:rPr>
      </w:pPr>
      <w:r>
        <w:rPr>
          <w:rFonts w:hint="eastAsia" w:ascii="宋体"/>
          <w:szCs w:val="21"/>
        </w:rPr>
        <w:t>（7）具备法律、行政法规规定的其他条件的证明材料。</w:t>
      </w:r>
      <w:r>
        <w:rPr>
          <w:rFonts w:hint="eastAsia" w:ascii="宋体"/>
          <w:b/>
          <w:szCs w:val="21"/>
        </w:rPr>
        <w:t xml:space="preserve"> (如有规定,则必须提供)</w:t>
      </w:r>
    </w:p>
    <w:p w14:paraId="246E10B4">
      <w:pPr>
        <w:snapToGrid w:val="0"/>
        <w:spacing w:line="370" w:lineRule="exact"/>
        <w:ind w:firstLine="413" w:firstLineChars="196"/>
        <w:jc w:val="left"/>
        <w:rPr>
          <w:rFonts w:hint="eastAsia" w:ascii="宋体"/>
          <w:b/>
          <w:bCs/>
          <w:szCs w:val="21"/>
        </w:rPr>
      </w:pPr>
      <w:r>
        <w:rPr>
          <w:rFonts w:hint="eastAsia" w:ascii="宋体"/>
          <w:b/>
          <w:bCs/>
          <w:szCs w:val="21"/>
        </w:rPr>
        <w:t xml:space="preserve">可作为投标人资信评分的资质证明材料（可选）  </w:t>
      </w:r>
    </w:p>
    <w:p w14:paraId="16EE7865">
      <w:pPr>
        <w:snapToGrid w:val="0"/>
        <w:spacing w:line="370" w:lineRule="exact"/>
        <w:ind w:firstLine="411" w:firstLineChars="196"/>
        <w:jc w:val="left"/>
        <w:rPr>
          <w:rFonts w:hint="eastAsia" w:ascii="宋体"/>
          <w:szCs w:val="21"/>
        </w:rPr>
      </w:pPr>
      <w:r>
        <w:rPr>
          <w:rFonts w:hint="eastAsia" w:ascii="宋体"/>
          <w:szCs w:val="21"/>
        </w:rPr>
        <w:t>（8）类似</w:t>
      </w:r>
      <w:r>
        <w:rPr>
          <w:rFonts w:hint="eastAsia" w:ascii="宋体"/>
          <w:szCs w:val="21"/>
          <w:lang w:val="en-US" w:eastAsia="zh-CN"/>
        </w:rPr>
        <w:t>信息系统建设项目</w:t>
      </w:r>
      <w:r>
        <w:rPr>
          <w:rFonts w:hint="eastAsia" w:ascii="宋体"/>
          <w:szCs w:val="21"/>
        </w:rPr>
        <w:t>成功案例的业绩（投标人同类项目实施情况一览表、</w:t>
      </w:r>
      <w:r>
        <w:rPr>
          <w:rFonts w:hint="eastAsia" w:ascii="宋体" w:hAnsi="宋体" w:cs="仿宋"/>
          <w:bCs/>
          <w:color w:val="auto"/>
          <w:sz w:val="21"/>
          <w:szCs w:val="21"/>
        </w:rPr>
        <w:t>中标</w:t>
      </w:r>
      <w:r>
        <w:rPr>
          <w:rFonts w:hint="eastAsia" w:ascii="宋体" w:hAnsi="宋体" w:cs="仿宋"/>
          <w:bCs/>
          <w:color w:val="auto"/>
          <w:sz w:val="21"/>
          <w:szCs w:val="21"/>
          <w:lang w:eastAsia="zh-CN"/>
        </w:rPr>
        <w:t>（</w:t>
      </w:r>
      <w:r>
        <w:rPr>
          <w:rFonts w:hint="eastAsia" w:ascii="宋体" w:hAnsi="宋体" w:cs="仿宋"/>
          <w:bCs/>
          <w:color w:val="auto"/>
          <w:sz w:val="21"/>
          <w:szCs w:val="21"/>
        </w:rPr>
        <w:t>成交</w:t>
      </w:r>
      <w:r>
        <w:rPr>
          <w:rFonts w:hint="eastAsia" w:ascii="宋体" w:hAnsi="宋体" w:cs="仿宋"/>
          <w:bCs/>
          <w:color w:val="auto"/>
          <w:sz w:val="21"/>
          <w:szCs w:val="21"/>
          <w:lang w:eastAsia="zh-CN"/>
        </w:rPr>
        <w:t>）</w:t>
      </w:r>
      <w:r>
        <w:rPr>
          <w:rFonts w:hint="eastAsia" w:ascii="宋体" w:hAnsi="宋体" w:cs="仿宋"/>
          <w:bCs/>
          <w:color w:val="auto"/>
          <w:sz w:val="21"/>
          <w:szCs w:val="21"/>
        </w:rPr>
        <w:t>通知书或合同</w:t>
      </w:r>
      <w:r>
        <w:rPr>
          <w:rFonts w:hint="eastAsia" w:ascii="宋体" w:hAnsi="宋体" w:cs="仿宋"/>
          <w:bCs/>
          <w:color w:val="auto"/>
          <w:sz w:val="21"/>
          <w:szCs w:val="21"/>
          <w:lang w:val="en-US" w:eastAsia="zh-CN"/>
        </w:rPr>
        <w:t>证明</w:t>
      </w:r>
      <w:r>
        <w:rPr>
          <w:rFonts w:hint="eastAsia" w:ascii="宋体"/>
          <w:szCs w:val="21"/>
        </w:rPr>
        <w:t>扫描件等，格式可自行调整）；</w:t>
      </w:r>
    </w:p>
    <w:p w14:paraId="03FFE627">
      <w:pPr>
        <w:snapToGrid w:val="0"/>
        <w:spacing w:line="370" w:lineRule="exact"/>
        <w:ind w:firstLine="411" w:firstLineChars="196"/>
        <w:jc w:val="left"/>
        <w:rPr>
          <w:rFonts w:hint="eastAsia" w:ascii="宋体"/>
          <w:szCs w:val="21"/>
        </w:rPr>
      </w:pPr>
      <w:r>
        <w:rPr>
          <w:rFonts w:hint="eastAsia" w:ascii="宋体"/>
          <w:szCs w:val="21"/>
        </w:rPr>
        <w:t>（9）其他特殊资质证书；</w:t>
      </w:r>
    </w:p>
    <w:p w14:paraId="1236A38B">
      <w:pPr>
        <w:snapToGrid w:val="0"/>
        <w:spacing w:line="370" w:lineRule="exact"/>
        <w:ind w:firstLine="411" w:firstLineChars="196"/>
        <w:jc w:val="left"/>
        <w:rPr>
          <w:rFonts w:hint="eastAsia" w:ascii="宋体" w:hAnsi="宋体"/>
          <w:szCs w:val="21"/>
        </w:rPr>
      </w:pPr>
      <w:r>
        <w:rPr>
          <w:rFonts w:hint="eastAsia" w:ascii="宋体"/>
          <w:szCs w:val="21"/>
        </w:rPr>
        <w:t>（10）投标</w:t>
      </w:r>
      <w:r>
        <w:rPr>
          <w:rFonts w:hint="eastAsia" w:ascii="宋体" w:hAnsi="宋体"/>
          <w:szCs w:val="21"/>
        </w:rPr>
        <w:t>人质量管理和质量保证体系等方面的认证证书；</w:t>
      </w:r>
    </w:p>
    <w:p w14:paraId="316BF048">
      <w:pPr>
        <w:snapToGrid w:val="0"/>
        <w:spacing w:line="370" w:lineRule="exact"/>
        <w:ind w:firstLine="411" w:firstLineChars="196"/>
        <w:jc w:val="left"/>
        <w:rPr>
          <w:rFonts w:hint="eastAsia" w:ascii="宋体" w:hAnsi="宋体"/>
          <w:szCs w:val="21"/>
        </w:rPr>
      </w:pPr>
      <w:r>
        <w:rPr>
          <w:rFonts w:hint="eastAsia" w:ascii="宋体" w:hAnsi="宋体"/>
          <w:szCs w:val="21"/>
        </w:rPr>
        <w:t>（11）投标人认为可以证明其能力或业绩的其他材料；</w:t>
      </w:r>
    </w:p>
    <w:p w14:paraId="773D9CEC">
      <w:pPr>
        <w:snapToGrid w:val="0"/>
        <w:spacing w:line="370" w:lineRule="exact"/>
        <w:ind w:firstLine="411" w:firstLineChars="196"/>
        <w:jc w:val="left"/>
        <w:rPr>
          <w:rFonts w:hint="eastAsia" w:ascii="宋体" w:hAnsi="宋体"/>
          <w:szCs w:val="21"/>
        </w:rPr>
      </w:pPr>
      <w:r>
        <w:rPr>
          <w:rFonts w:hint="eastAsia" w:ascii="宋体" w:hAnsi="宋体"/>
          <w:szCs w:val="21"/>
        </w:rPr>
        <w:t>（12）投标人关于服务升级以及本单位债务纠纷、违法违规记录等方面的情况（内容见投标声明书）；</w:t>
      </w:r>
    </w:p>
    <w:p w14:paraId="18612415">
      <w:pPr>
        <w:snapToGrid w:val="0"/>
        <w:spacing w:line="370" w:lineRule="exact"/>
        <w:ind w:firstLine="411" w:firstLineChars="196"/>
        <w:jc w:val="left"/>
        <w:rPr>
          <w:rFonts w:hint="eastAsia" w:ascii="宋体" w:hAnsi="宋体"/>
          <w:szCs w:val="21"/>
        </w:rPr>
      </w:pPr>
      <w:r>
        <w:rPr>
          <w:rFonts w:hint="eastAsia" w:ascii="宋体" w:hAnsi="宋体"/>
          <w:szCs w:val="21"/>
        </w:rPr>
        <w:t>（13）投标人情况介绍。</w:t>
      </w:r>
    </w:p>
    <w:p w14:paraId="47E37CB5">
      <w:pPr>
        <w:snapToGrid w:val="0"/>
        <w:spacing w:line="370" w:lineRule="exact"/>
        <w:ind w:firstLine="411" w:firstLineChars="196"/>
        <w:jc w:val="left"/>
        <w:rPr>
          <w:rFonts w:hint="eastAsia" w:ascii="宋体" w:hAnsi="宋体"/>
          <w:b/>
          <w:color w:val="auto"/>
          <w:szCs w:val="21"/>
        </w:rPr>
      </w:pPr>
      <w:r>
        <w:rPr>
          <w:rFonts w:hint="eastAsia" w:ascii="宋体" w:hAnsi="宋体"/>
          <w:szCs w:val="21"/>
        </w:rPr>
        <w:t>（</w:t>
      </w:r>
      <w:r>
        <w:rPr>
          <w:rFonts w:hint="eastAsia" w:ascii="宋体" w:hAnsi="宋体"/>
          <w:szCs w:val="21"/>
          <w:lang w:val="en-US" w:eastAsia="zh-CN"/>
        </w:rPr>
        <w:t>14</w:t>
      </w:r>
      <w:r>
        <w:rPr>
          <w:rFonts w:hint="eastAsia" w:ascii="宋体" w:hAnsi="宋体"/>
          <w:szCs w:val="21"/>
        </w:rPr>
        <w:t>）中小企业声明函。</w:t>
      </w:r>
      <w:r>
        <w:rPr>
          <w:rFonts w:hint="eastAsia" w:ascii="宋体" w:hAnsi="宋体"/>
          <w:b/>
          <w:szCs w:val="21"/>
        </w:rPr>
        <w:t>（按最新相关政策执行，格式见第六章，</w:t>
      </w:r>
      <w:r>
        <w:rPr>
          <w:rFonts w:hint="eastAsia" w:ascii="宋体" w:hAnsi="宋体"/>
          <w:b/>
          <w:color w:val="auto"/>
          <w:szCs w:val="21"/>
        </w:rPr>
        <w:t>如有请提供）</w:t>
      </w:r>
    </w:p>
    <w:p w14:paraId="3E160CA1">
      <w:pPr>
        <w:snapToGrid w:val="0"/>
        <w:spacing w:line="370" w:lineRule="exact"/>
        <w:ind w:firstLine="411" w:firstLineChars="196"/>
        <w:jc w:val="left"/>
        <w:rPr>
          <w:rFonts w:hint="eastAsia" w:ascii="宋体" w:hAnsi="宋体"/>
          <w:color w:val="auto"/>
          <w:szCs w:val="21"/>
          <w:lang w:eastAsia="zh-CN"/>
        </w:rPr>
      </w:pP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15</w:t>
      </w:r>
      <w:r>
        <w:rPr>
          <w:rFonts w:hint="eastAsia" w:ascii="宋体" w:hAnsi="宋体" w:eastAsia="宋体" w:cs="Times New Roman"/>
          <w:color w:val="auto"/>
          <w:szCs w:val="21"/>
          <w:lang w:eastAsia="zh-CN"/>
        </w:rPr>
        <w:t>）</w:t>
      </w:r>
      <w:r>
        <w:rPr>
          <w:rFonts w:hint="eastAsia" w:ascii="宋体" w:hAnsi="宋体" w:eastAsia="宋体" w:cs="宋体"/>
          <w:color w:val="auto"/>
          <w:szCs w:val="21"/>
          <w:lang w:val="en-US" w:eastAsia="zh-CN"/>
        </w:rPr>
        <w:t>本国产品适用政府采购</w:t>
      </w:r>
      <w:r>
        <w:rPr>
          <w:rFonts w:hint="eastAsia"/>
          <w:color w:val="auto"/>
          <w:lang w:val="en-US" w:eastAsia="zh-CN"/>
        </w:rPr>
        <w:t>政策相关资料。</w:t>
      </w:r>
      <w:r>
        <w:rPr>
          <w:rFonts w:hint="eastAsia" w:ascii="宋体" w:hAnsi="宋体"/>
          <w:b w:val="0"/>
          <w:bCs w:val="0"/>
          <w:color w:val="auto"/>
          <w:szCs w:val="21"/>
          <w:lang w:eastAsia="zh-CN"/>
        </w:rPr>
        <w:t>（供应商根据自身响应情况出具）</w:t>
      </w:r>
      <w:r>
        <w:rPr>
          <w:rFonts w:hint="eastAsia" w:ascii="宋体" w:hAnsi="宋体"/>
          <w:b/>
          <w:bCs/>
          <w:color w:val="auto"/>
          <w:szCs w:val="21"/>
          <w:lang w:eastAsia="zh-CN"/>
        </w:rPr>
        <w:t>（</w:t>
      </w:r>
      <w:r>
        <w:rPr>
          <w:rFonts w:hint="eastAsia" w:ascii="宋体" w:hAnsi="宋体"/>
          <w:b/>
          <w:bCs/>
          <w:color w:val="auto"/>
          <w:szCs w:val="21"/>
          <w:lang w:val="en-US" w:eastAsia="zh-CN"/>
        </w:rPr>
        <w:t>本项目不适用</w:t>
      </w:r>
      <w:r>
        <w:rPr>
          <w:rFonts w:hint="eastAsia" w:ascii="宋体" w:hAnsi="宋体"/>
          <w:b/>
          <w:bCs/>
          <w:color w:val="auto"/>
          <w:szCs w:val="21"/>
          <w:lang w:eastAsia="zh-CN"/>
        </w:rPr>
        <w:t>）</w:t>
      </w:r>
    </w:p>
    <w:p w14:paraId="68AF4A28">
      <w:pPr>
        <w:snapToGrid w:val="0"/>
        <w:spacing w:line="370" w:lineRule="exact"/>
        <w:ind w:firstLine="413" w:firstLineChars="196"/>
        <w:jc w:val="left"/>
        <w:rPr>
          <w:rFonts w:hint="eastAsia" w:ascii="宋体" w:hAnsi="宋体"/>
          <w:b/>
          <w:bCs/>
          <w:szCs w:val="21"/>
        </w:rPr>
      </w:pPr>
    </w:p>
    <w:p w14:paraId="00441F53">
      <w:pPr>
        <w:snapToGrid w:val="0"/>
        <w:spacing w:line="370" w:lineRule="exact"/>
        <w:ind w:firstLine="413" w:firstLineChars="196"/>
        <w:jc w:val="left"/>
        <w:rPr>
          <w:rFonts w:hint="eastAsia" w:ascii="宋体" w:hAnsi="宋体"/>
          <w:b/>
          <w:bCs/>
          <w:szCs w:val="21"/>
        </w:rPr>
      </w:pPr>
      <w:r>
        <w:rPr>
          <w:rFonts w:hint="eastAsia" w:ascii="宋体" w:hAnsi="宋体"/>
          <w:b/>
          <w:bCs/>
          <w:szCs w:val="21"/>
        </w:rPr>
        <w:t>2.2技术文件：</w:t>
      </w:r>
    </w:p>
    <w:p w14:paraId="284AD0DA">
      <w:pPr>
        <w:snapToGrid w:val="0"/>
        <w:spacing w:line="370" w:lineRule="exact"/>
        <w:ind w:firstLine="411" w:firstLineChars="196"/>
        <w:jc w:val="left"/>
        <w:rPr>
          <w:rFonts w:hint="eastAsia" w:ascii="宋体" w:hAnsi="宋体"/>
          <w:szCs w:val="21"/>
        </w:rPr>
      </w:pPr>
      <w:r>
        <w:rPr>
          <w:rFonts w:hint="eastAsia" w:ascii="宋体" w:hAnsi="宋体"/>
          <w:szCs w:val="21"/>
        </w:rPr>
        <w:t>（1）服务响应表；</w:t>
      </w:r>
      <w:r>
        <w:rPr>
          <w:rFonts w:hint="eastAsia" w:ascii="宋体" w:hAnsi="宋体"/>
          <w:b/>
          <w:szCs w:val="21"/>
        </w:rPr>
        <w:t>（必须提</w:t>
      </w:r>
      <w:r>
        <w:rPr>
          <w:rFonts w:hint="eastAsia" w:ascii="宋体" w:hAnsi="宋体"/>
          <w:b/>
          <w:color w:val="000000"/>
          <w:szCs w:val="21"/>
        </w:rPr>
        <w:t>供）</w:t>
      </w:r>
    </w:p>
    <w:p w14:paraId="50367A32">
      <w:pPr>
        <w:snapToGrid w:val="0"/>
        <w:spacing w:line="370" w:lineRule="exact"/>
        <w:ind w:firstLine="420" w:firstLineChars="200"/>
        <w:jc w:val="left"/>
        <w:rPr>
          <w:rFonts w:hint="eastAsia" w:ascii="宋体" w:hAnsi="宋体"/>
          <w:szCs w:val="21"/>
        </w:rPr>
      </w:pPr>
      <w:r>
        <w:rPr>
          <w:rFonts w:hint="eastAsia" w:ascii="宋体" w:hAnsi="宋体"/>
          <w:szCs w:val="21"/>
        </w:rPr>
        <w:t>（2）</w:t>
      </w:r>
      <w:r>
        <w:rPr>
          <w:rFonts w:hint="eastAsia" w:ascii="宋体" w:hAnsi="宋体"/>
        </w:rPr>
        <w:t>服务方案</w:t>
      </w:r>
      <w:r>
        <w:rPr>
          <w:rFonts w:hint="eastAsia" w:ascii="宋体" w:hAnsi="宋体"/>
          <w:lang w:eastAsia="zh-CN"/>
        </w:rPr>
        <w:t>（</w:t>
      </w:r>
      <w:r>
        <w:rPr>
          <w:rFonts w:hint="eastAsia" w:ascii="宋体" w:hAnsi="宋体"/>
        </w:rPr>
        <w:t>如：项目</w:t>
      </w:r>
      <w:r>
        <w:rPr>
          <w:rFonts w:hint="eastAsia" w:ascii="宋体" w:hAnsi="宋体"/>
          <w:lang w:val="en-US" w:eastAsia="zh-CN"/>
        </w:rPr>
        <w:t>理解分析</w:t>
      </w:r>
      <w:r>
        <w:rPr>
          <w:rFonts w:hint="eastAsia" w:ascii="宋体" w:hAnsi="宋体"/>
        </w:rPr>
        <w:t>、</w:t>
      </w:r>
      <w:r>
        <w:rPr>
          <w:rFonts w:hint="eastAsia" w:ascii="宋体" w:hAnsi="宋体"/>
          <w:lang w:val="en-US" w:eastAsia="zh-CN"/>
        </w:rPr>
        <w:t>技术设计方案</w:t>
      </w:r>
      <w:r>
        <w:rPr>
          <w:rFonts w:hint="eastAsia" w:ascii="宋体" w:hAnsi="宋体"/>
        </w:rPr>
        <w:t>、</w:t>
      </w:r>
      <w:r>
        <w:rPr>
          <w:rFonts w:hint="eastAsia" w:ascii="宋体" w:hAnsi="宋体"/>
          <w:lang w:val="en-US" w:eastAsia="zh-CN"/>
        </w:rPr>
        <w:t>项目实施方案</w:t>
      </w:r>
      <w:r>
        <w:rPr>
          <w:rFonts w:hint="eastAsia" w:ascii="宋体" w:hAnsi="宋体"/>
        </w:rPr>
        <w:t>、运维及售后服务方案</w:t>
      </w:r>
      <w:r>
        <w:rPr>
          <w:rFonts w:hint="eastAsia" w:ascii="宋体" w:hAnsi="宋体"/>
          <w:lang w:eastAsia="zh-CN"/>
        </w:rPr>
        <w:t>、</w:t>
      </w:r>
      <w:r>
        <w:rPr>
          <w:rFonts w:hint="eastAsia" w:ascii="宋体" w:hAnsi="宋体"/>
          <w:lang w:val="en-US" w:eastAsia="zh-CN"/>
        </w:rPr>
        <w:t>培训方案</w:t>
      </w:r>
      <w:r>
        <w:rPr>
          <w:rFonts w:hint="eastAsia" w:ascii="宋体" w:hAnsi="宋体"/>
        </w:rPr>
        <w:t>等</w:t>
      </w:r>
      <w:r>
        <w:rPr>
          <w:rFonts w:hint="eastAsia" w:ascii="宋体" w:hAnsi="宋体"/>
          <w:lang w:eastAsia="zh-CN"/>
        </w:rPr>
        <w:t>）</w:t>
      </w:r>
      <w:r>
        <w:rPr>
          <w:rFonts w:hint="eastAsia" w:ascii="宋体" w:hAnsi="宋体"/>
          <w:szCs w:val="21"/>
        </w:rPr>
        <w:t>；</w:t>
      </w:r>
      <w:r>
        <w:rPr>
          <w:rFonts w:hint="eastAsia" w:ascii="宋体" w:hAnsi="宋体"/>
          <w:b/>
          <w:szCs w:val="21"/>
        </w:rPr>
        <w:t>（格式自拟，</w:t>
      </w:r>
      <w:r>
        <w:rPr>
          <w:rFonts w:hint="eastAsia" w:ascii="宋体"/>
          <w:b/>
          <w:color w:val="000000"/>
          <w:szCs w:val="21"/>
        </w:rPr>
        <w:t>必须提供</w:t>
      </w:r>
      <w:r>
        <w:rPr>
          <w:rFonts w:hint="eastAsia" w:ascii="宋体" w:hAnsi="宋体"/>
          <w:b/>
          <w:szCs w:val="21"/>
        </w:rPr>
        <w:t>）</w:t>
      </w:r>
    </w:p>
    <w:p w14:paraId="22126311">
      <w:pPr>
        <w:snapToGrid w:val="0"/>
        <w:spacing w:line="370" w:lineRule="exact"/>
        <w:ind w:firstLine="420" w:firstLineChars="200"/>
        <w:jc w:val="left"/>
        <w:rPr>
          <w:rFonts w:hint="eastAsia" w:ascii="宋体" w:hAnsi="宋体"/>
          <w:szCs w:val="21"/>
        </w:rPr>
      </w:pPr>
      <w:r>
        <w:rPr>
          <w:rFonts w:hint="eastAsia" w:ascii="宋体" w:hAnsi="宋体"/>
          <w:szCs w:val="21"/>
        </w:rPr>
        <w:t>（3）投标人拥有主要服务设施的情况和现状（格式自拟）及项目实施人员一览表；</w:t>
      </w:r>
    </w:p>
    <w:p w14:paraId="45192760">
      <w:pPr>
        <w:snapToGrid w:val="0"/>
        <w:spacing w:line="370" w:lineRule="exact"/>
        <w:ind w:firstLine="420" w:firstLineChars="200"/>
        <w:jc w:val="left"/>
        <w:rPr>
          <w:rFonts w:hint="eastAsia" w:ascii="宋体" w:hAnsi="宋体"/>
          <w:szCs w:val="21"/>
        </w:rPr>
      </w:pPr>
      <w:r>
        <w:rPr>
          <w:rFonts w:hint="eastAsia" w:ascii="宋体" w:hAnsi="宋体"/>
          <w:szCs w:val="21"/>
        </w:rPr>
        <w:t>（4）优惠条件：投标人承诺给予招标人的各种优惠条件；</w:t>
      </w:r>
    </w:p>
    <w:p w14:paraId="02069A76">
      <w:pPr>
        <w:snapToGrid w:val="0"/>
        <w:spacing w:line="370" w:lineRule="exact"/>
        <w:ind w:firstLine="420" w:firstLineChars="200"/>
        <w:jc w:val="left"/>
        <w:rPr>
          <w:rFonts w:hint="eastAsia" w:ascii="宋体" w:hAnsi="宋体"/>
          <w:szCs w:val="21"/>
        </w:rPr>
      </w:pPr>
      <w:r>
        <w:rPr>
          <w:rFonts w:hint="eastAsia" w:ascii="宋体" w:hAnsi="宋体"/>
          <w:szCs w:val="21"/>
        </w:rPr>
        <w:t>（5）投标人对本项目的合理化建议和改进措施；</w:t>
      </w:r>
    </w:p>
    <w:p w14:paraId="1B63A896">
      <w:pPr>
        <w:snapToGrid w:val="0"/>
        <w:spacing w:line="370" w:lineRule="exact"/>
        <w:ind w:firstLine="420" w:firstLineChars="200"/>
        <w:jc w:val="left"/>
        <w:rPr>
          <w:rFonts w:hint="eastAsia" w:ascii="宋体" w:hAnsi="宋体"/>
          <w:szCs w:val="21"/>
        </w:rPr>
      </w:pPr>
      <w:r>
        <w:rPr>
          <w:rFonts w:hint="eastAsia" w:ascii="宋体" w:hAnsi="宋体"/>
          <w:szCs w:val="21"/>
        </w:rPr>
        <w:t>（6）投标人认为需要提供的其他材料；</w:t>
      </w:r>
    </w:p>
    <w:p w14:paraId="3A81DA03">
      <w:pPr>
        <w:snapToGrid w:val="0"/>
        <w:spacing w:line="370" w:lineRule="exact"/>
        <w:ind w:firstLine="420" w:firstLineChars="200"/>
        <w:jc w:val="left"/>
        <w:rPr>
          <w:rFonts w:hint="eastAsia" w:ascii="宋体" w:hAnsi="宋体"/>
        </w:rPr>
      </w:pPr>
      <w:r>
        <w:rPr>
          <w:rFonts w:hint="eastAsia" w:ascii="宋体" w:hAnsi="宋体"/>
          <w:szCs w:val="21"/>
        </w:rPr>
        <w:t>（7）招标项目采购需求中要求必须提供的材料。</w:t>
      </w:r>
      <w:r>
        <w:rPr>
          <w:rFonts w:hint="eastAsia" w:ascii="宋体" w:hAnsi="宋体"/>
        </w:rPr>
        <w:t>（招标项目采购需求中要求必须提供的材料，据实提供）</w:t>
      </w:r>
    </w:p>
    <w:p w14:paraId="56C37575">
      <w:pPr>
        <w:snapToGrid w:val="0"/>
        <w:spacing w:line="370" w:lineRule="exact"/>
        <w:ind w:firstLine="422" w:firstLineChars="200"/>
        <w:jc w:val="left"/>
        <w:rPr>
          <w:rFonts w:hint="eastAsia" w:ascii="宋体" w:hAnsi="宋体"/>
          <w:b/>
          <w:szCs w:val="21"/>
        </w:rPr>
      </w:pPr>
    </w:p>
    <w:p w14:paraId="7E2E9349">
      <w:pPr>
        <w:snapToGrid w:val="0"/>
        <w:spacing w:line="370" w:lineRule="exact"/>
        <w:ind w:firstLine="422" w:firstLineChars="200"/>
        <w:jc w:val="left"/>
        <w:rPr>
          <w:rFonts w:hint="eastAsia" w:ascii="宋体" w:hAnsi="宋体"/>
          <w:b/>
          <w:szCs w:val="21"/>
        </w:rPr>
      </w:pPr>
      <w:r>
        <w:rPr>
          <w:rFonts w:hint="eastAsia" w:ascii="宋体" w:hAnsi="宋体"/>
          <w:b/>
          <w:szCs w:val="21"/>
        </w:rPr>
        <w:t>3.报价文件：</w:t>
      </w:r>
    </w:p>
    <w:p w14:paraId="17CC6E05">
      <w:pPr>
        <w:snapToGrid w:val="0"/>
        <w:spacing w:line="370" w:lineRule="exact"/>
        <w:ind w:firstLine="420" w:firstLineChars="200"/>
        <w:jc w:val="left"/>
        <w:rPr>
          <w:rFonts w:hint="eastAsia" w:ascii="宋体" w:hAnsi="宋体"/>
          <w:szCs w:val="21"/>
        </w:rPr>
      </w:pPr>
      <w:r>
        <w:rPr>
          <w:rFonts w:hint="eastAsia" w:ascii="宋体" w:hAnsi="宋体"/>
          <w:szCs w:val="21"/>
        </w:rPr>
        <w:t>（1）投标函（格式见第六章）；</w:t>
      </w:r>
      <w:r>
        <w:rPr>
          <w:rFonts w:hint="eastAsia" w:ascii="宋体" w:hAnsi="宋体"/>
          <w:b/>
          <w:color w:val="000000"/>
          <w:szCs w:val="21"/>
        </w:rPr>
        <w:t>（必须提供）</w:t>
      </w:r>
    </w:p>
    <w:p w14:paraId="123ED1E3">
      <w:pPr>
        <w:snapToGrid w:val="0"/>
        <w:spacing w:line="370" w:lineRule="exact"/>
        <w:ind w:firstLine="420" w:firstLineChars="200"/>
        <w:jc w:val="left"/>
        <w:rPr>
          <w:rFonts w:hint="eastAsia" w:ascii="宋体" w:hAnsi="宋体"/>
          <w:szCs w:val="21"/>
        </w:rPr>
      </w:pPr>
      <w:r>
        <w:rPr>
          <w:rFonts w:hint="eastAsia" w:ascii="宋体" w:hAnsi="宋体"/>
          <w:szCs w:val="21"/>
        </w:rPr>
        <w:t>（2）投标报价明细表（格式见第六章）；</w:t>
      </w:r>
      <w:r>
        <w:rPr>
          <w:rFonts w:hint="eastAsia" w:ascii="宋体" w:hAnsi="宋体"/>
          <w:b/>
          <w:color w:val="000000"/>
          <w:szCs w:val="21"/>
        </w:rPr>
        <w:t>（必须提供）</w:t>
      </w:r>
    </w:p>
    <w:p w14:paraId="3091CE72">
      <w:pPr>
        <w:snapToGrid w:val="0"/>
        <w:spacing w:line="370" w:lineRule="exact"/>
        <w:ind w:firstLine="420" w:firstLineChars="200"/>
        <w:jc w:val="left"/>
        <w:rPr>
          <w:rFonts w:hint="eastAsia" w:ascii="宋体" w:hAnsi="宋体"/>
          <w:szCs w:val="21"/>
        </w:rPr>
      </w:pPr>
      <w:r>
        <w:rPr>
          <w:rFonts w:hint="eastAsia" w:ascii="宋体" w:hAnsi="宋体"/>
          <w:szCs w:val="21"/>
        </w:rPr>
        <w:t>（3）投标人针对报价需要说明的其他文件和说明；（格式自拟）</w:t>
      </w:r>
    </w:p>
    <w:p w14:paraId="1E593013">
      <w:pPr>
        <w:snapToGrid w:val="0"/>
        <w:spacing w:line="370" w:lineRule="exact"/>
        <w:ind w:firstLine="420" w:firstLineChars="200"/>
        <w:jc w:val="left"/>
        <w:rPr>
          <w:rFonts w:hint="eastAsia" w:ascii="宋体" w:hAnsi="宋体"/>
          <w:color w:val="auto"/>
          <w:szCs w:val="21"/>
        </w:rPr>
      </w:pPr>
      <w:r>
        <w:rPr>
          <w:rFonts w:hint="eastAsia" w:ascii="宋体" w:hAnsi="宋体"/>
          <w:color w:val="auto"/>
          <w:szCs w:val="21"/>
        </w:rPr>
        <w:t>（4）开标一览表（格式见第六章）。</w:t>
      </w:r>
      <w:r>
        <w:rPr>
          <w:rFonts w:hint="eastAsia" w:ascii="宋体" w:hAnsi="宋体"/>
          <w:b/>
          <w:color w:val="auto"/>
          <w:szCs w:val="21"/>
        </w:rPr>
        <w:t>（必须提供）</w:t>
      </w:r>
    </w:p>
    <w:p w14:paraId="0676A1E1">
      <w:pPr>
        <w:snapToGrid w:val="0"/>
        <w:spacing w:line="370" w:lineRule="exact"/>
        <w:ind w:firstLine="413" w:firstLineChars="196"/>
        <w:jc w:val="left"/>
        <w:rPr>
          <w:rFonts w:hint="eastAsia"/>
          <w:color w:val="auto"/>
        </w:rPr>
      </w:pPr>
      <w:r>
        <w:rPr>
          <w:rFonts w:hint="eastAsia" w:ascii="宋体" w:hAnsi="宋体"/>
          <w:b/>
          <w:bCs/>
          <w:color w:val="auto"/>
          <w:szCs w:val="21"/>
        </w:rPr>
        <w:t>★注：法定代表人(负责人)授权委托书、投标声明书、投标函、开标一览表必须按照招标文件格式要求签署和加盖单位公章，否则作投标无效处理</w:t>
      </w:r>
      <w:r>
        <w:rPr>
          <w:rFonts w:hint="eastAsia" w:ascii="宋体" w:hAnsi="Times New Roman" w:eastAsia="宋体" w:cs="Times New Roman"/>
          <w:b/>
          <w:bCs/>
          <w:color w:val="auto"/>
          <w:szCs w:val="21"/>
        </w:rPr>
        <w:t>。</w:t>
      </w:r>
    </w:p>
    <w:p w14:paraId="72E83452">
      <w:pPr>
        <w:spacing w:line="370" w:lineRule="exact"/>
        <w:rPr>
          <w:rFonts w:hint="eastAsia" w:ascii="宋体" w:hAnsi="宋体"/>
          <w:b/>
        </w:rPr>
      </w:pPr>
      <w:bookmarkStart w:id="81" w:name="_Toc254970537"/>
      <w:bookmarkStart w:id="82" w:name="_Toc254970678"/>
      <w:r>
        <w:rPr>
          <w:rFonts w:hint="eastAsia" w:ascii="宋体" w:hAnsi="宋体"/>
          <w:b/>
        </w:rPr>
        <w:t xml:space="preserve">    （二）投标文件的语言及计量</w:t>
      </w:r>
      <w:bookmarkEnd w:id="81"/>
      <w:bookmarkEnd w:id="82"/>
    </w:p>
    <w:p w14:paraId="294F4B80">
      <w:pPr>
        <w:spacing w:line="370" w:lineRule="exact"/>
        <w:rPr>
          <w:rFonts w:hint="eastAsia" w:ascii="宋体" w:hAnsi="宋体"/>
        </w:rPr>
      </w:pPr>
      <w:r>
        <w:rPr>
          <w:rFonts w:hint="eastAsia" w:ascii="宋体" w:hAnsi="宋体"/>
          <w:b/>
        </w:rPr>
        <w:t xml:space="preserve">    </w:t>
      </w:r>
      <w:r>
        <w:rPr>
          <w:rFonts w:hint="eastAsia" w:ascii="宋体" w:hAnsi="宋体" w:cs="宋体"/>
        </w:rPr>
        <w:t>★</w:t>
      </w:r>
      <w:r>
        <w:rPr>
          <w:rFonts w:hint="eastAsia" w:ascii="宋体" w:hAnsi="宋体"/>
        </w:rPr>
        <w:t>1.投标文件以及投标方与招标方就有关投标事宜的所有来往函电，均应以中文汉语书写。除签名、盖章、专用名称等特殊情形外，以中文汉语以外的文字表述的投标文件视同未提供。</w:t>
      </w:r>
    </w:p>
    <w:p w14:paraId="24585D82">
      <w:pPr>
        <w:spacing w:line="370" w:lineRule="exact"/>
        <w:rPr>
          <w:rFonts w:hint="eastAsia" w:ascii="宋体" w:hAnsi="宋体"/>
        </w:rPr>
      </w:pPr>
      <w:r>
        <w:rPr>
          <w:rFonts w:hint="eastAsia" w:ascii="宋体" w:hAnsi="宋体"/>
        </w:rPr>
        <w:t xml:space="preserve">    </w:t>
      </w:r>
      <w:r>
        <w:rPr>
          <w:rFonts w:hint="eastAsia" w:ascii="宋体" w:hAnsi="宋体" w:cs="宋体"/>
        </w:rPr>
        <w:t>★</w:t>
      </w:r>
      <w:r>
        <w:rPr>
          <w:rFonts w:hint="eastAsia" w:ascii="宋体" w:hAnsi="宋体"/>
        </w:rPr>
        <w:t>2.投标计量单位，招标文件已有明确规定的，使用招标文件规定的计量单位；招标文件没有规定的，应采用中华人民共和国法定计量单位（货币单位：人民币元），否则视同未响应。</w:t>
      </w:r>
      <w:bookmarkStart w:id="83" w:name="_Toc254970538"/>
      <w:bookmarkStart w:id="84" w:name="_Toc254970679"/>
    </w:p>
    <w:p w14:paraId="31E736D2">
      <w:pPr>
        <w:spacing w:line="370" w:lineRule="exact"/>
        <w:rPr>
          <w:rFonts w:hint="eastAsia" w:ascii="宋体" w:hAnsi="宋体"/>
          <w:b/>
        </w:rPr>
      </w:pPr>
      <w:r>
        <w:rPr>
          <w:rFonts w:hint="eastAsia" w:ascii="宋体" w:hAnsi="宋体"/>
          <w:b/>
        </w:rPr>
        <w:t xml:space="preserve">    （三）投标报价</w:t>
      </w:r>
      <w:bookmarkEnd w:id="83"/>
      <w:bookmarkEnd w:id="84"/>
    </w:p>
    <w:p w14:paraId="57EDE317">
      <w:pPr>
        <w:spacing w:line="370" w:lineRule="exact"/>
        <w:rPr>
          <w:rFonts w:hint="eastAsia" w:ascii="宋体" w:hAnsi="宋体"/>
        </w:rPr>
      </w:pPr>
      <w:r>
        <w:rPr>
          <w:rFonts w:hint="eastAsia" w:ascii="宋体" w:hAnsi="宋体"/>
        </w:rPr>
        <w:t xml:space="preserve">   1.投标报价应按招标文件中相关附表格式填写。</w:t>
      </w:r>
    </w:p>
    <w:p w14:paraId="1DB184FF">
      <w:pPr>
        <w:spacing w:line="370" w:lineRule="exact"/>
        <w:ind w:firstLine="315" w:firstLineChars="150"/>
        <w:rPr>
          <w:rFonts w:hint="eastAsia" w:ascii="宋体" w:hAnsi="宋体"/>
        </w:rPr>
      </w:pPr>
      <w:r>
        <w:rPr>
          <w:rFonts w:hint="eastAsia" w:ascii="宋体" w:hAnsi="宋体"/>
        </w:rPr>
        <w:t>2.投标报价是履行合同的最终价格。</w:t>
      </w:r>
    </w:p>
    <w:p w14:paraId="7F2CF3F8">
      <w:pPr>
        <w:spacing w:line="370" w:lineRule="exact"/>
        <w:ind w:firstLine="315" w:firstLineChars="150"/>
        <w:rPr>
          <w:rFonts w:hint="eastAsia" w:ascii="宋体" w:hAnsi="宋体"/>
          <w:szCs w:val="21"/>
        </w:rPr>
      </w:pPr>
      <w:r>
        <w:rPr>
          <w:rFonts w:hint="eastAsia" w:ascii="宋体" w:hAnsi="宋体"/>
        </w:rPr>
        <w:t>3.</w:t>
      </w:r>
      <w:r>
        <w:rPr>
          <w:rFonts w:hint="eastAsia" w:ascii="宋体" w:hAnsi="宋体"/>
          <w:szCs w:val="21"/>
        </w:rPr>
        <w:t>投标文件只允许有一个报价，有选择的或有条件的报价将不予接受。</w:t>
      </w:r>
    </w:p>
    <w:p w14:paraId="3FB40F80">
      <w:pPr>
        <w:numPr>
          <w:ilvl w:val="0"/>
          <w:numId w:val="0"/>
        </w:numPr>
        <w:spacing w:line="370" w:lineRule="exact"/>
        <w:ind w:firstLine="422" w:firstLineChars="200"/>
        <w:rPr>
          <w:rFonts w:hint="eastAsia" w:ascii="宋体" w:hAnsi="宋体" w:eastAsia="宋体" w:cs="宋体"/>
          <w:b/>
          <w:bCs/>
          <w:color w:val="auto"/>
        </w:rPr>
      </w:pPr>
      <w:r>
        <w:rPr>
          <w:rFonts w:hint="eastAsia" w:ascii="Times New Roman" w:hAnsi="Times New Roman" w:eastAsia="宋体" w:cs="Times New Roman"/>
          <w:b/>
          <w:bCs/>
          <w:color w:val="auto"/>
        </w:rPr>
        <w:t>★4.</w:t>
      </w:r>
      <w:r>
        <w:rPr>
          <w:rFonts w:hint="eastAsia" w:ascii="宋体" w:hAnsi="宋体" w:eastAsia="宋体" w:cs="宋体"/>
          <w:b/>
          <w:bCs/>
          <w:color w:val="auto"/>
        </w:rPr>
        <w:t>异常低价审查：政府采购评审中出现下列情形之一的，评审委员会应当启动异常低价投标审查程序：</w:t>
      </w:r>
    </w:p>
    <w:p w14:paraId="759B5645">
      <w:pPr>
        <w:keepNext w:val="0"/>
        <w:keepLines w:val="0"/>
        <w:pageBreakBefore w:val="0"/>
        <w:widowControl w:val="0"/>
        <w:kinsoku/>
        <w:wordWrap/>
        <w:overflowPunct/>
        <w:topLinePunct w:val="0"/>
        <w:autoSpaceDE/>
        <w:autoSpaceDN/>
        <w:bidi w:val="0"/>
        <w:adjustRightInd/>
        <w:spacing w:line="370" w:lineRule="exact"/>
        <w:ind w:left="0" w:leftChars="0" w:firstLine="422" w:firstLineChars="200"/>
        <w:textAlignment w:val="auto"/>
        <w:rPr>
          <w:rFonts w:hint="eastAsia" w:ascii="宋体" w:hAnsi="宋体" w:eastAsia="宋体" w:cs="宋体"/>
          <w:b/>
          <w:bCs/>
          <w:color w:val="auto"/>
        </w:rPr>
      </w:pPr>
      <w:r>
        <w:rPr>
          <w:rFonts w:hint="eastAsia" w:ascii="宋体" w:hAnsi="宋体" w:eastAsia="宋体" w:cs="宋体"/>
          <w:b/>
          <w:bCs/>
          <w:color w:val="auto"/>
          <w:lang w:eastAsia="zh-CN"/>
        </w:rPr>
        <w:t>（</w:t>
      </w:r>
      <w:r>
        <w:rPr>
          <w:rFonts w:hint="eastAsia" w:ascii="宋体" w:hAnsi="宋体" w:eastAsia="宋体" w:cs="宋体"/>
          <w:b/>
          <w:bCs/>
          <w:color w:val="auto"/>
          <w:lang w:val="en-US" w:eastAsia="zh-CN"/>
        </w:rPr>
        <w:t>1）</w:t>
      </w:r>
      <w:r>
        <w:rPr>
          <w:rFonts w:hint="eastAsia" w:ascii="宋体" w:hAnsi="宋体" w:eastAsia="宋体" w:cs="宋体"/>
          <w:b/>
          <w:bCs/>
          <w:color w:val="auto"/>
        </w:rPr>
        <w:t>投标报价低于全部通过符合性审查供应商投标报价平均值50%的，即投标报价&lt;全部通过符合性审查供应商投标报价平均值×50%；</w:t>
      </w:r>
    </w:p>
    <w:p w14:paraId="0C96E355">
      <w:pPr>
        <w:keepNext w:val="0"/>
        <w:keepLines w:val="0"/>
        <w:pageBreakBefore w:val="0"/>
        <w:widowControl w:val="0"/>
        <w:kinsoku/>
        <w:wordWrap/>
        <w:overflowPunct/>
        <w:topLinePunct w:val="0"/>
        <w:autoSpaceDE/>
        <w:autoSpaceDN/>
        <w:bidi w:val="0"/>
        <w:adjustRightInd/>
        <w:spacing w:line="370" w:lineRule="exact"/>
        <w:ind w:left="0" w:leftChars="0" w:firstLine="422" w:firstLineChars="200"/>
        <w:textAlignment w:val="auto"/>
        <w:rPr>
          <w:rFonts w:hint="eastAsia" w:ascii="宋体" w:hAnsi="宋体" w:eastAsia="宋体" w:cs="宋体"/>
          <w:b/>
          <w:bCs/>
          <w:color w:val="auto"/>
        </w:rPr>
      </w:pPr>
      <w:r>
        <w:rPr>
          <w:rFonts w:hint="eastAsia" w:ascii="宋体" w:hAnsi="宋体" w:eastAsia="宋体" w:cs="宋体"/>
          <w:b/>
          <w:bCs/>
          <w:color w:val="auto"/>
          <w:lang w:eastAsia="zh-CN"/>
        </w:rPr>
        <w:t>（</w:t>
      </w:r>
      <w:r>
        <w:rPr>
          <w:rFonts w:hint="eastAsia" w:ascii="宋体" w:hAnsi="宋体" w:eastAsia="宋体" w:cs="宋体"/>
          <w:b/>
          <w:bCs/>
          <w:color w:val="auto"/>
          <w:lang w:val="en-US" w:eastAsia="zh-CN"/>
        </w:rPr>
        <w:t>2）</w:t>
      </w:r>
      <w:r>
        <w:rPr>
          <w:rFonts w:hint="eastAsia" w:ascii="宋体" w:hAnsi="宋体" w:eastAsia="宋体" w:cs="宋体"/>
          <w:b/>
          <w:bCs/>
          <w:color w:val="auto"/>
        </w:rPr>
        <w:t>投标报价低于通过符合性审查的次低报价供应商投标报价50%的，即投标报价&lt;通过符合性审查的次低报价供应商投标报价×50%；</w:t>
      </w:r>
    </w:p>
    <w:p w14:paraId="07FB805C">
      <w:pPr>
        <w:keepNext w:val="0"/>
        <w:keepLines w:val="0"/>
        <w:pageBreakBefore w:val="0"/>
        <w:widowControl w:val="0"/>
        <w:kinsoku/>
        <w:wordWrap/>
        <w:overflowPunct/>
        <w:topLinePunct w:val="0"/>
        <w:autoSpaceDE/>
        <w:autoSpaceDN/>
        <w:bidi w:val="0"/>
        <w:adjustRightInd/>
        <w:spacing w:line="370" w:lineRule="exact"/>
        <w:ind w:left="0" w:leftChars="0" w:firstLine="422" w:firstLineChars="200"/>
        <w:textAlignment w:val="auto"/>
        <w:rPr>
          <w:rFonts w:hint="eastAsia" w:ascii="宋体" w:hAnsi="宋体" w:eastAsia="宋体" w:cs="宋体"/>
          <w:b/>
          <w:bCs/>
          <w:color w:val="auto"/>
        </w:rPr>
      </w:pPr>
      <w:r>
        <w:rPr>
          <w:rFonts w:hint="eastAsia" w:ascii="宋体" w:hAnsi="宋体" w:eastAsia="宋体" w:cs="宋体"/>
          <w:b/>
          <w:bCs/>
          <w:color w:val="auto"/>
          <w:lang w:eastAsia="zh-CN"/>
        </w:rPr>
        <w:t>（</w:t>
      </w:r>
      <w:r>
        <w:rPr>
          <w:rFonts w:hint="eastAsia" w:ascii="宋体" w:hAnsi="宋体" w:eastAsia="宋体" w:cs="宋体"/>
          <w:b/>
          <w:bCs/>
          <w:color w:val="auto"/>
          <w:lang w:val="en-US" w:eastAsia="zh-CN"/>
        </w:rPr>
        <w:t>3）</w:t>
      </w:r>
      <w:r>
        <w:rPr>
          <w:rFonts w:hint="eastAsia" w:ascii="宋体" w:hAnsi="宋体" w:eastAsia="宋体" w:cs="宋体"/>
          <w:b/>
          <w:bCs/>
          <w:color w:val="auto"/>
        </w:rPr>
        <w:t>投标报价低于采购项目最高限价45%的，即投标报价&lt;采购项目最高限价×45%；</w:t>
      </w:r>
    </w:p>
    <w:p w14:paraId="5AA765DA">
      <w:pPr>
        <w:keepNext w:val="0"/>
        <w:keepLines w:val="0"/>
        <w:pageBreakBefore w:val="0"/>
        <w:widowControl w:val="0"/>
        <w:kinsoku/>
        <w:wordWrap/>
        <w:overflowPunct/>
        <w:topLinePunct w:val="0"/>
        <w:autoSpaceDE/>
        <w:autoSpaceDN/>
        <w:bidi w:val="0"/>
        <w:adjustRightInd/>
        <w:spacing w:line="370" w:lineRule="exact"/>
        <w:ind w:left="0" w:leftChars="0" w:firstLine="422" w:firstLineChars="200"/>
        <w:textAlignment w:val="auto"/>
        <w:rPr>
          <w:rFonts w:hint="eastAsia" w:ascii="宋体" w:hAnsi="宋体" w:eastAsia="宋体" w:cs="宋体"/>
          <w:b/>
          <w:bCs/>
          <w:color w:val="auto"/>
        </w:rPr>
      </w:pPr>
      <w:r>
        <w:rPr>
          <w:rFonts w:hint="eastAsia" w:ascii="宋体" w:hAnsi="宋体" w:eastAsia="宋体" w:cs="宋体"/>
          <w:b/>
          <w:bCs/>
          <w:color w:val="auto"/>
          <w:lang w:eastAsia="zh-CN"/>
        </w:rPr>
        <w:t>（</w:t>
      </w:r>
      <w:r>
        <w:rPr>
          <w:rFonts w:hint="eastAsia" w:ascii="宋体" w:hAnsi="宋体" w:eastAsia="宋体" w:cs="宋体"/>
          <w:b/>
          <w:bCs/>
          <w:color w:val="auto"/>
          <w:lang w:val="en-US" w:eastAsia="zh-CN"/>
        </w:rPr>
        <w:t>4）</w:t>
      </w:r>
      <w:r>
        <w:rPr>
          <w:rFonts w:hint="eastAsia" w:ascii="宋体" w:hAnsi="宋体" w:eastAsia="宋体" w:cs="宋体"/>
          <w:b/>
          <w:bCs/>
          <w:color w:val="auto"/>
        </w:rPr>
        <w:t>评审委员会基于专业判断，认为供应商报价过低，有可能影响产品质量或者不能诚信履约的其他情形。</w:t>
      </w:r>
    </w:p>
    <w:p w14:paraId="34848DCD">
      <w:pPr>
        <w:keepNext w:val="0"/>
        <w:keepLines w:val="0"/>
        <w:pageBreakBefore w:val="0"/>
        <w:widowControl w:val="0"/>
        <w:kinsoku/>
        <w:wordWrap/>
        <w:overflowPunct/>
        <w:topLinePunct w:val="0"/>
        <w:autoSpaceDE/>
        <w:autoSpaceDN/>
        <w:bidi w:val="0"/>
        <w:adjustRightInd/>
        <w:spacing w:line="370" w:lineRule="exact"/>
        <w:ind w:left="0" w:leftChars="0" w:firstLine="422" w:firstLineChars="200"/>
        <w:textAlignment w:val="auto"/>
        <w:rPr>
          <w:rFonts w:hint="eastAsia" w:ascii="宋体" w:hAnsi="宋体" w:eastAsia="宋体" w:cs="宋体"/>
          <w:b/>
          <w:bCs/>
          <w:color w:val="auto"/>
        </w:rPr>
      </w:pPr>
      <w:r>
        <w:rPr>
          <w:rFonts w:hint="eastAsia" w:ascii="宋体" w:hAnsi="宋体" w:eastAsia="宋体" w:cs="宋体"/>
          <w:b/>
          <w:bCs/>
          <w:color w:val="auto"/>
          <w:lang w:val="en-US" w:eastAsia="zh-CN"/>
        </w:rPr>
        <w:t>5.</w:t>
      </w:r>
      <w:r>
        <w:rPr>
          <w:rFonts w:hint="eastAsia" w:ascii="宋体" w:hAnsi="宋体" w:eastAsia="宋体" w:cs="宋体"/>
          <w:b/>
          <w:bCs/>
          <w:color w:val="auto"/>
        </w:rPr>
        <w:t>评审委员会启动异常低价投标审查后，属于前述第</w:t>
      </w:r>
      <w:r>
        <w:rPr>
          <w:rFonts w:hint="eastAsia" w:ascii="宋体" w:hAnsi="宋体" w:eastAsia="宋体" w:cs="宋体"/>
          <w:b/>
          <w:bCs/>
          <w:color w:val="auto"/>
          <w:lang w:eastAsia="zh-CN"/>
        </w:rPr>
        <w:t>（</w:t>
      </w:r>
      <w:r>
        <w:rPr>
          <w:rFonts w:hint="eastAsia" w:ascii="宋体" w:hAnsi="宋体" w:eastAsia="宋体" w:cs="宋体"/>
          <w:b/>
          <w:bCs/>
          <w:color w:val="auto"/>
          <w:lang w:val="en-US" w:eastAsia="zh-CN"/>
        </w:rPr>
        <w:t>1）</w:t>
      </w:r>
      <w:r>
        <w:rPr>
          <w:rFonts w:hint="eastAsia" w:ascii="宋体" w:hAnsi="宋体" w:eastAsia="宋体" w:cs="宋体"/>
          <w:b/>
          <w:bCs/>
          <w:color w:val="auto"/>
        </w:rPr>
        <w:t>项至第</w:t>
      </w:r>
      <w:r>
        <w:rPr>
          <w:rFonts w:hint="eastAsia" w:ascii="宋体" w:hAnsi="宋体" w:eastAsia="宋体" w:cs="宋体"/>
          <w:b/>
          <w:bCs/>
          <w:color w:val="auto"/>
          <w:lang w:eastAsia="zh-CN"/>
        </w:rPr>
        <w:t>（</w:t>
      </w:r>
      <w:r>
        <w:rPr>
          <w:rFonts w:hint="eastAsia" w:ascii="宋体" w:hAnsi="宋体" w:eastAsia="宋体" w:cs="宋体"/>
          <w:b/>
          <w:bCs/>
          <w:color w:val="auto"/>
          <w:lang w:val="en-US" w:eastAsia="zh-CN"/>
        </w:rPr>
        <w:t>4）</w:t>
      </w:r>
      <w:r>
        <w:rPr>
          <w:rFonts w:hint="eastAsia" w:ascii="宋体" w:hAnsi="宋体" w:eastAsia="宋体" w:cs="宋体"/>
          <w:b/>
          <w:bCs/>
          <w:color w:val="auto"/>
        </w:rPr>
        <w:t>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72656EA4">
      <w:pPr>
        <w:keepNext w:val="0"/>
        <w:keepLines w:val="0"/>
        <w:pageBreakBefore w:val="0"/>
        <w:widowControl w:val="0"/>
        <w:kinsoku/>
        <w:wordWrap/>
        <w:overflowPunct/>
        <w:topLinePunct w:val="0"/>
        <w:autoSpaceDE/>
        <w:autoSpaceDN/>
        <w:bidi w:val="0"/>
        <w:adjustRightInd/>
        <w:spacing w:line="370" w:lineRule="exact"/>
        <w:ind w:left="0" w:leftChars="0" w:firstLine="422" w:firstLineChars="200"/>
        <w:textAlignment w:val="auto"/>
        <w:rPr>
          <w:rFonts w:hint="eastAsia" w:ascii="宋体" w:hAnsi="宋体" w:eastAsia="宋体" w:cs="宋体"/>
          <w:b/>
          <w:bCs/>
          <w:color w:val="auto"/>
        </w:rPr>
      </w:pPr>
      <w:r>
        <w:rPr>
          <w:rFonts w:hint="eastAsia" w:ascii="宋体" w:hAnsi="宋体" w:eastAsia="宋体" w:cs="宋体"/>
          <w:b/>
          <w:bCs/>
          <w:color w:val="auto"/>
        </w:rPr>
        <w:t>评审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13D4D025">
      <w:pPr>
        <w:spacing w:line="370" w:lineRule="exact"/>
        <w:ind w:firstLine="316" w:firstLineChars="150"/>
        <w:rPr>
          <w:rFonts w:hint="eastAsia"/>
          <w:b/>
        </w:rPr>
      </w:pPr>
      <w:r>
        <w:rPr>
          <w:rFonts w:hint="eastAsia"/>
          <w:b/>
        </w:rPr>
        <w:t>（四）投标文件的有效期</w:t>
      </w:r>
    </w:p>
    <w:p w14:paraId="56992D52">
      <w:pPr>
        <w:spacing w:line="370" w:lineRule="exact"/>
        <w:rPr>
          <w:rFonts w:hint="eastAsia"/>
        </w:rPr>
      </w:pPr>
      <w:r>
        <w:rPr>
          <w:rFonts w:hint="eastAsia"/>
          <w:b/>
        </w:rPr>
        <w:t xml:space="preserve">    </w:t>
      </w:r>
      <w:r>
        <w:rPr>
          <w:rFonts w:hint="eastAsia"/>
        </w:rPr>
        <w:t>1.自投标截止日起</w:t>
      </w:r>
      <w:r>
        <w:rPr>
          <w:rFonts w:hint="eastAsia"/>
          <w:u w:val="single"/>
        </w:rPr>
        <w:t>60</w:t>
      </w:r>
      <w:r>
        <w:rPr>
          <w:rFonts w:hint="eastAsia"/>
        </w:rPr>
        <w:t>日投标文件应保持有效。有效期不足的投标文件将被拒绝。</w:t>
      </w:r>
    </w:p>
    <w:p w14:paraId="7054E5BE">
      <w:pPr>
        <w:spacing w:line="370" w:lineRule="exact"/>
        <w:rPr>
          <w:rFonts w:hint="eastAsia"/>
        </w:rPr>
      </w:pPr>
      <w:r>
        <w:rPr>
          <w:rFonts w:hint="eastAsia"/>
        </w:rPr>
        <w:t xml:space="preserve">    2.在特殊情况下，采购人可与投标人协商延长投标书的有效期，这种要求和答复均以书面形式进行。</w:t>
      </w:r>
      <w:bookmarkStart w:id="85" w:name="_Toc254970539"/>
      <w:bookmarkStart w:id="86" w:name="_Toc254970680"/>
    </w:p>
    <w:p w14:paraId="7E54C994">
      <w:pPr>
        <w:spacing w:line="370" w:lineRule="exact"/>
        <w:rPr>
          <w:rFonts w:hint="eastAsia"/>
        </w:rPr>
      </w:pPr>
      <w:r>
        <w:rPr>
          <w:rFonts w:hint="eastAsia"/>
        </w:rPr>
        <w:t xml:space="preserve">    3.投标人可拒绝接受延期要求而不会导致投标保证金被没收。同意延长有效期的投标人需要相应延长投标保证金的有效期，但不能修改投标文件。</w:t>
      </w:r>
      <w:bookmarkEnd w:id="85"/>
      <w:bookmarkEnd w:id="86"/>
      <w:r>
        <w:rPr>
          <w:rFonts w:hint="eastAsia"/>
        </w:rPr>
        <w:t xml:space="preserve"> </w:t>
      </w:r>
      <w:bookmarkStart w:id="87" w:name="_Toc254970681"/>
      <w:bookmarkStart w:id="88" w:name="_Toc254970540"/>
    </w:p>
    <w:p w14:paraId="63213030">
      <w:pPr>
        <w:spacing w:line="370" w:lineRule="exact"/>
        <w:rPr>
          <w:rFonts w:hint="eastAsia"/>
        </w:rPr>
      </w:pPr>
      <w:r>
        <w:rPr>
          <w:rFonts w:hint="eastAsia"/>
        </w:rPr>
        <w:t xml:space="preserve">    4.中标人的投标文件自开标之日起至合同履行完毕止均应保持有效。</w:t>
      </w:r>
      <w:bookmarkEnd w:id="87"/>
      <w:bookmarkEnd w:id="88"/>
      <w:bookmarkStart w:id="89" w:name="_Toc254970541"/>
      <w:bookmarkStart w:id="90" w:name="_Toc254970682"/>
    </w:p>
    <w:p w14:paraId="49F7E63F">
      <w:pPr>
        <w:spacing w:line="370" w:lineRule="exact"/>
        <w:ind w:firstLine="435"/>
        <w:rPr>
          <w:rFonts w:hint="eastAsia"/>
          <w:b/>
        </w:rPr>
      </w:pPr>
      <w:r>
        <w:rPr>
          <w:rFonts w:hint="eastAsia"/>
          <w:b/>
        </w:rPr>
        <w:t>（五）投标保证金</w:t>
      </w:r>
      <w:bookmarkEnd w:id="89"/>
      <w:bookmarkEnd w:id="90"/>
    </w:p>
    <w:p w14:paraId="3E71CA8E">
      <w:pPr>
        <w:spacing w:line="370" w:lineRule="exact"/>
        <w:ind w:firstLine="435"/>
        <w:rPr>
          <w:rFonts w:hint="eastAsia"/>
        </w:rPr>
      </w:pPr>
      <w:r>
        <w:rPr>
          <w:rFonts w:hint="eastAsia"/>
        </w:rPr>
        <w:t>1.投标人须按须知前附表的规定提交投标保证金。否则，其投标将被拒绝。</w:t>
      </w:r>
    </w:p>
    <w:p w14:paraId="1BC89454">
      <w:pPr>
        <w:spacing w:line="370" w:lineRule="exact"/>
        <w:ind w:firstLine="435"/>
        <w:rPr>
          <w:rFonts w:hint="eastAsia"/>
        </w:rPr>
      </w:pPr>
      <w:r>
        <w:rPr>
          <w:rFonts w:hint="eastAsia"/>
        </w:rPr>
        <w:t>2.</w:t>
      </w:r>
      <w:r>
        <w:rPr>
          <w:rFonts w:hint="eastAsia" w:cs="Arial"/>
        </w:rPr>
        <w:t>投标保证金的交纳方式：详见本项目公开招标公告。</w:t>
      </w:r>
    </w:p>
    <w:p w14:paraId="0CD0CA7B">
      <w:pPr>
        <w:spacing w:line="370" w:lineRule="exact"/>
        <w:ind w:firstLine="435"/>
        <w:rPr>
          <w:rFonts w:hint="eastAsia"/>
        </w:rPr>
      </w:pPr>
      <w:r>
        <w:rPr>
          <w:rFonts w:hint="eastAsia"/>
        </w:rPr>
        <w:t>3.投标保证金的退还均以转账形式退回到投标人银行账户。</w:t>
      </w:r>
    </w:p>
    <w:p w14:paraId="03035537">
      <w:pPr>
        <w:spacing w:line="370" w:lineRule="exact"/>
        <w:ind w:firstLine="435"/>
        <w:rPr>
          <w:rFonts w:hint="eastAsia"/>
        </w:rPr>
      </w:pPr>
      <w:r>
        <w:rPr>
          <w:rFonts w:hint="eastAsia"/>
        </w:rPr>
        <w:t>4.未中标人的投标保证金在中标通知书发出后5个工作日内退还。</w:t>
      </w:r>
    </w:p>
    <w:p w14:paraId="7C066C03">
      <w:pPr>
        <w:spacing w:line="370" w:lineRule="exact"/>
        <w:ind w:firstLine="435"/>
        <w:rPr>
          <w:rFonts w:hint="eastAsia"/>
        </w:rPr>
      </w:pPr>
      <w:r>
        <w:rPr>
          <w:rFonts w:hint="eastAsia"/>
        </w:rPr>
        <w:t>5.中标人的投标保证金在合同签订后（合同签订后送达本公司）5个工作日内退还。</w:t>
      </w:r>
    </w:p>
    <w:p w14:paraId="3C3F20A9">
      <w:pPr>
        <w:spacing w:line="370" w:lineRule="exact"/>
        <w:ind w:firstLine="435"/>
        <w:rPr>
          <w:rFonts w:hint="eastAsia"/>
        </w:rPr>
      </w:pPr>
      <w:r>
        <w:rPr>
          <w:rFonts w:hint="eastAsia"/>
        </w:rPr>
        <w:t>6.投标保证金不计息。</w:t>
      </w:r>
    </w:p>
    <w:p w14:paraId="6E45BB03">
      <w:pPr>
        <w:spacing w:line="370" w:lineRule="exact"/>
        <w:rPr>
          <w:rFonts w:hint="eastAsia" w:ascii="宋体"/>
          <w:b/>
          <w:sz w:val="18"/>
          <w:szCs w:val="18"/>
        </w:rPr>
      </w:pPr>
      <w:r>
        <w:rPr>
          <w:rFonts w:hint="eastAsia" w:ascii="宋体"/>
          <w:b/>
          <w:sz w:val="18"/>
          <w:szCs w:val="18"/>
        </w:rPr>
        <w:t xml:space="preserve">    注：办理投标保证金手续时，请务必在银行相关票据（非现金）或凭证的用途或空白栏上注明采购项目名称及采购项目编号，分标号（如有），以免耽误投标。        </w:t>
      </w:r>
    </w:p>
    <w:p w14:paraId="1421D7FA">
      <w:pPr>
        <w:spacing w:line="370" w:lineRule="exact"/>
        <w:rPr>
          <w:rFonts w:hint="eastAsia"/>
          <w:color w:val="auto"/>
        </w:rPr>
      </w:pPr>
      <w:r>
        <w:rPr>
          <w:rFonts w:hint="eastAsia" w:ascii="宋体"/>
          <w:b/>
          <w:sz w:val="18"/>
          <w:szCs w:val="18"/>
        </w:rPr>
        <w:t xml:space="preserve">    </w:t>
      </w:r>
      <w:r>
        <w:rPr>
          <w:rFonts w:hint="eastAsia"/>
        </w:rPr>
        <w:t>7.</w:t>
      </w:r>
      <w:r>
        <w:t>中标人应在中标</w:t>
      </w:r>
      <w:r>
        <w:rPr>
          <w:color w:val="auto"/>
        </w:rPr>
        <w:t>通知书发出</w:t>
      </w:r>
      <w:r>
        <w:rPr>
          <w:rFonts w:hint="eastAsia"/>
          <w:color w:val="auto"/>
        </w:rPr>
        <w:t>之日起</w:t>
      </w:r>
      <w:r>
        <w:rPr>
          <w:rFonts w:hint="eastAsia"/>
          <w:color w:val="auto"/>
          <w:u w:val="single"/>
          <w:lang w:val="en-US" w:eastAsia="zh-CN"/>
        </w:rPr>
        <w:t>15个工作</w:t>
      </w:r>
      <w:r>
        <w:rPr>
          <w:rFonts w:hint="eastAsia"/>
          <w:color w:val="auto"/>
        </w:rPr>
        <w:t>日内与采购人签订合同。</w:t>
      </w:r>
    </w:p>
    <w:p w14:paraId="254F3AA7">
      <w:pPr>
        <w:spacing w:line="370" w:lineRule="exact"/>
        <w:rPr>
          <w:rFonts w:hint="eastAsia"/>
          <w:b/>
          <w:color w:val="auto"/>
        </w:rPr>
      </w:pPr>
      <w:r>
        <w:rPr>
          <w:rFonts w:hint="eastAsia"/>
          <w:b/>
          <w:color w:val="auto"/>
        </w:rPr>
        <w:t xml:space="preserve">    6.投标人有下列情形之一的，投标保证金将不予退还：</w:t>
      </w:r>
    </w:p>
    <w:p w14:paraId="6B4224DA">
      <w:pPr>
        <w:snapToGrid w:val="0"/>
        <w:spacing w:line="370" w:lineRule="exact"/>
        <w:ind w:firstLine="411" w:firstLineChars="196"/>
        <w:jc w:val="left"/>
        <w:rPr>
          <w:rFonts w:hint="eastAsia" w:ascii="宋体"/>
          <w:szCs w:val="21"/>
        </w:rPr>
      </w:pPr>
      <w:r>
        <w:rPr>
          <w:rFonts w:hint="eastAsia" w:ascii="宋体"/>
          <w:szCs w:val="21"/>
        </w:rPr>
        <w:t>（1）投标人在投标有效期内撤回投标文件的；</w:t>
      </w:r>
    </w:p>
    <w:p w14:paraId="6FF3302A">
      <w:pPr>
        <w:snapToGrid w:val="0"/>
        <w:spacing w:line="370" w:lineRule="exact"/>
        <w:ind w:firstLine="411" w:firstLineChars="196"/>
        <w:jc w:val="left"/>
        <w:rPr>
          <w:rFonts w:hint="eastAsia" w:ascii="宋体"/>
          <w:szCs w:val="21"/>
        </w:rPr>
      </w:pPr>
      <w:r>
        <w:rPr>
          <w:rFonts w:hint="eastAsia" w:ascii="宋体"/>
          <w:szCs w:val="21"/>
        </w:rPr>
        <w:t>（2）投标人在投标过程中弄虚作假，提供虚假材料的；</w:t>
      </w:r>
    </w:p>
    <w:p w14:paraId="6205F8E1">
      <w:pPr>
        <w:snapToGrid w:val="0"/>
        <w:spacing w:line="370" w:lineRule="exact"/>
        <w:ind w:firstLine="411" w:firstLineChars="196"/>
        <w:jc w:val="left"/>
        <w:rPr>
          <w:rFonts w:hint="eastAsia" w:ascii="宋体"/>
          <w:szCs w:val="21"/>
        </w:rPr>
      </w:pPr>
      <w:r>
        <w:rPr>
          <w:rFonts w:hint="eastAsia" w:ascii="宋体"/>
          <w:szCs w:val="21"/>
        </w:rPr>
        <w:t>（3）中标人无正当理由不与采购人签订合同的；</w:t>
      </w:r>
    </w:p>
    <w:p w14:paraId="7FF0632A">
      <w:pPr>
        <w:snapToGrid w:val="0"/>
        <w:spacing w:line="370" w:lineRule="exact"/>
        <w:ind w:firstLine="411" w:firstLineChars="196"/>
        <w:rPr>
          <w:rFonts w:hint="eastAsia" w:ascii="宋体"/>
          <w:szCs w:val="21"/>
        </w:rPr>
      </w:pPr>
      <w:r>
        <w:rPr>
          <w:rFonts w:hint="eastAsia" w:ascii="宋体"/>
          <w:szCs w:val="21"/>
        </w:rPr>
        <w:t>（4）</w:t>
      </w:r>
      <w:r>
        <w:rPr>
          <w:rFonts w:hint="eastAsia" w:ascii="宋体"/>
          <w:bCs/>
          <w:spacing w:val="-4"/>
          <w:szCs w:val="21"/>
        </w:rPr>
        <w:t>将中标项目转让给他人或者在投标文件中未说明，且未经采购人同意，将中标项目分包给他人的；</w:t>
      </w:r>
    </w:p>
    <w:p w14:paraId="7F869B01">
      <w:pPr>
        <w:snapToGrid w:val="0"/>
        <w:spacing w:line="370" w:lineRule="exact"/>
        <w:ind w:firstLine="420" w:firstLineChars="200"/>
        <w:rPr>
          <w:rFonts w:hint="eastAsia" w:ascii="宋体"/>
          <w:szCs w:val="21"/>
        </w:rPr>
      </w:pPr>
      <w:r>
        <w:rPr>
          <w:rFonts w:hint="eastAsia" w:ascii="宋体"/>
          <w:szCs w:val="21"/>
        </w:rPr>
        <w:t>（5）其他严重扰乱招投标程序的</w:t>
      </w:r>
      <w:bookmarkStart w:id="91" w:name="_Toc254970683"/>
      <w:bookmarkStart w:id="92" w:name="_Toc254970542"/>
      <w:r>
        <w:rPr>
          <w:rFonts w:hint="eastAsia" w:ascii="宋体"/>
          <w:szCs w:val="21"/>
        </w:rPr>
        <w:t>；</w:t>
      </w:r>
    </w:p>
    <w:p w14:paraId="585D6651">
      <w:pPr>
        <w:snapToGrid w:val="0"/>
        <w:spacing w:line="370" w:lineRule="exact"/>
        <w:ind w:firstLine="420" w:firstLineChars="200"/>
        <w:rPr>
          <w:rFonts w:hint="eastAsia" w:ascii="宋体"/>
          <w:szCs w:val="21"/>
        </w:rPr>
      </w:pPr>
      <w:r>
        <w:rPr>
          <w:rFonts w:hint="eastAsia" w:ascii="宋体"/>
          <w:szCs w:val="21"/>
        </w:rPr>
        <w:t>（6）未按规定提交履约保证金的。</w:t>
      </w:r>
    </w:p>
    <w:p w14:paraId="03661B62">
      <w:pPr>
        <w:snapToGrid w:val="0"/>
        <w:spacing w:line="370" w:lineRule="exact"/>
        <w:ind w:firstLine="422" w:firstLineChars="200"/>
        <w:rPr>
          <w:rFonts w:hint="eastAsia" w:ascii="宋体"/>
          <w:b/>
          <w:szCs w:val="21"/>
        </w:rPr>
      </w:pPr>
      <w:r>
        <w:rPr>
          <w:rFonts w:hint="eastAsia" w:ascii="宋体"/>
          <w:b/>
          <w:szCs w:val="21"/>
        </w:rPr>
        <w:t>（六）投标文件的签署和份数</w:t>
      </w:r>
      <w:bookmarkEnd w:id="91"/>
      <w:bookmarkEnd w:id="92"/>
    </w:p>
    <w:p w14:paraId="759AF0DB">
      <w:pPr>
        <w:snapToGrid w:val="0"/>
        <w:spacing w:line="370" w:lineRule="exact"/>
        <w:ind w:firstLine="420" w:firstLineChars="200"/>
        <w:rPr>
          <w:rFonts w:hint="eastAsia" w:ascii="宋体"/>
          <w:szCs w:val="21"/>
        </w:rPr>
      </w:pPr>
      <w:r>
        <w:rPr>
          <w:rFonts w:hint="eastAsia" w:ascii="宋体"/>
          <w:szCs w:val="21"/>
        </w:rPr>
        <w:t>1.投标人应按本招标文件规定的格式和顺序编制投标文件并标注页码，投标文件内容不完整、编排混乱导致投标文件被误读、漏读或者查找不到相关内容的，是投标人的责任。</w:t>
      </w:r>
    </w:p>
    <w:p w14:paraId="02AC22EF">
      <w:pPr>
        <w:snapToGrid w:val="0"/>
        <w:spacing w:line="370" w:lineRule="exact"/>
        <w:ind w:firstLine="420" w:firstLineChars="200"/>
        <w:rPr>
          <w:rFonts w:hint="eastAsia" w:ascii="宋体"/>
          <w:szCs w:val="21"/>
        </w:rPr>
      </w:pPr>
      <w:r>
        <w:rPr>
          <w:rFonts w:hint="eastAsia" w:ascii="宋体"/>
          <w:szCs w:val="21"/>
        </w:rPr>
        <w:t>2.投标文件份数：见投标人须知及前附表。</w:t>
      </w:r>
    </w:p>
    <w:p w14:paraId="6DB58F81">
      <w:pPr>
        <w:snapToGrid w:val="0"/>
        <w:spacing w:line="370" w:lineRule="exact"/>
        <w:ind w:firstLine="420" w:firstLineChars="200"/>
        <w:rPr>
          <w:rFonts w:hint="eastAsia" w:ascii="宋体"/>
          <w:szCs w:val="21"/>
        </w:rPr>
      </w:pPr>
      <w:r>
        <w:rPr>
          <w:rFonts w:hint="eastAsia" w:ascii="宋体"/>
          <w:szCs w:val="21"/>
        </w:rPr>
        <w:t>3.投标文件须由投标人在规定位置盖章并由法定代表人或法定代表人的授权委托人签署，投标人应写全称。</w:t>
      </w:r>
    </w:p>
    <w:p w14:paraId="468F19C9">
      <w:pPr>
        <w:snapToGrid w:val="0"/>
        <w:spacing w:line="370" w:lineRule="exact"/>
        <w:ind w:firstLine="420" w:firstLineChars="200"/>
        <w:rPr>
          <w:rFonts w:hint="eastAsia" w:ascii="宋体"/>
          <w:szCs w:val="21"/>
        </w:rPr>
      </w:pPr>
      <w:r>
        <w:rPr>
          <w:rFonts w:hint="eastAsia" w:ascii="宋体"/>
          <w:szCs w:val="21"/>
        </w:rPr>
        <w:t>4.投标文件不得涂改，若有修改错漏处，须加盖单位公章或者法定代表人或授权委托人签字或盖章。投标文件因扫描不清晰或乱码或表达不清所引起的后果由投标人负责。</w:t>
      </w:r>
    </w:p>
    <w:p w14:paraId="532308E3">
      <w:pPr>
        <w:snapToGrid w:val="0"/>
        <w:spacing w:line="370" w:lineRule="exact"/>
        <w:ind w:firstLine="422" w:firstLineChars="200"/>
        <w:rPr>
          <w:rFonts w:hint="eastAsia" w:ascii="宋体"/>
          <w:b/>
          <w:szCs w:val="21"/>
        </w:rPr>
      </w:pPr>
      <w:r>
        <w:rPr>
          <w:rFonts w:hint="eastAsia" w:ascii="宋体"/>
          <w:b/>
          <w:szCs w:val="21"/>
        </w:rPr>
        <w:t>（七）</w:t>
      </w:r>
      <w:r>
        <w:rPr>
          <w:rFonts w:hint="eastAsia"/>
          <w:b/>
        </w:rPr>
        <w:t>投标文件的上传、提交、修改、撤回和解密</w:t>
      </w:r>
    </w:p>
    <w:p w14:paraId="0CF8E5ED">
      <w:pPr>
        <w:snapToGrid w:val="0"/>
        <w:spacing w:line="370" w:lineRule="exact"/>
        <w:ind w:firstLine="420" w:firstLineChars="200"/>
        <w:jc w:val="left"/>
        <w:rPr>
          <w:rFonts w:hint="eastAsia" w:ascii="宋体"/>
          <w:szCs w:val="21"/>
        </w:rPr>
      </w:pPr>
      <w:bookmarkStart w:id="93" w:name="_Toc254970684"/>
      <w:bookmarkStart w:id="94" w:name="_Toc254970543"/>
      <w:r>
        <w:rPr>
          <w:rFonts w:hint="eastAsia" w:ascii="宋体" w:hAnsi="宋体" w:cs="宋体"/>
        </w:rPr>
        <w:t>★</w:t>
      </w:r>
      <w:r>
        <w:rPr>
          <w:rFonts w:hint="eastAsia" w:ascii="宋体"/>
          <w:szCs w:val="21"/>
        </w:rPr>
        <w:t>1. 投标文件的上传、提交：见投标人须知及前附表。</w:t>
      </w:r>
    </w:p>
    <w:p w14:paraId="7AF6E922">
      <w:pPr>
        <w:snapToGrid w:val="0"/>
        <w:spacing w:line="370" w:lineRule="exact"/>
        <w:ind w:firstLine="420" w:firstLineChars="200"/>
        <w:jc w:val="left"/>
        <w:rPr>
          <w:rFonts w:hint="eastAsia" w:ascii="宋体"/>
          <w:szCs w:val="21"/>
        </w:rPr>
      </w:pPr>
      <w:r>
        <w:rPr>
          <w:rFonts w:hint="eastAsia" w:ascii="宋体"/>
          <w:szCs w:val="21"/>
        </w:rPr>
        <w:t>2. 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广西政府采购云平台”将予以拒收。投标截止时间后，投标供应商不得撤回、修改投标文件。</w:t>
      </w:r>
    </w:p>
    <w:p w14:paraId="2509410B">
      <w:pPr>
        <w:snapToGrid w:val="0"/>
        <w:spacing w:line="370" w:lineRule="exact"/>
        <w:ind w:firstLine="420" w:firstLineChars="200"/>
        <w:jc w:val="left"/>
        <w:rPr>
          <w:rFonts w:hint="eastAsia" w:ascii="宋体"/>
          <w:szCs w:val="21"/>
        </w:rPr>
      </w:pPr>
      <w:r>
        <w:rPr>
          <w:rFonts w:hint="eastAsia" w:ascii="宋体"/>
          <w:szCs w:val="21"/>
        </w:rPr>
        <w:t>3. 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14:paraId="0B18ED95">
      <w:pPr>
        <w:snapToGrid w:val="0"/>
        <w:spacing w:line="370" w:lineRule="exact"/>
        <w:ind w:firstLine="420" w:firstLineChars="200"/>
        <w:jc w:val="left"/>
        <w:rPr>
          <w:rFonts w:hint="eastAsia" w:ascii="宋体"/>
          <w:szCs w:val="21"/>
        </w:rPr>
      </w:pPr>
      <w:r>
        <w:rPr>
          <w:rFonts w:hint="eastAsia" w:ascii="宋体"/>
          <w:szCs w:val="21"/>
        </w:rPr>
        <w:t>4.投标人已经被推荐为第一中标候选供应商后撤回投标或放弃中标的，其投标保证金将不予退还，并上缴国库，给采购人造成损失的，还应当赔偿损失，并作为不良行为记录在案。</w:t>
      </w:r>
    </w:p>
    <w:p w14:paraId="702DFD7E">
      <w:pPr>
        <w:snapToGrid w:val="0"/>
        <w:spacing w:line="370" w:lineRule="exact"/>
        <w:ind w:firstLine="422" w:firstLineChars="200"/>
        <w:jc w:val="left"/>
        <w:rPr>
          <w:rFonts w:hint="eastAsia" w:ascii="宋体"/>
          <w:b/>
          <w:szCs w:val="21"/>
        </w:rPr>
      </w:pPr>
      <w:r>
        <w:rPr>
          <w:rFonts w:hint="eastAsia" w:ascii="宋体"/>
          <w:b/>
          <w:szCs w:val="21"/>
        </w:rPr>
        <w:t>（八）投标无效的情形</w:t>
      </w:r>
      <w:bookmarkEnd w:id="93"/>
      <w:bookmarkEnd w:id="94"/>
    </w:p>
    <w:p w14:paraId="4B20F596">
      <w:pPr>
        <w:snapToGrid w:val="0"/>
        <w:spacing w:line="370" w:lineRule="exact"/>
        <w:ind w:firstLine="420" w:firstLineChars="200"/>
        <w:jc w:val="left"/>
        <w:rPr>
          <w:rFonts w:hint="eastAsia" w:ascii="宋体"/>
          <w:bCs/>
          <w:szCs w:val="21"/>
        </w:rPr>
      </w:pPr>
      <w:r>
        <w:rPr>
          <w:rFonts w:hint="eastAsia" w:ascii="宋体"/>
          <w:bCs/>
          <w:szCs w:val="21"/>
        </w:rPr>
        <w:t>实质上没有响应招标文件要求的投标将被视为无效投标。投标人不得通过修正或撤销不合要求的偏离或保留从而使其投标成为实质上响应的投标，但经评标委员会认定属于投标人疏忽、笔误所造成的差错，应当允许其在评标结束之前在广西政府采购云平台系统上进行修改或者补正并加盖单位公章。在评标委员会发出询标函规定的回复限期内不补正或经补正后仍不符合招标文件要求的，应认定其投标无效。投标人修改、补正投标文件后，不影响评标委员会对其投标文件所作的评价和评分结果。</w:t>
      </w:r>
    </w:p>
    <w:p w14:paraId="0EB3D5A0">
      <w:pPr>
        <w:snapToGrid w:val="0"/>
        <w:spacing w:line="370" w:lineRule="exact"/>
        <w:ind w:firstLine="422" w:firstLineChars="200"/>
        <w:jc w:val="left"/>
        <w:rPr>
          <w:rFonts w:hint="eastAsia" w:ascii="宋体"/>
          <w:b/>
          <w:bCs/>
          <w:szCs w:val="21"/>
        </w:rPr>
      </w:pPr>
      <w:r>
        <w:rPr>
          <w:rFonts w:hint="eastAsia" w:ascii="宋体"/>
          <w:b/>
          <w:bCs/>
          <w:szCs w:val="21"/>
        </w:rPr>
        <w:t>1.在资格、符合性审查时，如发现下列情形之一的，投标文件将被视为无效：</w:t>
      </w:r>
    </w:p>
    <w:p w14:paraId="7BEF2045">
      <w:pPr>
        <w:snapToGrid w:val="0"/>
        <w:spacing w:line="370" w:lineRule="exact"/>
        <w:ind w:firstLine="411" w:firstLineChars="196"/>
        <w:rPr>
          <w:rFonts w:hint="eastAsia" w:ascii="宋体"/>
          <w:szCs w:val="21"/>
        </w:rPr>
      </w:pPr>
      <w:r>
        <w:rPr>
          <w:rFonts w:hint="eastAsia" w:ascii="宋体"/>
          <w:szCs w:val="21"/>
        </w:rPr>
        <w:t>（1）</w:t>
      </w:r>
      <w:r>
        <w:rPr>
          <w:rFonts w:hint="eastAsia" w:ascii="宋体" w:cs="仿宋_GB2312"/>
          <w:szCs w:val="21"/>
        </w:rPr>
        <w:t>超越了按照法律法规规定必须获得行政许可或者行政审批的经营范围的</w:t>
      </w:r>
      <w:r>
        <w:rPr>
          <w:rFonts w:hint="eastAsia" w:ascii="宋体"/>
          <w:szCs w:val="21"/>
        </w:rPr>
        <w:t>；</w:t>
      </w:r>
    </w:p>
    <w:p w14:paraId="1C3D0139">
      <w:pPr>
        <w:snapToGrid w:val="0"/>
        <w:spacing w:line="370" w:lineRule="exact"/>
        <w:ind w:firstLine="411" w:firstLineChars="196"/>
        <w:rPr>
          <w:rFonts w:hint="eastAsia" w:ascii="宋体"/>
          <w:szCs w:val="21"/>
        </w:rPr>
      </w:pPr>
      <w:r>
        <w:rPr>
          <w:rFonts w:hint="eastAsia" w:ascii="宋体"/>
          <w:szCs w:val="21"/>
        </w:rPr>
        <w:t>（2）资格证明文件不全的，或者不符合招标文件标明的资格要求的；</w:t>
      </w:r>
    </w:p>
    <w:p w14:paraId="700C5A05">
      <w:pPr>
        <w:snapToGrid w:val="0"/>
        <w:spacing w:line="370" w:lineRule="exact"/>
        <w:ind w:firstLine="411" w:firstLineChars="196"/>
        <w:rPr>
          <w:rFonts w:hint="eastAsia" w:ascii="宋体"/>
          <w:bCs/>
          <w:kern w:val="0"/>
          <w:szCs w:val="21"/>
        </w:rPr>
      </w:pPr>
      <w:r>
        <w:rPr>
          <w:rFonts w:hint="eastAsia" w:ascii="宋体"/>
          <w:szCs w:val="21"/>
        </w:rPr>
        <w:t>（3）</w:t>
      </w:r>
      <w:r>
        <w:rPr>
          <w:rFonts w:hint="eastAsia" w:ascii="宋体"/>
          <w:spacing w:val="-4"/>
          <w:szCs w:val="21"/>
        </w:rPr>
        <w:t>投标文件无法定代表人(负责人)或其授权委托代理人签字，或未</w:t>
      </w:r>
      <w:r>
        <w:rPr>
          <w:rFonts w:hint="eastAsia" w:ascii="宋体"/>
          <w:bCs/>
          <w:spacing w:val="-4"/>
          <w:kern w:val="0"/>
          <w:szCs w:val="21"/>
        </w:rPr>
        <w:t>提供法定代表人(负责人)授权委托书、投标声明书</w:t>
      </w:r>
      <w:r>
        <w:rPr>
          <w:rFonts w:hint="eastAsia" w:ascii="宋体" w:hAnsi="宋体"/>
          <w:bCs/>
          <w:spacing w:val="-4"/>
          <w:kern w:val="0"/>
          <w:szCs w:val="21"/>
        </w:rPr>
        <w:t>或者填写内容不齐全</w:t>
      </w:r>
      <w:r>
        <w:rPr>
          <w:rFonts w:hint="eastAsia" w:ascii="宋体"/>
          <w:bCs/>
          <w:spacing w:val="-4"/>
          <w:kern w:val="0"/>
          <w:szCs w:val="21"/>
        </w:rPr>
        <w:t>的；</w:t>
      </w:r>
    </w:p>
    <w:p w14:paraId="31CBC6EB">
      <w:pPr>
        <w:snapToGrid w:val="0"/>
        <w:spacing w:line="370" w:lineRule="exact"/>
        <w:ind w:firstLine="411" w:firstLineChars="196"/>
        <w:rPr>
          <w:rFonts w:hint="eastAsia" w:ascii="宋体"/>
          <w:szCs w:val="21"/>
        </w:rPr>
      </w:pPr>
      <w:r>
        <w:rPr>
          <w:rFonts w:hint="eastAsia" w:ascii="宋体"/>
          <w:szCs w:val="21"/>
        </w:rPr>
        <w:t xml:space="preserve">（4）投标代表人未能出具身份证明或与法定代表人(负责人)授权委托人身份不符的； </w:t>
      </w:r>
    </w:p>
    <w:p w14:paraId="57613095">
      <w:pPr>
        <w:pStyle w:val="22"/>
        <w:snapToGrid w:val="0"/>
        <w:spacing w:line="370" w:lineRule="exact"/>
        <w:ind w:firstLine="411" w:firstLineChars="196"/>
        <w:rPr>
          <w:rFonts w:hint="eastAsia" w:ascii="宋体" w:eastAsia="宋体"/>
          <w:snapToGrid w:val="0"/>
          <w:sz w:val="21"/>
          <w:szCs w:val="21"/>
        </w:rPr>
      </w:pPr>
      <w:r>
        <w:rPr>
          <w:rFonts w:hint="eastAsia" w:ascii="宋体" w:eastAsia="宋体"/>
          <w:sz w:val="21"/>
          <w:szCs w:val="21"/>
        </w:rPr>
        <w:t>（</w:t>
      </w:r>
      <w:r>
        <w:rPr>
          <w:rFonts w:hint="eastAsia" w:ascii="宋体" w:eastAsia="宋体"/>
          <w:snapToGrid w:val="0"/>
          <w:sz w:val="21"/>
          <w:szCs w:val="21"/>
        </w:rPr>
        <w:t>5）</w:t>
      </w:r>
      <w:r>
        <w:rPr>
          <w:rFonts w:hint="eastAsia" w:ascii="宋体" w:eastAsia="宋体" w:cs="仿宋_GB2312"/>
          <w:sz w:val="21"/>
          <w:szCs w:val="21"/>
        </w:rPr>
        <w:t>项目填写不齐全或者内容虚假的</w:t>
      </w:r>
      <w:r>
        <w:rPr>
          <w:rFonts w:hint="eastAsia" w:ascii="宋体" w:eastAsia="宋体"/>
          <w:sz w:val="21"/>
          <w:szCs w:val="21"/>
        </w:rPr>
        <w:t>；</w:t>
      </w:r>
    </w:p>
    <w:p w14:paraId="6C54B66E">
      <w:pPr>
        <w:pStyle w:val="22"/>
        <w:snapToGrid w:val="0"/>
        <w:spacing w:line="370" w:lineRule="exact"/>
        <w:ind w:firstLine="411" w:firstLineChars="196"/>
        <w:rPr>
          <w:rFonts w:hint="eastAsia" w:ascii="宋体" w:eastAsia="宋体"/>
          <w:snapToGrid w:val="0"/>
          <w:sz w:val="21"/>
          <w:szCs w:val="21"/>
        </w:rPr>
      </w:pPr>
      <w:r>
        <w:rPr>
          <w:rFonts w:hint="eastAsia" w:ascii="宋体" w:eastAsia="宋体"/>
          <w:sz w:val="21"/>
          <w:szCs w:val="21"/>
        </w:rPr>
        <w:t>（6）</w:t>
      </w:r>
      <w:r>
        <w:rPr>
          <w:rFonts w:hint="eastAsia" w:ascii="宋体" w:eastAsia="宋体" w:cs="仿宋_GB2312"/>
          <w:sz w:val="21"/>
          <w:szCs w:val="21"/>
        </w:rPr>
        <w:t>投标文件的实质性内容未使用中文表述、意思表述不明确、前后矛盾或者使用计量单位不符合招标文件要求的</w:t>
      </w:r>
      <w:r>
        <w:rPr>
          <w:rFonts w:hint="eastAsia" w:ascii="宋体" w:eastAsia="宋体"/>
          <w:sz w:val="21"/>
          <w:szCs w:val="21"/>
        </w:rPr>
        <w:t>（经评标委员会认定并允许其当场更正的笔误除外）；</w:t>
      </w:r>
    </w:p>
    <w:p w14:paraId="0FD40C8C">
      <w:pPr>
        <w:pStyle w:val="22"/>
        <w:snapToGrid w:val="0"/>
        <w:spacing w:line="360" w:lineRule="exact"/>
        <w:ind w:firstLine="411" w:firstLineChars="196"/>
        <w:rPr>
          <w:rFonts w:hint="eastAsia" w:ascii="宋体" w:hAnsi="宋体" w:eastAsia="宋体"/>
          <w:sz w:val="21"/>
          <w:szCs w:val="21"/>
        </w:rPr>
      </w:pPr>
      <w:r>
        <w:rPr>
          <w:rFonts w:hint="eastAsia" w:ascii="宋体" w:hAnsi="宋体" w:eastAsia="宋体"/>
          <w:sz w:val="21"/>
          <w:szCs w:val="21"/>
        </w:rPr>
        <w:t>（7）</w:t>
      </w:r>
      <w:r>
        <w:rPr>
          <w:rFonts w:hint="eastAsia" w:ascii="宋体" w:hAnsi="宋体" w:eastAsia="宋体"/>
          <w:spacing w:val="-4"/>
          <w:sz w:val="21"/>
          <w:szCs w:val="21"/>
        </w:rPr>
        <w:t>未实质性响应招标文件要求或者投标文件有招标方不能接受的附加条件的；</w:t>
      </w:r>
    </w:p>
    <w:p w14:paraId="1F54655D">
      <w:pPr>
        <w:pStyle w:val="22"/>
        <w:snapToGrid w:val="0"/>
        <w:spacing w:line="360" w:lineRule="exact"/>
        <w:ind w:firstLine="411" w:firstLineChars="196"/>
        <w:rPr>
          <w:rFonts w:hint="eastAsia" w:ascii="宋体" w:hAnsi="宋体" w:eastAsia="宋体"/>
          <w:sz w:val="21"/>
          <w:szCs w:val="21"/>
        </w:rPr>
      </w:pPr>
      <w:r>
        <w:rPr>
          <w:rFonts w:hint="eastAsia" w:ascii="宋体" w:hAnsi="宋体" w:eastAsia="宋体"/>
          <w:sz w:val="21"/>
          <w:szCs w:val="21"/>
        </w:rPr>
        <w:t>（8）未按照招标文件的规定提交投标保证金的；（说明：评标时，评标委员会将以本采购代理财务室编制的《项目投标保证金到账信息表》作为评审参考依据）。</w:t>
      </w:r>
    </w:p>
    <w:p w14:paraId="3E95A44A">
      <w:pPr>
        <w:pStyle w:val="22"/>
        <w:snapToGrid w:val="0"/>
        <w:spacing w:line="360" w:lineRule="exact"/>
        <w:ind w:firstLine="411" w:firstLineChars="196"/>
        <w:rPr>
          <w:rFonts w:hint="eastAsia" w:ascii="宋体" w:hAnsi="宋体" w:eastAsia="宋体"/>
          <w:sz w:val="21"/>
          <w:szCs w:val="21"/>
        </w:rPr>
      </w:pPr>
      <w:r>
        <w:rPr>
          <w:rFonts w:hint="eastAsia" w:ascii="宋体" w:hAnsi="宋体" w:eastAsia="宋体"/>
          <w:sz w:val="21"/>
          <w:szCs w:val="21"/>
        </w:rPr>
        <w:t>（9）法律、法规和招标文件规定的其他无效情形。</w:t>
      </w:r>
    </w:p>
    <w:p w14:paraId="0FAC4CD2">
      <w:pPr>
        <w:pStyle w:val="22"/>
        <w:snapToGrid w:val="0"/>
        <w:spacing w:line="370" w:lineRule="exact"/>
        <w:ind w:firstLine="413" w:firstLineChars="196"/>
        <w:rPr>
          <w:rFonts w:hint="eastAsia" w:ascii="宋体" w:eastAsia="宋体"/>
          <w:b/>
          <w:bCs/>
          <w:sz w:val="21"/>
          <w:szCs w:val="21"/>
        </w:rPr>
      </w:pPr>
      <w:r>
        <w:rPr>
          <w:rFonts w:hint="eastAsia" w:ascii="宋体" w:eastAsia="宋体"/>
          <w:b/>
          <w:bCs/>
          <w:sz w:val="21"/>
          <w:szCs w:val="21"/>
        </w:rPr>
        <w:t>2.在商务、技术评审时，如发现下列情形之一的，投标文件将被视为无效：</w:t>
      </w:r>
    </w:p>
    <w:p w14:paraId="147008A7">
      <w:pPr>
        <w:pStyle w:val="22"/>
        <w:snapToGrid w:val="0"/>
        <w:spacing w:line="370" w:lineRule="exact"/>
        <w:ind w:firstLine="411" w:firstLineChars="196"/>
        <w:rPr>
          <w:rFonts w:hint="eastAsia" w:ascii="宋体" w:eastAsia="宋体"/>
          <w:snapToGrid w:val="0"/>
          <w:sz w:val="21"/>
          <w:szCs w:val="21"/>
        </w:rPr>
      </w:pPr>
      <w:r>
        <w:rPr>
          <w:rFonts w:hint="eastAsia" w:ascii="宋体" w:eastAsia="宋体"/>
          <w:sz w:val="21"/>
          <w:szCs w:val="21"/>
        </w:rPr>
        <w:t>（</w:t>
      </w:r>
      <w:r>
        <w:rPr>
          <w:rFonts w:hint="eastAsia" w:ascii="宋体" w:eastAsia="宋体"/>
          <w:snapToGrid w:val="0"/>
          <w:sz w:val="21"/>
          <w:szCs w:val="21"/>
        </w:rPr>
        <w:t>1）投标有效期等商务条款不能满足招标文件要求的；</w:t>
      </w:r>
    </w:p>
    <w:p w14:paraId="036885EA">
      <w:pPr>
        <w:pStyle w:val="22"/>
        <w:snapToGrid w:val="0"/>
        <w:spacing w:line="370" w:lineRule="exact"/>
        <w:ind w:firstLine="411" w:firstLineChars="196"/>
        <w:rPr>
          <w:rFonts w:hint="eastAsia" w:ascii="宋体" w:eastAsia="宋体"/>
          <w:sz w:val="21"/>
          <w:szCs w:val="21"/>
        </w:rPr>
      </w:pPr>
      <w:r>
        <w:rPr>
          <w:rFonts w:hint="eastAsia" w:ascii="宋体" w:eastAsia="宋体"/>
          <w:sz w:val="21"/>
          <w:szCs w:val="21"/>
        </w:rPr>
        <w:t>（2）未实质性响应招标文件要求或者投标文件有采购人不能接受的附加条件的；</w:t>
      </w:r>
    </w:p>
    <w:p w14:paraId="36D958A7">
      <w:pPr>
        <w:pStyle w:val="22"/>
        <w:snapToGrid w:val="0"/>
        <w:spacing w:line="370" w:lineRule="exact"/>
        <w:ind w:firstLine="411" w:firstLineChars="196"/>
        <w:rPr>
          <w:rFonts w:hint="eastAsia" w:ascii="宋体" w:eastAsia="宋体"/>
          <w:sz w:val="21"/>
          <w:szCs w:val="21"/>
        </w:rPr>
      </w:pPr>
      <w:r>
        <w:rPr>
          <w:rFonts w:hint="eastAsia" w:ascii="宋体" w:eastAsia="宋体"/>
          <w:sz w:val="21"/>
          <w:szCs w:val="21"/>
        </w:rPr>
        <w:t>（3）未提供或未如实提供投标服务的服务承诺，或者投标文件标明的响应或偏离与事实不符或虚假投标的；</w:t>
      </w:r>
    </w:p>
    <w:p w14:paraId="7A5D0B4B">
      <w:pPr>
        <w:pStyle w:val="22"/>
        <w:snapToGrid w:val="0"/>
        <w:spacing w:line="370" w:lineRule="exact"/>
        <w:ind w:firstLine="411" w:firstLineChars="196"/>
        <w:rPr>
          <w:rFonts w:hint="eastAsia" w:ascii="宋体" w:eastAsia="宋体"/>
          <w:snapToGrid w:val="0"/>
          <w:sz w:val="21"/>
          <w:szCs w:val="21"/>
        </w:rPr>
      </w:pPr>
      <w:r>
        <w:rPr>
          <w:rFonts w:hint="eastAsia" w:ascii="宋体" w:eastAsia="宋体"/>
          <w:sz w:val="21"/>
          <w:szCs w:val="21"/>
        </w:rPr>
        <w:t>（4）</w:t>
      </w:r>
      <w:r>
        <w:rPr>
          <w:rFonts w:hint="eastAsia" w:ascii="宋体" w:eastAsia="宋体"/>
          <w:snapToGrid w:val="0"/>
          <w:sz w:val="21"/>
          <w:szCs w:val="21"/>
        </w:rPr>
        <w:t>明显不符合招标文件要求的服务要求，或者与招标文件中标“★”的技术指标、主要功能项目发生实质性负偏离的；</w:t>
      </w:r>
    </w:p>
    <w:p w14:paraId="4933DE0C">
      <w:pPr>
        <w:pStyle w:val="22"/>
        <w:snapToGrid w:val="0"/>
        <w:spacing w:line="370" w:lineRule="exact"/>
        <w:ind w:firstLine="411" w:firstLineChars="196"/>
        <w:rPr>
          <w:rFonts w:hint="eastAsia" w:ascii="宋体" w:eastAsia="宋体"/>
          <w:snapToGrid w:val="0"/>
          <w:sz w:val="21"/>
          <w:szCs w:val="21"/>
        </w:rPr>
      </w:pPr>
      <w:r>
        <w:rPr>
          <w:rFonts w:hint="eastAsia" w:ascii="宋体" w:eastAsia="宋体"/>
          <w:snapToGrid w:val="0"/>
          <w:sz w:val="21"/>
          <w:szCs w:val="21"/>
        </w:rPr>
        <w:t>（5）</w:t>
      </w:r>
      <w:r>
        <w:rPr>
          <w:rFonts w:hint="eastAsia" w:ascii="宋体" w:hAnsi="宋体" w:eastAsia="宋体"/>
          <w:sz w:val="21"/>
          <w:szCs w:val="21"/>
        </w:rPr>
        <w:t>允许偏离的商务、技术、性能指标或者辅助功能项目发生负偏离超出允许的范围以上的</w:t>
      </w:r>
      <w:r>
        <w:rPr>
          <w:rFonts w:hint="eastAsia" w:ascii="宋体" w:hAnsi="宋体" w:eastAsia="宋体"/>
          <w:color w:val="000000"/>
          <w:spacing w:val="-4"/>
          <w:sz w:val="21"/>
          <w:szCs w:val="21"/>
        </w:rPr>
        <w:t>；</w:t>
      </w:r>
    </w:p>
    <w:p w14:paraId="57296AF4">
      <w:pPr>
        <w:pStyle w:val="22"/>
        <w:snapToGrid w:val="0"/>
        <w:spacing w:line="370" w:lineRule="exact"/>
        <w:ind w:firstLine="411" w:firstLineChars="196"/>
        <w:rPr>
          <w:rFonts w:hint="eastAsia" w:ascii="宋体" w:eastAsia="宋体"/>
          <w:snapToGrid w:val="0"/>
          <w:sz w:val="21"/>
          <w:szCs w:val="21"/>
        </w:rPr>
      </w:pPr>
      <w:r>
        <w:rPr>
          <w:rFonts w:hint="eastAsia" w:ascii="宋体" w:eastAsia="宋体"/>
          <w:snapToGrid w:val="0"/>
          <w:sz w:val="21"/>
          <w:szCs w:val="21"/>
        </w:rPr>
        <w:t>（6）投标技术方案不明确，存在一个或一个以上备选（替代）投标方案的；</w:t>
      </w:r>
    </w:p>
    <w:p w14:paraId="7809AF9D">
      <w:pPr>
        <w:pStyle w:val="22"/>
        <w:snapToGrid w:val="0"/>
        <w:spacing w:line="370" w:lineRule="exact"/>
        <w:ind w:firstLine="411" w:firstLineChars="196"/>
        <w:rPr>
          <w:rFonts w:hint="eastAsia" w:ascii="宋体" w:eastAsia="宋体"/>
          <w:snapToGrid w:val="0"/>
          <w:sz w:val="21"/>
          <w:szCs w:val="21"/>
        </w:rPr>
      </w:pPr>
      <w:r>
        <w:rPr>
          <w:rFonts w:hint="eastAsia" w:ascii="宋体" w:eastAsia="宋体"/>
          <w:snapToGrid w:val="0"/>
          <w:sz w:val="21"/>
          <w:szCs w:val="21"/>
        </w:rPr>
        <w:t>（7）与其他参加本次投标供应商的投标文件（技术文件）的文字表述内容差错相同二处以上的；</w:t>
      </w:r>
    </w:p>
    <w:p w14:paraId="4069B592">
      <w:pPr>
        <w:pStyle w:val="22"/>
        <w:snapToGrid w:val="0"/>
        <w:spacing w:line="370" w:lineRule="exact"/>
        <w:ind w:firstLine="413" w:firstLineChars="196"/>
        <w:rPr>
          <w:rFonts w:hint="eastAsia" w:ascii="宋体" w:eastAsia="宋体"/>
          <w:b/>
          <w:bCs/>
          <w:sz w:val="21"/>
          <w:szCs w:val="21"/>
        </w:rPr>
      </w:pPr>
      <w:r>
        <w:rPr>
          <w:rFonts w:hint="eastAsia" w:ascii="宋体" w:eastAsia="宋体"/>
          <w:b/>
          <w:bCs/>
          <w:sz w:val="21"/>
          <w:szCs w:val="21"/>
        </w:rPr>
        <w:t>3.在报价评审时，如发现下列情形之一的，投标文件将被视为无效：</w:t>
      </w:r>
    </w:p>
    <w:p w14:paraId="771E3CEF">
      <w:pPr>
        <w:pStyle w:val="22"/>
        <w:snapToGrid w:val="0"/>
        <w:spacing w:line="370" w:lineRule="exact"/>
        <w:ind w:firstLine="411" w:firstLineChars="196"/>
        <w:rPr>
          <w:rFonts w:hint="eastAsia" w:ascii="宋体" w:eastAsia="宋体"/>
          <w:sz w:val="21"/>
          <w:szCs w:val="21"/>
        </w:rPr>
      </w:pPr>
      <w:r>
        <w:rPr>
          <w:rFonts w:hint="eastAsia" w:ascii="宋体" w:eastAsia="宋体"/>
          <w:sz w:val="21"/>
          <w:szCs w:val="21"/>
        </w:rPr>
        <w:t>（1）未采用人民币报价或者未按照招标文件标明的币种报价的；</w:t>
      </w:r>
    </w:p>
    <w:p w14:paraId="24C4A1C2">
      <w:pPr>
        <w:pStyle w:val="22"/>
        <w:snapToGrid w:val="0"/>
        <w:spacing w:line="370" w:lineRule="exact"/>
        <w:ind w:firstLine="411" w:firstLineChars="196"/>
        <w:rPr>
          <w:rFonts w:hint="eastAsia" w:ascii="宋体" w:eastAsia="宋体"/>
          <w:sz w:val="21"/>
          <w:szCs w:val="21"/>
        </w:rPr>
      </w:pPr>
      <w:r>
        <w:rPr>
          <w:rFonts w:hint="eastAsia" w:ascii="宋体" w:eastAsia="宋体"/>
          <w:sz w:val="21"/>
          <w:szCs w:val="21"/>
        </w:rPr>
        <w:t>（2）报价超出最高限价，或者超出采购预算金额，采购人不能支付的；</w:t>
      </w:r>
    </w:p>
    <w:p w14:paraId="67547A8C">
      <w:pPr>
        <w:pStyle w:val="22"/>
        <w:snapToGrid w:val="0"/>
        <w:spacing w:line="370" w:lineRule="exact"/>
        <w:ind w:firstLine="420" w:firstLineChars="200"/>
        <w:rPr>
          <w:rFonts w:hint="eastAsia" w:ascii="宋体" w:eastAsia="宋体"/>
          <w:color w:val="auto"/>
          <w:sz w:val="21"/>
          <w:szCs w:val="21"/>
        </w:rPr>
      </w:pPr>
      <w:r>
        <w:rPr>
          <w:rFonts w:hint="eastAsia" w:ascii="宋体" w:eastAsia="宋体"/>
          <w:color w:val="auto"/>
          <w:sz w:val="21"/>
          <w:szCs w:val="21"/>
        </w:rPr>
        <w:t>（3）投标报价具有选择性，或者开标价格与投标文件承诺的优惠（折扣）价格不一致的；</w:t>
      </w:r>
    </w:p>
    <w:p w14:paraId="1CF26F30">
      <w:pPr>
        <w:pStyle w:val="22"/>
        <w:snapToGrid w:val="0"/>
        <w:spacing w:line="370" w:lineRule="exact"/>
        <w:ind w:firstLine="420" w:firstLineChars="200"/>
        <w:rPr>
          <w:rFonts w:hint="eastAsia" w:ascii="宋体" w:eastAsia="宋体"/>
          <w:color w:val="auto"/>
          <w:sz w:val="21"/>
          <w:szCs w:val="21"/>
        </w:rPr>
      </w:pPr>
      <w:r>
        <w:rPr>
          <w:rFonts w:hint="eastAsia" w:ascii="宋体" w:eastAsia="宋体"/>
          <w:color w:val="auto"/>
          <w:sz w:val="21"/>
          <w:szCs w:val="21"/>
        </w:rPr>
        <w:t>（4）评审委员会启动异常低价投标审查，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r>
        <w:rPr>
          <w:rFonts w:hint="eastAsia" w:ascii="宋体" w:hAnsi="Times New Roman" w:eastAsia="宋体" w:cs="Times New Roman"/>
          <w:color w:val="auto"/>
          <w:sz w:val="21"/>
          <w:szCs w:val="21"/>
          <w:lang w:val="en-US" w:eastAsia="zh-CN"/>
        </w:rPr>
        <w:t>。</w:t>
      </w:r>
    </w:p>
    <w:p w14:paraId="2D4B681A">
      <w:pPr>
        <w:pStyle w:val="22"/>
        <w:snapToGrid w:val="0"/>
        <w:spacing w:line="370" w:lineRule="exact"/>
        <w:ind w:firstLine="422" w:firstLineChars="200"/>
        <w:rPr>
          <w:rFonts w:hint="eastAsia" w:ascii="宋体" w:eastAsia="宋体"/>
          <w:b/>
          <w:sz w:val="21"/>
          <w:szCs w:val="21"/>
        </w:rPr>
      </w:pPr>
      <w:r>
        <w:rPr>
          <w:rFonts w:hint="eastAsia" w:ascii="宋体" w:eastAsia="宋体"/>
          <w:b/>
          <w:sz w:val="21"/>
          <w:szCs w:val="21"/>
        </w:rPr>
        <w:t>4.有下列情形之一的视为投标人相互串通投标，投标文件将被视为无效：</w:t>
      </w:r>
    </w:p>
    <w:p w14:paraId="5BE5740A">
      <w:pPr>
        <w:pStyle w:val="22"/>
        <w:snapToGrid w:val="0"/>
        <w:spacing w:line="370" w:lineRule="exact"/>
        <w:ind w:firstLine="420" w:firstLineChars="200"/>
        <w:rPr>
          <w:rFonts w:hint="eastAsia" w:ascii="宋体" w:eastAsia="宋体"/>
          <w:sz w:val="21"/>
          <w:szCs w:val="21"/>
        </w:rPr>
      </w:pPr>
      <w:r>
        <w:rPr>
          <w:rFonts w:hint="eastAsia" w:ascii="宋体" w:eastAsia="宋体"/>
          <w:sz w:val="21"/>
          <w:szCs w:val="21"/>
        </w:rPr>
        <w:t>（1）不同投标人的投标文件由同一单位或者个人编制；或不同投标人报名的IP地址一致的；</w:t>
      </w:r>
    </w:p>
    <w:p w14:paraId="614C7761">
      <w:pPr>
        <w:pStyle w:val="22"/>
        <w:snapToGrid w:val="0"/>
        <w:spacing w:line="370" w:lineRule="exact"/>
        <w:ind w:firstLine="420" w:firstLineChars="200"/>
        <w:rPr>
          <w:rFonts w:hint="eastAsia" w:ascii="宋体" w:eastAsia="宋体"/>
          <w:sz w:val="21"/>
          <w:szCs w:val="21"/>
        </w:rPr>
      </w:pPr>
      <w:r>
        <w:rPr>
          <w:rFonts w:hint="eastAsia" w:ascii="宋体" w:eastAsia="宋体"/>
          <w:sz w:val="21"/>
          <w:szCs w:val="21"/>
        </w:rPr>
        <w:t>（2）不同投标人委托同一单位或者个人办理投标事宜；</w:t>
      </w:r>
    </w:p>
    <w:p w14:paraId="66D36A41">
      <w:pPr>
        <w:pStyle w:val="22"/>
        <w:snapToGrid w:val="0"/>
        <w:spacing w:line="370" w:lineRule="exact"/>
        <w:ind w:firstLine="420" w:firstLineChars="200"/>
        <w:rPr>
          <w:rFonts w:hint="eastAsia" w:ascii="宋体" w:eastAsia="宋体"/>
          <w:sz w:val="21"/>
          <w:szCs w:val="21"/>
        </w:rPr>
      </w:pPr>
      <w:r>
        <w:rPr>
          <w:rFonts w:hint="eastAsia" w:ascii="宋体" w:eastAsia="宋体"/>
          <w:sz w:val="21"/>
          <w:szCs w:val="21"/>
        </w:rPr>
        <w:t>（3）不同投标人的投标文件载明的项目管理成员或者联系人员为同一人；</w:t>
      </w:r>
    </w:p>
    <w:p w14:paraId="418C9FE6">
      <w:pPr>
        <w:pStyle w:val="22"/>
        <w:snapToGrid w:val="0"/>
        <w:spacing w:line="370" w:lineRule="exact"/>
        <w:ind w:firstLine="420" w:firstLineChars="200"/>
        <w:rPr>
          <w:rFonts w:hint="eastAsia" w:ascii="宋体" w:eastAsia="宋体"/>
          <w:sz w:val="21"/>
          <w:szCs w:val="21"/>
        </w:rPr>
      </w:pPr>
      <w:r>
        <w:rPr>
          <w:rFonts w:hint="eastAsia" w:ascii="宋体" w:eastAsia="宋体"/>
          <w:sz w:val="21"/>
          <w:szCs w:val="21"/>
        </w:rPr>
        <w:t>（4）不同投标人的投标文件异常一致或投标报价呈规律性差异；</w:t>
      </w:r>
    </w:p>
    <w:p w14:paraId="20FD22C0">
      <w:pPr>
        <w:pStyle w:val="22"/>
        <w:snapToGrid w:val="0"/>
        <w:spacing w:line="370" w:lineRule="exact"/>
        <w:ind w:firstLine="420" w:firstLineChars="200"/>
        <w:rPr>
          <w:rFonts w:hint="eastAsia" w:ascii="宋体" w:eastAsia="宋体"/>
          <w:sz w:val="21"/>
          <w:szCs w:val="21"/>
        </w:rPr>
      </w:pPr>
      <w:r>
        <w:rPr>
          <w:rFonts w:hint="eastAsia" w:ascii="宋体" w:eastAsia="宋体"/>
          <w:sz w:val="21"/>
          <w:szCs w:val="21"/>
        </w:rPr>
        <w:t>（5）不同投标人的投标文件相互混装；</w:t>
      </w:r>
    </w:p>
    <w:p w14:paraId="035074F4">
      <w:pPr>
        <w:pStyle w:val="22"/>
        <w:snapToGrid w:val="0"/>
        <w:spacing w:line="370" w:lineRule="exact"/>
        <w:ind w:firstLine="420" w:firstLineChars="200"/>
        <w:rPr>
          <w:rFonts w:hint="eastAsia" w:ascii="宋体" w:eastAsia="宋体"/>
          <w:sz w:val="21"/>
          <w:szCs w:val="21"/>
        </w:rPr>
      </w:pPr>
      <w:r>
        <w:rPr>
          <w:rFonts w:hint="eastAsia" w:ascii="宋体" w:eastAsia="宋体"/>
          <w:sz w:val="21"/>
          <w:szCs w:val="21"/>
        </w:rPr>
        <w:t>（6）不同投标人的投标保证金从同一个单位或者个人账户转出。</w:t>
      </w:r>
    </w:p>
    <w:p w14:paraId="4BF15B94">
      <w:pPr>
        <w:pStyle w:val="22"/>
        <w:snapToGrid w:val="0"/>
        <w:spacing w:line="370" w:lineRule="exact"/>
        <w:ind w:firstLine="422" w:firstLineChars="200"/>
        <w:rPr>
          <w:rFonts w:hint="eastAsia" w:ascii="宋体" w:eastAsia="宋体"/>
          <w:b/>
          <w:sz w:val="21"/>
          <w:szCs w:val="21"/>
        </w:rPr>
      </w:pPr>
      <w:r>
        <w:rPr>
          <w:rFonts w:hint="eastAsia" w:ascii="宋体" w:eastAsia="宋体"/>
          <w:b/>
          <w:sz w:val="21"/>
          <w:szCs w:val="21"/>
        </w:rPr>
        <w:t>5.其他投标无效的情形：</w:t>
      </w:r>
    </w:p>
    <w:p w14:paraId="21E1F95C">
      <w:pPr>
        <w:pStyle w:val="22"/>
        <w:snapToGrid w:val="0"/>
        <w:spacing w:line="370" w:lineRule="exact"/>
        <w:ind w:firstLine="420" w:firstLineChars="200"/>
        <w:rPr>
          <w:rFonts w:hint="eastAsia" w:ascii="宋体" w:eastAsia="宋体"/>
          <w:sz w:val="21"/>
          <w:szCs w:val="21"/>
        </w:rPr>
      </w:pPr>
      <w:r>
        <w:rPr>
          <w:rFonts w:hint="eastAsia" w:ascii="宋体" w:eastAsia="宋体"/>
          <w:sz w:val="21"/>
          <w:szCs w:val="21"/>
        </w:rPr>
        <w:t>（1）投标文件未按招标文件要求签署或CA电子签章的；</w:t>
      </w:r>
    </w:p>
    <w:p w14:paraId="400001D1">
      <w:pPr>
        <w:pStyle w:val="22"/>
        <w:snapToGrid w:val="0"/>
        <w:spacing w:line="370" w:lineRule="exact"/>
        <w:ind w:firstLine="420" w:firstLineChars="200"/>
        <w:rPr>
          <w:rFonts w:hint="eastAsia" w:ascii="宋体" w:eastAsia="宋体"/>
          <w:sz w:val="21"/>
          <w:szCs w:val="21"/>
        </w:rPr>
      </w:pPr>
      <w:r>
        <w:rPr>
          <w:rFonts w:hint="eastAsia" w:ascii="宋体" w:eastAsia="宋体"/>
          <w:sz w:val="21"/>
          <w:szCs w:val="21"/>
        </w:rPr>
        <w:t>（2）供应商提交两份或两份以上内容不同的投标文件；</w:t>
      </w:r>
    </w:p>
    <w:p w14:paraId="3B5C6E11">
      <w:pPr>
        <w:pStyle w:val="22"/>
        <w:snapToGrid w:val="0"/>
        <w:spacing w:line="370" w:lineRule="exact"/>
        <w:ind w:firstLine="420" w:firstLineChars="200"/>
        <w:rPr>
          <w:rFonts w:hint="eastAsia" w:ascii="宋体" w:eastAsia="宋体"/>
          <w:sz w:val="21"/>
          <w:szCs w:val="21"/>
        </w:rPr>
      </w:pPr>
      <w:r>
        <w:rPr>
          <w:rFonts w:hint="eastAsia" w:ascii="宋体" w:eastAsia="宋体"/>
          <w:sz w:val="21"/>
          <w:szCs w:val="21"/>
        </w:rPr>
        <w:t>（3）投标供应商在线制作投标文件时填写的报价金额与解密后“电子加密投标文件”中《开标一览表》填写的金额不一致并拒绝按招标文件要求接受调整的；</w:t>
      </w:r>
    </w:p>
    <w:p w14:paraId="1F01920C">
      <w:pPr>
        <w:pStyle w:val="22"/>
        <w:snapToGrid w:val="0"/>
        <w:spacing w:line="370" w:lineRule="exact"/>
        <w:ind w:firstLine="420" w:firstLineChars="200"/>
        <w:rPr>
          <w:rFonts w:hint="eastAsia" w:ascii="宋体" w:eastAsia="宋体"/>
          <w:sz w:val="21"/>
          <w:szCs w:val="21"/>
        </w:rPr>
      </w:pPr>
      <w:r>
        <w:rPr>
          <w:rFonts w:hint="eastAsia" w:ascii="宋体" w:eastAsia="宋体"/>
          <w:sz w:val="21"/>
          <w:szCs w:val="21"/>
        </w:rPr>
        <w:t>（4）法律、法规和招标文件规定的其他无效情形（或出现重大偏差）。</w:t>
      </w:r>
    </w:p>
    <w:p w14:paraId="221A3E67">
      <w:pPr>
        <w:pStyle w:val="22"/>
        <w:snapToGrid w:val="0"/>
        <w:spacing w:line="370" w:lineRule="exact"/>
        <w:ind w:firstLine="422" w:firstLineChars="200"/>
        <w:rPr>
          <w:rFonts w:hint="eastAsia" w:ascii="宋体" w:eastAsia="宋体"/>
          <w:b/>
          <w:sz w:val="21"/>
          <w:szCs w:val="21"/>
        </w:rPr>
      </w:pPr>
      <w:r>
        <w:rPr>
          <w:rFonts w:hint="eastAsia" w:ascii="宋体" w:eastAsia="宋体"/>
          <w:b/>
          <w:sz w:val="21"/>
          <w:szCs w:val="21"/>
        </w:rPr>
        <w:t>6.被拒绝的投标文件为无效。</w:t>
      </w:r>
    </w:p>
    <w:p w14:paraId="77583C1B">
      <w:pPr>
        <w:spacing w:line="370" w:lineRule="exact"/>
        <w:rPr>
          <w:rFonts w:hint="eastAsia"/>
        </w:rPr>
      </w:pPr>
      <w:bookmarkStart w:id="95" w:name="_Toc254970685"/>
      <w:bookmarkStart w:id="96" w:name="_Toc254970544"/>
    </w:p>
    <w:p w14:paraId="4B1DFDBB">
      <w:pPr>
        <w:spacing w:line="370" w:lineRule="exact"/>
        <w:jc w:val="center"/>
        <w:rPr>
          <w:rFonts w:hint="eastAsia"/>
          <w:b/>
        </w:rPr>
      </w:pPr>
      <w:r>
        <w:rPr>
          <w:rFonts w:hint="eastAsia"/>
          <w:b/>
        </w:rPr>
        <w:t>四、开  标</w:t>
      </w:r>
      <w:bookmarkEnd w:id="95"/>
      <w:bookmarkEnd w:id="96"/>
    </w:p>
    <w:p w14:paraId="2FD2501F">
      <w:pPr>
        <w:spacing w:line="370" w:lineRule="exact"/>
        <w:rPr>
          <w:rFonts w:hint="eastAsia"/>
          <w:b/>
        </w:rPr>
      </w:pPr>
      <w:r>
        <w:rPr>
          <w:rFonts w:hint="eastAsia"/>
        </w:rPr>
        <w:t xml:space="preserve">    </w:t>
      </w:r>
      <w:r>
        <w:rPr>
          <w:rFonts w:hint="eastAsia"/>
          <w:b/>
        </w:rPr>
        <w:t>（一）开标准备</w:t>
      </w:r>
    </w:p>
    <w:p w14:paraId="698BCFF1">
      <w:pPr>
        <w:spacing w:line="370" w:lineRule="exact"/>
        <w:ind w:firstLine="435"/>
        <w:rPr>
          <w:rFonts w:hint="eastAsia"/>
        </w:rPr>
      </w:pPr>
      <w:r>
        <w:rPr>
          <w:rFonts w:hint="eastAsia"/>
        </w:rPr>
        <w:t>采购代理机构将在规定的时间和地点通过“广西政府采购云平台”组织开标、开启投标文件，所有供应商均应当准时在线参加。投标供应商因未在线参加开标而导致投标文件无法按时解密等一切后果由供应商自行承担。</w:t>
      </w:r>
    </w:p>
    <w:p w14:paraId="76056EEB">
      <w:pPr>
        <w:spacing w:line="370" w:lineRule="exact"/>
        <w:rPr>
          <w:rFonts w:hint="eastAsia"/>
          <w:b/>
        </w:rPr>
      </w:pPr>
      <w:r>
        <w:rPr>
          <w:rFonts w:hint="eastAsia"/>
        </w:rPr>
        <w:t xml:space="preserve">    </w:t>
      </w:r>
      <w:r>
        <w:rPr>
          <w:rFonts w:hint="eastAsia"/>
          <w:b/>
        </w:rPr>
        <w:t>（二）开标程序</w:t>
      </w:r>
    </w:p>
    <w:p w14:paraId="53A92A59">
      <w:pPr>
        <w:spacing w:line="370" w:lineRule="exact"/>
        <w:ind w:firstLine="435"/>
        <w:rPr>
          <w:rFonts w:hint="eastAsia" w:ascii="宋体" w:hAnsi="宋体"/>
        </w:rPr>
      </w:pPr>
      <w:bookmarkStart w:id="97" w:name="_Toc254970545"/>
      <w:bookmarkStart w:id="98" w:name="_Toc254970686"/>
      <w:r>
        <w:rPr>
          <w:rFonts w:hint="eastAsia" w:ascii="宋体" w:hAnsi="宋体"/>
        </w:rPr>
        <w:t>1.电子开标会由本采购代理机构主持。</w:t>
      </w:r>
    </w:p>
    <w:p w14:paraId="6C87257D">
      <w:pPr>
        <w:spacing w:line="370" w:lineRule="exact"/>
        <w:ind w:firstLine="435"/>
        <w:rPr>
          <w:rFonts w:hint="eastAsia" w:ascii="宋体" w:hAnsi="宋体"/>
        </w:rPr>
      </w:pPr>
      <w:r>
        <w:rPr>
          <w:rFonts w:hint="eastAsia" w:ascii="宋体" w:hAnsi="宋体"/>
        </w:rPr>
        <w:t>2.本采购代理机构工作人员向各投标供应商发出电子加密投标文件【开始解密】通知，由供应商按招标文件规定的时间内自行进行投标文件解密。投标供应商未在规定时间内完成解密的，系统默认自动放弃。</w:t>
      </w:r>
    </w:p>
    <w:p w14:paraId="422D7690">
      <w:pPr>
        <w:spacing w:line="370" w:lineRule="exact"/>
        <w:ind w:firstLine="435"/>
        <w:rPr>
          <w:rFonts w:hint="eastAsia" w:ascii="宋体" w:hAnsi="宋体"/>
        </w:rPr>
      </w:pPr>
      <w:r>
        <w:rPr>
          <w:rFonts w:hint="eastAsia" w:ascii="宋体" w:hAnsi="宋体"/>
        </w:rPr>
        <w:t>3.投标文件解密结束，开启报价文件。投标供应商在线制作投标文件时填写的报价金额与解密后“电子加密投标文件”中《开标一览表》填写的金额不一致的，以解密后“电子加密投标文件”中《开标一览表》填写的金额为准，投标供应商拒绝接受此调整的，按无效投标处理。</w:t>
      </w:r>
    </w:p>
    <w:p w14:paraId="24412290">
      <w:pPr>
        <w:spacing w:line="370" w:lineRule="exact"/>
        <w:ind w:firstLine="435"/>
        <w:rPr>
          <w:rFonts w:hint="eastAsia" w:ascii="宋体" w:hAnsi="宋体"/>
        </w:rPr>
      </w:pPr>
      <w:r>
        <w:rPr>
          <w:rFonts w:hint="eastAsia" w:ascii="宋体" w:hAnsi="宋体"/>
        </w:rPr>
        <w:t>4.进入资格文件审查环节，采购人、采购代理机构根据双方签订的代理协议约定，依法对投标供应商的资格进行审查。</w:t>
      </w:r>
    </w:p>
    <w:p w14:paraId="67D7E4FF">
      <w:pPr>
        <w:spacing w:line="370" w:lineRule="exact"/>
        <w:ind w:firstLine="435"/>
        <w:rPr>
          <w:rFonts w:hint="eastAsia" w:ascii="宋体" w:hAnsi="宋体"/>
        </w:rPr>
      </w:pPr>
      <w:r>
        <w:rPr>
          <w:rFonts w:hint="eastAsia" w:ascii="宋体" w:hAnsi="宋体"/>
        </w:rPr>
        <w:t>5.开启资格审查通过的投标供应商的商务技术文件进入符合性审查及商务技术评审。</w:t>
      </w:r>
    </w:p>
    <w:p w14:paraId="2BC1A7D9">
      <w:pPr>
        <w:spacing w:line="370" w:lineRule="exact"/>
        <w:ind w:firstLine="435"/>
        <w:rPr>
          <w:rFonts w:hint="eastAsia" w:ascii="宋体" w:hAnsi="宋体"/>
        </w:rPr>
      </w:pPr>
      <w:r>
        <w:rPr>
          <w:rFonts w:hint="eastAsia" w:ascii="宋体" w:hAnsi="宋体"/>
        </w:rPr>
        <w:t>注：①当整个招标项目的投标人不足3家的不开标，本采购代理机构将按政府采购管理的有关规定处理。</w:t>
      </w:r>
    </w:p>
    <w:p w14:paraId="681C5A9E">
      <w:pPr>
        <w:spacing w:line="370" w:lineRule="exact"/>
        <w:ind w:firstLine="435"/>
        <w:rPr>
          <w:rFonts w:hint="eastAsia" w:ascii="宋体" w:hAnsi="宋体"/>
        </w:rPr>
      </w:pPr>
      <w:r>
        <w:rPr>
          <w:rFonts w:hint="eastAsia" w:ascii="宋体" w:hAnsi="宋体"/>
        </w:rPr>
        <w:t>②开标后，某分标投标人不足3家的，本采购代理机构将按政府采购管理的有关规定处理。</w:t>
      </w:r>
    </w:p>
    <w:p w14:paraId="7D578DB5">
      <w:pPr>
        <w:spacing w:line="370" w:lineRule="exact"/>
        <w:ind w:firstLine="435"/>
        <w:rPr>
          <w:rFonts w:hint="eastAsia" w:ascii="宋体" w:hAnsi="宋体"/>
          <w:b/>
        </w:rPr>
      </w:pPr>
      <w:r>
        <w:rPr>
          <w:rFonts w:hint="eastAsia" w:ascii="宋体" w:hAnsi="宋体"/>
          <w:b/>
        </w:rPr>
        <w:t>特别说明：如遇“广西政府采购云平台”电子化开标或评审程序调整的，按调整后程序执行。</w:t>
      </w:r>
    </w:p>
    <w:p w14:paraId="0A171E90">
      <w:pPr>
        <w:spacing w:line="370" w:lineRule="exact"/>
      </w:pPr>
    </w:p>
    <w:p w14:paraId="42578A0A">
      <w:pPr>
        <w:spacing w:line="360" w:lineRule="exact"/>
        <w:jc w:val="center"/>
        <w:rPr>
          <w:rFonts w:hint="eastAsia"/>
          <w:b/>
        </w:rPr>
      </w:pPr>
      <w:r>
        <w:rPr>
          <w:rFonts w:hint="eastAsia"/>
          <w:b/>
        </w:rPr>
        <w:t>五、资格审查</w:t>
      </w:r>
    </w:p>
    <w:p w14:paraId="5CA1CDB6">
      <w:pPr>
        <w:spacing w:line="360" w:lineRule="exact"/>
        <w:ind w:left="210" w:leftChars="100" w:firstLine="420" w:firstLineChars="200"/>
        <w:jc w:val="left"/>
        <w:rPr>
          <w:rFonts w:hint="eastAsia" w:ascii="宋体" w:hAnsi="宋体"/>
        </w:rPr>
      </w:pPr>
      <w:r>
        <w:rPr>
          <w:rFonts w:hint="eastAsia" w:ascii="宋体" w:hAnsi="宋体"/>
        </w:rPr>
        <w:t>采购人、采购代理机构根据双方签订的代理协议约定，依法对投标人的资格进行审查。合格投标人不足3家的，不得评标。</w:t>
      </w:r>
    </w:p>
    <w:p w14:paraId="7190C5D0">
      <w:pPr>
        <w:spacing w:line="370" w:lineRule="exact"/>
        <w:rPr>
          <w:rFonts w:hint="eastAsia"/>
        </w:rPr>
      </w:pPr>
    </w:p>
    <w:p w14:paraId="565888FF">
      <w:pPr>
        <w:spacing w:line="370" w:lineRule="exact"/>
        <w:jc w:val="center"/>
        <w:rPr>
          <w:rFonts w:hint="eastAsia"/>
          <w:b/>
        </w:rPr>
      </w:pPr>
      <w:r>
        <w:rPr>
          <w:rFonts w:hint="eastAsia"/>
          <w:b/>
        </w:rPr>
        <w:t>六、评  标</w:t>
      </w:r>
      <w:bookmarkEnd w:id="97"/>
      <w:bookmarkEnd w:id="98"/>
    </w:p>
    <w:p w14:paraId="78591A60">
      <w:pPr>
        <w:spacing w:line="370" w:lineRule="exact"/>
        <w:rPr>
          <w:rFonts w:hint="eastAsia"/>
          <w:b/>
        </w:rPr>
      </w:pPr>
      <w:r>
        <w:rPr>
          <w:rFonts w:hint="eastAsia"/>
        </w:rPr>
        <w:t xml:space="preserve">    </w:t>
      </w:r>
      <w:r>
        <w:rPr>
          <w:rFonts w:hint="eastAsia"/>
          <w:b/>
        </w:rPr>
        <w:t>（一）组建评标委员会</w:t>
      </w:r>
    </w:p>
    <w:p w14:paraId="74D689F2">
      <w:pPr>
        <w:spacing w:line="370" w:lineRule="exact"/>
        <w:rPr>
          <w:rFonts w:hint="eastAsia"/>
        </w:rPr>
      </w:pPr>
      <w:r>
        <w:rPr>
          <w:rFonts w:hint="eastAsia"/>
        </w:rPr>
        <w:t xml:space="preserve">    本招标采购项目的评标委员会由采购人代表和评审专家组成，成员人数应当为五人以上单数。其中，评审专家不得少于成员总数的三分之二。</w:t>
      </w:r>
    </w:p>
    <w:p w14:paraId="75C2822C">
      <w:pPr>
        <w:spacing w:line="370" w:lineRule="exact"/>
        <w:rPr>
          <w:rFonts w:hint="eastAsia"/>
          <w:b/>
        </w:rPr>
      </w:pPr>
      <w:r>
        <w:rPr>
          <w:rFonts w:hint="eastAsia"/>
        </w:rPr>
        <w:t xml:space="preserve">    </w:t>
      </w:r>
      <w:r>
        <w:rPr>
          <w:rFonts w:hint="eastAsia"/>
          <w:b/>
        </w:rPr>
        <w:t>（二）评标的方式</w:t>
      </w:r>
    </w:p>
    <w:p w14:paraId="3A245E54">
      <w:pPr>
        <w:spacing w:line="370" w:lineRule="exact"/>
        <w:rPr>
          <w:rFonts w:hint="eastAsia"/>
        </w:rPr>
      </w:pPr>
      <w:r>
        <w:rPr>
          <w:rFonts w:hint="eastAsia"/>
        </w:rPr>
        <w:t xml:space="preserve">    本项目采用不公开方式评标，评标的依据为招标文件和投标文件。</w:t>
      </w:r>
    </w:p>
    <w:p w14:paraId="2B4A4270">
      <w:pPr>
        <w:spacing w:line="370" w:lineRule="exact"/>
        <w:ind w:firstLine="435"/>
        <w:rPr>
          <w:b/>
        </w:rPr>
      </w:pPr>
      <w:r>
        <w:rPr>
          <w:rFonts w:hint="eastAsia"/>
          <w:b/>
        </w:rPr>
        <w:t>（三）评标程序</w:t>
      </w:r>
    </w:p>
    <w:p w14:paraId="5D763562">
      <w:pPr>
        <w:spacing w:line="370" w:lineRule="exact"/>
        <w:ind w:firstLine="435"/>
        <w:rPr>
          <w:rFonts w:hint="eastAsia" w:ascii="宋体"/>
          <w:b/>
          <w:bCs/>
          <w:szCs w:val="21"/>
        </w:rPr>
      </w:pPr>
      <w:r>
        <w:rPr>
          <w:rFonts w:hint="eastAsia" w:ascii="宋体"/>
          <w:b/>
          <w:bCs/>
          <w:szCs w:val="21"/>
        </w:rPr>
        <w:t>实质审查与比较</w:t>
      </w:r>
    </w:p>
    <w:p w14:paraId="692CDC6E">
      <w:pPr>
        <w:snapToGrid w:val="0"/>
        <w:spacing w:line="370" w:lineRule="exact"/>
        <w:ind w:firstLine="420" w:firstLineChars="200"/>
        <w:rPr>
          <w:rFonts w:hint="eastAsia" w:ascii="宋体"/>
          <w:szCs w:val="21"/>
        </w:rPr>
      </w:pPr>
      <w:r>
        <w:rPr>
          <w:rFonts w:hint="eastAsia" w:ascii="宋体"/>
          <w:szCs w:val="21"/>
        </w:rPr>
        <w:t>（1）评标委员会审查、评价投标文件是否符合招标文件的商务、技术等实质性要求。</w:t>
      </w:r>
    </w:p>
    <w:p w14:paraId="74BB7145">
      <w:pPr>
        <w:snapToGrid w:val="0"/>
        <w:spacing w:line="370" w:lineRule="exact"/>
        <w:ind w:firstLine="420" w:firstLineChars="200"/>
        <w:rPr>
          <w:rFonts w:hint="eastAsia" w:ascii="宋体"/>
          <w:szCs w:val="21"/>
        </w:rPr>
      </w:pPr>
      <w:r>
        <w:rPr>
          <w:rFonts w:hint="eastAsia" w:ascii="宋体"/>
          <w:szCs w:val="21"/>
        </w:rPr>
        <w:t>（2）评标委员会对投标文件进行评价,如有疑问,将以电子询标函的形式要求投标人在线对投标文件有关事项作出澄清或者说明。投标人向评标委员会澄清或者说明有关问题,并最终以盖章的电子文件进行回复。</w:t>
      </w:r>
    </w:p>
    <w:p w14:paraId="0D5B04D3">
      <w:pPr>
        <w:snapToGrid w:val="0"/>
        <w:spacing w:line="370" w:lineRule="exact"/>
        <w:ind w:firstLine="420" w:firstLineChars="200"/>
        <w:rPr>
          <w:rFonts w:hint="eastAsia" w:ascii="宋体"/>
          <w:szCs w:val="21"/>
        </w:rPr>
      </w:pPr>
      <w:r>
        <w:rPr>
          <w:rFonts w:hint="eastAsia" w:ascii="宋体"/>
          <w:szCs w:val="21"/>
        </w:rPr>
        <w:t>投标人代表超过规定时间或者拒绝澄清或者澄清的内容改变了投标文件的实质性内容的，评标委员会有权视该投标文件无效。</w:t>
      </w:r>
    </w:p>
    <w:p w14:paraId="5C21D0BB">
      <w:pPr>
        <w:snapToGrid w:val="0"/>
        <w:spacing w:line="370" w:lineRule="exact"/>
        <w:ind w:firstLine="420" w:firstLineChars="200"/>
        <w:rPr>
          <w:rFonts w:hint="eastAsia" w:ascii="宋体"/>
          <w:szCs w:val="21"/>
        </w:rPr>
      </w:pPr>
      <w:r>
        <w:rPr>
          <w:rFonts w:hint="eastAsia" w:ascii="宋体"/>
          <w:szCs w:val="21"/>
        </w:rPr>
        <w:t>（3）各投标人的技术得分为所有评委的有效评分的算术平均数，由指定专人进行计算复核。</w:t>
      </w:r>
    </w:p>
    <w:p w14:paraId="0ADAF19D">
      <w:pPr>
        <w:snapToGrid w:val="0"/>
        <w:spacing w:line="370" w:lineRule="exact"/>
        <w:ind w:firstLine="420" w:firstLineChars="200"/>
        <w:rPr>
          <w:rFonts w:hint="eastAsia" w:ascii="宋体"/>
          <w:szCs w:val="21"/>
        </w:rPr>
      </w:pPr>
      <w:r>
        <w:rPr>
          <w:rFonts w:hint="eastAsia" w:ascii="宋体"/>
          <w:szCs w:val="21"/>
        </w:rPr>
        <w:t>（4）采购代理机构工作人员协助评标委员会根据本项目的评分标准计算各投标人的商务报价得分。</w:t>
      </w:r>
    </w:p>
    <w:p w14:paraId="2BC03A93">
      <w:pPr>
        <w:snapToGrid w:val="0"/>
        <w:spacing w:line="370" w:lineRule="exact"/>
        <w:ind w:firstLine="420" w:firstLineChars="200"/>
        <w:rPr>
          <w:rFonts w:hint="eastAsia" w:ascii="宋体"/>
          <w:szCs w:val="21"/>
        </w:rPr>
      </w:pPr>
      <w:r>
        <w:rPr>
          <w:rFonts w:hint="eastAsia" w:ascii="宋体"/>
          <w:szCs w:val="21"/>
        </w:rPr>
        <w:t>（5）评标委员会完成评标后,由广西政府采购云平台系统对各部分得分汇总,计算出本项目最终得分、评标价等。评标委员会按推荐原则推荐中标候选人同时形成评标报告。评标委员会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425471EF">
      <w:pPr>
        <w:snapToGrid w:val="0"/>
        <w:spacing w:line="370" w:lineRule="exact"/>
        <w:ind w:firstLine="422" w:firstLineChars="200"/>
        <w:rPr>
          <w:rFonts w:hint="eastAsia" w:ascii="宋体"/>
          <w:b/>
          <w:szCs w:val="21"/>
        </w:rPr>
      </w:pPr>
      <w:r>
        <w:rPr>
          <w:rFonts w:hint="eastAsia" w:ascii="宋体"/>
          <w:b/>
          <w:szCs w:val="21"/>
        </w:rPr>
        <w:t>（四）澄清问题的形式</w:t>
      </w:r>
    </w:p>
    <w:p w14:paraId="38261F9D">
      <w:pPr>
        <w:snapToGrid w:val="0"/>
        <w:spacing w:line="370" w:lineRule="exact"/>
        <w:ind w:firstLine="420" w:firstLineChars="200"/>
        <w:rPr>
          <w:rFonts w:hint="eastAsia" w:ascii="宋体"/>
          <w:szCs w:val="21"/>
        </w:rPr>
      </w:pPr>
      <w:r>
        <w:rPr>
          <w:rFonts w:hint="eastAsia" w:ascii="宋体"/>
          <w:szCs w:val="21"/>
        </w:rPr>
        <w:t>对投标文件中含义不明确、同类问题表述不一致或者有明显文字和计算错误的内容，评标委员会可要求投标人作出必要的澄清、说明或者纠正。投标人的澄清、说明或者补正应当在电子询标函规定的时间期限内完成，并不得超出投标文件的范围或者改变投标文件的实质性内容。</w:t>
      </w:r>
    </w:p>
    <w:p w14:paraId="5D416849">
      <w:pPr>
        <w:snapToGrid w:val="0"/>
        <w:spacing w:line="370" w:lineRule="exact"/>
        <w:ind w:firstLine="422" w:firstLineChars="200"/>
        <w:rPr>
          <w:rFonts w:hint="eastAsia"/>
          <w:b/>
        </w:rPr>
      </w:pPr>
      <w:r>
        <w:rPr>
          <w:rFonts w:hint="eastAsia"/>
          <w:b/>
        </w:rPr>
        <w:t>（五）错误修正</w:t>
      </w:r>
    </w:p>
    <w:p w14:paraId="3241E636">
      <w:pPr>
        <w:snapToGrid w:val="0"/>
        <w:spacing w:line="370" w:lineRule="exact"/>
        <w:ind w:firstLine="420" w:firstLineChars="200"/>
        <w:rPr>
          <w:rFonts w:hint="eastAsia"/>
          <w:sz w:val="21"/>
          <w:szCs w:val="21"/>
        </w:rPr>
      </w:pPr>
      <w:r>
        <w:rPr>
          <w:rFonts w:hint="eastAsia"/>
        </w:rPr>
        <w:t>投标文件如果出现计算或</w:t>
      </w:r>
      <w:r>
        <w:rPr>
          <w:rFonts w:hint="eastAsia"/>
          <w:sz w:val="21"/>
          <w:szCs w:val="21"/>
        </w:rPr>
        <w:t>表达上的错误，修正错误的原则如下：</w:t>
      </w:r>
    </w:p>
    <w:p w14:paraId="055AB39F">
      <w:pPr>
        <w:pStyle w:val="28"/>
        <w:snapToGrid w:val="0"/>
        <w:spacing w:line="360" w:lineRule="exact"/>
        <w:ind w:firstLine="420" w:firstLineChars="200"/>
        <w:rPr>
          <w:rFonts w:hint="eastAsia"/>
          <w:sz w:val="21"/>
          <w:szCs w:val="21"/>
        </w:rPr>
      </w:pPr>
      <w:r>
        <w:rPr>
          <w:rFonts w:hint="eastAsia"/>
          <w:sz w:val="21"/>
          <w:szCs w:val="21"/>
        </w:rPr>
        <w:t>1.投标文件中开标一览表（报价表）内容与投标文件中相应内容不一致的，以开标一览表（报价表）为准；</w:t>
      </w:r>
    </w:p>
    <w:p w14:paraId="43E8EF08">
      <w:pPr>
        <w:pStyle w:val="28"/>
        <w:snapToGrid w:val="0"/>
        <w:spacing w:line="360" w:lineRule="exact"/>
        <w:ind w:firstLine="420" w:firstLineChars="200"/>
        <w:rPr>
          <w:rFonts w:hint="eastAsia"/>
          <w:sz w:val="21"/>
          <w:szCs w:val="21"/>
        </w:rPr>
      </w:pPr>
      <w:r>
        <w:rPr>
          <w:rFonts w:hint="eastAsia"/>
          <w:sz w:val="21"/>
          <w:szCs w:val="21"/>
        </w:rPr>
        <w:t>2.大写金额和小写金额不一致的，以大写金额为准；</w:t>
      </w:r>
    </w:p>
    <w:p w14:paraId="58BBD2E1">
      <w:pPr>
        <w:pStyle w:val="28"/>
        <w:snapToGrid w:val="0"/>
        <w:spacing w:line="360" w:lineRule="exact"/>
        <w:ind w:firstLine="420" w:firstLineChars="200"/>
        <w:rPr>
          <w:rFonts w:hint="eastAsia"/>
          <w:sz w:val="21"/>
          <w:szCs w:val="21"/>
        </w:rPr>
      </w:pPr>
      <w:r>
        <w:rPr>
          <w:rFonts w:hint="eastAsia"/>
          <w:sz w:val="21"/>
          <w:szCs w:val="21"/>
        </w:rPr>
        <w:t>3.单价金额小数点或者百分比有明显错位的，以开标一览表的总价为准，并修改单价；</w:t>
      </w:r>
    </w:p>
    <w:p w14:paraId="13516A97">
      <w:pPr>
        <w:pStyle w:val="28"/>
        <w:snapToGrid w:val="0"/>
        <w:spacing w:line="360" w:lineRule="exact"/>
        <w:ind w:firstLine="420" w:firstLineChars="200"/>
        <w:rPr>
          <w:rFonts w:hint="eastAsia"/>
          <w:sz w:val="21"/>
          <w:szCs w:val="21"/>
        </w:rPr>
      </w:pPr>
      <w:r>
        <w:rPr>
          <w:rFonts w:hint="eastAsia"/>
          <w:sz w:val="21"/>
          <w:szCs w:val="21"/>
        </w:rPr>
        <w:t>4.总价金额与按单价汇总金额不一致的，以单价金额计算结果为准。</w:t>
      </w:r>
    </w:p>
    <w:p w14:paraId="07AD91CF">
      <w:pPr>
        <w:pStyle w:val="28"/>
        <w:snapToGrid w:val="0"/>
        <w:spacing w:line="360" w:lineRule="exact"/>
        <w:ind w:firstLine="420" w:firstLineChars="200"/>
        <w:rPr>
          <w:rFonts w:hint="eastAsia"/>
          <w:sz w:val="21"/>
          <w:szCs w:val="21"/>
        </w:rPr>
      </w:pPr>
      <w:r>
        <w:rPr>
          <w:rFonts w:hint="eastAsia"/>
          <w:sz w:val="21"/>
          <w:szCs w:val="21"/>
        </w:rPr>
        <w:t>5.对不同文字文本投标文件的解释发生异议的，以中文文本为准。</w:t>
      </w:r>
    </w:p>
    <w:p w14:paraId="01F5789C">
      <w:pPr>
        <w:pStyle w:val="28"/>
        <w:snapToGrid w:val="0"/>
        <w:spacing w:line="360" w:lineRule="exact"/>
        <w:ind w:firstLine="420" w:firstLineChars="200"/>
        <w:rPr>
          <w:rFonts w:hint="eastAsia" w:hAnsi="宋体"/>
          <w:sz w:val="21"/>
          <w:szCs w:val="21"/>
        </w:rPr>
      </w:pPr>
      <w:r>
        <w:rPr>
          <w:rFonts w:hint="eastAsia"/>
          <w:sz w:val="21"/>
          <w:szCs w:val="21"/>
        </w:rPr>
        <w:t>同时出现两种以上不一致的，按照前款规定的顺序修正。</w:t>
      </w:r>
    </w:p>
    <w:p w14:paraId="427918C9">
      <w:pPr>
        <w:pStyle w:val="28"/>
        <w:snapToGrid w:val="0"/>
        <w:spacing w:line="370" w:lineRule="exact"/>
        <w:ind w:firstLine="422" w:firstLineChars="200"/>
        <w:rPr>
          <w:b/>
          <w:bCs/>
          <w:sz w:val="21"/>
          <w:szCs w:val="21"/>
        </w:rPr>
      </w:pPr>
      <w:r>
        <w:rPr>
          <w:rFonts w:hint="eastAsia" w:hAnsi="宋体"/>
          <w:b/>
          <w:bCs/>
          <w:sz w:val="21"/>
          <w:szCs w:val="21"/>
        </w:rPr>
        <w:t>按上述修正错误的原则及方法调整或修正投标文件的投标报价，投标人须在线同意并签字确认，调整后的投标报价对投标人具有约束作用。如果投标人不接受修正后的报价，则其投标将作为无效投标处理。</w:t>
      </w:r>
    </w:p>
    <w:p w14:paraId="1CB07B0A">
      <w:pPr>
        <w:pStyle w:val="28"/>
        <w:snapToGrid w:val="0"/>
        <w:spacing w:line="370" w:lineRule="exact"/>
        <w:ind w:firstLine="422" w:firstLineChars="200"/>
        <w:rPr>
          <w:b/>
          <w:sz w:val="21"/>
          <w:szCs w:val="21"/>
        </w:rPr>
      </w:pPr>
      <w:r>
        <w:rPr>
          <w:rFonts w:hint="eastAsia"/>
          <w:b/>
          <w:sz w:val="21"/>
          <w:szCs w:val="21"/>
        </w:rPr>
        <w:t>（</w:t>
      </w:r>
      <w:r>
        <w:rPr>
          <w:rFonts w:hint="eastAsia"/>
          <w:b/>
          <w:sz w:val="21"/>
          <w:szCs w:val="21"/>
          <w:lang w:eastAsia="zh-CN"/>
        </w:rPr>
        <w:t>六</w:t>
      </w:r>
      <w:r>
        <w:rPr>
          <w:rFonts w:hint="eastAsia"/>
          <w:b/>
          <w:sz w:val="21"/>
          <w:szCs w:val="21"/>
        </w:rPr>
        <w:t>）评委表决</w:t>
      </w:r>
    </w:p>
    <w:p w14:paraId="651EAD38">
      <w:pPr>
        <w:pStyle w:val="28"/>
        <w:snapToGrid w:val="0"/>
        <w:spacing w:line="370" w:lineRule="exact"/>
        <w:ind w:firstLine="420" w:firstLineChars="200"/>
        <w:rPr>
          <w:rFonts w:hint="eastAsia"/>
          <w:sz w:val="21"/>
          <w:szCs w:val="21"/>
        </w:rPr>
      </w:pPr>
      <w:r>
        <w:rPr>
          <w:rFonts w:hint="eastAsia"/>
          <w:sz w:val="21"/>
          <w:szCs w:val="21"/>
        </w:rPr>
        <w:t>在评标过程中出现法律法规和招标文件均没有明确规定的情形时，由评标委员会现场协商解决，协商不一致的，由全体评委投票表决，以得票率二分之一以上专家的意见为准。</w:t>
      </w:r>
    </w:p>
    <w:p w14:paraId="45C418D6">
      <w:pPr>
        <w:pStyle w:val="28"/>
        <w:snapToGrid w:val="0"/>
        <w:spacing w:line="370" w:lineRule="exact"/>
        <w:ind w:firstLine="422" w:firstLineChars="200"/>
        <w:rPr>
          <w:rFonts w:hint="eastAsia"/>
          <w:b/>
          <w:sz w:val="21"/>
          <w:szCs w:val="21"/>
        </w:rPr>
      </w:pPr>
      <w:r>
        <w:rPr>
          <w:rFonts w:hint="eastAsia"/>
          <w:b/>
          <w:sz w:val="21"/>
          <w:szCs w:val="21"/>
        </w:rPr>
        <w:t>（</w:t>
      </w:r>
      <w:r>
        <w:rPr>
          <w:rFonts w:hint="eastAsia"/>
          <w:b/>
          <w:sz w:val="21"/>
          <w:szCs w:val="21"/>
          <w:lang w:eastAsia="zh-CN"/>
        </w:rPr>
        <w:t>七</w:t>
      </w:r>
      <w:r>
        <w:rPr>
          <w:rFonts w:hint="eastAsia"/>
          <w:b/>
          <w:sz w:val="21"/>
          <w:szCs w:val="21"/>
        </w:rPr>
        <w:t>）评标原则和评标方法</w:t>
      </w:r>
    </w:p>
    <w:p w14:paraId="54FABB64">
      <w:pPr>
        <w:pStyle w:val="28"/>
        <w:snapToGrid w:val="0"/>
        <w:spacing w:line="370" w:lineRule="exact"/>
        <w:ind w:firstLine="420" w:firstLineChars="200"/>
        <w:rPr>
          <w:rFonts w:hint="eastAsia"/>
          <w:sz w:val="21"/>
          <w:szCs w:val="21"/>
        </w:rPr>
      </w:pPr>
      <w:r>
        <w:rPr>
          <w:rFonts w:hint="eastAsia"/>
          <w:sz w:val="21"/>
          <w:szCs w:val="21"/>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21648E18">
      <w:pPr>
        <w:pStyle w:val="28"/>
        <w:snapToGrid w:val="0"/>
        <w:spacing w:line="370" w:lineRule="exact"/>
        <w:ind w:firstLine="420" w:firstLineChars="200"/>
        <w:rPr>
          <w:rFonts w:hint="eastAsia"/>
          <w:sz w:val="21"/>
          <w:szCs w:val="21"/>
        </w:rPr>
      </w:pPr>
      <w:r>
        <w:rPr>
          <w:rFonts w:hint="eastAsia"/>
          <w:sz w:val="21"/>
          <w:szCs w:val="21"/>
        </w:rPr>
        <w:t>2.评标方法。本项目评标方法是</w:t>
      </w:r>
      <w:r>
        <w:rPr>
          <w:rFonts w:hint="eastAsia"/>
          <w:b/>
          <w:sz w:val="21"/>
          <w:szCs w:val="21"/>
          <w:u w:val="single"/>
        </w:rPr>
        <w:t>综合评分法</w:t>
      </w:r>
      <w:r>
        <w:rPr>
          <w:rFonts w:hint="eastAsia"/>
          <w:sz w:val="21"/>
          <w:szCs w:val="21"/>
        </w:rPr>
        <w:t>，具体评标内容及评分标准等详见第四章：评标方法及评分标准。</w:t>
      </w:r>
    </w:p>
    <w:p w14:paraId="301C5B87">
      <w:pPr>
        <w:pStyle w:val="28"/>
        <w:snapToGrid w:val="0"/>
        <w:spacing w:line="370" w:lineRule="exact"/>
        <w:ind w:firstLine="422" w:firstLineChars="200"/>
        <w:rPr>
          <w:rFonts w:hint="eastAsia"/>
          <w:b/>
          <w:sz w:val="21"/>
          <w:szCs w:val="21"/>
        </w:rPr>
      </w:pPr>
      <w:r>
        <w:rPr>
          <w:rFonts w:hint="eastAsia"/>
          <w:b/>
          <w:sz w:val="21"/>
          <w:szCs w:val="21"/>
        </w:rPr>
        <w:t>（</w:t>
      </w:r>
      <w:r>
        <w:rPr>
          <w:rFonts w:hint="eastAsia"/>
          <w:b/>
          <w:sz w:val="21"/>
          <w:szCs w:val="21"/>
          <w:lang w:eastAsia="zh-CN"/>
        </w:rPr>
        <w:t>八</w:t>
      </w:r>
      <w:r>
        <w:rPr>
          <w:rFonts w:hint="eastAsia"/>
          <w:b/>
          <w:sz w:val="21"/>
          <w:szCs w:val="21"/>
        </w:rPr>
        <w:t>）评标过程的监控</w:t>
      </w:r>
    </w:p>
    <w:p w14:paraId="2EB1A259">
      <w:pPr>
        <w:pStyle w:val="28"/>
        <w:snapToGrid w:val="0"/>
        <w:spacing w:line="370" w:lineRule="exact"/>
        <w:ind w:firstLine="420" w:firstLineChars="200"/>
        <w:rPr>
          <w:rFonts w:hint="eastAsia"/>
          <w:sz w:val="21"/>
          <w:szCs w:val="21"/>
        </w:rPr>
      </w:pPr>
      <w:r>
        <w:rPr>
          <w:rFonts w:hint="eastAsia"/>
          <w:sz w:val="21"/>
          <w:szCs w:val="21"/>
        </w:rPr>
        <w:t>本项目评标过程实行全程录音、录像监控，投标人在评标过程中所进行的试图影响评标结果的不公正活动，可能导致其投标被拒绝。</w:t>
      </w:r>
      <w:bookmarkStart w:id="99" w:name="_Toc254970546"/>
      <w:bookmarkStart w:id="100" w:name="_Toc254970687"/>
    </w:p>
    <w:p w14:paraId="1CF10575">
      <w:pPr>
        <w:pStyle w:val="28"/>
        <w:snapToGrid w:val="0"/>
        <w:spacing w:line="370" w:lineRule="exact"/>
        <w:rPr>
          <w:rFonts w:hint="eastAsia"/>
          <w:sz w:val="21"/>
          <w:szCs w:val="21"/>
        </w:rPr>
      </w:pPr>
    </w:p>
    <w:p w14:paraId="07133389">
      <w:pPr>
        <w:pStyle w:val="28"/>
        <w:snapToGrid w:val="0"/>
        <w:spacing w:line="370" w:lineRule="exact"/>
        <w:jc w:val="center"/>
        <w:rPr>
          <w:rFonts w:hint="eastAsia"/>
          <w:b/>
          <w:sz w:val="21"/>
          <w:szCs w:val="21"/>
        </w:rPr>
      </w:pPr>
      <w:r>
        <w:rPr>
          <w:rFonts w:hint="eastAsia"/>
          <w:b/>
          <w:sz w:val="21"/>
          <w:szCs w:val="21"/>
          <w:lang w:eastAsia="zh-CN"/>
        </w:rPr>
        <w:t>七</w:t>
      </w:r>
      <w:r>
        <w:rPr>
          <w:rFonts w:hint="eastAsia"/>
          <w:b/>
          <w:sz w:val="21"/>
          <w:szCs w:val="21"/>
        </w:rPr>
        <w:t>、评标结果</w:t>
      </w:r>
      <w:bookmarkEnd w:id="99"/>
      <w:bookmarkEnd w:id="100"/>
    </w:p>
    <w:p w14:paraId="411D661A">
      <w:pPr>
        <w:pStyle w:val="28"/>
        <w:spacing w:line="370" w:lineRule="exact"/>
        <w:rPr>
          <w:sz w:val="21"/>
          <w:szCs w:val="21"/>
        </w:rPr>
      </w:pPr>
      <w:r>
        <w:rPr>
          <w:rFonts w:hint="eastAsia"/>
          <w:bCs/>
          <w:sz w:val="21"/>
          <w:szCs w:val="21"/>
        </w:rPr>
        <w:t xml:space="preserve">   （一）</w:t>
      </w:r>
      <w:r>
        <w:rPr>
          <w:rFonts w:hint="eastAsia"/>
          <w:sz w:val="21"/>
          <w:szCs w:val="21"/>
        </w:rPr>
        <w:t>本采购代理机构将在评标结束后2个工作日内将评标报告送采购人，采购人在5个工作日内按照评标报告中推荐的中标候选</w:t>
      </w:r>
      <w:r>
        <w:rPr>
          <w:rFonts w:hint="eastAsia"/>
          <w:bCs/>
          <w:sz w:val="21"/>
          <w:szCs w:val="21"/>
        </w:rPr>
        <w:t>人</w:t>
      </w:r>
      <w:r>
        <w:rPr>
          <w:rFonts w:hint="eastAsia"/>
          <w:sz w:val="21"/>
          <w:szCs w:val="21"/>
        </w:rPr>
        <w:t>顺序确定中标人。采购人也可以事先授权评标委员会直接确定中标人。</w:t>
      </w:r>
    </w:p>
    <w:p w14:paraId="3EC73A33">
      <w:pPr>
        <w:pStyle w:val="28"/>
        <w:spacing w:line="370" w:lineRule="exact"/>
        <w:ind w:firstLine="420"/>
        <w:rPr>
          <w:sz w:val="21"/>
          <w:szCs w:val="21"/>
        </w:rPr>
      </w:pPr>
      <w:r>
        <w:rPr>
          <w:rFonts w:hint="eastAsia"/>
          <w:sz w:val="21"/>
          <w:szCs w:val="21"/>
        </w:rPr>
        <w:t>（二）中标人确定后，采购代理机构在财政部门指定的政府采购信息发布媒体发布中标公告。</w:t>
      </w:r>
    </w:p>
    <w:p w14:paraId="5D6BDD9F">
      <w:pPr>
        <w:pStyle w:val="28"/>
        <w:spacing w:line="370" w:lineRule="exact"/>
        <w:ind w:firstLine="420"/>
        <w:rPr>
          <w:rFonts w:hint="eastAsia"/>
          <w:sz w:val="21"/>
          <w:szCs w:val="21"/>
        </w:rPr>
      </w:pPr>
      <w:r>
        <w:rPr>
          <w:rFonts w:hint="eastAsia" w:hAnsi="宋体"/>
          <w:sz w:val="21"/>
          <w:szCs w:val="21"/>
        </w:rPr>
        <w:t>（三）</w:t>
      </w:r>
      <w:r>
        <w:rPr>
          <w:rFonts w:hint="eastAsia"/>
          <w:sz w:val="21"/>
          <w:szCs w:val="21"/>
        </w:rPr>
        <w:t>在发布中标公告的同时，采购代理机构向中标人发出中标通知书。</w:t>
      </w:r>
    </w:p>
    <w:p w14:paraId="3C81E385">
      <w:pPr>
        <w:pStyle w:val="28"/>
        <w:spacing w:line="370" w:lineRule="exact"/>
        <w:rPr>
          <w:rFonts w:hint="eastAsia"/>
          <w:bCs/>
          <w:sz w:val="21"/>
          <w:szCs w:val="21"/>
        </w:rPr>
      </w:pPr>
      <w:r>
        <w:rPr>
          <w:rFonts w:hint="eastAsia"/>
          <w:sz w:val="21"/>
          <w:szCs w:val="21"/>
        </w:rPr>
        <w:t xml:space="preserve">    （四）</w:t>
      </w:r>
      <w:r>
        <w:rPr>
          <w:rFonts w:hint="eastAsia"/>
          <w:bCs/>
          <w:sz w:val="21"/>
          <w:szCs w:val="21"/>
        </w:rPr>
        <w:t>投标人认为招标文件、招标过程和中标结果使自己的权益受到损害的，可以在知道或者应知其权益受到损害之日起七个工作日内，以书面形式向采购代理机构提出质疑，并及时索要书面回执。</w:t>
      </w:r>
    </w:p>
    <w:p w14:paraId="775EE50E">
      <w:pPr>
        <w:pStyle w:val="28"/>
        <w:spacing w:line="370" w:lineRule="exact"/>
        <w:rPr>
          <w:rFonts w:hint="eastAsia"/>
          <w:bCs/>
          <w:sz w:val="21"/>
          <w:szCs w:val="21"/>
        </w:rPr>
      </w:pPr>
      <w:r>
        <w:rPr>
          <w:rFonts w:hint="eastAsia"/>
          <w:bCs/>
          <w:sz w:val="21"/>
          <w:szCs w:val="21"/>
        </w:rPr>
        <w:t xml:space="preserve">    </w:t>
      </w:r>
      <w:r>
        <w:rPr>
          <w:rFonts w:hint="eastAsia"/>
          <w:sz w:val="21"/>
          <w:szCs w:val="21"/>
        </w:rPr>
        <w:t>（五）</w:t>
      </w:r>
      <w:r>
        <w:rPr>
          <w:rFonts w:hint="eastAsia"/>
          <w:bCs/>
          <w:sz w:val="21"/>
          <w:szCs w:val="21"/>
        </w:rPr>
        <w:t>采购代理机构应当按照有关规定就采购人委托授权范围内的事项在收到投标人的书面质疑后七个工作日内做出答复，但答复的内容不得涉及商业秘密。</w:t>
      </w:r>
    </w:p>
    <w:p w14:paraId="38453965">
      <w:pPr>
        <w:pStyle w:val="28"/>
        <w:spacing w:line="370" w:lineRule="exact"/>
        <w:rPr>
          <w:rFonts w:hint="eastAsia"/>
          <w:bCs/>
          <w:sz w:val="21"/>
          <w:szCs w:val="21"/>
        </w:rPr>
      </w:pPr>
    </w:p>
    <w:p w14:paraId="1090FCAE">
      <w:pPr>
        <w:pStyle w:val="28"/>
        <w:spacing w:line="370" w:lineRule="exact"/>
        <w:jc w:val="center"/>
        <w:rPr>
          <w:rFonts w:hint="eastAsia"/>
          <w:b/>
          <w:sz w:val="21"/>
          <w:szCs w:val="21"/>
        </w:rPr>
      </w:pPr>
      <w:r>
        <w:rPr>
          <w:rFonts w:hint="eastAsia"/>
          <w:b/>
          <w:sz w:val="21"/>
          <w:szCs w:val="21"/>
          <w:lang w:eastAsia="zh-CN"/>
        </w:rPr>
        <w:t>八</w:t>
      </w:r>
      <w:r>
        <w:rPr>
          <w:rFonts w:hint="eastAsia"/>
          <w:b/>
          <w:sz w:val="21"/>
          <w:szCs w:val="21"/>
        </w:rPr>
        <w:t>、签订合同</w:t>
      </w:r>
    </w:p>
    <w:p w14:paraId="7EF5863A">
      <w:pPr>
        <w:spacing w:line="370" w:lineRule="exact"/>
        <w:rPr>
          <w:rFonts w:hint="eastAsia"/>
          <w:b/>
          <w:sz w:val="21"/>
          <w:szCs w:val="21"/>
        </w:rPr>
      </w:pPr>
      <w:r>
        <w:rPr>
          <w:rFonts w:hint="eastAsia"/>
          <w:sz w:val="21"/>
          <w:szCs w:val="21"/>
        </w:rPr>
        <w:t xml:space="preserve">   </w:t>
      </w:r>
      <w:r>
        <w:rPr>
          <w:rFonts w:hint="eastAsia"/>
          <w:b/>
          <w:sz w:val="21"/>
          <w:szCs w:val="21"/>
        </w:rPr>
        <w:t xml:space="preserve"> （一）合同授予标准</w:t>
      </w:r>
    </w:p>
    <w:p w14:paraId="719B41FE">
      <w:pPr>
        <w:spacing w:line="370" w:lineRule="exact"/>
        <w:ind w:firstLine="435"/>
        <w:rPr>
          <w:rFonts w:hint="eastAsia"/>
          <w:sz w:val="21"/>
          <w:szCs w:val="21"/>
        </w:rPr>
      </w:pPr>
      <w:r>
        <w:rPr>
          <w:rFonts w:hint="eastAsia"/>
          <w:sz w:val="21"/>
          <w:szCs w:val="21"/>
        </w:rPr>
        <w:t>合同将授予被确定投标文件满足招标文件全部实质性要求，具备履行合同能力，评审得分最高，综合评分排名第一的供应商。</w:t>
      </w:r>
    </w:p>
    <w:p w14:paraId="12D02B0C">
      <w:pPr>
        <w:spacing w:line="370" w:lineRule="exact"/>
        <w:ind w:firstLine="435"/>
        <w:rPr>
          <w:rFonts w:hint="eastAsia"/>
          <w:sz w:val="21"/>
          <w:szCs w:val="21"/>
        </w:rPr>
      </w:pPr>
      <w:r>
        <w:rPr>
          <w:rFonts w:hint="eastAsia"/>
          <w:b/>
          <w:sz w:val="21"/>
          <w:szCs w:val="21"/>
        </w:rPr>
        <w:t>（二）履约保证金</w:t>
      </w:r>
    </w:p>
    <w:p w14:paraId="18831741">
      <w:pPr>
        <w:pStyle w:val="22"/>
        <w:snapToGrid w:val="0"/>
        <w:spacing w:line="360" w:lineRule="exact"/>
        <w:ind w:firstLine="315" w:firstLineChars="150"/>
        <w:rPr>
          <w:rFonts w:hint="eastAsia" w:ascii="宋体" w:hAnsi="宋体" w:eastAsia="宋体"/>
          <w:sz w:val="21"/>
          <w:szCs w:val="21"/>
        </w:rPr>
      </w:pPr>
      <w:r>
        <w:rPr>
          <w:rFonts w:hint="eastAsia" w:ascii="宋体" w:hAnsi="宋体" w:eastAsia="宋体"/>
          <w:sz w:val="21"/>
          <w:szCs w:val="21"/>
        </w:rPr>
        <w:t>1.中标人须于签订合同前按本项目关于履约保证金的规定进行办理。否则，不予签订合同。</w:t>
      </w:r>
    </w:p>
    <w:p w14:paraId="4B528F87">
      <w:pPr>
        <w:pStyle w:val="22"/>
        <w:snapToGrid w:val="0"/>
        <w:spacing w:line="360" w:lineRule="exact"/>
        <w:ind w:firstLine="315" w:firstLineChars="150"/>
        <w:rPr>
          <w:rFonts w:hint="eastAsia" w:ascii="宋体" w:hAnsi="宋体" w:eastAsia="宋体"/>
          <w:sz w:val="21"/>
          <w:szCs w:val="21"/>
        </w:rPr>
      </w:pPr>
      <w:r>
        <w:rPr>
          <w:rFonts w:hint="eastAsia" w:ascii="宋体" w:hAnsi="宋体" w:eastAsia="宋体"/>
          <w:sz w:val="21"/>
          <w:szCs w:val="21"/>
        </w:rPr>
        <w:t>2.签订合同后，如中标人不按双方签订的合同规定履约，则没收其全部履约保证金，履约保证金不足以赔偿损失的，按实际损失赔偿。</w:t>
      </w:r>
    </w:p>
    <w:p w14:paraId="0A7B37A8">
      <w:pPr>
        <w:pStyle w:val="22"/>
        <w:snapToGrid w:val="0"/>
        <w:spacing w:line="360" w:lineRule="exact"/>
        <w:ind w:firstLine="315" w:firstLineChars="150"/>
        <w:rPr>
          <w:rFonts w:hint="eastAsia" w:ascii="宋体" w:hAnsi="宋体" w:eastAsia="宋体"/>
          <w:sz w:val="21"/>
          <w:szCs w:val="21"/>
        </w:rPr>
      </w:pPr>
      <w:r>
        <w:rPr>
          <w:rFonts w:hint="eastAsia" w:ascii="宋体" w:hAnsi="宋体" w:eastAsia="宋体"/>
          <w:sz w:val="21"/>
          <w:szCs w:val="21"/>
        </w:rPr>
        <w:t>3.履约保证金在中标人按合同约定交货验收合格后，由中标人提供《政府采购项目履约保证金退付意见书》及《政府采购项目合同验收报告》（详见附件），履约保证金在收到合格材料后5个工作日内以银行转账方式如数退还（不计利息）。</w:t>
      </w:r>
    </w:p>
    <w:p w14:paraId="1203C344">
      <w:pPr>
        <w:spacing w:line="370" w:lineRule="exact"/>
        <w:ind w:firstLine="435"/>
        <w:rPr>
          <w:rFonts w:hint="eastAsia"/>
        </w:rPr>
      </w:pPr>
      <w:r>
        <w:rPr>
          <w:rFonts w:hint="eastAsia" w:ascii="宋体" w:hAnsi="宋体"/>
          <w:szCs w:val="21"/>
        </w:rPr>
        <w:t>4.在履约保证金退还日期前，若中标人的开户名称、开户银行、账号有变动的，请以书面形式通知履约保证金收取机构，否则由此产生的后果由中标人自负。</w:t>
      </w:r>
    </w:p>
    <w:p w14:paraId="03F8AE6C">
      <w:pPr>
        <w:spacing w:line="370" w:lineRule="exact"/>
        <w:rPr>
          <w:rFonts w:hint="eastAsia"/>
          <w:b/>
        </w:rPr>
      </w:pPr>
      <w:r>
        <w:rPr>
          <w:rFonts w:hint="eastAsia"/>
        </w:rPr>
        <w:t xml:space="preserve">    </w:t>
      </w:r>
      <w:r>
        <w:rPr>
          <w:rFonts w:hint="eastAsia"/>
          <w:b/>
        </w:rPr>
        <w:t>（三）签订合同</w:t>
      </w:r>
    </w:p>
    <w:p w14:paraId="07341F67">
      <w:pPr>
        <w:spacing w:line="370" w:lineRule="exact"/>
        <w:rPr>
          <w:rFonts w:hint="eastAsia"/>
        </w:rPr>
      </w:pPr>
      <w:r>
        <w:rPr>
          <w:rFonts w:hint="eastAsia"/>
        </w:rPr>
        <w:t xml:space="preserve">    （1）投标人接到中标通知书后，应按中标通知书规定的时间、地点与采购人签订合同。中标人无正当理由不得放弃中标。</w:t>
      </w:r>
    </w:p>
    <w:p w14:paraId="2C845AE8">
      <w:pPr>
        <w:spacing w:line="370" w:lineRule="exact"/>
        <w:rPr>
          <w:rFonts w:hint="eastAsia"/>
        </w:rPr>
      </w:pPr>
      <w:r>
        <w:rPr>
          <w:rFonts w:hint="eastAsia"/>
        </w:rPr>
        <w:t xml:space="preserve">    （2）如中标人不按中标通知书的规定签订合同，则按中标人违约处理，采购代理机构将没收中标人投标的全部投标保证金。</w:t>
      </w:r>
    </w:p>
    <w:p w14:paraId="15497F23">
      <w:pPr>
        <w:spacing w:line="370" w:lineRule="exact"/>
        <w:rPr>
          <w:rFonts w:hint="eastAsia"/>
        </w:rPr>
      </w:pPr>
      <w:r>
        <w:rPr>
          <w:rFonts w:hint="eastAsia"/>
        </w:rPr>
        <w:t xml:space="preserve">    （3）中标人</w:t>
      </w:r>
      <w:r>
        <w:rPr>
          <w:rFonts w:hint="eastAsia"/>
          <w:b/>
        </w:rPr>
        <w:t>拒绝与采购人签订合同或</w:t>
      </w:r>
      <w:r>
        <w:rPr>
          <w:rFonts w:hint="eastAsia"/>
        </w:rPr>
        <w:t>因不可抗力或者自身原因不能履行采购合同的，采购人可以与中标人之后排名第一的中标候选</w:t>
      </w:r>
      <w:r>
        <w:rPr>
          <w:rFonts w:hint="eastAsia"/>
          <w:bCs/>
        </w:rPr>
        <w:t>人</w:t>
      </w:r>
      <w:r>
        <w:rPr>
          <w:rFonts w:hint="eastAsia"/>
        </w:rPr>
        <w:t>签订采购合同，以此类推,也可以重新招标。中标人</w:t>
      </w:r>
      <w:r>
        <w:t>放弃中标项目，拒绝与采购人签订合同的，其投标保证金</w:t>
      </w:r>
      <w:r>
        <w:rPr>
          <w:rFonts w:hint="eastAsia"/>
        </w:rPr>
        <w:t>将不予退还，</w:t>
      </w:r>
      <w:r>
        <w:t>并上缴国库，</w:t>
      </w:r>
      <w:r>
        <w:rPr>
          <w:rFonts w:hint="eastAsia"/>
        </w:rPr>
        <w:t>给</w:t>
      </w:r>
      <w:r>
        <w:t>采购人造成损失的，还应当赔偿损失，并作为不良行为记录在案</w:t>
      </w:r>
      <w:r>
        <w:rPr>
          <w:rFonts w:hint="eastAsia"/>
        </w:rPr>
        <w:t>。</w:t>
      </w:r>
    </w:p>
    <w:p w14:paraId="29D75BB3">
      <w:pPr>
        <w:spacing w:line="370" w:lineRule="exact"/>
        <w:rPr>
          <w:rFonts w:hint="eastAsia"/>
        </w:rPr>
      </w:pPr>
    </w:p>
    <w:p w14:paraId="0FEE28D0">
      <w:pPr>
        <w:pStyle w:val="28"/>
        <w:spacing w:line="370" w:lineRule="exact"/>
        <w:jc w:val="center"/>
        <w:rPr>
          <w:rFonts w:hint="eastAsia"/>
          <w:b/>
          <w:sz w:val="21"/>
          <w:szCs w:val="21"/>
        </w:rPr>
      </w:pPr>
      <w:r>
        <w:rPr>
          <w:rFonts w:hint="eastAsia"/>
          <w:b/>
          <w:sz w:val="21"/>
          <w:szCs w:val="21"/>
          <w:lang w:eastAsia="zh-CN"/>
        </w:rPr>
        <w:t>九</w:t>
      </w:r>
      <w:r>
        <w:rPr>
          <w:rFonts w:hint="eastAsia"/>
          <w:b/>
          <w:sz w:val="21"/>
          <w:szCs w:val="21"/>
        </w:rPr>
        <w:t>、其他事项</w:t>
      </w:r>
    </w:p>
    <w:p w14:paraId="60CEDA07">
      <w:pPr>
        <w:pStyle w:val="28"/>
        <w:spacing w:line="370" w:lineRule="exact"/>
        <w:rPr>
          <w:rFonts w:hint="eastAsia"/>
          <w:b/>
          <w:sz w:val="21"/>
          <w:szCs w:val="21"/>
        </w:rPr>
      </w:pPr>
      <w:r>
        <w:rPr>
          <w:rFonts w:hint="eastAsia"/>
          <w:b/>
          <w:sz w:val="21"/>
          <w:szCs w:val="21"/>
        </w:rPr>
        <w:t xml:space="preserve">    （一）中标服务费</w:t>
      </w:r>
    </w:p>
    <w:p w14:paraId="54D14314">
      <w:pPr>
        <w:pStyle w:val="28"/>
        <w:spacing w:line="370" w:lineRule="exact"/>
        <w:ind w:firstLine="435"/>
        <w:rPr>
          <w:rFonts w:hint="eastAsia"/>
          <w:sz w:val="21"/>
          <w:szCs w:val="21"/>
        </w:rPr>
      </w:pPr>
      <w:r>
        <w:rPr>
          <w:rFonts w:hint="eastAsia"/>
          <w:sz w:val="21"/>
          <w:szCs w:val="21"/>
        </w:rPr>
        <w:t>（1）采购代理机构按（桂价费 〔2011〕55号）的</w:t>
      </w:r>
      <w:r>
        <w:rPr>
          <w:rFonts w:hint="eastAsia"/>
          <w:sz w:val="21"/>
          <w:szCs w:val="21"/>
          <w:lang w:eastAsia="zh-CN"/>
        </w:rPr>
        <w:t>“</w:t>
      </w:r>
      <w:r>
        <w:rPr>
          <w:rFonts w:hint="eastAsia"/>
          <w:sz w:val="21"/>
          <w:szCs w:val="21"/>
          <w:lang w:val="en-US" w:eastAsia="zh-CN"/>
        </w:rPr>
        <w:t>服务类</w:t>
      </w:r>
      <w:r>
        <w:rPr>
          <w:rFonts w:hint="eastAsia"/>
          <w:sz w:val="21"/>
          <w:szCs w:val="21"/>
          <w:lang w:eastAsia="zh-CN"/>
        </w:rPr>
        <w:t>”</w:t>
      </w:r>
      <w:r>
        <w:rPr>
          <w:rFonts w:hint="eastAsia"/>
          <w:sz w:val="21"/>
          <w:szCs w:val="21"/>
        </w:rPr>
        <w:t>收费标准</w:t>
      </w:r>
      <w:r>
        <w:rPr>
          <w:rFonts w:hint="eastAsia"/>
          <w:sz w:val="21"/>
          <w:szCs w:val="21"/>
          <w:lang w:val="en-US" w:eastAsia="zh-CN"/>
        </w:rPr>
        <w:t>折扣80%收取</w:t>
      </w:r>
      <w:r>
        <w:rPr>
          <w:rFonts w:hint="eastAsia"/>
          <w:sz w:val="21"/>
          <w:szCs w:val="21"/>
        </w:rPr>
        <w:t>，按差额定率累进法计取中标服务费。</w:t>
      </w:r>
      <w:r>
        <w:rPr>
          <w:rFonts w:hint="eastAsia"/>
          <w:sz w:val="21"/>
          <w:szCs w:val="21"/>
          <w:lang w:eastAsia="zh-CN"/>
        </w:rPr>
        <w:t>发布中标结果公告后</w:t>
      </w:r>
      <w:r>
        <w:rPr>
          <w:rFonts w:hint="eastAsia"/>
          <w:sz w:val="21"/>
          <w:szCs w:val="21"/>
        </w:rPr>
        <w:t>，中标人须向广西中吉银工程项目管理有限公司一次付清中标服务费。</w:t>
      </w:r>
    </w:p>
    <w:p w14:paraId="4FF33241">
      <w:pPr>
        <w:pStyle w:val="28"/>
        <w:spacing w:line="370" w:lineRule="exact"/>
        <w:ind w:firstLine="435"/>
        <w:rPr>
          <w:rFonts w:hint="eastAsia"/>
          <w:sz w:val="21"/>
          <w:szCs w:val="21"/>
        </w:rPr>
      </w:pPr>
      <w:r>
        <w:rPr>
          <w:rFonts w:hint="eastAsia"/>
          <w:sz w:val="21"/>
          <w:szCs w:val="21"/>
        </w:rPr>
        <w:t>（2）代理服务收费标准：</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74C68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noWrap w:val="0"/>
            <w:vAlign w:val="top"/>
          </w:tcPr>
          <w:p w14:paraId="12DE68F6">
            <w:pPr>
              <w:rPr>
                <w:rFonts w:hint="eastAsia"/>
                <w:szCs w:val="21"/>
              </w:rPr>
            </w:pPr>
            <w:r>
              <w:rPr>
                <w:rFonts w:hint="eastAsia"/>
                <w:szCs w:val="21"/>
              </w:rPr>
              <w:t xml:space="preserve">               费率</w:t>
            </w:r>
          </w:p>
          <w:p w14:paraId="31CE02FD">
            <w:pPr>
              <w:rPr>
                <w:rFonts w:hint="eastAsia"/>
                <w:szCs w:val="21"/>
              </w:rPr>
            </w:pPr>
            <w:r>
              <w:rPr>
                <w:rFonts w:hint="eastAsia"/>
                <w:szCs w:val="21"/>
              </w:rPr>
              <w:t>中标金额</w:t>
            </w:r>
          </w:p>
        </w:tc>
        <w:tc>
          <w:tcPr>
            <w:tcW w:w="1659" w:type="dxa"/>
            <w:noWrap w:val="0"/>
            <w:vAlign w:val="center"/>
          </w:tcPr>
          <w:p w14:paraId="1B20B476">
            <w:pPr>
              <w:ind w:firstLine="105" w:firstLineChars="50"/>
              <w:jc w:val="center"/>
              <w:rPr>
                <w:rFonts w:hint="eastAsia"/>
                <w:szCs w:val="21"/>
              </w:rPr>
            </w:pPr>
            <w:r>
              <w:rPr>
                <w:rFonts w:hint="eastAsia"/>
                <w:szCs w:val="21"/>
              </w:rPr>
              <w:t>货物招标</w:t>
            </w:r>
          </w:p>
        </w:tc>
        <w:tc>
          <w:tcPr>
            <w:tcW w:w="1687" w:type="dxa"/>
            <w:noWrap w:val="0"/>
            <w:vAlign w:val="center"/>
          </w:tcPr>
          <w:p w14:paraId="2DEFDC09">
            <w:pPr>
              <w:jc w:val="center"/>
              <w:rPr>
                <w:rFonts w:hint="eastAsia"/>
                <w:szCs w:val="21"/>
              </w:rPr>
            </w:pPr>
            <w:r>
              <w:rPr>
                <w:rFonts w:hint="eastAsia"/>
                <w:szCs w:val="21"/>
              </w:rPr>
              <w:t>服务招标</w:t>
            </w:r>
          </w:p>
        </w:tc>
        <w:tc>
          <w:tcPr>
            <w:tcW w:w="1659" w:type="dxa"/>
            <w:noWrap w:val="0"/>
            <w:vAlign w:val="center"/>
          </w:tcPr>
          <w:p w14:paraId="0DBA79A0">
            <w:pPr>
              <w:jc w:val="center"/>
              <w:rPr>
                <w:rFonts w:hint="eastAsia"/>
                <w:szCs w:val="21"/>
              </w:rPr>
            </w:pPr>
            <w:r>
              <w:rPr>
                <w:rFonts w:hint="eastAsia"/>
                <w:szCs w:val="21"/>
              </w:rPr>
              <w:t>工程招标</w:t>
            </w:r>
          </w:p>
        </w:tc>
      </w:tr>
      <w:tr w14:paraId="5B27A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61C7534A">
            <w:pPr>
              <w:rPr>
                <w:rFonts w:hint="eastAsia" w:ascii="宋体" w:hAnsi="宋体"/>
                <w:szCs w:val="21"/>
              </w:rPr>
            </w:pPr>
            <w:r>
              <w:rPr>
                <w:rFonts w:hint="eastAsia" w:ascii="宋体" w:hAnsi="宋体"/>
                <w:szCs w:val="21"/>
              </w:rPr>
              <w:t>100万元以下</w:t>
            </w:r>
          </w:p>
        </w:tc>
        <w:tc>
          <w:tcPr>
            <w:tcW w:w="1659" w:type="dxa"/>
            <w:noWrap w:val="0"/>
            <w:vAlign w:val="top"/>
          </w:tcPr>
          <w:p w14:paraId="59535A0F">
            <w:pPr>
              <w:rPr>
                <w:rFonts w:ascii="宋体" w:hAnsi="宋体"/>
                <w:szCs w:val="21"/>
              </w:rPr>
            </w:pPr>
            <w:r>
              <w:rPr>
                <w:rFonts w:hint="eastAsia" w:ascii="宋体" w:hAnsi="宋体" w:cs="宋体"/>
                <w:kern w:val="0"/>
                <w:szCs w:val="21"/>
              </w:rPr>
              <w:t xml:space="preserve">  1.5%                </w:t>
            </w:r>
          </w:p>
        </w:tc>
        <w:tc>
          <w:tcPr>
            <w:tcW w:w="1687" w:type="dxa"/>
            <w:noWrap w:val="0"/>
            <w:vAlign w:val="top"/>
          </w:tcPr>
          <w:p w14:paraId="673417C2">
            <w:pPr>
              <w:ind w:firstLine="210" w:firstLineChars="100"/>
              <w:rPr>
                <w:rFonts w:ascii="宋体" w:hAnsi="宋体"/>
                <w:szCs w:val="21"/>
              </w:rPr>
            </w:pPr>
            <w:r>
              <w:rPr>
                <w:rFonts w:hint="eastAsia" w:ascii="宋体" w:hAnsi="宋体" w:cs="宋体"/>
                <w:kern w:val="0"/>
                <w:szCs w:val="21"/>
              </w:rPr>
              <w:t>1.5%</w:t>
            </w:r>
          </w:p>
        </w:tc>
        <w:tc>
          <w:tcPr>
            <w:tcW w:w="1659" w:type="dxa"/>
            <w:noWrap w:val="0"/>
            <w:vAlign w:val="top"/>
          </w:tcPr>
          <w:p w14:paraId="4C58166E">
            <w:pPr>
              <w:ind w:firstLine="210" w:firstLineChars="100"/>
              <w:rPr>
                <w:rFonts w:hint="eastAsia" w:ascii="宋体" w:hAnsi="宋体"/>
                <w:szCs w:val="21"/>
              </w:rPr>
            </w:pPr>
            <w:r>
              <w:rPr>
                <w:rFonts w:hint="eastAsia" w:ascii="宋体" w:hAnsi="宋体" w:cs="宋体"/>
                <w:kern w:val="0"/>
                <w:szCs w:val="21"/>
              </w:rPr>
              <w:t xml:space="preserve">1.0% </w:t>
            </w:r>
          </w:p>
        </w:tc>
      </w:tr>
      <w:tr w14:paraId="449FD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6A4B2DBD">
            <w:pPr>
              <w:rPr>
                <w:rFonts w:hint="eastAsia" w:ascii="宋体" w:hAnsi="宋体"/>
                <w:szCs w:val="21"/>
              </w:rPr>
            </w:pPr>
            <w:r>
              <w:rPr>
                <w:rFonts w:hint="eastAsia" w:ascii="宋体" w:hAnsi="宋体"/>
                <w:szCs w:val="21"/>
              </w:rPr>
              <w:t>100～500万元</w:t>
            </w:r>
          </w:p>
        </w:tc>
        <w:tc>
          <w:tcPr>
            <w:tcW w:w="1659" w:type="dxa"/>
            <w:noWrap w:val="0"/>
            <w:vAlign w:val="top"/>
          </w:tcPr>
          <w:p w14:paraId="0D6D1727">
            <w:pPr>
              <w:ind w:firstLine="210" w:firstLineChars="100"/>
              <w:rPr>
                <w:rFonts w:ascii="宋体" w:hAnsi="宋体"/>
                <w:szCs w:val="21"/>
              </w:rPr>
            </w:pPr>
            <w:r>
              <w:rPr>
                <w:rFonts w:hint="eastAsia" w:ascii="宋体" w:hAnsi="宋体" w:cs="宋体"/>
                <w:kern w:val="0"/>
                <w:szCs w:val="21"/>
              </w:rPr>
              <w:t xml:space="preserve">1.1%                 </w:t>
            </w:r>
          </w:p>
        </w:tc>
        <w:tc>
          <w:tcPr>
            <w:tcW w:w="1687" w:type="dxa"/>
            <w:noWrap w:val="0"/>
            <w:vAlign w:val="top"/>
          </w:tcPr>
          <w:p w14:paraId="19E6AE12">
            <w:pPr>
              <w:ind w:firstLine="210" w:firstLineChars="100"/>
              <w:rPr>
                <w:rFonts w:ascii="宋体" w:hAnsi="宋体"/>
                <w:szCs w:val="21"/>
              </w:rPr>
            </w:pPr>
            <w:r>
              <w:rPr>
                <w:rFonts w:hint="eastAsia" w:ascii="宋体" w:hAnsi="宋体" w:cs="宋体"/>
                <w:kern w:val="0"/>
                <w:szCs w:val="21"/>
              </w:rPr>
              <w:t>0.8%</w:t>
            </w:r>
          </w:p>
        </w:tc>
        <w:tc>
          <w:tcPr>
            <w:tcW w:w="1659" w:type="dxa"/>
            <w:noWrap w:val="0"/>
            <w:vAlign w:val="top"/>
          </w:tcPr>
          <w:p w14:paraId="0840CB82">
            <w:pPr>
              <w:ind w:firstLine="210" w:firstLineChars="100"/>
              <w:rPr>
                <w:rFonts w:hint="eastAsia" w:ascii="宋体" w:hAnsi="宋体"/>
                <w:szCs w:val="21"/>
              </w:rPr>
            </w:pPr>
            <w:r>
              <w:rPr>
                <w:rFonts w:hint="eastAsia" w:ascii="宋体" w:hAnsi="宋体" w:cs="宋体"/>
                <w:kern w:val="0"/>
                <w:szCs w:val="21"/>
              </w:rPr>
              <w:t xml:space="preserve">0.7% </w:t>
            </w:r>
          </w:p>
        </w:tc>
      </w:tr>
      <w:tr w14:paraId="48E82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7D5C90F2">
            <w:pPr>
              <w:rPr>
                <w:rFonts w:hint="eastAsia" w:ascii="宋体" w:hAnsi="宋体"/>
                <w:szCs w:val="21"/>
              </w:rPr>
            </w:pPr>
            <w:r>
              <w:rPr>
                <w:rFonts w:hint="eastAsia" w:ascii="宋体" w:hAnsi="宋体"/>
                <w:szCs w:val="21"/>
              </w:rPr>
              <w:t>500～1000万元</w:t>
            </w:r>
          </w:p>
        </w:tc>
        <w:tc>
          <w:tcPr>
            <w:tcW w:w="1659" w:type="dxa"/>
            <w:noWrap w:val="0"/>
            <w:vAlign w:val="top"/>
          </w:tcPr>
          <w:p w14:paraId="7A6738B7">
            <w:pPr>
              <w:rPr>
                <w:rFonts w:ascii="宋体" w:hAnsi="宋体"/>
                <w:szCs w:val="21"/>
              </w:rPr>
            </w:pPr>
            <w:r>
              <w:rPr>
                <w:rFonts w:hint="eastAsia" w:ascii="宋体" w:hAnsi="宋体" w:cs="宋体"/>
                <w:kern w:val="0"/>
                <w:szCs w:val="21"/>
              </w:rPr>
              <w:t xml:space="preserve">  0.8%                </w:t>
            </w:r>
          </w:p>
        </w:tc>
        <w:tc>
          <w:tcPr>
            <w:tcW w:w="1687" w:type="dxa"/>
            <w:noWrap w:val="0"/>
            <w:vAlign w:val="top"/>
          </w:tcPr>
          <w:p w14:paraId="36F6A7ED">
            <w:pPr>
              <w:ind w:firstLine="210" w:firstLineChars="100"/>
              <w:rPr>
                <w:rFonts w:ascii="宋体" w:hAnsi="宋体"/>
                <w:szCs w:val="21"/>
              </w:rPr>
            </w:pPr>
            <w:r>
              <w:rPr>
                <w:rFonts w:hint="eastAsia" w:ascii="宋体" w:hAnsi="宋体" w:cs="宋体"/>
                <w:kern w:val="0"/>
                <w:szCs w:val="21"/>
              </w:rPr>
              <w:t>0.45%</w:t>
            </w:r>
          </w:p>
        </w:tc>
        <w:tc>
          <w:tcPr>
            <w:tcW w:w="1659" w:type="dxa"/>
            <w:noWrap w:val="0"/>
            <w:vAlign w:val="top"/>
          </w:tcPr>
          <w:p w14:paraId="6012A5DF">
            <w:pPr>
              <w:ind w:firstLine="210" w:firstLineChars="100"/>
              <w:rPr>
                <w:rFonts w:ascii="宋体" w:hAnsi="宋体"/>
                <w:szCs w:val="21"/>
              </w:rPr>
            </w:pPr>
            <w:r>
              <w:rPr>
                <w:rFonts w:hint="eastAsia" w:ascii="宋体" w:hAnsi="宋体" w:cs="宋体"/>
                <w:kern w:val="0"/>
                <w:szCs w:val="21"/>
              </w:rPr>
              <w:t>0.55%</w:t>
            </w:r>
          </w:p>
        </w:tc>
      </w:tr>
      <w:tr w14:paraId="388C6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2AACB660">
            <w:pPr>
              <w:rPr>
                <w:rFonts w:hint="eastAsia" w:ascii="宋体" w:hAnsi="宋体"/>
                <w:szCs w:val="21"/>
              </w:rPr>
            </w:pPr>
            <w:r>
              <w:rPr>
                <w:rFonts w:hint="eastAsia" w:ascii="宋体" w:hAnsi="宋体"/>
                <w:szCs w:val="21"/>
              </w:rPr>
              <w:t>1000～5000万元</w:t>
            </w:r>
          </w:p>
        </w:tc>
        <w:tc>
          <w:tcPr>
            <w:tcW w:w="1659" w:type="dxa"/>
            <w:noWrap w:val="0"/>
            <w:vAlign w:val="top"/>
          </w:tcPr>
          <w:p w14:paraId="4F8BDC61">
            <w:pPr>
              <w:ind w:firstLine="210" w:firstLineChars="100"/>
              <w:rPr>
                <w:rFonts w:ascii="宋体" w:hAnsi="宋体"/>
                <w:szCs w:val="21"/>
              </w:rPr>
            </w:pPr>
            <w:r>
              <w:rPr>
                <w:rFonts w:hint="eastAsia" w:ascii="宋体" w:hAnsi="宋体" w:cs="宋体"/>
                <w:kern w:val="0"/>
                <w:szCs w:val="21"/>
              </w:rPr>
              <w:t xml:space="preserve">0.5%                </w:t>
            </w:r>
          </w:p>
        </w:tc>
        <w:tc>
          <w:tcPr>
            <w:tcW w:w="1687" w:type="dxa"/>
            <w:noWrap w:val="0"/>
            <w:vAlign w:val="top"/>
          </w:tcPr>
          <w:p w14:paraId="72D6717B">
            <w:pPr>
              <w:ind w:firstLine="210" w:firstLineChars="100"/>
              <w:rPr>
                <w:rFonts w:ascii="宋体" w:hAnsi="宋体"/>
                <w:szCs w:val="21"/>
              </w:rPr>
            </w:pPr>
            <w:r>
              <w:rPr>
                <w:rFonts w:hint="eastAsia" w:ascii="宋体" w:hAnsi="宋体" w:cs="宋体"/>
                <w:kern w:val="0"/>
                <w:szCs w:val="21"/>
              </w:rPr>
              <w:t>0.25%</w:t>
            </w:r>
          </w:p>
        </w:tc>
        <w:tc>
          <w:tcPr>
            <w:tcW w:w="1659" w:type="dxa"/>
            <w:noWrap w:val="0"/>
            <w:vAlign w:val="top"/>
          </w:tcPr>
          <w:p w14:paraId="4FB2ECE6">
            <w:pPr>
              <w:ind w:firstLine="210" w:firstLineChars="100"/>
              <w:rPr>
                <w:rFonts w:hint="eastAsia" w:ascii="宋体" w:hAnsi="宋体"/>
                <w:szCs w:val="21"/>
              </w:rPr>
            </w:pPr>
            <w:r>
              <w:rPr>
                <w:rFonts w:hint="eastAsia" w:ascii="宋体" w:hAnsi="宋体" w:cs="宋体"/>
                <w:kern w:val="0"/>
                <w:szCs w:val="21"/>
              </w:rPr>
              <w:t xml:space="preserve">0.35% </w:t>
            </w:r>
          </w:p>
        </w:tc>
      </w:tr>
      <w:tr w14:paraId="3DD52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096AC89D">
            <w:pPr>
              <w:rPr>
                <w:rFonts w:hint="eastAsia" w:ascii="宋体" w:hAnsi="宋体"/>
                <w:szCs w:val="21"/>
              </w:rPr>
            </w:pPr>
            <w:r>
              <w:rPr>
                <w:rFonts w:hint="eastAsia" w:ascii="宋体" w:hAnsi="宋体"/>
                <w:szCs w:val="21"/>
              </w:rPr>
              <w:t>5000万元～1亿元</w:t>
            </w:r>
          </w:p>
        </w:tc>
        <w:tc>
          <w:tcPr>
            <w:tcW w:w="1659" w:type="dxa"/>
            <w:noWrap w:val="0"/>
            <w:vAlign w:val="top"/>
          </w:tcPr>
          <w:p w14:paraId="38CD8156">
            <w:pPr>
              <w:ind w:firstLine="210" w:firstLineChars="100"/>
              <w:rPr>
                <w:rFonts w:hint="eastAsia" w:ascii="宋体" w:hAnsi="宋体"/>
                <w:szCs w:val="21"/>
              </w:rPr>
            </w:pPr>
            <w:r>
              <w:rPr>
                <w:rFonts w:hint="eastAsia" w:ascii="宋体" w:hAnsi="宋体" w:cs="宋体"/>
                <w:kern w:val="0"/>
                <w:szCs w:val="21"/>
              </w:rPr>
              <w:t xml:space="preserve">0.25%                 </w:t>
            </w:r>
          </w:p>
        </w:tc>
        <w:tc>
          <w:tcPr>
            <w:tcW w:w="1687" w:type="dxa"/>
            <w:noWrap w:val="0"/>
            <w:vAlign w:val="top"/>
          </w:tcPr>
          <w:p w14:paraId="13F32393">
            <w:pPr>
              <w:ind w:firstLine="210" w:firstLineChars="100"/>
              <w:rPr>
                <w:rFonts w:ascii="宋体" w:hAnsi="宋体"/>
                <w:szCs w:val="21"/>
              </w:rPr>
            </w:pPr>
            <w:r>
              <w:rPr>
                <w:rFonts w:hint="eastAsia" w:ascii="宋体" w:hAnsi="宋体" w:cs="宋体"/>
                <w:kern w:val="0"/>
                <w:szCs w:val="21"/>
              </w:rPr>
              <w:t>0.1%</w:t>
            </w:r>
          </w:p>
        </w:tc>
        <w:tc>
          <w:tcPr>
            <w:tcW w:w="1659" w:type="dxa"/>
            <w:noWrap w:val="0"/>
            <w:vAlign w:val="top"/>
          </w:tcPr>
          <w:p w14:paraId="178062C9">
            <w:pPr>
              <w:ind w:firstLine="210" w:firstLineChars="100"/>
              <w:rPr>
                <w:rFonts w:ascii="宋体" w:hAnsi="宋体"/>
                <w:szCs w:val="21"/>
              </w:rPr>
            </w:pPr>
            <w:r>
              <w:rPr>
                <w:rFonts w:hint="eastAsia" w:ascii="宋体" w:hAnsi="宋体" w:cs="宋体"/>
                <w:kern w:val="0"/>
                <w:szCs w:val="21"/>
              </w:rPr>
              <w:t>0.2%</w:t>
            </w:r>
          </w:p>
        </w:tc>
      </w:tr>
      <w:tr w14:paraId="662B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754E09CC">
            <w:pPr>
              <w:rPr>
                <w:rFonts w:hint="eastAsia" w:ascii="宋体" w:hAnsi="宋体"/>
                <w:szCs w:val="21"/>
              </w:rPr>
            </w:pPr>
            <w:r>
              <w:rPr>
                <w:rFonts w:hint="eastAsia" w:ascii="宋体" w:hAnsi="宋体"/>
                <w:szCs w:val="21"/>
              </w:rPr>
              <w:t>1～5亿元</w:t>
            </w:r>
          </w:p>
        </w:tc>
        <w:tc>
          <w:tcPr>
            <w:tcW w:w="1659" w:type="dxa"/>
            <w:noWrap w:val="0"/>
            <w:vAlign w:val="top"/>
          </w:tcPr>
          <w:p w14:paraId="6ACFF875">
            <w:pPr>
              <w:ind w:firstLine="210" w:firstLineChars="100"/>
              <w:rPr>
                <w:rFonts w:hint="eastAsia" w:ascii="宋体" w:hAnsi="宋体"/>
                <w:szCs w:val="21"/>
              </w:rPr>
            </w:pPr>
            <w:r>
              <w:rPr>
                <w:rFonts w:hint="eastAsia" w:ascii="宋体" w:hAnsi="宋体"/>
                <w:szCs w:val="21"/>
              </w:rPr>
              <w:t>0.05%</w:t>
            </w:r>
          </w:p>
        </w:tc>
        <w:tc>
          <w:tcPr>
            <w:tcW w:w="1687" w:type="dxa"/>
            <w:noWrap w:val="0"/>
            <w:vAlign w:val="top"/>
          </w:tcPr>
          <w:p w14:paraId="4C50BDB4">
            <w:pPr>
              <w:rPr>
                <w:rFonts w:hint="eastAsia" w:ascii="宋体" w:hAnsi="宋体"/>
                <w:szCs w:val="21"/>
              </w:rPr>
            </w:pPr>
            <w:r>
              <w:rPr>
                <w:rFonts w:hint="eastAsia" w:ascii="宋体" w:hAnsi="宋体"/>
                <w:szCs w:val="21"/>
              </w:rPr>
              <w:t xml:space="preserve">  0.05%</w:t>
            </w:r>
          </w:p>
        </w:tc>
        <w:tc>
          <w:tcPr>
            <w:tcW w:w="1659" w:type="dxa"/>
            <w:noWrap w:val="0"/>
            <w:vAlign w:val="top"/>
          </w:tcPr>
          <w:p w14:paraId="4D50AE8C">
            <w:pPr>
              <w:rPr>
                <w:rFonts w:hint="eastAsia" w:ascii="宋体" w:hAnsi="宋体"/>
                <w:szCs w:val="21"/>
              </w:rPr>
            </w:pPr>
            <w:r>
              <w:rPr>
                <w:rFonts w:hint="eastAsia" w:ascii="宋体" w:hAnsi="宋体"/>
                <w:szCs w:val="21"/>
              </w:rPr>
              <w:t xml:space="preserve">  0.05%</w:t>
            </w:r>
          </w:p>
        </w:tc>
      </w:tr>
      <w:tr w14:paraId="7CE37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19333A47">
            <w:pPr>
              <w:rPr>
                <w:rFonts w:hint="eastAsia" w:ascii="宋体" w:hAnsi="宋体"/>
                <w:szCs w:val="21"/>
              </w:rPr>
            </w:pPr>
            <w:r>
              <w:rPr>
                <w:rFonts w:hint="eastAsia" w:ascii="宋体" w:hAnsi="宋体"/>
                <w:szCs w:val="21"/>
              </w:rPr>
              <w:t>5～10亿元</w:t>
            </w:r>
          </w:p>
        </w:tc>
        <w:tc>
          <w:tcPr>
            <w:tcW w:w="1659" w:type="dxa"/>
            <w:noWrap w:val="0"/>
            <w:vAlign w:val="top"/>
          </w:tcPr>
          <w:p w14:paraId="74B02C8E">
            <w:pPr>
              <w:ind w:firstLine="105" w:firstLineChars="50"/>
              <w:rPr>
                <w:rFonts w:hint="eastAsia" w:ascii="宋体" w:hAnsi="宋体"/>
                <w:szCs w:val="21"/>
              </w:rPr>
            </w:pPr>
            <w:r>
              <w:rPr>
                <w:rFonts w:hint="eastAsia" w:ascii="宋体" w:hAnsi="宋体"/>
                <w:szCs w:val="21"/>
              </w:rPr>
              <w:t>0.035%</w:t>
            </w:r>
          </w:p>
        </w:tc>
        <w:tc>
          <w:tcPr>
            <w:tcW w:w="1687" w:type="dxa"/>
            <w:noWrap w:val="0"/>
            <w:vAlign w:val="top"/>
          </w:tcPr>
          <w:p w14:paraId="3DAB0568">
            <w:pPr>
              <w:rPr>
                <w:rFonts w:hint="eastAsia" w:ascii="宋体" w:hAnsi="宋体"/>
                <w:szCs w:val="21"/>
              </w:rPr>
            </w:pPr>
            <w:r>
              <w:rPr>
                <w:rFonts w:hint="eastAsia" w:ascii="宋体" w:hAnsi="宋体"/>
                <w:szCs w:val="21"/>
              </w:rPr>
              <w:t xml:space="preserve">  0.035%</w:t>
            </w:r>
          </w:p>
        </w:tc>
        <w:tc>
          <w:tcPr>
            <w:tcW w:w="1659" w:type="dxa"/>
            <w:noWrap w:val="0"/>
            <w:vAlign w:val="top"/>
          </w:tcPr>
          <w:p w14:paraId="5666975F">
            <w:pPr>
              <w:ind w:firstLine="105" w:firstLineChars="50"/>
              <w:rPr>
                <w:rFonts w:ascii="宋体" w:hAnsi="宋体"/>
                <w:szCs w:val="21"/>
              </w:rPr>
            </w:pPr>
            <w:r>
              <w:rPr>
                <w:rFonts w:hint="eastAsia" w:ascii="宋体" w:hAnsi="宋体"/>
                <w:szCs w:val="21"/>
              </w:rPr>
              <w:t>0.035%</w:t>
            </w:r>
          </w:p>
        </w:tc>
      </w:tr>
      <w:tr w14:paraId="00464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4D915B92">
            <w:pPr>
              <w:rPr>
                <w:rFonts w:hint="eastAsia" w:ascii="宋体" w:hAnsi="宋体"/>
                <w:szCs w:val="21"/>
              </w:rPr>
            </w:pPr>
            <w:r>
              <w:rPr>
                <w:rFonts w:hint="eastAsia" w:ascii="宋体" w:hAnsi="宋体"/>
                <w:szCs w:val="21"/>
              </w:rPr>
              <w:t>10～50亿元</w:t>
            </w:r>
          </w:p>
        </w:tc>
        <w:tc>
          <w:tcPr>
            <w:tcW w:w="1659" w:type="dxa"/>
            <w:noWrap w:val="0"/>
            <w:vAlign w:val="top"/>
          </w:tcPr>
          <w:p w14:paraId="33F6BF2E">
            <w:pPr>
              <w:ind w:firstLine="105" w:firstLineChars="50"/>
              <w:rPr>
                <w:rFonts w:hint="eastAsia" w:ascii="宋体" w:hAnsi="宋体"/>
                <w:szCs w:val="21"/>
              </w:rPr>
            </w:pPr>
            <w:r>
              <w:rPr>
                <w:rFonts w:hint="eastAsia" w:ascii="宋体" w:hAnsi="宋体"/>
                <w:szCs w:val="21"/>
              </w:rPr>
              <w:t>0.008%</w:t>
            </w:r>
          </w:p>
        </w:tc>
        <w:tc>
          <w:tcPr>
            <w:tcW w:w="1687" w:type="dxa"/>
            <w:noWrap w:val="0"/>
            <w:vAlign w:val="top"/>
          </w:tcPr>
          <w:p w14:paraId="7C0E4179">
            <w:pPr>
              <w:ind w:firstLine="210" w:firstLineChars="100"/>
              <w:rPr>
                <w:rFonts w:ascii="宋体" w:hAnsi="宋体"/>
                <w:szCs w:val="21"/>
              </w:rPr>
            </w:pPr>
            <w:r>
              <w:rPr>
                <w:rFonts w:hint="eastAsia" w:ascii="宋体" w:hAnsi="宋体"/>
                <w:szCs w:val="21"/>
              </w:rPr>
              <w:t>0.008%</w:t>
            </w:r>
          </w:p>
        </w:tc>
        <w:tc>
          <w:tcPr>
            <w:tcW w:w="1659" w:type="dxa"/>
            <w:noWrap w:val="0"/>
            <w:vAlign w:val="top"/>
          </w:tcPr>
          <w:p w14:paraId="4C9C0004">
            <w:pPr>
              <w:ind w:firstLine="105" w:firstLineChars="50"/>
              <w:rPr>
                <w:rFonts w:ascii="宋体" w:hAnsi="宋体"/>
                <w:szCs w:val="21"/>
              </w:rPr>
            </w:pPr>
            <w:r>
              <w:rPr>
                <w:rFonts w:hint="eastAsia" w:ascii="宋体" w:hAnsi="宋体"/>
                <w:szCs w:val="21"/>
              </w:rPr>
              <w:t>0.008%</w:t>
            </w:r>
          </w:p>
        </w:tc>
      </w:tr>
      <w:tr w14:paraId="785B5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68C56487">
            <w:pPr>
              <w:rPr>
                <w:rFonts w:hint="eastAsia" w:ascii="宋体" w:hAnsi="宋体"/>
                <w:szCs w:val="21"/>
              </w:rPr>
            </w:pPr>
            <w:r>
              <w:rPr>
                <w:rFonts w:hint="eastAsia" w:ascii="宋体" w:hAnsi="宋体"/>
                <w:szCs w:val="21"/>
              </w:rPr>
              <w:t>50～100亿元</w:t>
            </w:r>
          </w:p>
        </w:tc>
        <w:tc>
          <w:tcPr>
            <w:tcW w:w="1659" w:type="dxa"/>
            <w:noWrap w:val="0"/>
            <w:vAlign w:val="top"/>
          </w:tcPr>
          <w:p w14:paraId="3E4A9444">
            <w:pPr>
              <w:rPr>
                <w:rFonts w:hint="eastAsia" w:ascii="宋体" w:hAnsi="宋体"/>
                <w:szCs w:val="21"/>
              </w:rPr>
            </w:pPr>
            <w:r>
              <w:rPr>
                <w:rFonts w:hint="eastAsia" w:ascii="宋体" w:hAnsi="宋体"/>
                <w:szCs w:val="21"/>
              </w:rPr>
              <w:t xml:space="preserve"> 0.006%</w:t>
            </w:r>
          </w:p>
        </w:tc>
        <w:tc>
          <w:tcPr>
            <w:tcW w:w="1687" w:type="dxa"/>
            <w:noWrap w:val="0"/>
            <w:vAlign w:val="top"/>
          </w:tcPr>
          <w:p w14:paraId="0DA3B180">
            <w:pPr>
              <w:ind w:firstLine="210" w:firstLineChars="100"/>
              <w:rPr>
                <w:rFonts w:ascii="宋体" w:hAnsi="宋体"/>
                <w:szCs w:val="21"/>
              </w:rPr>
            </w:pPr>
            <w:r>
              <w:rPr>
                <w:rFonts w:hint="eastAsia" w:ascii="宋体" w:hAnsi="宋体"/>
                <w:szCs w:val="21"/>
              </w:rPr>
              <w:t>0.006%</w:t>
            </w:r>
          </w:p>
        </w:tc>
        <w:tc>
          <w:tcPr>
            <w:tcW w:w="1659" w:type="dxa"/>
            <w:noWrap w:val="0"/>
            <w:vAlign w:val="top"/>
          </w:tcPr>
          <w:p w14:paraId="03491B2A">
            <w:pPr>
              <w:ind w:firstLine="105" w:firstLineChars="50"/>
              <w:rPr>
                <w:rFonts w:ascii="宋体" w:hAnsi="宋体"/>
                <w:szCs w:val="21"/>
              </w:rPr>
            </w:pPr>
            <w:r>
              <w:rPr>
                <w:rFonts w:hint="eastAsia" w:ascii="宋体" w:hAnsi="宋体"/>
                <w:szCs w:val="21"/>
              </w:rPr>
              <w:t>0.006%</w:t>
            </w:r>
          </w:p>
        </w:tc>
      </w:tr>
      <w:tr w14:paraId="1B865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01B7CB27">
            <w:pPr>
              <w:rPr>
                <w:rFonts w:hint="eastAsia" w:ascii="宋体" w:hAnsi="宋体"/>
                <w:szCs w:val="21"/>
              </w:rPr>
            </w:pPr>
            <w:r>
              <w:rPr>
                <w:rFonts w:hint="eastAsia" w:ascii="宋体" w:hAnsi="宋体"/>
                <w:szCs w:val="21"/>
              </w:rPr>
              <w:t>100亿以上</w:t>
            </w:r>
          </w:p>
        </w:tc>
        <w:tc>
          <w:tcPr>
            <w:tcW w:w="1659" w:type="dxa"/>
            <w:noWrap w:val="0"/>
            <w:vAlign w:val="top"/>
          </w:tcPr>
          <w:p w14:paraId="12CE4AD8">
            <w:pPr>
              <w:rPr>
                <w:rFonts w:hint="eastAsia" w:ascii="宋体" w:hAnsi="宋体"/>
                <w:szCs w:val="21"/>
              </w:rPr>
            </w:pPr>
            <w:r>
              <w:rPr>
                <w:rFonts w:hint="eastAsia" w:ascii="宋体" w:hAnsi="宋体"/>
                <w:szCs w:val="21"/>
              </w:rPr>
              <w:t xml:space="preserve"> 0.004%</w:t>
            </w:r>
          </w:p>
        </w:tc>
        <w:tc>
          <w:tcPr>
            <w:tcW w:w="1687" w:type="dxa"/>
            <w:noWrap w:val="0"/>
            <w:vAlign w:val="top"/>
          </w:tcPr>
          <w:p w14:paraId="45D28B3B">
            <w:pPr>
              <w:ind w:firstLine="210" w:firstLineChars="100"/>
              <w:rPr>
                <w:rFonts w:ascii="宋体" w:hAnsi="宋体"/>
                <w:szCs w:val="21"/>
              </w:rPr>
            </w:pPr>
            <w:r>
              <w:rPr>
                <w:rFonts w:hint="eastAsia" w:ascii="宋体" w:hAnsi="宋体"/>
                <w:szCs w:val="21"/>
              </w:rPr>
              <w:t>0.004%</w:t>
            </w:r>
          </w:p>
        </w:tc>
        <w:tc>
          <w:tcPr>
            <w:tcW w:w="1659" w:type="dxa"/>
            <w:noWrap w:val="0"/>
            <w:vAlign w:val="top"/>
          </w:tcPr>
          <w:p w14:paraId="52B483BF">
            <w:pPr>
              <w:ind w:firstLine="105" w:firstLineChars="50"/>
              <w:rPr>
                <w:rFonts w:ascii="宋体" w:hAnsi="宋体"/>
                <w:szCs w:val="21"/>
              </w:rPr>
            </w:pPr>
            <w:r>
              <w:rPr>
                <w:rFonts w:hint="eastAsia" w:ascii="宋体" w:hAnsi="宋体"/>
                <w:szCs w:val="21"/>
              </w:rPr>
              <w:t>0.004%</w:t>
            </w:r>
          </w:p>
        </w:tc>
      </w:tr>
    </w:tbl>
    <w:p w14:paraId="03DC1E9F">
      <w:pPr>
        <w:pStyle w:val="28"/>
        <w:spacing w:line="370" w:lineRule="exact"/>
        <w:ind w:firstLine="435"/>
        <w:rPr>
          <w:rFonts w:hint="eastAsia"/>
          <w:sz w:val="21"/>
          <w:szCs w:val="21"/>
        </w:rPr>
      </w:pPr>
      <w:r>
        <w:rPr>
          <w:rFonts w:hint="eastAsia"/>
          <w:sz w:val="21"/>
          <w:szCs w:val="21"/>
        </w:rPr>
        <w:t>注:招标代理服务收费按差额定率累进法计算。</w:t>
      </w:r>
    </w:p>
    <w:p w14:paraId="453811E3">
      <w:pPr>
        <w:pStyle w:val="28"/>
        <w:spacing w:line="370" w:lineRule="exact"/>
        <w:ind w:firstLine="435"/>
        <w:rPr>
          <w:rFonts w:hint="eastAsia"/>
          <w:sz w:val="21"/>
          <w:szCs w:val="21"/>
        </w:rPr>
      </w:pPr>
      <w:r>
        <w:rPr>
          <w:rFonts w:hint="eastAsia"/>
          <w:sz w:val="21"/>
          <w:szCs w:val="21"/>
        </w:rPr>
        <w:t>（3）服务费指定银行账户：</w:t>
      </w:r>
    </w:p>
    <w:p w14:paraId="62D1443A">
      <w:pPr>
        <w:spacing w:line="360" w:lineRule="exact"/>
        <w:ind w:firstLine="420" w:firstLineChars="200"/>
        <w:rPr>
          <w:rFonts w:hint="eastAsia" w:ascii="宋体" w:hAnsi="宋体" w:cs="Courier New"/>
          <w:color w:val="auto"/>
          <w:sz w:val="21"/>
          <w:szCs w:val="21"/>
          <w:highlight w:val="none"/>
        </w:rPr>
      </w:pPr>
      <w:r>
        <w:rPr>
          <w:rFonts w:hint="eastAsia"/>
          <w:sz w:val="21"/>
          <w:szCs w:val="21"/>
        </w:rPr>
        <w:t>开户名称：</w:t>
      </w:r>
      <w:r>
        <w:rPr>
          <w:rFonts w:hint="eastAsia" w:ascii="宋体" w:hAnsi="宋体" w:cs="Courier New"/>
          <w:color w:val="auto"/>
          <w:sz w:val="21"/>
          <w:szCs w:val="21"/>
          <w:highlight w:val="none"/>
        </w:rPr>
        <w:t>广西中吉银工程项目管理有限公司</w:t>
      </w:r>
    </w:p>
    <w:p w14:paraId="08AF1045">
      <w:pPr>
        <w:spacing w:line="360" w:lineRule="exact"/>
        <w:ind w:firstLine="420" w:firstLineChars="200"/>
        <w:rPr>
          <w:rFonts w:hint="eastAsia" w:ascii="宋体" w:hAnsi="宋体" w:cs="Courier New"/>
          <w:color w:val="auto"/>
          <w:sz w:val="21"/>
          <w:szCs w:val="21"/>
          <w:highlight w:val="none"/>
        </w:rPr>
      </w:pPr>
      <w:r>
        <w:rPr>
          <w:rFonts w:hint="eastAsia" w:ascii="宋体" w:hAnsi="宋体" w:cs="Courier New"/>
          <w:color w:val="auto"/>
          <w:sz w:val="21"/>
          <w:szCs w:val="21"/>
          <w:highlight w:val="none"/>
        </w:rPr>
        <w:t xml:space="preserve">开户银行：中国建设银行股份有限公司南宁盘龙路支行 </w:t>
      </w:r>
    </w:p>
    <w:p w14:paraId="381E6194">
      <w:pPr>
        <w:spacing w:line="360" w:lineRule="exact"/>
        <w:ind w:firstLine="420" w:firstLineChars="200"/>
        <w:rPr>
          <w:rFonts w:hint="eastAsia" w:ascii="宋体" w:hAnsi="宋体" w:cs="Courier New"/>
          <w:color w:val="auto"/>
          <w:sz w:val="21"/>
          <w:szCs w:val="21"/>
          <w:highlight w:val="none"/>
        </w:rPr>
      </w:pPr>
      <w:r>
        <w:rPr>
          <w:rFonts w:hint="eastAsia" w:ascii="宋体" w:hAnsi="宋体" w:cs="Courier New"/>
          <w:color w:val="auto"/>
          <w:sz w:val="21"/>
          <w:szCs w:val="21"/>
          <w:highlight w:val="none"/>
        </w:rPr>
        <w:t>银行账号：45050110067300000549</w:t>
      </w:r>
    </w:p>
    <w:p w14:paraId="36B0BE9C">
      <w:pPr>
        <w:pStyle w:val="28"/>
        <w:spacing w:line="370" w:lineRule="exact"/>
        <w:ind w:firstLine="435"/>
        <w:rPr>
          <w:rFonts w:hint="eastAsia" w:ascii="宋体" w:hAnsi="Courier New" w:eastAsia="宋体" w:cs="Times New Roman"/>
          <w:sz w:val="21"/>
          <w:szCs w:val="21"/>
        </w:rPr>
      </w:pPr>
      <w:r>
        <w:rPr>
          <w:rFonts w:hint="eastAsia" w:ascii="宋体" w:hAnsi="Courier New" w:eastAsia="宋体" w:cs="Times New Roman"/>
          <w:b/>
          <w:bCs/>
          <w:sz w:val="21"/>
          <w:szCs w:val="21"/>
        </w:rPr>
        <w:t>（二）解释权：</w:t>
      </w:r>
      <w:r>
        <w:rPr>
          <w:rFonts w:hint="eastAsia" w:ascii="宋体" w:hAnsi="Courier New" w:eastAsia="宋体" w:cs="Times New Roman"/>
          <w:sz w:val="21"/>
          <w:szCs w:val="21"/>
        </w:rPr>
        <w:t>本招标文件解释权属本采购代理机构。</w:t>
      </w:r>
    </w:p>
    <w:p w14:paraId="01D2FDD0">
      <w:pPr>
        <w:pStyle w:val="28"/>
        <w:spacing w:line="370" w:lineRule="exact"/>
        <w:ind w:firstLine="435"/>
        <w:rPr>
          <w:rFonts w:hint="eastAsia" w:ascii="宋体" w:hAnsi="Courier New" w:eastAsia="宋体" w:cs="Times New Roman"/>
          <w:b/>
          <w:bCs/>
          <w:sz w:val="21"/>
          <w:szCs w:val="21"/>
        </w:rPr>
      </w:pPr>
      <w:r>
        <w:rPr>
          <w:rFonts w:hint="eastAsia" w:ascii="宋体" w:hAnsi="Courier New" w:eastAsia="宋体" w:cs="Times New Roman"/>
          <w:b/>
          <w:bCs/>
          <w:sz w:val="21"/>
          <w:szCs w:val="21"/>
          <w:lang w:eastAsia="zh-CN"/>
        </w:rPr>
        <w:t>（</w:t>
      </w:r>
      <w:r>
        <w:rPr>
          <w:rFonts w:hint="eastAsia" w:ascii="宋体" w:hAnsi="Courier New" w:eastAsia="宋体" w:cs="Times New Roman"/>
          <w:b/>
          <w:bCs/>
          <w:sz w:val="21"/>
          <w:szCs w:val="21"/>
          <w:lang w:val="en-US" w:eastAsia="zh-CN"/>
        </w:rPr>
        <w:t>三</w:t>
      </w:r>
      <w:r>
        <w:rPr>
          <w:rFonts w:hint="eastAsia" w:ascii="宋体" w:hAnsi="Courier New" w:eastAsia="宋体" w:cs="Times New Roman"/>
          <w:b/>
          <w:bCs/>
          <w:sz w:val="21"/>
          <w:szCs w:val="21"/>
          <w:lang w:eastAsia="zh-CN"/>
        </w:rPr>
        <w:t>）</w:t>
      </w:r>
      <w:r>
        <w:rPr>
          <w:rFonts w:hint="eastAsia" w:ascii="宋体" w:hAnsi="Courier New" w:eastAsia="宋体" w:cs="Times New Roman"/>
          <w:b/>
          <w:bCs/>
          <w:sz w:val="21"/>
          <w:szCs w:val="21"/>
        </w:rPr>
        <w:t>需要补充的其他内容</w:t>
      </w:r>
    </w:p>
    <w:p w14:paraId="5A5677BC">
      <w:pPr>
        <w:pStyle w:val="28"/>
        <w:spacing w:line="370" w:lineRule="exact"/>
        <w:ind w:firstLine="435"/>
        <w:rPr>
          <w:rFonts w:hint="eastAsia" w:ascii="宋体" w:hAnsi="Courier New" w:eastAsia="宋体" w:cs="Times New Roman"/>
          <w:sz w:val="21"/>
          <w:szCs w:val="21"/>
        </w:rPr>
      </w:pPr>
      <w:r>
        <w:rPr>
          <w:rFonts w:hint="eastAsia" w:ascii="宋体" w:hAnsi="Courier New" w:eastAsia="宋体" w:cs="Times New Roman"/>
          <w:sz w:val="21"/>
          <w:szCs w:val="21"/>
          <w:lang w:eastAsia="zh-CN"/>
        </w:rPr>
        <w:t>（</w:t>
      </w:r>
      <w:r>
        <w:rPr>
          <w:rFonts w:hint="eastAsia" w:ascii="宋体" w:hAnsi="Courier New" w:eastAsia="宋体" w:cs="Times New Roman"/>
          <w:sz w:val="21"/>
          <w:szCs w:val="21"/>
          <w:lang w:val="en-US" w:eastAsia="zh-CN"/>
        </w:rPr>
        <w:t>1</w:t>
      </w:r>
      <w:r>
        <w:rPr>
          <w:rFonts w:hint="eastAsia" w:ascii="宋体" w:hAnsi="Courier New" w:eastAsia="宋体" w:cs="Times New Roman"/>
          <w:sz w:val="21"/>
          <w:szCs w:val="21"/>
          <w:lang w:eastAsia="zh-CN"/>
        </w:rPr>
        <w:t>）</w:t>
      </w:r>
      <w:r>
        <w:rPr>
          <w:rFonts w:hint="eastAsia" w:ascii="宋体" w:hAnsi="Courier New" w:eastAsia="宋体" w:cs="Times New Roman"/>
          <w:sz w:val="21"/>
          <w:szCs w:val="21"/>
        </w:rPr>
        <w:t>本招标文件解释规则详见“投标人须知前附表”。</w:t>
      </w:r>
    </w:p>
    <w:p w14:paraId="580F40F7">
      <w:pPr>
        <w:pStyle w:val="28"/>
        <w:spacing w:line="370" w:lineRule="exact"/>
        <w:ind w:firstLine="435"/>
        <w:rPr>
          <w:rFonts w:hint="eastAsia" w:ascii="宋体" w:hAnsi="Courier New" w:eastAsia="宋体" w:cs="Times New Roman"/>
          <w:sz w:val="21"/>
          <w:szCs w:val="21"/>
        </w:rPr>
      </w:pPr>
      <w:r>
        <w:rPr>
          <w:rFonts w:hint="eastAsia" w:ascii="宋体" w:hAnsi="Courier New" w:eastAsia="宋体" w:cs="Times New Roman"/>
          <w:sz w:val="21"/>
          <w:szCs w:val="21"/>
          <w:lang w:eastAsia="zh-CN"/>
        </w:rPr>
        <w:t>（</w:t>
      </w:r>
      <w:r>
        <w:rPr>
          <w:rFonts w:hint="eastAsia" w:ascii="宋体" w:hAnsi="Courier New" w:eastAsia="宋体" w:cs="Times New Roman"/>
          <w:sz w:val="21"/>
          <w:szCs w:val="21"/>
          <w:lang w:val="en-US" w:eastAsia="zh-CN"/>
        </w:rPr>
        <w:t>2</w:t>
      </w:r>
      <w:r>
        <w:rPr>
          <w:rFonts w:hint="eastAsia" w:ascii="宋体" w:hAnsi="Courier New" w:eastAsia="宋体" w:cs="Times New Roman"/>
          <w:sz w:val="21"/>
          <w:szCs w:val="21"/>
          <w:lang w:eastAsia="zh-CN"/>
        </w:rPr>
        <w:t>）</w:t>
      </w:r>
      <w:r>
        <w:rPr>
          <w:rFonts w:hint="eastAsia" w:ascii="宋体" w:hAnsi="Courier New" w:eastAsia="宋体" w:cs="Times New Roman"/>
          <w:sz w:val="21"/>
          <w:szCs w:val="21"/>
        </w:rPr>
        <w:t>其他事项详见“投标人须知前附表”。</w:t>
      </w:r>
    </w:p>
    <w:p w14:paraId="0254B9AB">
      <w:pPr>
        <w:pStyle w:val="28"/>
        <w:spacing w:line="370" w:lineRule="exact"/>
        <w:ind w:firstLine="435"/>
        <w:rPr>
          <w:rFonts w:hint="eastAsia" w:ascii="宋体" w:hAnsi="Courier New" w:eastAsia="宋体" w:cs="Times New Roman"/>
          <w:sz w:val="21"/>
          <w:szCs w:val="21"/>
        </w:rPr>
      </w:pPr>
      <w:bookmarkStart w:id="101" w:name="_Hlk65857140"/>
      <w:r>
        <w:rPr>
          <w:rFonts w:hint="eastAsia" w:ascii="宋体" w:hAnsi="Courier New" w:eastAsia="宋体" w:cs="Times New Roman"/>
          <w:sz w:val="21"/>
          <w:szCs w:val="21"/>
          <w:lang w:eastAsia="zh-CN"/>
        </w:rPr>
        <w:t>（</w:t>
      </w:r>
      <w:r>
        <w:rPr>
          <w:rFonts w:hint="eastAsia" w:ascii="宋体" w:hAnsi="Courier New" w:eastAsia="宋体" w:cs="Times New Roman"/>
          <w:sz w:val="21"/>
          <w:szCs w:val="21"/>
          <w:lang w:val="en-US" w:eastAsia="zh-CN"/>
        </w:rPr>
        <w:t>3</w:t>
      </w:r>
      <w:r>
        <w:rPr>
          <w:rFonts w:hint="eastAsia" w:ascii="宋体" w:hAnsi="Courier New" w:eastAsia="宋体" w:cs="Times New Roman"/>
          <w:sz w:val="21"/>
          <w:szCs w:val="21"/>
          <w:lang w:eastAsia="zh-CN"/>
        </w:rPr>
        <w:t>）</w:t>
      </w:r>
      <w:r>
        <w:rPr>
          <w:rFonts w:hint="eastAsia" w:ascii="宋体" w:hAnsi="Courier New" w:eastAsia="宋体" w:cs="Times New Roman"/>
          <w:sz w:val="21"/>
          <w:szCs w:val="21"/>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不对其中涉及的货物的制造商和工程承建商作出要求的，享受本文件规定的中小企业扶持政策。</w:t>
      </w:r>
    </w:p>
    <w:p w14:paraId="2C4B8F5A">
      <w:pPr>
        <w:pStyle w:val="28"/>
        <w:spacing w:line="370" w:lineRule="exact"/>
        <w:ind w:firstLine="435"/>
        <w:rPr>
          <w:rFonts w:hint="eastAsia" w:ascii="宋体" w:hAnsi="Courier New" w:eastAsia="宋体" w:cs="Times New Roman"/>
          <w:sz w:val="21"/>
          <w:szCs w:val="21"/>
        </w:rPr>
      </w:pPr>
      <w:r>
        <w:rPr>
          <w:rFonts w:hint="eastAsia" w:ascii="宋体" w:hAnsi="Courier New" w:eastAsia="宋体" w:cs="Times New Roman"/>
          <w:sz w:val="21"/>
          <w:szCs w:val="21"/>
        </w:rPr>
        <w:t>以联合体形式参加政府采购活动，联合体各方均为中小企业的，联合体视同中小企业。其中，联合体各方均为小微企业的，联合体视同小微企业。</w:t>
      </w:r>
    </w:p>
    <w:p w14:paraId="0A6354CF">
      <w:pPr>
        <w:pStyle w:val="28"/>
        <w:spacing w:line="370" w:lineRule="exact"/>
        <w:ind w:firstLine="435"/>
        <w:rPr>
          <w:rFonts w:hint="eastAsia" w:ascii="宋体" w:hAnsi="Courier New" w:eastAsia="宋体" w:cs="Times New Roman"/>
          <w:sz w:val="21"/>
          <w:szCs w:val="21"/>
        </w:rPr>
      </w:pPr>
      <w:r>
        <w:rPr>
          <w:rFonts w:hint="eastAsia" w:ascii="宋体" w:hAnsi="Courier New" w:eastAsia="宋体" w:cs="Times New Roman"/>
          <w:sz w:val="21"/>
          <w:szCs w:val="21"/>
        </w:rPr>
        <w:t>依据本文件规定享受扶持政策获得政府采购合同的，小微企业不得将合同分包给大中型企业，中型企业不得将合同分包给大型企业。</w:t>
      </w:r>
      <w:bookmarkEnd w:id="101"/>
    </w:p>
    <w:p w14:paraId="450BFB9F">
      <w:pPr>
        <w:pStyle w:val="28"/>
        <w:snapToGrid w:val="0"/>
        <w:spacing w:before="120" w:after="120"/>
        <w:ind w:firstLine="420" w:firstLineChars="200"/>
        <w:rPr>
          <w:rFonts w:hint="eastAsia" w:hAnsi="宋体" w:cs="宋体"/>
          <w:color w:val="auto"/>
        </w:rPr>
      </w:pPr>
      <w:r>
        <w:rPr>
          <w:rFonts w:hint="eastAsia" w:hAnsi="宋体" w:cs="宋体"/>
          <w:color w:val="auto"/>
          <w:sz w:val="21"/>
          <w:szCs w:val="21"/>
        </w:rPr>
        <w:br w:type="page"/>
      </w:r>
      <w:r>
        <w:rPr>
          <w:rFonts w:hint="eastAsia" w:hAnsi="宋体" w:cs="宋体"/>
          <w:color w:val="auto"/>
        </w:rPr>
        <w:t>附件1：</w:t>
      </w:r>
    </w:p>
    <w:p w14:paraId="7F9744DA">
      <w:pPr>
        <w:shd w:val="clear" w:color="auto" w:fill="FFFFFF"/>
        <w:spacing w:line="480" w:lineRule="atLeast"/>
        <w:jc w:val="center"/>
        <w:rPr>
          <w:rFonts w:hint="eastAsia" w:ascii="宋体" w:hAnsi="宋体" w:cs="宋体"/>
          <w:color w:val="auto"/>
          <w:kern w:val="0"/>
          <w:sz w:val="32"/>
          <w:szCs w:val="32"/>
        </w:rPr>
      </w:pPr>
      <w:r>
        <w:rPr>
          <w:rFonts w:hint="eastAsia" w:ascii="宋体" w:hAnsi="宋体" w:cs="宋体"/>
          <w:color w:val="auto"/>
          <w:kern w:val="0"/>
          <w:sz w:val="32"/>
          <w:szCs w:val="32"/>
        </w:rPr>
        <w:t>广西壮族自治区政府采购项目合同验收书（格式）</w:t>
      </w:r>
    </w:p>
    <w:p w14:paraId="06DEC13A">
      <w:pPr>
        <w:shd w:val="clear" w:color="auto" w:fill="FFFFFF"/>
        <w:spacing w:line="480" w:lineRule="atLeast"/>
        <w:jc w:val="center"/>
        <w:rPr>
          <w:rFonts w:hint="eastAsia" w:ascii="宋体" w:hAnsi="宋体" w:cs="宋体"/>
          <w:color w:val="auto"/>
          <w:kern w:val="0"/>
          <w:sz w:val="32"/>
          <w:szCs w:val="32"/>
        </w:rPr>
      </w:pPr>
    </w:p>
    <w:p w14:paraId="5F824462">
      <w:pPr>
        <w:shd w:val="clear" w:color="auto" w:fill="FFFFFF"/>
        <w:snapToGrid w:val="0"/>
        <w:spacing w:line="320" w:lineRule="atLeast"/>
        <w:ind w:left="210" w:leftChars="100" w:firstLine="268" w:firstLineChars="128"/>
        <w:jc w:val="left"/>
        <w:rPr>
          <w:rFonts w:hint="eastAsia" w:ascii="宋体" w:hAnsi="宋体" w:cs="宋体"/>
          <w:color w:val="auto"/>
          <w:kern w:val="0"/>
          <w:szCs w:val="21"/>
        </w:rPr>
      </w:pPr>
      <w:r>
        <w:rPr>
          <w:rFonts w:hint="eastAsia" w:ascii="宋体" w:hAnsi="宋体" w:cs="宋体"/>
          <w:color w:val="auto"/>
          <w:kern w:val="0"/>
          <w:szCs w:val="21"/>
        </w:rPr>
        <w:t>根据政府采购项目（</w:t>
      </w:r>
      <w:r>
        <w:rPr>
          <w:rFonts w:hint="eastAsia" w:ascii="宋体" w:hAnsi="宋体" w:cs="宋体"/>
          <w:color w:val="auto"/>
          <w:kern w:val="0"/>
          <w:szCs w:val="21"/>
          <w:u w:val="single"/>
        </w:rPr>
        <w:t>采购合同编号：</w:t>
      </w:r>
      <w:r>
        <w:rPr>
          <w:rFonts w:hint="eastAsia" w:ascii="宋体" w:hAnsi="宋体" w:cs="宋体"/>
          <w:color w:val="auto"/>
          <w:kern w:val="0"/>
          <w:szCs w:val="21"/>
          <w:u w:val="single"/>
          <w:lang w:val="en-US" w:eastAsia="zh-CN"/>
        </w:rPr>
        <w:t xml:space="preserve">   </w:t>
      </w:r>
      <w:r>
        <w:rPr>
          <w:rFonts w:hint="eastAsia" w:ascii="宋体" w:hAnsi="宋体" w:cs="宋体"/>
          <w:color w:val="auto"/>
          <w:kern w:val="0"/>
          <w:szCs w:val="21"/>
          <w:u w:val="single"/>
        </w:rPr>
        <w:softHyphen/>
      </w:r>
      <w:r>
        <w:rPr>
          <w:rFonts w:hint="eastAsia" w:ascii="宋体" w:hAnsi="宋体" w:cs="宋体"/>
          <w:color w:val="auto"/>
          <w:kern w:val="0"/>
          <w:szCs w:val="21"/>
          <w:u w:val="single"/>
        </w:rPr>
        <w:t xml:space="preserve"> </w:t>
      </w:r>
      <w:r>
        <w:rPr>
          <w:rFonts w:hint="eastAsia" w:ascii="宋体" w:hAnsi="宋体" w:cs="宋体"/>
          <w:color w:val="auto"/>
          <w:kern w:val="0"/>
          <w:szCs w:val="21"/>
        </w:rPr>
        <w:t>）的约定，我单位对（</w:t>
      </w:r>
      <w:r>
        <w:rPr>
          <w:rFonts w:hint="eastAsia" w:ascii="宋体" w:hAnsi="宋体" w:cs="宋体"/>
          <w:color w:val="auto"/>
          <w:kern w:val="0"/>
          <w:szCs w:val="21"/>
          <w:u w:val="single"/>
        </w:rPr>
        <w:t xml:space="preserve"> 项目名称 </w:t>
      </w:r>
      <w:r>
        <w:rPr>
          <w:rFonts w:hint="eastAsia" w:ascii="宋体" w:hAnsi="宋体" w:cs="宋体"/>
          <w:color w:val="auto"/>
          <w:kern w:val="0"/>
          <w:szCs w:val="21"/>
        </w:rPr>
        <w:t>）</w:t>
      </w:r>
      <w:r>
        <w:rPr>
          <w:rFonts w:hint="eastAsia" w:ascii="宋体" w:hAnsi="宋体" w:cs="宋体"/>
          <w:color w:val="auto"/>
          <w:kern w:val="0"/>
          <w:szCs w:val="21"/>
          <w:lang w:val="en-US" w:eastAsia="zh-CN"/>
        </w:rPr>
        <w:t xml:space="preserve"> </w:t>
      </w:r>
      <w:r>
        <w:rPr>
          <w:rFonts w:hint="eastAsia" w:ascii="宋体" w:hAnsi="宋体" w:cs="宋体"/>
          <w:color w:val="auto"/>
          <w:kern w:val="0"/>
          <w:szCs w:val="21"/>
        </w:rPr>
        <w:t xml:space="preserve"> 政府采购项目中标（或者成交）投标人（</w:t>
      </w:r>
      <w:r>
        <w:rPr>
          <w:rFonts w:hint="eastAsia" w:ascii="宋体" w:hAnsi="宋体" w:cs="宋体"/>
          <w:color w:val="auto"/>
          <w:kern w:val="0"/>
          <w:szCs w:val="21"/>
          <w:u w:val="single"/>
        </w:rPr>
        <w:t xml:space="preserve"> 公司名称 </w:t>
      </w:r>
      <w:r>
        <w:rPr>
          <w:rFonts w:hint="eastAsia" w:ascii="宋体" w:hAnsi="宋体" w:cs="宋体"/>
          <w:color w:val="auto"/>
          <w:kern w:val="0"/>
          <w:szCs w:val="21"/>
        </w:rPr>
        <w:t>） 提供的货物（或者工程、服务）进行了验收，验收情况如下：</w:t>
      </w:r>
    </w:p>
    <w:tbl>
      <w:tblPr>
        <w:tblStyle w:val="51"/>
        <w:tblW w:w="9371" w:type="dxa"/>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0122474A">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noWrap w:val="0"/>
            <w:vAlign w:val="center"/>
          </w:tcPr>
          <w:p w14:paraId="15529860">
            <w:pPr>
              <w:snapToGrid w:val="0"/>
              <w:spacing w:before="100" w:beforeAutospacing="1" w:after="100" w:afterAutospacing="1" w:line="320" w:lineRule="atLeast"/>
              <w:ind w:firstLine="5"/>
              <w:jc w:val="center"/>
              <w:rPr>
                <w:rFonts w:hint="eastAsia" w:ascii="宋体" w:hAnsi="宋体" w:cs="宋体"/>
                <w:color w:val="auto"/>
                <w:kern w:val="0"/>
                <w:szCs w:val="21"/>
              </w:rPr>
            </w:pPr>
            <w:r>
              <w:rPr>
                <w:rFonts w:hint="eastAsia" w:ascii="宋体" w:hAnsi="宋体" w:cs="宋体"/>
                <w:color w:val="auto"/>
                <w:kern w:val="0"/>
                <w:szCs w:val="21"/>
              </w:rPr>
              <w:t>验收方式：</w:t>
            </w:r>
          </w:p>
        </w:tc>
        <w:tc>
          <w:tcPr>
            <w:tcW w:w="6119" w:type="dxa"/>
            <w:gridSpan w:val="6"/>
            <w:tcBorders>
              <w:top w:val="single" w:color="auto" w:sz="8" w:space="0"/>
              <w:left w:val="nil"/>
              <w:bottom w:val="single" w:color="auto" w:sz="8" w:space="0"/>
              <w:right w:val="single" w:color="auto" w:sz="8" w:space="0"/>
            </w:tcBorders>
            <w:noWrap w:val="0"/>
            <w:vAlign w:val="center"/>
          </w:tcPr>
          <w:p w14:paraId="32A84778">
            <w:pPr>
              <w:snapToGrid w:val="0"/>
              <w:spacing w:before="100" w:beforeAutospacing="1" w:after="100" w:afterAutospacing="1" w:line="320" w:lineRule="atLeast"/>
              <w:ind w:firstLine="480"/>
              <w:jc w:val="center"/>
              <w:rPr>
                <w:rFonts w:hint="eastAsia" w:ascii="宋体" w:hAnsi="宋体" w:cs="宋体"/>
                <w:color w:val="auto"/>
                <w:kern w:val="0"/>
                <w:szCs w:val="21"/>
              </w:rPr>
            </w:pPr>
            <w:r>
              <w:rPr>
                <w:rFonts w:hint="eastAsia" w:ascii="宋体" w:hAnsi="宋体" w:cs="宋体"/>
                <w:color w:val="auto"/>
                <w:kern w:val="0"/>
                <w:szCs w:val="21"/>
              </w:rPr>
              <w:t>□自行验收 □委托验收</w:t>
            </w:r>
          </w:p>
        </w:tc>
      </w:tr>
      <w:tr w14:paraId="54586215">
        <w:trPr>
          <w:trHeight w:val="622" w:hRule="atLeast"/>
          <w:jc w:val="center"/>
        </w:trPr>
        <w:tc>
          <w:tcPr>
            <w:tcW w:w="1331" w:type="dxa"/>
            <w:tcBorders>
              <w:top w:val="nil"/>
              <w:left w:val="single" w:color="auto" w:sz="8" w:space="0"/>
              <w:bottom w:val="single" w:color="auto" w:sz="8" w:space="0"/>
              <w:right w:val="single" w:color="auto" w:sz="8" w:space="0"/>
            </w:tcBorders>
            <w:noWrap w:val="0"/>
            <w:vAlign w:val="center"/>
          </w:tcPr>
          <w:p w14:paraId="5E3899E6">
            <w:pPr>
              <w:snapToGrid w:val="0"/>
              <w:spacing w:before="100" w:beforeAutospacing="1" w:after="100" w:afterAutospacing="1" w:line="320" w:lineRule="atLeast"/>
              <w:ind w:firstLine="2"/>
              <w:jc w:val="center"/>
              <w:rPr>
                <w:rFonts w:hint="eastAsia" w:ascii="宋体" w:hAnsi="宋体" w:cs="宋体"/>
                <w:color w:val="auto"/>
                <w:kern w:val="0"/>
                <w:szCs w:val="21"/>
              </w:rPr>
            </w:pPr>
            <w:r>
              <w:rPr>
                <w:rFonts w:hint="eastAsia" w:ascii="宋体" w:hAnsi="宋体" w:cs="宋体"/>
                <w:color w:val="auto"/>
                <w:kern w:val="0"/>
                <w:szCs w:val="21"/>
              </w:rPr>
              <w:t>序号</w:t>
            </w:r>
          </w:p>
        </w:tc>
        <w:tc>
          <w:tcPr>
            <w:tcW w:w="1921" w:type="dxa"/>
            <w:tcBorders>
              <w:top w:val="nil"/>
              <w:left w:val="nil"/>
              <w:bottom w:val="single" w:color="auto" w:sz="8" w:space="0"/>
              <w:right w:val="single" w:color="auto" w:sz="8" w:space="0"/>
            </w:tcBorders>
            <w:noWrap w:val="0"/>
            <w:vAlign w:val="center"/>
          </w:tcPr>
          <w:p w14:paraId="78906C0B">
            <w:pPr>
              <w:snapToGrid w:val="0"/>
              <w:spacing w:before="100" w:beforeAutospacing="1" w:after="100" w:afterAutospacing="1" w:line="320" w:lineRule="atLeast"/>
              <w:ind w:firstLine="2"/>
              <w:jc w:val="center"/>
              <w:rPr>
                <w:rFonts w:hint="eastAsia" w:ascii="宋体" w:hAnsi="宋体" w:cs="宋体"/>
                <w:color w:val="auto"/>
                <w:kern w:val="0"/>
                <w:szCs w:val="21"/>
              </w:rPr>
            </w:pPr>
            <w:r>
              <w:rPr>
                <w:rFonts w:hint="eastAsia" w:ascii="宋体" w:hAnsi="宋体" w:cs="宋体"/>
                <w:color w:val="auto"/>
                <w:kern w:val="0"/>
                <w:szCs w:val="21"/>
              </w:rPr>
              <w:t>名 称</w:t>
            </w:r>
          </w:p>
        </w:tc>
        <w:tc>
          <w:tcPr>
            <w:tcW w:w="2902" w:type="dxa"/>
            <w:gridSpan w:val="3"/>
            <w:tcBorders>
              <w:top w:val="nil"/>
              <w:left w:val="nil"/>
              <w:bottom w:val="single" w:color="auto" w:sz="8" w:space="0"/>
              <w:right w:val="single" w:color="auto" w:sz="8" w:space="0"/>
            </w:tcBorders>
            <w:noWrap w:val="0"/>
            <w:vAlign w:val="center"/>
          </w:tcPr>
          <w:p w14:paraId="00ED4264">
            <w:pPr>
              <w:snapToGrid w:val="0"/>
              <w:spacing w:before="100" w:beforeAutospacing="1" w:after="100" w:afterAutospacing="1" w:line="320" w:lineRule="atLeast"/>
              <w:ind w:firstLine="2"/>
              <w:jc w:val="center"/>
              <w:rPr>
                <w:rFonts w:hint="eastAsia" w:ascii="宋体" w:hAnsi="宋体" w:cs="宋体"/>
                <w:color w:val="auto"/>
                <w:kern w:val="0"/>
                <w:szCs w:val="21"/>
              </w:rPr>
            </w:pPr>
            <w:r>
              <w:rPr>
                <w:rFonts w:hint="eastAsia" w:ascii="宋体" w:hAnsi="宋体" w:cs="宋体"/>
                <w:color w:val="auto"/>
                <w:kern w:val="0"/>
                <w:szCs w:val="21"/>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14:paraId="0B4D875A">
            <w:pPr>
              <w:snapToGrid w:val="0"/>
              <w:spacing w:before="100" w:beforeAutospacing="1" w:after="100" w:afterAutospacing="1" w:line="320" w:lineRule="atLeast"/>
              <w:jc w:val="center"/>
              <w:rPr>
                <w:rFonts w:hint="eastAsia" w:ascii="宋体" w:hAnsi="宋体" w:cs="宋体"/>
                <w:color w:val="auto"/>
                <w:kern w:val="0"/>
                <w:szCs w:val="21"/>
              </w:rPr>
            </w:pPr>
            <w:r>
              <w:rPr>
                <w:rFonts w:hint="eastAsia" w:ascii="宋体" w:hAnsi="宋体" w:cs="宋体"/>
                <w:color w:val="auto"/>
                <w:kern w:val="0"/>
                <w:szCs w:val="21"/>
              </w:rPr>
              <w:t>数量</w:t>
            </w:r>
          </w:p>
        </w:tc>
        <w:tc>
          <w:tcPr>
            <w:tcW w:w="2354" w:type="dxa"/>
            <w:tcBorders>
              <w:top w:val="nil"/>
              <w:left w:val="nil"/>
              <w:bottom w:val="single" w:color="auto" w:sz="8" w:space="0"/>
              <w:right w:val="single" w:color="auto" w:sz="8" w:space="0"/>
            </w:tcBorders>
            <w:noWrap w:val="0"/>
            <w:vAlign w:val="center"/>
          </w:tcPr>
          <w:p w14:paraId="5FA87189">
            <w:pPr>
              <w:snapToGrid w:val="0"/>
              <w:spacing w:before="100" w:beforeAutospacing="1" w:after="100" w:afterAutospacing="1" w:line="320" w:lineRule="atLeast"/>
              <w:ind w:firstLine="2"/>
              <w:jc w:val="center"/>
              <w:rPr>
                <w:rFonts w:hint="eastAsia" w:ascii="宋体" w:hAnsi="宋体" w:cs="宋体"/>
                <w:color w:val="auto"/>
                <w:kern w:val="0"/>
                <w:szCs w:val="21"/>
              </w:rPr>
            </w:pPr>
            <w:r>
              <w:rPr>
                <w:rFonts w:hint="eastAsia" w:ascii="宋体" w:hAnsi="宋体" w:cs="宋体"/>
                <w:color w:val="auto"/>
                <w:kern w:val="0"/>
                <w:szCs w:val="21"/>
              </w:rPr>
              <w:t>金 额</w:t>
            </w:r>
          </w:p>
        </w:tc>
      </w:tr>
      <w:tr w14:paraId="3F8CA7C0">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6DE67BA5">
            <w:pPr>
              <w:spacing w:before="100" w:beforeAutospacing="1" w:after="100" w:afterAutospacing="1" w:line="240" w:lineRule="atLeast"/>
              <w:jc w:val="center"/>
              <w:rPr>
                <w:rFonts w:hint="eastAsia" w:ascii="宋体" w:hAnsi="宋体" w:cs="宋体"/>
                <w:color w:val="auto"/>
                <w:kern w:val="0"/>
                <w:szCs w:val="21"/>
              </w:rPr>
            </w:pPr>
          </w:p>
        </w:tc>
        <w:tc>
          <w:tcPr>
            <w:tcW w:w="1921" w:type="dxa"/>
            <w:tcBorders>
              <w:top w:val="nil"/>
              <w:left w:val="nil"/>
              <w:bottom w:val="single" w:color="auto" w:sz="8" w:space="0"/>
              <w:right w:val="single" w:color="auto" w:sz="8" w:space="0"/>
            </w:tcBorders>
            <w:noWrap w:val="0"/>
            <w:vAlign w:val="center"/>
          </w:tcPr>
          <w:p w14:paraId="3B4D7DD7">
            <w:pPr>
              <w:spacing w:before="100" w:beforeAutospacing="1" w:after="100" w:afterAutospacing="1" w:line="240" w:lineRule="atLeast"/>
              <w:jc w:val="center"/>
              <w:rPr>
                <w:rFonts w:hint="eastAsia" w:ascii="宋体" w:hAnsi="宋体" w:cs="宋体"/>
                <w:color w:val="auto"/>
                <w:kern w:val="0"/>
                <w:szCs w:val="21"/>
              </w:rPr>
            </w:pPr>
          </w:p>
        </w:tc>
        <w:tc>
          <w:tcPr>
            <w:tcW w:w="2902" w:type="dxa"/>
            <w:gridSpan w:val="3"/>
            <w:tcBorders>
              <w:top w:val="nil"/>
              <w:left w:val="nil"/>
              <w:bottom w:val="single" w:color="auto" w:sz="8" w:space="0"/>
              <w:right w:val="single" w:color="auto" w:sz="8" w:space="0"/>
            </w:tcBorders>
            <w:noWrap w:val="0"/>
            <w:vAlign w:val="center"/>
          </w:tcPr>
          <w:p w14:paraId="21581175">
            <w:pPr>
              <w:spacing w:before="100" w:beforeAutospacing="1" w:after="100" w:afterAutospacing="1" w:line="240" w:lineRule="atLeast"/>
              <w:jc w:val="center"/>
              <w:rPr>
                <w:rFonts w:hint="eastAsia" w:ascii="宋体" w:hAnsi="宋体" w:cs="宋体"/>
                <w:color w:val="auto"/>
                <w:kern w:val="0"/>
                <w:szCs w:val="21"/>
              </w:rPr>
            </w:pPr>
          </w:p>
        </w:tc>
        <w:tc>
          <w:tcPr>
            <w:tcW w:w="863" w:type="dxa"/>
            <w:gridSpan w:val="2"/>
            <w:tcBorders>
              <w:top w:val="nil"/>
              <w:left w:val="nil"/>
              <w:bottom w:val="single" w:color="auto" w:sz="8" w:space="0"/>
              <w:right w:val="single" w:color="auto" w:sz="8" w:space="0"/>
            </w:tcBorders>
            <w:noWrap w:val="0"/>
            <w:vAlign w:val="center"/>
          </w:tcPr>
          <w:p w14:paraId="02BFAC1B">
            <w:pPr>
              <w:spacing w:before="100" w:beforeAutospacing="1" w:after="100" w:afterAutospacing="1" w:line="240" w:lineRule="atLeast"/>
              <w:jc w:val="center"/>
              <w:rPr>
                <w:rFonts w:hint="eastAsia" w:ascii="宋体" w:hAnsi="宋体" w:cs="宋体"/>
                <w:color w:val="auto"/>
                <w:kern w:val="0"/>
                <w:szCs w:val="21"/>
              </w:rPr>
            </w:pPr>
          </w:p>
        </w:tc>
        <w:tc>
          <w:tcPr>
            <w:tcW w:w="2354" w:type="dxa"/>
            <w:tcBorders>
              <w:top w:val="nil"/>
              <w:left w:val="nil"/>
              <w:bottom w:val="single" w:color="auto" w:sz="8" w:space="0"/>
              <w:right w:val="single" w:color="auto" w:sz="8" w:space="0"/>
            </w:tcBorders>
            <w:noWrap w:val="0"/>
            <w:vAlign w:val="center"/>
          </w:tcPr>
          <w:p w14:paraId="7915541E">
            <w:pPr>
              <w:spacing w:before="100" w:beforeAutospacing="1" w:after="100" w:afterAutospacing="1" w:line="240" w:lineRule="atLeast"/>
              <w:jc w:val="center"/>
              <w:rPr>
                <w:rFonts w:hint="eastAsia" w:ascii="宋体" w:hAnsi="宋体" w:cs="宋体"/>
                <w:color w:val="auto"/>
                <w:kern w:val="0"/>
                <w:szCs w:val="21"/>
              </w:rPr>
            </w:pPr>
          </w:p>
        </w:tc>
      </w:tr>
      <w:tr w14:paraId="0EF3DF7B">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0B6A347E">
            <w:pPr>
              <w:spacing w:before="100" w:beforeAutospacing="1" w:after="100" w:afterAutospacing="1" w:line="240" w:lineRule="atLeast"/>
              <w:jc w:val="center"/>
              <w:rPr>
                <w:rFonts w:hint="eastAsia" w:ascii="宋体" w:hAnsi="宋体" w:cs="宋体"/>
                <w:color w:val="auto"/>
                <w:kern w:val="0"/>
                <w:szCs w:val="21"/>
              </w:rPr>
            </w:pPr>
          </w:p>
        </w:tc>
        <w:tc>
          <w:tcPr>
            <w:tcW w:w="1921" w:type="dxa"/>
            <w:tcBorders>
              <w:top w:val="nil"/>
              <w:left w:val="nil"/>
              <w:bottom w:val="single" w:color="auto" w:sz="8" w:space="0"/>
              <w:right w:val="single" w:color="auto" w:sz="8" w:space="0"/>
            </w:tcBorders>
            <w:noWrap w:val="0"/>
            <w:vAlign w:val="center"/>
          </w:tcPr>
          <w:p w14:paraId="3C2C7000">
            <w:pPr>
              <w:spacing w:before="100" w:beforeAutospacing="1" w:after="100" w:afterAutospacing="1" w:line="240" w:lineRule="atLeast"/>
              <w:jc w:val="center"/>
              <w:rPr>
                <w:rFonts w:hint="eastAsia" w:ascii="宋体" w:hAnsi="宋体" w:cs="宋体"/>
                <w:color w:val="auto"/>
                <w:kern w:val="0"/>
                <w:szCs w:val="21"/>
              </w:rPr>
            </w:pPr>
          </w:p>
        </w:tc>
        <w:tc>
          <w:tcPr>
            <w:tcW w:w="2902" w:type="dxa"/>
            <w:gridSpan w:val="3"/>
            <w:tcBorders>
              <w:top w:val="nil"/>
              <w:left w:val="nil"/>
              <w:bottom w:val="single" w:color="auto" w:sz="8" w:space="0"/>
              <w:right w:val="single" w:color="auto" w:sz="8" w:space="0"/>
            </w:tcBorders>
            <w:noWrap w:val="0"/>
            <w:vAlign w:val="center"/>
          </w:tcPr>
          <w:p w14:paraId="1C944029">
            <w:pPr>
              <w:spacing w:before="100" w:beforeAutospacing="1" w:after="100" w:afterAutospacing="1" w:line="240" w:lineRule="atLeast"/>
              <w:jc w:val="center"/>
              <w:rPr>
                <w:rFonts w:hint="eastAsia" w:ascii="宋体" w:hAnsi="宋体" w:cs="宋体"/>
                <w:color w:val="auto"/>
                <w:kern w:val="0"/>
                <w:szCs w:val="21"/>
              </w:rPr>
            </w:pPr>
          </w:p>
        </w:tc>
        <w:tc>
          <w:tcPr>
            <w:tcW w:w="863" w:type="dxa"/>
            <w:gridSpan w:val="2"/>
            <w:tcBorders>
              <w:top w:val="nil"/>
              <w:left w:val="nil"/>
              <w:bottom w:val="single" w:color="auto" w:sz="8" w:space="0"/>
              <w:right w:val="single" w:color="auto" w:sz="8" w:space="0"/>
            </w:tcBorders>
            <w:noWrap w:val="0"/>
            <w:vAlign w:val="center"/>
          </w:tcPr>
          <w:p w14:paraId="5CCD0DDB">
            <w:pPr>
              <w:spacing w:before="100" w:beforeAutospacing="1" w:after="100" w:afterAutospacing="1" w:line="240" w:lineRule="atLeast"/>
              <w:jc w:val="center"/>
              <w:rPr>
                <w:rFonts w:hint="eastAsia" w:ascii="宋体" w:hAnsi="宋体" w:cs="宋体"/>
                <w:color w:val="auto"/>
                <w:kern w:val="0"/>
                <w:szCs w:val="21"/>
              </w:rPr>
            </w:pPr>
          </w:p>
        </w:tc>
        <w:tc>
          <w:tcPr>
            <w:tcW w:w="2354" w:type="dxa"/>
            <w:tcBorders>
              <w:top w:val="nil"/>
              <w:left w:val="nil"/>
              <w:bottom w:val="single" w:color="auto" w:sz="8" w:space="0"/>
              <w:right w:val="single" w:color="auto" w:sz="8" w:space="0"/>
            </w:tcBorders>
            <w:noWrap w:val="0"/>
            <w:vAlign w:val="center"/>
          </w:tcPr>
          <w:p w14:paraId="3230A06E">
            <w:pPr>
              <w:spacing w:before="100" w:beforeAutospacing="1" w:after="100" w:afterAutospacing="1" w:line="240" w:lineRule="atLeast"/>
              <w:jc w:val="center"/>
              <w:rPr>
                <w:rFonts w:hint="eastAsia" w:ascii="宋体" w:hAnsi="宋体" w:cs="宋体"/>
                <w:color w:val="auto"/>
                <w:kern w:val="0"/>
                <w:szCs w:val="21"/>
              </w:rPr>
            </w:pPr>
          </w:p>
        </w:tc>
      </w:tr>
      <w:tr w14:paraId="4C28B48B">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2EFB11C5">
            <w:pPr>
              <w:spacing w:before="100" w:beforeAutospacing="1" w:after="100" w:afterAutospacing="1" w:line="240" w:lineRule="atLeast"/>
              <w:jc w:val="center"/>
              <w:rPr>
                <w:rFonts w:hint="eastAsia" w:ascii="宋体" w:hAnsi="宋体" w:cs="宋体"/>
                <w:color w:val="auto"/>
                <w:kern w:val="0"/>
                <w:szCs w:val="21"/>
              </w:rPr>
            </w:pPr>
          </w:p>
        </w:tc>
        <w:tc>
          <w:tcPr>
            <w:tcW w:w="1921" w:type="dxa"/>
            <w:tcBorders>
              <w:top w:val="nil"/>
              <w:left w:val="nil"/>
              <w:bottom w:val="single" w:color="auto" w:sz="8" w:space="0"/>
              <w:right w:val="single" w:color="auto" w:sz="8" w:space="0"/>
            </w:tcBorders>
            <w:noWrap w:val="0"/>
            <w:vAlign w:val="center"/>
          </w:tcPr>
          <w:p w14:paraId="6D453E15">
            <w:pPr>
              <w:spacing w:before="100" w:beforeAutospacing="1" w:after="100" w:afterAutospacing="1" w:line="240" w:lineRule="atLeast"/>
              <w:jc w:val="center"/>
              <w:rPr>
                <w:rFonts w:hint="eastAsia" w:ascii="宋体" w:hAnsi="宋体" w:cs="宋体"/>
                <w:color w:val="auto"/>
                <w:kern w:val="0"/>
                <w:szCs w:val="21"/>
              </w:rPr>
            </w:pPr>
          </w:p>
        </w:tc>
        <w:tc>
          <w:tcPr>
            <w:tcW w:w="2902" w:type="dxa"/>
            <w:gridSpan w:val="3"/>
            <w:tcBorders>
              <w:top w:val="nil"/>
              <w:left w:val="nil"/>
              <w:bottom w:val="single" w:color="auto" w:sz="8" w:space="0"/>
              <w:right w:val="single" w:color="auto" w:sz="8" w:space="0"/>
            </w:tcBorders>
            <w:noWrap w:val="0"/>
            <w:vAlign w:val="center"/>
          </w:tcPr>
          <w:p w14:paraId="7E86341F">
            <w:pPr>
              <w:spacing w:before="100" w:beforeAutospacing="1" w:after="100" w:afterAutospacing="1" w:line="240" w:lineRule="atLeast"/>
              <w:jc w:val="center"/>
              <w:rPr>
                <w:rFonts w:hint="eastAsia" w:ascii="宋体" w:hAnsi="宋体" w:cs="宋体"/>
                <w:color w:val="auto"/>
                <w:kern w:val="0"/>
                <w:szCs w:val="21"/>
              </w:rPr>
            </w:pPr>
          </w:p>
        </w:tc>
        <w:tc>
          <w:tcPr>
            <w:tcW w:w="863" w:type="dxa"/>
            <w:gridSpan w:val="2"/>
            <w:tcBorders>
              <w:top w:val="nil"/>
              <w:left w:val="nil"/>
              <w:bottom w:val="single" w:color="auto" w:sz="8" w:space="0"/>
              <w:right w:val="single" w:color="auto" w:sz="8" w:space="0"/>
            </w:tcBorders>
            <w:noWrap w:val="0"/>
            <w:vAlign w:val="center"/>
          </w:tcPr>
          <w:p w14:paraId="6219B5CC">
            <w:pPr>
              <w:spacing w:before="100" w:beforeAutospacing="1" w:after="100" w:afterAutospacing="1" w:line="240" w:lineRule="atLeast"/>
              <w:jc w:val="center"/>
              <w:rPr>
                <w:rFonts w:hint="eastAsia" w:ascii="宋体" w:hAnsi="宋体" w:cs="宋体"/>
                <w:color w:val="auto"/>
                <w:kern w:val="0"/>
                <w:szCs w:val="21"/>
              </w:rPr>
            </w:pPr>
          </w:p>
        </w:tc>
        <w:tc>
          <w:tcPr>
            <w:tcW w:w="2354" w:type="dxa"/>
            <w:tcBorders>
              <w:top w:val="nil"/>
              <w:left w:val="nil"/>
              <w:bottom w:val="single" w:color="auto" w:sz="8" w:space="0"/>
              <w:right w:val="single" w:color="auto" w:sz="8" w:space="0"/>
            </w:tcBorders>
            <w:noWrap w:val="0"/>
            <w:vAlign w:val="center"/>
          </w:tcPr>
          <w:p w14:paraId="477AE3A4">
            <w:pPr>
              <w:spacing w:before="100" w:beforeAutospacing="1" w:after="100" w:afterAutospacing="1" w:line="240" w:lineRule="atLeast"/>
              <w:jc w:val="center"/>
              <w:rPr>
                <w:rFonts w:hint="eastAsia" w:ascii="宋体" w:hAnsi="宋体" w:cs="宋体"/>
                <w:color w:val="auto"/>
                <w:kern w:val="0"/>
                <w:szCs w:val="21"/>
              </w:rPr>
            </w:pPr>
          </w:p>
        </w:tc>
      </w:tr>
      <w:tr w14:paraId="7574E1B6">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noWrap w:val="0"/>
            <w:vAlign w:val="center"/>
          </w:tcPr>
          <w:p w14:paraId="051AF652">
            <w:pPr>
              <w:snapToGrid w:val="0"/>
              <w:spacing w:before="100" w:beforeAutospacing="1" w:after="100" w:afterAutospacing="1" w:line="320" w:lineRule="atLeast"/>
              <w:ind w:firstLine="5"/>
              <w:jc w:val="center"/>
              <w:rPr>
                <w:rFonts w:hint="eastAsia" w:ascii="宋体" w:hAnsi="宋体" w:cs="宋体"/>
                <w:color w:val="auto"/>
                <w:kern w:val="0"/>
                <w:szCs w:val="21"/>
              </w:rPr>
            </w:pPr>
            <w:r>
              <w:rPr>
                <w:rFonts w:hint="eastAsia" w:ascii="宋体" w:hAnsi="宋体" w:cs="宋体"/>
                <w:color w:val="auto"/>
                <w:kern w:val="0"/>
                <w:szCs w:val="21"/>
              </w:rPr>
              <w:t>合 计</w:t>
            </w:r>
          </w:p>
        </w:tc>
        <w:tc>
          <w:tcPr>
            <w:tcW w:w="863" w:type="dxa"/>
            <w:gridSpan w:val="2"/>
            <w:tcBorders>
              <w:top w:val="nil"/>
              <w:left w:val="nil"/>
              <w:bottom w:val="single" w:color="auto" w:sz="8" w:space="0"/>
              <w:right w:val="single" w:color="auto" w:sz="8" w:space="0"/>
            </w:tcBorders>
            <w:noWrap w:val="0"/>
            <w:vAlign w:val="center"/>
          </w:tcPr>
          <w:p w14:paraId="08196A0F">
            <w:pPr>
              <w:spacing w:before="100" w:beforeAutospacing="1" w:after="100" w:afterAutospacing="1" w:line="240" w:lineRule="atLeast"/>
              <w:jc w:val="center"/>
              <w:rPr>
                <w:rFonts w:hint="eastAsia" w:ascii="宋体" w:hAnsi="宋体" w:cs="宋体"/>
                <w:color w:val="auto"/>
                <w:kern w:val="0"/>
                <w:szCs w:val="21"/>
              </w:rPr>
            </w:pPr>
          </w:p>
        </w:tc>
        <w:tc>
          <w:tcPr>
            <w:tcW w:w="2354" w:type="dxa"/>
            <w:tcBorders>
              <w:top w:val="nil"/>
              <w:left w:val="nil"/>
              <w:bottom w:val="single" w:color="auto" w:sz="8" w:space="0"/>
              <w:right w:val="single" w:color="auto" w:sz="8" w:space="0"/>
            </w:tcBorders>
            <w:noWrap w:val="0"/>
            <w:vAlign w:val="center"/>
          </w:tcPr>
          <w:p w14:paraId="0A107C89">
            <w:pPr>
              <w:spacing w:before="100" w:beforeAutospacing="1" w:after="100" w:afterAutospacing="1" w:line="240" w:lineRule="atLeast"/>
              <w:jc w:val="center"/>
              <w:rPr>
                <w:rFonts w:hint="eastAsia" w:ascii="宋体" w:hAnsi="宋体" w:cs="宋体"/>
                <w:color w:val="auto"/>
                <w:kern w:val="0"/>
                <w:szCs w:val="21"/>
              </w:rPr>
            </w:pPr>
          </w:p>
        </w:tc>
      </w:tr>
      <w:tr w14:paraId="6161EBD2">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noWrap w:val="0"/>
            <w:vAlign w:val="center"/>
          </w:tcPr>
          <w:p w14:paraId="60C2F3B2">
            <w:pPr>
              <w:snapToGrid w:val="0"/>
              <w:spacing w:before="100" w:beforeAutospacing="1" w:after="100" w:afterAutospacing="1" w:line="320" w:lineRule="atLeast"/>
              <w:ind w:firstLine="2"/>
              <w:jc w:val="left"/>
              <w:rPr>
                <w:rFonts w:hint="eastAsia" w:ascii="宋体" w:hAnsi="宋体" w:cs="宋体"/>
                <w:color w:val="auto"/>
                <w:kern w:val="0"/>
                <w:szCs w:val="21"/>
              </w:rPr>
            </w:pPr>
            <w:r>
              <w:rPr>
                <w:rFonts w:hint="eastAsia" w:ascii="宋体" w:hAnsi="宋体" w:cs="宋体"/>
                <w:color w:val="auto"/>
                <w:kern w:val="0"/>
                <w:szCs w:val="21"/>
              </w:rPr>
              <w:t>合计大写金额： 亿 仟 佰 拾 万 仟 佰 拾 元</w:t>
            </w:r>
          </w:p>
        </w:tc>
      </w:tr>
      <w:tr w14:paraId="3A06ABE1">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noWrap w:val="0"/>
            <w:vAlign w:val="center"/>
          </w:tcPr>
          <w:p w14:paraId="34A45F3A">
            <w:pPr>
              <w:snapToGrid w:val="0"/>
              <w:spacing w:before="100" w:beforeAutospacing="1" w:after="100" w:afterAutospacing="1" w:line="320" w:lineRule="atLeast"/>
              <w:ind w:firstLine="2"/>
              <w:jc w:val="center"/>
              <w:rPr>
                <w:rFonts w:hint="eastAsia" w:ascii="宋体" w:hAnsi="宋体" w:cs="宋体"/>
                <w:color w:val="auto"/>
                <w:kern w:val="0"/>
                <w:szCs w:val="21"/>
              </w:rPr>
            </w:pPr>
            <w:r>
              <w:rPr>
                <w:rFonts w:hint="eastAsia" w:ascii="宋体" w:hAnsi="宋体" w:cs="宋体"/>
                <w:color w:val="auto"/>
                <w:kern w:val="0"/>
                <w:szCs w:val="21"/>
              </w:rPr>
              <w:t>实际供货日期</w:t>
            </w:r>
          </w:p>
        </w:tc>
        <w:tc>
          <w:tcPr>
            <w:tcW w:w="2719" w:type="dxa"/>
            <w:gridSpan w:val="2"/>
            <w:tcBorders>
              <w:top w:val="nil"/>
              <w:left w:val="nil"/>
              <w:bottom w:val="single" w:color="auto" w:sz="8" w:space="0"/>
              <w:right w:val="single" w:color="auto" w:sz="8" w:space="0"/>
            </w:tcBorders>
            <w:noWrap w:val="0"/>
            <w:vAlign w:val="center"/>
          </w:tcPr>
          <w:p w14:paraId="0AD45D90">
            <w:pPr>
              <w:spacing w:before="100" w:beforeAutospacing="1" w:after="100" w:afterAutospacing="1" w:line="240" w:lineRule="atLeast"/>
              <w:jc w:val="center"/>
              <w:rPr>
                <w:rFonts w:hint="eastAsia" w:ascii="宋体" w:hAnsi="宋体" w:cs="宋体"/>
                <w:color w:val="auto"/>
                <w:kern w:val="0"/>
                <w:szCs w:val="21"/>
              </w:rPr>
            </w:pPr>
          </w:p>
        </w:tc>
        <w:tc>
          <w:tcPr>
            <w:tcW w:w="2282" w:type="dxa"/>
            <w:gridSpan w:val="3"/>
            <w:tcBorders>
              <w:top w:val="nil"/>
              <w:left w:val="nil"/>
              <w:bottom w:val="single" w:color="auto" w:sz="8" w:space="0"/>
              <w:right w:val="single" w:color="auto" w:sz="8" w:space="0"/>
            </w:tcBorders>
            <w:noWrap w:val="0"/>
            <w:vAlign w:val="center"/>
          </w:tcPr>
          <w:p w14:paraId="6C855D07">
            <w:pPr>
              <w:snapToGrid w:val="0"/>
              <w:spacing w:before="100" w:beforeAutospacing="1" w:after="100" w:afterAutospacing="1" w:line="320" w:lineRule="atLeast"/>
              <w:ind w:firstLine="46"/>
              <w:jc w:val="center"/>
              <w:rPr>
                <w:rFonts w:hint="eastAsia" w:ascii="宋体" w:hAnsi="宋体" w:cs="宋体"/>
                <w:color w:val="auto"/>
                <w:kern w:val="0"/>
                <w:szCs w:val="21"/>
              </w:rPr>
            </w:pPr>
            <w:r>
              <w:rPr>
                <w:rFonts w:hint="eastAsia" w:ascii="宋体" w:hAnsi="宋体" w:cs="宋体"/>
                <w:color w:val="auto"/>
                <w:kern w:val="0"/>
                <w:szCs w:val="21"/>
              </w:rPr>
              <w:t>合同交货验收日期</w:t>
            </w:r>
          </w:p>
        </w:tc>
        <w:tc>
          <w:tcPr>
            <w:tcW w:w="3039" w:type="dxa"/>
            <w:gridSpan w:val="2"/>
            <w:tcBorders>
              <w:top w:val="nil"/>
              <w:left w:val="nil"/>
              <w:bottom w:val="single" w:color="auto" w:sz="8" w:space="0"/>
              <w:right w:val="single" w:color="auto" w:sz="8" w:space="0"/>
            </w:tcBorders>
            <w:noWrap w:val="0"/>
            <w:vAlign w:val="center"/>
          </w:tcPr>
          <w:p w14:paraId="4B22A43C">
            <w:pPr>
              <w:spacing w:before="100" w:beforeAutospacing="1" w:after="100" w:afterAutospacing="1" w:line="240" w:lineRule="atLeast"/>
              <w:jc w:val="center"/>
              <w:rPr>
                <w:rFonts w:hint="eastAsia" w:ascii="宋体" w:hAnsi="宋体" w:cs="宋体"/>
                <w:color w:val="auto"/>
                <w:kern w:val="0"/>
                <w:szCs w:val="21"/>
              </w:rPr>
            </w:pPr>
          </w:p>
        </w:tc>
      </w:tr>
      <w:tr w14:paraId="1AC1BDFE">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1594E1C">
            <w:pPr>
              <w:snapToGrid w:val="0"/>
              <w:spacing w:before="100" w:beforeAutospacing="1" w:after="100" w:afterAutospacing="1" w:line="320" w:lineRule="atLeast"/>
              <w:jc w:val="left"/>
              <w:rPr>
                <w:rFonts w:hint="eastAsia" w:ascii="宋体" w:hAnsi="宋体" w:cs="宋体"/>
                <w:color w:val="auto"/>
                <w:kern w:val="0"/>
                <w:szCs w:val="21"/>
              </w:rPr>
            </w:pPr>
            <w:r>
              <w:rPr>
                <w:rFonts w:hint="eastAsia" w:ascii="宋体" w:hAnsi="宋体" w:cs="宋体"/>
                <w:color w:val="auto"/>
                <w:kern w:val="0"/>
                <w:szCs w:val="21"/>
              </w:rPr>
              <w:t>验收具体内容</w:t>
            </w:r>
          </w:p>
        </w:tc>
        <w:tc>
          <w:tcPr>
            <w:tcW w:w="8040"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8224BD4">
            <w:pPr>
              <w:snapToGrid w:val="0"/>
              <w:spacing w:before="100" w:beforeAutospacing="1" w:after="100" w:afterAutospacing="1" w:line="320" w:lineRule="atLeast"/>
              <w:jc w:val="left"/>
              <w:rPr>
                <w:rFonts w:hint="eastAsia" w:ascii="宋体" w:hAnsi="宋体" w:cs="宋体"/>
                <w:color w:val="auto"/>
                <w:kern w:val="0"/>
                <w:szCs w:val="21"/>
              </w:rPr>
            </w:pPr>
            <w:r>
              <w:rPr>
                <w:rFonts w:hint="eastAsia" w:ascii="宋体" w:hAnsi="宋体" w:cs="宋体"/>
                <w:color w:val="auto"/>
                <w:kern w:val="0"/>
                <w:szCs w:val="21"/>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14:paraId="6E4AD479">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6F70A0D">
            <w:pPr>
              <w:spacing w:before="100" w:beforeAutospacing="1" w:after="100" w:afterAutospacing="1" w:line="320" w:lineRule="atLeast"/>
              <w:jc w:val="left"/>
              <w:rPr>
                <w:rFonts w:hint="eastAsia" w:ascii="宋体" w:hAnsi="宋体" w:cs="宋体"/>
                <w:color w:val="auto"/>
                <w:kern w:val="0"/>
                <w:szCs w:val="21"/>
              </w:rPr>
            </w:pPr>
            <w:r>
              <w:rPr>
                <w:rFonts w:hint="eastAsia" w:ascii="宋体" w:hAnsi="宋体" w:cs="宋体"/>
                <w:color w:val="auto"/>
                <w:kern w:val="0"/>
                <w:szCs w:val="21"/>
              </w:rPr>
              <w:t>验收小组意见</w:t>
            </w:r>
          </w:p>
        </w:tc>
        <w:tc>
          <w:tcPr>
            <w:tcW w:w="8040" w:type="dxa"/>
            <w:gridSpan w:val="7"/>
            <w:tcBorders>
              <w:top w:val="nil"/>
              <w:left w:val="nil"/>
              <w:bottom w:val="single" w:color="auto" w:sz="8" w:space="0"/>
              <w:right w:val="single" w:color="auto" w:sz="8" w:space="0"/>
            </w:tcBorders>
            <w:noWrap w:val="0"/>
            <w:vAlign w:val="center"/>
          </w:tcPr>
          <w:p w14:paraId="750DD4BE">
            <w:pPr>
              <w:spacing w:before="100" w:beforeAutospacing="1" w:after="100" w:afterAutospacing="1" w:line="320" w:lineRule="atLeast"/>
              <w:jc w:val="left"/>
              <w:rPr>
                <w:rFonts w:hint="eastAsia" w:ascii="宋体" w:hAnsi="宋体" w:cs="宋体"/>
                <w:color w:val="auto"/>
                <w:kern w:val="0"/>
                <w:szCs w:val="21"/>
              </w:rPr>
            </w:pPr>
            <w:r>
              <w:rPr>
                <w:rFonts w:hint="eastAsia" w:ascii="宋体" w:hAnsi="宋体" w:cs="宋体"/>
                <w:color w:val="auto"/>
                <w:kern w:val="0"/>
                <w:szCs w:val="21"/>
              </w:rPr>
              <w:t>验收结论性意见：</w:t>
            </w:r>
          </w:p>
        </w:tc>
      </w:tr>
      <w:tr w14:paraId="17010CFF">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noWrap w:val="0"/>
            <w:vAlign w:val="center"/>
          </w:tcPr>
          <w:p w14:paraId="63685555">
            <w:pPr>
              <w:jc w:val="left"/>
              <w:rPr>
                <w:rFonts w:hint="eastAsia" w:ascii="宋体" w:hAnsi="宋体" w:cs="宋体"/>
                <w:color w:val="auto"/>
                <w:kern w:val="0"/>
                <w:szCs w:val="21"/>
              </w:rPr>
            </w:pPr>
          </w:p>
        </w:tc>
        <w:tc>
          <w:tcPr>
            <w:tcW w:w="8040" w:type="dxa"/>
            <w:gridSpan w:val="7"/>
            <w:tcBorders>
              <w:top w:val="nil"/>
              <w:left w:val="nil"/>
              <w:bottom w:val="single" w:color="auto" w:sz="8" w:space="0"/>
              <w:right w:val="single" w:color="auto" w:sz="8" w:space="0"/>
            </w:tcBorders>
            <w:noWrap w:val="0"/>
            <w:vAlign w:val="center"/>
          </w:tcPr>
          <w:p w14:paraId="2CD19F56">
            <w:pPr>
              <w:spacing w:before="100" w:beforeAutospacing="1" w:after="100" w:afterAutospacing="1" w:line="320" w:lineRule="atLeast"/>
              <w:ind w:firstLine="96"/>
              <w:jc w:val="left"/>
              <w:rPr>
                <w:rFonts w:hint="eastAsia" w:ascii="宋体" w:hAnsi="宋体" w:cs="宋体"/>
                <w:color w:val="auto"/>
                <w:kern w:val="0"/>
                <w:szCs w:val="21"/>
              </w:rPr>
            </w:pPr>
            <w:r>
              <w:rPr>
                <w:rFonts w:hint="eastAsia" w:ascii="宋体" w:hAnsi="宋体" w:cs="宋体"/>
                <w:color w:val="auto"/>
                <w:kern w:val="0"/>
                <w:szCs w:val="21"/>
              </w:rPr>
              <w:t>有异议的意见和说明理由：</w:t>
            </w:r>
          </w:p>
          <w:p w14:paraId="1CCCB710">
            <w:pPr>
              <w:spacing w:before="100" w:beforeAutospacing="1" w:after="100" w:afterAutospacing="1" w:line="320" w:lineRule="atLeast"/>
              <w:jc w:val="left"/>
              <w:rPr>
                <w:rFonts w:hint="eastAsia" w:ascii="宋体" w:hAnsi="宋体" w:cs="宋体"/>
                <w:color w:val="auto"/>
                <w:kern w:val="0"/>
                <w:szCs w:val="21"/>
              </w:rPr>
            </w:pPr>
            <w:r>
              <w:rPr>
                <w:rFonts w:hint="eastAsia" w:ascii="宋体" w:hAnsi="宋体" w:cs="宋体"/>
                <w:color w:val="auto"/>
                <w:kern w:val="0"/>
                <w:szCs w:val="21"/>
              </w:rPr>
              <w:t>签字：</w:t>
            </w:r>
          </w:p>
        </w:tc>
      </w:tr>
      <w:tr w14:paraId="5522157B">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EC378E8">
            <w:pPr>
              <w:spacing w:before="100" w:beforeAutospacing="1" w:after="100" w:afterAutospacing="1" w:line="320" w:lineRule="atLeast"/>
              <w:jc w:val="left"/>
              <w:rPr>
                <w:rFonts w:hint="eastAsia" w:ascii="宋体" w:hAnsi="宋体" w:cs="宋体"/>
                <w:color w:val="auto"/>
                <w:kern w:val="0"/>
                <w:szCs w:val="21"/>
              </w:rPr>
            </w:pPr>
            <w:r>
              <w:rPr>
                <w:rFonts w:hint="eastAsia" w:ascii="宋体" w:hAnsi="宋体" w:cs="宋体"/>
                <w:color w:val="auto"/>
                <w:kern w:val="0"/>
                <w:szCs w:val="21"/>
              </w:rPr>
              <w:t>验收小组成员签字：</w:t>
            </w:r>
          </w:p>
        </w:tc>
      </w:tr>
      <w:tr w14:paraId="004A4F9B">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917441A">
            <w:pPr>
              <w:spacing w:before="100" w:beforeAutospacing="1" w:after="100" w:afterAutospacing="1" w:line="320" w:lineRule="atLeast"/>
              <w:jc w:val="left"/>
              <w:rPr>
                <w:rFonts w:hint="eastAsia" w:ascii="宋体" w:hAnsi="宋体" w:cs="宋体"/>
                <w:color w:val="auto"/>
                <w:kern w:val="0"/>
                <w:szCs w:val="21"/>
              </w:rPr>
            </w:pPr>
            <w:r>
              <w:rPr>
                <w:rFonts w:hint="eastAsia" w:ascii="宋体" w:hAnsi="宋体" w:cs="宋体"/>
                <w:color w:val="auto"/>
                <w:kern w:val="0"/>
                <w:szCs w:val="21"/>
              </w:rPr>
              <w:t>监督人员或者其他相关人员签字：</w:t>
            </w:r>
          </w:p>
          <w:p w14:paraId="66D1DE41">
            <w:pPr>
              <w:spacing w:before="100" w:beforeAutospacing="1" w:after="100" w:afterAutospacing="1" w:line="320" w:lineRule="atLeast"/>
              <w:ind w:firstLine="74"/>
              <w:jc w:val="left"/>
              <w:rPr>
                <w:rFonts w:hint="eastAsia" w:ascii="宋体" w:hAnsi="宋体" w:cs="宋体"/>
                <w:color w:val="auto"/>
                <w:kern w:val="0"/>
                <w:szCs w:val="21"/>
              </w:rPr>
            </w:pPr>
            <w:r>
              <w:rPr>
                <w:rFonts w:hint="eastAsia" w:ascii="宋体" w:hAnsi="宋体" w:cs="宋体"/>
                <w:color w:val="auto"/>
                <w:kern w:val="0"/>
                <w:szCs w:val="21"/>
              </w:rPr>
              <w:t>或者受邀机构的意见（盖章）：</w:t>
            </w:r>
          </w:p>
        </w:tc>
      </w:tr>
      <w:tr w14:paraId="53AB6A01">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nil"/>
            </w:tcBorders>
            <w:noWrap w:val="0"/>
            <w:tcMar>
              <w:top w:w="0" w:type="dxa"/>
              <w:left w:w="108" w:type="dxa"/>
              <w:bottom w:w="0" w:type="dxa"/>
              <w:right w:w="108" w:type="dxa"/>
            </w:tcMar>
            <w:vAlign w:val="center"/>
          </w:tcPr>
          <w:p w14:paraId="53F014A3">
            <w:pPr>
              <w:spacing w:before="100" w:beforeAutospacing="1" w:after="100" w:afterAutospacing="1" w:line="320" w:lineRule="atLeast"/>
              <w:ind w:firstLine="74"/>
              <w:jc w:val="left"/>
              <w:rPr>
                <w:rFonts w:hint="eastAsia" w:ascii="宋体" w:hAnsi="宋体" w:cs="宋体"/>
                <w:color w:val="auto"/>
                <w:kern w:val="0"/>
                <w:szCs w:val="21"/>
              </w:rPr>
            </w:pPr>
            <w:r>
              <w:rPr>
                <w:rFonts w:hint="eastAsia" w:ascii="宋体" w:hAnsi="宋体" w:cs="宋体"/>
                <w:color w:val="auto"/>
                <w:kern w:val="0"/>
                <w:szCs w:val="21"/>
              </w:rPr>
              <w:t>中标或者成交人负责人签字或者盖章：</w:t>
            </w:r>
          </w:p>
          <w:p w14:paraId="48376FFA">
            <w:pPr>
              <w:spacing w:before="100" w:beforeAutospacing="1" w:after="100" w:afterAutospacing="1" w:line="320" w:lineRule="atLeast"/>
              <w:jc w:val="left"/>
              <w:rPr>
                <w:rFonts w:hint="eastAsia" w:ascii="宋体" w:hAnsi="宋体" w:cs="宋体"/>
                <w:color w:val="auto"/>
                <w:kern w:val="0"/>
                <w:szCs w:val="21"/>
              </w:rPr>
            </w:pPr>
            <w:r>
              <w:rPr>
                <w:rFonts w:hint="eastAsia" w:ascii="宋体" w:hAnsi="宋体" w:cs="宋体"/>
                <w:color w:val="auto"/>
                <w:kern w:val="0"/>
                <w:szCs w:val="21"/>
              </w:rPr>
              <w:t>联系电话： 年 月 日</w:t>
            </w:r>
          </w:p>
        </w:tc>
        <w:tc>
          <w:tcPr>
            <w:tcW w:w="5219" w:type="dxa"/>
            <w:gridSpan w:val="4"/>
            <w:tcBorders>
              <w:top w:val="nil"/>
              <w:left w:val="nil"/>
              <w:bottom w:val="single" w:color="auto" w:sz="8" w:space="0"/>
              <w:right w:val="single" w:color="auto" w:sz="8" w:space="0"/>
            </w:tcBorders>
            <w:noWrap w:val="0"/>
            <w:vAlign w:val="center"/>
          </w:tcPr>
          <w:p w14:paraId="303A09CA">
            <w:pPr>
              <w:spacing w:before="100" w:beforeAutospacing="1" w:after="100" w:afterAutospacing="1" w:line="320" w:lineRule="atLeast"/>
              <w:jc w:val="left"/>
              <w:rPr>
                <w:rFonts w:hint="eastAsia" w:ascii="宋体" w:hAnsi="宋体" w:cs="宋体"/>
                <w:color w:val="auto"/>
                <w:kern w:val="0"/>
                <w:szCs w:val="21"/>
              </w:rPr>
            </w:pPr>
            <w:r>
              <w:rPr>
                <w:rFonts w:hint="eastAsia" w:ascii="宋体" w:hAnsi="宋体" w:cs="宋体"/>
                <w:color w:val="auto"/>
                <w:kern w:val="0"/>
                <w:szCs w:val="21"/>
              </w:rPr>
              <w:t>采购人或者受托机构的意见（盖章）：</w:t>
            </w:r>
          </w:p>
          <w:p w14:paraId="73A1EE19">
            <w:pPr>
              <w:spacing w:before="100" w:beforeAutospacing="1" w:after="100" w:afterAutospacing="1" w:line="320" w:lineRule="atLeast"/>
              <w:jc w:val="left"/>
              <w:rPr>
                <w:rFonts w:hint="eastAsia" w:ascii="宋体" w:hAnsi="宋体" w:cs="宋体"/>
                <w:color w:val="auto"/>
                <w:kern w:val="0"/>
                <w:szCs w:val="21"/>
              </w:rPr>
            </w:pPr>
            <w:r>
              <w:rPr>
                <w:rFonts w:hint="eastAsia" w:ascii="宋体" w:hAnsi="宋体" w:cs="宋体"/>
                <w:color w:val="auto"/>
                <w:kern w:val="0"/>
                <w:szCs w:val="21"/>
              </w:rPr>
              <w:t>联系电话： 年 月 日</w:t>
            </w:r>
          </w:p>
        </w:tc>
      </w:tr>
    </w:tbl>
    <w:p w14:paraId="4EBDED6E">
      <w:pPr>
        <w:jc w:val="left"/>
        <w:rPr>
          <w:rFonts w:hint="eastAsia" w:ascii="宋体" w:hAnsi="宋体" w:cs="宋体"/>
          <w:color w:val="auto"/>
        </w:rPr>
      </w:pPr>
      <w:r>
        <w:rPr>
          <w:rFonts w:hint="eastAsia" w:ascii="宋体" w:hAnsi="宋体" w:cs="宋体"/>
          <w:color w:val="auto"/>
        </w:rPr>
        <w:br w:type="page"/>
      </w:r>
      <w:r>
        <w:rPr>
          <w:rFonts w:hint="eastAsia" w:ascii="宋体" w:hAnsi="宋体" w:cs="宋体"/>
          <w:color w:val="auto"/>
        </w:rPr>
        <w:t>附件2：</w:t>
      </w:r>
    </w:p>
    <w:p w14:paraId="6A7A132C">
      <w:pPr>
        <w:jc w:val="center"/>
        <w:rPr>
          <w:rFonts w:hint="eastAsia" w:ascii="宋体" w:hAnsi="宋体" w:cs="宋体"/>
          <w:color w:val="auto"/>
          <w:sz w:val="32"/>
          <w:szCs w:val="32"/>
        </w:rPr>
      </w:pPr>
      <w:r>
        <w:rPr>
          <w:rFonts w:hint="eastAsia" w:ascii="宋体" w:hAnsi="宋体" w:cs="宋体"/>
          <w:color w:val="auto"/>
          <w:sz w:val="32"/>
          <w:szCs w:val="32"/>
        </w:rPr>
        <w:t>政府采购项目履约保证金退付意见书（参考）</w:t>
      </w:r>
    </w:p>
    <w:p w14:paraId="32F84BDC">
      <w:pPr>
        <w:jc w:val="center"/>
        <w:rPr>
          <w:rFonts w:hint="eastAsia" w:ascii="宋体" w:hAnsi="宋体" w:cs="宋体"/>
          <w:color w:val="auto"/>
          <w:sz w:val="36"/>
          <w:szCs w:val="36"/>
        </w:rPr>
      </w:pPr>
    </w:p>
    <w:tbl>
      <w:tblPr>
        <w:tblStyle w:val="5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14:paraId="2762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1029E5B2">
            <w:pPr>
              <w:jc w:val="center"/>
              <w:rPr>
                <w:rFonts w:hint="eastAsia" w:ascii="宋体" w:hAnsi="宋体" w:cs="宋体"/>
                <w:color w:val="auto"/>
                <w:sz w:val="24"/>
              </w:rPr>
            </w:pPr>
            <w:r>
              <w:rPr>
                <w:rFonts w:hint="eastAsia" w:ascii="宋体" w:hAnsi="宋体" w:cs="宋体"/>
                <w:color w:val="auto"/>
                <w:sz w:val="24"/>
              </w:rPr>
              <w:t>供</w:t>
            </w:r>
          </w:p>
          <w:p w14:paraId="39F6B57E">
            <w:pPr>
              <w:jc w:val="center"/>
              <w:rPr>
                <w:rFonts w:hint="eastAsia" w:ascii="宋体" w:hAnsi="宋体" w:cs="宋体"/>
                <w:color w:val="auto"/>
                <w:sz w:val="24"/>
              </w:rPr>
            </w:pPr>
            <w:r>
              <w:rPr>
                <w:rFonts w:hint="eastAsia" w:ascii="宋体" w:hAnsi="宋体" w:cs="宋体"/>
                <w:color w:val="auto"/>
                <w:sz w:val="24"/>
              </w:rPr>
              <w:t>应</w:t>
            </w:r>
          </w:p>
          <w:p w14:paraId="1C7F8E90">
            <w:pPr>
              <w:jc w:val="center"/>
              <w:rPr>
                <w:rFonts w:hint="eastAsia" w:ascii="宋体" w:hAnsi="宋体" w:cs="宋体"/>
                <w:color w:val="auto"/>
                <w:sz w:val="24"/>
              </w:rPr>
            </w:pPr>
            <w:r>
              <w:rPr>
                <w:rFonts w:hint="eastAsia" w:ascii="宋体" w:hAnsi="宋体" w:cs="宋体"/>
                <w:color w:val="auto"/>
                <w:sz w:val="24"/>
              </w:rPr>
              <w:t>商</w:t>
            </w:r>
          </w:p>
          <w:p w14:paraId="5F42F22D">
            <w:pPr>
              <w:jc w:val="center"/>
              <w:rPr>
                <w:rFonts w:hint="eastAsia" w:ascii="宋体" w:hAnsi="宋体" w:cs="宋体"/>
                <w:color w:val="auto"/>
                <w:sz w:val="24"/>
              </w:rPr>
            </w:pPr>
            <w:r>
              <w:rPr>
                <w:rFonts w:hint="eastAsia" w:ascii="宋体" w:hAnsi="宋体" w:cs="宋体"/>
                <w:color w:val="auto"/>
                <w:sz w:val="24"/>
              </w:rPr>
              <w:t>申</w:t>
            </w:r>
          </w:p>
          <w:p w14:paraId="6073EACA">
            <w:pPr>
              <w:jc w:val="center"/>
              <w:rPr>
                <w:rFonts w:hint="eastAsia" w:ascii="宋体" w:hAnsi="宋体" w:cs="宋体"/>
                <w:color w:val="auto"/>
                <w:sz w:val="24"/>
              </w:rPr>
            </w:pPr>
            <w:r>
              <w:rPr>
                <w:rFonts w:hint="eastAsia" w:ascii="宋体" w:hAnsi="宋体" w:cs="宋体"/>
                <w:color w:val="auto"/>
                <w:sz w:val="24"/>
              </w:rPr>
              <w:t>请</w:t>
            </w:r>
          </w:p>
        </w:tc>
        <w:tc>
          <w:tcPr>
            <w:tcW w:w="8456" w:type="dxa"/>
            <w:noWrap w:val="0"/>
            <w:vAlign w:val="center"/>
          </w:tcPr>
          <w:p w14:paraId="56C82869">
            <w:pPr>
              <w:rPr>
                <w:rFonts w:hint="eastAsia" w:ascii="宋体" w:hAnsi="宋体" w:cs="宋体"/>
                <w:color w:val="auto"/>
                <w:sz w:val="24"/>
              </w:rPr>
            </w:pPr>
            <w:r>
              <w:rPr>
                <w:rFonts w:hint="eastAsia" w:ascii="宋体" w:hAnsi="宋体" w:cs="宋体"/>
                <w:color w:val="auto"/>
                <w:sz w:val="24"/>
              </w:rPr>
              <w:t>项目编号：</w:t>
            </w:r>
          </w:p>
        </w:tc>
      </w:tr>
      <w:tr w14:paraId="36D6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3AB2053F">
            <w:pPr>
              <w:rPr>
                <w:rFonts w:hint="eastAsia" w:ascii="宋体" w:hAnsi="宋体" w:cs="宋体"/>
                <w:color w:val="auto"/>
                <w:sz w:val="24"/>
              </w:rPr>
            </w:pPr>
          </w:p>
        </w:tc>
        <w:tc>
          <w:tcPr>
            <w:tcW w:w="8456" w:type="dxa"/>
            <w:noWrap w:val="0"/>
            <w:vAlign w:val="center"/>
          </w:tcPr>
          <w:p w14:paraId="627A5E59">
            <w:pPr>
              <w:rPr>
                <w:rFonts w:hint="eastAsia" w:ascii="宋体" w:hAnsi="宋体" w:cs="宋体"/>
                <w:color w:val="auto"/>
                <w:sz w:val="24"/>
              </w:rPr>
            </w:pPr>
            <w:r>
              <w:rPr>
                <w:rFonts w:hint="eastAsia" w:ascii="宋体" w:hAnsi="宋体" w:cs="宋体"/>
                <w:color w:val="auto"/>
                <w:sz w:val="24"/>
              </w:rPr>
              <w:t>项目名称：</w:t>
            </w:r>
          </w:p>
        </w:tc>
      </w:tr>
      <w:tr w14:paraId="34827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61E9CB4F">
            <w:pPr>
              <w:rPr>
                <w:rFonts w:hint="eastAsia" w:ascii="宋体" w:hAnsi="宋体" w:cs="宋体"/>
                <w:color w:val="auto"/>
                <w:sz w:val="24"/>
              </w:rPr>
            </w:pPr>
          </w:p>
        </w:tc>
        <w:tc>
          <w:tcPr>
            <w:tcW w:w="8456" w:type="dxa"/>
            <w:noWrap w:val="0"/>
            <w:vAlign w:val="top"/>
          </w:tcPr>
          <w:p w14:paraId="26CE3B68">
            <w:pPr>
              <w:rPr>
                <w:rFonts w:hint="eastAsia" w:ascii="宋体" w:hAnsi="宋体" w:cs="宋体"/>
                <w:color w:val="auto"/>
                <w:sz w:val="24"/>
              </w:rPr>
            </w:pPr>
            <w:r>
              <w:rPr>
                <w:rFonts w:hint="eastAsia" w:ascii="宋体" w:hAnsi="宋体" w:cs="宋体"/>
                <w:color w:val="auto"/>
                <w:sz w:val="24"/>
              </w:rPr>
              <w:t xml:space="preserve">  </w:t>
            </w:r>
          </w:p>
          <w:p w14:paraId="5764997B">
            <w:pPr>
              <w:spacing w:line="400" w:lineRule="exact"/>
              <w:ind w:firstLine="480" w:firstLineChars="200"/>
              <w:rPr>
                <w:rFonts w:hint="eastAsia" w:ascii="宋体" w:hAnsi="宋体" w:cs="宋体"/>
                <w:color w:val="auto"/>
                <w:sz w:val="24"/>
              </w:rPr>
            </w:pPr>
            <w:r>
              <w:rPr>
                <w:rFonts w:hint="eastAsia" w:ascii="宋体" w:hAnsi="宋体" w:cs="宋体"/>
                <w:color w:val="auto"/>
                <w:sz w:val="24"/>
              </w:rPr>
              <w:t>该项目已于</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日验收并交付使用。根据合同规定，该项目</w:t>
            </w:r>
            <w:r>
              <w:rPr>
                <w:rFonts w:hint="eastAsia" w:ascii="宋体" w:hAnsi="宋体" w:eastAsia="宋体" w:cs="宋体"/>
                <w:color w:val="auto"/>
                <w:sz w:val="24"/>
              </w:rPr>
              <w:t>的</w:t>
            </w:r>
            <w:r>
              <w:rPr>
                <w:rFonts w:hint="eastAsia" w:ascii="宋体" w:hAnsi="宋体" w:cs="宋体"/>
                <w:color w:val="auto"/>
                <w:sz w:val="24"/>
              </w:rPr>
              <w:t>履约保证金期限于</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日已满，请将履约保证金</w:t>
            </w:r>
          </w:p>
          <w:p w14:paraId="24D1B1E6">
            <w:pPr>
              <w:spacing w:line="400" w:lineRule="exact"/>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（大写）￥</w:t>
            </w:r>
            <w:r>
              <w:rPr>
                <w:rFonts w:hint="eastAsia" w:ascii="宋体" w:hAnsi="宋体" w:cs="宋体"/>
                <w:color w:val="auto"/>
                <w:sz w:val="24"/>
                <w:u w:val="single"/>
              </w:rPr>
              <w:t xml:space="preserve">          </w:t>
            </w:r>
            <w:r>
              <w:rPr>
                <w:rFonts w:hint="eastAsia" w:ascii="宋体" w:hAnsi="宋体" w:cs="宋体"/>
                <w:color w:val="auto"/>
                <w:sz w:val="24"/>
              </w:rPr>
              <w:t>（小写）退付到达以下帐户。</w:t>
            </w:r>
          </w:p>
          <w:p w14:paraId="0D8FADAC">
            <w:pPr>
              <w:spacing w:line="400" w:lineRule="exact"/>
              <w:ind w:firstLine="705"/>
              <w:rPr>
                <w:rFonts w:hint="eastAsia" w:ascii="宋体" w:hAnsi="宋体" w:cs="宋体"/>
                <w:color w:val="auto"/>
                <w:sz w:val="24"/>
              </w:rPr>
            </w:pPr>
            <w:r>
              <w:rPr>
                <w:rFonts w:hint="eastAsia" w:ascii="宋体" w:hAnsi="宋体" w:cs="宋体"/>
                <w:color w:val="auto"/>
                <w:sz w:val="24"/>
              </w:rPr>
              <w:t>单位名称：</w:t>
            </w:r>
          </w:p>
          <w:p w14:paraId="60D8C005">
            <w:pPr>
              <w:spacing w:line="400" w:lineRule="exact"/>
              <w:ind w:firstLine="705"/>
              <w:rPr>
                <w:rFonts w:hint="eastAsia" w:ascii="宋体" w:hAnsi="宋体" w:cs="宋体"/>
                <w:color w:val="auto"/>
                <w:sz w:val="24"/>
              </w:rPr>
            </w:pPr>
            <w:r>
              <w:rPr>
                <w:rFonts w:hint="eastAsia" w:ascii="宋体" w:hAnsi="宋体" w:cs="宋体"/>
                <w:color w:val="auto"/>
                <w:sz w:val="24"/>
              </w:rPr>
              <w:t>开户银行：</w:t>
            </w:r>
          </w:p>
          <w:p w14:paraId="0DBC5257">
            <w:pPr>
              <w:spacing w:line="400" w:lineRule="exact"/>
              <w:ind w:firstLine="705"/>
              <w:rPr>
                <w:rFonts w:hint="eastAsia" w:ascii="宋体" w:hAnsi="宋体" w:cs="宋体"/>
                <w:color w:val="auto"/>
                <w:sz w:val="24"/>
              </w:rPr>
            </w:pPr>
            <w:r>
              <w:rPr>
                <w:rFonts w:hint="eastAsia" w:ascii="宋体" w:hAnsi="宋体" w:cs="宋体"/>
                <w:color w:val="auto"/>
                <w:sz w:val="24"/>
              </w:rPr>
              <w:t>帐   号：</w:t>
            </w:r>
          </w:p>
          <w:p w14:paraId="77D84DDC">
            <w:pPr>
              <w:spacing w:line="400" w:lineRule="exact"/>
              <w:rPr>
                <w:rFonts w:hint="eastAsia" w:ascii="宋体" w:hAnsi="宋体" w:cs="宋体"/>
                <w:color w:val="auto"/>
                <w:sz w:val="24"/>
              </w:rPr>
            </w:pPr>
            <w:r>
              <w:rPr>
                <w:rFonts w:hint="eastAsia" w:ascii="宋体" w:hAnsi="宋体" w:cs="宋体"/>
                <w:color w:val="auto"/>
                <w:sz w:val="24"/>
              </w:rPr>
              <w:t>联系人及电话：</w:t>
            </w:r>
          </w:p>
          <w:p w14:paraId="3202A394">
            <w:pPr>
              <w:spacing w:line="400" w:lineRule="exact"/>
              <w:rPr>
                <w:rFonts w:hint="eastAsia" w:ascii="宋体" w:hAnsi="宋体" w:cs="宋体"/>
                <w:color w:val="auto"/>
                <w:sz w:val="24"/>
              </w:rPr>
            </w:pPr>
          </w:p>
          <w:p w14:paraId="638F3CE0">
            <w:pPr>
              <w:spacing w:line="520" w:lineRule="exact"/>
              <w:jc w:val="center"/>
              <w:rPr>
                <w:rFonts w:hint="eastAsia" w:ascii="宋体" w:hAnsi="宋体" w:cs="宋体"/>
                <w:color w:val="auto"/>
                <w:sz w:val="24"/>
              </w:rPr>
            </w:pPr>
            <w:r>
              <w:rPr>
                <w:rFonts w:hint="eastAsia" w:ascii="宋体" w:hAnsi="宋体" w:cs="宋体"/>
                <w:color w:val="auto"/>
                <w:sz w:val="24"/>
              </w:rPr>
              <w:t xml:space="preserve">         投标人签章：</w:t>
            </w:r>
          </w:p>
          <w:p w14:paraId="6453DF55">
            <w:pPr>
              <w:spacing w:line="520" w:lineRule="exact"/>
              <w:jc w:val="center"/>
              <w:rPr>
                <w:rFonts w:hint="eastAsia" w:ascii="宋体" w:hAnsi="宋体" w:cs="宋体"/>
                <w:color w:val="auto"/>
                <w:sz w:val="24"/>
              </w:rPr>
            </w:pPr>
            <w:r>
              <w:rPr>
                <w:rFonts w:hint="eastAsia" w:ascii="宋体" w:hAnsi="宋体" w:cs="宋体"/>
                <w:color w:val="auto"/>
                <w:sz w:val="24"/>
              </w:rPr>
              <w:t xml:space="preserve">                           年    月     日</w:t>
            </w:r>
          </w:p>
        </w:tc>
      </w:tr>
      <w:tr w14:paraId="0CC0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noWrap w:val="0"/>
            <w:vAlign w:val="center"/>
          </w:tcPr>
          <w:p w14:paraId="2AB7BF69">
            <w:pPr>
              <w:jc w:val="center"/>
              <w:rPr>
                <w:rFonts w:hint="eastAsia" w:ascii="宋体" w:hAnsi="宋体" w:cs="宋体"/>
                <w:color w:val="auto"/>
                <w:sz w:val="24"/>
              </w:rPr>
            </w:pPr>
            <w:r>
              <w:rPr>
                <w:rFonts w:hint="eastAsia" w:ascii="宋体" w:hAnsi="宋体" w:cs="宋体"/>
                <w:color w:val="auto"/>
                <w:sz w:val="24"/>
              </w:rPr>
              <w:t>采</w:t>
            </w:r>
          </w:p>
          <w:p w14:paraId="3C5EF97D">
            <w:pPr>
              <w:jc w:val="center"/>
              <w:rPr>
                <w:rFonts w:hint="eastAsia" w:ascii="宋体" w:hAnsi="宋体" w:cs="宋体"/>
                <w:color w:val="auto"/>
                <w:sz w:val="24"/>
              </w:rPr>
            </w:pPr>
            <w:r>
              <w:rPr>
                <w:rFonts w:hint="eastAsia" w:ascii="宋体" w:hAnsi="宋体" w:cs="宋体"/>
                <w:color w:val="auto"/>
                <w:sz w:val="24"/>
              </w:rPr>
              <w:t>购</w:t>
            </w:r>
          </w:p>
          <w:p w14:paraId="77EA3E82">
            <w:pPr>
              <w:jc w:val="center"/>
              <w:rPr>
                <w:rFonts w:hint="eastAsia" w:ascii="宋体" w:hAnsi="宋体" w:cs="宋体"/>
                <w:color w:val="auto"/>
                <w:sz w:val="24"/>
              </w:rPr>
            </w:pPr>
            <w:r>
              <w:rPr>
                <w:rFonts w:hint="eastAsia" w:ascii="宋体" w:hAnsi="宋体" w:cs="宋体"/>
                <w:color w:val="auto"/>
                <w:sz w:val="24"/>
              </w:rPr>
              <w:t>人</w:t>
            </w:r>
          </w:p>
          <w:p w14:paraId="6ABADB4C">
            <w:pPr>
              <w:jc w:val="center"/>
              <w:rPr>
                <w:rFonts w:hint="eastAsia" w:ascii="宋体" w:hAnsi="宋体" w:cs="宋体"/>
                <w:color w:val="auto"/>
                <w:sz w:val="24"/>
              </w:rPr>
            </w:pPr>
            <w:r>
              <w:rPr>
                <w:rFonts w:hint="eastAsia" w:ascii="宋体" w:hAnsi="宋体" w:cs="宋体"/>
                <w:color w:val="auto"/>
                <w:sz w:val="24"/>
              </w:rPr>
              <w:t>意</w:t>
            </w:r>
          </w:p>
          <w:p w14:paraId="71294EC9">
            <w:pPr>
              <w:jc w:val="center"/>
              <w:rPr>
                <w:rFonts w:hint="eastAsia" w:ascii="宋体" w:hAnsi="宋体" w:cs="宋体"/>
                <w:color w:val="auto"/>
                <w:sz w:val="24"/>
              </w:rPr>
            </w:pPr>
            <w:r>
              <w:rPr>
                <w:rFonts w:hint="eastAsia" w:ascii="宋体" w:hAnsi="宋体" w:cs="宋体"/>
                <w:color w:val="auto"/>
                <w:sz w:val="24"/>
              </w:rPr>
              <w:t>见</w:t>
            </w:r>
          </w:p>
        </w:tc>
        <w:tc>
          <w:tcPr>
            <w:tcW w:w="8456" w:type="dxa"/>
            <w:noWrap w:val="0"/>
            <w:vAlign w:val="top"/>
          </w:tcPr>
          <w:p w14:paraId="775B18AF">
            <w:pPr>
              <w:rPr>
                <w:rFonts w:hint="eastAsia" w:ascii="宋体" w:hAnsi="宋体" w:cs="宋体"/>
                <w:color w:val="auto"/>
                <w:sz w:val="24"/>
              </w:rPr>
            </w:pPr>
          </w:p>
          <w:p w14:paraId="362327B5">
            <w:pPr>
              <w:rPr>
                <w:rFonts w:hint="eastAsia" w:ascii="宋体" w:hAnsi="宋体" w:cs="宋体"/>
                <w:color w:val="auto"/>
                <w:sz w:val="24"/>
              </w:rPr>
            </w:pPr>
            <w:r>
              <w:rPr>
                <w:rFonts w:hint="eastAsia" w:ascii="宋体" w:hAnsi="宋体" w:cs="宋体"/>
                <w:color w:val="auto"/>
                <w:sz w:val="24"/>
              </w:rPr>
              <w:t>退付意见：（是否同意退付履约保证金及退付金额）</w:t>
            </w:r>
          </w:p>
          <w:p w14:paraId="59B60662">
            <w:pPr>
              <w:rPr>
                <w:rFonts w:hint="eastAsia" w:ascii="宋体" w:hAnsi="宋体" w:cs="宋体"/>
                <w:color w:val="auto"/>
                <w:sz w:val="24"/>
              </w:rPr>
            </w:pPr>
          </w:p>
          <w:p w14:paraId="38C14C5B">
            <w:pPr>
              <w:rPr>
                <w:rFonts w:hint="eastAsia" w:ascii="宋体" w:hAnsi="宋体" w:cs="宋体"/>
                <w:color w:val="auto"/>
                <w:sz w:val="24"/>
              </w:rPr>
            </w:pPr>
          </w:p>
          <w:p w14:paraId="310AA3FA">
            <w:pPr>
              <w:rPr>
                <w:rFonts w:hint="eastAsia" w:ascii="宋体" w:hAnsi="宋体" w:cs="宋体"/>
                <w:color w:val="auto"/>
                <w:sz w:val="24"/>
              </w:rPr>
            </w:pPr>
          </w:p>
          <w:p w14:paraId="3546DC36">
            <w:pPr>
              <w:rPr>
                <w:rFonts w:hint="eastAsia" w:ascii="宋体" w:hAnsi="宋体" w:cs="宋体"/>
                <w:color w:val="auto"/>
                <w:sz w:val="24"/>
              </w:rPr>
            </w:pPr>
          </w:p>
          <w:p w14:paraId="704BDDAF">
            <w:pPr>
              <w:spacing w:line="520" w:lineRule="exact"/>
              <w:rPr>
                <w:rFonts w:hint="eastAsia" w:ascii="宋体" w:hAnsi="宋体" w:cs="宋体"/>
                <w:color w:val="auto"/>
                <w:sz w:val="24"/>
              </w:rPr>
            </w:pPr>
            <w:r>
              <w:rPr>
                <w:rFonts w:hint="eastAsia" w:ascii="宋体" w:hAnsi="宋体" w:cs="宋体"/>
                <w:color w:val="auto"/>
                <w:sz w:val="24"/>
              </w:rPr>
              <w:t>联系人及电话：                         采购人签章</w:t>
            </w:r>
          </w:p>
          <w:p w14:paraId="79328A72">
            <w:pPr>
              <w:spacing w:line="520" w:lineRule="exact"/>
              <w:jc w:val="center"/>
              <w:rPr>
                <w:rFonts w:hint="eastAsia" w:ascii="宋体" w:hAnsi="宋体" w:cs="宋体"/>
                <w:color w:val="auto"/>
                <w:sz w:val="24"/>
              </w:rPr>
            </w:pPr>
            <w:r>
              <w:rPr>
                <w:rFonts w:hint="eastAsia" w:ascii="宋体" w:hAnsi="宋体" w:cs="宋体"/>
                <w:color w:val="auto"/>
                <w:sz w:val="24"/>
              </w:rPr>
              <w:t xml:space="preserve">                                        年    月     日</w:t>
            </w:r>
          </w:p>
        </w:tc>
      </w:tr>
      <w:tr w14:paraId="14B2B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noWrap w:val="0"/>
            <w:vAlign w:val="center"/>
          </w:tcPr>
          <w:p w14:paraId="2FBD3CF4">
            <w:pPr>
              <w:jc w:val="center"/>
              <w:rPr>
                <w:rFonts w:hint="eastAsia" w:ascii="宋体" w:hAnsi="宋体" w:cs="宋体"/>
                <w:color w:val="auto"/>
                <w:sz w:val="24"/>
              </w:rPr>
            </w:pPr>
            <w:r>
              <w:rPr>
                <w:rFonts w:hint="eastAsia" w:ascii="宋体" w:hAnsi="宋体" w:cs="宋体"/>
                <w:color w:val="auto"/>
                <w:sz w:val="24"/>
              </w:rPr>
              <w:t>备注</w:t>
            </w:r>
          </w:p>
        </w:tc>
        <w:tc>
          <w:tcPr>
            <w:tcW w:w="8456" w:type="dxa"/>
            <w:noWrap w:val="0"/>
            <w:vAlign w:val="top"/>
          </w:tcPr>
          <w:p w14:paraId="38C666BD">
            <w:pPr>
              <w:rPr>
                <w:rFonts w:hint="eastAsia" w:ascii="宋体" w:hAnsi="宋体" w:cs="宋体"/>
                <w:color w:val="auto"/>
                <w:sz w:val="24"/>
              </w:rPr>
            </w:pPr>
          </w:p>
        </w:tc>
      </w:tr>
    </w:tbl>
    <w:p w14:paraId="0C2F6E01">
      <w:pPr>
        <w:pStyle w:val="19"/>
        <w:ind w:left="420" w:leftChars="114" w:hanging="181" w:hangingChars="100"/>
        <w:rPr>
          <w:rFonts w:hint="eastAsia" w:ascii="宋体" w:hAnsi="宋体" w:cs="宋体"/>
          <w:b/>
          <w:bCs/>
          <w:color w:val="auto"/>
          <w:sz w:val="18"/>
        </w:rPr>
      </w:pPr>
      <w:r>
        <w:rPr>
          <w:rFonts w:hint="eastAsia" w:ascii="宋体" w:hAnsi="宋体" w:cs="宋体"/>
          <w:b/>
          <w:bCs/>
          <w:color w:val="auto"/>
          <w:sz w:val="18"/>
        </w:rPr>
        <w:t>注：投标人凭经采购人审批的退付意见书到保证金收取单位办理履约保证金退付事宜。</w:t>
      </w:r>
    </w:p>
    <w:p w14:paraId="1B04E807">
      <w:pPr>
        <w:pStyle w:val="28"/>
        <w:snapToGrid w:val="0"/>
        <w:spacing w:before="120" w:after="120"/>
        <w:rPr>
          <w:rFonts w:hint="eastAsia" w:hAnsi="宋体" w:cs="宋体"/>
          <w:color w:val="auto"/>
        </w:rPr>
      </w:pPr>
    </w:p>
    <w:p w14:paraId="08728A57">
      <w:pPr>
        <w:spacing w:line="428" w:lineRule="exact"/>
        <w:ind w:left="119"/>
        <w:rPr>
          <w:rFonts w:hint="eastAsia" w:ascii="宋体" w:hAnsi="宋体" w:cs="宋体"/>
          <w:color w:val="auto"/>
          <w:sz w:val="32"/>
          <w:szCs w:val="32"/>
        </w:rPr>
      </w:pPr>
      <w:r>
        <w:rPr>
          <w:rFonts w:hint="eastAsia" w:hAnsi="宋体" w:cs="宋体"/>
          <w:color w:val="auto"/>
        </w:rPr>
        <w:br w:type="page"/>
      </w:r>
      <w:r>
        <w:rPr>
          <w:rFonts w:hint="eastAsia" w:ascii="宋体" w:hAnsi="宋体" w:cs="宋体"/>
          <w:color w:val="auto"/>
          <w:sz w:val="32"/>
          <w:szCs w:val="32"/>
        </w:rPr>
        <w:t>附件</w:t>
      </w:r>
      <w:r>
        <w:rPr>
          <w:rFonts w:hint="eastAsia" w:ascii="宋体" w:hAnsi="宋体" w:cs="宋体"/>
          <w:color w:val="auto"/>
          <w:sz w:val="32"/>
          <w:szCs w:val="32"/>
          <w:lang w:val="en-US" w:eastAsia="zh-CN"/>
        </w:rPr>
        <w:t>3</w:t>
      </w:r>
      <w:r>
        <w:rPr>
          <w:rFonts w:hint="eastAsia" w:ascii="宋体" w:hAnsi="宋体" w:cs="宋体"/>
          <w:color w:val="auto"/>
          <w:sz w:val="32"/>
          <w:szCs w:val="32"/>
        </w:rPr>
        <w:t>：</w:t>
      </w:r>
    </w:p>
    <w:p w14:paraId="6A40C3D7">
      <w:pPr>
        <w:spacing w:before="7"/>
        <w:rPr>
          <w:rFonts w:hint="eastAsia" w:ascii="宋体" w:hAnsi="宋体" w:cs="宋体"/>
          <w:color w:val="auto"/>
          <w:sz w:val="17"/>
          <w:szCs w:val="17"/>
        </w:rPr>
      </w:pPr>
    </w:p>
    <w:p w14:paraId="1B24B1CC">
      <w:pPr>
        <w:spacing w:line="528" w:lineRule="exact"/>
        <w:ind w:left="1871"/>
        <w:rPr>
          <w:rFonts w:hint="eastAsia" w:ascii="宋体" w:hAnsi="宋体" w:cs="宋体"/>
          <w:color w:val="auto"/>
          <w:sz w:val="40"/>
          <w:szCs w:val="40"/>
        </w:rPr>
      </w:pPr>
      <w:r>
        <w:rPr>
          <w:rFonts w:hint="eastAsia" w:ascii="宋体" w:hAnsi="宋体" w:cs="宋体"/>
          <w:color w:val="auto"/>
          <w:sz w:val="40"/>
          <w:szCs w:val="40"/>
        </w:rPr>
        <w:t>节能产品政府采购品目清单</w:t>
      </w:r>
    </w:p>
    <w:p w14:paraId="7C817267">
      <w:pPr>
        <w:rPr>
          <w:rFonts w:hint="eastAsia" w:ascii="宋体" w:hAnsi="宋体" w:cs="宋体"/>
          <w:color w:val="auto"/>
          <w:sz w:val="20"/>
          <w:szCs w:val="20"/>
        </w:rPr>
      </w:pPr>
    </w:p>
    <w:tbl>
      <w:tblPr>
        <w:tblStyle w:val="51"/>
        <w:tblW w:w="9220" w:type="dxa"/>
        <w:tblInd w:w="93" w:type="dxa"/>
        <w:tblLayout w:type="autofit"/>
        <w:tblCellMar>
          <w:top w:w="0" w:type="dxa"/>
          <w:left w:w="108" w:type="dxa"/>
          <w:bottom w:w="0" w:type="dxa"/>
          <w:right w:w="108" w:type="dxa"/>
        </w:tblCellMar>
      </w:tblPr>
      <w:tblGrid>
        <w:gridCol w:w="631"/>
        <w:gridCol w:w="1161"/>
        <w:gridCol w:w="1581"/>
        <w:gridCol w:w="1615"/>
        <w:gridCol w:w="4232"/>
      </w:tblGrid>
      <w:tr w14:paraId="28A198B1">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noWrap w:val="0"/>
            <w:vAlign w:val="top"/>
          </w:tcPr>
          <w:p w14:paraId="2448D49C">
            <w:pPr>
              <w:widowControl/>
              <w:jc w:val="center"/>
              <w:rPr>
                <w:rFonts w:ascii="宋体" w:hAnsi="宋体" w:cs="宋体"/>
                <w:b/>
                <w:bCs/>
                <w:color w:val="auto"/>
                <w:kern w:val="0"/>
                <w:szCs w:val="21"/>
              </w:rPr>
            </w:pPr>
            <w:r>
              <w:rPr>
                <w:rFonts w:hint="eastAsia" w:ascii="宋体" w:hAnsi="宋体" w:cs="宋体"/>
                <w:b/>
                <w:bCs/>
                <w:color w:val="auto"/>
                <w:kern w:val="0"/>
                <w:szCs w:val="21"/>
              </w:rPr>
              <w:t>品目序号</w:t>
            </w:r>
          </w:p>
        </w:tc>
        <w:tc>
          <w:tcPr>
            <w:tcW w:w="4020" w:type="dxa"/>
            <w:gridSpan w:val="3"/>
            <w:tcBorders>
              <w:top w:val="single" w:color="000000" w:sz="8" w:space="0"/>
              <w:left w:val="nil"/>
              <w:bottom w:val="single" w:color="000000" w:sz="8" w:space="0"/>
              <w:right w:val="single" w:color="000000" w:sz="8" w:space="0"/>
            </w:tcBorders>
            <w:noWrap w:val="0"/>
            <w:vAlign w:val="center"/>
          </w:tcPr>
          <w:p w14:paraId="68E168F7">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名称</w:t>
            </w:r>
          </w:p>
        </w:tc>
        <w:tc>
          <w:tcPr>
            <w:tcW w:w="4540" w:type="dxa"/>
            <w:tcBorders>
              <w:top w:val="single" w:color="000000" w:sz="8" w:space="0"/>
              <w:left w:val="nil"/>
              <w:bottom w:val="single" w:color="000000" w:sz="8" w:space="0"/>
              <w:right w:val="single" w:color="000000" w:sz="8" w:space="0"/>
            </w:tcBorders>
            <w:noWrap w:val="0"/>
            <w:vAlign w:val="center"/>
          </w:tcPr>
          <w:p w14:paraId="6791600B">
            <w:pPr>
              <w:widowControl/>
              <w:jc w:val="center"/>
              <w:rPr>
                <w:rFonts w:hint="eastAsia" w:ascii="宋体" w:hAnsi="宋体" w:cs="宋体"/>
                <w:b/>
                <w:bCs/>
                <w:color w:val="auto"/>
                <w:kern w:val="0"/>
                <w:szCs w:val="21"/>
              </w:rPr>
            </w:pPr>
            <w:r>
              <w:rPr>
                <w:rFonts w:hint="eastAsia" w:ascii="宋体" w:hAnsi="宋体" w:cs="宋体"/>
                <w:b/>
                <w:bCs/>
                <w:color w:val="auto"/>
                <w:kern w:val="0"/>
                <w:szCs w:val="21"/>
              </w:rPr>
              <w:t>依据的标准</w:t>
            </w:r>
          </w:p>
        </w:tc>
      </w:tr>
      <w:tr w14:paraId="4CE9496B">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59DDC1C9">
            <w:pPr>
              <w:widowControl/>
              <w:jc w:val="center"/>
              <w:rPr>
                <w:rFonts w:hint="eastAsia" w:ascii="宋体" w:hAnsi="宋体" w:cs="宋体"/>
                <w:color w:val="auto"/>
                <w:kern w:val="0"/>
                <w:szCs w:val="21"/>
              </w:rPr>
            </w:pPr>
            <w:r>
              <w:rPr>
                <w:rFonts w:hint="eastAsia" w:ascii="宋体" w:hAnsi="宋体" w:cs="宋体"/>
                <w:color w:val="auto"/>
                <w:kern w:val="0"/>
                <w:szCs w:val="21"/>
              </w:rPr>
              <w:t>1</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7254B77C">
            <w:pPr>
              <w:widowControl/>
              <w:jc w:val="center"/>
              <w:rPr>
                <w:rFonts w:hint="eastAsia" w:ascii="宋体" w:hAnsi="宋体" w:cs="宋体"/>
                <w:color w:val="auto"/>
                <w:kern w:val="0"/>
                <w:szCs w:val="21"/>
              </w:rPr>
            </w:pPr>
            <w:r>
              <w:rPr>
                <w:rFonts w:hint="eastAsia" w:ascii="宋体" w:hAnsi="宋体" w:cs="宋体"/>
                <w:color w:val="auto"/>
                <w:kern w:val="0"/>
                <w:szCs w:val="21"/>
              </w:rPr>
              <w:t>A020101计算机设备</w:t>
            </w:r>
          </w:p>
        </w:tc>
        <w:tc>
          <w:tcPr>
            <w:tcW w:w="1320" w:type="dxa"/>
            <w:tcBorders>
              <w:top w:val="nil"/>
              <w:left w:val="nil"/>
              <w:bottom w:val="single" w:color="000000" w:sz="8" w:space="0"/>
              <w:right w:val="single" w:color="000000" w:sz="8" w:space="0"/>
            </w:tcBorders>
            <w:noWrap w:val="0"/>
            <w:vAlign w:val="center"/>
          </w:tcPr>
          <w:p w14:paraId="0576BD3B">
            <w:pPr>
              <w:widowControl/>
              <w:jc w:val="center"/>
              <w:rPr>
                <w:rFonts w:hint="eastAsia" w:ascii="宋体" w:hAnsi="宋体" w:cs="宋体"/>
                <w:color w:val="auto"/>
                <w:kern w:val="0"/>
                <w:szCs w:val="21"/>
              </w:rPr>
            </w:pPr>
            <w:r>
              <w:rPr>
                <w:rFonts w:hint="eastAsia" w:ascii="宋体" w:hAnsi="宋体" w:cs="宋体"/>
                <w:color w:val="auto"/>
                <w:kern w:val="0"/>
                <w:szCs w:val="21"/>
              </w:rPr>
              <w:t>★A02010104台式计算机</w:t>
            </w:r>
          </w:p>
        </w:tc>
        <w:tc>
          <w:tcPr>
            <w:tcW w:w="1620" w:type="dxa"/>
            <w:tcBorders>
              <w:top w:val="nil"/>
              <w:left w:val="nil"/>
              <w:bottom w:val="single" w:color="000000" w:sz="8" w:space="0"/>
              <w:right w:val="single" w:color="000000" w:sz="8" w:space="0"/>
            </w:tcBorders>
            <w:noWrap w:val="0"/>
            <w:vAlign w:val="center"/>
          </w:tcPr>
          <w:p w14:paraId="73E25478">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47908105">
            <w:pPr>
              <w:widowControl/>
              <w:jc w:val="left"/>
              <w:rPr>
                <w:rFonts w:hint="eastAsia" w:ascii="宋体" w:hAnsi="宋体" w:cs="宋体"/>
                <w:color w:val="auto"/>
                <w:kern w:val="0"/>
                <w:szCs w:val="21"/>
              </w:rPr>
            </w:pPr>
            <w:r>
              <w:rPr>
                <w:rFonts w:hint="eastAsia" w:ascii="宋体" w:hAnsi="宋体" w:cs="宋体"/>
                <w:color w:val="auto"/>
                <w:kern w:val="0"/>
                <w:szCs w:val="21"/>
              </w:rPr>
              <w:t>《微型计算机能效限定值及能效等级》（GB28380）</w:t>
            </w:r>
          </w:p>
        </w:tc>
      </w:tr>
      <w:tr w14:paraId="30746176">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AE66AB0">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488D52F">
            <w:pPr>
              <w:widowControl/>
              <w:jc w:val="left"/>
              <w:rPr>
                <w:rFonts w:ascii="宋体" w:hAnsi="宋体" w:cs="宋体"/>
                <w:color w:val="auto"/>
                <w:kern w:val="0"/>
                <w:szCs w:val="21"/>
              </w:rPr>
            </w:pPr>
          </w:p>
        </w:tc>
        <w:tc>
          <w:tcPr>
            <w:tcW w:w="1320" w:type="dxa"/>
            <w:tcBorders>
              <w:top w:val="nil"/>
              <w:left w:val="nil"/>
              <w:bottom w:val="single" w:color="000000" w:sz="8" w:space="0"/>
              <w:right w:val="single" w:color="000000" w:sz="8" w:space="0"/>
            </w:tcBorders>
            <w:noWrap w:val="0"/>
            <w:vAlign w:val="center"/>
          </w:tcPr>
          <w:p w14:paraId="4C3F2821">
            <w:pPr>
              <w:widowControl/>
              <w:jc w:val="center"/>
              <w:rPr>
                <w:rFonts w:hint="eastAsia" w:ascii="宋体" w:hAnsi="宋体" w:cs="宋体"/>
                <w:color w:val="auto"/>
                <w:kern w:val="0"/>
                <w:szCs w:val="21"/>
              </w:rPr>
            </w:pPr>
            <w:r>
              <w:rPr>
                <w:rFonts w:hint="eastAsia" w:ascii="宋体" w:hAnsi="宋体" w:cs="宋体"/>
                <w:color w:val="auto"/>
                <w:kern w:val="0"/>
                <w:szCs w:val="21"/>
              </w:rPr>
              <w:t>★A02010105便携式计算机</w:t>
            </w:r>
          </w:p>
        </w:tc>
        <w:tc>
          <w:tcPr>
            <w:tcW w:w="1620" w:type="dxa"/>
            <w:tcBorders>
              <w:top w:val="nil"/>
              <w:left w:val="nil"/>
              <w:bottom w:val="single" w:color="000000" w:sz="8" w:space="0"/>
              <w:right w:val="single" w:color="000000" w:sz="8" w:space="0"/>
            </w:tcBorders>
            <w:noWrap w:val="0"/>
            <w:vAlign w:val="center"/>
          </w:tcPr>
          <w:p w14:paraId="56B179C9">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0A212F00">
            <w:pPr>
              <w:widowControl/>
              <w:jc w:val="left"/>
              <w:rPr>
                <w:rFonts w:hint="eastAsia" w:ascii="宋体" w:hAnsi="宋体" w:cs="宋体"/>
                <w:color w:val="auto"/>
                <w:kern w:val="0"/>
                <w:szCs w:val="21"/>
              </w:rPr>
            </w:pPr>
            <w:r>
              <w:rPr>
                <w:rFonts w:hint="eastAsia" w:ascii="宋体" w:hAnsi="宋体" w:cs="宋体"/>
                <w:color w:val="auto"/>
                <w:kern w:val="0"/>
                <w:szCs w:val="21"/>
              </w:rPr>
              <w:t>《微型计算机能效限定值及能效等级》（GB28380）</w:t>
            </w:r>
          </w:p>
        </w:tc>
      </w:tr>
      <w:tr w14:paraId="7A534BC2">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7C49AC9">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6DFC782">
            <w:pPr>
              <w:widowControl/>
              <w:jc w:val="left"/>
              <w:rPr>
                <w:rFonts w:ascii="宋体" w:hAnsi="宋体" w:cs="宋体"/>
                <w:color w:val="auto"/>
                <w:kern w:val="0"/>
                <w:szCs w:val="21"/>
              </w:rPr>
            </w:pPr>
          </w:p>
        </w:tc>
        <w:tc>
          <w:tcPr>
            <w:tcW w:w="1320" w:type="dxa"/>
            <w:tcBorders>
              <w:top w:val="nil"/>
              <w:left w:val="nil"/>
              <w:bottom w:val="single" w:color="000000" w:sz="8" w:space="0"/>
              <w:right w:val="single" w:color="000000" w:sz="8" w:space="0"/>
            </w:tcBorders>
            <w:noWrap w:val="0"/>
            <w:vAlign w:val="center"/>
          </w:tcPr>
          <w:p w14:paraId="5415578C">
            <w:pPr>
              <w:widowControl/>
              <w:jc w:val="center"/>
              <w:rPr>
                <w:rFonts w:hint="eastAsia" w:ascii="宋体" w:hAnsi="宋体" w:cs="宋体"/>
                <w:color w:val="auto"/>
                <w:kern w:val="0"/>
                <w:szCs w:val="21"/>
              </w:rPr>
            </w:pPr>
            <w:r>
              <w:rPr>
                <w:rFonts w:hint="eastAsia" w:ascii="宋体" w:hAnsi="宋体" w:cs="宋体"/>
                <w:color w:val="auto"/>
                <w:kern w:val="0"/>
                <w:szCs w:val="21"/>
              </w:rPr>
              <w:t>★A02010107平板式微型计算机</w:t>
            </w:r>
          </w:p>
        </w:tc>
        <w:tc>
          <w:tcPr>
            <w:tcW w:w="1620" w:type="dxa"/>
            <w:tcBorders>
              <w:top w:val="nil"/>
              <w:left w:val="nil"/>
              <w:bottom w:val="single" w:color="000000" w:sz="8" w:space="0"/>
              <w:right w:val="single" w:color="000000" w:sz="8" w:space="0"/>
            </w:tcBorders>
            <w:noWrap w:val="0"/>
            <w:vAlign w:val="center"/>
          </w:tcPr>
          <w:p w14:paraId="36C15BB0">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227A6AFD">
            <w:pPr>
              <w:widowControl/>
              <w:jc w:val="left"/>
              <w:rPr>
                <w:rFonts w:hint="eastAsia" w:ascii="宋体" w:hAnsi="宋体" w:cs="宋体"/>
                <w:color w:val="auto"/>
                <w:kern w:val="0"/>
                <w:szCs w:val="21"/>
              </w:rPr>
            </w:pPr>
            <w:r>
              <w:rPr>
                <w:rFonts w:hint="eastAsia" w:ascii="宋体" w:hAnsi="宋体" w:cs="宋体"/>
                <w:color w:val="auto"/>
                <w:kern w:val="0"/>
                <w:szCs w:val="21"/>
              </w:rPr>
              <w:t>《微型计算机能效限定值及能效等级》（GB28380）</w:t>
            </w:r>
          </w:p>
        </w:tc>
      </w:tr>
      <w:tr w14:paraId="5302C789">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2E7F8B8C">
            <w:pPr>
              <w:widowControl/>
              <w:jc w:val="center"/>
              <w:rPr>
                <w:rFonts w:hint="eastAsia" w:ascii="宋体" w:hAnsi="宋体" w:cs="宋体"/>
                <w:color w:val="auto"/>
                <w:kern w:val="0"/>
                <w:szCs w:val="21"/>
              </w:rPr>
            </w:pPr>
            <w:r>
              <w:rPr>
                <w:rFonts w:hint="eastAsia" w:ascii="宋体" w:hAnsi="宋体" w:cs="宋体"/>
                <w:color w:val="auto"/>
                <w:kern w:val="0"/>
                <w:szCs w:val="21"/>
              </w:rPr>
              <w:t>2</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5E9A2092">
            <w:pPr>
              <w:widowControl/>
              <w:jc w:val="center"/>
              <w:rPr>
                <w:rFonts w:hint="eastAsia" w:ascii="宋体" w:hAnsi="宋体" w:cs="宋体"/>
                <w:color w:val="auto"/>
                <w:kern w:val="0"/>
                <w:szCs w:val="21"/>
              </w:rPr>
            </w:pPr>
            <w:r>
              <w:rPr>
                <w:rFonts w:hint="eastAsia" w:ascii="宋体" w:hAnsi="宋体" w:cs="宋体"/>
                <w:color w:val="auto"/>
                <w:kern w:val="0"/>
                <w:szCs w:val="21"/>
              </w:rPr>
              <w:t>A020106输入输出设备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1030545D">
            <w:pPr>
              <w:widowControl/>
              <w:jc w:val="center"/>
              <w:rPr>
                <w:rFonts w:hint="eastAsia" w:ascii="宋体" w:hAnsi="宋体" w:cs="宋体"/>
                <w:color w:val="auto"/>
                <w:kern w:val="0"/>
                <w:szCs w:val="21"/>
              </w:rPr>
            </w:pPr>
            <w:r>
              <w:rPr>
                <w:rFonts w:hint="eastAsia" w:ascii="宋体" w:hAnsi="宋体" w:cs="宋体"/>
                <w:color w:val="auto"/>
                <w:kern w:val="0"/>
                <w:szCs w:val="21"/>
              </w:rPr>
              <w:t>A02010601打印设备</w:t>
            </w:r>
          </w:p>
        </w:tc>
        <w:tc>
          <w:tcPr>
            <w:tcW w:w="1620" w:type="dxa"/>
            <w:tcBorders>
              <w:top w:val="nil"/>
              <w:left w:val="nil"/>
              <w:bottom w:val="single" w:color="000000" w:sz="8" w:space="0"/>
              <w:right w:val="single" w:color="000000" w:sz="8" w:space="0"/>
            </w:tcBorders>
            <w:noWrap w:val="0"/>
            <w:vAlign w:val="center"/>
          </w:tcPr>
          <w:p w14:paraId="634C9F46">
            <w:pPr>
              <w:widowControl/>
              <w:jc w:val="center"/>
              <w:rPr>
                <w:rFonts w:hint="eastAsia" w:ascii="宋体" w:hAnsi="宋体" w:cs="宋体"/>
                <w:color w:val="auto"/>
                <w:kern w:val="0"/>
                <w:szCs w:val="21"/>
              </w:rPr>
            </w:pPr>
            <w:r>
              <w:rPr>
                <w:rFonts w:hint="eastAsia" w:ascii="宋体" w:hAnsi="宋体" w:cs="宋体"/>
                <w:color w:val="auto"/>
                <w:kern w:val="0"/>
                <w:szCs w:val="21"/>
              </w:rPr>
              <w:t>A0201060101喷墨打印机</w:t>
            </w:r>
          </w:p>
        </w:tc>
        <w:tc>
          <w:tcPr>
            <w:tcW w:w="4540" w:type="dxa"/>
            <w:tcBorders>
              <w:top w:val="nil"/>
              <w:left w:val="nil"/>
              <w:bottom w:val="single" w:color="000000" w:sz="8" w:space="0"/>
              <w:right w:val="single" w:color="000000" w:sz="8" w:space="0"/>
            </w:tcBorders>
            <w:noWrap w:val="0"/>
            <w:vAlign w:val="center"/>
          </w:tcPr>
          <w:p w14:paraId="3336CDAF">
            <w:pPr>
              <w:widowControl/>
              <w:jc w:val="left"/>
              <w:rPr>
                <w:rFonts w:hint="eastAsia" w:ascii="宋体" w:hAnsi="宋体" w:cs="宋体"/>
                <w:color w:val="auto"/>
                <w:kern w:val="0"/>
                <w:szCs w:val="21"/>
              </w:rPr>
            </w:pPr>
            <w:r>
              <w:rPr>
                <w:rFonts w:hint="eastAsia" w:ascii="宋体" w:hAnsi="宋体" w:cs="宋体"/>
                <w:color w:val="auto"/>
                <w:kern w:val="0"/>
                <w:szCs w:val="21"/>
              </w:rPr>
              <w:t>《复印机、打印机和传真机能效限定值及能效等级》（GB21521）</w:t>
            </w:r>
          </w:p>
        </w:tc>
      </w:tr>
      <w:tr w14:paraId="19A30400">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EDEF26E">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FBAE6FE">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4DFD044">
            <w:pPr>
              <w:widowControl/>
              <w:jc w:val="left"/>
              <w:rPr>
                <w:rFonts w:ascii="宋体" w:hAnsi="宋体" w:cs="宋体"/>
                <w:color w:val="auto"/>
                <w:kern w:val="0"/>
                <w:szCs w:val="21"/>
              </w:rPr>
            </w:pPr>
          </w:p>
        </w:tc>
        <w:tc>
          <w:tcPr>
            <w:tcW w:w="1620" w:type="dxa"/>
            <w:tcBorders>
              <w:top w:val="nil"/>
              <w:left w:val="nil"/>
              <w:bottom w:val="single" w:color="000000" w:sz="8" w:space="0"/>
              <w:right w:val="single" w:color="000000" w:sz="8" w:space="0"/>
            </w:tcBorders>
            <w:noWrap w:val="0"/>
            <w:vAlign w:val="center"/>
          </w:tcPr>
          <w:p w14:paraId="4B389724">
            <w:pPr>
              <w:widowControl/>
              <w:jc w:val="center"/>
              <w:rPr>
                <w:rFonts w:hint="eastAsia" w:ascii="宋体" w:hAnsi="宋体" w:cs="宋体"/>
                <w:color w:val="auto"/>
                <w:kern w:val="0"/>
                <w:szCs w:val="21"/>
              </w:rPr>
            </w:pPr>
            <w:r>
              <w:rPr>
                <w:rFonts w:hint="eastAsia" w:ascii="宋体" w:hAnsi="宋体" w:cs="宋体"/>
                <w:color w:val="auto"/>
                <w:kern w:val="0"/>
                <w:szCs w:val="21"/>
              </w:rPr>
              <w:t>★A0201060102激光打印机</w:t>
            </w:r>
          </w:p>
        </w:tc>
        <w:tc>
          <w:tcPr>
            <w:tcW w:w="4540" w:type="dxa"/>
            <w:tcBorders>
              <w:top w:val="nil"/>
              <w:left w:val="nil"/>
              <w:bottom w:val="single" w:color="000000" w:sz="8" w:space="0"/>
              <w:right w:val="single" w:color="000000" w:sz="8" w:space="0"/>
            </w:tcBorders>
            <w:noWrap w:val="0"/>
            <w:vAlign w:val="center"/>
          </w:tcPr>
          <w:p w14:paraId="4B38F648">
            <w:pPr>
              <w:widowControl/>
              <w:jc w:val="left"/>
              <w:rPr>
                <w:rFonts w:hint="eastAsia" w:ascii="宋体" w:hAnsi="宋体" w:cs="宋体"/>
                <w:color w:val="auto"/>
                <w:kern w:val="0"/>
                <w:szCs w:val="21"/>
              </w:rPr>
            </w:pPr>
            <w:r>
              <w:rPr>
                <w:rFonts w:hint="eastAsia" w:ascii="宋体" w:hAnsi="宋体" w:cs="宋体"/>
                <w:color w:val="auto"/>
                <w:kern w:val="0"/>
                <w:szCs w:val="21"/>
              </w:rPr>
              <w:t>《复印机、打印机和传真机能效限定值及能效等级》（GB21521）</w:t>
            </w:r>
          </w:p>
        </w:tc>
      </w:tr>
      <w:tr w14:paraId="326296CF">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F418067">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5AD858A">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5264487">
            <w:pPr>
              <w:widowControl/>
              <w:jc w:val="left"/>
              <w:rPr>
                <w:rFonts w:ascii="宋体" w:hAnsi="宋体" w:cs="宋体"/>
                <w:color w:val="auto"/>
                <w:kern w:val="0"/>
                <w:szCs w:val="21"/>
              </w:rPr>
            </w:pPr>
          </w:p>
        </w:tc>
        <w:tc>
          <w:tcPr>
            <w:tcW w:w="1620" w:type="dxa"/>
            <w:tcBorders>
              <w:top w:val="nil"/>
              <w:left w:val="nil"/>
              <w:bottom w:val="single" w:color="000000" w:sz="8" w:space="0"/>
              <w:right w:val="single" w:color="000000" w:sz="8" w:space="0"/>
            </w:tcBorders>
            <w:noWrap w:val="0"/>
            <w:vAlign w:val="center"/>
          </w:tcPr>
          <w:p w14:paraId="45DD0AFA">
            <w:pPr>
              <w:widowControl/>
              <w:jc w:val="center"/>
              <w:rPr>
                <w:rFonts w:hint="eastAsia" w:ascii="宋体" w:hAnsi="宋体" w:cs="宋体"/>
                <w:color w:val="auto"/>
                <w:kern w:val="0"/>
                <w:szCs w:val="21"/>
              </w:rPr>
            </w:pPr>
            <w:r>
              <w:rPr>
                <w:rFonts w:hint="eastAsia" w:ascii="宋体" w:hAnsi="宋体" w:cs="宋体"/>
                <w:color w:val="auto"/>
                <w:kern w:val="0"/>
                <w:szCs w:val="21"/>
              </w:rPr>
              <w:t>★A0201060104针式打印机</w:t>
            </w:r>
          </w:p>
        </w:tc>
        <w:tc>
          <w:tcPr>
            <w:tcW w:w="4540" w:type="dxa"/>
            <w:tcBorders>
              <w:top w:val="nil"/>
              <w:left w:val="nil"/>
              <w:bottom w:val="single" w:color="000000" w:sz="8" w:space="0"/>
              <w:right w:val="single" w:color="000000" w:sz="8" w:space="0"/>
            </w:tcBorders>
            <w:noWrap w:val="0"/>
            <w:vAlign w:val="center"/>
          </w:tcPr>
          <w:p w14:paraId="21227DD1">
            <w:pPr>
              <w:widowControl/>
              <w:jc w:val="left"/>
              <w:rPr>
                <w:rFonts w:hint="eastAsia" w:ascii="宋体" w:hAnsi="宋体" w:cs="宋体"/>
                <w:color w:val="auto"/>
                <w:kern w:val="0"/>
                <w:szCs w:val="21"/>
              </w:rPr>
            </w:pPr>
            <w:r>
              <w:rPr>
                <w:rFonts w:hint="eastAsia" w:ascii="宋体" w:hAnsi="宋体" w:cs="宋体"/>
                <w:color w:val="auto"/>
                <w:kern w:val="0"/>
                <w:szCs w:val="21"/>
              </w:rPr>
              <w:t>《复印机、打印机和传真机能效限定值及能效等级》（GB21521）</w:t>
            </w:r>
          </w:p>
        </w:tc>
      </w:tr>
      <w:tr w14:paraId="2AED6928">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E8757A0">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D6A5F29">
            <w:pPr>
              <w:widowControl/>
              <w:jc w:val="left"/>
              <w:rPr>
                <w:rFonts w:ascii="宋体" w:hAnsi="宋体" w:cs="宋体"/>
                <w:color w:val="auto"/>
                <w:kern w:val="0"/>
                <w:szCs w:val="21"/>
              </w:rPr>
            </w:pPr>
          </w:p>
        </w:tc>
        <w:tc>
          <w:tcPr>
            <w:tcW w:w="1320" w:type="dxa"/>
            <w:tcBorders>
              <w:top w:val="nil"/>
              <w:left w:val="nil"/>
              <w:bottom w:val="single" w:color="000000" w:sz="8" w:space="0"/>
              <w:right w:val="single" w:color="000000" w:sz="8" w:space="0"/>
            </w:tcBorders>
            <w:noWrap w:val="0"/>
            <w:vAlign w:val="center"/>
          </w:tcPr>
          <w:p w14:paraId="3BFF2666">
            <w:pPr>
              <w:widowControl/>
              <w:jc w:val="center"/>
              <w:rPr>
                <w:rFonts w:hint="eastAsia" w:ascii="宋体" w:hAnsi="宋体" w:cs="宋体"/>
                <w:color w:val="auto"/>
                <w:kern w:val="0"/>
                <w:szCs w:val="21"/>
              </w:rPr>
            </w:pPr>
            <w:r>
              <w:rPr>
                <w:rFonts w:hint="eastAsia" w:ascii="宋体" w:hAnsi="宋体" w:cs="宋体"/>
                <w:color w:val="auto"/>
                <w:kern w:val="0"/>
                <w:szCs w:val="21"/>
              </w:rPr>
              <w:t>A02010604显示设备</w:t>
            </w:r>
          </w:p>
        </w:tc>
        <w:tc>
          <w:tcPr>
            <w:tcW w:w="1620" w:type="dxa"/>
            <w:tcBorders>
              <w:top w:val="nil"/>
              <w:left w:val="nil"/>
              <w:bottom w:val="single" w:color="000000" w:sz="8" w:space="0"/>
              <w:right w:val="single" w:color="000000" w:sz="8" w:space="0"/>
            </w:tcBorders>
            <w:noWrap w:val="0"/>
            <w:vAlign w:val="center"/>
          </w:tcPr>
          <w:p w14:paraId="79D81F3C">
            <w:pPr>
              <w:widowControl/>
              <w:jc w:val="center"/>
              <w:rPr>
                <w:rFonts w:hint="eastAsia" w:ascii="宋体" w:hAnsi="宋体" w:cs="宋体"/>
                <w:color w:val="auto"/>
                <w:kern w:val="0"/>
                <w:szCs w:val="21"/>
              </w:rPr>
            </w:pPr>
            <w:r>
              <w:rPr>
                <w:rFonts w:hint="eastAsia" w:ascii="宋体" w:hAnsi="宋体" w:cs="宋体"/>
                <w:color w:val="auto"/>
                <w:kern w:val="0"/>
                <w:szCs w:val="21"/>
              </w:rPr>
              <w:t>★A0201060401液晶显示器</w:t>
            </w:r>
          </w:p>
        </w:tc>
        <w:tc>
          <w:tcPr>
            <w:tcW w:w="4540" w:type="dxa"/>
            <w:tcBorders>
              <w:top w:val="nil"/>
              <w:left w:val="nil"/>
              <w:bottom w:val="single" w:color="000000" w:sz="8" w:space="0"/>
              <w:right w:val="single" w:color="000000" w:sz="8" w:space="0"/>
            </w:tcBorders>
            <w:noWrap w:val="0"/>
            <w:vAlign w:val="center"/>
          </w:tcPr>
          <w:p w14:paraId="146DB316">
            <w:pPr>
              <w:widowControl/>
              <w:jc w:val="left"/>
              <w:rPr>
                <w:rFonts w:hint="eastAsia" w:ascii="宋体" w:hAnsi="宋体" w:cs="宋体"/>
                <w:color w:val="auto"/>
                <w:kern w:val="0"/>
                <w:szCs w:val="21"/>
              </w:rPr>
            </w:pPr>
            <w:r>
              <w:rPr>
                <w:rFonts w:hint="eastAsia" w:ascii="宋体" w:hAnsi="宋体" w:cs="宋体"/>
                <w:color w:val="auto"/>
                <w:kern w:val="0"/>
                <w:szCs w:val="21"/>
              </w:rPr>
              <w:t>《计算机显示器能效限定值及能效等级》（GB21520）</w:t>
            </w:r>
          </w:p>
        </w:tc>
      </w:tr>
      <w:tr w14:paraId="282D84DB">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AF47E5D">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9891E62">
            <w:pPr>
              <w:widowControl/>
              <w:jc w:val="left"/>
              <w:rPr>
                <w:rFonts w:ascii="宋体" w:hAnsi="宋体" w:cs="宋体"/>
                <w:color w:val="auto"/>
                <w:kern w:val="0"/>
                <w:szCs w:val="21"/>
              </w:rPr>
            </w:pPr>
          </w:p>
        </w:tc>
        <w:tc>
          <w:tcPr>
            <w:tcW w:w="1320" w:type="dxa"/>
            <w:tcBorders>
              <w:top w:val="nil"/>
              <w:left w:val="nil"/>
              <w:bottom w:val="single" w:color="000000" w:sz="8" w:space="0"/>
              <w:right w:val="single" w:color="000000" w:sz="8" w:space="0"/>
            </w:tcBorders>
            <w:noWrap w:val="0"/>
            <w:vAlign w:val="center"/>
          </w:tcPr>
          <w:p w14:paraId="15AC849B">
            <w:pPr>
              <w:widowControl/>
              <w:jc w:val="center"/>
              <w:rPr>
                <w:rFonts w:hint="eastAsia" w:ascii="宋体" w:hAnsi="宋体" w:cs="宋体"/>
                <w:color w:val="auto"/>
                <w:kern w:val="0"/>
                <w:szCs w:val="21"/>
              </w:rPr>
            </w:pPr>
            <w:r>
              <w:rPr>
                <w:rFonts w:hint="eastAsia" w:ascii="宋体" w:hAnsi="宋体" w:cs="宋体"/>
                <w:color w:val="auto"/>
                <w:kern w:val="0"/>
                <w:szCs w:val="21"/>
              </w:rPr>
              <w:t>A02010609图形图像输入设备</w:t>
            </w:r>
          </w:p>
        </w:tc>
        <w:tc>
          <w:tcPr>
            <w:tcW w:w="1620" w:type="dxa"/>
            <w:tcBorders>
              <w:top w:val="nil"/>
              <w:left w:val="nil"/>
              <w:bottom w:val="single" w:color="000000" w:sz="8" w:space="0"/>
              <w:right w:val="single" w:color="000000" w:sz="8" w:space="0"/>
            </w:tcBorders>
            <w:noWrap w:val="0"/>
            <w:vAlign w:val="center"/>
          </w:tcPr>
          <w:p w14:paraId="36E4D4DB">
            <w:pPr>
              <w:widowControl/>
              <w:jc w:val="center"/>
              <w:rPr>
                <w:rFonts w:hint="eastAsia" w:ascii="宋体" w:hAnsi="宋体" w:cs="宋体"/>
                <w:color w:val="auto"/>
                <w:kern w:val="0"/>
                <w:szCs w:val="21"/>
              </w:rPr>
            </w:pPr>
            <w:r>
              <w:rPr>
                <w:rFonts w:hint="eastAsia" w:ascii="宋体" w:hAnsi="宋体" w:cs="宋体"/>
                <w:color w:val="auto"/>
                <w:kern w:val="0"/>
                <w:szCs w:val="21"/>
              </w:rPr>
              <w:t>A0201060901扫描仪</w:t>
            </w:r>
          </w:p>
        </w:tc>
        <w:tc>
          <w:tcPr>
            <w:tcW w:w="4540" w:type="dxa"/>
            <w:tcBorders>
              <w:top w:val="nil"/>
              <w:left w:val="nil"/>
              <w:bottom w:val="single" w:color="000000" w:sz="8" w:space="0"/>
              <w:right w:val="single" w:color="000000" w:sz="8" w:space="0"/>
            </w:tcBorders>
            <w:noWrap w:val="0"/>
            <w:vAlign w:val="center"/>
          </w:tcPr>
          <w:p w14:paraId="1546922C">
            <w:pPr>
              <w:widowControl/>
              <w:jc w:val="left"/>
              <w:rPr>
                <w:rFonts w:hint="eastAsia" w:ascii="宋体" w:hAnsi="宋体" w:cs="宋体"/>
                <w:color w:val="auto"/>
                <w:kern w:val="0"/>
                <w:szCs w:val="21"/>
              </w:rPr>
            </w:pPr>
            <w:r>
              <w:rPr>
                <w:rFonts w:hint="eastAsia" w:ascii="宋体" w:hAnsi="宋体" w:cs="宋体"/>
                <w:color w:val="auto"/>
                <w:kern w:val="0"/>
                <w:szCs w:val="21"/>
              </w:rPr>
              <w:t>参照《复印机、打印机和传真机能效限定值及能效等级》（GB21521中打印速度为15页/分的针式打印机相关要求中打印速度为15页/分的针式打印机相关要求</w:t>
            </w:r>
          </w:p>
        </w:tc>
      </w:tr>
      <w:tr w14:paraId="62EDA05A">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7705DAAC">
            <w:pPr>
              <w:widowControl/>
              <w:jc w:val="center"/>
              <w:rPr>
                <w:rFonts w:hint="eastAsia" w:ascii="宋体" w:hAnsi="宋体" w:cs="宋体"/>
                <w:color w:val="auto"/>
                <w:kern w:val="0"/>
                <w:szCs w:val="21"/>
              </w:rPr>
            </w:pPr>
            <w:r>
              <w:rPr>
                <w:rFonts w:hint="eastAsia" w:ascii="宋体" w:hAnsi="宋体" w:cs="宋体"/>
                <w:color w:val="auto"/>
                <w:kern w:val="0"/>
                <w:szCs w:val="21"/>
              </w:rPr>
              <w:t>3</w:t>
            </w:r>
          </w:p>
        </w:tc>
        <w:tc>
          <w:tcPr>
            <w:tcW w:w="1080" w:type="dxa"/>
            <w:tcBorders>
              <w:top w:val="nil"/>
              <w:left w:val="nil"/>
              <w:bottom w:val="single" w:color="000000" w:sz="8" w:space="0"/>
              <w:right w:val="single" w:color="000000" w:sz="8" w:space="0"/>
            </w:tcBorders>
            <w:noWrap w:val="0"/>
            <w:vAlign w:val="center"/>
          </w:tcPr>
          <w:p w14:paraId="27DC8F8E">
            <w:pPr>
              <w:widowControl/>
              <w:jc w:val="center"/>
              <w:rPr>
                <w:rFonts w:hint="eastAsia" w:ascii="宋体" w:hAnsi="宋体" w:cs="宋体"/>
                <w:color w:val="auto"/>
                <w:kern w:val="0"/>
                <w:szCs w:val="21"/>
              </w:rPr>
            </w:pPr>
            <w:r>
              <w:rPr>
                <w:rFonts w:hint="eastAsia" w:ascii="宋体" w:hAnsi="宋体" w:cs="宋体"/>
                <w:color w:val="auto"/>
                <w:kern w:val="0"/>
                <w:szCs w:val="21"/>
              </w:rPr>
              <w:t>A020202投影仪</w:t>
            </w:r>
          </w:p>
        </w:tc>
        <w:tc>
          <w:tcPr>
            <w:tcW w:w="1320" w:type="dxa"/>
            <w:tcBorders>
              <w:top w:val="nil"/>
              <w:left w:val="nil"/>
              <w:bottom w:val="single" w:color="000000" w:sz="8" w:space="0"/>
              <w:right w:val="single" w:color="000000" w:sz="8" w:space="0"/>
            </w:tcBorders>
            <w:noWrap w:val="0"/>
            <w:vAlign w:val="center"/>
          </w:tcPr>
          <w:p w14:paraId="52CE8892">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1620" w:type="dxa"/>
            <w:tcBorders>
              <w:top w:val="nil"/>
              <w:left w:val="nil"/>
              <w:bottom w:val="single" w:color="000000" w:sz="8" w:space="0"/>
              <w:right w:val="single" w:color="000000" w:sz="8" w:space="0"/>
            </w:tcBorders>
            <w:noWrap w:val="0"/>
            <w:vAlign w:val="center"/>
          </w:tcPr>
          <w:p w14:paraId="7CF34109">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26587453">
            <w:pPr>
              <w:widowControl/>
              <w:jc w:val="left"/>
              <w:rPr>
                <w:rFonts w:hint="eastAsia" w:ascii="宋体" w:hAnsi="宋体" w:cs="宋体"/>
                <w:color w:val="auto"/>
                <w:kern w:val="0"/>
                <w:szCs w:val="21"/>
              </w:rPr>
            </w:pPr>
            <w:r>
              <w:rPr>
                <w:rFonts w:hint="eastAsia" w:ascii="宋体" w:hAnsi="宋体" w:cs="宋体"/>
                <w:color w:val="auto"/>
                <w:kern w:val="0"/>
                <w:szCs w:val="21"/>
              </w:rPr>
              <w:t>《投影机能效限定值及能效等级》（GB32028）</w:t>
            </w:r>
          </w:p>
        </w:tc>
      </w:tr>
      <w:tr w14:paraId="6AFE1482">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307175B6">
            <w:pPr>
              <w:widowControl/>
              <w:jc w:val="center"/>
              <w:rPr>
                <w:rFonts w:hint="eastAsia" w:ascii="宋体" w:hAnsi="宋体" w:cs="宋体"/>
                <w:color w:val="auto"/>
                <w:kern w:val="0"/>
                <w:szCs w:val="21"/>
              </w:rPr>
            </w:pPr>
            <w:r>
              <w:rPr>
                <w:rFonts w:hint="eastAsia" w:ascii="宋体" w:hAnsi="宋体" w:cs="宋体"/>
                <w:color w:val="auto"/>
                <w:kern w:val="0"/>
                <w:szCs w:val="21"/>
              </w:rPr>
              <w:t>4</w:t>
            </w:r>
          </w:p>
        </w:tc>
        <w:tc>
          <w:tcPr>
            <w:tcW w:w="1080" w:type="dxa"/>
            <w:tcBorders>
              <w:top w:val="nil"/>
              <w:left w:val="nil"/>
              <w:bottom w:val="single" w:color="000000" w:sz="8" w:space="0"/>
              <w:right w:val="single" w:color="000000" w:sz="8" w:space="0"/>
            </w:tcBorders>
            <w:noWrap w:val="0"/>
            <w:vAlign w:val="center"/>
          </w:tcPr>
          <w:p w14:paraId="0FDA0538">
            <w:pPr>
              <w:widowControl/>
              <w:jc w:val="center"/>
              <w:rPr>
                <w:rFonts w:hint="eastAsia" w:ascii="宋体" w:hAnsi="宋体" w:cs="宋体"/>
                <w:color w:val="auto"/>
                <w:kern w:val="0"/>
                <w:szCs w:val="21"/>
              </w:rPr>
            </w:pPr>
            <w:r>
              <w:rPr>
                <w:rFonts w:hint="eastAsia" w:ascii="宋体" w:hAnsi="宋体" w:cs="宋体"/>
                <w:color w:val="auto"/>
                <w:kern w:val="0"/>
                <w:szCs w:val="21"/>
              </w:rPr>
              <w:t>A020204多功能一体机</w:t>
            </w:r>
          </w:p>
        </w:tc>
        <w:tc>
          <w:tcPr>
            <w:tcW w:w="1320" w:type="dxa"/>
            <w:tcBorders>
              <w:top w:val="nil"/>
              <w:left w:val="nil"/>
              <w:bottom w:val="single" w:color="000000" w:sz="8" w:space="0"/>
              <w:right w:val="single" w:color="000000" w:sz="8" w:space="0"/>
            </w:tcBorders>
            <w:noWrap w:val="0"/>
            <w:vAlign w:val="center"/>
          </w:tcPr>
          <w:p w14:paraId="14C5806A">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1620" w:type="dxa"/>
            <w:tcBorders>
              <w:top w:val="nil"/>
              <w:left w:val="nil"/>
              <w:bottom w:val="single" w:color="000000" w:sz="8" w:space="0"/>
              <w:right w:val="single" w:color="000000" w:sz="8" w:space="0"/>
            </w:tcBorders>
            <w:noWrap w:val="0"/>
            <w:vAlign w:val="center"/>
          </w:tcPr>
          <w:p w14:paraId="4C663987">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2C25C705">
            <w:pPr>
              <w:widowControl/>
              <w:jc w:val="left"/>
              <w:rPr>
                <w:rFonts w:hint="eastAsia" w:ascii="宋体" w:hAnsi="宋体" w:cs="宋体"/>
                <w:color w:val="auto"/>
                <w:kern w:val="0"/>
                <w:szCs w:val="21"/>
              </w:rPr>
            </w:pPr>
            <w:r>
              <w:rPr>
                <w:rFonts w:hint="eastAsia" w:ascii="宋体" w:hAnsi="宋体" w:cs="宋体"/>
                <w:color w:val="auto"/>
                <w:kern w:val="0"/>
                <w:szCs w:val="21"/>
              </w:rPr>
              <w:t>《复印机、打印机和传真机能效限定值及能效等级》（GB21521）</w:t>
            </w:r>
          </w:p>
        </w:tc>
      </w:tr>
      <w:tr w14:paraId="45C24EE7">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3E20CC4A">
            <w:pPr>
              <w:widowControl/>
              <w:jc w:val="center"/>
              <w:rPr>
                <w:rFonts w:hint="eastAsia" w:ascii="宋体" w:hAnsi="宋体" w:cs="宋体"/>
                <w:color w:val="auto"/>
                <w:kern w:val="0"/>
                <w:szCs w:val="21"/>
              </w:rPr>
            </w:pPr>
            <w:r>
              <w:rPr>
                <w:rFonts w:hint="eastAsia" w:ascii="宋体" w:hAnsi="宋体" w:cs="宋体"/>
                <w:color w:val="auto"/>
                <w:kern w:val="0"/>
                <w:szCs w:val="21"/>
              </w:rPr>
              <w:t>5</w:t>
            </w:r>
          </w:p>
        </w:tc>
        <w:tc>
          <w:tcPr>
            <w:tcW w:w="1080" w:type="dxa"/>
            <w:tcBorders>
              <w:top w:val="nil"/>
              <w:left w:val="nil"/>
              <w:bottom w:val="single" w:color="000000" w:sz="8" w:space="0"/>
              <w:right w:val="single" w:color="000000" w:sz="8" w:space="0"/>
            </w:tcBorders>
            <w:noWrap w:val="0"/>
            <w:vAlign w:val="center"/>
          </w:tcPr>
          <w:p w14:paraId="526F33A7">
            <w:pPr>
              <w:widowControl/>
              <w:jc w:val="center"/>
              <w:rPr>
                <w:rFonts w:hint="eastAsia" w:ascii="宋体" w:hAnsi="宋体" w:cs="宋体"/>
                <w:color w:val="auto"/>
                <w:kern w:val="0"/>
                <w:szCs w:val="21"/>
              </w:rPr>
            </w:pPr>
            <w:r>
              <w:rPr>
                <w:rFonts w:hint="eastAsia" w:ascii="宋体" w:hAnsi="宋体" w:cs="宋体"/>
                <w:color w:val="auto"/>
                <w:kern w:val="0"/>
                <w:szCs w:val="21"/>
              </w:rPr>
              <w:t>A020519泵</w:t>
            </w:r>
          </w:p>
        </w:tc>
        <w:tc>
          <w:tcPr>
            <w:tcW w:w="1320" w:type="dxa"/>
            <w:tcBorders>
              <w:top w:val="nil"/>
              <w:left w:val="nil"/>
              <w:bottom w:val="single" w:color="000000" w:sz="8" w:space="0"/>
              <w:right w:val="single" w:color="000000" w:sz="8" w:space="0"/>
            </w:tcBorders>
            <w:noWrap w:val="0"/>
            <w:vAlign w:val="center"/>
          </w:tcPr>
          <w:p w14:paraId="4211DA41">
            <w:pPr>
              <w:widowControl/>
              <w:jc w:val="center"/>
              <w:rPr>
                <w:rFonts w:hint="eastAsia" w:ascii="宋体" w:hAnsi="宋体" w:cs="宋体"/>
                <w:color w:val="auto"/>
                <w:kern w:val="0"/>
                <w:szCs w:val="21"/>
              </w:rPr>
            </w:pPr>
            <w:r>
              <w:rPr>
                <w:rFonts w:hint="eastAsia" w:ascii="宋体" w:hAnsi="宋体" w:cs="宋体"/>
                <w:color w:val="auto"/>
                <w:kern w:val="0"/>
                <w:szCs w:val="21"/>
              </w:rPr>
              <w:t>A02051901离心泵</w:t>
            </w:r>
          </w:p>
        </w:tc>
        <w:tc>
          <w:tcPr>
            <w:tcW w:w="1620" w:type="dxa"/>
            <w:tcBorders>
              <w:top w:val="nil"/>
              <w:left w:val="nil"/>
              <w:bottom w:val="single" w:color="000000" w:sz="8" w:space="0"/>
              <w:right w:val="single" w:color="000000" w:sz="8" w:space="0"/>
            </w:tcBorders>
            <w:noWrap w:val="0"/>
            <w:vAlign w:val="center"/>
          </w:tcPr>
          <w:p w14:paraId="5ED5B35B">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073DB9FF">
            <w:pPr>
              <w:widowControl/>
              <w:jc w:val="left"/>
              <w:rPr>
                <w:rFonts w:hint="eastAsia" w:ascii="宋体" w:hAnsi="宋体" w:cs="宋体"/>
                <w:color w:val="auto"/>
                <w:kern w:val="0"/>
                <w:szCs w:val="21"/>
              </w:rPr>
            </w:pPr>
            <w:r>
              <w:rPr>
                <w:rFonts w:hint="eastAsia" w:ascii="宋体" w:hAnsi="宋体" w:cs="宋体"/>
                <w:color w:val="auto"/>
                <w:kern w:val="0"/>
                <w:szCs w:val="21"/>
              </w:rPr>
              <w:t>《清水离心泵能效限定值及节能评价值》（GB19762）</w:t>
            </w:r>
          </w:p>
        </w:tc>
      </w:tr>
      <w:tr w14:paraId="01A7F849">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474A49F6">
            <w:pPr>
              <w:widowControl/>
              <w:jc w:val="center"/>
              <w:rPr>
                <w:rFonts w:hint="eastAsia" w:ascii="宋体" w:hAnsi="宋体" w:cs="宋体"/>
                <w:color w:val="auto"/>
                <w:kern w:val="0"/>
                <w:szCs w:val="21"/>
              </w:rPr>
            </w:pPr>
            <w:r>
              <w:rPr>
                <w:rFonts w:hint="eastAsia" w:ascii="宋体" w:hAnsi="宋体" w:cs="宋体"/>
                <w:color w:val="auto"/>
                <w:kern w:val="0"/>
                <w:szCs w:val="21"/>
              </w:rPr>
              <w:t>6</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558696B5">
            <w:pPr>
              <w:widowControl/>
              <w:jc w:val="center"/>
              <w:rPr>
                <w:rFonts w:hint="eastAsia" w:ascii="宋体" w:hAnsi="宋体" w:cs="宋体"/>
                <w:color w:val="auto"/>
                <w:kern w:val="0"/>
                <w:szCs w:val="21"/>
              </w:rPr>
            </w:pPr>
            <w:r>
              <w:rPr>
                <w:rFonts w:hint="eastAsia" w:ascii="宋体" w:hAnsi="宋体" w:cs="宋体"/>
                <w:color w:val="auto"/>
                <w:kern w:val="0"/>
                <w:szCs w:val="21"/>
              </w:rPr>
              <w:t>A020523制冷空调设备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714D5D23">
            <w:pPr>
              <w:widowControl/>
              <w:jc w:val="center"/>
              <w:rPr>
                <w:rFonts w:hint="eastAsia" w:ascii="宋体" w:hAnsi="宋体" w:cs="宋体"/>
                <w:color w:val="auto"/>
                <w:kern w:val="0"/>
                <w:szCs w:val="21"/>
              </w:rPr>
            </w:pPr>
            <w:r>
              <w:rPr>
                <w:rFonts w:hint="eastAsia" w:ascii="宋体" w:hAnsi="宋体" w:cs="宋体"/>
                <w:color w:val="auto"/>
                <w:kern w:val="0"/>
                <w:szCs w:val="21"/>
              </w:rPr>
              <w:t>★A02052301制冷压缩机</w:t>
            </w:r>
          </w:p>
        </w:tc>
        <w:tc>
          <w:tcPr>
            <w:tcW w:w="1620" w:type="dxa"/>
            <w:tcBorders>
              <w:top w:val="nil"/>
              <w:left w:val="nil"/>
              <w:bottom w:val="single" w:color="000000" w:sz="8" w:space="0"/>
              <w:right w:val="single" w:color="000000" w:sz="8" w:space="0"/>
            </w:tcBorders>
            <w:noWrap w:val="0"/>
            <w:vAlign w:val="center"/>
          </w:tcPr>
          <w:p w14:paraId="4B4735C8">
            <w:pPr>
              <w:widowControl/>
              <w:jc w:val="center"/>
              <w:rPr>
                <w:rFonts w:hint="eastAsia" w:ascii="宋体" w:hAnsi="宋体" w:cs="宋体"/>
                <w:color w:val="auto"/>
                <w:kern w:val="0"/>
                <w:szCs w:val="21"/>
              </w:rPr>
            </w:pPr>
            <w:r>
              <w:rPr>
                <w:rFonts w:hint="eastAsia" w:ascii="宋体" w:hAnsi="宋体" w:cs="宋体"/>
                <w:color w:val="auto"/>
                <w:kern w:val="0"/>
                <w:szCs w:val="21"/>
              </w:rPr>
              <w:t>冷水机组</w:t>
            </w:r>
          </w:p>
        </w:tc>
        <w:tc>
          <w:tcPr>
            <w:tcW w:w="4540" w:type="dxa"/>
            <w:tcBorders>
              <w:top w:val="nil"/>
              <w:left w:val="nil"/>
              <w:bottom w:val="single" w:color="000000" w:sz="8" w:space="0"/>
              <w:right w:val="single" w:color="000000" w:sz="8" w:space="0"/>
            </w:tcBorders>
            <w:noWrap w:val="0"/>
            <w:vAlign w:val="center"/>
          </w:tcPr>
          <w:p w14:paraId="31006472">
            <w:pPr>
              <w:widowControl/>
              <w:jc w:val="left"/>
              <w:rPr>
                <w:rFonts w:hint="eastAsia" w:ascii="宋体" w:hAnsi="宋体" w:cs="宋体"/>
                <w:color w:val="auto"/>
                <w:kern w:val="0"/>
                <w:szCs w:val="21"/>
              </w:rPr>
            </w:pPr>
            <w:r>
              <w:rPr>
                <w:rFonts w:hint="eastAsia" w:ascii="宋体" w:hAnsi="宋体" w:cs="宋体"/>
                <w:color w:val="auto"/>
                <w:kern w:val="0"/>
                <w:szCs w:val="21"/>
              </w:rPr>
              <w:t>《冷水机组能效限定值及能效等级》（GB19577），《低环境温度空气源热泵（冷水）机组能效限定值及能效等级》（GB37480）</w:t>
            </w:r>
          </w:p>
        </w:tc>
      </w:tr>
      <w:tr w14:paraId="7BDF4596">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D1EEEAA">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88431D0">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9179670">
            <w:pPr>
              <w:widowControl/>
              <w:jc w:val="left"/>
              <w:rPr>
                <w:rFonts w:ascii="宋体" w:hAnsi="宋体" w:cs="宋体"/>
                <w:color w:val="auto"/>
                <w:kern w:val="0"/>
                <w:szCs w:val="21"/>
              </w:rPr>
            </w:pPr>
          </w:p>
        </w:tc>
        <w:tc>
          <w:tcPr>
            <w:tcW w:w="1620" w:type="dxa"/>
            <w:tcBorders>
              <w:top w:val="nil"/>
              <w:left w:val="nil"/>
              <w:bottom w:val="single" w:color="000000" w:sz="8" w:space="0"/>
              <w:right w:val="single" w:color="000000" w:sz="8" w:space="0"/>
            </w:tcBorders>
            <w:noWrap w:val="0"/>
            <w:vAlign w:val="center"/>
          </w:tcPr>
          <w:p w14:paraId="2925C52F">
            <w:pPr>
              <w:widowControl/>
              <w:jc w:val="center"/>
              <w:rPr>
                <w:rFonts w:hint="eastAsia" w:ascii="宋体" w:hAnsi="宋体" w:cs="宋体"/>
                <w:color w:val="auto"/>
                <w:kern w:val="0"/>
                <w:szCs w:val="21"/>
              </w:rPr>
            </w:pPr>
            <w:r>
              <w:rPr>
                <w:rFonts w:hint="eastAsia" w:ascii="宋体" w:hAnsi="宋体" w:cs="宋体"/>
                <w:color w:val="auto"/>
                <w:kern w:val="0"/>
                <w:szCs w:val="21"/>
              </w:rPr>
              <w:t>水源热泵机组</w:t>
            </w:r>
          </w:p>
        </w:tc>
        <w:tc>
          <w:tcPr>
            <w:tcW w:w="4540" w:type="dxa"/>
            <w:tcBorders>
              <w:top w:val="nil"/>
              <w:left w:val="nil"/>
              <w:bottom w:val="single" w:color="000000" w:sz="8" w:space="0"/>
              <w:right w:val="single" w:color="000000" w:sz="8" w:space="0"/>
            </w:tcBorders>
            <w:noWrap w:val="0"/>
            <w:vAlign w:val="center"/>
          </w:tcPr>
          <w:p w14:paraId="39A98A6F">
            <w:pPr>
              <w:widowControl/>
              <w:jc w:val="left"/>
              <w:rPr>
                <w:rFonts w:hint="eastAsia" w:ascii="宋体" w:hAnsi="宋体" w:cs="宋体"/>
                <w:color w:val="auto"/>
                <w:kern w:val="0"/>
                <w:szCs w:val="21"/>
              </w:rPr>
            </w:pPr>
            <w:r>
              <w:rPr>
                <w:rFonts w:hint="eastAsia" w:ascii="宋体" w:hAnsi="宋体" w:cs="宋体"/>
                <w:color w:val="auto"/>
                <w:kern w:val="0"/>
                <w:szCs w:val="21"/>
              </w:rPr>
              <w:t>《水（地）源热泵机组能效限定值及能效等级》（GB30721）</w:t>
            </w:r>
          </w:p>
        </w:tc>
      </w:tr>
      <w:tr w14:paraId="272D9F03">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7E63323">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422440F">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C5A7A5B">
            <w:pPr>
              <w:widowControl/>
              <w:jc w:val="left"/>
              <w:rPr>
                <w:rFonts w:ascii="宋体" w:hAnsi="宋体" w:cs="宋体"/>
                <w:color w:val="auto"/>
                <w:kern w:val="0"/>
                <w:szCs w:val="21"/>
              </w:rPr>
            </w:pPr>
          </w:p>
        </w:tc>
        <w:tc>
          <w:tcPr>
            <w:tcW w:w="1620" w:type="dxa"/>
            <w:tcBorders>
              <w:top w:val="nil"/>
              <w:left w:val="nil"/>
              <w:bottom w:val="single" w:color="000000" w:sz="8" w:space="0"/>
              <w:right w:val="single" w:color="000000" w:sz="8" w:space="0"/>
            </w:tcBorders>
            <w:noWrap w:val="0"/>
            <w:vAlign w:val="center"/>
          </w:tcPr>
          <w:p w14:paraId="5E116E51">
            <w:pPr>
              <w:widowControl/>
              <w:jc w:val="center"/>
              <w:rPr>
                <w:rFonts w:hint="eastAsia" w:ascii="宋体" w:hAnsi="宋体" w:cs="宋体"/>
                <w:color w:val="auto"/>
                <w:kern w:val="0"/>
                <w:szCs w:val="21"/>
              </w:rPr>
            </w:pPr>
            <w:r>
              <w:rPr>
                <w:rFonts w:hint="eastAsia" w:ascii="宋体" w:hAnsi="宋体" w:cs="宋体"/>
                <w:color w:val="auto"/>
                <w:kern w:val="0"/>
                <w:szCs w:val="21"/>
              </w:rPr>
              <w:t>溴化锂吸收式冷水机组</w:t>
            </w:r>
          </w:p>
        </w:tc>
        <w:tc>
          <w:tcPr>
            <w:tcW w:w="4540" w:type="dxa"/>
            <w:tcBorders>
              <w:top w:val="nil"/>
              <w:left w:val="nil"/>
              <w:bottom w:val="single" w:color="000000" w:sz="8" w:space="0"/>
              <w:right w:val="single" w:color="000000" w:sz="8" w:space="0"/>
            </w:tcBorders>
            <w:noWrap w:val="0"/>
            <w:vAlign w:val="center"/>
          </w:tcPr>
          <w:p w14:paraId="26216E9B">
            <w:pPr>
              <w:widowControl/>
              <w:jc w:val="left"/>
              <w:rPr>
                <w:rFonts w:hint="eastAsia" w:ascii="宋体" w:hAnsi="宋体" w:cs="宋体"/>
                <w:color w:val="auto"/>
                <w:kern w:val="0"/>
                <w:szCs w:val="21"/>
              </w:rPr>
            </w:pPr>
            <w:r>
              <w:rPr>
                <w:rFonts w:hint="eastAsia" w:ascii="宋体" w:hAnsi="宋体" w:cs="宋体"/>
                <w:color w:val="auto"/>
                <w:kern w:val="0"/>
                <w:szCs w:val="21"/>
              </w:rPr>
              <w:t>《溴化锂吸收式冷水机组能效限定值及能效等级》（GB29540）</w:t>
            </w:r>
          </w:p>
        </w:tc>
      </w:tr>
      <w:tr w14:paraId="749B05F7">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8680745">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8753C92">
            <w:pPr>
              <w:widowControl/>
              <w:jc w:val="left"/>
              <w:rPr>
                <w:rFonts w:ascii="宋体" w:hAnsi="宋体" w:cs="宋体"/>
                <w:color w:val="auto"/>
                <w:kern w:val="0"/>
                <w:szCs w:val="21"/>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253BE68F">
            <w:pPr>
              <w:widowControl/>
              <w:jc w:val="center"/>
              <w:rPr>
                <w:rFonts w:hint="eastAsia" w:ascii="宋体" w:hAnsi="宋体" w:cs="宋体"/>
                <w:color w:val="auto"/>
                <w:kern w:val="0"/>
                <w:szCs w:val="21"/>
              </w:rPr>
            </w:pPr>
            <w:r>
              <w:rPr>
                <w:rFonts w:hint="eastAsia" w:ascii="宋体" w:hAnsi="宋体" w:cs="宋体"/>
                <w:color w:val="auto"/>
                <w:kern w:val="0"/>
                <w:szCs w:val="21"/>
              </w:rPr>
              <w:t>★A02052305空调机组</w:t>
            </w:r>
          </w:p>
        </w:tc>
        <w:tc>
          <w:tcPr>
            <w:tcW w:w="1620" w:type="dxa"/>
            <w:tcBorders>
              <w:top w:val="nil"/>
              <w:left w:val="nil"/>
              <w:bottom w:val="single" w:color="000000" w:sz="8" w:space="0"/>
              <w:right w:val="single" w:color="000000" w:sz="8" w:space="0"/>
            </w:tcBorders>
            <w:noWrap w:val="0"/>
            <w:vAlign w:val="center"/>
          </w:tcPr>
          <w:p w14:paraId="6369FE7A">
            <w:pPr>
              <w:widowControl/>
              <w:jc w:val="center"/>
              <w:rPr>
                <w:rFonts w:hint="eastAsia" w:ascii="宋体" w:hAnsi="宋体" w:cs="宋体"/>
                <w:color w:val="auto"/>
                <w:kern w:val="0"/>
                <w:szCs w:val="21"/>
              </w:rPr>
            </w:pPr>
            <w:r>
              <w:rPr>
                <w:rFonts w:hint="eastAsia" w:ascii="宋体" w:hAnsi="宋体" w:cs="宋体"/>
                <w:color w:val="auto"/>
                <w:kern w:val="0"/>
                <w:szCs w:val="21"/>
              </w:rPr>
              <w:t>多联式空调（热泵）机组(制冷量&gt;14000W)</w:t>
            </w:r>
          </w:p>
        </w:tc>
        <w:tc>
          <w:tcPr>
            <w:tcW w:w="4540" w:type="dxa"/>
            <w:tcBorders>
              <w:top w:val="nil"/>
              <w:left w:val="nil"/>
              <w:bottom w:val="single" w:color="000000" w:sz="8" w:space="0"/>
              <w:right w:val="single" w:color="000000" w:sz="8" w:space="0"/>
            </w:tcBorders>
            <w:noWrap w:val="0"/>
            <w:vAlign w:val="center"/>
          </w:tcPr>
          <w:p w14:paraId="64F8E1C4">
            <w:pPr>
              <w:widowControl/>
              <w:jc w:val="left"/>
              <w:rPr>
                <w:rFonts w:hint="eastAsia" w:ascii="宋体" w:hAnsi="宋体" w:cs="宋体"/>
                <w:color w:val="auto"/>
                <w:kern w:val="0"/>
                <w:szCs w:val="21"/>
              </w:rPr>
            </w:pPr>
            <w:r>
              <w:rPr>
                <w:rFonts w:hint="eastAsia" w:ascii="宋体" w:hAnsi="宋体" w:cs="宋体"/>
                <w:color w:val="auto"/>
                <w:kern w:val="0"/>
                <w:szCs w:val="21"/>
              </w:rPr>
              <w:t>《多联式空调（热泵）机组能效限定值及能源效率等级》（GB21454）</w:t>
            </w:r>
          </w:p>
        </w:tc>
      </w:tr>
      <w:tr w14:paraId="0F15DD81">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D3F8A28">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18A6462">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58BD3E7">
            <w:pPr>
              <w:widowControl/>
              <w:jc w:val="left"/>
              <w:rPr>
                <w:rFonts w:ascii="宋体" w:hAnsi="宋体" w:cs="宋体"/>
                <w:color w:val="auto"/>
                <w:kern w:val="0"/>
                <w:szCs w:val="21"/>
              </w:rPr>
            </w:pPr>
          </w:p>
        </w:tc>
        <w:tc>
          <w:tcPr>
            <w:tcW w:w="1620" w:type="dxa"/>
            <w:tcBorders>
              <w:top w:val="nil"/>
              <w:left w:val="nil"/>
              <w:bottom w:val="single" w:color="000000" w:sz="8" w:space="0"/>
              <w:right w:val="single" w:color="000000" w:sz="8" w:space="0"/>
            </w:tcBorders>
            <w:noWrap w:val="0"/>
            <w:vAlign w:val="center"/>
          </w:tcPr>
          <w:p w14:paraId="1AFD733E">
            <w:pPr>
              <w:widowControl/>
              <w:jc w:val="center"/>
              <w:rPr>
                <w:rFonts w:hint="eastAsia" w:ascii="宋体" w:hAnsi="宋体" w:cs="宋体"/>
                <w:color w:val="auto"/>
                <w:kern w:val="0"/>
                <w:szCs w:val="21"/>
              </w:rPr>
            </w:pPr>
            <w:r>
              <w:rPr>
                <w:rFonts w:hint="eastAsia" w:ascii="宋体" w:hAnsi="宋体" w:cs="宋体"/>
                <w:color w:val="auto"/>
                <w:kern w:val="0"/>
                <w:szCs w:val="21"/>
              </w:rPr>
              <w:t>单元式空气调节机(制冷量&gt;14000W</w:t>
            </w:r>
          </w:p>
        </w:tc>
        <w:tc>
          <w:tcPr>
            <w:tcW w:w="4540" w:type="dxa"/>
            <w:tcBorders>
              <w:top w:val="nil"/>
              <w:left w:val="nil"/>
              <w:bottom w:val="single" w:color="000000" w:sz="8" w:space="0"/>
              <w:right w:val="single" w:color="000000" w:sz="8" w:space="0"/>
            </w:tcBorders>
            <w:noWrap w:val="0"/>
            <w:vAlign w:val="center"/>
          </w:tcPr>
          <w:p w14:paraId="0FD92666">
            <w:pPr>
              <w:widowControl/>
              <w:jc w:val="left"/>
              <w:rPr>
                <w:rFonts w:hint="eastAsia" w:ascii="宋体" w:hAnsi="宋体" w:cs="宋体"/>
                <w:color w:val="auto"/>
                <w:kern w:val="0"/>
                <w:szCs w:val="21"/>
              </w:rPr>
            </w:pPr>
            <w:r>
              <w:rPr>
                <w:rFonts w:hint="eastAsia" w:ascii="宋体" w:hAnsi="宋体" w:cs="宋体"/>
                <w:color w:val="auto"/>
                <w:kern w:val="0"/>
                <w:szCs w:val="21"/>
              </w:rPr>
              <w:t>《单元式空气调节机能效限定值及能效等级》（GB19576）《风管送风式空调机组能效限定值及能效等级》（GB37479）</w:t>
            </w:r>
          </w:p>
        </w:tc>
      </w:tr>
      <w:tr w14:paraId="4D7D06F5">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DF69AC8">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A3524E6">
            <w:pPr>
              <w:widowControl/>
              <w:jc w:val="left"/>
              <w:rPr>
                <w:rFonts w:ascii="宋体" w:hAnsi="宋体" w:cs="宋体"/>
                <w:color w:val="auto"/>
                <w:kern w:val="0"/>
                <w:szCs w:val="21"/>
              </w:rPr>
            </w:pPr>
          </w:p>
        </w:tc>
        <w:tc>
          <w:tcPr>
            <w:tcW w:w="1320" w:type="dxa"/>
            <w:tcBorders>
              <w:top w:val="nil"/>
              <w:left w:val="nil"/>
              <w:bottom w:val="single" w:color="000000" w:sz="8" w:space="0"/>
              <w:right w:val="single" w:color="000000" w:sz="8" w:space="0"/>
            </w:tcBorders>
            <w:noWrap w:val="0"/>
            <w:vAlign w:val="center"/>
          </w:tcPr>
          <w:p w14:paraId="29E11188">
            <w:pPr>
              <w:widowControl/>
              <w:jc w:val="center"/>
              <w:rPr>
                <w:rFonts w:hint="eastAsia" w:ascii="宋体" w:hAnsi="宋体" w:cs="宋体"/>
                <w:color w:val="auto"/>
                <w:kern w:val="0"/>
                <w:szCs w:val="21"/>
              </w:rPr>
            </w:pPr>
            <w:r>
              <w:rPr>
                <w:rFonts w:hint="eastAsia" w:ascii="宋体" w:hAnsi="宋体" w:cs="宋体"/>
                <w:color w:val="auto"/>
                <w:kern w:val="0"/>
                <w:szCs w:val="21"/>
              </w:rPr>
              <w:t>★A02052309专用制冷、空调设备</w:t>
            </w:r>
          </w:p>
        </w:tc>
        <w:tc>
          <w:tcPr>
            <w:tcW w:w="1620" w:type="dxa"/>
            <w:tcBorders>
              <w:top w:val="nil"/>
              <w:left w:val="nil"/>
              <w:bottom w:val="single" w:color="000000" w:sz="8" w:space="0"/>
              <w:right w:val="single" w:color="000000" w:sz="8" w:space="0"/>
            </w:tcBorders>
            <w:noWrap w:val="0"/>
            <w:vAlign w:val="center"/>
          </w:tcPr>
          <w:p w14:paraId="2928CD0B">
            <w:pPr>
              <w:widowControl/>
              <w:jc w:val="center"/>
              <w:rPr>
                <w:rFonts w:hint="eastAsia" w:ascii="宋体" w:hAnsi="宋体" w:cs="宋体"/>
                <w:color w:val="auto"/>
                <w:kern w:val="0"/>
                <w:szCs w:val="21"/>
              </w:rPr>
            </w:pPr>
            <w:r>
              <w:rPr>
                <w:rFonts w:hint="eastAsia" w:ascii="宋体" w:hAnsi="宋体" w:cs="宋体"/>
                <w:color w:val="auto"/>
                <w:kern w:val="0"/>
                <w:szCs w:val="21"/>
              </w:rPr>
              <w:t>机房空调</w:t>
            </w:r>
          </w:p>
        </w:tc>
        <w:tc>
          <w:tcPr>
            <w:tcW w:w="4540" w:type="dxa"/>
            <w:tcBorders>
              <w:top w:val="nil"/>
              <w:left w:val="nil"/>
              <w:bottom w:val="single" w:color="000000" w:sz="8" w:space="0"/>
              <w:right w:val="single" w:color="000000" w:sz="8" w:space="0"/>
            </w:tcBorders>
            <w:noWrap w:val="0"/>
            <w:vAlign w:val="center"/>
          </w:tcPr>
          <w:p w14:paraId="3EDA5801">
            <w:pPr>
              <w:widowControl/>
              <w:jc w:val="left"/>
              <w:rPr>
                <w:rFonts w:hint="eastAsia" w:ascii="宋体" w:hAnsi="宋体" w:cs="宋体"/>
                <w:color w:val="auto"/>
                <w:kern w:val="0"/>
                <w:szCs w:val="21"/>
              </w:rPr>
            </w:pPr>
            <w:r>
              <w:rPr>
                <w:rFonts w:hint="eastAsia" w:ascii="宋体" w:hAnsi="宋体" w:cs="宋体"/>
                <w:color w:val="auto"/>
                <w:kern w:val="0"/>
                <w:szCs w:val="21"/>
              </w:rPr>
              <w:t>《单元式空气调节机能效限定值及能效等级》（GB19576）</w:t>
            </w:r>
          </w:p>
        </w:tc>
      </w:tr>
      <w:tr w14:paraId="1A1D9DF8">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3816F40">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4169A20">
            <w:pPr>
              <w:widowControl/>
              <w:jc w:val="left"/>
              <w:rPr>
                <w:rFonts w:ascii="宋体" w:hAnsi="宋体" w:cs="宋体"/>
                <w:color w:val="auto"/>
                <w:kern w:val="0"/>
                <w:szCs w:val="21"/>
              </w:rPr>
            </w:pPr>
          </w:p>
        </w:tc>
        <w:tc>
          <w:tcPr>
            <w:tcW w:w="1320" w:type="dxa"/>
            <w:tcBorders>
              <w:top w:val="nil"/>
              <w:left w:val="nil"/>
              <w:bottom w:val="single" w:color="000000" w:sz="8" w:space="0"/>
              <w:right w:val="single" w:color="000000" w:sz="8" w:space="0"/>
            </w:tcBorders>
            <w:noWrap w:val="0"/>
            <w:vAlign w:val="center"/>
          </w:tcPr>
          <w:p w14:paraId="4910A619">
            <w:pPr>
              <w:widowControl/>
              <w:jc w:val="center"/>
              <w:rPr>
                <w:rFonts w:hint="eastAsia" w:ascii="宋体" w:hAnsi="宋体" w:cs="宋体"/>
                <w:color w:val="auto"/>
                <w:kern w:val="0"/>
                <w:szCs w:val="21"/>
              </w:rPr>
            </w:pPr>
            <w:r>
              <w:rPr>
                <w:rFonts w:hint="eastAsia" w:ascii="宋体" w:hAnsi="宋体" w:cs="宋体"/>
                <w:color w:val="auto"/>
                <w:kern w:val="0"/>
                <w:szCs w:val="21"/>
              </w:rPr>
              <w:t>A02052399其他制冷空调设备</w:t>
            </w:r>
          </w:p>
        </w:tc>
        <w:tc>
          <w:tcPr>
            <w:tcW w:w="1620" w:type="dxa"/>
            <w:tcBorders>
              <w:top w:val="nil"/>
              <w:left w:val="nil"/>
              <w:bottom w:val="single" w:color="000000" w:sz="8" w:space="0"/>
              <w:right w:val="single" w:color="000000" w:sz="8" w:space="0"/>
            </w:tcBorders>
            <w:noWrap w:val="0"/>
            <w:vAlign w:val="center"/>
          </w:tcPr>
          <w:p w14:paraId="5CDF0157">
            <w:pPr>
              <w:widowControl/>
              <w:jc w:val="center"/>
              <w:rPr>
                <w:rFonts w:hint="eastAsia" w:ascii="宋体" w:hAnsi="宋体" w:cs="宋体"/>
                <w:color w:val="auto"/>
                <w:kern w:val="0"/>
                <w:szCs w:val="21"/>
              </w:rPr>
            </w:pPr>
            <w:r>
              <w:rPr>
                <w:rFonts w:hint="eastAsia" w:ascii="宋体" w:hAnsi="宋体" w:cs="宋体"/>
                <w:color w:val="auto"/>
                <w:kern w:val="0"/>
                <w:szCs w:val="21"/>
              </w:rPr>
              <w:t>冷却塔</w:t>
            </w:r>
          </w:p>
        </w:tc>
        <w:tc>
          <w:tcPr>
            <w:tcW w:w="4540" w:type="dxa"/>
            <w:tcBorders>
              <w:top w:val="nil"/>
              <w:left w:val="nil"/>
              <w:bottom w:val="single" w:color="000000" w:sz="8" w:space="0"/>
              <w:right w:val="single" w:color="000000" w:sz="8" w:space="0"/>
            </w:tcBorders>
            <w:noWrap w:val="0"/>
            <w:vAlign w:val="center"/>
          </w:tcPr>
          <w:p w14:paraId="526F1890">
            <w:pPr>
              <w:widowControl/>
              <w:jc w:val="left"/>
              <w:rPr>
                <w:rFonts w:hint="eastAsia" w:ascii="宋体" w:hAnsi="宋体" w:cs="宋体"/>
                <w:color w:val="auto"/>
                <w:kern w:val="0"/>
                <w:szCs w:val="21"/>
              </w:rPr>
            </w:pPr>
            <w:r>
              <w:rPr>
                <w:rFonts w:hint="eastAsia" w:ascii="宋体" w:hAnsi="宋体" w:cs="宋体"/>
                <w:color w:val="auto"/>
                <w:kern w:val="0"/>
                <w:szCs w:val="21"/>
              </w:rPr>
              <w:t>《机械通风冷却塔第1部分：中小型开式冷却塔》（GB/T7190.1）；《机械通风冷却塔第2部分：大型开式冷却塔》（GB/T7190.2）</w:t>
            </w:r>
          </w:p>
        </w:tc>
      </w:tr>
      <w:tr w14:paraId="48F8F5AE">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00ED493C">
            <w:pPr>
              <w:widowControl/>
              <w:jc w:val="center"/>
              <w:rPr>
                <w:rFonts w:hint="eastAsia" w:ascii="宋体" w:hAnsi="宋体" w:cs="宋体"/>
                <w:color w:val="auto"/>
                <w:kern w:val="0"/>
                <w:szCs w:val="21"/>
              </w:rPr>
            </w:pPr>
            <w:r>
              <w:rPr>
                <w:rFonts w:hint="eastAsia" w:ascii="宋体" w:hAnsi="宋体" w:cs="宋体"/>
                <w:color w:val="auto"/>
                <w:kern w:val="0"/>
                <w:szCs w:val="21"/>
              </w:rPr>
              <w:t>7</w:t>
            </w:r>
          </w:p>
        </w:tc>
        <w:tc>
          <w:tcPr>
            <w:tcW w:w="1080" w:type="dxa"/>
            <w:tcBorders>
              <w:top w:val="nil"/>
              <w:left w:val="nil"/>
              <w:bottom w:val="single" w:color="000000" w:sz="8" w:space="0"/>
              <w:right w:val="single" w:color="000000" w:sz="8" w:space="0"/>
            </w:tcBorders>
            <w:noWrap w:val="0"/>
            <w:vAlign w:val="center"/>
          </w:tcPr>
          <w:p w14:paraId="7E0F369F">
            <w:pPr>
              <w:widowControl/>
              <w:jc w:val="center"/>
              <w:rPr>
                <w:rFonts w:hint="eastAsia" w:ascii="宋体" w:hAnsi="宋体" w:cs="宋体"/>
                <w:color w:val="auto"/>
                <w:kern w:val="0"/>
                <w:szCs w:val="21"/>
              </w:rPr>
            </w:pPr>
            <w:r>
              <w:rPr>
                <w:rFonts w:hint="eastAsia" w:ascii="宋体" w:hAnsi="宋体" w:cs="宋体"/>
                <w:color w:val="auto"/>
                <w:kern w:val="0"/>
                <w:szCs w:val="21"/>
              </w:rPr>
              <w:t>A020601电机</w:t>
            </w:r>
          </w:p>
        </w:tc>
        <w:tc>
          <w:tcPr>
            <w:tcW w:w="1320" w:type="dxa"/>
            <w:tcBorders>
              <w:top w:val="nil"/>
              <w:left w:val="nil"/>
              <w:bottom w:val="single" w:color="000000" w:sz="8" w:space="0"/>
              <w:right w:val="single" w:color="000000" w:sz="8" w:space="0"/>
            </w:tcBorders>
            <w:noWrap w:val="0"/>
            <w:vAlign w:val="center"/>
          </w:tcPr>
          <w:p w14:paraId="09818BC7">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1620" w:type="dxa"/>
            <w:tcBorders>
              <w:top w:val="nil"/>
              <w:left w:val="nil"/>
              <w:bottom w:val="single" w:color="000000" w:sz="8" w:space="0"/>
              <w:right w:val="single" w:color="000000" w:sz="8" w:space="0"/>
            </w:tcBorders>
            <w:noWrap w:val="0"/>
            <w:vAlign w:val="center"/>
          </w:tcPr>
          <w:p w14:paraId="35A31CE5">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5A6A2E8B">
            <w:pPr>
              <w:widowControl/>
              <w:jc w:val="left"/>
              <w:rPr>
                <w:rFonts w:hint="eastAsia" w:ascii="宋体" w:hAnsi="宋体" w:cs="宋体"/>
                <w:color w:val="auto"/>
                <w:kern w:val="0"/>
                <w:szCs w:val="21"/>
              </w:rPr>
            </w:pPr>
            <w:r>
              <w:rPr>
                <w:rFonts w:hint="eastAsia" w:ascii="宋体" w:hAnsi="宋体" w:cs="宋体"/>
                <w:color w:val="auto"/>
                <w:kern w:val="0"/>
                <w:szCs w:val="21"/>
              </w:rPr>
              <w:t>《中小型三相异步电动机能效限定值及能效等级》（GB18613）</w:t>
            </w:r>
          </w:p>
        </w:tc>
      </w:tr>
      <w:tr w14:paraId="7021D38A">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1A4ECEB5">
            <w:pPr>
              <w:widowControl/>
              <w:jc w:val="center"/>
              <w:rPr>
                <w:rFonts w:hint="eastAsia" w:ascii="宋体" w:hAnsi="宋体" w:cs="宋体"/>
                <w:color w:val="auto"/>
                <w:kern w:val="0"/>
                <w:szCs w:val="21"/>
              </w:rPr>
            </w:pPr>
            <w:r>
              <w:rPr>
                <w:rFonts w:hint="eastAsia" w:ascii="宋体" w:hAnsi="宋体" w:cs="宋体"/>
                <w:color w:val="auto"/>
                <w:kern w:val="0"/>
                <w:szCs w:val="21"/>
              </w:rPr>
              <w:t>8</w:t>
            </w:r>
          </w:p>
        </w:tc>
        <w:tc>
          <w:tcPr>
            <w:tcW w:w="1080" w:type="dxa"/>
            <w:tcBorders>
              <w:top w:val="nil"/>
              <w:left w:val="nil"/>
              <w:bottom w:val="single" w:color="000000" w:sz="8" w:space="0"/>
              <w:right w:val="single" w:color="000000" w:sz="8" w:space="0"/>
            </w:tcBorders>
            <w:noWrap w:val="0"/>
            <w:vAlign w:val="center"/>
          </w:tcPr>
          <w:p w14:paraId="3B857CC6">
            <w:pPr>
              <w:widowControl/>
              <w:jc w:val="center"/>
              <w:rPr>
                <w:rFonts w:hint="eastAsia" w:ascii="宋体" w:hAnsi="宋体" w:cs="宋体"/>
                <w:color w:val="auto"/>
                <w:kern w:val="0"/>
                <w:szCs w:val="21"/>
              </w:rPr>
            </w:pPr>
            <w:r>
              <w:rPr>
                <w:rFonts w:hint="eastAsia" w:ascii="宋体" w:hAnsi="宋体" w:cs="宋体"/>
                <w:color w:val="auto"/>
                <w:kern w:val="0"/>
                <w:szCs w:val="21"/>
              </w:rPr>
              <w:t>A020602变压器</w:t>
            </w:r>
          </w:p>
        </w:tc>
        <w:tc>
          <w:tcPr>
            <w:tcW w:w="1320" w:type="dxa"/>
            <w:tcBorders>
              <w:top w:val="nil"/>
              <w:left w:val="nil"/>
              <w:bottom w:val="single" w:color="000000" w:sz="8" w:space="0"/>
              <w:right w:val="single" w:color="000000" w:sz="8" w:space="0"/>
            </w:tcBorders>
            <w:noWrap w:val="0"/>
            <w:vAlign w:val="center"/>
          </w:tcPr>
          <w:p w14:paraId="2ED90FF9">
            <w:pPr>
              <w:widowControl/>
              <w:jc w:val="center"/>
              <w:rPr>
                <w:rFonts w:hint="eastAsia" w:ascii="宋体" w:hAnsi="宋体" w:cs="宋体"/>
                <w:color w:val="auto"/>
                <w:kern w:val="0"/>
                <w:szCs w:val="21"/>
              </w:rPr>
            </w:pPr>
            <w:r>
              <w:rPr>
                <w:rFonts w:hint="eastAsia" w:ascii="宋体" w:hAnsi="宋体" w:cs="宋体"/>
                <w:color w:val="auto"/>
                <w:kern w:val="0"/>
                <w:szCs w:val="21"/>
              </w:rPr>
              <w:t>配电变压器</w:t>
            </w:r>
          </w:p>
        </w:tc>
        <w:tc>
          <w:tcPr>
            <w:tcW w:w="1620" w:type="dxa"/>
            <w:tcBorders>
              <w:top w:val="nil"/>
              <w:left w:val="nil"/>
              <w:bottom w:val="single" w:color="000000" w:sz="8" w:space="0"/>
              <w:right w:val="single" w:color="000000" w:sz="8" w:space="0"/>
            </w:tcBorders>
            <w:noWrap w:val="0"/>
            <w:vAlign w:val="center"/>
          </w:tcPr>
          <w:p w14:paraId="71186097">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4145D00D">
            <w:pPr>
              <w:widowControl/>
              <w:jc w:val="left"/>
              <w:rPr>
                <w:rFonts w:hint="eastAsia" w:ascii="宋体" w:hAnsi="宋体" w:cs="宋体"/>
                <w:color w:val="auto"/>
                <w:kern w:val="0"/>
                <w:szCs w:val="21"/>
              </w:rPr>
            </w:pPr>
            <w:r>
              <w:rPr>
                <w:rFonts w:hint="eastAsia" w:ascii="宋体" w:hAnsi="宋体" w:cs="宋体"/>
                <w:color w:val="auto"/>
                <w:kern w:val="0"/>
                <w:szCs w:val="21"/>
              </w:rPr>
              <w:t>《三相配电变压器能效限定值及能效等级》（GB20052）</w:t>
            </w:r>
          </w:p>
        </w:tc>
      </w:tr>
      <w:tr w14:paraId="46799C76">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4B68E9AC">
            <w:pPr>
              <w:widowControl/>
              <w:jc w:val="center"/>
              <w:rPr>
                <w:rFonts w:hint="eastAsia" w:ascii="宋体" w:hAnsi="宋体" w:cs="宋体"/>
                <w:color w:val="auto"/>
                <w:kern w:val="0"/>
                <w:szCs w:val="21"/>
              </w:rPr>
            </w:pPr>
            <w:r>
              <w:rPr>
                <w:rFonts w:hint="eastAsia" w:ascii="宋体" w:hAnsi="宋体" w:cs="宋体"/>
                <w:color w:val="auto"/>
                <w:kern w:val="0"/>
                <w:szCs w:val="21"/>
              </w:rPr>
              <w:t>9</w:t>
            </w:r>
          </w:p>
        </w:tc>
        <w:tc>
          <w:tcPr>
            <w:tcW w:w="1080" w:type="dxa"/>
            <w:tcBorders>
              <w:top w:val="nil"/>
              <w:left w:val="nil"/>
              <w:bottom w:val="single" w:color="000000" w:sz="8" w:space="0"/>
              <w:right w:val="single" w:color="000000" w:sz="8" w:space="0"/>
            </w:tcBorders>
            <w:noWrap w:val="0"/>
            <w:vAlign w:val="center"/>
          </w:tcPr>
          <w:p w14:paraId="4018EE9B">
            <w:pPr>
              <w:widowControl/>
              <w:jc w:val="center"/>
              <w:rPr>
                <w:rFonts w:hint="eastAsia" w:ascii="宋体" w:hAnsi="宋体" w:cs="宋体"/>
                <w:color w:val="auto"/>
                <w:kern w:val="0"/>
                <w:szCs w:val="21"/>
              </w:rPr>
            </w:pPr>
            <w:r>
              <w:rPr>
                <w:rFonts w:hint="eastAsia" w:ascii="宋体" w:hAnsi="宋体" w:cs="宋体"/>
                <w:color w:val="auto"/>
                <w:kern w:val="0"/>
                <w:szCs w:val="21"/>
              </w:rPr>
              <w:t>★A020609镇流器</w:t>
            </w:r>
          </w:p>
        </w:tc>
        <w:tc>
          <w:tcPr>
            <w:tcW w:w="1320" w:type="dxa"/>
            <w:tcBorders>
              <w:top w:val="nil"/>
              <w:left w:val="nil"/>
              <w:bottom w:val="single" w:color="000000" w:sz="8" w:space="0"/>
              <w:right w:val="single" w:color="000000" w:sz="8" w:space="0"/>
            </w:tcBorders>
            <w:noWrap w:val="0"/>
            <w:vAlign w:val="center"/>
          </w:tcPr>
          <w:p w14:paraId="7D1BDD54">
            <w:pPr>
              <w:widowControl/>
              <w:jc w:val="center"/>
              <w:rPr>
                <w:rFonts w:hint="eastAsia" w:ascii="宋体" w:hAnsi="宋体" w:cs="宋体"/>
                <w:color w:val="auto"/>
                <w:kern w:val="0"/>
                <w:szCs w:val="21"/>
              </w:rPr>
            </w:pPr>
            <w:r>
              <w:rPr>
                <w:rFonts w:hint="eastAsia" w:ascii="宋体" w:hAnsi="宋体" w:cs="宋体"/>
                <w:color w:val="auto"/>
                <w:kern w:val="0"/>
                <w:szCs w:val="21"/>
              </w:rPr>
              <w:t>管型荧光灯镇流器</w:t>
            </w:r>
          </w:p>
        </w:tc>
        <w:tc>
          <w:tcPr>
            <w:tcW w:w="1620" w:type="dxa"/>
            <w:tcBorders>
              <w:top w:val="nil"/>
              <w:left w:val="nil"/>
              <w:bottom w:val="single" w:color="000000" w:sz="8" w:space="0"/>
              <w:right w:val="single" w:color="000000" w:sz="8" w:space="0"/>
            </w:tcBorders>
            <w:noWrap w:val="0"/>
            <w:vAlign w:val="center"/>
          </w:tcPr>
          <w:p w14:paraId="6A8F11A5">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05D329AA">
            <w:pPr>
              <w:widowControl/>
              <w:jc w:val="left"/>
              <w:rPr>
                <w:rFonts w:hint="eastAsia" w:ascii="宋体" w:hAnsi="宋体" w:cs="宋体"/>
                <w:color w:val="auto"/>
                <w:kern w:val="0"/>
                <w:szCs w:val="21"/>
              </w:rPr>
            </w:pPr>
            <w:r>
              <w:rPr>
                <w:rFonts w:hint="eastAsia" w:ascii="宋体" w:hAnsi="宋体" w:cs="宋体"/>
                <w:color w:val="auto"/>
                <w:kern w:val="0"/>
                <w:szCs w:val="21"/>
              </w:rPr>
              <w:t>《管形荧光灯镇流器能效限定值及能效等级》（GB17896）</w:t>
            </w:r>
          </w:p>
        </w:tc>
      </w:tr>
      <w:tr w14:paraId="44E9F27F">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2EFE00F3">
            <w:pPr>
              <w:widowControl/>
              <w:jc w:val="center"/>
              <w:rPr>
                <w:rFonts w:hint="eastAsia" w:ascii="宋体" w:hAnsi="宋体" w:cs="宋体"/>
                <w:color w:val="auto"/>
                <w:kern w:val="0"/>
                <w:szCs w:val="21"/>
              </w:rPr>
            </w:pPr>
            <w:r>
              <w:rPr>
                <w:rFonts w:hint="eastAsia" w:ascii="宋体" w:hAnsi="宋体" w:cs="宋体"/>
                <w:color w:val="auto"/>
                <w:kern w:val="0"/>
                <w:szCs w:val="21"/>
              </w:rPr>
              <w:t>10</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15FD2130">
            <w:pPr>
              <w:widowControl/>
              <w:jc w:val="center"/>
              <w:rPr>
                <w:rFonts w:hint="eastAsia" w:ascii="宋体" w:hAnsi="宋体" w:cs="宋体"/>
                <w:color w:val="auto"/>
                <w:kern w:val="0"/>
                <w:szCs w:val="21"/>
              </w:rPr>
            </w:pPr>
            <w:r>
              <w:rPr>
                <w:rFonts w:hint="eastAsia" w:ascii="宋体" w:hAnsi="宋体" w:cs="宋体"/>
                <w:color w:val="auto"/>
                <w:kern w:val="0"/>
                <w:szCs w:val="21"/>
              </w:rPr>
              <w:t>A020618生活用电器</w:t>
            </w:r>
          </w:p>
        </w:tc>
        <w:tc>
          <w:tcPr>
            <w:tcW w:w="1320" w:type="dxa"/>
            <w:tcBorders>
              <w:top w:val="nil"/>
              <w:left w:val="nil"/>
              <w:bottom w:val="single" w:color="000000" w:sz="8" w:space="0"/>
              <w:right w:val="single" w:color="000000" w:sz="8" w:space="0"/>
            </w:tcBorders>
            <w:noWrap w:val="0"/>
            <w:vAlign w:val="center"/>
          </w:tcPr>
          <w:p w14:paraId="3F24CD9F">
            <w:pPr>
              <w:widowControl/>
              <w:jc w:val="center"/>
              <w:rPr>
                <w:rFonts w:hint="eastAsia" w:ascii="宋体" w:hAnsi="宋体" w:cs="宋体"/>
                <w:color w:val="auto"/>
                <w:kern w:val="0"/>
                <w:szCs w:val="21"/>
              </w:rPr>
            </w:pPr>
            <w:r>
              <w:rPr>
                <w:rFonts w:hint="eastAsia" w:ascii="宋体" w:hAnsi="宋体" w:cs="宋体"/>
                <w:color w:val="auto"/>
                <w:kern w:val="0"/>
                <w:szCs w:val="21"/>
              </w:rPr>
              <w:t>A0206180101电冰箱</w:t>
            </w:r>
          </w:p>
        </w:tc>
        <w:tc>
          <w:tcPr>
            <w:tcW w:w="1620" w:type="dxa"/>
            <w:tcBorders>
              <w:top w:val="nil"/>
              <w:left w:val="nil"/>
              <w:bottom w:val="single" w:color="000000" w:sz="8" w:space="0"/>
              <w:right w:val="single" w:color="000000" w:sz="8" w:space="0"/>
            </w:tcBorders>
            <w:noWrap w:val="0"/>
            <w:vAlign w:val="center"/>
          </w:tcPr>
          <w:p w14:paraId="45DBF96A">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7C8FDF78">
            <w:pPr>
              <w:widowControl/>
              <w:jc w:val="left"/>
              <w:rPr>
                <w:rFonts w:hint="eastAsia" w:ascii="宋体" w:hAnsi="宋体" w:cs="宋体"/>
                <w:color w:val="auto"/>
                <w:kern w:val="0"/>
                <w:szCs w:val="21"/>
              </w:rPr>
            </w:pPr>
            <w:r>
              <w:rPr>
                <w:rFonts w:hint="eastAsia" w:ascii="宋体" w:hAnsi="宋体" w:cs="宋体"/>
                <w:color w:val="auto"/>
                <w:kern w:val="0"/>
                <w:szCs w:val="21"/>
              </w:rPr>
              <w:t>《家用电冰箱耗电量限定值及能效等级》（GB 12021.2）</w:t>
            </w:r>
          </w:p>
        </w:tc>
      </w:tr>
      <w:tr w14:paraId="02712C5F">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FE915D9">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E948488">
            <w:pPr>
              <w:widowControl/>
              <w:jc w:val="left"/>
              <w:rPr>
                <w:rFonts w:ascii="宋体" w:hAnsi="宋体" w:cs="宋体"/>
                <w:color w:val="auto"/>
                <w:kern w:val="0"/>
                <w:szCs w:val="21"/>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13CF9440">
            <w:pPr>
              <w:widowControl/>
              <w:jc w:val="center"/>
              <w:rPr>
                <w:rFonts w:hint="eastAsia" w:ascii="宋体" w:hAnsi="宋体" w:cs="宋体"/>
                <w:color w:val="auto"/>
                <w:kern w:val="0"/>
                <w:szCs w:val="21"/>
              </w:rPr>
            </w:pPr>
            <w:r>
              <w:rPr>
                <w:rFonts w:hint="eastAsia" w:ascii="宋体" w:hAnsi="宋体" w:cs="宋体"/>
                <w:color w:val="auto"/>
                <w:kern w:val="0"/>
                <w:szCs w:val="21"/>
              </w:rPr>
              <w:t>★A0206180203空调机</w:t>
            </w:r>
          </w:p>
        </w:tc>
        <w:tc>
          <w:tcPr>
            <w:tcW w:w="1620" w:type="dxa"/>
            <w:tcBorders>
              <w:top w:val="nil"/>
              <w:left w:val="nil"/>
              <w:bottom w:val="single" w:color="000000" w:sz="8" w:space="0"/>
              <w:right w:val="single" w:color="000000" w:sz="8" w:space="0"/>
            </w:tcBorders>
            <w:noWrap w:val="0"/>
            <w:vAlign w:val="center"/>
          </w:tcPr>
          <w:p w14:paraId="1C2D4633">
            <w:pPr>
              <w:widowControl/>
              <w:jc w:val="center"/>
              <w:rPr>
                <w:rFonts w:hint="eastAsia" w:ascii="宋体" w:hAnsi="宋体" w:cs="宋体"/>
                <w:color w:val="auto"/>
                <w:kern w:val="0"/>
                <w:szCs w:val="21"/>
              </w:rPr>
            </w:pPr>
            <w:r>
              <w:rPr>
                <w:rFonts w:hint="eastAsia" w:ascii="宋体" w:hAnsi="宋体" w:cs="宋体"/>
                <w:color w:val="auto"/>
                <w:kern w:val="0"/>
                <w:szCs w:val="21"/>
              </w:rPr>
              <w:t>房间空气调节器</w:t>
            </w:r>
          </w:p>
        </w:tc>
        <w:tc>
          <w:tcPr>
            <w:tcW w:w="4540" w:type="dxa"/>
            <w:tcBorders>
              <w:top w:val="nil"/>
              <w:left w:val="nil"/>
              <w:bottom w:val="single" w:color="000000" w:sz="8" w:space="0"/>
              <w:right w:val="single" w:color="000000" w:sz="8" w:space="0"/>
            </w:tcBorders>
            <w:noWrap w:val="0"/>
            <w:vAlign w:val="center"/>
          </w:tcPr>
          <w:p w14:paraId="5D951AE6">
            <w:pPr>
              <w:widowControl/>
              <w:jc w:val="left"/>
              <w:rPr>
                <w:rFonts w:hint="eastAsia" w:ascii="宋体" w:hAnsi="宋体" w:cs="宋体"/>
                <w:color w:val="auto"/>
                <w:kern w:val="0"/>
                <w:szCs w:val="21"/>
              </w:rPr>
            </w:pPr>
            <w:r>
              <w:rPr>
                <w:rFonts w:hint="eastAsia" w:ascii="宋体" w:hAnsi="宋体" w:cs="宋体"/>
                <w:color w:val="auto"/>
                <w:kern w:val="0"/>
                <w:szCs w:val="21"/>
              </w:rPr>
              <w:t>《转速可控型房间空气调节器能效限定值及能效等级》（GB21455-2013），待2019年修订发布后，按《房间空气调节器能效限定值及能效等级》（GB21455-2019实施。</w:t>
            </w:r>
          </w:p>
        </w:tc>
      </w:tr>
      <w:tr w14:paraId="236062CD">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98B99FC">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44F3608">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0920EEC">
            <w:pPr>
              <w:widowControl/>
              <w:jc w:val="left"/>
              <w:rPr>
                <w:rFonts w:ascii="宋体" w:hAnsi="宋体" w:cs="宋体"/>
                <w:color w:val="auto"/>
                <w:kern w:val="0"/>
                <w:szCs w:val="21"/>
              </w:rPr>
            </w:pPr>
          </w:p>
        </w:tc>
        <w:tc>
          <w:tcPr>
            <w:tcW w:w="1620" w:type="dxa"/>
            <w:tcBorders>
              <w:top w:val="nil"/>
              <w:left w:val="nil"/>
              <w:bottom w:val="single" w:color="000000" w:sz="8" w:space="0"/>
              <w:right w:val="single" w:color="000000" w:sz="8" w:space="0"/>
            </w:tcBorders>
            <w:noWrap w:val="0"/>
            <w:vAlign w:val="center"/>
          </w:tcPr>
          <w:p w14:paraId="2CB87580">
            <w:pPr>
              <w:widowControl/>
              <w:jc w:val="center"/>
              <w:rPr>
                <w:rFonts w:hint="eastAsia" w:ascii="宋体" w:hAnsi="宋体" w:cs="宋体"/>
                <w:color w:val="auto"/>
                <w:kern w:val="0"/>
                <w:szCs w:val="21"/>
              </w:rPr>
            </w:pPr>
            <w:r>
              <w:rPr>
                <w:rFonts w:hint="eastAsia" w:ascii="宋体" w:hAnsi="宋体" w:cs="宋体"/>
                <w:color w:val="auto"/>
                <w:kern w:val="0"/>
                <w:szCs w:val="21"/>
              </w:rPr>
              <w:t>多联式空调（热泵）机组（制冷量≤ 14000W）</w:t>
            </w:r>
          </w:p>
        </w:tc>
        <w:tc>
          <w:tcPr>
            <w:tcW w:w="4540" w:type="dxa"/>
            <w:tcBorders>
              <w:top w:val="nil"/>
              <w:left w:val="nil"/>
              <w:bottom w:val="single" w:color="000000" w:sz="8" w:space="0"/>
              <w:right w:val="single" w:color="000000" w:sz="8" w:space="0"/>
            </w:tcBorders>
            <w:noWrap w:val="0"/>
            <w:vAlign w:val="center"/>
          </w:tcPr>
          <w:p w14:paraId="34817731">
            <w:pPr>
              <w:widowControl/>
              <w:jc w:val="left"/>
              <w:rPr>
                <w:rFonts w:hint="eastAsia" w:ascii="宋体" w:hAnsi="宋体" w:cs="宋体"/>
                <w:color w:val="auto"/>
                <w:kern w:val="0"/>
                <w:szCs w:val="21"/>
              </w:rPr>
            </w:pPr>
            <w:r>
              <w:rPr>
                <w:rFonts w:hint="eastAsia" w:ascii="宋体" w:hAnsi="宋体" w:cs="宋体"/>
                <w:color w:val="auto"/>
                <w:kern w:val="0"/>
                <w:szCs w:val="21"/>
              </w:rPr>
              <w:t>《多联式空调（热泵）机组能效限定值及能源效率等级》（GB21454）</w:t>
            </w:r>
          </w:p>
        </w:tc>
      </w:tr>
      <w:tr w14:paraId="7D8EFDB7">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65D9038">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1891C32">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6FC45C8">
            <w:pPr>
              <w:widowControl/>
              <w:jc w:val="left"/>
              <w:rPr>
                <w:rFonts w:ascii="宋体" w:hAnsi="宋体" w:cs="宋体"/>
                <w:color w:val="auto"/>
                <w:kern w:val="0"/>
                <w:szCs w:val="21"/>
              </w:rPr>
            </w:pPr>
          </w:p>
        </w:tc>
        <w:tc>
          <w:tcPr>
            <w:tcW w:w="1620" w:type="dxa"/>
            <w:tcBorders>
              <w:top w:val="nil"/>
              <w:left w:val="nil"/>
              <w:bottom w:val="single" w:color="000000" w:sz="8" w:space="0"/>
              <w:right w:val="single" w:color="000000" w:sz="8" w:space="0"/>
            </w:tcBorders>
            <w:noWrap w:val="0"/>
            <w:vAlign w:val="center"/>
          </w:tcPr>
          <w:p w14:paraId="2D2BA65D">
            <w:pPr>
              <w:widowControl/>
              <w:jc w:val="center"/>
              <w:rPr>
                <w:rFonts w:hint="eastAsia" w:ascii="宋体" w:hAnsi="宋体" w:cs="宋体"/>
                <w:color w:val="auto"/>
                <w:kern w:val="0"/>
                <w:szCs w:val="21"/>
              </w:rPr>
            </w:pPr>
            <w:r>
              <w:rPr>
                <w:rFonts w:hint="eastAsia" w:ascii="宋体" w:hAnsi="宋体" w:cs="宋体"/>
                <w:color w:val="auto"/>
                <w:kern w:val="0"/>
                <w:szCs w:val="21"/>
              </w:rPr>
              <w:t>单元式空气调节机(制冷量≤14000W)</w:t>
            </w:r>
          </w:p>
        </w:tc>
        <w:tc>
          <w:tcPr>
            <w:tcW w:w="4540" w:type="dxa"/>
            <w:tcBorders>
              <w:top w:val="nil"/>
              <w:left w:val="nil"/>
              <w:bottom w:val="single" w:color="000000" w:sz="8" w:space="0"/>
              <w:right w:val="single" w:color="000000" w:sz="8" w:space="0"/>
            </w:tcBorders>
            <w:noWrap w:val="0"/>
            <w:vAlign w:val="center"/>
          </w:tcPr>
          <w:p w14:paraId="3293575C">
            <w:pPr>
              <w:widowControl/>
              <w:jc w:val="left"/>
              <w:rPr>
                <w:rFonts w:hint="eastAsia" w:ascii="宋体" w:hAnsi="宋体" w:cs="宋体"/>
                <w:color w:val="auto"/>
                <w:kern w:val="0"/>
                <w:szCs w:val="21"/>
              </w:rPr>
            </w:pPr>
            <w:r>
              <w:rPr>
                <w:rFonts w:hint="eastAsia" w:ascii="宋体" w:hAnsi="宋体" w:cs="宋体"/>
                <w:color w:val="auto"/>
                <w:kern w:val="0"/>
                <w:szCs w:val="21"/>
              </w:rPr>
              <w:t>《单元式空气调节机能效限定值及能源效率等级》（GB19576）《风管送风式空调机组能效限定值及能效等级》（GB37479）</w:t>
            </w:r>
          </w:p>
        </w:tc>
      </w:tr>
      <w:tr w14:paraId="7DB472C7">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0FA37A7">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6439C9B">
            <w:pPr>
              <w:widowControl/>
              <w:jc w:val="left"/>
              <w:rPr>
                <w:rFonts w:ascii="宋体" w:hAnsi="宋体" w:cs="宋体"/>
                <w:color w:val="auto"/>
                <w:kern w:val="0"/>
                <w:szCs w:val="21"/>
              </w:rPr>
            </w:pPr>
          </w:p>
        </w:tc>
        <w:tc>
          <w:tcPr>
            <w:tcW w:w="1320" w:type="dxa"/>
            <w:tcBorders>
              <w:top w:val="nil"/>
              <w:left w:val="nil"/>
              <w:bottom w:val="single" w:color="000000" w:sz="8" w:space="0"/>
              <w:right w:val="single" w:color="000000" w:sz="8" w:space="0"/>
            </w:tcBorders>
            <w:noWrap w:val="0"/>
            <w:vAlign w:val="center"/>
          </w:tcPr>
          <w:p w14:paraId="65E248D7">
            <w:pPr>
              <w:widowControl/>
              <w:jc w:val="center"/>
              <w:rPr>
                <w:rFonts w:hint="eastAsia" w:ascii="宋体" w:hAnsi="宋体" w:cs="宋体"/>
                <w:color w:val="auto"/>
                <w:kern w:val="0"/>
                <w:szCs w:val="21"/>
              </w:rPr>
            </w:pPr>
            <w:r>
              <w:rPr>
                <w:rFonts w:hint="eastAsia" w:ascii="宋体" w:hAnsi="宋体" w:cs="宋体"/>
                <w:color w:val="auto"/>
                <w:kern w:val="0"/>
                <w:szCs w:val="21"/>
              </w:rPr>
              <w:t>A0206180301洗衣机</w:t>
            </w:r>
          </w:p>
        </w:tc>
        <w:tc>
          <w:tcPr>
            <w:tcW w:w="1620" w:type="dxa"/>
            <w:tcBorders>
              <w:top w:val="nil"/>
              <w:left w:val="nil"/>
              <w:bottom w:val="single" w:color="000000" w:sz="8" w:space="0"/>
              <w:right w:val="single" w:color="000000" w:sz="8" w:space="0"/>
            </w:tcBorders>
            <w:noWrap w:val="0"/>
            <w:vAlign w:val="center"/>
          </w:tcPr>
          <w:p w14:paraId="29AAB6BC">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23DE5465">
            <w:pPr>
              <w:widowControl/>
              <w:jc w:val="left"/>
              <w:rPr>
                <w:rFonts w:hint="eastAsia" w:ascii="宋体" w:hAnsi="宋体" w:cs="宋体"/>
                <w:color w:val="auto"/>
                <w:kern w:val="0"/>
                <w:szCs w:val="21"/>
              </w:rPr>
            </w:pPr>
            <w:r>
              <w:rPr>
                <w:rFonts w:hint="eastAsia" w:ascii="宋体" w:hAnsi="宋体" w:cs="宋体"/>
                <w:color w:val="auto"/>
                <w:kern w:val="0"/>
                <w:szCs w:val="21"/>
              </w:rPr>
              <w:t>《电动洗衣机能效水效限定值及等级》（GB12021.4）</w:t>
            </w:r>
          </w:p>
        </w:tc>
      </w:tr>
      <w:tr w14:paraId="53050BF7">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F297389">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314EBB5">
            <w:pPr>
              <w:widowControl/>
              <w:jc w:val="left"/>
              <w:rPr>
                <w:rFonts w:ascii="宋体" w:hAnsi="宋体" w:cs="宋体"/>
                <w:color w:val="auto"/>
                <w:kern w:val="0"/>
                <w:szCs w:val="21"/>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585793A9">
            <w:pPr>
              <w:widowControl/>
              <w:jc w:val="center"/>
              <w:rPr>
                <w:rFonts w:hint="eastAsia" w:ascii="宋体" w:hAnsi="宋体" w:cs="宋体"/>
                <w:color w:val="auto"/>
                <w:kern w:val="0"/>
                <w:szCs w:val="21"/>
              </w:rPr>
            </w:pPr>
            <w:r>
              <w:rPr>
                <w:rFonts w:hint="eastAsia" w:ascii="宋体" w:hAnsi="宋体" w:cs="宋体"/>
                <w:color w:val="auto"/>
                <w:kern w:val="0"/>
                <w:szCs w:val="21"/>
              </w:rPr>
              <w:t>A02061808热水器</w:t>
            </w:r>
          </w:p>
        </w:tc>
        <w:tc>
          <w:tcPr>
            <w:tcW w:w="1620" w:type="dxa"/>
            <w:tcBorders>
              <w:top w:val="nil"/>
              <w:left w:val="nil"/>
              <w:bottom w:val="single" w:color="000000" w:sz="8" w:space="0"/>
              <w:right w:val="single" w:color="000000" w:sz="8" w:space="0"/>
            </w:tcBorders>
            <w:noWrap w:val="0"/>
            <w:vAlign w:val="center"/>
          </w:tcPr>
          <w:p w14:paraId="2AC8AA1A">
            <w:pPr>
              <w:widowControl/>
              <w:jc w:val="center"/>
              <w:rPr>
                <w:rFonts w:hint="eastAsia" w:ascii="宋体" w:hAnsi="宋体" w:cs="宋体"/>
                <w:color w:val="auto"/>
                <w:kern w:val="0"/>
                <w:szCs w:val="21"/>
              </w:rPr>
            </w:pPr>
            <w:r>
              <w:rPr>
                <w:rFonts w:hint="eastAsia" w:ascii="宋体" w:hAnsi="宋体" w:cs="宋体"/>
                <w:color w:val="auto"/>
                <w:kern w:val="0"/>
                <w:szCs w:val="21"/>
              </w:rPr>
              <w:t>★电热水器</w:t>
            </w:r>
          </w:p>
        </w:tc>
        <w:tc>
          <w:tcPr>
            <w:tcW w:w="4540" w:type="dxa"/>
            <w:tcBorders>
              <w:top w:val="nil"/>
              <w:left w:val="nil"/>
              <w:bottom w:val="single" w:color="000000" w:sz="8" w:space="0"/>
              <w:right w:val="single" w:color="000000" w:sz="8" w:space="0"/>
            </w:tcBorders>
            <w:noWrap w:val="0"/>
            <w:vAlign w:val="center"/>
          </w:tcPr>
          <w:p w14:paraId="7EF65768">
            <w:pPr>
              <w:widowControl/>
              <w:jc w:val="left"/>
              <w:rPr>
                <w:rFonts w:hint="eastAsia" w:ascii="宋体" w:hAnsi="宋体" w:cs="宋体"/>
                <w:color w:val="auto"/>
                <w:kern w:val="0"/>
                <w:szCs w:val="21"/>
              </w:rPr>
            </w:pPr>
            <w:r>
              <w:rPr>
                <w:rFonts w:hint="eastAsia" w:ascii="宋体" w:hAnsi="宋体" w:cs="宋体"/>
                <w:color w:val="auto"/>
                <w:kern w:val="0"/>
                <w:szCs w:val="21"/>
              </w:rPr>
              <w:t>《储水式电热水器能效限定值及能效等级》（GB21519）</w:t>
            </w:r>
          </w:p>
        </w:tc>
      </w:tr>
      <w:tr w14:paraId="41B5917B">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6D781AC">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446E4AD">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1B7950C">
            <w:pPr>
              <w:widowControl/>
              <w:jc w:val="left"/>
              <w:rPr>
                <w:rFonts w:ascii="宋体" w:hAnsi="宋体" w:cs="宋体"/>
                <w:color w:val="auto"/>
                <w:kern w:val="0"/>
                <w:szCs w:val="21"/>
              </w:rPr>
            </w:pPr>
          </w:p>
        </w:tc>
        <w:tc>
          <w:tcPr>
            <w:tcW w:w="1620" w:type="dxa"/>
            <w:tcBorders>
              <w:top w:val="nil"/>
              <w:left w:val="nil"/>
              <w:bottom w:val="single" w:color="000000" w:sz="8" w:space="0"/>
              <w:right w:val="single" w:color="000000" w:sz="8" w:space="0"/>
            </w:tcBorders>
            <w:noWrap w:val="0"/>
            <w:vAlign w:val="center"/>
          </w:tcPr>
          <w:p w14:paraId="1AF1F64C">
            <w:pPr>
              <w:widowControl/>
              <w:jc w:val="center"/>
              <w:rPr>
                <w:rFonts w:hint="eastAsia" w:ascii="宋体" w:hAnsi="宋体" w:cs="宋体"/>
                <w:color w:val="auto"/>
                <w:kern w:val="0"/>
                <w:szCs w:val="21"/>
              </w:rPr>
            </w:pPr>
            <w:r>
              <w:rPr>
                <w:rFonts w:hint="eastAsia" w:ascii="宋体" w:hAnsi="宋体" w:cs="宋体"/>
                <w:color w:val="auto"/>
                <w:kern w:val="0"/>
                <w:szCs w:val="21"/>
              </w:rPr>
              <w:t>燃气热水器</w:t>
            </w:r>
          </w:p>
        </w:tc>
        <w:tc>
          <w:tcPr>
            <w:tcW w:w="4540" w:type="dxa"/>
            <w:tcBorders>
              <w:top w:val="nil"/>
              <w:left w:val="nil"/>
              <w:bottom w:val="single" w:color="000000" w:sz="8" w:space="0"/>
              <w:right w:val="single" w:color="000000" w:sz="8" w:space="0"/>
            </w:tcBorders>
            <w:noWrap w:val="0"/>
            <w:vAlign w:val="center"/>
          </w:tcPr>
          <w:p w14:paraId="34D16034">
            <w:pPr>
              <w:widowControl/>
              <w:jc w:val="left"/>
              <w:rPr>
                <w:rFonts w:hint="eastAsia" w:ascii="宋体" w:hAnsi="宋体" w:cs="宋体"/>
                <w:color w:val="auto"/>
                <w:kern w:val="0"/>
                <w:szCs w:val="21"/>
              </w:rPr>
            </w:pPr>
            <w:r>
              <w:rPr>
                <w:rFonts w:hint="eastAsia" w:ascii="宋体" w:hAnsi="宋体" w:cs="宋体"/>
                <w:color w:val="auto"/>
                <w:kern w:val="0"/>
                <w:szCs w:val="21"/>
              </w:rPr>
              <w:t>《家用燃气快速热水器和燃气采暖热水炉能效限定值及能效等级》（GB20665）</w:t>
            </w:r>
          </w:p>
        </w:tc>
      </w:tr>
      <w:tr w14:paraId="19A91F50">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A5A52C7">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1E91574">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D5D5834">
            <w:pPr>
              <w:widowControl/>
              <w:jc w:val="left"/>
              <w:rPr>
                <w:rFonts w:ascii="宋体" w:hAnsi="宋体" w:cs="宋体"/>
                <w:color w:val="auto"/>
                <w:kern w:val="0"/>
                <w:szCs w:val="21"/>
              </w:rPr>
            </w:pPr>
          </w:p>
        </w:tc>
        <w:tc>
          <w:tcPr>
            <w:tcW w:w="1620" w:type="dxa"/>
            <w:tcBorders>
              <w:top w:val="nil"/>
              <w:left w:val="nil"/>
              <w:bottom w:val="single" w:color="000000" w:sz="8" w:space="0"/>
              <w:right w:val="single" w:color="000000" w:sz="8" w:space="0"/>
            </w:tcBorders>
            <w:noWrap w:val="0"/>
            <w:vAlign w:val="center"/>
          </w:tcPr>
          <w:p w14:paraId="66F87899">
            <w:pPr>
              <w:widowControl/>
              <w:jc w:val="center"/>
              <w:rPr>
                <w:rFonts w:hint="eastAsia" w:ascii="宋体" w:hAnsi="宋体" w:cs="宋体"/>
                <w:color w:val="auto"/>
                <w:kern w:val="0"/>
                <w:szCs w:val="21"/>
              </w:rPr>
            </w:pPr>
            <w:r>
              <w:rPr>
                <w:rFonts w:hint="eastAsia" w:ascii="宋体" w:hAnsi="宋体" w:cs="宋体"/>
                <w:color w:val="auto"/>
                <w:kern w:val="0"/>
                <w:szCs w:val="21"/>
              </w:rPr>
              <w:t>热泵热水器</w:t>
            </w:r>
          </w:p>
        </w:tc>
        <w:tc>
          <w:tcPr>
            <w:tcW w:w="4540" w:type="dxa"/>
            <w:tcBorders>
              <w:top w:val="nil"/>
              <w:left w:val="nil"/>
              <w:bottom w:val="single" w:color="000000" w:sz="8" w:space="0"/>
              <w:right w:val="single" w:color="000000" w:sz="8" w:space="0"/>
            </w:tcBorders>
            <w:noWrap w:val="0"/>
            <w:vAlign w:val="center"/>
          </w:tcPr>
          <w:p w14:paraId="31CB93B0">
            <w:pPr>
              <w:widowControl/>
              <w:jc w:val="left"/>
              <w:rPr>
                <w:rFonts w:hint="eastAsia" w:ascii="宋体" w:hAnsi="宋体" w:cs="宋体"/>
                <w:color w:val="auto"/>
                <w:kern w:val="0"/>
                <w:szCs w:val="21"/>
              </w:rPr>
            </w:pPr>
            <w:r>
              <w:rPr>
                <w:rFonts w:hint="eastAsia" w:ascii="宋体" w:hAnsi="宋体" w:cs="宋体"/>
                <w:color w:val="auto"/>
                <w:kern w:val="0"/>
                <w:szCs w:val="21"/>
              </w:rPr>
              <w:t>《热泵热水机（器）能效限定值及能效等级》（GB29541）</w:t>
            </w:r>
          </w:p>
        </w:tc>
      </w:tr>
      <w:tr w14:paraId="0D7BEBDF">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E80EF34">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C39FE34">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3A4AEBF">
            <w:pPr>
              <w:widowControl/>
              <w:jc w:val="left"/>
              <w:rPr>
                <w:rFonts w:ascii="宋体" w:hAnsi="宋体" w:cs="宋体"/>
                <w:color w:val="auto"/>
                <w:kern w:val="0"/>
                <w:szCs w:val="21"/>
              </w:rPr>
            </w:pPr>
          </w:p>
        </w:tc>
        <w:tc>
          <w:tcPr>
            <w:tcW w:w="1620" w:type="dxa"/>
            <w:tcBorders>
              <w:top w:val="nil"/>
              <w:left w:val="nil"/>
              <w:bottom w:val="single" w:color="000000" w:sz="8" w:space="0"/>
              <w:right w:val="single" w:color="000000" w:sz="8" w:space="0"/>
            </w:tcBorders>
            <w:noWrap w:val="0"/>
            <w:vAlign w:val="center"/>
          </w:tcPr>
          <w:p w14:paraId="744A1B9E">
            <w:pPr>
              <w:widowControl/>
              <w:jc w:val="center"/>
              <w:rPr>
                <w:rFonts w:hint="eastAsia" w:ascii="宋体" w:hAnsi="宋体" w:cs="宋体"/>
                <w:color w:val="auto"/>
                <w:kern w:val="0"/>
                <w:szCs w:val="21"/>
              </w:rPr>
            </w:pPr>
            <w:r>
              <w:rPr>
                <w:rFonts w:hint="eastAsia" w:ascii="宋体" w:hAnsi="宋体" w:cs="宋体"/>
                <w:color w:val="auto"/>
                <w:kern w:val="0"/>
                <w:szCs w:val="21"/>
              </w:rPr>
              <w:t>太阳能热水系统</w:t>
            </w:r>
          </w:p>
        </w:tc>
        <w:tc>
          <w:tcPr>
            <w:tcW w:w="4540" w:type="dxa"/>
            <w:tcBorders>
              <w:top w:val="nil"/>
              <w:left w:val="nil"/>
              <w:bottom w:val="single" w:color="000000" w:sz="8" w:space="0"/>
              <w:right w:val="single" w:color="000000" w:sz="8" w:space="0"/>
            </w:tcBorders>
            <w:noWrap w:val="0"/>
            <w:vAlign w:val="center"/>
          </w:tcPr>
          <w:p w14:paraId="70069AE7">
            <w:pPr>
              <w:widowControl/>
              <w:jc w:val="left"/>
              <w:rPr>
                <w:rFonts w:hint="eastAsia" w:ascii="宋体" w:hAnsi="宋体" w:cs="宋体"/>
                <w:color w:val="auto"/>
                <w:kern w:val="0"/>
                <w:szCs w:val="21"/>
              </w:rPr>
            </w:pPr>
            <w:r>
              <w:rPr>
                <w:rFonts w:hint="eastAsia" w:ascii="宋体" w:hAnsi="宋体" w:cs="宋体"/>
                <w:color w:val="auto"/>
                <w:kern w:val="0"/>
                <w:szCs w:val="21"/>
              </w:rPr>
              <w:t>《家用太阳能热水系统能效限定值及能效等级》（GB26969）</w:t>
            </w:r>
          </w:p>
        </w:tc>
      </w:tr>
      <w:tr w14:paraId="7BDB7F40">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41E468AA">
            <w:pPr>
              <w:widowControl/>
              <w:jc w:val="center"/>
              <w:rPr>
                <w:rFonts w:hint="eastAsia" w:ascii="宋体" w:hAnsi="宋体" w:cs="宋体"/>
                <w:color w:val="auto"/>
                <w:kern w:val="0"/>
                <w:szCs w:val="21"/>
              </w:rPr>
            </w:pPr>
            <w:r>
              <w:rPr>
                <w:rFonts w:hint="eastAsia" w:ascii="宋体" w:hAnsi="宋体" w:cs="宋体"/>
                <w:color w:val="auto"/>
                <w:kern w:val="0"/>
                <w:szCs w:val="21"/>
              </w:rPr>
              <w:t>11</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16EA3B60">
            <w:pPr>
              <w:widowControl/>
              <w:jc w:val="center"/>
              <w:rPr>
                <w:rFonts w:hint="eastAsia" w:ascii="宋体" w:hAnsi="宋体" w:cs="宋体"/>
                <w:color w:val="auto"/>
                <w:kern w:val="0"/>
                <w:szCs w:val="21"/>
              </w:rPr>
            </w:pPr>
            <w:r>
              <w:rPr>
                <w:rFonts w:hint="eastAsia" w:ascii="宋体" w:hAnsi="宋体" w:cs="宋体"/>
                <w:color w:val="auto"/>
                <w:kern w:val="0"/>
                <w:szCs w:val="21"/>
              </w:rPr>
              <w:t>A020619照明设备</w:t>
            </w:r>
          </w:p>
        </w:tc>
        <w:tc>
          <w:tcPr>
            <w:tcW w:w="1320" w:type="dxa"/>
            <w:tcBorders>
              <w:top w:val="nil"/>
              <w:left w:val="nil"/>
              <w:bottom w:val="single" w:color="000000" w:sz="8" w:space="0"/>
              <w:right w:val="single" w:color="000000" w:sz="8" w:space="0"/>
            </w:tcBorders>
            <w:noWrap w:val="0"/>
            <w:vAlign w:val="center"/>
          </w:tcPr>
          <w:p w14:paraId="0AA58344">
            <w:pPr>
              <w:widowControl/>
              <w:jc w:val="center"/>
              <w:rPr>
                <w:rFonts w:hint="eastAsia" w:ascii="宋体" w:hAnsi="宋体" w:cs="宋体"/>
                <w:color w:val="auto"/>
                <w:kern w:val="0"/>
                <w:szCs w:val="21"/>
              </w:rPr>
            </w:pPr>
            <w:r>
              <w:rPr>
                <w:rFonts w:hint="eastAsia" w:ascii="宋体" w:hAnsi="宋体" w:cs="宋体"/>
                <w:color w:val="auto"/>
                <w:kern w:val="0"/>
                <w:szCs w:val="21"/>
              </w:rPr>
              <w:t>★普通照明用双端荧光灯</w:t>
            </w:r>
          </w:p>
        </w:tc>
        <w:tc>
          <w:tcPr>
            <w:tcW w:w="1620" w:type="dxa"/>
            <w:tcBorders>
              <w:top w:val="nil"/>
              <w:left w:val="nil"/>
              <w:bottom w:val="single" w:color="000000" w:sz="8" w:space="0"/>
              <w:right w:val="single" w:color="000000" w:sz="8" w:space="0"/>
            </w:tcBorders>
            <w:noWrap w:val="0"/>
            <w:vAlign w:val="center"/>
          </w:tcPr>
          <w:p w14:paraId="2376C8EF">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3061DA1E">
            <w:pPr>
              <w:widowControl/>
              <w:jc w:val="left"/>
              <w:rPr>
                <w:rFonts w:hint="eastAsia" w:ascii="宋体" w:hAnsi="宋体" w:cs="宋体"/>
                <w:color w:val="auto"/>
                <w:kern w:val="0"/>
                <w:szCs w:val="21"/>
              </w:rPr>
            </w:pPr>
            <w:r>
              <w:rPr>
                <w:rFonts w:hint="eastAsia" w:ascii="宋体" w:hAnsi="宋体" w:cs="宋体"/>
                <w:color w:val="auto"/>
                <w:kern w:val="0"/>
                <w:szCs w:val="21"/>
              </w:rPr>
              <w:t>《普通照明用双端荧光灯能效限定值及能效等级》（GB19043）</w:t>
            </w:r>
          </w:p>
        </w:tc>
      </w:tr>
      <w:tr w14:paraId="773FDC53">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1AA6C3C">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23EEDA7">
            <w:pPr>
              <w:widowControl/>
              <w:jc w:val="left"/>
              <w:rPr>
                <w:rFonts w:ascii="宋体" w:hAnsi="宋体" w:cs="宋体"/>
                <w:color w:val="auto"/>
                <w:kern w:val="0"/>
                <w:szCs w:val="21"/>
              </w:rPr>
            </w:pPr>
          </w:p>
        </w:tc>
        <w:tc>
          <w:tcPr>
            <w:tcW w:w="1320" w:type="dxa"/>
            <w:tcBorders>
              <w:top w:val="nil"/>
              <w:left w:val="nil"/>
              <w:bottom w:val="single" w:color="000000" w:sz="8" w:space="0"/>
              <w:right w:val="single" w:color="000000" w:sz="8" w:space="0"/>
            </w:tcBorders>
            <w:noWrap w:val="0"/>
            <w:vAlign w:val="center"/>
          </w:tcPr>
          <w:p w14:paraId="3E1DCE62">
            <w:pPr>
              <w:widowControl/>
              <w:jc w:val="center"/>
              <w:rPr>
                <w:rFonts w:hint="eastAsia" w:ascii="宋体" w:hAnsi="宋体" w:cs="宋体"/>
                <w:color w:val="auto"/>
                <w:kern w:val="0"/>
                <w:szCs w:val="21"/>
              </w:rPr>
            </w:pPr>
            <w:r>
              <w:rPr>
                <w:rFonts w:hint="eastAsia" w:ascii="宋体" w:hAnsi="宋体" w:cs="宋体"/>
                <w:color w:val="auto"/>
                <w:kern w:val="0"/>
                <w:szCs w:val="21"/>
              </w:rPr>
              <w:t>LED道路/隧道照明产品</w:t>
            </w:r>
          </w:p>
        </w:tc>
        <w:tc>
          <w:tcPr>
            <w:tcW w:w="1620" w:type="dxa"/>
            <w:tcBorders>
              <w:top w:val="nil"/>
              <w:left w:val="nil"/>
              <w:bottom w:val="single" w:color="000000" w:sz="8" w:space="0"/>
              <w:right w:val="single" w:color="000000" w:sz="8" w:space="0"/>
            </w:tcBorders>
            <w:noWrap w:val="0"/>
            <w:vAlign w:val="center"/>
          </w:tcPr>
          <w:p w14:paraId="10D3AD73">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0D6AB514">
            <w:pPr>
              <w:widowControl/>
              <w:jc w:val="left"/>
              <w:rPr>
                <w:rFonts w:hint="eastAsia" w:ascii="宋体" w:hAnsi="宋体" w:cs="宋体"/>
                <w:color w:val="auto"/>
                <w:kern w:val="0"/>
                <w:szCs w:val="21"/>
              </w:rPr>
            </w:pPr>
            <w:r>
              <w:rPr>
                <w:rFonts w:hint="eastAsia" w:ascii="宋体" w:hAnsi="宋体" w:cs="宋体"/>
                <w:color w:val="auto"/>
                <w:kern w:val="0"/>
                <w:szCs w:val="21"/>
              </w:rPr>
              <w:t>《道路和隧道照明用LED灯具能效限定值及能效等级》（GB37478）</w:t>
            </w:r>
          </w:p>
        </w:tc>
      </w:tr>
      <w:tr w14:paraId="7338B14E">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4A88D50">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5ED5562">
            <w:pPr>
              <w:widowControl/>
              <w:jc w:val="left"/>
              <w:rPr>
                <w:rFonts w:ascii="宋体" w:hAnsi="宋体" w:cs="宋体"/>
                <w:color w:val="auto"/>
                <w:kern w:val="0"/>
                <w:szCs w:val="21"/>
              </w:rPr>
            </w:pPr>
          </w:p>
        </w:tc>
        <w:tc>
          <w:tcPr>
            <w:tcW w:w="1320" w:type="dxa"/>
            <w:tcBorders>
              <w:top w:val="nil"/>
              <w:left w:val="nil"/>
              <w:bottom w:val="single" w:color="000000" w:sz="8" w:space="0"/>
              <w:right w:val="single" w:color="000000" w:sz="8" w:space="0"/>
            </w:tcBorders>
            <w:noWrap w:val="0"/>
            <w:vAlign w:val="center"/>
          </w:tcPr>
          <w:p w14:paraId="43D79FDC">
            <w:pPr>
              <w:widowControl/>
              <w:jc w:val="center"/>
              <w:rPr>
                <w:rFonts w:hint="eastAsia" w:ascii="宋体" w:hAnsi="宋体" w:cs="宋体"/>
                <w:color w:val="auto"/>
                <w:kern w:val="0"/>
                <w:szCs w:val="21"/>
              </w:rPr>
            </w:pPr>
            <w:r>
              <w:rPr>
                <w:rFonts w:hint="eastAsia" w:ascii="宋体" w:hAnsi="宋体" w:cs="宋体"/>
                <w:color w:val="auto"/>
                <w:kern w:val="0"/>
                <w:szCs w:val="21"/>
              </w:rPr>
              <w:t>LED筒灯</w:t>
            </w:r>
          </w:p>
        </w:tc>
        <w:tc>
          <w:tcPr>
            <w:tcW w:w="1620" w:type="dxa"/>
            <w:tcBorders>
              <w:top w:val="nil"/>
              <w:left w:val="nil"/>
              <w:bottom w:val="single" w:color="000000" w:sz="8" w:space="0"/>
              <w:right w:val="single" w:color="000000" w:sz="8" w:space="0"/>
            </w:tcBorders>
            <w:noWrap w:val="0"/>
            <w:vAlign w:val="center"/>
          </w:tcPr>
          <w:p w14:paraId="70F8BC6C">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0B0584D2">
            <w:pPr>
              <w:widowControl/>
              <w:jc w:val="left"/>
              <w:rPr>
                <w:rFonts w:hint="eastAsia" w:ascii="宋体" w:hAnsi="宋体" w:cs="宋体"/>
                <w:color w:val="auto"/>
                <w:kern w:val="0"/>
                <w:szCs w:val="21"/>
              </w:rPr>
            </w:pPr>
            <w:r>
              <w:rPr>
                <w:rFonts w:hint="eastAsia" w:ascii="宋体" w:hAnsi="宋体" w:cs="宋体"/>
                <w:color w:val="auto"/>
                <w:kern w:val="0"/>
                <w:szCs w:val="21"/>
              </w:rPr>
              <w:t>《室内照明用LED产品能效限定值及能效等级》（GB30255）</w:t>
            </w:r>
          </w:p>
        </w:tc>
      </w:tr>
      <w:tr w14:paraId="05382919">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633ADC9">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71416A8">
            <w:pPr>
              <w:widowControl/>
              <w:jc w:val="left"/>
              <w:rPr>
                <w:rFonts w:ascii="宋体" w:hAnsi="宋体" w:cs="宋体"/>
                <w:color w:val="auto"/>
                <w:kern w:val="0"/>
                <w:szCs w:val="21"/>
              </w:rPr>
            </w:pPr>
          </w:p>
        </w:tc>
        <w:tc>
          <w:tcPr>
            <w:tcW w:w="1320" w:type="dxa"/>
            <w:tcBorders>
              <w:top w:val="nil"/>
              <w:left w:val="nil"/>
              <w:bottom w:val="single" w:color="000000" w:sz="8" w:space="0"/>
              <w:right w:val="single" w:color="000000" w:sz="8" w:space="0"/>
            </w:tcBorders>
            <w:noWrap w:val="0"/>
            <w:vAlign w:val="center"/>
          </w:tcPr>
          <w:p w14:paraId="67D6C7D4">
            <w:pPr>
              <w:widowControl/>
              <w:jc w:val="center"/>
              <w:rPr>
                <w:rFonts w:hint="eastAsia" w:ascii="宋体" w:hAnsi="宋体" w:cs="宋体"/>
                <w:color w:val="auto"/>
                <w:kern w:val="0"/>
                <w:szCs w:val="21"/>
              </w:rPr>
            </w:pPr>
            <w:r>
              <w:rPr>
                <w:rFonts w:hint="eastAsia" w:ascii="宋体" w:hAnsi="宋体" w:cs="宋体"/>
                <w:color w:val="auto"/>
                <w:kern w:val="0"/>
                <w:szCs w:val="21"/>
              </w:rPr>
              <w:t>普通照明用非定向自镇流LED灯</w:t>
            </w:r>
          </w:p>
        </w:tc>
        <w:tc>
          <w:tcPr>
            <w:tcW w:w="1620" w:type="dxa"/>
            <w:tcBorders>
              <w:top w:val="nil"/>
              <w:left w:val="nil"/>
              <w:bottom w:val="single" w:color="000000" w:sz="8" w:space="0"/>
              <w:right w:val="single" w:color="000000" w:sz="8" w:space="0"/>
            </w:tcBorders>
            <w:noWrap w:val="0"/>
            <w:vAlign w:val="center"/>
          </w:tcPr>
          <w:p w14:paraId="556E4C2B">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5AE875A5">
            <w:pPr>
              <w:widowControl/>
              <w:jc w:val="left"/>
              <w:rPr>
                <w:rFonts w:hint="eastAsia" w:ascii="宋体" w:hAnsi="宋体" w:cs="宋体"/>
                <w:color w:val="auto"/>
                <w:kern w:val="0"/>
                <w:szCs w:val="21"/>
              </w:rPr>
            </w:pPr>
            <w:r>
              <w:rPr>
                <w:rFonts w:hint="eastAsia" w:ascii="宋体" w:hAnsi="宋体" w:cs="宋体"/>
                <w:color w:val="auto"/>
                <w:kern w:val="0"/>
                <w:szCs w:val="21"/>
              </w:rPr>
              <w:t>《室内照明用LED产品能效限定值及能效等级》（GB30255）</w:t>
            </w:r>
          </w:p>
        </w:tc>
      </w:tr>
      <w:tr w14:paraId="72C53D17">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noWrap w:val="0"/>
            <w:vAlign w:val="center"/>
          </w:tcPr>
          <w:p w14:paraId="5D1940A8">
            <w:pPr>
              <w:widowControl/>
              <w:jc w:val="center"/>
              <w:rPr>
                <w:rFonts w:hint="eastAsia" w:ascii="宋体" w:hAnsi="宋体" w:cs="宋体"/>
                <w:color w:val="auto"/>
                <w:kern w:val="0"/>
                <w:szCs w:val="21"/>
              </w:rPr>
            </w:pPr>
            <w:r>
              <w:rPr>
                <w:rFonts w:hint="eastAsia" w:ascii="宋体" w:hAnsi="宋体" w:cs="宋体"/>
                <w:color w:val="auto"/>
                <w:kern w:val="0"/>
                <w:szCs w:val="21"/>
              </w:rPr>
              <w:t>12</w:t>
            </w:r>
          </w:p>
        </w:tc>
        <w:tc>
          <w:tcPr>
            <w:tcW w:w="1080" w:type="dxa"/>
            <w:tcBorders>
              <w:top w:val="nil"/>
              <w:left w:val="nil"/>
              <w:bottom w:val="single" w:color="000000" w:sz="8" w:space="0"/>
              <w:right w:val="single" w:color="000000" w:sz="8" w:space="0"/>
            </w:tcBorders>
            <w:noWrap w:val="0"/>
            <w:vAlign w:val="center"/>
          </w:tcPr>
          <w:p w14:paraId="2007C9DE">
            <w:pPr>
              <w:widowControl/>
              <w:jc w:val="center"/>
              <w:rPr>
                <w:rFonts w:hint="eastAsia" w:ascii="宋体" w:hAnsi="宋体" w:cs="宋体"/>
                <w:color w:val="auto"/>
                <w:kern w:val="0"/>
                <w:szCs w:val="21"/>
              </w:rPr>
            </w:pPr>
            <w:r>
              <w:rPr>
                <w:rFonts w:hint="eastAsia" w:ascii="宋体" w:hAnsi="宋体" w:cs="宋体"/>
                <w:color w:val="auto"/>
                <w:kern w:val="0"/>
                <w:szCs w:val="21"/>
              </w:rPr>
              <w:t>★A020910电视设备</w:t>
            </w:r>
          </w:p>
        </w:tc>
        <w:tc>
          <w:tcPr>
            <w:tcW w:w="1320" w:type="dxa"/>
            <w:tcBorders>
              <w:top w:val="nil"/>
              <w:left w:val="nil"/>
              <w:bottom w:val="single" w:color="000000" w:sz="8" w:space="0"/>
              <w:right w:val="single" w:color="000000" w:sz="8" w:space="0"/>
            </w:tcBorders>
            <w:noWrap w:val="0"/>
            <w:vAlign w:val="center"/>
          </w:tcPr>
          <w:p w14:paraId="52E661DB">
            <w:pPr>
              <w:widowControl/>
              <w:jc w:val="center"/>
              <w:rPr>
                <w:rFonts w:hint="eastAsia" w:ascii="宋体" w:hAnsi="宋体" w:cs="宋体"/>
                <w:color w:val="auto"/>
                <w:kern w:val="0"/>
                <w:szCs w:val="21"/>
              </w:rPr>
            </w:pPr>
            <w:r>
              <w:rPr>
                <w:rFonts w:hint="eastAsia" w:ascii="宋体" w:hAnsi="宋体" w:cs="宋体"/>
                <w:color w:val="auto"/>
                <w:kern w:val="0"/>
                <w:szCs w:val="21"/>
              </w:rPr>
              <w:t>A02091001普通电视设备（电视机）</w:t>
            </w:r>
          </w:p>
        </w:tc>
        <w:tc>
          <w:tcPr>
            <w:tcW w:w="1620" w:type="dxa"/>
            <w:tcBorders>
              <w:top w:val="nil"/>
              <w:left w:val="nil"/>
              <w:bottom w:val="single" w:color="000000" w:sz="8" w:space="0"/>
              <w:right w:val="single" w:color="000000" w:sz="8" w:space="0"/>
            </w:tcBorders>
            <w:noWrap w:val="0"/>
            <w:vAlign w:val="center"/>
          </w:tcPr>
          <w:p w14:paraId="687A34E5">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3D7EB9F4">
            <w:pPr>
              <w:widowControl/>
              <w:jc w:val="left"/>
              <w:rPr>
                <w:rFonts w:hint="eastAsia" w:ascii="宋体" w:hAnsi="宋体" w:cs="宋体"/>
                <w:color w:val="auto"/>
                <w:kern w:val="0"/>
                <w:szCs w:val="21"/>
              </w:rPr>
            </w:pPr>
            <w:r>
              <w:rPr>
                <w:rFonts w:hint="eastAsia" w:ascii="宋体" w:hAnsi="宋体" w:cs="宋体"/>
                <w:color w:val="auto"/>
                <w:kern w:val="0"/>
                <w:szCs w:val="21"/>
              </w:rPr>
              <w:t>《平板电视能效限定值及能效等级》（GB24850）</w:t>
            </w:r>
          </w:p>
        </w:tc>
      </w:tr>
      <w:tr w14:paraId="1791764D">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noWrap w:val="0"/>
            <w:vAlign w:val="center"/>
          </w:tcPr>
          <w:p w14:paraId="13C7D725">
            <w:pPr>
              <w:widowControl/>
              <w:jc w:val="center"/>
              <w:rPr>
                <w:rFonts w:hint="eastAsia" w:ascii="宋体" w:hAnsi="宋体" w:cs="宋体"/>
                <w:color w:val="auto"/>
                <w:kern w:val="0"/>
                <w:szCs w:val="21"/>
              </w:rPr>
            </w:pPr>
            <w:r>
              <w:rPr>
                <w:rFonts w:hint="eastAsia" w:ascii="宋体" w:hAnsi="宋体" w:cs="宋体"/>
                <w:color w:val="auto"/>
                <w:kern w:val="0"/>
                <w:szCs w:val="21"/>
              </w:rPr>
              <w:t>13</w:t>
            </w:r>
          </w:p>
        </w:tc>
        <w:tc>
          <w:tcPr>
            <w:tcW w:w="1080" w:type="dxa"/>
            <w:tcBorders>
              <w:top w:val="nil"/>
              <w:left w:val="nil"/>
              <w:bottom w:val="single" w:color="000000" w:sz="8" w:space="0"/>
              <w:right w:val="single" w:color="000000" w:sz="8" w:space="0"/>
            </w:tcBorders>
            <w:noWrap w:val="0"/>
            <w:vAlign w:val="center"/>
          </w:tcPr>
          <w:p w14:paraId="45E0EF4F">
            <w:pPr>
              <w:widowControl/>
              <w:jc w:val="center"/>
              <w:rPr>
                <w:rFonts w:hint="eastAsia" w:ascii="宋体" w:hAnsi="宋体" w:cs="宋体"/>
                <w:color w:val="auto"/>
                <w:kern w:val="0"/>
                <w:szCs w:val="21"/>
              </w:rPr>
            </w:pPr>
            <w:r>
              <w:rPr>
                <w:rFonts w:hint="eastAsia" w:ascii="宋体" w:hAnsi="宋体" w:cs="宋体"/>
                <w:color w:val="auto"/>
                <w:kern w:val="0"/>
                <w:szCs w:val="21"/>
              </w:rPr>
              <w:t>★A020911视频设备</w:t>
            </w:r>
          </w:p>
        </w:tc>
        <w:tc>
          <w:tcPr>
            <w:tcW w:w="1320" w:type="dxa"/>
            <w:tcBorders>
              <w:top w:val="nil"/>
              <w:left w:val="nil"/>
              <w:bottom w:val="single" w:color="000000" w:sz="8" w:space="0"/>
              <w:right w:val="single" w:color="000000" w:sz="8" w:space="0"/>
            </w:tcBorders>
            <w:noWrap w:val="0"/>
            <w:vAlign w:val="center"/>
          </w:tcPr>
          <w:p w14:paraId="1A481F4A">
            <w:pPr>
              <w:widowControl/>
              <w:jc w:val="center"/>
              <w:rPr>
                <w:rFonts w:hint="eastAsia" w:ascii="宋体" w:hAnsi="宋体" w:cs="宋体"/>
                <w:color w:val="auto"/>
                <w:kern w:val="0"/>
                <w:szCs w:val="21"/>
              </w:rPr>
            </w:pPr>
            <w:r>
              <w:rPr>
                <w:rFonts w:hint="eastAsia" w:ascii="宋体" w:hAnsi="宋体" w:cs="宋体"/>
                <w:color w:val="auto"/>
                <w:kern w:val="0"/>
                <w:szCs w:val="21"/>
              </w:rPr>
              <w:t>A02091107视频监控设备</w:t>
            </w:r>
          </w:p>
        </w:tc>
        <w:tc>
          <w:tcPr>
            <w:tcW w:w="1620" w:type="dxa"/>
            <w:tcBorders>
              <w:top w:val="nil"/>
              <w:left w:val="nil"/>
              <w:bottom w:val="single" w:color="000000" w:sz="8" w:space="0"/>
              <w:right w:val="single" w:color="000000" w:sz="8" w:space="0"/>
            </w:tcBorders>
            <w:noWrap w:val="0"/>
            <w:vAlign w:val="center"/>
          </w:tcPr>
          <w:p w14:paraId="69AC3E45">
            <w:pPr>
              <w:widowControl/>
              <w:jc w:val="center"/>
              <w:rPr>
                <w:rFonts w:hint="eastAsia" w:ascii="宋体" w:hAnsi="宋体" w:cs="宋体"/>
                <w:color w:val="auto"/>
                <w:kern w:val="0"/>
                <w:szCs w:val="21"/>
              </w:rPr>
            </w:pPr>
            <w:r>
              <w:rPr>
                <w:rFonts w:hint="eastAsia" w:ascii="宋体" w:hAnsi="宋体" w:cs="宋体"/>
                <w:color w:val="auto"/>
                <w:kern w:val="0"/>
                <w:szCs w:val="21"/>
              </w:rPr>
              <w:t>监视器</w:t>
            </w:r>
          </w:p>
        </w:tc>
        <w:tc>
          <w:tcPr>
            <w:tcW w:w="4540" w:type="dxa"/>
            <w:tcBorders>
              <w:top w:val="nil"/>
              <w:left w:val="nil"/>
              <w:bottom w:val="single" w:color="000000" w:sz="8" w:space="0"/>
              <w:right w:val="single" w:color="000000" w:sz="8" w:space="0"/>
            </w:tcBorders>
            <w:noWrap w:val="0"/>
            <w:vAlign w:val="center"/>
          </w:tcPr>
          <w:p w14:paraId="20CD62DE">
            <w:pPr>
              <w:widowControl/>
              <w:jc w:val="left"/>
              <w:rPr>
                <w:rFonts w:hint="eastAsia" w:ascii="宋体" w:hAnsi="宋体" w:cs="宋体"/>
                <w:color w:val="auto"/>
                <w:kern w:val="0"/>
                <w:szCs w:val="21"/>
              </w:rPr>
            </w:pPr>
            <w:r>
              <w:rPr>
                <w:rFonts w:hint="eastAsia" w:ascii="宋体" w:hAnsi="宋体" w:cs="宋体"/>
                <w:color w:val="auto"/>
                <w:kern w:val="0"/>
                <w:szCs w:val="21"/>
              </w:rPr>
              <w:t>以射频信号为主要信号输入的监视器应符合《平板电视能效限定值及能效等级》（GB24850），以数字信号为主要信号输入的监视器应符合《计算机显示器能效限定值及能效等级》（GB21520）</w:t>
            </w:r>
          </w:p>
        </w:tc>
      </w:tr>
      <w:tr w14:paraId="354371F1">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47561D4D">
            <w:pPr>
              <w:widowControl/>
              <w:jc w:val="center"/>
              <w:rPr>
                <w:rFonts w:hint="eastAsia" w:ascii="宋体" w:hAnsi="宋体" w:cs="宋体"/>
                <w:color w:val="auto"/>
                <w:kern w:val="0"/>
                <w:szCs w:val="21"/>
              </w:rPr>
            </w:pPr>
            <w:r>
              <w:rPr>
                <w:rFonts w:hint="eastAsia" w:ascii="宋体" w:hAnsi="宋体" w:cs="宋体"/>
                <w:color w:val="auto"/>
                <w:kern w:val="0"/>
                <w:szCs w:val="21"/>
              </w:rPr>
              <w:t>14</w:t>
            </w:r>
          </w:p>
        </w:tc>
        <w:tc>
          <w:tcPr>
            <w:tcW w:w="1080" w:type="dxa"/>
            <w:tcBorders>
              <w:top w:val="nil"/>
              <w:left w:val="nil"/>
              <w:bottom w:val="single" w:color="000000" w:sz="8" w:space="0"/>
              <w:right w:val="single" w:color="000000" w:sz="8" w:space="0"/>
            </w:tcBorders>
            <w:noWrap w:val="0"/>
            <w:vAlign w:val="center"/>
          </w:tcPr>
          <w:p w14:paraId="1001DE3A">
            <w:pPr>
              <w:widowControl/>
              <w:jc w:val="center"/>
              <w:rPr>
                <w:rFonts w:hint="eastAsia" w:ascii="宋体" w:hAnsi="宋体" w:cs="宋体"/>
                <w:color w:val="auto"/>
                <w:kern w:val="0"/>
                <w:szCs w:val="21"/>
              </w:rPr>
            </w:pPr>
            <w:r>
              <w:rPr>
                <w:rFonts w:hint="eastAsia" w:ascii="宋体" w:hAnsi="宋体" w:cs="宋体"/>
                <w:color w:val="auto"/>
                <w:kern w:val="0"/>
                <w:szCs w:val="21"/>
              </w:rPr>
              <w:t>A031210饮食炊事机械</w:t>
            </w:r>
          </w:p>
        </w:tc>
        <w:tc>
          <w:tcPr>
            <w:tcW w:w="1320" w:type="dxa"/>
            <w:tcBorders>
              <w:top w:val="nil"/>
              <w:left w:val="nil"/>
              <w:bottom w:val="single" w:color="000000" w:sz="8" w:space="0"/>
              <w:right w:val="single" w:color="000000" w:sz="8" w:space="0"/>
            </w:tcBorders>
            <w:noWrap w:val="0"/>
            <w:vAlign w:val="center"/>
          </w:tcPr>
          <w:p w14:paraId="586AF29F">
            <w:pPr>
              <w:widowControl/>
              <w:jc w:val="center"/>
              <w:rPr>
                <w:rFonts w:hint="eastAsia" w:ascii="宋体" w:hAnsi="宋体" w:cs="宋体"/>
                <w:color w:val="auto"/>
                <w:kern w:val="0"/>
                <w:szCs w:val="21"/>
              </w:rPr>
            </w:pPr>
            <w:r>
              <w:rPr>
                <w:rFonts w:hint="eastAsia" w:ascii="宋体" w:hAnsi="宋体" w:cs="宋体"/>
                <w:color w:val="auto"/>
                <w:kern w:val="0"/>
                <w:szCs w:val="21"/>
              </w:rPr>
              <w:t>商用燃气灶具</w:t>
            </w:r>
          </w:p>
        </w:tc>
        <w:tc>
          <w:tcPr>
            <w:tcW w:w="1620" w:type="dxa"/>
            <w:tcBorders>
              <w:top w:val="nil"/>
              <w:left w:val="nil"/>
              <w:bottom w:val="single" w:color="000000" w:sz="8" w:space="0"/>
              <w:right w:val="single" w:color="000000" w:sz="8" w:space="0"/>
            </w:tcBorders>
            <w:noWrap w:val="0"/>
            <w:vAlign w:val="center"/>
          </w:tcPr>
          <w:p w14:paraId="1F076092">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54EE47E3">
            <w:pPr>
              <w:widowControl/>
              <w:jc w:val="left"/>
              <w:rPr>
                <w:rFonts w:hint="eastAsia" w:ascii="宋体" w:hAnsi="宋体" w:cs="宋体"/>
                <w:color w:val="auto"/>
                <w:kern w:val="0"/>
                <w:szCs w:val="21"/>
              </w:rPr>
            </w:pPr>
            <w:r>
              <w:rPr>
                <w:rFonts w:hint="eastAsia" w:ascii="宋体" w:hAnsi="宋体" w:cs="宋体"/>
                <w:color w:val="auto"/>
                <w:kern w:val="0"/>
                <w:szCs w:val="21"/>
              </w:rPr>
              <w:t>《商用燃气灶具能效限定值及能效等级》（GB30531）</w:t>
            </w:r>
          </w:p>
        </w:tc>
      </w:tr>
      <w:tr w14:paraId="5C40EEB4">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348D059A">
            <w:pPr>
              <w:widowControl/>
              <w:jc w:val="center"/>
              <w:rPr>
                <w:rFonts w:hint="eastAsia" w:ascii="宋体" w:hAnsi="宋体" w:cs="宋体"/>
                <w:color w:val="auto"/>
                <w:kern w:val="0"/>
                <w:szCs w:val="21"/>
              </w:rPr>
            </w:pPr>
            <w:r>
              <w:rPr>
                <w:rFonts w:hint="eastAsia" w:ascii="宋体" w:hAnsi="宋体" w:cs="宋体"/>
                <w:color w:val="auto"/>
                <w:kern w:val="0"/>
                <w:szCs w:val="21"/>
              </w:rPr>
              <w:t>15</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0A8C4076">
            <w:pPr>
              <w:widowControl/>
              <w:jc w:val="center"/>
              <w:rPr>
                <w:rFonts w:hint="eastAsia" w:ascii="宋体" w:hAnsi="宋体" w:cs="宋体"/>
                <w:color w:val="auto"/>
                <w:kern w:val="0"/>
                <w:szCs w:val="21"/>
              </w:rPr>
            </w:pPr>
            <w:r>
              <w:rPr>
                <w:rFonts w:hint="eastAsia" w:ascii="宋体" w:hAnsi="宋体" w:cs="宋体"/>
                <w:color w:val="auto"/>
                <w:kern w:val="0"/>
                <w:szCs w:val="21"/>
              </w:rPr>
              <w:t>★A060805便器</w:t>
            </w:r>
          </w:p>
        </w:tc>
        <w:tc>
          <w:tcPr>
            <w:tcW w:w="1320" w:type="dxa"/>
            <w:tcBorders>
              <w:top w:val="nil"/>
              <w:left w:val="nil"/>
              <w:bottom w:val="single" w:color="000000" w:sz="8" w:space="0"/>
              <w:right w:val="single" w:color="000000" w:sz="8" w:space="0"/>
            </w:tcBorders>
            <w:noWrap w:val="0"/>
            <w:vAlign w:val="center"/>
          </w:tcPr>
          <w:p w14:paraId="3387D1BB">
            <w:pPr>
              <w:widowControl/>
              <w:jc w:val="center"/>
              <w:rPr>
                <w:rFonts w:hint="eastAsia" w:ascii="宋体" w:hAnsi="宋体" w:cs="宋体"/>
                <w:color w:val="auto"/>
                <w:kern w:val="0"/>
                <w:szCs w:val="21"/>
              </w:rPr>
            </w:pPr>
            <w:r>
              <w:rPr>
                <w:rFonts w:hint="eastAsia" w:ascii="宋体" w:hAnsi="宋体" w:cs="宋体"/>
                <w:color w:val="auto"/>
                <w:kern w:val="0"/>
                <w:szCs w:val="21"/>
              </w:rPr>
              <w:t>坐便器</w:t>
            </w:r>
          </w:p>
        </w:tc>
        <w:tc>
          <w:tcPr>
            <w:tcW w:w="1620" w:type="dxa"/>
            <w:tcBorders>
              <w:top w:val="nil"/>
              <w:left w:val="nil"/>
              <w:bottom w:val="single" w:color="000000" w:sz="8" w:space="0"/>
              <w:right w:val="single" w:color="000000" w:sz="8" w:space="0"/>
            </w:tcBorders>
            <w:noWrap w:val="0"/>
            <w:vAlign w:val="center"/>
          </w:tcPr>
          <w:p w14:paraId="44E7F7A9">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1C529DB0">
            <w:pPr>
              <w:widowControl/>
              <w:jc w:val="left"/>
              <w:rPr>
                <w:rFonts w:hint="eastAsia" w:ascii="宋体" w:hAnsi="宋体" w:cs="宋体"/>
                <w:color w:val="auto"/>
                <w:kern w:val="0"/>
                <w:szCs w:val="21"/>
              </w:rPr>
            </w:pPr>
            <w:r>
              <w:rPr>
                <w:rFonts w:hint="eastAsia" w:ascii="宋体" w:hAnsi="宋体" w:cs="宋体"/>
                <w:color w:val="auto"/>
                <w:kern w:val="0"/>
                <w:szCs w:val="21"/>
              </w:rPr>
              <w:t>《坐便器水效限定值及水效等级》（GB25502）</w:t>
            </w:r>
          </w:p>
        </w:tc>
      </w:tr>
      <w:tr w14:paraId="49627899">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A2C7802">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EDFCF00">
            <w:pPr>
              <w:widowControl/>
              <w:jc w:val="left"/>
              <w:rPr>
                <w:rFonts w:ascii="宋体" w:hAnsi="宋体" w:cs="宋体"/>
                <w:color w:val="auto"/>
                <w:kern w:val="0"/>
                <w:szCs w:val="21"/>
              </w:rPr>
            </w:pPr>
          </w:p>
        </w:tc>
        <w:tc>
          <w:tcPr>
            <w:tcW w:w="1320" w:type="dxa"/>
            <w:tcBorders>
              <w:top w:val="nil"/>
              <w:left w:val="nil"/>
              <w:bottom w:val="single" w:color="000000" w:sz="8" w:space="0"/>
              <w:right w:val="single" w:color="000000" w:sz="8" w:space="0"/>
            </w:tcBorders>
            <w:noWrap w:val="0"/>
            <w:vAlign w:val="center"/>
          </w:tcPr>
          <w:p w14:paraId="4EB9B04E">
            <w:pPr>
              <w:widowControl/>
              <w:jc w:val="center"/>
              <w:rPr>
                <w:rFonts w:hint="eastAsia" w:ascii="宋体" w:hAnsi="宋体" w:cs="宋体"/>
                <w:color w:val="auto"/>
                <w:kern w:val="0"/>
                <w:szCs w:val="21"/>
              </w:rPr>
            </w:pPr>
            <w:r>
              <w:rPr>
                <w:rFonts w:hint="eastAsia" w:ascii="宋体" w:hAnsi="宋体" w:cs="宋体"/>
                <w:color w:val="auto"/>
                <w:kern w:val="0"/>
                <w:szCs w:val="21"/>
              </w:rPr>
              <w:t>蹲便器</w:t>
            </w:r>
          </w:p>
        </w:tc>
        <w:tc>
          <w:tcPr>
            <w:tcW w:w="1620" w:type="dxa"/>
            <w:tcBorders>
              <w:top w:val="nil"/>
              <w:left w:val="nil"/>
              <w:bottom w:val="single" w:color="000000" w:sz="8" w:space="0"/>
              <w:right w:val="single" w:color="000000" w:sz="8" w:space="0"/>
            </w:tcBorders>
            <w:noWrap w:val="0"/>
            <w:vAlign w:val="center"/>
          </w:tcPr>
          <w:p w14:paraId="4FBAC11C">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61D5EB8A">
            <w:pPr>
              <w:widowControl/>
              <w:jc w:val="left"/>
              <w:rPr>
                <w:rFonts w:hint="eastAsia" w:ascii="宋体" w:hAnsi="宋体" w:cs="宋体"/>
                <w:color w:val="auto"/>
                <w:kern w:val="0"/>
                <w:szCs w:val="21"/>
              </w:rPr>
            </w:pPr>
            <w:r>
              <w:rPr>
                <w:rFonts w:hint="eastAsia" w:ascii="宋体" w:hAnsi="宋体" w:cs="宋体"/>
                <w:color w:val="auto"/>
                <w:kern w:val="0"/>
                <w:szCs w:val="21"/>
              </w:rPr>
              <w:t>《蹲便器用水效率限定值及用水效率等级》（GB30717）</w:t>
            </w:r>
          </w:p>
        </w:tc>
      </w:tr>
      <w:tr w14:paraId="6564E759">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77A3C58">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AC27C5B">
            <w:pPr>
              <w:widowControl/>
              <w:jc w:val="left"/>
              <w:rPr>
                <w:rFonts w:ascii="宋体" w:hAnsi="宋体" w:cs="宋体"/>
                <w:color w:val="auto"/>
                <w:kern w:val="0"/>
                <w:szCs w:val="21"/>
              </w:rPr>
            </w:pPr>
          </w:p>
        </w:tc>
        <w:tc>
          <w:tcPr>
            <w:tcW w:w="1320" w:type="dxa"/>
            <w:tcBorders>
              <w:top w:val="nil"/>
              <w:left w:val="nil"/>
              <w:bottom w:val="single" w:color="000000" w:sz="8" w:space="0"/>
              <w:right w:val="single" w:color="000000" w:sz="8" w:space="0"/>
            </w:tcBorders>
            <w:noWrap w:val="0"/>
            <w:vAlign w:val="center"/>
          </w:tcPr>
          <w:p w14:paraId="7A6051E0">
            <w:pPr>
              <w:widowControl/>
              <w:jc w:val="center"/>
              <w:rPr>
                <w:rFonts w:hint="eastAsia" w:ascii="宋体" w:hAnsi="宋体" w:cs="宋体"/>
                <w:color w:val="auto"/>
                <w:kern w:val="0"/>
                <w:szCs w:val="21"/>
              </w:rPr>
            </w:pPr>
            <w:r>
              <w:rPr>
                <w:rFonts w:hint="eastAsia" w:ascii="宋体" w:hAnsi="宋体" w:cs="宋体"/>
                <w:color w:val="auto"/>
                <w:kern w:val="0"/>
                <w:szCs w:val="21"/>
              </w:rPr>
              <w:t>小便器</w:t>
            </w:r>
          </w:p>
        </w:tc>
        <w:tc>
          <w:tcPr>
            <w:tcW w:w="1620" w:type="dxa"/>
            <w:tcBorders>
              <w:top w:val="nil"/>
              <w:left w:val="nil"/>
              <w:bottom w:val="single" w:color="000000" w:sz="8" w:space="0"/>
              <w:right w:val="single" w:color="000000" w:sz="8" w:space="0"/>
            </w:tcBorders>
            <w:noWrap w:val="0"/>
            <w:vAlign w:val="center"/>
          </w:tcPr>
          <w:p w14:paraId="4C5EA7D0">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3D93D2D4">
            <w:pPr>
              <w:widowControl/>
              <w:jc w:val="left"/>
              <w:rPr>
                <w:rFonts w:hint="eastAsia" w:ascii="宋体" w:hAnsi="宋体" w:cs="宋体"/>
                <w:color w:val="auto"/>
                <w:kern w:val="0"/>
                <w:szCs w:val="21"/>
              </w:rPr>
            </w:pPr>
            <w:r>
              <w:rPr>
                <w:rFonts w:hint="eastAsia" w:ascii="宋体" w:hAnsi="宋体" w:cs="宋体"/>
                <w:color w:val="auto"/>
                <w:kern w:val="0"/>
                <w:szCs w:val="21"/>
              </w:rPr>
              <w:t>《小便器用水效率限定值及用水效率等级》（GB28377）</w:t>
            </w:r>
          </w:p>
        </w:tc>
      </w:tr>
      <w:tr w14:paraId="78DDF391">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6F14696E">
            <w:pPr>
              <w:widowControl/>
              <w:jc w:val="center"/>
              <w:rPr>
                <w:rFonts w:hint="eastAsia" w:ascii="宋体" w:hAnsi="宋体" w:cs="宋体"/>
                <w:color w:val="auto"/>
                <w:kern w:val="0"/>
                <w:szCs w:val="21"/>
              </w:rPr>
            </w:pPr>
            <w:r>
              <w:rPr>
                <w:rFonts w:hint="eastAsia" w:ascii="宋体" w:hAnsi="宋体" w:cs="宋体"/>
                <w:color w:val="auto"/>
                <w:kern w:val="0"/>
                <w:szCs w:val="21"/>
              </w:rPr>
              <w:t>16</w:t>
            </w:r>
          </w:p>
        </w:tc>
        <w:tc>
          <w:tcPr>
            <w:tcW w:w="1080" w:type="dxa"/>
            <w:tcBorders>
              <w:top w:val="nil"/>
              <w:left w:val="nil"/>
              <w:bottom w:val="single" w:color="000000" w:sz="8" w:space="0"/>
              <w:right w:val="single" w:color="000000" w:sz="8" w:space="0"/>
            </w:tcBorders>
            <w:noWrap w:val="0"/>
            <w:vAlign w:val="center"/>
          </w:tcPr>
          <w:p w14:paraId="6DF8CB7F">
            <w:pPr>
              <w:widowControl/>
              <w:jc w:val="center"/>
              <w:rPr>
                <w:rFonts w:hint="eastAsia" w:ascii="宋体" w:hAnsi="宋体" w:cs="宋体"/>
                <w:color w:val="auto"/>
                <w:kern w:val="0"/>
                <w:szCs w:val="21"/>
              </w:rPr>
            </w:pPr>
            <w:r>
              <w:rPr>
                <w:rFonts w:hint="eastAsia" w:ascii="宋体" w:hAnsi="宋体" w:cs="宋体"/>
                <w:color w:val="auto"/>
                <w:kern w:val="0"/>
                <w:szCs w:val="21"/>
              </w:rPr>
              <w:t>★A060806水嘴</w:t>
            </w:r>
          </w:p>
        </w:tc>
        <w:tc>
          <w:tcPr>
            <w:tcW w:w="1320" w:type="dxa"/>
            <w:tcBorders>
              <w:top w:val="nil"/>
              <w:left w:val="nil"/>
              <w:bottom w:val="single" w:color="000000" w:sz="8" w:space="0"/>
              <w:right w:val="single" w:color="000000" w:sz="8" w:space="0"/>
            </w:tcBorders>
            <w:noWrap w:val="0"/>
            <w:vAlign w:val="center"/>
          </w:tcPr>
          <w:p w14:paraId="63183BC0">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1620" w:type="dxa"/>
            <w:tcBorders>
              <w:top w:val="nil"/>
              <w:left w:val="nil"/>
              <w:bottom w:val="single" w:color="000000" w:sz="8" w:space="0"/>
              <w:right w:val="single" w:color="000000" w:sz="8" w:space="0"/>
            </w:tcBorders>
            <w:noWrap w:val="0"/>
            <w:vAlign w:val="center"/>
          </w:tcPr>
          <w:p w14:paraId="7928929D">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6F1B0B93">
            <w:pPr>
              <w:widowControl/>
              <w:jc w:val="left"/>
              <w:rPr>
                <w:rFonts w:hint="eastAsia" w:ascii="宋体" w:hAnsi="宋体" w:cs="宋体"/>
                <w:color w:val="auto"/>
                <w:kern w:val="0"/>
                <w:szCs w:val="21"/>
              </w:rPr>
            </w:pPr>
            <w:r>
              <w:rPr>
                <w:rFonts w:hint="eastAsia" w:ascii="宋体" w:hAnsi="宋体" w:cs="宋体"/>
                <w:color w:val="auto"/>
                <w:kern w:val="0"/>
                <w:szCs w:val="21"/>
              </w:rPr>
              <w:t>《水嘴用水效率限定值及用水效率等级》（GB 25501）</w:t>
            </w:r>
          </w:p>
        </w:tc>
      </w:tr>
      <w:tr w14:paraId="7BB45AE9">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041E66BD">
            <w:pPr>
              <w:widowControl/>
              <w:jc w:val="center"/>
              <w:rPr>
                <w:rFonts w:hint="eastAsia" w:ascii="宋体" w:hAnsi="宋体" w:cs="宋体"/>
                <w:color w:val="auto"/>
                <w:kern w:val="0"/>
                <w:szCs w:val="21"/>
              </w:rPr>
            </w:pPr>
            <w:r>
              <w:rPr>
                <w:rFonts w:hint="eastAsia" w:ascii="宋体" w:hAnsi="宋体" w:cs="宋体"/>
                <w:color w:val="auto"/>
                <w:kern w:val="0"/>
                <w:szCs w:val="21"/>
              </w:rPr>
              <w:t>17</w:t>
            </w:r>
          </w:p>
        </w:tc>
        <w:tc>
          <w:tcPr>
            <w:tcW w:w="1080" w:type="dxa"/>
            <w:tcBorders>
              <w:top w:val="nil"/>
              <w:left w:val="nil"/>
              <w:bottom w:val="single" w:color="000000" w:sz="8" w:space="0"/>
              <w:right w:val="single" w:color="000000" w:sz="8" w:space="0"/>
            </w:tcBorders>
            <w:noWrap w:val="0"/>
            <w:vAlign w:val="center"/>
          </w:tcPr>
          <w:p w14:paraId="3485C384">
            <w:pPr>
              <w:widowControl/>
              <w:jc w:val="center"/>
              <w:rPr>
                <w:rFonts w:hint="eastAsia" w:ascii="宋体" w:hAnsi="宋体" w:cs="宋体"/>
                <w:color w:val="auto"/>
                <w:kern w:val="0"/>
                <w:szCs w:val="21"/>
              </w:rPr>
            </w:pPr>
            <w:r>
              <w:rPr>
                <w:rFonts w:hint="eastAsia" w:ascii="宋体" w:hAnsi="宋体" w:cs="宋体"/>
                <w:color w:val="auto"/>
                <w:kern w:val="0"/>
                <w:szCs w:val="21"/>
              </w:rPr>
              <w:t>A060807便器冲洗阀</w:t>
            </w:r>
          </w:p>
        </w:tc>
        <w:tc>
          <w:tcPr>
            <w:tcW w:w="1320" w:type="dxa"/>
            <w:tcBorders>
              <w:top w:val="nil"/>
              <w:left w:val="nil"/>
              <w:bottom w:val="single" w:color="000000" w:sz="8" w:space="0"/>
              <w:right w:val="single" w:color="000000" w:sz="8" w:space="0"/>
            </w:tcBorders>
            <w:noWrap w:val="0"/>
            <w:vAlign w:val="center"/>
          </w:tcPr>
          <w:p w14:paraId="4B3FD69B">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1620" w:type="dxa"/>
            <w:tcBorders>
              <w:top w:val="nil"/>
              <w:left w:val="nil"/>
              <w:bottom w:val="single" w:color="000000" w:sz="8" w:space="0"/>
              <w:right w:val="single" w:color="000000" w:sz="8" w:space="0"/>
            </w:tcBorders>
            <w:noWrap w:val="0"/>
            <w:vAlign w:val="center"/>
          </w:tcPr>
          <w:p w14:paraId="147A86F0">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5CEDD6FB">
            <w:pPr>
              <w:widowControl/>
              <w:jc w:val="left"/>
              <w:rPr>
                <w:rFonts w:hint="eastAsia" w:ascii="宋体" w:hAnsi="宋体" w:cs="宋体"/>
                <w:color w:val="auto"/>
                <w:kern w:val="0"/>
                <w:szCs w:val="21"/>
              </w:rPr>
            </w:pPr>
            <w:r>
              <w:rPr>
                <w:rFonts w:hint="eastAsia" w:ascii="宋体" w:hAnsi="宋体" w:cs="宋体"/>
                <w:color w:val="auto"/>
                <w:kern w:val="0"/>
                <w:szCs w:val="21"/>
              </w:rPr>
              <w:t>《便器冲洗阀用水效率限定值及用水效率等级》（GB28379）</w:t>
            </w:r>
          </w:p>
        </w:tc>
      </w:tr>
      <w:tr w14:paraId="115E0DC6">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4CEC6631">
            <w:pPr>
              <w:widowControl/>
              <w:jc w:val="center"/>
              <w:rPr>
                <w:rFonts w:hint="eastAsia" w:ascii="宋体" w:hAnsi="宋体" w:cs="宋体"/>
                <w:color w:val="auto"/>
                <w:kern w:val="0"/>
                <w:szCs w:val="21"/>
              </w:rPr>
            </w:pPr>
            <w:r>
              <w:rPr>
                <w:rFonts w:hint="eastAsia" w:ascii="宋体" w:hAnsi="宋体" w:cs="宋体"/>
                <w:color w:val="auto"/>
                <w:kern w:val="0"/>
                <w:szCs w:val="21"/>
              </w:rPr>
              <w:t>18</w:t>
            </w:r>
          </w:p>
        </w:tc>
        <w:tc>
          <w:tcPr>
            <w:tcW w:w="1080" w:type="dxa"/>
            <w:tcBorders>
              <w:top w:val="nil"/>
              <w:left w:val="nil"/>
              <w:bottom w:val="single" w:color="000000" w:sz="8" w:space="0"/>
              <w:right w:val="single" w:color="000000" w:sz="8" w:space="0"/>
            </w:tcBorders>
            <w:noWrap w:val="0"/>
            <w:vAlign w:val="center"/>
          </w:tcPr>
          <w:p w14:paraId="0A56AB10">
            <w:pPr>
              <w:widowControl/>
              <w:jc w:val="center"/>
              <w:rPr>
                <w:rFonts w:hint="eastAsia" w:ascii="宋体" w:hAnsi="宋体" w:cs="宋体"/>
                <w:color w:val="auto"/>
                <w:kern w:val="0"/>
                <w:szCs w:val="21"/>
              </w:rPr>
            </w:pPr>
            <w:r>
              <w:rPr>
                <w:rFonts w:hint="eastAsia" w:ascii="宋体" w:hAnsi="宋体" w:cs="宋体"/>
                <w:color w:val="auto"/>
                <w:kern w:val="0"/>
                <w:szCs w:val="21"/>
              </w:rPr>
              <w:t>A060810淋浴器</w:t>
            </w:r>
          </w:p>
        </w:tc>
        <w:tc>
          <w:tcPr>
            <w:tcW w:w="1320" w:type="dxa"/>
            <w:tcBorders>
              <w:top w:val="nil"/>
              <w:left w:val="nil"/>
              <w:bottom w:val="single" w:color="000000" w:sz="8" w:space="0"/>
              <w:right w:val="single" w:color="000000" w:sz="8" w:space="0"/>
            </w:tcBorders>
            <w:noWrap w:val="0"/>
            <w:vAlign w:val="center"/>
          </w:tcPr>
          <w:p w14:paraId="2FA8B86C">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1620" w:type="dxa"/>
            <w:tcBorders>
              <w:top w:val="nil"/>
              <w:left w:val="nil"/>
              <w:bottom w:val="single" w:color="000000" w:sz="8" w:space="0"/>
              <w:right w:val="single" w:color="000000" w:sz="8" w:space="0"/>
            </w:tcBorders>
            <w:noWrap w:val="0"/>
            <w:vAlign w:val="center"/>
          </w:tcPr>
          <w:p w14:paraId="618F1687">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0F79C20E">
            <w:pPr>
              <w:widowControl/>
              <w:jc w:val="left"/>
              <w:rPr>
                <w:rFonts w:hint="eastAsia" w:ascii="宋体" w:hAnsi="宋体" w:cs="宋体"/>
                <w:color w:val="auto"/>
                <w:kern w:val="0"/>
                <w:szCs w:val="21"/>
              </w:rPr>
            </w:pPr>
            <w:r>
              <w:rPr>
                <w:rFonts w:hint="eastAsia" w:ascii="宋体" w:hAnsi="宋体" w:cs="宋体"/>
                <w:color w:val="auto"/>
                <w:kern w:val="0"/>
                <w:szCs w:val="21"/>
              </w:rPr>
              <w:t>《淋浴器用水效率限定值及用水效率等级》（GB28378）</w:t>
            </w:r>
          </w:p>
        </w:tc>
      </w:tr>
    </w:tbl>
    <w:p w14:paraId="552BC5E4">
      <w:pPr>
        <w:pStyle w:val="19"/>
        <w:spacing w:line="360" w:lineRule="auto"/>
        <w:rPr>
          <w:rFonts w:hint="eastAsia"/>
          <w:color w:val="auto"/>
          <w:spacing w:val="-3"/>
          <w:sz w:val="21"/>
          <w:szCs w:val="21"/>
        </w:rPr>
      </w:pPr>
    </w:p>
    <w:p w14:paraId="471740F6">
      <w:pPr>
        <w:pStyle w:val="19"/>
        <w:spacing w:line="360" w:lineRule="auto"/>
        <w:rPr>
          <w:rFonts w:ascii="宋体" w:hAnsi="宋体"/>
          <w:color w:val="auto"/>
          <w:sz w:val="21"/>
          <w:szCs w:val="21"/>
        </w:rPr>
      </w:pPr>
      <w:r>
        <w:rPr>
          <w:rFonts w:hint="eastAsia"/>
          <w:color w:val="auto"/>
          <w:spacing w:val="-3"/>
          <w:sz w:val="21"/>
          <w:szCs w:val="21"/>
        </w:rPr>
        <w:t>注：</w:t>
      </w:r>
      <w:r>
        <w:rPr>
          <w:color w:val="auto"/>
          <w:spacing w:val="-3"/>
          <w:sz w:val="21"/>
          <w:szCs w:val="21"/>
        </w:rPr>
        <w:t>1.</w:t>
      </w:r>
      <w:r>
        <w:rPr>
          <w:rFonts w:hint="eastAsia"/>
          <w:color w:val="auto"/>
          <w:spacing w:val="-3"/>
          <w:sz w:val="21"/>
          <w:szCs w:val="21"/>
        </w:rPr>
        <w:t>节能产品认证应依据相关国家标准的最新版本，依据国家标准中二级能效（水效）</w:t>
      </w:r>
      <w:r>
        <w:rPr>
          <w:rFonts w:hint="eastAsia"/>
          <w:color w:val="auto"/>
          <w:sz w:val="21"/>
          <w:szCs w:val="21"/>
        </w:rPr>
        <w:t>指标。</w:t>
      </w:r>
    </w:p>
    <w:p w14:paraId="10DABCD0">
      <w:pPr>
        <w:jc w:val="left"/>
        <w:rPr>
          <w:b/>
          <w:bCs/>
          <w:color w:val="auto"/>
          <w:szCs w:val="21"/>
        </w:rPr>
      </w:pPr>
      <w:r>
        <w:rPr>
          <w:rFonts w:hint="eastAsia" w:ascii="宋体" w:hAnsi="宋体"/>
          <w:color w:val="auto"/>
          <w:szCs w:val="21"/>
        </w:rPr>
        <w:t xml:space="preserve">    </w:t>
      </w:r>
      <w:r>
        <w:rPr>
          <w:color w:val="auto"/>
          <w:szCs w:val="21"/>
        </w:rPr>
        <w:t>2</w:t>
      </w:r>
      <w:r>
        <w:rPr>
          <w:b/>
          <w:bCs/>
          <w:color w:val="auto"/>
          <w:szCs w:val="21"/>
        </w:rPr>
        <w:t>.</w:t>
      </w:r>
      <w:r>
        <w:rPr>
          <w:rFonts w:hint="eastAsia"/>
          <w:b/>
          <w:bCs/>
          <w:color w:val="auto"/>
          <w:szCs w:val="21"/>
        </w:rPr>
        <w:t>以</w:t>
      </w:r>
      <w:r>
        <w:rPr>
          <w:b/>
          <w:bCs/>
          <w:color w:val="auto"/>
          <w:szCs w:val="21"/>
        </w:rPr>
        <w:t>“</w:t>
      </w:r>
      <w:r>
        <w:rPr>
          <w:rFonts w:hint="eastAsia"/>
          <w:b/>
          <w:bCs/>
          <w:color w:val="auto"/>
          <w:szCs w:val="21"/>
        </w:rPr>
        <w:t>★</w:t>
      </w:r>
      <w:r>
        <w:rPr>
          <w:b/>
          <w:bCs/>
          <w:color w:val="auto"/>
          <w:szCs w:val="21"/>
        </w:rPr>
        <w:t>”</w:t>
      </w:r>
      <w:r>
        <w:rPr>
          <w:rFonts w:hint="eastAsia"/>
          <w:b/>
          <w:bCs/>
          <w:color w:val="auto"/>
          <w:szCs w:val="21"/>
        </w:rPr>
        <w:t>标注的为政府强制采购产品。</w:t>
      </w:r>
    </w:p>
    <w:p w14:paraId="20A20136">
      <w:pPr>
        <w:pStyle w:val="28"/>
        <w:snapToGrid w:val="0"/>
        <w:spacing w:before="120" w:after="120"/>
        <w:rPr>
          <w:rFonts w:hint="eastAsia" w:hAnsi="宋体" w:cs="宋体"/>
          <w:color w:val="auto"/>
        </w:rPr>
      </w:pPr>
      <w:r>
        <w:rPr>
          <w:rFonts w:hint="eastAsia" w:hAnsi="宋体" w:cs="宋体"/>
          <w:color w:val="auto"/>
        </w:rPr>
        <w:br w:type="page"/>
      </w:r>
    </w:p>
    <w:p w14:paraId="0F34E23B">
      <w:pPr>
        <w:pStyle w:val="28"/>
        <w:snapToGrid w:val="0"/>
        <w:spacing w:before="120" w:after="120"/>
        <w:rPr>
          <w:rFonts w:hint="eastAsia" w:hAnsi="宋体" w:cs="宋体"/>
          <w:color w:val="auto"/>
        </w:rPr>
      </w:pPr>
    </w:p>
    <w:p w14:paraId="19DA18FC">
      <w:pPr>
        <w:pStyle w:val="28"/>
        <w:snapToGrid w:val="0"/>
        <w:spacing w:before="120" w:after="120"/>
        <w:rPr>
          <w:rFonts w:hint="eastAsia" w:hAnsi="宋体" w:cs="宋体"/>
          <w:color w:val="auto"/>
        </w:rPr>
      </w:pPr>
    </w:p>
    <w:p w14:paraId="64F7ABB7">
      <w:pPr>
        <w:pStyle w:val="28"/>
        <w:snapToGrid w:val="0"/>
        <w:spacing w:before="120" w:after="120"/>
        <w:rPr>
          <w:rFonts w:hint="eastAsia" w:hAnsi="宋体" w:cs="宋体"/>
          <w:color w:val="auto"/>
        </w:rPr>
      </w:pPr>
    </w:p>
    <w:p w14:paraId="4DF95841">
      <w:pPr>
        <w:pStyle w:val="28"/>
        <w:snapToGrid w:val="0"/>
        <w:spacing w:before="120" w:after="120"/>
        <w:rPr>
          <w:rFonts w:hint="eastAsia" w:hAnsi="宋体" w:cs="宋体"/>
          <w:color w:val="auto"/>
        </w:rPr>
      </w:pPr>
    </w:p>
    <w:p w14:paraId="7B50C8DA">
      <w:pPr>
        <w:pStyle w:val="28"/>
        <w:snapToGrid w:val="0"/>
        <w:spacing w:before="120" w:after="120"/>
        <w:rPr>
          <w:rFonts w:hint="eastAsia" w:hAnsi="宋体" w:cs="宋体"/>
          <w:color w:val="auto"/>
        </w:rPr>
      </w:pPr>
    </w:p>
    <w:p w14:paraId="51C01F94">
      <w:pPr>
        <w:pStyle w:val="28"/>
        <w:snapToGrid w:val="0"/>
        <w:spacing w:before="120" w:after="120"/>
        <w:rPr>
          <w:rFonts w:hint="eastAsia" w:hAnsi="宋体" w:cs="宋体"/>
          <w:color w:val="auto"/>
        </w:rPr>
      </w:pPr>
    </w:p>
    <w:p w14:paraId="3FD86380">
      <w:pPr>
        <w:pStyle w:val="28"/>
        <w:snapToGrid w:val="0"/>
        <w:spacing w:before="120" w:after="120"/>
        <w:rPr>
          <w:rFonts w:hint="eastAsia" w:hAnsi="宋体" w:cs="宋体"/>
          <w:color w:val="auto"/>
        </w:rPr>
      </w:pPr>
    </w:p>
    <w:p w14:paraId="2B849E29">
      <w:pPr>
        <w:pStyle w:val="28"/>
        <w:snapToGrid w:val="0"/>
        <w:spacing w:before="120" w:after="120"/>
        <w:rPr>
          <w:rFonts w:hint="eastAsia" w:hAnsi="宋体" w:cs="宋体"/>
          <w:color w:val="auto"/>
        </w:rPr>
      </w:pPr>
    </w:p>
    <w:p w14:paraId="6BFECB7D">
      <w:pPr>
        <w:pStyle w:val="28"/>
        <w:snapToGrid w:val="0"/>
        <w:spacing w:before="120" w:after="120"/>
        <w:rPr>
          <w:rFonts w:hint="eastAsia" w:hAnsi="宋体" w:cs="宋体"/>
          <w:color w:val="auto"/>
        </w:rPr>
      </w:pPr>
    </w:p>
    <w:p w14:paraId="72FABDD2">
      <w:pPr>
        <w:pStyle w:val="28"/>
        <w:snapToGrid w:val="0"/>
        <w:spacing w:before="120" w:after="120"/>
        <w:rPr>
          <w:rFonts w:hint="eastAsia" w:hAnsi="宋体" w:cs="宋体"/>
          <w:color w:val="auto"/>
        </w:rPr>
      </w:pPr>
    </w:p>
    <w:p w14:paraId="3D75746E">
      <w:pPr>
        <w:pStyle w:val="28"/>
        <w:snapToGrid w:val="0"/>
        <w:spacing w:before="120" w:after="120"/>
        <w:rPr>
          <w:rFonts w:hint="eastAsia" w:hAnsi="宋体" w:cs="宋体"/>
          <w:color w:val="auto"/>
        </w:rPr>
      </w:pPr>
    </w:p>
    <w:p w14:paraId="2B00A645">
      <w:pPr>
        <w:pStyle w:val="28"/>
        <w:snapToGrid w:val="0"/>
        <w:spacing w:before="120" w:after="120"/>
        <w:rPr>
          <w:rFonts w:hint="eastAsia" w:hAnsi="宋体" w:cs="宋体"/>
          <w:color w:val="auto"/>
        </w:rPr>
      </w:pPr>
    </w:p>
    <w:p w14:paraId="2A39EE0D">
      <w:pPr>
        <w:pStyle w:val="28"/>
        <w:snapToGrid w:val="0"/>
        <w:spacing w:before="120" w:after="120"/>
        <w:rPr>
          <w:rFonts w:hint="eastAsia" w:hAnsi="宋体" w:cs="宋体"/>
          <w:color w:val="auto"/>
        </w:rPr>
      </w:pPr>
    </w:p>
    <w:p w14:paraId="7CC041D0">
      <w:pPr>
        <w:pStyle w:val="3"/>
        <w:keepNext w:val="0"/>
        <w:keepLines w:val="0"/>
        <w:jc w:val="center"/>
        <w:rPr>
          <w:rFonts w:hint="eastAsia" w:ascii="宋体" w:hAnsi="宋体" w:eastAsia="宋体" w:cs="宋体"/>
          <w:color w:val="auto"/>
        </w:rPr>
      </w:pPr>
      <w:bookmarkStart w:id="102" w:name="_Toc330456896"/>
      <w:bookmarkStart w:id="103" w:name="_Toc19686832"/>
      <w:bookmarkStart w:id="104" w:name="_Toc254970548"/>
      <w:bookmarkStart w:id="105" w:name="_Toc254970689"/>
      <w:r>
        <w:rPr>
          <w:rFonts w:hint="eastAsia" w:ascii="宋体" w:hAnsi="宋体" w:eastAsia="宋体" w:cs="宋体"/>
          <w:color w:val="auto"/>
        </w:rPr>
        <w:t>第四章  评标方法及评标标准</w:t>
      </w:r>
      <w:bookmarkEnd w:id="102"/>
      <w:bookmarkEnd w:id="103"/>
      <w:bookmarkEnd w:id="104"/>
      <w:bookmarkEnd w:id="105"/>
    </w:p>
    <w:p w14:paraId="3E2441D0">
      <w:pPr>
        <w:rPr>
          <w:rFonts w:hint="eastAsia"/>
        </w:rPr>
      </w:pPr>
      <w:bookmarkStart w:id="106" w:name="_Toc254970690"/>
      <w:bookmarkStart w:id="107" w:name="_Toc254970549"/>
    </w:p>
    <w:bookmarkEnd w:id="106"/>
    <w:bookmarkEnd w:id="107"/>
    <w:p w14:paraId="7E79026E">
      <w:pPr>
        <w:rPr>
          <w:rFonts w:hint="eastAsia"/>
        </w:rPr>
      </w:pPr>
    </w:p>
    <w:p w14:paraId="74DAF9E0">
      <w:pPr>
        <w:rPr>
          <w:rFonts w:hint="eastAsia"/>
        </w:rPr>
      </w:pPr>
    </w:p>
    <w:p w14:paraId="34CDF004">
      <w:pPr>
        <w:rPr>
          <w:rFonts w:hint="eastAsia"/>
        </w:rPr>
      </w:pPr>
    </w:p>
    <w:p w14:paraId="4913978A">
      <w:pPr>
        <w:rPr>
          <w:rFonts w:hint="eastAsia"/>
        </w:rPr>
      </w:pPr>
    </w:p>
    <w:p w14:paraId="2667DE1A">
      <w:pPr>
        <w:rPr>
          <w:rFonts w:hint="eastAsia"/>
        </w:rPr>
      </w:pPr>
    </w:p>
    <w:p w14:paraId="5F23F8C4">
      <w:pPr>
        <w:rPr>
          <w:rFonts w:hint="eastAsia"/>
        </w:rPr>
      </w:pPr>
    </w:p>
    <w:p w14:paraId="616988F8">
      <w:pPr>
        <w:spacing w:before="120" w:beforeLines="50" w:after="120" w:afterLines="50" w:line="400" w:lineRule="exact"/>
        <w:rPr>
          <w:rFonts w:hint="eastAsia" w:ascii="宋体" w:hAnsi="宋体" w:cs="宋体"/>
          <w:b/>
          <w:color w:val="auto"/>
          <w:sz w:val="24"/>
        </w:rPr>
      </w:pPr>
    </w:p>
    <w:p w14:paraId="39E2A946">
      <w:pPr>
        <w:spacing w:before="120" w:beforeLines="50" w:after="120" w:afterLines="50" w:line="400" w:lineRule="exact"/>
        <w:rPr>
          <w:rFonts w:hint="eastAsia" w:ascii="宋体" w:hAnsi="宋体" w:cs="宋体"/>
          <w:b/>
          <w:color w:val="auto"/>
          <w:sz w:val="24"/>
        </w:rPr>
      </w:pPr>
    </w:p>
    <w:p w14:paraId="7803626A">
      <w:pPr>
        <w:spacing w:before="120" w:beforeLines="50" w:after="120" w:afterLines="50" w:line="400" w:lineRule="exact"/>
        <w:rPr>
          <w:rFonts w:hint="eastAsia" w:ascii="宋体" w:hAnsi="宋体" w:cs="宋体"/>
          <w:b/>
          <w:color w:val="auto"/>
          <w:sz w:val="24"/>
        </w:rPr>
      </w:pPr>
    </w:p>
    <w:p w14:paraId="73AA4069">
      <w:pPr>
        <w:spacing w:before="120" w:beforeLines="50" w:after="120" w:afterLines="50" w:line="400" w:lineRule="exact"/>
        <w:rPr>
          <w:rFonts w:hint="eastAsia" w:ascii="宋体" w:hAnsi="宋体" w:cs="宋体"/>
          <w:b/>
          <w:color w:val="auto"/>
          <w:sz w:val="24"/>
        </w:rPr>
      </w:pPr>
    </w:p>
    <w:p w14:paraId="3002E593">
      <w:pPr>
        <w:pStyle w:val="28"/>
        <w:spacing w:line="360" w:lineRule="exact"/>
        <w:rPr>
          <w:rFonts w:hint="eastAsia" w:hAnsi="宋体" w:cs="宋体"/>
          <w:b/>
          <w:color w:val="auto"/>
          <w:sz w:val="24"/>
        </w:rPr>
      </w:pPr>
    </w:p>
    <w:p w14:paraId="3C59AB31">
      <w:pPr>
        <w:pStyle w:val="28"/>
        <w:spacing w:line="360" w:lineRule="exact"/>
        <w:rPr>
          <w:rFonts w:hint="eastAsia" w:hAnsi="宋体" w:cs="宋体"/>
          <w:b/>
          <w:color w:val="auto"/>
          <w:sz w:val="24"/>
        </w:rPr>
      </w:pPr>
    </w:p>
    <w:p w14:paraId="5E159E7E">
      <w:pPr>
        <w:pStyle w:val="28"/>
        <w:spacing w:line="360" w:lineRule="exact"/>
        <w:rPr>
          <w:rFonts w:hint="eastAsia" w:hAnsi="宋体" w:cs="宋体"/>
          <w:b/>
          <w:color w:val="auto"/>
          <w:sz w:val="24"/>
        </w:rPr>
      </w:pPr>
    </w:p>
    <w:p w14:paraId="34189455">
      <w:pPr>
        <w:pStyle w:val="28"/>
        <w:spacing w:line="360" w:lineRule="exact"/>
        <w:rPr>
          <w:rFonts w:hint="eastAsia" w:hAnsi="宋体" w:cs="宋体"/>
          <w:b/>
          <w:color w:val="auto"/>
          <w:sz w:val="24"/>
        </w:rPr>
      </w:pPr>
    </w:p>
    <w:p w14:paraId="18663AE8">
      <w:pPr>
        <w:pStyle w:val="28"/>
        <w:spacing w:line="360" w:lineRule="exact"/>
        <w:rPr>
          <w:rFonts w:hint="eastAsia" w:hAnsi="宋体" w:cs="宋体"/>
          <w:bCs/>
          <w:color w:val="auto"/>
        </w:rPr>
      </w:pPr>
      <w:r>
        <w:rPr>
          <w:rFonts w:hint="eastAsia" w:hAnsi="宋体" w:cs="宋体"/>
          <w:bCs/>
          <w:color w:val="auto"/>
        </w:rPr>
        <w:t xml:space="preserve"> </w:t>
      </w:r>
    </w:p>
    <w:p w14:paraId="20E207F6">
      <w:pPr>
        <w:pStyle w:val="28"/>
        <w:spacing w:line="360" w:lineRule="exact"/>
        <w:rPr>
          <w:rFonts w:hint="eastAsia" w:hAnsi="宋体" w:cs="宋体"/>
          <w:bCs/>
          <w:color w:val="auto"/>
        </w:rPr>
      </w:pPr>
    </w:p>
    <w:p w14:paraId="6032B83D">
      <w:pPr>
        <w:pStyle w:val="28"/>
        <w:spacing w:line="360" w:lineRule="exact"/>
        <w:rPr>
          <w:rFonts w:hint="eastAsia" w:hAnsi="宋体" w:cs="宋体"/>
          <w:bCs/>
          <w:color w:val="auto"/>
        </w:rPr>
      </w:pPr>
    </w:p>
    <w:p w14:paraId="2EF61FD4">
      <w:pPr>
        <w:pStyle w:val="28"/>
        <w:spacing w:line="360" w:lineRule="exact"/>
        <w:rPr>
          <w:rFonts w:hint="eastAsia" w:hAnsi="宋体" w:cs="宋体"/>
          <w:bCs/>
          <w:color w:val="auto"/>
        </w:rPr>
      </w:pPr>
    </w:p>
    <w:p w14:paraId="32F7348B">
      <w:pPr>
        <w:pStyle w:val="28"/>
        <w:spacing w:line="360" w:lineRule="exact"/>
        <w:rPr>
          <w:rFonts w:hint="eastAsia" w:hAnsi="宋体" w:cs="宋体"/>
          <w:bCs/>
          <w:color w:val="auto"/>
        </w:rPr>
      </w:pPr>
    </w:p>
    <w:p w14:paraId="2A5779FD">
      <w:pPr>
        <w:pStyle w:val="28"/>
        <w:spacing w:line="360" w:lineRule="exact"/>
        <w:rPr>
          <w:rFonts w:hint="eastAsia" w:hAnsi="宋体" w:cs="宋体"/>
          <w:bCs/>
          <w:color w:val="auto"/>
        </w:rPr>
      </w:pPr>
    </w:p>
    <w:p w14:paraId="39E28FAA">
      <w:pPr>
        <w:pStyle w:val="28"/>
        <w:spacing w:line="360" w:lineRule="exact"/>
        <w:rPr>
          <w:rFonts w:hint="eastAsia" w:hAnsi="宋体" w:cs="宋体"/>
          <w:bCs/>
          <w:color w:val="auto"/>
        </w:rPr>
      </w:pPr>
    </w:p>
    <w:p w14:paraId="0B69BC31">
      <w:pPr>
        <w:spacing w:line="560" w:lineRule="exact"/>
        <w:jc w:val="center"/>
        <w:rPr>
          <w:rFonts w:hint="eastAsia" w:ascii="宋体"/>
          <w:b/>
          <w:color w:val="auto"/>
          <w:sz w:val="32"/>
          <w:szCs w:val="32"/>
          <w:highlight w:val="none"/>
        </w:rPr>
      </w:pPr>
      <w:r>
        <w:rPr>
          <w:rFonts w:hint="eastAsia" w:ascii="宋体"/>
          <w:b/>
          <w:color w:val="auto"/>
          <w:sz w:val="32"/>
          <w:szCs w:val="32"/>
          <w:highlight w:val="none"/>
        </w:rPr>
        <w:t>评标方法及评分标准</w:t>
      </w:r>
    </w:p>
    <w:p w14:paraId="1ABABE55">
      <w:pPr>
        <w:pStyle w:val="43"/>
        <w:keepNext w:val="0"/>
        <w:keepLines w:val="0"/>
        <w:pageBreakBefore w:val="0"/>
        <w:widowControl w:val="0"/>
        <w:tabs>
          <w:tab w:val="right" w:leader="dot" w:pos="9185"/>
        </w:tabs>
        <w:kinsoku/>
        <w:wordWrap/>
        <w:overflowPunct/>
        <w:topLinePunct w:val="0"/>
        <w:autoSpaceDE/>
        <w:autoSpaceDN/>
        <w:bidi w:val="0"/>
        <w:adjustRightInd/>
        <w:snapToGrid/>
        <w:spacing w:line="360" w:lineRule="exact"/>
        <w:ind w:left="0" w:leftChars="0" w:firstLine="0" w:firstLineChars="0"/>
        <w:textAlignment w:val="auto"/>
        <w:rPr>
          <w:rFonts w:hint="eastAsia"/>
          <w:b/>
          <w:bCs/>
          <w:szCs w:val="21"/>
        </w:rPr>
      </w:pPr>
      <w:r>
        <w:rPr>
          <w:rFonts w:hint="eastAsia"/>
          <w:b/>
          <w:bCs/>
          <w:szCs w:val="21"/>
        </w:rPr>
        <w:t>一、评标原则</w:t>
      </w:r>
    </w:p>
    <w:p w14:paraId="700453B2">
      <w:pPr>
        <w:pStyle w:val="43"/>
        <w:keepNext w:val="0"/>
        <w:keepLines w:val="0"/>
        <w:pageBreakBefore w:val="0"/>
        <w:widowControl w:val="0"/>
        <w:tabs>
          <w:tab w:val="right" w:leader="dot" w:pos="9185"/>
        </w:tabs>
        <w:kinsoku/>
        <w:wordWrap/>
        <w:overflowPunct/>
        <w:topLinePunct w:val="0"/>
        <w:autoSpaceDE/>
        <w:autoSpaceDN/>
        <w:bidi w:val="0"/>
        <w:adjustRightInd/>
        <w:snapToGrid/>
        <w:spacing w:line="360" w:lineRule="exact"/>
        <w:ind w:left="0" w:leftChars="0" w:firstLine="0" w:firstLineChars="0"/>
        <w:textAlignment w:val="auto"/>
        <w:rPr>
          <w:rFonts w:hint="eastAsia"/>
          <w:bCs/>
          <w:szCs w:val="21"/>
        </w:rPr>
      </w:pPr>
      <w:r>
        <w:rPr>
          <w:rFonts w:hint="eastAsia"/>
          <w:bCs/>
          <w:szCs w:val="21"/>
        </w:rPr>
        <w:t xml:space="preserve">    （一）评委组成：本招标采购项目的评标委员会由采购人代表和评审专家组成，成员人数应当为五人以上单数。其中，评审专家不得少于成员总数的三分之二。</w:t>
      </w:r>
    </w:p>
    <w:p w14:paraId="6EB47B89">
      <w:pPr>
        <w:pStyle w:val="43"/>
        <w:keepNext w:val="0"/>
        <w:keepLines w:val="0"/>
        <w:pageBreakBefore w:val="0"/>
        <w:widowControl w:val="0"/>
        <w:tabs>
          <w:tab w:val="right" w:leader="dot" w:pos="9185"/>
        </w:tabs>
        <w:kinsoku/>
        <w:wordWrap/>
        <w:overflowPunct/>
        <w:topLinePunct w:val="0"/>
        <w:autoSpaceDE/>
        <w:autoSpaceDN/>
        <w:bidi w:val="0"/>
        <w:adjustRightInd/>
        <w:snapToGrid/>
        <w:spacing w:line="360" w:lineRule="exact"/>
        <w:ind w:left="0" w:leftChars="0" w:firstLine="420" w:firstLineChars="0"/>
        <w:textAlignment w:val="auto"/>
        <w:rPr>
          <w:rFonts w:hint="eastAsia"/>
          <w:bCs/>
          <w:szCs w:val="21"/>
        </w:rPr>
      </w:pPr>
      <w:r>
        <w:rPr>
          <w:rFonts w:hint="eastAsia"/>
          <w:bCs/>
          <w:szCs w:val="21"/>
        </w:rPr>
        <w:t>（二）评标依据：评委将以招投标文件为评标依据，对投标人的投标文件内容按百分制打分。</w:t>
      </w:r>
    </w:p>
    <w:p w14:paraId="57AA327A">
      <w:pPr>
        <w:pStyle w:val="43"/>
        <w:keepNext w:val="0"/>
        <w:keepLines w:val="0"/>
        <w:pageBreakBefore w:val="0"/>
        <w:widowControl w:val="0"/>
        <w:tabs>
          <w:tab w:val="right" w:leader="dot" w:pos="9185"/>
        </w:tabs>
        <w:kinsoku/>
        <w:wordWrap/>
        <w:overflowPunct/>
        <w:topLinePunct w:val="0"/>
        <w:autoSpaceDE/>
        <w:autoSpaceDN/>
        <w:bidi w:val="0"/>
        <w:adjustRightInd/>
        <w:snapToGrid/>
        <w:spacing w:line="360" w:lineRule="exact"/>
        <w:ind w:left="0" w:leftChars="0" w:firstLine="420" w:firstLineChars="0"/>
        <w:textAlignment w:val="auto"/>
        <w:rPr>
          <w:rFonts w:hint="eastAsia"/>
          <w:bCs/>
          <w:szCs w:val="21"/>
        </w:rPr>
      </w:pPr>
      <w:r>
        <w:rPr>
          <w:rFonts w:hint="eastAsia"/>
          <w:bCs/>
          <w:szCs w:val="21"/>
        </w:rPr>
        <w:t>（三）评标方式：以封闭方式进行。</w:t>
      </w:r>
    </w:p>
    <w:p w14:paraId="4429C5E1">
      <w:pPr>
        <w:pStyle w:val="43"/>
        <w:keepNext w:val="0"/>
        <w:keepLines w:val="0"/>
        <w:pageBreakBefore w:val="0"/>
        <w:widowControl w:val="0"/>
        <w:tabs>
          <w:tab w:val="right" w:leader="dot" w:pos="9185"/>
        </w:tabs>
        <w:kinsoku/>
        <w:wordWrap/>
        <w:overflowPunct/>
        <w:topLinePunct w:val="0"/>
        <w:autoSpaceDE/>
        <w:autoSpaceDN/>
        <w:bidi w:val="0"/>
        <w:adjustRightInd/>
        <w:snapToGrid/>
        <w:spacing w:line="360" w:lineRule="exact"/>
        <w:ind w:left="0" w:leftChars="0" w:firstLine="0" w:firstLineChars="0"/>
        <w:textAlignment w:val="auto"/>
        <w:rPr>
          <w:b/>
          <w:bCs/>
          <w:szCs w:val="21"/>
        </w:rPr>
      </w:pPr>
      <w:r>
        <w:rPr>
          <w:rFonts w:hint="eastAsia"/>
          <w:b/>
          <w:bCs/>
          <w:szCs w:val="21"/>
        </w:rPr>
        <w:t>二、评标方法</w:t>
      </w:r>
    </w:p>
    <w:p w14:paraId="086BE6DB">
      <w:pPr>
        <w:pStyle w:val="43"/>
        <w:keepNext w:val="0"/>
        <w:keepLines w:val="0"/>
        <w:pageBreakBefore w:val="0"/>
        <w:widowControl w:val="0"/>
        <w:tabs>
          <w:tab w:val="right" w:leader="dot" w:pos="9185"/>
        </w:tabs>
        <w:kinsoku/>
        <w:wordWrap/>
        <w:overflowPunct/>
        <w:topLinePunct w:val="0"/>
        <w:autoSpaceDE/>
        <w:autoSpaceDN/>
        <w:bidi w:val="0"/>
        <w:adjustRightInd/>
        <w:snapToGrid/>
        <w:spacing w:line="360" w:lineRule="exact"/>
        <w:ind w:left="0" w:leftChars="0" w:firstLine="420" w:firstLineChars="200"/>
        <w:textAlignment w:val="auto"/>
        <w:rPr>
          <w:bCs/>
          <w:szCs w:val="21"/>
        </w:rPr>
      </w:pPr>
      <w:r>
        <w:rPr>
          <w:rFonts w:hint="eastAsia"/>
          <w:bCs/>
          <w:szCs w:val="21"/>
        </w:rPr>
        <w:t>（一）对进入详评的，采用百分制综合评分法。</w:t>
      </w:r>
    </w:p>
    <w:p w14:paraId="0083B2F1">
      <w:pPr>
        <w:pStyle w:val="43"/>
        <w:keepNext w:val="0"/>
        <w:keepLines w:val="0"/>
        <w:pageBreakBefore w:val="0"/>
        <w:widowControl w:val="0"/>
        <w:tabs>
          <w:tab w:val="right" w:leader="dot" w:pos="9185"/>
        </w:tabs>
        <w:kinsoku/>
        <w:wordWrap/>
        <w:overflowPunct/>
        <w:topLinePunct w:val="0"/>
        <w:autoSpaceDE/>
        <w:autoSpaceDN/>
        <w:bidi w:val="0"/>
        <w:adjustRightInd/>
        <w:snapToGrid/>
        <w:spacing w:line="360" w:lineRule="exact"/>
        <w:ind w:left="0" w:leftChars="0" w:firstLine="420" w:firstLineChars="200"/>
        <w:textAlignment w:val="auto"/>
        <w:rPr>
          <w:bCs/>
          <w:color w:val="auto"/>
          <w:szCs w:val="21"/>
        </w:rPr>
      </w:pPr>
      <w:r>
        <w:rPr>
          <w:rFonts w:hint="eastAsia"/>
          <w:bCs/>
          <w:szCs w:val="21"/>
        </w:rPr>
        <w:t>（二）计分办法（按四舍五入取至百分位）：</w:t>
      </w:r>
    </w:p>
    <w:p w14:paraId="763D6CAD">
      <w:pPr>
        <w:pageBreakBefore w:val="0"/>
        <w:widowControl w:val="0"/>
        <w:kinsoku/>
        <w:wordWrap/>
        <w:overflowPunct/>
        <w:topLinePunct w:val="0"/>
        <w:autoSpaceDE/>
        <w:autoSpaceDN/>
        <w:bidi w:val="0"/>
        <w:spacing w:line="360" w:lineRule="exact"/>
        <w:textAlignment w:val="auto"/>
        <w:rPr>
          <w:b/>
          <w:color w:val="auto"/>
          <w:szCs w:val="21"/>
        </w:rPr>
      </w:pPr>
      <w:r>
        <w:rPr>
          <w:b/>
          <w:color w:val="auto"/>
          <w:szCs w:val="21"/>
        </w:rPr>
        <w:t>1</w:t>
      </w:r>
      <w:r>
        <w:rPr>
          <w:rFonts w:hint="eastAsia"/>
          <w:b/>
          <w:color w:val="auto"/>
          <w:szCs w:val="21"/>
        </w:rPr>
        <w:t>、价格分…………………………………………………………………………………………………</w:t>
      </w:r>
      <w:r>
        <w:rPr>
          <w:rFonts w:hint="eastAsia"/>
          <w:b/>
          <w:color w:val="auto"/>
          <w:szCs w:val="21"/>
          <w:lang w:val="en-US" w:eastAsia="zh-CN"/>
        </w:rPr>
        <w:t>15</w:t>
      </w:r>
      <w:r>
        <w:rPr>
          <w:rFonts w:hint="eastAsia"/>
          <w:b/>
          <w:color w:val="auto"/>
          <w:szCs w:val="21"/>
        </w:rPr>
        <w:t>分</w:t>
      </w:r>
    </w:p>
    <w:p w14:paraId="2975BD2B">
      <w:pPr>
        <w:pStyle w:val="28"/>
        <w:pageBreakBefore w:val="0"/>
        <w:widowControl w:val="0"/>
        <w:kinsoku/>
        <w:wordWrap/>
        <w:overflowPunct/>
        <w:topLinePunct w:val="0"/>
        <w:autoSpaceDE/>
        <w:autoSpaceDN/>
        <w:bidi w:val="0"/>
        <w:spacing w:line="360" w:lineRule="exact"/>
        <w:ind w:firstLine="420" w:firstLineChars="200"/>
        <w:textAlignment w:val="auto"/>
        <w:rPr>
          <w:rFonts w:hint="eastAsia"/>
          <w:color w:val="auto"/>
          <w:sz w:val="21"/>
          <w:szCs w:val="21"/>
        </w:rPr>
      </w:pPr>
      <w:r>
        <w:rPr>
          <w:rFonts w:hint="eastAsia"/>
          <w:color w:val="auto"/>
          <w:sz w:val="21"/>
          <w:szCs w:val="21"/>
        </w:rPr>
        <w:t>（1）评标报价为投标人的投标报价进行政策性扣除后的价格，评标报价只是作为评标时使用。最终中标人的中标金额等于投标报价。</w:t>
      </w:r>
    </w:p>
    <w:p w14:paraId="47E67A9C">
      <w:pPr>
        <w:keepNext w:val="0"/>
        <w:keepLines w:val="0"/>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（2）政策性扣除计算方法。</w:t>
      </w:r>
    </w:p>
    <w:p w14:paraId="1AE07E05">
      <w:pPr>
        <w:keepNext w:val="0"/>
        <w:keepLines w:val="0"/>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lang w:val="en-US" w:eastAsia="zh-CN"/>
        </w:rPr>
        <w:t>①</w:t>
      </w:r>
      <w:r>
        <w:rPr>
          <w:rFonts w:hint="eastAsia" w:ascii="宋体" w:hAnsi="宋体" w:eastAsia="宋体" w:cs="宋体"/>
          <w:bCs/>
          <w:color w:val="auto"/>
          <w:sz w:val="21"/>
          <w:szCs w:val="21"/>
        </w:rPr>
        <w:t>根据《政府采购促进中小企业发展管理办法》（财库〔2020〕46号）及</w:t>
      </w:r>
      <w:r>
        <w:rPr>
          <w:rFonts w:hint="eastAsia" w:ascii="宋体" w:hAnsi="宋体" w:cs="宋体"/>
          <w:b w:val="0"/>
          <w:bCs w:val="0"/>
          <w:color w:val="auto"/>
          <w:sz w:val="21"/>
          <w:szCs w:val="21"/>
          <w:lang w:eastAsia="zh-CN"/>
        </w:rPr>
        <w:t>《</w:t>
      </w:r>
      <w:r>
        <w:rPr>
          <w:rFonts w:hint="eastAsia" w:ascii="宋体" w:hAnsi="宋体" w:eastAsia="宋体" w:cs="宋体"/>
          <w:bCs/>
          <w:color w:val="auto"/>
          <w:sz w:val="21"/>
          <w:szCs w:val="21"/>
        </w:rPr>
        <w:t>广西壮族自治区财政厅关于持续优化政府采购营商环境推动高质量发展的通知</w:t>
      </w:r>
      <w:r>
        <w:rPr>
          <w:rFonts w:hint="eastAsia" w:ascii="宋体" w:hAnsi="宋体" w:eastAsia="宋体" w:cs="宋体"/>
          <w:b w:val="0"/>
          <w:bCs w:val="0"/>
          <w:color w:val="auto"/>
          <w:sz w:val="21"/>
          <w:szCs w:val="21"/>
        </w:rPr>
        <w:t>》（桂财采〔2024〕55号）</w:t>
      </w:r>
      <w:r>
        <w:rPr>
          <w:rFonts w:hint="eastAsia" w:ascii="宋体" w:hAnsi="宋体" w:eastAsia="宋体" w:cs="宋体"/>
          <w:bCs/>
          <w:color w:val="auto"/>
          <w:sz w:val="21"/>
          <w:szCs w:val="21"/>
        </w:rPr>
        <w:t>的规定，投标人在其投标文件中提供《中小企业声明函》，且其投标全部货物由小微企业制造的，对其投标报价给予</w:t>
      </w:r>
      <w:r>
        <w:rPr>
          <w:rFonts w:hint="eastAsia" w:ascii="宋体" w:hAnsi="宋体" w:eastAsia="宋体" w:cs="宋体"/>
          <w:bCs/>
          <w:color w:val="auto"/>
          <w:sz w:val="21"/>
          <w:szCs w:val="21"/>
          <w:u w:val="single"/>
        </w:rPr>
        <w:t>10%</w:t>
      </w:r>
      <w:r>
        <w:rPr>
          <w:rFonts w:hint="eastAsia" w:ascii="宋体" w:hAnsi="宋体" w:eastAsia="宋体" w:cs="宋体"/>
          <w:bCs/>
          <w:color w:val="auto"/>
          <w:sz w:val="21"/>
          <w:szCs w:val="21"/>
        </w:rPr>
        <w:t>的扣除，扣除后的价格为评标报价，即评标报价=投标报价×（1-</w:t>
      </w:r>
      <w:r>
        <w:rPr>
          <w:rFonts w:hint="eastAsia" w:ascii="宋体" w:hAnsi="宋体" w:eastAsia="宋体" w:cs="宋体"/>
          <w:bCs/>
          <w:color w:val="auto"/>
          <w:sz w:val="21"/>
          <w:szCs w:val="21"/>
          <w:u w:val="single"/>
        </w:rPr>
        <w:t>10</w:t>
      </w:r>
      <w:r>
        <w:rPr>
          <w:rFonts w:hint="eastAsia" w:ascii="宋体" w:hAnsi="宋体" w:eastAsia="宋体" w:cs="宋体"/>
          <w:bCs/>
          <w:color w:val="auto"/>
          <w:sz w:val="21"/>
          <w:szCs w:val="21"/>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eastAsia="宋体" w:cs="宋体"/>
          <w:bCs/>
          <w:color w:val="auto"/>
          <w:sz w:val="21"/>
          <w:szCs w:val="21"/>
          <w:u w:val="single"/>
        </w:rPr>
        <w:t>4</w:t>
      </w:r>
      <w:r>
        <w:rPr>
          <w:rFonts w:hint="eastAsia" w:ascii="宋体" w:hAnsi="宋体" w:eastAsia="宋体" w:cs="宋体"/>
          <w:bCs/>
          <w:color w:val="auto"/>
          <w:sz w:val="21"/>
          <w:szCs w:val="21"/>
        </w:rPr>
        <w:t>%（范围为4%-6%）的扣除，用扣除后的价格参加评审，扣除后的价格为评标报价，即评标报价=投标报价×（1-</w:t>
      </w:r>
      <w:r>
        <w:rPr>
          <w:rFonts w:hint="eastAsia" w:ascii="宋体" w:hAnsi="宋体" w:eastAsia="宋体" w:cs="宋体"/>
          <w:bCs/>
          <w:color w:val="auto"/>
          <w:sz w:val="21"/>
          <w:szCs w:val="21"/>
          <w:u w:val="single"/>
        </w:rPr>
        <w:t>4</w:t>
      </w:r>
      <w:r>
        <w:rPr>
          <w:rFonts w:hint="eastAsia" w:ascii="宋体" w:hAnsi="宋体" w:eastAsia="宋体" w:cs="宋体"/>
          <w:bCs/>
          <w:color w:val="auto"/>
          <w:sz w:val="21"/>
          <w:szCs w:val="21"/>
        </w:rPr>
        <w:t>%）。除上述情况外，评标报价=投标报价。</w:t>
      </w:r>
    </w:p>
    <w:p w14:paraId="2000CB19">
      <w:pPr>
        <w:keepNext w:val="0"/>
        <w:keepLines w:val="0"/>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eastAsia="宋体" w:cs="宋体"/>
          <w:color w:val="auto"/>
          <w:sz w:val="21"/>
          <w:szCs w:val="21"/>
        </w:rPr>
        <w:t>监狱企业参加政府采购活动时，应当提供由省级以上监狱管理局、戒毒管理局（含新疆生产建设兵团）出具的属于监狱企业的证明文件。</w:t>
      </w:r>
      <w:r>
        <w:rPr>
          <w:rFonts w:hint="eastAsia" w:ascii="宋体" w:hAnsi="宋体" w:eastAsia="宋体" w:cs="宋体"/>
          <w:bCs/>
          <w:color w:val="auto"/>
          <w:sz w:val="21"/>
          <w:szCs w:val="21"/>
        </w:rPr>
        <w:t>监狱企业属于小型、微型企业的，不重复享受政策。</w:t>
      </w:r>
    </w:p>
    <w:p w14:paraId="4C494BA1">
      <w:pPr>
        <w:keepNext w:val="0"/>
        <w:keepLines w:val="0"/>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按照</w:t>
      </w:r>
      <w:r>
        <w:rPr>
          <w:rFonts w:hint="eastAsia" w:ascii="宋体" w:hAnsi="宋体" w:eastAsia="宋体" w:cs="宋体"/>
          <w:bCs/>
          <w:color w:val="auto"/>
          <w:sz w:val="21"/>
          <w:szCs w:val="21"/>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eastAsia="宋体" w:cs="宋体"/>
          <w:color w:val="auto"/>
          <w:sz w:val="21"/>
          <w:szCs w:val="21"/>
        </w:rPr>
        <w:t>残疾人福利性单位参加政府采购活动时，应当提供该通知规定的《残疾人福利性单位声明函》，并对声明的真实性负责。</w:t>
      </w:r>
      <w:r>
        <w:rPr>
          <w:rFonts w:hint="eastAsia" w:ascii="宋体" w:hAnsi="宋体" w:eastAsia="宋体" w:cs="宋体"/>
          <w:bCs/>
          <w:color w:val="auto"/>
          <w:sz w:val="21"/>
          <w:szCs w:val="21"/>
        </w:rPr>
        <w:t>残疾人福利性单位属于小型、微型企业的，不重复享受政策。</w:t>
      </w:r>
    </w:p>
    <w:p w14:paraId="44055964">
      <w:pPr>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bCs/>
          <w:color w:val="auto"/>
          <w:szCs w:val="21"/>
        </w:rPr>
      </w:pPr>
      <w:r>
        <w:rPr>
          <w:rFonts w:hint="eastAsia" w:ascii="宋体" w:hAnsi="宋体" w:eastAsia="宋体" w:cs="宋体"/>
          <w:bCs/>
          <w:color w:val="auto"/>
          <w:szCs w:val="21"/>
          <w:lang w:val="en-US" w:eastAsia="zh-CN"/>
        </w:rPr>
        <w:t>②</w:t>
      </w:r>
      <w:r>
        <w:rPr>
          <w:rFonts w:hint="eastAsia" w:ascii="宋体" w:hAnsi="宋体" w:eastAsia="宋体" w:cs="宋体"/>
          <w:b w:val="0"/>
          <w:bCs w:val="0"/>
          <w:color w:val="auto"/>
          <w:sz w:val="21"/>
          <w:szCs w:val="21"/>
        </w:rPr>
        <w:t>根据《国务院办公厅关于在政府采购中实施本国产品标准及相关政策的通知》（国办发〔2025〕34号）的规定，供应商对其提供的产品出具符合要求的《关于符合本国产品标准的声明函》</w:t>
      </w:r>
      <w:r>
        <w:rPr>
          <w:rFonts w:hint="eastAsia" w:ascii="宋体" w:hAnsi="宋体" w:eastAsia="宋体" w:cs="宋体"/>
          <w:b w:val="0"/>
          <w:bCs w:val="0"/>
          <w:color w:val="auto"/>
          <w:sz w:val="21"/>
          <w:szCs w:val="21"/>
          <w:lang w:eastAsia="zh-CN"/>
        </w:rPr>
        <w:t>，该产品视为本国产品。</w:t>
      </w:r>
      <w:r>
        <w:rPr>
          <w:rFonts w:hint="eastAsia" w:ascii="宋体" w:hAnsi="宋体" w:eastAsia="宋体" w:cs="宋体"/>
          <w:b w:val="0"/>
          <w:bCs w:val="0"/>
          <w:color w:val="auto"/>
          <w:sz w:val="21"/>
          <w:szCs w:val="21"/>
        </w:rPr>
        <w:t>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2146B7D">
      <w:pPr>
        <w:keepNext w:val="0"/>
        <w:keepLines w:val="0"/>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rPr>
        <w:t>满足招标文件要求且评标报价最低的评标报价为评标基准价，其价格分为满分。</w:t>
      </w:r>
    </w:p>
    <w:p w14:paraId="5D9C2C93">
      <w:pPr>
        <w:keepNext w:val="0"/>
        <w:keepLines w:val="0"/>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w:t>
      </w:r>
      <w:r>
        <w:rPr>
          <w:rFonts w:hint="eastAsia" w:ascii="宋体" w:hAnsi="宋体" w:eastAsia="宋体" w:cs="宋体"/>
          <w:bCs/>
          <w:color w:val="auto"/>
          <w:sz w:val="21"/>
          <w:szCs w:val="21"/>
          <w:lang w:val="en-US" w:eastAsia="zh-CN"/>
        </w:rPr>
        <w:t>4</w:t>
      </w:r>
      <w:r>
        <w:rPr>
          <w:rFonts w:hint="eastAsia" w:ascii="宋体" w:hAnsi="宋体" w:eastAsia="宋体" w:cs="宋体"/>
          <w:bCs/>
          <w:color w:val="auto"/>
          <w:sz w:val="21"/>
          <w:szCs w:val="21"/>
        </w:rPr>
        <w:t>）价格分计算公式：价格分=（评标基准价／评标报价）×</w:t>
      </w:r>
      <w:r>
        <w:rPr>
          <w:rFonts w:hint="eastAsia" w:ascii="宋体" w:hAnsi="宋体" w:eastAsia="宋体" w:cs="宋体"/>
          <w:bCs/>
          <w:color w:val="auto"/>
          <w:sz w:val="21"/>
          <w:szCs w:val="21"/>
          <w:u w:val="single"/>
          <w:lang w:val="en-US" w:eastAsia="zh-CN"/>
        </w:rPr>
        <w:t>1</w:t>
      </w:r>
      <w:r>
        <w:rPr>
          <w:rFonts w:hint="eastAsia" w:ascii="宋体" w:hAnsi="宋体" w:cs="宋体"/>
          <w:bCs/>
          <w:color w:val="auto"/>
          <w:sz w:val="21"/>
          <w:szCs w:val="21"/>
          <w:u w:val="single"/>
          <w:lang w:val="en-US" w:eastAsia="zh-CN"/>
        </w:rPr>
        <w:t>5</w:t>
      </w:r>
      <w:r>
        <w:rPr>
          <w:rFonts w:hint="eastAsia" w:ascii="宋体" w:hAnsi="宋体" w:eastAsia="宋体" w:cs="宋体"/>
          <w:bCs/>
          <w:color w:val="auto"/>
          <w:sz w:val="21"/>
          <w:szCs w:val="21"/>
        </w:rPr>
        <w:t xml:space="preserve">分 </w:t>
      </w:r>
      <w:r>
        <w:rPr>
          <w:rFonts w:hint="eastAsia" w:ascii="宋体" w:hAnsi="宋体" w:eastAsia="宋体" w:cs="宋体"/>
          <w:color w:val="auto"/>
          <w:sz w:val="21"/>
          <w:szCs w:val="21"/>
        </w:rPr>
        <w:t xml:space="preserve">  </w:t>
      </w:r>
    </w:p>
    <w:p w14:paraId="3A4F57D1">
      <w:pPr>
        <w:pStyle w:val="43"/>
        <w:pageBreakBefore w:val="0"/>
        <w:widowControl w:val="0"/>
        <w:tabs>
          <w:tab w:val="right" w:leader="dot" w:pos="9185"/>
        </w:tabs>
        <w:kinsoku/>
        <w:wordWrap/>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Cs w:val="21"/>
          <w:highlight w:val="none"/>
        </w:rPr>
        <w:t>异常低价审查</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 w:val="21"/>
          <w:szCs w:val="21"/>
          <w:highlight w:val="none"/>
          <w:lang w:val="en-US" w:eastAsia="zh-CN"/>
        </w:rPr>
        <w:t>具体详见第三章《投标人须知</w:t>
      </w:r>
      <w:r>
        <w:rPr>
          <w:rFonts w:hint="eastAsia" w:ascii="宋体" w:hAnsi="宋体" w:eastAsia="宋体" w:cs="宋体"/>
          <w:bCs/>
          <w:color w:val="auto"/>
          <w:sz w:val="21"/>
          <w:szCs w:val="21"/>
          <w:lang w:val="en-US" w:eastAsia="zh-CN"/>
        </w:rPr>
        <w:t>》</w:t>
      </w:r>
      <w:r>
        <w:rPr>
          <w:rFonts w:hint="eastAsia" w:ascii="宋体" w:hAnsi="宋体" w:eastAsia="宋体" w:cs="宋体"/>
          <w:bCs/>
          <w:color w:val="auto"/>
          <w:sz w:val="21"/>
          <w:szCs w:val="21"/>
          <w:highlight w:val="none"/>
          <w:lang w:eastAsia="zh-CN"/>
        </w:rPr>
        <w:t>。</w:t>
      </w:r>
    </w:p>
    <w:p w14:paraId="6238E102">
      <w:pPr>
        <w:keepNext w:val="0"/>
        <w:keepLines w:val="0"/>
        <w:pageBreakBefore w:val="0"/>
        <w:widowControl w:val="0"/>
        <w:kinsoku/>
        <w:wordWrap/>
        <w:overflowPunct/>
        <w:topLinePunct w:val="0"/>
        <w:autoSpaceDE/>
        <w:autoSpaceDN/>
        <w:bidi w:val="0"/>
        <w:adjustRightInd/>
        <w:spacing w:line="360" w:lineRule="exact"/>
        <w:ind w:firstLine="0" w:firstLineChars="0"/>
        <w:textAlignment w:val="auto"/>
        <w:rPr>
          <w:rFonts w:hint="eastAsia" w:hAnsi="宋体" w:cs="仿宋"/>
          <w:b/>
          <w:color w:val="auto"/>
        </w:rPr>
      </w:pPr>
      <w:r>
        <w:rPr>
          <w:rFonts w:hint="eastAsia" w:hAnsi="宋体" w:cs="仿宋"/>
          <w:b/>
          <w:color w:val="auto"/>
        </w:rPr>
        <w:t>2、</w:t>
      </w:r>
      <w:r>
        <w:rPr>
          <w:rFonts w:hint="eastAsia" w:hAnsi="宋体" w:cs="仿宋"/>
          <w:b/>
          <w:color w:val="auto"/>
          <w:lang w:val="en-US" w:eastAsia="zh-CN"/>
        </w:rPr>
        <w:t>技术性能</w:t>
      </w:r>
      <w:r>
        <w:rPr>
          <w:rFonts w:hint="eastAsia" w:hAnsi="宋体" w:cs="仿宋"/>
          <w:b/>
          <w:color w:val="auto"/>
        </w:rPr>
        <w:t>分…………………………………</w:t>
      </w:r>
      <w:r>
        <w:rPr>
          <w:rFonts w:hint="eastAsia" w:hAnsi="宋体" w:cs="仿宋"/>
          <w:b/>
          <w:color w:val="auto"/>
          <w:lang w:eastAsia="zh-CN"/>
        </w:rPr>
        <w:t>……</w:t>
      </w:r>
      <w:r>
        <w:rPr>
          <w:rFonts w:hint="eastAsia" w:hAnsi="宋体" w:cs="仿宋"/>
          <w:b/>
          <w:color w:val="auto"/>
        </w:rPr>
        <w:t>………</w:t>
      </w:r>
      <w:r>
        <w:rPr>
          <w:rFonts w:hint="eastAsia" w:hAnsi="宋体" w:cs="仿宋"/>
          <w:b/>
          <w:color w:val="auto"/>
          <w:lang w:eastAsia="zh-CN"/>
        </w:rPr>
        <w:t>…………</w:t>
      </w:r>
      <w:r>
        <w:rPr>
          <w:rFonts w:hint="eastAsia" w:hAnsi="宋体" w:cs="仿宋"/>
          <w:b/>
          <w:color w:val="auto"/>
        </w:rPr>
        <w:t>…………………</w:t>
      </w:r>
      <w:r>
        <w:rPr>
          <w:rFonts w:hint="eastAsia" w:ascii="宋体" w:hAnsi="宋体" w:eastAsia="宋体" w:cs="仿宋"/>
          <w:b/>
          <w:bCs w:val="0"/>
          <w:color w:val="auto"/>
          <w:szCs w:val="21"/>
          <w:lang w:val="en-US" w:eastAsia="zh-CN"/>
        </w:rPr>
        <w:t>…</w:t>
      </w:r>
      <w:r>
        <w:rPr>
          <w:rFonts w:hint="eastAsia" w:hAnsi="宋体" w:cs="仿宋"/>
          <w:b/>
          <w:color w:val="auto"/>
        </w:rPr>
        <w:t>……………</w:t>
      </w:r>
      <w:r>
        <w:rPr>
          <w:rFonts w:hint="eastAsia" w:hAnsi="宋体" w:cs="仿宋"/>
          <w:b/>
          <w:color w:val="auto"/>
          <w:lang w:val="en-US" w:eastAsia="zh-CN"/>
        </w:rPr>
        <w:t>20</w:t>
      </w:r>
      <w:r>
        <w:rPr>
          <w:rFonts w:hint="eastAsia" w:hAnsi="宋体" w:cs="仿宋"/>
          <w:b/>
          <w:color w:val="auto"/>
        </w:rPr>
        <w:t>分</w:t>
      </w:r>
    </w:p>
    <w:p w14:paraId="5970E1AB">
      <w:pPr>
        <w:keepNext w:val="0"/>
        <w:keepLines w:val="0"/>
        <w:pageBreakBefore w:val="0"/>
        <w:widowControl w:val="0"/>
        <w:kinsoku/>
        <w:wordWrap/>
        <w:overflowPunct/>
        <w:topLinePunct w:val="0"/>
        <w:autoSpaceDE/>
        <w:autoSpaceDN/>
        <w:bidi w:val="0"/>
        <w:spacing w:line="360" w:lineRule="exact"/>
        <w:ind w:firstLine="420" w:firstLineChars="200"/>
        <w:jc w:val="lef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根据“第二章  招标项目采购需求”中“附件”的技术需求参数对投标响应内容进行综合评价，技术参数完全满足采购文件要求的得20分。不标注“▲”的技术参数，每有一项不满足扣0.5分；标注“▲”的技术参数，每有一项不满足扣1分；扣完本项分数为止。</w:t>
      </w:r>
    </w:p>
    <w:p w14:paraId="0B8E3B70">
      <w:pPr>
        <w:pStyle w:val="28"/>
        <w:pageBreakBefore w:val="0"/>
        <w:widowControl w:val="0"/>
        <w:numPr>
          <w:ilvl w:val="0"/>
          <w:numId w:val="0"/>
        </w:numPr>
        <w:kinsoku/>
        <w:wordWrap/>
        <w:overflowPunct/>
        <w:topLinePunct w:val="0"/>
        <w:autoSpaceDE/>
        <w:autoSpaceDN/>
        <w:bidi w:val="0"/>
        <w:spacing w:line="36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rPr>
        <w:t>3、</w:t>
      </w:r>
      <w:r>
        <w:rPr>
          <w:rFonts w:hint="eastAsia" w:ascii="宋体" w:hAnsi="宋体" w:eastAsia="宋体" w:cs="宋体"/>
          <w:b/>
          <w:bCs/>
          <w:color w:val="auto"/>
          <w:kern w:val="0"/>
          <w:sz w:val="21"/>
          <w:szCs w:val="21"/>
        </w:rPr>
        <w:t>项目理解</w:t>
      </w:r>
      <w:r>
        <w:rPr>
          <w:rFonts w:hint="eastAsia" w:ascii="宋体" w:hAnsi="宋体" w:eastAsia="宋体" w:cs="宋体"/>
          <w:b/>
          <w:bCs/>
          <w:color w:val="auto"/>
          <w:kern w:val="0"/>
          <w:sz w:val="21"/>
          <w:szCs w:val="21"/>
          <w:lang w:val="en-US" w:eastAsia="zh-CN"/>
        </w:rPr>
        <w:t>分析</w:t>
      </w:r>
      <w:r>
        <w:rPr>
          <w:rFonts w:hint="eastAsia" w:hAnsi="宋体" w:cs="仿宋"/>
          <w:b/>
          <w:color w:val="auto"/>
          <w:sz w:val="21"/>
          <w:szCs w:val="21"/>
        </w:rPr>
        <w:t>…………………………………</w:t>
      </w:r>
      <w:r>
        <w:rPr>
          <w:rFonts w:hint="eastAsia" w:hAnsi="宋体" w:cs="仿宋"/>
          <w:b/>
          <w:color w:val="auto"/>
          <w:sz w:val="21"/>
          <w:szCs w:val="21"/>
          <w:lang w:eastAsia="zh-CN"/>
        </w:rPr>
        <w:t>……</w:t>
      </w:r>
      <w:r>
        <w:rPr>
          <w:rFonts w:hint="eastAsia" w:hAnsi="宋体" w:cs="仿宋"/>
          <w:b/>
          <w:color w:val="auto"/>
          <w:sz w:val="21"/>
          <w:szCs w:val="21"/>
        </w:rPr>
        <w:t>………</w:t>
      </w:r>
      <w:r>
        <w:rPr>
          <w:rFonts w:hint="eastAsia" w:hAnsi="宋体" w:cs="仿宋"/>
          <w:b/>
          <w:color w:val="auto"/>
          <w:sz w:val="21"/>
          <w:szCs w:val="21"/>
          <w:lang w:eastAsia="zh-CN"/>
        </w:rPr>
        <w:t>…………</w:t>
      </w:r>
      <w:r>
        <w:rPr>
          <w:rFonts w:hint="eastAsia" w:hAnsi="宋体" w:cs="仿宋"/>
          <w:b/>
          <w:color w:val="auto"/>
          <w:sz w:val="21"/>
          <w:szCs w:val="21"/>
        </w:rPr>
        <w:t>………………</w:t>
      </w:r>
      <w:r>
        <w:rPr>
          <w:rFonts w:hint="eastAsia" w:ascii="宋体" w:hAnsi="宋体" w:eastAsia="宋体" w:cs="仿宋"/>
          <w:b/>
          <w:bCs w:val="0"/>
          <w:color w:val="auto"/>
          <w:sz w:val="21"/>
          <w:szCs w:val="21"/>
          <w:lang w:val="en-US" w:eastAsia="zh-CN"/>
        </w:rPr>
        <w:t>…</w:t>
      </w:r>
      <w:r>
        <w:rPr>
          <w:rFonts w:hint="eastAsia" w:hAnsi="宋体" w:cs="仿宋"/>
          <w:b/>
          <w:color w:val="auto"/>
          <w:sz w:val="21"/>
          <w:szCs w:val="21"/>
        </w:rPr>
        <w:t>………………</w:t>
      </w:r>
      <w:r>
        <w:rPr>
          <w:rFonts w:hint="eastAsia" w:hAnsi="宋体" w:cs="宋体"/>
          <w:b/>
          <w:bCs/>
          <w:color w:val="auto"/>
          <w:kern w:val="0"/>
          <w:sz w:val="21"/>
          <w:szCs w:val="21"/>
          <w:lang w:val="en-US" w:eastAsia="zh-CN"/>
        </w:rPr>
        <w:t>6</w:t>
      </w:r>
      <w:r>
        <w:rPr>
          <w:rFonts w:hint="eastAsia" w:ascii="宋体" w:hAnsi="宋体" w:eastAsia="宋体" w:cs="宋体"/>
          <w:b/>
          <w:bCs/>
          <w:color w:val="auto"/>
          <w:kern w:val="0"/>
          <w:sz w:val="21"/>
          <w:szCs w:val="21"/>
        </w:rPr>
        <w:t>分</w:t>
      </w:r>
    </w:p>
    <w:p w14:paraId="353AF4A7">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firstLine="420" w:firstLineChars="200"/>
        <w:textAlignment w:val="auto"/>
        <w:outlineLvl w:val="9"/>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一档（2分）：对项目背景、目标、范围、需求等有基本的了解，对项目涉及的相关政策法规有基本了解和分析。</w:t>
      </w:r>
    </w:p>
    <w:p w14:paraId="47856A5F">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firstLine="420" w:firstLineChars="200"/>
        <w:textAlignment w:val="auto"/>
        <w:outlineLvl w:val="9"/>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二档（</w:t>
      </w:r>
      <w:r>
        <w:rPr>
          <w:rFonts w:hint="eastAsia" w:ascii="宋体" w:hAnsi="宋体" w:cs="宋体"/>
          <w:b w:val="0"/>
          <w:bCs w:val="0"/>
          <w:color w:val="auto"/>
          <w:kern w:val="2"/>
          <w:sz w:val="21"/>
          <w:szCs w:val="21"/>
          <w:lang w:val="en-US" w:eastAsia="zh-CN" w:bidi="ar-SA"/>
        </w:rPr>
        <w:t>4</w:t>
      </w:r>
      <w:r>
        <w:rPr>
          <w:rFonts w:hint="eastAsia" w:ascii="宋体" w:hAnsi="宋体" w:eastAsia="宋体" w:cs="宋体"/>
          <w:b w:val="0"/>
          <w:bCs w:val="0"/>
          <w:color w:val="auto"/>
          <w:kern w:val="2"/>
          <w:sz w:val="21"/>
          <w:szCs w:val="21"/>
          <w:lang w:val="en-US" w:eastAsia="zh-CN" w:bidi="ar-SA"/>
        </w:rPr>
        <w:t>分）：对项目背景、目标、范围、需求了解，对项目涉及的相关政策法规熟悉，系统现状和业务需求有具体分析。</w:t>
      </w:r>
    </w:p>
    <w:p w14:paraId="114166C7">
      <w:pPr>
        <w:keepNext/>
        <w:keepLines/>
        <w:pageBreakBefore w:val="0"/>
        <w:widowControl w:val="0"/>
        <w:numPr>
          <w:ilvl w:val="0"/>
          <w:numId w:val="0"/>
        </w:numPr>
        <w:kinsoku/>
        <w:wordWrap/>
        <w:overflowPunct/>
        <w:topLinePunct w:val="0"/>
        <w:autoSpaceDE/>
        <w:autoSpaceDN/>
        <w:bidi w:val="0"/>
        <w:adjustRightInd w:val="0"/>
        <w:snapToGrid w:val="0"/>
        <w:spacing w:line="360" w:lineRule="exact"/>
        <w:ind w:firstLine="420" w:firstLineChars="200"/>
        <w:textAlignment w:val="auto"/>
        <w:outlineLvl w:val="9"/>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三档（</w:t>
      </w:r>
      <w:r>
        <w:rPr>
          <w:rFonts w:hint="eastAsia" w:ascii="宋体" w:hAnsi="宋体" w:cs="宋体"/>
          <w:b w:val="0"/>
          <w:bCs w:val="0"/>
          <w:color w:val="auto"/>
          <w:kern w:val="2"/>
          <w:sz w:val="21"/>
          <w:szCs w:val="21"/>
          <w:lang w:val="en-US" w:eastAsia="zh-CN" w:bidi="ar-SA"/>
        </w:rPr>
        <w:t>6</w:t>
      </w:r>
      <w:r>
        <w:rPr>
          <w:rFonts w:hint="eastAsia" w:ascii="宋体" w:hAnsi="宋体" w:eastAsia="宋体" w:cs="宋体"/>
          <w:b w:val="0"/>
          <w:bCs w:val="0"/>
          <w:color w:val="auto"/>
          <w:kern w:val="2"/>
          <w:sz w:val="21"/>
          <w:szCs w:val="21"/>
          <w:lang w:val="en-US" w:eastAsia="zh-CN" w:bidi="ar-SA"/>
        </w:rPr>
        <w:t>分）：对项目背景、目标、范围、需求等理解把握准确，对项目涉及的相关政策法规了解到位，资料掌握详实，能深入分析现有系统问题，陈述项目重点及难点。</w:t>
      </w:r>
    </w:p>
    <w:p w14:paraId="3E9C42A7">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cs="仿宋"/>
          <w:bCs/>
          <w:color w:val="auto"/>
          <w:sz w:val="21"/>
          <w:szCs w:val="21"/>
        </w:rPr>
        <w:t>注：未提供</w:t>
      </w:r>
      <w:r>
        <w:rPr>
          <w:rFonts w:hint="eastAsia" w:ascii="宋体" w:hAnsi="宋体" w:cs="仿宋"/>
          <w:bCs/>
          <w:color w:val="auto"/>
          <w:sz w:val="21"/>
          <w:szCs w:val="21"/>
          <w:lang w:val="en-US" w:eastAsia="zh-CN"/>
        </w:rPr>
        <w:t>本项内容</w:t>
      </w:r>
      <w:r>
        <w:rPr>
          <w:rFonts w:hint="eastAsia" w:ascii="宋体" w:hAnsi="宋体" w:cs="仿宋"/>
          <w:bCs/>
          <w:color w:val="auto"/>
          <w:sz w:val="21"/>
          <w:szCs w:val="21"/>
        </w:rPr>
        <w:t>不得分。</w:t>
      </w:r>
    </w:p>
    <w:p w14:paraId="78F21DDE">
      <w:pPr>
        <w:keepNext w:val="0"/>
        <w:keepLines w:val="0"/>
        <w:pageBreakBefore w:val="0"/>
        <w:widowControl w:val="0"/>
        <w:kinsoku/>
        <w:wordWrap/>
        <w:overflowPunct/>
        <w:topLinePunct w:val="0"/>
        <w:autoSpaceDE/>
        <w:autoSpaceDN/>
        <w:bidi w:val="0"/>
        <w:adjustRightInd/>
        <w:spacing w:line="360" w:lineRule="exact"/>
        <w:ind w:firstLine="0" w:firstLineChars="0"/>
        <w:textAlignment w:val="auto"/>
        <w:rPr>
          <w:rFonts w:hint="eastAsia" w:hAnsi="宋体" w:cs="仿宋"/>
          <w:b/>
          <w:color w:val="auto"/>
          <w:lang w:val="en-US" w:eastAsia="zh-CN"/>
        </w:rPr>
      </w:pPr>
      <w:r>
        <w:rPr>
          <w:rFonts w:hint="eastAsia" w:hAnsi="宋体" w:cs="仿宋"/>
          <w:b/>
          <w:color w:val="auto"/>
          <w:sz w:val="21"/>
          <w:szCs w:val="21"/>
          <w:lang w:val="en-US" w:eastAsia="zh-CN"/>
        </w:rPr>
        <w:t>4、技术设计方案分</w:t>
      </w:r>
      <w:r>
        <w:rPr>
          <w:rFonts w:hint="eastAsia" w:hAnsi="宋体" w:cs="仿宋"/>
          <w:b/>
          <w:color w:val="auto"/>
          <w:sz w:val="21"/>
          <w:szCs w:val="21"/>
        </w:rPr>
        <w:t>…………………</w:t>
      </w:r>
      <w:r>
        <w:rPr>
          <w:rFonts w:hint="eastAsia" w:hAnsi="宋体" w:cs="仿宋"/>
          <w:b/>
          <w:color w:val="auto"/>
        </w:rPr>
        <w:t>………………</w:t>
      </w:r>
      <w:r>
        <w:rPr>
          <w:rFonts w:hint="eastAsia" w:hAnsi="宋体" w:cs="仿宋"/>
          <w:b/>
          <w:color w:val="auto"/>
          <w:lang w:eastAsia="zh-CN"/>
        </w:rPr>
        <w:t>……</w:t>
      </w:r>
      <w:r>
        <w:rPr>
          <w:rFonts w:hint="eastAsia" w:hAnsi="宋体" w:cs="仿宋"/>
          <w:b/>
          <w:color w:val="auto"/>
        </w:rPr>
        <w:t>………</w:t>
      </w:r>
      <w:r>
        <w:rPr>
          <w:rFonts w:hint="eastAsia" w:hAnsi="宋体" w:cs="仿宋"/>
          <w:b/>
          <w:color w:val="auto"/>
          <w:lang w:eastAsia="zh-CN"/>
        </w:rPr>
        <w:t>……………</w:t>
      </w:r>
      <w:r>
        <w:rPr>
          <w:rFonts w:hint="eastAsia" w:hAnsi="宋体" w:cs="仿宋"/>
          <w:b/>
          <w:color w:val="auto"/>
        </w:rPr>
        <w:t>………</w:t>
      </w:r>
      <w:r>
        <w:rPr>
          <w:rFonts w:hint="eastAsia" w:ascii="宋体" w:hAnsi="宋体" w:eastAsia="宋体" w:cs="仿宋"/>
          <w:b/>
          <w:bCs w:val="0"/>
          <w:color w:val="auto"/>
          <w:szCs w:val="21"/>
          <w:lang w:val="en-US" w:eastAsia="zh-CN"/>
        </w:rPr>
        <w:t>…</w:t>
      </w:r>
      <w:r>
        <w:rPr>
          <w:rFonts w:hint="eastAsia" w:hAnsi="宋体" w:cs="仿宋"/>
          <w:b/>
          <w:color w:val="auto"/>
        </w:rPr>
        <w:t>………………</w:t>
      </w:r>
      <w:r>
        <w:rPr>
          <w:rFonts w:hint="eastAsia" w:hAnsi="宋体" w:cs="仿宋"/>
          <w:b/>
          <w:color w:val="auto"/>
          <w:lang w:val="en-US" w:eastAsia="zh-CN"/>
        </w:rPr>
        <w:t>8分</w:t>
      </w:r>
    </w:p>
    <w:p w14:paraId="768E1FEC">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hAnsi="宋体" w:cs="仿宋"/>
          <w:b w:val="0"/>
          <w:bCs/>
          <w:color w:val="auto"/>
          <w:lang w:val="en-US" w:eastAsia="zh-CN"/>
        </w:rPr>
      </w:pPr>
      <w:r>
        <w:rPr>
          <w:rFonts w:hint="eastAsia" w:hAnsi="宋体" w:cs="仿宋"/>
          <w:b w:val="0"/>
          <w:bCs/>
          <w:color w:val="auto"/>
          <w:lang w:val="en-US" w:eastAsia="zh-CN"/>
        </w:rPr>
        <w:t>一档（2分）：投标人的技术方案符合招标文件要求，项目建设依据充分，技术设计思路清晰。</w:t>
      </w:r>
    </w:p>
    <w:p w14:paraId="7D470B34">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hAnsi="宋体" w:cs="仿宋"/>
          <w:b w:val="0"/>
          <w:bCs/>
          <w:color w:val="auto"/>
          <w:lang w:val="en-US" w:eastAsia="zh-CN"/>
        </w:rPr>
      </w:pPr>
      <w:r>
        <w:rPr>
          <w:rFonts w:hint="eastAsia" w:hAnsi="宋体" w:cs="仿宋"/>
          <w:b w:val="0"/>
          <w:bCs/>
          <w:color w:val="auto"/>
          <w:lang w:val="en-US" w:eastAsia="zh-CN"/>
        </w:rPr>
        <w:t>二档（4分）：投标人的技术方案在满足一档的基础上，能针对本项目所涉及的系统进行系统架构设计、技术架构设计，采用“微服务”技术架构。</w:t>
      </w:r>
    </w:p>
    <w:p w14:paraId="419947EE">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hAnsi="宋体" w:cs="仿宋"/>
          <w:b w:val="0"/>
          <w:bCs/>
          <w:color w:val="auto"/>
          <w:lang w:val="en-US" w:eastAsia="zh-CN"/>
        </w:rPr>
      </w:pPr>
      <w:r>
        <w:rPr>
          <w:rFonts w:hint="eastAsia" w:hAnsi="宋体" w:cs="仿宋"/>
          <w:b w:val="0"/>
          <w:bCs/>
          <w:color w:val="auto"/>
          <w:lang w:val="en-US" w:eastAsia="zh-CN"/>
        </w:rPr>
        <w:t>三档（6分）：投标人的技术方案在满足二档的基础上，能针对本项目所涉及的系统进行技术路线设计，技术路线先进实用。</w:t>
      </w:r>
    </w:p>
    <w:p w14:paraId="4E217360">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hAnsi="宋体" w:cs="仿宋"/>
          <w:b w:val="0"/>
          <w:bCs/>
          <w:color w:val="auto"/>
          <w:lang w:val="en-US" w:eastAsia="zh-CN"/>
        </w:rPr>
      </w:pPr>
      <w:r>
        <w:rPr>
          <w:rFonts w:hint="eastAsia" w:hAnsi="宋体" w:cs="仿宋"/>
          <w:b w:val="0"/>
          <w:bCs/>
          <w:color w:val="auto"/>
          <w:lang w:val="en-US" w:eastAsia="zh-CN"/>
        </w:rPr>
        <w:t>四档（8分）：投标人的技术方案在满足三档的基础上，能提供具体的从电子病历四级向电子病历五级升级的演进路径、建设内容及保障措施的设计方案。</w:t>
      </w:r>
    </w:p>
    <w:p w14:paraId="68DC57A2">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hAnsi="宋体" w:cs="仿宋"/>
          <w:b w:val="0"/>
          <w:bCs/>
          <w:color w:val="auto"/>
          <w:lang w:val="en-US" w:eastAsia="zh-CN"/>
        </w:rPr>
      </w:pPr>
      <w:r>
        <w:rPr>
          <w:rFonts w:hint="eastAsia" w:ascii="宋体" w:hAnsi="宋体" w:cs="仿宋"/>
          <w:bCs/>
          <w:color w:val="auto"/>
          <w:szCs w:val="21"/>
        </w:rPr>
        <w:t>注：未提供</w:t>
      </w:r>
      <w:r>
        <w:rPr>
          <w:rFonts w:hint="eastAsia" w:ascii="宋体" w:hAnsi="宋体" w:cs="仿宋"/>
          <w:bCs/>
          <w:color w:val="auto"/>
          <w:szCs w:val="21"/>
          <w:lang w:val="en-US" w:eastAsia="zh-CN"/>
        </w:rPr>
        <w:t>本项内容</w:t>
      </w:r>
      <w:r>
        <w:rPr>
          <w:rFonts w:hint="eastAsia" w:ascii="宋体" w:hAnsi="宋体" w:cs="仿宋"/>
          <w:bCs/>
          <w:color w:val="auto"/>
          <w:szCs w:val="21"/>
        </w:rPr>
        <w:t>不得分。</w:t>
      </w:r>
    </w:p>
    <w:p w14:paraId="4F0BA70E">
      <w:pPr>
        <w:keepNext w:val="0"/>
        <w:keepLines w:val="0"/>
        <w:pageBreakBefore w:val="0"/>
        <w:widowControl w:val="0"/>
        <w:kinsoku/>
        <w:wordWrap/>
        <w:overflowPunct/>
        <w:topLinePunct w:val="0"/>
        <w:autoSpaceDE/>
        <w:autoSpaceDN/>
        <w:bidi w:val="0"/>
        <w:adjustRightInd/>
        <w:spacing w:line="360" w:lineRule="exact"/>
        <w:ind w:firstLine="0" w:firstLineChars="0"/>
        <w:textAlignment w:val="auto"/>
        <w:rPr>
          <w:rFonts w:hint="eastAsia" w:hAnsi="宋体" w:cs="仿宋"/>
          <w:b/>
          <w:color w:val="auto"/>
        </w:rPr>
      </w:pPr>
      <w:r>
        <w:rPr>
          <w:rFonts w:hint="eastAsia" w:hAnsi="宋体" w:cs="仿宋"/>
          <w:b/>
          <w:color w:val="auto"/>
          <w:lang w:val="en-US" w:eastAsia="zh-CN"/>
        </w:rPr>
        <w:t>5、项目实施方案分</w:t>
      </w:r>
      <w:r>
        <w:rPr>
          <w:rFonts w:hint="eastAsia" w:hAnsi="宋体" w:cs="仿宋"/>
          <w:b/>
          <w:color w:val="auto"/>
        </w:rPr>
        <w:t>…………………………………</w:t>
      </w:r>
      <w:r>
        <w:rPr>
          <w:rFonts w:hint="eastAsia" w:hAnsi="宋体" w:cs="仿宋"/>
          <w:b/>
          <w:color w:val="auto"/>
          <w:lang w:eastAsia="zh-CN"/>
        </w:rPr>
        <w:t>……</w:t>
      </w:r>
      <w:r>
        <w:rPr>
          <w:rFonts w:hint="eastAsia" w:hAnsi="宋体" w:cs="仿宋"/>
          <w:b/>
          <w:color w:val="auto"/>
        </w:rPr>
        <w:t>……………………………</w:t>
      </w:r>
      <w:r>
        <w:rPr>
          <w:rFonts w:hint="eastAsia" w:ascii="宋体" w:hAnsi="宋体" w:eastAsia="宋体" w:cs="仿宋"/>
          <w:b/>
          <w:bCs w:val="0"/>
          <w:color w:val="auto"/>
          <w:szCs w:val="21"/>
          <w:lang w:val="en-US" w:eastAsia="zh-CN"/>
        </w:rPr>
        <w:t>…</w:t>
      </w:r>
      <w:r>
        <w:rPr>
          <w:rFonts w:hint="eastAsia" w:hAnsi="宋体" w:cs="仿宋"/>
          <w:b/>
          <w:color w:val="auto"/>
        </w:rPr>
        <w:t>………………</w:t>
      </w:r>
      <w:r>
        <w:rPr>
          <w:rFonts w:hint="eastAsia" w:hAnsi="宋体" w:cs="仿宋"/>
          <w:b/>
          <w:color w:val="auto"/>
          <w:lang w:val="en-US" w:eastAsia="zh-CN"/>
        </w:rPr>
        <w:t>8</w:t>
      </w:r>
      <w:r>
        <w:rPr>
          <w:rFonts w:hint="eastAsia" w:hAnsi="宋体" w:cs="仿宋"/>
          <w:b/>
          <w:color w:val="auto"/>
        </w:rPr>
        <w:t>分</w:t>
      </w:r>
    </w:p>
    <w:p w14:paraId="375201D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一档（2分）：</w:t>
      </w:r>
      <w:r>
        <w:rPr>
          <w:rFonts w:hint="eastAsia" w:hAnsi="宋体" w:cs="仿宋"/>
          <w:b w:val="0"/>
          <w:bCs/>
          <w:color w:val="auto"/>
          <w:lang w:val="en-US" w:eastAsia="zh-CN"/>
        </w:rPr>
        <w:t>投标人</w:t>
      </w:r>
      <w:r>
        <w:rPr>
          <w:rFonts w:hint="eastAsia" w:ascii="宋体" w:hAnsi="宋体" w:eastAsia="宋体" w:cs="宋体"/>
          <w:color w:val="auto"/>
          <w:lang w:val="en-US" w:eastAsia="zh-CN"/>
        </w:rPr>
        <w:t>的项目实施方案包含有满足招标文件要求的实施步骤、项目管理组织以及实施团队、实施进度计划、项目实施过程等内容基本满足采购需求。</w:t>
      </w:r>
    </w:p>
    <w:p w14:paraId="153F0B2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二档（4分）：</w:t>
      </w:r>
      <w:r>
        <w:rPr>
          <w:rFonts w:hint="eastAsia" w:hAnsi="宋体" w:cs="仿宋"/>
          <w:b w:val="0"/>
          <w:bCs/>
          <w:color w:val="auto"/>
          <w:lang w:val="en-US" w:eastAsia="zh-CN"/>
        </w:rPr>
        <w:t>投标人</w:t>
      </w:r>
      <w:r>
        <w:rPr>
          <w:rFonts w:hint="eastAsia" w:ascii="宋体" w:hAnsi="宋体" w:eastAsia="宋体" w:cs="宋体"/>
          <w:color w:val="auto"/>
          <w:lang w:val="en-US" w:eastAsia="zh-CN"/>
        </w:rPr>
        <w:t>的项目实施方案包含有：①项目实施步骤；②成立项目管理组织以及实施团队，拟投入的实施团队人员数量不少于3人；③进度方案，进度安排满足招标文件要求，有相应的进度保障措施；④实施过程具有相应的质量控制措施，实施方案较完善，满足采购需求。</w:t>
      </w:r>
    </w:p>
    <w:p w14:paraId="3600FAC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三档（6分）：</w:t>
      </w:r>
      <w:r>
        <w:rPr>
          <w:rFonts w:hint="eastAsia" w:hAnsi="宋体" w:cs="仿宋"/>
          <w:b w:val="0"/>
          <w:bCs/>
          <w:color w:val="auto"/>
          <w:lang w:val="en-US" w:eastAsia="zh-CN"/>
        </w:rPr>
        <w:t>投标人</w:t>
      </w:r>
      <w:r>
        <w:rPr>
          <w:rFonts w:hint="eastAsia" w:ascii="宋体" w:hAnsi="宋体" w:eastAsia="宋体" w:cs="宋体"/>
          <w:color w:val="auto"/>
          <w:lang w:val="en-US" w:eastAsia="zh-CN"/>
        </w:rPr>
        <w:t>的项目实施方案包含有：①项目实施步骤 ；②成立项目管理组织以及实施团队，拟投入的实施团队人员数量不少于5人，对项目实施工作进行明细分工，责任到人；③进度方案制定有细化的项目工作任务和目标，确保项目顺利推进，进度工作计划中各阶段工作、流程安排明确；④实施过程具有完善的质量控制、风险控制措施。</w:t>
      </w:r>
    </w:p>
    <w:p w14:paraId="14F2383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四档（8分）：</w:t>
      </w:r>
      <w:r>
        <w:rPr>
          <w:rFonts w:hint="eastAsia" w:hAnsi="宋体" w:cs="仿宋"/>
          <w:b w:val="0"/>
          <w:bCs/>
          <w:color w:val="auto"/>
          <w:lang w:val="en-US" w:eastAsia="zh-CN"/>
        </w:rPr>
        <w:t>投标人</w:t>
      </w:r>
      <w:r>
        <w:rPr>
          <w:rFonts w:hint="eastAsia" w:ascii="宋体" w:hAnsi="宋体" w:eastAsia="宋体" w:cs="宋体"/>
          <w:color w:val="auto"/>
          <w:lang w:val="en-US" w:eastAsia="zh-CN"/>
        </w:rPr>
        <w:t>的项目实施方案在满足三档的基础上，对项目实施过程中可能出现的风险有预见性、风险应对措施积极，能提供多种保障措施；过程的沟通管理、项目验收、保密措施等管理措施完善。</w:t>
      </w:r>
    </w:p>
    <w:p w14:paraId="648DFE2D">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color w:val="auto"/>
        </w:rPr>
      </w:pPr>
      <w:r>
        <w:rPr>
          <w:rFonts w:hint="eastAsia" w:ascii="宋体" w:hAnsi="宋体" w:cs="仿宋"/>
          <w:bCs/>
          <w:color w:val="auto"/>
          <w:szCs w:val="21"/>
        </w:rPr>
        <w:t>注：未提供</w:t>
      </w:r>
      <w:r>
        <w:rPr>
          <w:rFonts w:hint="eastAsia" w:ascii="宋体" w:hAnsi="宋体" w:cs="仿宋"/>
          <w:bCs/>
          <w:color w:val="auto"/>
          <w:szCs w:val="21"/>
          <w:lang w:val="en-US" w:eastAsia="zh-CN"/>
        </w:rPr>
        <w:t>本项内容</w:t>
      </w:r>
      <w:r>
        <w:rPr>
          <w:rFonts w:hint="eastAsia" w:ascii="宋体" w:hAnsi="宋体" w:cs="仿宋"/>
          <w:bCs/>
          <w:color w:val="auto"/>
          <w:szCs w:val="21"/>
        </w:rPr>
        <w:t>不得分。</w:t>
      </w:r>
    </w:p>
    <w:p w14:paraId="1CA506CB">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hAnsi="宋体" w:cs="仿宋"/>
          <w:b/>
          <w:bCs w:val="0"/>
          <w:color w:val="auto"/>
          <w:szCs w:val="21"/>
        </w:rPr>
      </w:pPr>
      <w:r>
        <w:rPr>
          <w:rFonts w:hint="eastAsia" w:ascii="宋体" w:hAnsi="宋体" w:cs="仿宋"/>
          <w:b/>
          <w:bCs w:val="0"/>
          <w:color w:val="auto"/>
          <w:szCs w:val="21"/>
          <w:lang w:val="en-US" w:eastAsia="zh-CN"/>
        </w:rPr>
        <w:t>6、运维及</w:t>
      </w:r>
      <w:r>
        <w:rPr>
          <w:rFonts w:hint="eastAsia" w:hAnsi="宋体" w:cs="仿宋"/>
          <w:b/>
          <w:color w:val="auto"/>
          <w:lang w:val="en-US" w:eastAsia="zh-CN"/>
        </w:rPr>
        <w:t>售后服务方案分</w:t>
      </w:r>
      <w:r>
        <w:rPr>
          <w:rFonts w:hint="eastAsia" w:ascii="宋体" w:hAnsi="宋体" w:cs="仿宋"/>
          <w:b/>
          <w:bCs w:val="0"/>
          <w:color w:val="auto"/>
          <w:szCs w:val="21"/>
          <w:lang w:val="en-US" w:eastAsia="zh-CN"/>
        </w:rPr>
        <w:t>……………………………………………………………</w:t>
      </w:r>
      <w:r>
        <w:rPr>
          <w:rFonts w:hint="eastAsia" w:ascii="宋体" w:hAnsi="宋体" w:eastAsia="宋体" w:cs="仿宋"/>
          <w:b/>
          <w:bCs w:val="0"/>
          <w:color w:val="auto"/>
          <w:szCs w:val="21"/>
          <w:lang w:val="en-US" w:eastAsia="zh-CN"/>
        </w:rPr>
        <w:t>………</w:t>
      </w:r>
      <w:r>
        <w:rPr>
          <w:rFonts w:hint="eastAsia" w:ascii="宋体" w:hAnsi="宋体" w:cs="仿宋"/>
          <w:b/>
          <w:bCs w:val="0"/>
          <w:color w:val="auto"/>
          <w:szCs w:val="21"/>
          <w:lang w:val="en-US" w:eastAsia="zh-CN"/>
        </w:rPr>
        <w:t>…………8</w:t>
      </w:r>
      <w:r>
        <w:rPr>
          <w:rFonts w:hint="eastAsia" w:ascii="宋体" w:hAnsi="宋体" w:cs="仿宋"/>
          <w:b/>
          <w:bCs w:val="0"/>
          <w:color w:val="auto"/>
          <w:szCs w:val="21"/>
        </w:rPr>
        <w:t>分</w:t>
      </w:r>
    </w:p>
    <w:p w14:paraId="59139F0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一档（2分）：投标人提供有可行的售后服务方式，服务响应及时，能保障系统正常运行。</w:t>
      </w:r>
    </w:p>
    <w:p w14:paraId="233AB7E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二档（4分）：在满足一档的基础上，提供故障解决方案，根据故障级别有不同级别的处理流程和故障排查解决方案；</w:t>
      </w:r>
    </w:p>
    <w:p w14:paraId="1B75C5D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三档（6分）：在满足二档的基础上，售后服务体系规范，有专职的售后技术维护团队进行系统维护以保障系统的良好运行，提供系统升级方案。</w:t>
      </w:r>
    </w:p>
    <w:p w14:paraId="3FB88CD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四档（8分）：在满足三档的基础上，具有售后服务保证措施，服务保证措施得力；提供系统巡检方案，每季度提供不少于1次系统巡检服务。</w:t>
      </w:r>
    </w:p>
    <w:p w14:paraId="6F778076">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color w:val="auto"/>
        </w:rPr>
      </w:pPr>
      <w:r>
        <w:rPr>
          <w:rFonts w:hint="eastAsia" w:ascii="宋体" w:hAnsi="宋体" w:eastAsia="宋体" w:cs="仿宋"/>
          <w:bCs/>
          <w:color w:val="auto"/>
          <w:szCs w:val="21"/>
        </w:rPr>
        <w:t>注：未提供</w:t>
      </w:r>
      <w:r>
        <w:rPr>
          <w:rFonts w:hint="eastAsia" w:ascii="宋体" w:hAnsi="宋体" w:eastAsia="宋体" w:cs="仿宋"/>
          <w:bCs/>
          <w:color w:val="auto"/>
          <w:szCs w:val="21"/>
          <w:lang w:val="en-US" w:eastAsia="zh-CN"/>
        </w:rPr>
        <w:t>本项内</w:t>
      </w:r>
      <w:r>
        <w:rPr>
          <w:rFonts w:hint="eastAsia" w:ascii="宋体" w:hAnsi="宋体" w:cs="仿宋"/>
          <w:bCs/>
          <w:color w:val="auto"/>
          <w:szCs w:val="21"/>
          <w:lang w:val="en-US" w:eastAsia="zh-CN"/>
        </w:rPr>
        <w:t>容</w:t>
      </w:r>
      <w:r>
        <w:rPr>
          <w:rFonts w:hint="eastAsia" w:ascii="宋体" w:hAnsi="宋体" w:cs="仿宋"/>
          <w:bCs/>
          <w:color w:val="auto"/>
          <w:szCs w:val="21"/>
        </w:rPr>
        <w:t>不得分。</w:t>
      </w:r>
    </w:p>
    <w:p w14:paraId="108861CF">
      <w:pPr>
        <w:keepNext w:val="0"/>
        <w:keepLines w:val="0"/>
        <w:pageBreakBefore w:val="0"/>
        <w:widowControl w:val="0"/>
        <w:kinsoku/>
        <w:wordWrap/>
        <w:overflowPunct/>
        <w:topLinePunct w:val="0"/>
        <w:autoSpaceDE/>
        <w:autoSpaceDN/>
        <w:bidi w:val="0"/>
        <w:adjustRightInd/>
        <w:spacing w:line="360" w:lineRule="exact"/>
        <w:ind w:firstLine="0" w:firstLineChars="0"/>
        <w:textAlignment w:val="auto"/>
        <w:rPr>
          <w:rFonts w:hint="eastAsia" w:hAnsi="宋体" w:cs="仿宋"/>
          <w:b/>
          <w:color w:val="auto"/>
        </w:rPr>
      </w:pPr>
      <w:r>
        <w:rPr>
          <w:rFonts w:hint="eastAsia" w:hAnsi="宋体" w:cs="仿宋"/>
          <w:b/>
          <w:color w:val="auto"/>
          <w:lang w:val="en-US" w:eastAsia="zh-CN"/>
        </w:rPr>
        <w:t>7</w:t>
      </w:r>
      <w:r>
        <w:rPr>
          <w:rFonts w:hint="eastAsia" w:hAnsi="宋体" w:cs="仿宋"/>
          <w:b/>
          <w:color w:val="auto"/>
        </w:rPr>
        <w:t>、</w:t>
      </w:r>
      <w:r>
        <w:rPr>
          <w:rFonts w:hint="eastAsia" w:hAnsi="宋体" w:cs="仿宋"/>
          <w:b/>
          <w:color w:val="auto"/>
          <w:lang w:val="en-US" w:eastAsia="zh-CN"/>
        </w:rPr>
        <w:t>培训方案分</w:t>
      </w:r>
      <w:r>
        <w:rPr>
          <w:rFonts w:hint="eastAsia" w:hAnsi="宋体" w:cs="仿宋"/>
          <w:b/>
          <w:color w:val="auto"/>
        </w:rPr>
        <w:t>…………………………………</w:t>
      </w:r>
      <w:r>
        <w:rPr>
          <w:rFonts w:hint="eastAsia" w:hAnsi="宋体" w:cs="仿宋"/>
          <w:b/>
          <w:color w:val="auto"/>
          <w:lang w:eastAsia="zh-CN"/>
        </w:rPr>
        <w:t>……</w:t>
      </w:r>
      <w:r>
        <w:rPr>
          <w:rFonts w:hint="eastAsia" w:hAnsi="宋体" w:cs="仿宋"/>
          <w:b/>
          <w:color w:val="auto"/>
        </w:rPr>
        <w:t>…………………………</w:t>
      </w:r>
      <w:r>
        <w:rPr>
          <w:rFonts w:hint="eastAsia" w:ascii="宋体" w:hAnsi="宋体" w:eastAsia="宋体" w:cs="仿宋"/>
          <w:b/>
          <w:bCs w:val="0"/>
          <w:color w:val="auto"/>
          <w:szCs w:val="21"/>
          <w:lang w:val="en-US" w:eastAsia="zh-CN"/>
        </w:rPr>
        <w:t>……</w:t>
      </w:r>
      <w:r>
        <w:rPr>
          <w:rFonts w:hint="eastAsia" w:hAnsi="宋体" w:cs="仿宋"/>
          <w:b/>
          <w:color w:val="auto"/>
        </w:rPr>
        <w:t>……………………</w:t>
      </w:r>
      <w:r>
        <w:rPr>
          <w:rFonts w:hint="eastAsia" w:hAnsi="宋体" w:cs="仿宋"/>
          <w:b/>
          <w:color w:val="auto"/>
          <w:lang w:val="en-US" w:eastAsia="zh-CN"/>
        </w:rPr>
        <w:t>5</w:t>
      </w:r>
      <w:r>
        <w:rPr>
          <w:rFonts w:hint="eastAsia" w:hAnsi="宋体" w:cs="仿宋"/>
          <w:b/>
          <w:color w:val="auto"/>
        </w:rPr>
        <w:t>分</w:t>
      </w:r>
    </w:p>
    <w:p w14:paraId="5FEE453C">
      <w:pPr>
        <w:pStyle w:val="28"/>
        <w:pageBreakBefore w:val="0"/>
        <w:widowControl w:val="0"/>
        <w:numPr>
          <w:ilvl w:val="0"/>
          <w:numId w:val="0"/>
        </w:numPr>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一档（</w:t>
      </w:r>
      <w:r>
        <w:rPr>
          <w:rFonts w:hint="eastAsia" w:hAnsi="宋体" w:cs="宋体"/>
          <w:color w:val="auto"/>
          <w:sz w:val="21"/>
          <w:szCs w:val="21"/>
          <w:lang w:val="en-US" w:eastAsia="zh-CN"/>
        </w:rPr>
        <w:t>1</w:t>
      </w:r>
      <w:r>
        <w:rPr>
          <w:rFonts w:hint="eastAsia" w:ascii="宋体" w:hAnsi="宋体" w:eastAsia="宋体" w:cs="宋体"/>
          <w:color w:val="auto"/>
          <w:sz w:val="21"/>
          <w:szCs w:val="21"/>
          <w:lang w:val="en-US" w:eastAsia="zh-CN"/>
        </w:rPr>
        <w:t>分）：投标人能根据采购需求制订项目培训方案，方案能满足采购需求，但培训内容未针对本项目有针对性地设计、完善的</w:t>
      </w:r>
      <w:r>
        <w:rPr>
          <w:rFonts w:hint="eastAsia" w:ascii="宋体" w:hAnsi="宋体" w:eastAsia="宋体" w:cs="仿宋"/>
          <w:bCs/>
          <w:color w:val="auto"/>
          <w:szCs w:val="21"/>
          <w:highlight w:val="none"/>
          <w:lang w:eastAsia="zh-CN"/>
        </w:rPr>
        <w:t>；</w:t>
      </w:r>
    </w:p>
    <w:p w14:paraId="1EC58CA4">
      <w:pPr>
        <w:pStyle w:val="28"/>
        <w:pageBreakBefore w:val="0"/>
        <w:widowControl w:val="0"/>
        <w:numPr>
          <w:ilvl w:val="0"/>
          <w:numId w:val="0"/>
        </w:numPr>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二档（</w:t>
      </w:r>
      <w:r>
        <w:rPr>
          <w:rFonts w:hint="eastAsia" w:hAnsi="宋体" w:cs="宋体"/>
          <w:color w:val="auto"/>
          <w:sz w:val="21"/>
          <w:szCs w:val="21"/>
          <w:lang w:val="en-US" w:eastAsia="zh-CN"/>
        </w:rPr>
        <w:t>3</w:t>
      </w:r>
      <w:r>
        <w:rPr>
          <w:rFonts w:hint="eastAsia" w:ascii="宋体" w:hAnsi="宋体" w:eastAsia="宋体" w:cs="宋体"/>
          <w:color w:val="auto"/>
          <w:sz w:val="21"/>
          <w:szCs w:val="21"/>
          <w:lang w:val="en-US" w:eastAsia="zh-CN"/>
        </w:rPr>
        <w:t>分）：培训方案与本项目相契合，能根据采购服务要求制订有针对性的、符合医用系统培训使用的项目培训方案，有具体的培训计划，列举有具体的培训内容。</w:t>
      </w:r>
    </w:p>
    <w:p w14:paraId="0671673F">
      <w:pPr>
        <w:pStyle w:val="28"/>
        <w:pageBreakBefore w:val="0"/>
        <w:widowControl w:val="0"/>
        <w:numPr>
          <w:ilvl w:val="0"/>
          <w:numId w:val="0"/>
        </w:numPr>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三档（</w:t>
      </w:r>
      <w:r>
        <w:rPr>
          <w:rFonts w:hint="eastAsia" w:hAnsi="宋体" w:cs="宋体"/>
          <w:color w:val="auto"/>
          <w:sz w:val="21"/>
          <w:szCs w:val="21"/>
          <w:lang w:val="en-US" w:eastAsia="zh-CN"/>
        </w:rPr>
        <w:t>4</w:t>
      </w:r>
      <w:r>
        <w:rPr>
          <w:rFonts w:hint="eastAsia" w:ascii="宋体" w:hAnsi="宋体" w:eastAsia="宋体" w:cs="宋体"/>
          <w:color w:val="auto"/>
          <w:sz w:val="21"/>
          <w:szCs w:val="21"/>
          <w:lang w:val="en-US" w:eastAsia="zh-CN"/>
        </w:rPr>
        <w:t>分）：在满足二档的基础上，培训方案包含可行的培训方式，</w:t>
      </w:r>
      <w:r>
        <w:rPr>
          <w:rFonts w:hint="eastAsia" w:hAnsi="宋体" w:cs="宋体"/>
          <w:color w:val="auto"/>
          <w:sz w:val="21"/>
          <w:szCs w:val="21"/>
          <w:lang w:val="en-US" w:eastAsia="zh-CN"/>
        </w:rPr>
        <w:t>根据业务角色设置不同的</w:t>
      </w:r>
      <w:r>
        <w:rPr>
          <w:rFonts w:hint="eastAsia" w:ascii="宋体" w:hAnsi="宋体" w:eastAsia="宋体" w:cs="宋体"/>
          <w:color w:val="auto"/>
          <w:sz w:val="21"/>
          <w:szCs w:val="21"/>
          <w:lang w:val="en-US" w:eastAsia="zh-CN"/>
        </w:rPr>
        <w:t>培训对象</w:t>
      </w:r>
      <w:r>
        <w:rPr>
          <w:rFonts w:hint="eastAsia"/>
          <w:lang w:val="en-US" w:eastAsia="zh-CN"/>
        </w:rPr>
        <w:t>及</w:t>
      </w:r>
      <w:r>
        <w:rPr>
          <w:rFonts w:hint="eastAsia" w:hAnsi="宋体" w:cs="宋体"/>
          <w:color w:val="auto"/>
          <w:sz w:val="21"/>
          <w:szCs w:val="21"/>
          <w:lang w:val="en-US" w:eastAsia="zh-CN"/>
        </w:rPr>
        <w:t>培训课程</w:t>
      </w:r>
      <w:r>
        <w:rPr>
          <w:rFonts w:hint="eastAsia" w:ascii="宋体" w:hAnsi="宋体" w:eastAsia="宋体" w:cs="宋体"/>
          <w:color w:val="auto"/>
          <w:sz w:val="21"/>
          <w:szCs w:val="21"/>
          <w:lang w:val="en-US" w:eastAsia="zh-CN"/>
        </w:rPr>
        <w:t>。</w:t>
      </w:r>
    </w:p>
    <w:p w14:paraId="51176EDA">
      <w:pPr>
        <w:pStyle w:val="28"/>
        <w:pageBreakBefore w:val="0"/>
        <w:widowControl w:val="0"/>
        <w:numPr>
          <w:ilvl w:val="0"/>
          <w:numId w:val="0"/>
        </w:numPr>
        <w:kinsoku/>
        <w:wordWrap/>
        <w:overflowPunct/>
        <w:topLinePunct w:val="0"/>
        <w:autoSpaceDE/>
        <w:autoSpaceDN/>
        <w:bidi w:val="0"/>
        <w:spacing w:line="360" w:lineRule="exact"/>
        <w:ind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四档（</w:t>
      </w:r>
      <w:r>
        <w:rPr>
          <w:rFonts w:hint="eastAsia" w:hAnsi="宋体" w:cs="宋体"/>
          <w:color w:val="auto"/>
          <w:sz w:val="21"/>
          <w:szCs w:val="21"/>
          <w:lang w:val="en-US" w:eastAsia="zh-CN"/>
        </w:rPr>
        <w:t>5</w:t>
      </w:r>
      <w:r>
        <w:rPr>
          <w:rFonts w:hint="eastAsia" w:ascii="宋体" w:hAnsi="宋体" w:eastAsia="宋体" w:cs="宋体"/>
          <w:color w:val="auto"/>
          <w:sz w:val="21"/>
          <w:szCs w:val="21"/>
          <w:lang w:val="en-US" w:eastAsia="zh-CN"/>
        </w:rPr>
        <w:t>分）：在满足三档的基础上，培训方案包含健全的培训考核机制。</w:t>
      </w:r>
    </w:p>
    <w:p w14:paraId="373AA5EE">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color w:val="auto"/>
        </w:rPr>
      </w:pPr>
      <w:r>
        <w:rPr>
          <w:rFonts w:hint="eastAsia" w:ascii="宋体" w:hAnsi="宋体" w:cs="仿宋"/>
          <w:bCs/>
          <w:color w:val="auto"/>
          <w:szCs w:val="21"/>
        </w:rPr>
        <w:t>注：未提供</w:t>
      </w:r>
      <w:r>
        <w:rPr>
          <w:rFonts w:hint="eastAsia" w:ascii="宋体" w:hAnsi="宋体" w:cs="仿宋"/>
          <w:bCs/>
          <w:color w:val="auto"/>
          <w:szCs w:val="21"/>
          <w:lang w:val="en-US" w:eastAsia="zh-CN"/>
        </w:rPr>
        <w:t>本项内容</w:t>
      </w:r>
      <w:r>
        <w:rPr>
          <w:rFonts w:hint="eastAsia" w:ascii="宋体" w:hAnsi="宋体" w:cs="仿宋"/>
          <w:bCs/>
          <w:color w:val="auto"/>
          <w:szCs w:val="21"/>
        </w:rPr>
        <w:t>不得分。</w:t>
      </w:r>
    </w:p>
    <w:p w14:paraId="29ABB561">
      <w:pPr>
        <w:pStyle w:val="28"/>
        <w:keepNext w:val="0"/>
        <w:keepLines w:val="0"/>
        <w:pageBreakBefore w:val="0"/>
        <w:widowControl w:val="0"/>
        <w:kinsoku/>
        <w:wordWrap/>
        <w:overflowPunct/>
        <w:topLinePunct w:val="0"/>
        <w:autoSpaceDE/>
        <w:autoSpaceDN/>
        <w:bidi w:val="0"/>
        <w:adjustRightInd/>
        <w:snapToGrid w:val="0"/>
        <w:spacing w:line="360" w:lineRule="exact"/>
        <w:ind w:firstLine="0" w:firstLineChars="0"/>
        <w:jc w:val="left"/>
        <w:textAlignment w:val="auto"/>
        <w:outlineLvl w:val="1"/>
        <w:rPr>
          <w:rFonts w:hint="eastAsia" w:hAnsi="宋体" w:cs="仿宋"/>
          <w:b/>
          <w:bCs/>
          <w:color w:val="auto"/>
          <w:sz w:val="21"/>
          <w:szCs w:val="21"/>
          <w:highlight w:val="none"/>
        </w:rPr>
      </w:pPr>
      <w:r>
        <w:rPr>
          <w:rFonts w:hint="eastAsia" w:hAnsi="宋体" w:cs="仿宋"/>
          <w:b/>
          <w:bCs/>
          <w:color w:val="auto"/>
          <w:sz w:val="21"/>
          <w:szCs w:val="21"/>
          <w:highlight w:val="none"/>
          <w:lang w:val="en-US" w:eastAsia="zh-CN"/>
        </w:rPr>
        <w:t>8、电子病历评级</w:t>
      </w:r>
      <w:r>
        <w:rPr>
          <w:rFonts w:hint="eastAsia" w:hAnsi="宋体" w:cs="仿宋"/>
          <w:b/>
          <w:bCs/>
          <w:color w:val="auto"/>
          <w:sz w:val="21"/>
          <w:szCs w:val="21"/>
          <w:highlight w:val="none"/>
        </w:rPr>
        <w:t>业绩分………………………………………………</w:t>
      </w:r>
      <w:r>
        <w:rPr>
          <w:rFonts w:hint="eastAsia" w:hAnsi="宋体" w:cs="仿宋"/>
          <w:b/>
          <w:bCs/>
          <w:color w:val="auto"/>
          <w:sz w:val="21"/>
          <w:szCs w:val="21"/>
          <w:highlight w:val="none"/>
          <w:lang w:eastAsia="zh-CN"/>
        </w:rPr>
        <w:t>……</w:t>
      </w:r>
      <w:r>
        <w:rPr>
          <w:rFonts w:hint="eastAsia" w:hAnsi="宋体" w:cs="仿宋"/>
          <w:b/>
          <w:bCs/>
          <w:color w:val="auto"/>
          <w:sz w:val="21"/>
          <w:szCs w:val="21"/>
          <w:highlight w:val="none"/>
        </w:rPr>
        <w:t>………………</w:t>
      </w:r>
      <w:r>
        <w:rPr>
          <w:rFonts w:hint="eastAsia" w:hAnsi="宋体" w:cs="仿宋"/>
          <w:b/>
          <w:bCs/>
          <w:color w:val="auto"/>
          <w:sz w:val="21"/>
          <w:szCs w:val="21"/>
          <w:highlight w:val="none"/>
          <w:lang w:eastAsia="zh-CN"/>
        </w:rPr>
        <w:t>……</w:t>
      </w:r>
      <w:r>
        <w:rPr>
          <w:rFonts w:hint="eastAsia" w:hAnsi="宋体" w:cs="仿宋"/>
          <w:b/>
          <w:bCs/>
          <w:color w:val="auto"/>
          <w:sz w:val="21"/>
          <w:szCs w:val="21"/>
          <w:highlight w:val="none"/>
        </w:rPr>
        <w:t>………</w:t>
      </w:r>
      <w:r>
        <w:rPr>
          <w:rFonts w:hint="eastAsia" w:hAnsi="宋体" w:cs="仿宋"/>
          <w:b/>
          <w:bCs/>
          <w:color w:val="auto"/>
          <w:sz w:val="21"/>
          <w:szCs w:val="21"/>
          <w:highlight w:val="none"/>
          <w:lang w:val="en-US" w:eastAsia="zh-CN"/>
        </w:rPr>
        <w:t>9</w:t>
      </w:r>
      <w:r>
        <w:rPr>
          <w:rFonts w:hint="eastAsia" w:hAnsi="宋体" w:cs="仿宋"/>
          <w:b/>
          <w:bCs/>
          <w:color w:val="auto"/>
          <w:sz w:val="21"/>
          <w:szCs w:val="21"/>
          <w:highlight w:val="none"/>
        </w:rPr>
        <w:t>分</w:t>
      </w:r>
    </w:p>
    <w:p w14:paraId="0D473C9A">
      <w:pPr>
        <w:pStyle w:val="28"/>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outlineLvl w:val="1"/>
        <w:rPr>
          <w:rFonts w:hint="eastAsia" w:ascii="宋体" w:hAnsi="宋体" w:cs="仿宋"/>
          <w:bCs/>
          <w:color w:val="auto"/>
          <w:sz w:val="21"/>
          <w:szCs w:val="21"/>
        </w:rPr>
      </w:pPr>
      <w:r>
        <w:rPr>
          <w:rFonts w:hint="eastAsia" w:ascii="宋体" w:hAnsi="宋体" w:cs="仿宋"/>
          <w:bCs/>
          <w:color w:val="auto"/>
          <w:sz w:val="21"/>
          <w:szCs w:val="21"/>
        </w:rPr>
        <w:t>为了响应卫健委《关于进一步推进以电子病历为核心的医疗机构信息化建设工作的通知》，要求投标人具有高阶电子病历系统应用水平分级评价建设能力及成功实施经验。要求提供高阶电子病历分级评价的建设案例作为证明材料，具有电子病历四级(及以下)案例，每有一个得0.5分，最多得</w:t>
      </w:r>
      <w:r>
        <w:rPr>
          <w:rFonts w:hint="eastAsia" w:hAnsi="宋体" w:cs="仿宋"/>
          <w:bCs/>
          <w:color w:val="auto"/>
          <w:sz w:val="21"/>
          <w:szCs w:val="21"/>
          <w:lang w:val="en-US" w:eastAsia="zh-CN"/>
        </w:rPr>
        <w:t>3</w:t>
      </w:r>
      <w:r>
        <w:rPr>
          <w:rFonts w:hint="eastAsia" w:ascii="宋体" w:hAnsi="宋体" w:cs="仿宋"/>
          <w:bCs/>
          <w:color w:val="auto"/>
          <w:sz w:val="21"/>
          <w:szCs w:val="21"/>
        </w:rPr>
        <w:t>分；具有电子病历五级案例，每有一个得0.5分，最多得</w:t>
      </w:r>
      <w:r>
        <w:rPr>
          <w:rFonts w:hint="eastAsia" w:hAnsi="宋体" w:cs="仿宋"/>
          <w:bCs/>
          <w:color w:val="auto"/>
          <w:sz w:val="21"/>
          <w:szCs w:val="21"/>
          <w:lang w:val="en-US" w:eastAsia="zh-CN"/>
        </w:rPr>
        <w:t>3</w:t>
      </w:r>
      <w:r>
        <w:rPr>
          <w:rFonts w:hint="eastAsia" w:ascii="宋体" w:hAnsi="宋体" w:cs="仿宋"/>
          <w:bCs/>
          <w:color w:val="auto"/>
          <w:sz w:val="21"/>
          <w:szCs w:val="21"/>
        </w:rPr>
        <w:t>分；具有电子病历六级及以上案例，每有一个得0.5分，最多得</w:t>
      </w:r>
      <w:r>
        <w:rPr>
          <w:rFonts w:hint="eastAsia" w:hAnsi="宋体" w:cs="仿宋"/>
          <w:bCs/>
          <w:color w:val="auto"/>
          <w:sz w:val="21"/>
          <w:szCs w:val="21"/>
          <w:lang w:val="en-US" w:eastAsia="zh-CN"/>
        </w:rPr>
        <w:t>3</w:t>
      </w:r>
      <w:r>
        <w:rPr>
          <w:rFonts w:hint="eastAsia" w:ascii="宋体" w:hAnsi="宋体" w:cs="仿宋"/>
          <w:bCs/>
          <w:color w:val="auto"/>
          <w:sz w:val="21"/>
          <w:szCs w:val="21"/>
        </w:rPr>
        <w:t>分。</w:t>
      </w:r>
    </w:p>
    <w:p w14:paraId="390C1D6E">
      <w:pPr>
        <w:pStyle w:val="28"/>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outlineLvl w:val="1"/>
        <w:rPr>
          <w:rFonts w:hint="eastAsia" w:ascii="宋体" w:hAnsi="宋体" w:cs="仿宋"/>
          <w:bCs/>
          <w:color w:val="auto"/>
          <w:sz w:val="21"/>
          <w:szCs w:val="21"/>
        </w:rPr>
      </w:pPr>
      <w:r>
        <w:rPr>
          <w:rFonts w:hint="eastAsia" w:ascii="宋体" w:hAnsi="宋体" w:cs="仿宋"/>
          <w:bCs/>
          <w:color w:val="auto"/>
          <w:sz w:val="21"/>
          <w:szCs w:val="21"/>
        </w:rPr>
        <w:t>要求提供该项目的：</w:t>
      </w:r>
    </w:p>
    <w:p w14:paraId="4603893C">
      <w:pPr>
        <w:pStyle w:val="28"/>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outlineLvl w:val="1"/>
        <w:rPr>
          <w:rFonts w:hint="eastAsia" w:ascii="宋体" w:hAnsi="宋体" w:cs="仿宋"/>
          <w:bCs/>
          <w:color w:val="auto"/>
          <w:sz w:val="21"/>
          <w:szCs w:val="21"/>
        </w:rPr>
      </w:pPr>
      <w:r>
        <w:rPr>
          <w:rFonts w:hint="eastAsia" w:ascii="宋体" w:hAnsi="宋体" w:cs="仿宋"/>
          <w:bCs/>
          <w:color w:val="auto"/>
          <w:sz w:val="21"/>
          <w:szCs w:val="21"/>
        </w:rPr>
        <w:t>①中标公告截图</w:t>
      </w:r>
      <w:r>
        <w:rPr>
          <w:rFonts w:hint="eastAsia" w:hAnsi="宋体" w:cs="仿宋"/>
          <w:bCs/>
          <w:color w:val="auto"/>
          <w:sz w:val="21"/>
          <w:szCs w:val="21"/>
          <w:lang w:val="en-US" w:eastAsia="zh-CN"/>
        </w:rPr>
        <w:t>或</w:t>
      </w:r>
      <w:r>
        <w:rPr>
          <w:rFonts w:hint="eastAsia" w:ascii="宋体" w:hAnsi="宋体" w:cs="仿宋"/>
          <w:bCs/>
          <w:color w:val="auto"/>
          <w:sz w:val="21"/>
          <w:szCs w:val="21"/>
        </w:rPr>
        <w:t>中标通知书复印件；</w:t>
      </w:r>
    </w:p>
    <w:p w14:paraId="40E257BE">
      <w:pPr>
        <w:pStyle w:val="28"/>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outlineLvl w:val="1"/>
        <w:rPr>
          <w:rFonts w:hint="eastAsia" w:ascii="宋体" w:hAnsi="宋体" w:cs="仿宋"/>
          <w:bCs/>
          <w:color w:val="auto"/>
          <w:sz w:val="21"/>
          <w:szCs w:val="21"/>
        </w:rPr>
      </w:pPr>
      <w:r>
        <w:rPr>
          <w:rFonts w:hint="eastAsia" w:ascii="宋体" w:hAnsi="宋体" w:cs="仿宋"/>
          <w:bCs/>
          <w:color w:val="auto"/>
          <w:sz w:val="21"/>
          <w:szCs w:val="21"/>
        </w:rPr>
        <w:t>②采购合同文本复印件【合同建设内容必须包含医院信息系统（HIS）、电子病历系统(EMR)、医院集成平台（HIP）】；</w:t>
      </w:r>
    </w:p>
    <w:p w14:paraId="157246D6">
      <w:pPr>
        <w:pStyle w:val="28"/>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outlineLvl w:val="1"/>
        <w:rPr>
          <w:rFonts w:hint="eastAsia" w:ascii="宋体" w:hAnsi="宋体" w:cs="仿宋"/>
          <w:bCs/>
          <w:color w:val="auto"/>
          <w:sz w:val="21"/>
          <w:szCs w:val="21"/>
        </w:rPr>
      </w:pPr>
      <w:r>
        <w:rPr>
          <w:rFonts w:hint="eastAsia" w:ascii="宋体" w:hAnsi="宋体" w:cs="仿宋"/>
          <w:bCs/>
          <w:color w:val="auto"/>
          <w:sz w:val="21"/>
          <w:szCs w:val="21"/>
        </w:rPr>
        <w:t>③能够证明该项目采购人已经验收合格的相关证明文件复印件；</w:t>
      </w:r>
    </w:p>
    <w:p w14:paraId="0EF02567">
      <w:pPr>
        <w:pStyle w:val="28"/>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outlineLvl w:val="1"/>
        <w:rPr>
          <w:rFonts w:hint="eastAsia" w:ascii="宋体" w:hAnsi="宋体" w:cs="仿宋"/>
          <w:bCs/>
          <w:color w:val="auto"/>
          <w:sz w:val="21"/>
          <w:szCs w:val="21"/>
        </w:rPr>
      </w:pPr>
      <w:r>
        <w:rPr>
          <w:rFonts w:hint="eastAsia" w:ascii="宋体" w:hAnsi="宋体" w:cs="仿宋"/>
          <w:bCs/>
          <w:color w:val="auto"/>
          <w:sz w:val="21"/>
          <w:szCs w:val="21"/>
        </w:rPr>
        <w:t>④五级、六级提供医院通过电子病历高级别的证书照片或者卫健委官网的公告截图，四级提供申报网站的申报结果截图。</w:t>
      </w:r>
    </w:p>
    <w:p w14:paraId="662E6858">
      <w:pPr>
        <w:pStyle w:val="28"/>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outlineLvl w:val="1"/>
        <w:rPr>
          <w:rFonts w:hint="default" w:eastAsia="宋体"/>
          <w:lang w:val="en-US" w:eastAsia="zh-CN"/>
        </w:rPr>
      </w:pPr>
      <w:r>
        <w:rPr>
          <w:rFonts w:hint="eastAsia" w:hAnsi="宋体" w:cs="仿宋"/>
          <w:bCs/>
          <w:color w:val="auto"/>
          <w:sz w:val="21"/>
          <w:szCs w:val="21"/>
          <w:lang w:val="en-US" w:eastAsia="zh-CN"/>
        </w:rPr>
        <w:t>注：以上得分以级别最高的单次计分，不累加、不重复计分；证明材料提供不全的不得分。</w:t>
      </w:r>
    </w:p>
    <w:p w14:paraId="6F5C877E">
      <w:pPr>
        <w:pStyle w:val="28"/>
        <w:keepNext w:val="0"/>
        <w:keepLines w:val="0"/>
        <w:pageBreakBefore w:val="0"/>
        <w:widowControl w:val="0"/>
        <w:kinsoku/>
        <w:wordWrap/>
        <w:overflowPunct/>
        <w:topLinePunct w:val="0"/>
        <w:autoSpaceDE/>
        <w:autoSpaceDN/>
        <w:bidi w:val="0"/>
        <w:adjustRightInd/>
        <w:snapToGrid w:val="0"/>
        <w:spacing w:line="360" w:lineRule="exact"/>
        <w:ind w:firstLine="0" w:firstLineChars="0"/>
        <w:jc w:val="left"/>
        <w:textAlignment w:val="auto"/>
        <w:outlineLvl w:val="1"/>
        <w:rPr>
          <w:rFonts w:hint="eastAsia" w:hAnsi="宋体" w:cs="仿宋"/>
          <w:b/>
          <w:bCs/>
          <w:color w:val="auto"/>
          <w:sz w:val="21"/>
          <w:szCs w:val="21"/>
          <w:highlight w:val="none"/>
        </w:rPr>
      </w:pPr>
      <w:r>
        <w:rPr>
          <w:rFonts w:hint="eastAsia" w:ascii="宋体" w:hAnsi="宋体" w:eastAsia="宋体" w:cs="仿宋"/>
          <w:b/>
          <w:bCs/>
          <w:color w:val="auto"/>
          <w:sz w:val="21"/>
          <w:szCs w:val="21"/>
          <w:highlight w:val="none"/>
          <w:lang w:val="en-US" w:eastAsia="zh-CN"/>
        </w:rPr>
        <w:t>9、</w:t>
      </w:r>
      <w:r>
        <w:rPr>
          <w:rFonts w:hint="eastAsia" w:ascii="宋体" w:hAnsi="宋体" w:cs="仿宋"/>
          <w:b/>
          <w:bCs/>
          <w:color w:val="auto"/>
          <w:sz w:val="21"/>
          <w:szCs w:val="21"/>
          <w:highlight w:val="none"/>
          <w:lang w:val="en-US" w:eastAsia="zh-CN"/>
        </w:rPr>
        <w:t>互联互通测评业绩分</w:t>
      </w:r>
      <w:r>
        <w:rPr>
          <w:rFonts w:hint="eastAsia" w:hAnsi="宋体" w:cs="仿宋"/>
          <w:b/>
          <w:bCs/>
          <w:color w:val="auto"/>
          <w:sz w:val="21"/>
          <w:szCs w:val="21"/>
          <w:highlight w:val="none"/>
        </w:rPr>
        <w:t>……………………………………………………</w:t>
      </w:r>
      <w:r>
        <w:rPr>
          <w:rFonts w:hint="eastAsia" w:hAnsi="宋体" w:cs="仿宋"/>
          <w:b/>
          <w:bCs/>
          <w:color w:val="auto"/>
          <w:sz w:val="21"/>
          <w:szCs w:val="21"/>
          <w:highlight w:val="none"/>
          <w:lang w:eastAsia="zh-CN"/>
        </w:rPr>
        <w:t>……………………</w:t>
      </w:r>
      <w:r>
        <w:rPr>
          <w:rFonts w:hint="eastAsia" w:hAnsi="宋体" w:cs="仿宋"/>
          <w:b/>
          <w:bCs/>
          <w:color w:val="auto"/>
          <w:sz w:val="21"/>
          <w:szCs w:val="21"/>
          <w:highlight w:val="none"/>
        </w:rPr>
        <w:t>………</w:t>
      </w:r>
      <w:r>
        <w:rPr>
          <w:rFonts w:hint="eastAsia" w:hAnsi="宋体" w:cs="仿宋"/>
          <w:b/>
          <w:bCs/>
          <w:color w:val="auto"/>
          <w:sz w:val="21"/>
          <w:szCs w:val="21"/>
          <w:highlight w:val="none"/>
          <w:lang w:val="en-US" w:eastAsia="zh-CN"/>
        </w:rPr>
        <w:t>6</w:t>
      </w:r>
      <w:r>
        <w:rPr>
          <w:rFonts w:hint="eastAsia" w:hAnsi="宋体" w:cs="仿宋"/>
          <w:b/>
          <w:bCs/>
          <w:color w:val="auto"/>
          <w:sz w:val="21"/>
          <w:szCs w:val="21"/>
          <w:highlight w:val="none"/>
        </w:rPr>
        <w:t>分</w:t>
      </w:r>
    </w:p>
    <w:p w14:paraId="24EB9F79">
      <w:pPr>
        <w:pStyle w:val="28"/>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outlineLvl w:val="1"/>
        <w:rPr>
          <w:rFonts w:hint="eastAsia" w:ascii="宋体" w:hAnsi="宋体" w:eastAsia="宋体" w:cs="仿宋"/>
          <w:bCs/>
          <w:color w:val="auto"/>
          <w:sz w:val="21"/>
          <w:szCs w:val="21"/>
        </w:rPr>
      </w:pPr>
      <w:r>
        <w:rPr>
          <w:rFonts w:hint="eastAsia" w:ascii="宋体" w:hAnsi="宋体" w:eastAsia="宋体" w:cs="仿宋"/>
          <w:bCs/>
          <w:color w:val="auto"/>
          <w:sz w:val="21"/>
          <w:szCs w:val="21"/>
        </w:rPr>
        <w:t>为了响应卫健委《关于进一步推进以电子病历为核心的医疗机构信息化建设工作的通知》，要求投标人具有医院信息互联互通标准化成熟度测评建设能力及成功实施经验。要求提供医院信息互联互通标准化成熟度测评的建设案例作为证明材料，具有互联互通测评四级乙等的案例，每有一个得0.5分，最多得2分；具有互联互通测评四级甲等的案例，每有一个得0.5分，最多得2分；具有互联互通测评五级乙等及以上的案例，每有一个得0.5分，最多得2分。</w:t>
      </w:r>
    </w:p>
    <w:p w14:paraId="264841C5">
      <w:pPr>
        <w:pStyle w:val="28"/>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outlineLvl w:val="1"/>
        <w:rPr>
          <w:rFonts w:hint="eastAsia" w:ascii="宋体" w:hAnsi="宋体" w:eastAsia="宋体" w:cs="仿宋"/>
          <w:bCs/>
          <w:color w:val="auto"/>
          <w:sz w:val="21"/>
          <w:szCs w:val="21"/>
        </w:rPr>
      </w:pPr>
      <w:r>
        <w:rPr>
          <w:rFonts w:hint="eastAsia" w:ascii="宋体" w:hAnsi="宋体" w:eastAsia="宋体" w:cs="仿宋"/>
          <w:bCs/>
          <w:color w:val="auto"/>
          <w:sz w:val="21"/>
          <w:szCs w:val="21"/>
        </w:rPr>
        <w:t>要求提供该项目的：</w:t>
      </w:r>
    </w:p>
    <w:p w14:paraId="51841C3C">
      <w:pPr>
        <w:pStyle w:val="28"/>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outlineLvl w:val="1"/>
        <w:rPr>
          <w:rFonts w:hint="eastAsia" w:ascii="宋体" w:hAnsi="宋体" w:eastAsia="宋体" w:cs="仿宋"/>
          <w:bCs/>
          <w:color w:val="auto"/>
          <w:sz w:val="21"/>
          <w:szCs w:val="21"/>
        </w:rPr>
      </w:pPr>
      <w:r>
        <w:rPr>
          <w:rFonts w:hint="eastAsia" w:ascii="宋体" w:hAnsi="宋体" w:eastAsia="宋体" w:cs="仿宋"/>
          <w:bCs/>
          <w:color w:val="auto"/>
          <w:sz w:val="21"/>
          <w:szCs w:val="21"/>
        </w:rPr>
        <w:t>①中标公告截图</w:t>
      </w:r>
      <w:r>
        <w:rPr>
          <w:rFonts w:hint="eastAsia" w:hAnsi="宋体" w:cs="仿宋"/>
          <w:bCs/>
          <w:color w:val="auto"/>
          <w:sz w:val="21"/>
          <w:szCs w:val="21"/>
          <w:lang w:val="en-US" w:eastAsia="zh-CN"/>
        </w:rPr>
        <w:t>或</w:t>
      </w:r>
      <w:r>
        <w:rPr>
          <w:rFonts w:hint="eastAsia" w:ascii="宋体" w:hAnsi="宋体" w:eastAsia="宋体" w:cs="仿宋"/>
          <w:bCs/>
          <w:color w:val="auto"/>
          <w:sz w:val="21"/>
          <w:szCs w:val="21"/>
        </w:rPr>
        <w:t>中标通知书复印件；</w:t>
      </w:r>
    </w:p>
    <w:p w14:paraId="376E8922">
      <w:pPr>
        <w:pStyle w:val="28"/>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outlineLvl w:val="1"/>
        <w:rPr>
          <w:rFonts w:hint="eastAsia" w:ascii="宋体" w:hAnsi="宋体" w:eastAsia="宋体" w:cs="仿宋"/>
          <w:bCs/>
          <w:color w:val="auto"/>
          <w:sz w:val="21"/>
          <w:szCs w:val="21"/>
        </w:rPr>
      </w:pPr>
      <w:r>
        <w:rPr>
          <w:rFonts w:hint="eastAsia" w:ascii="宋体" w:hAnsi="宋体" w:eastAsia="宋体" w:cs="仿宋"/>
          <w:bCs/>
          <w:color w:val="auto"/>
          <w:sz w:val="21"/>
          <w:szCs w:val="21"/>
        </w:rPr>
        <w:t>②采购合同文本复印件【合同建设内容必须包含医院信息系统（HIS）、电子病历系统(EMR)、医院集成平台（HIP）】；</w:t>
      </w:r>
    </w:p>
    <w:p w14:paraId="11E8D72C">
      <w:pPr>
        <w:pStyle w:val="28"/>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outlineLvl w:val="1"/>
        <w:rPr>
          <w:rFonts w:hint="eastAsia" w:ascii="宋体" w:hAnsi="宋体" w:eastAsia="宋体" w:cs="仿宋"/>
          <w:bCs/>
          <w:color w:val="auto"/>
          <w:sz w:val="18"/>
          <w:szCs w:val="18"/>
        </w:rPr>
      </w:pPr>
      <w:r>
        <w:rPr>
          <w:rFonts w:hint="eastAsia" w:ascii="宋体" w:hAnsi="宋体" w:eastAsia="宋体" w:cs="仿宋"/>
          <w:bCs/>
          <w:color w:val="auto"/>
          <w:sz w:val="21"/>
          <w:szCs w:val="21"/>
        </w:rPr>
        <w:t>③能够证明该项目采购人已经验收合格的相关证明文件复印件；</w:t>
      </w:r>
    </w:p>
    <w:p w14:paraId="2F5125D6">
      <w:pPr>
        <w:pStyle w:val="28"/>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outlineLvl w:val="1"/>
        <w:rPr>
          <w:rFonts w:hint="eastAsia" w:ascii="宋体" w:hAnsi="宋体" w:eastAsia="宋体" w:cs="仿宋"/>
          <w:bCs/>
          <w:color w:val="auto"/>
          <w:sz w:val="21"/>
          <w:szCs w:val="21"/>
        </w:rPr>
      </w:pPr>
      <w:r>
        <w:rPr>
          <w:rFonts w:hint="eastAsia" w:ascii="宋体" w:hAnsi="宋体" w:eastAsia="宋体" w:cs="仿宋"/>
          <w:bCs/>
          <w:color w:val="auto"/>
          <w:sz w:val="21"/>
          <w:szCs w:val="21"/>
        </w:rPr>
        <w:t>④医院通过互联互通测评的证书照片或者卫健委官网的公告截图。</w:t>
      </w:r>
    </w:p>
    <w:p w14:paraId="268062B0">
      <w:pPr>
        <w:pStyle w:val="28"/>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outlineLvl w:val="1"/>
        <w:rPr>
          <w:rFonts w:hint="eastAsia"/>
        </w:rPr>
      </w:pPr>
      <w:r>
        <w:rPr>
          <w:rFonts w:hint="eastAsia" w:hAnsi="宋体" w:cs="仿宋"/>
          <w:bCs/>
          <w:color w:val="auto"/>
          <w:sz w:val="21"/>
          <w:szCs w:val="21"/>
          <w:lang w:val="en-US" w:eastAsia="zh-CN"/>
        </w:rPr>
        <w:t>注：同一医院同时具有多项互联互通认证的仅按孰高原则计一次分，不累加、不重复计分；证明材料提供不全的不得分。</w:t>
      </w:r>
    </w:p>
    <w:p w14:paraId="607123A4">
      <w:pPr>
        <w:pStyle w:val="28"/>
        <w:keepNext w:val="0"/>
        <w:keepLines w:val="0"/>
        <w:pageBreakBefore w:val="0"/>
        <w:widowControl w:val="0"/>
        <w:kinsoku/>
        <w:wordWrap/>
        <w:overflowPunct/>
        <w:topLinePunct w:val="0"/>
        <w:autoSpaceDE/>
        <w:autoSpaceDN/>
        <w:bidi w:val="0"/>
        <w:adjustRightInd/>
        <w:snapToGrid w:val="0"/>
        <w:spacing w:line="360" w:lineRule="exact"/>
        <w:ind w:firstLine="0" w:firstLineChars="0"/>
        <w:jc w:val="left"/>
        <w:textAlignment w:val="auto"/>
        <w:outlineLvl w:val="1"/>
        <w:rPr>
          <w:rFonts w:hint="eastAsia" w:ascii="宋体" w:hAnsi="宋体" w:eastAsia="宋体" w:cs="仿宋"/>
          <w:bCs/>
          <w:color w:val="auto"/>
          <w:sz w:val="21"/>
          <w:szCs w:val="21"/>
          <w:lang w:val="en-US" w:eastAsia="zh-CN"/>
        </w:rPr>
      </w:pPr>
      <w:r>
        <w:rPr>
          <w:rFonts w:hint="eastAsia" w:ascii="宋体" w:hAnsi="宋体" w:eastAsia="宋体" w:cs="仿宋"/>
          <w:b/>
          <w:bCs/>
          <w:color w:val="auto"/>
          <w:sz w:val="21"/>
          <w:szCs w:val="21"/>
          <w:highlight w:val="none"/>
          <w:lang w:val="en-US" w:eastAsia="zh-CN"/>
        </w:rPr>
        <w:t>10、</w:t>
      </w:r>
      <w:r>
        <w:rPr>
          <w:rFonts w:hint="eastAsia" w:ascii="宋体" w:hAnsi="宋体" w:eastAsia="宋体" w:cs="仿宋"/>
          <w:b/>
          <w:bCs/>
          <w:color w:val="auto"/>
          <w:sz w:val="21"/>
          <w:szCs w:val="21"/>
          <w:highlight w:val="none"/>
        </w:rPr>
        <w:t>国产化适配</w:t>
      </w:r>
      <w:r>
        <w:rPr>
          <w:rFonts w:hint="eastAsia" w:ascii="宋体" w:hAnsi="宋体" w:eastAsia="宋体" w:cs="仿宋"/>
          <w:b/>
          <w:bCs/>
          <w:color w:val="auto"/>
          <w:sz w:val="21"/>
          <w:szCs w:val="21"/>
          <w:highlight w:val="none"/>
          <w:lang w:val="en-US" w:eastAsia="zh-CN"/>
        </w:rPr>
        <w:t>能力和案例分</w:t>
      </w:r>
      <w:r>
        <w:rPr>
          <w:rFonts w:hint="eastAsia" w:ascii="宋体" w:hAnsi="宋体" w:eastAsia="宋体" w:cs="仿宋"/>
          <w:b/>
          <w:bCs/>
          <w:color w:val="auto"/>
          <w:sz w:val="21"/>
          <w:szCs w:val="21"/>
          <w:highlight w:val="none"/>
        </w:rPr>
        <w:t>……………………………</w:t>
      </w:r>
      <w:r>
        <w:rPr>
          <w:rFonts w:hint="eastAsia" w:ascii="宋体" w:hAnsi="宋体" w:eastAsia="宋体" w:cs="仿宋"/>
          <w:b/>
          <w:bCs/>
          <w:color w:val="auto"/>
          <w:sz w:val="21"/>
          <w:szCs w:val="21"/>
          <w:highlight w:val="none"/>
          <w:lang w:eastAsia="zh-CN"/>
        </w:rPr>
        <w:t>……</w:t>
      </w:r>
      <w:r>
        <w:rPr>
          <w:rFonts w:hint="eastAsia" w:ascii="宋体" w:hAnsi="宋体" w:eastAsia="宋体" w:cs="仿宋"/>
          <w:b/>
          <w:bCs/>
          <w:color w:val="auto"/>
          <w:sz w:val="21"/>
          <w:szCs w:val="21"/>
          <w:highlight w:val="none"/>
        </w:rPr>
        <w:t>………………</w:t>
      </w:r>
      <w:r>
        <w:rPr>
          <w:rFonts w:hint="eastAsia" w:ascii="宋体" w:hAnsi="宋体" w:eastAsia="宋体" w:cs="仿宋"/>
          <w:b/>
          <w:bCs/>
          <w:color w:val="auto"/>
          <w:sz w:val="21"/>
          <w:szCs w:val="21"/>
          <w:highlight w:val="none"/>
          <w:lang w:eastAsia="zh-CN"/>
        </w:rPr>
        <w:t>…………………</w:t>
      </w:r>
      <w:r>
        <w:rPr>
          <w:rFonts w:hint="eastAsia" w:ascii="宋体" w:hAnsi="宋体" w:eastAsia="宋体" w:cs="仿宋"/>
          <w:b/>
          <w:bCs/>
          <w:color w:val="auto"/>
          <w:sz w:val="21"/>
          <w:szCs w:val="21"/>
          <w:highlight w:val="none"/>
        </w:rPr>
        <w:t>………</w:t>
      </w:r>
      <w:r>
        <w:rPr>
          <w:rFonts w:hint="eastAsia" w:hAnsi="宋体" w:cs="仿宋"/>
          <w:b/>
          <w:bCs/>
          <w:color w:val="auto"/>
          <w:sz w:val="21"/>
          <w:szCs w:val="21"/>
          <w:highlight w:val="none"/>
          <w:lang w:val="en-US" w:eastAsia="zh-CN"/>
        </w:rPr>
        <w:t>7</w:t>
      </w:r>
      <w:r>
        <w:rPr>
          <w:rFonts w:hint="eastAsia" w:ascii="宋体" w:hAnsi="宋体" w:eastAsia="宋体" w:cs="仿宋"/>
          <w:b/>
          <w:bCs/>
          <w:color w:val="auto"/>
          <w:sz w:val="21"/>
          <w:szCs w:val="21"/>
          <w:highlight w:val="none"/>
        </w:rPr>
        <w:t>分</w:t>
      </w:r>
    </w:p>
    <w:p w14:paraId="43F9E9D0">
      <w:pPr>
        <w:pStyle w:val="28"/>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outlineLvl w:val="1"/>
        <w:rPr>
          <w:rFonts w:hint="default" w:ascii="宋体" w:hAnsi="宋体" w:eastAsia="宋体" w:cs="仿宋"/>
          <w:bCs/>
          <w:color w:val="auto"/>
          <w:sz w:val="21"/>
          <w:szCs w:val="21"/>
          <w:lang w:val="en-US" w:eastAsia="zh-CN"/>
        </w:rPr>
      </w:pPr>
      <w:r>
        <w:rPr>
          <w:rFonts w:hint="eastAsia" w:ascii="宋体" w:hAnsi="宋体" w:eastAsia="宋体" w:cs="仿宋"/>
          <w:bCs/>
          <w:color w:val="auto"/>
          <w:sz w:val="21"/>
          <w:szCs w:val="21"/>
          <w:lang w:val="en-US" w:eastAsia="zh-CN"/>
        </w:rPr>
        <w:t>（1）</w:t>
      </w:r>
      <w:r>
        <w:rPr>
          <w:rFonts w:hint="default" w:ascii="宋体" w:hAnsi="宋体" w:eastAsia="宋体" w:cs="仿宋"/>
          <w:bCs/>
          <w:color w:val="auto"/>
          <w:sz w:val="21"/>
          <w:szCs w:val="21"/>
          <w:lang w:val="en-US" w:eastAsia="zh-CN"/>
        </w:rPr>
        <w:t>要求投标人的医院信息系统HIS、电子病历系统EMR具备国产化适配能力，其中适配环境至少包含：国产硬件服务器、国产虚拟化超融合平台、国产服务器操作系统、国产数据库管理系统、国产客户端操作系统、国产客户端浏览器内容，提供相关产品的适配能力证明材料（测试报告或认证证书)，</w:t>
      </w:r>
      <w:r>
        <w:rPr>
          <w:rFonts w:hint="eastAsia" w:hAnsi="宋体" w:cs="仿宋"/>
          <w:bCs/>
          <w:color w:val="auto"/>
          <w:sz w:val="21"/>
          <w:szCs w:val="21"/>
          <w:lang w:val="en-US" w:eastAsia="zh-CN"/>
        </w:rPr>
        <w:t>每</w:t>
      </w:r>
      <w:r>
        <w:rPr>
          <w:rFonts w:hint="default" w:ascii="宋体" w:hAnsi="宋体" w:eastAsia="宋体" w:cs="仿宋"/>
          <w:bCs/>
          <w:color w:val="auto"/>
          <w:sz w:val="21"/>
          <w:szCs w:val="21"/>
          <w:lang w:val="en-US" w:eastAsia="zh-CN"/>
        </w:rPr>
        <w:t>完整提供以上</w:t>
      </w:r>
      <w:r>
        <w:rPr>
          <w:rFonts w:hint="eastAsia" w:hAnsi="宋体" w:cs="仿宋"/>
          <w:bCs/>
          <w:color w:val="auto"/>
          <w:sz w:val="21"/>
          <w:szCs w:val="21"/>
          <w:lang w:val="en-US" w:eastAsia="zh-CN"/>
        </w:rPr>
        <w:t>一</w:t>
      </w:r>
      <w:r>
        <w:rPr>
          <w:rFonts w:hint="default" w:ascii="宋体" w:hAnsi="宋体" w:eastAsia="宋体" w:cs="仿宋"/>
          <w:bCs/>
          <w:color w:val="auto"/>
          <w:sz w:val="21"/>
          <w:szCs w:val="21"/>
          <w:lang w:val="en-US" w:eastAsia="zh-CN"/>
        </w:rPr>
        <w:t>个产品的证明材料得</w:t>
      </w:r>
      <w:r>
        <w:rPr>
          <w:rFonts w:hint="eastAsia" w:hAnsi="宋体" w:cs="仿宋"/>
          <w:bCs/>
          <w:color w:val="auto"/>
          <w:sz w:val="21"/>
          <w:szCs w:val="21"/>
          <w:lang w:val="en-US" w:eastAsia="zh-CN"/>
        </w:rPr>
        <w:t>1.5</w:t>
      </w:r>
      <w:r>
        <w:rPr>
          <w:rFonts w:hint="default" w:ascii="宋体" w:hAnsi="宋体" w:eastAsia="宋体" w:cs="仿宋"/>
          <w:bCs/>
          <w:color w:val="auto"/>
          <w:sz w:val="21"/>
          <w:szCs w:val="21"/>
          <w:lang w:val="en-US" w:eastAsia="zh-CN"/>
        </w:rPr>
        <w:t>分，</w:t>
      </w:r>
      <w:r>
        <w:rPr>
          <w:rFonts w:hint="eastAsia" w:hAnsi="宋体" w:cs="仿宋"/>
          <w:bCs/>
          <w:color w:val="auto"/>
          <w:sz w:val="21"/>
          <w:szCs w:val="21"/>
          <w:lang w:val="en-US" w:eastAsia="zh-CN"/>
        </w:rPr>
        <w:t>最多得3分，</w:t>
      </w:r>
      <w:r>
        <w:rPr>
          <w:rFonts w:hint="default" w:ascii="宋体" w:hAnsi="宋体" w:eastAsia="宋体" w:cs="仿宋"/>
          <w:bCs/>
          <w:color w:val="auto"/>
          <w:sz w:val="21"/>
          <w:szCs w:val="21"/>
          <w:lang w:val="en-US" w:eastAsia="zh-CN"/>
        </w:rPr>
        <w:t>证明材料不齐全不得分；</w:t>
      </w:r>
    </w:p>
    <w:p w14:paraId="4046EC06">
      <w:pPr>
        <w:pStyle w:val="28"/>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outlineLvl w:val="1"/>
        <w:rPr>
          <w:rFonts w:hint="default" w:ascii="宋体" w:hAnsi="宋体" w:eastAsia="宋体" w:cs="仿宋"/>
          <w:bCs/>
          <w:color w:val="auto"/>
          <w:sz w:val="21"/>
          <w:szCs w:val="21"/>
          <w:lang w:val="en-US" w:eastAsia="zh-CN"/>
        </w:rPr>
      </w:pPr>
      <w:r>
        <w:rPr>
          <w:rFonts w:hint="eastAsia" w:ascii="宋体" w:hAnsi="宋体" w:eastAsia="宋体" w:cs="仿宋"/>
          <w:bCs/>
          <w:color w:val="auto"/>
          <w:sz w:val="21"/>
          <w:szCs w:val="21"/>
          <w:lang w:val="en-US" w:eastAsia="zh-CN"/>
        </w:rPr>
        <w:t>（2）</w:t>
      </w:r>
      <w:r>
        <w:rPr>
          <w:rFonts w:hint="default" w:ascii="宋体" w:hAnsi="宋体" w:eastAsia="宋体" w:cs="仿宋"/>
          <w:bCs/>
          <w:color w:val="auto"/>
          <w:sz w:val="21"/>
          <w:szCs w:val="21"/>
          <w:lang w:val="en-US" w:eastAsia="zh-CN"/>
        </w:rPr>
        <w:t>投标人具有成功实施的医院国产化项目案例</w:t>
      </w:r>
      <w:r>
        <w:rPr>
          <w:rFonts w:hint="eastAsia" w:hAnsi="宋体" w:cs="仿宋"/>
          <w:bCs/>
          <w:color w:val="auto"/>
          <w:sz w:val="21"/>
          <w:szCs w:val="21"/>
          <w:lang w:val="en-US" w:eastAsia="zh-CN"/>
        </w:rPr>
        <w:t>，</w:t>
      </w:r>
      <w:r>
        <w:rPr>
          <w:rFonts w:hint="default" w:ascii="宋体" w:hAnsi="宋体" w:eastAsia="宋体" w:cs="仿宋"/>
          <w:bCs/>
          <w:color w:val="auto"/>
          <w:sz w:val="21"/>
          <w:szCs w:val="21"/>
          <w:lang w:val="en-US" w:eastAsia="zh-CN"/>
        </w:rPr>
        <w:t>案例证明材料需同时提供①项目中标公告</w:t>
      </w:r>
      <w:r>
        <w:rPr>
          <w:rFonts w:hint="eastAsia" w:hAnsi="宋体" w:cs="仿宋"/>
          <w:bCs/>
          <w:color w:val="auto"/>
          <w:sz w:val="21"/>
          <w:szCs w:val="21"/>
          <w:lang w:val="en-US" w:eastAsia="zh-CN"/>
        </w:rPr>
        <w:t>或</w:t>
      </w:r>
      <w:r>
        <w:rPr>
          <w:rFonts w:hint="default" w:ascii="宋体" w:hAnsi="宋体" w:eastAsia="宋体" w:cs="仿宋"/>
          <w:bCs/>
          <w:color w:val="auto"/>
          <w:sz w:val="21"/>
          <w:szCs w:val="21"/>
          <w:lang w:val="en-US" w:eastAsia="zh-CN"/>
        </w:rPr>
        <w:t>项目中标通知书、②项目合同（合同建设内容至少包含医院信息系统HIS、电子病历系统EMR）、③用户</w:t>
      </w:r>
      <w:r>
        <w:rPr>
          <w:rFonts w:hint="eastAsia" w:hAnsi="宋体" w:cs="仿宋"/>
          <w:bCs/>
          <w:color w:val="auto"/>
          <w:sz w:val="21"/>
          <w:szCs w:val="21"/>
          <w:lang w:val="en-US" w:eastAsia="zh-CN"/>
        </w:rPr>
        <w:t>盖章</w:t>
      </w:r>
      <w:r>
        <w:rPr>
          <w:rFonts w:hint="default" w:ascii="宋体" w:hAnsi="宋体" w:eastAsia="宋体" w:cs="仿宋"/>
          <w:bCs/>
          <w:color w:val="auto"/>
          <w:sz w:val="21"/>
          <w:szCs w:val="21"/>
          <w:lang w:val="en-US" w:eastAsia="zh-CN"/>
        </w:rPr>
        <w:t>证明（已实现适配国产化服务器操作系统、国产化数据库、国产服务器、国产中间件等）、④项目验收报</w:t>
      </w:r>
      <w:r>
        <w:rPr>
          <w:rFonts w:hint="eastAsia" w:hAnsi="宋体" w:cs="仿宋"/>
          <w:bCs/>
          <w:color w:val="auto"/>
          <w:sz w:val="21"/>
          <w:szCs w:val="21"/>
          <w:lang w:val="en-US" w:eastAsia="zh-CN"/>
        </w:rPr>
        <w:t>告或项目上线报告4</w:t>
      </w:r>
      <w:r>
        <w:rPr>
          <w:rFonts w:hint="default" w:ascii="宋体" w:hAnsi="宋体" w:eastAsia="宋体" w:cs="仿宋"/>
          <w:bCs/>
          <w:color w:val="auto"/>
          <w:sz w:val="21"/>
          <w:szCs w:val="21"/>
          <w:lang w:val="en-US" w:eastAsia="zh-CN"/>
        </w:rPr>
        <w:t>项材料复印件加盖投标人公章，每完整提供一个案例的证明材料得</w:t>
      </w:r>
      <w:r>
        <w:rPr>
          <w:rFonts w:hint="eastAsia" w:hAnsi="宋体" w:cs="仿宋"/>
          <w:bCs/>
          <w:color w:val="auto"/>
          <w:sz w:val="21"/>
          <w:szCs w:val="21"/>
          <w:lang w:val="en-US" w:eastAsia="zh-CN"/>
        </w:rPr>
        <w:t>2</w:t>
      </w:r>
      <w:r>
        <w:rPr>
          <w:rFonts w:hint="default" w:ascii="宋体" w:hAnsi="宋体" w:eastAsia="宋体" w:cs="仿宋"/>
          <w:bCs/>
          <w:color w:val="auto"/>
          <w:sz w:val="21"/>
          <w:szCs w:val="21"/>
          <w:lang w:val="en-US" w:eastAsia="zh-CN"/>
        </w:rPr>
        <w:t>分，最多得</w:t>
      </w:r>
      <w:r>
        <w:rPr>
          <w:rFonts w:hint="eastAsia" w:hAnsi="宋体" w:cs="仿宋"/>
          <w:bCs/>
          <w:color w:val="auto"/>
          <w:sz w:val="21"/>
          <w:szCs w:val="21"/>
          <w:lang w:val="en-US" w:eastAsia="zh-CN"/>
        </w:rPr>
        <w:t>4</w:t>
      </w:r>
      <w:r>
        <w:rPr>
          <w:rFonts w:hint="default" w:ascii="宋体" w:hAnsi="宋体" w:eastAsia="宋体" w:cs="仿宋"/>
          <w:bCs/>
          <w:color w:val="auto"/>
          <w:sz w:val="21"/>
          <w:szCs w:val="21"/>
          <w:lang w:val="en-US" w:eastAsia="zh-CN"/>
        </w:rPr>
        <w:t>分</w:t>
      </w:r>
      <w:r>
        <w:rPr>
          <w:rFonts w:hint="eastAsia" w:hAnsi="宋体" w:cs="仿宋"/>
          <w:bCs/>
          <w:color w:val="auto"/>
          <w:sz w:val="21"/>
          <w:szCs w:val="21"/>
          <w:lang w:val="en-US" w:eastAsia="zh-CN"/>
        </w:rPr>
        <w:t>，</w:t>
      </w:r>
      <w:r>
        <w:rPr>
          <w:rFonts w:hint="default" w:ascii="宋体" w:hAnsi="宋体" w:eastAsia="宋体" w:cs="仿宋"/>
          <w:bCs/>
          <w:color w:val="auto"/>
          <w:sz w:val="21"/>
          <w:szCs w:val="21"/>
          <w:lang w:val="en-US" w:eastAsia="zh-CN"/>
        </w:rPr>
        <w:t>证明材料不齐全不得分。</w:t>
      </w:r>
    </w:p>
    <w:p w14:paraId="17BBBEDA">
      <w:pPr>
        <w:pStyle w:val="28"/>
        <w:keepNext w:val="0"/>
        <w:keepLines w:val="0"/>
        <w:pageBreakBefore w:val="0"/>
        <w:widowControl w:val="0"/>
        <w:kinsoku/>
        <w:wordWrap/>
        <w:overflowPunct/>
        <w:topLinePunct w:val="0"/>
        <w:autoSpaceDE/>
        <w:autoSpaceDN/>
        <w:bidi w:val="0"/>
        <w:adjustRightInd/>
        <w:snapToGrid w:val="0"/>
        <w:spacing w:line="360" w:lineRule="exact"/>
        <w:ind w:firstLine="0" w:firstLineChars="0"/>
        <w:jc w:val="left"/>
        <w:textAlignment w:val="auto"/>
        <w:outlineLvl w:val="1"/>
        <w:rPr>
          <w:rFonts w:hint="eastAsia" w:ascii="宋体" w:hAnsi="宋体" w:eastAsia="宋体" w:cs="仿宋"/>
          <w:b/>
          <w:bCs/>
          <w:color w:val="auto"/>
          <w:sz w:val="21"/>
          <w:szCs w:val="21"/>
          <w:highlight w:val="none"/>
          <w:lang w:val="en-US" w:eastAsia="zh-CN"/>
        </w:rPr>
      </w:pPr>
      <w:r>
        <w:rPr>
          <w:rFonts w:hint="eastAsia" w:ascii="宋体" w:hAnsi="宋体" w:eastAsia="宋体" w:cs="仿宋"/>
          <w:b/>
          <w:bCs/>
          <w:color w:val="auto"/>
          <w:sz w:val="21"/>
          <w:szCs w:val="21"/>
          <w:highlight w:val="none"/>
          <w:lang w:val="en-US" w:eastAsia="zh-CN"/>
        </w:rPr>
        <w:t>11、项目团队分</w:t>
      </w:r>
      <w:r>
        <w:rPr>
          <w:rFonts w:hint="eastAsia" w:hAnsi="宋体" w:cs="仿宋"/>
          <w:b/>
          <w:bCs/>
          <w:color w:val="auto"/>
          <w:sz w:val="21"/>
          <w:highlight w:val="none"/>
        </w:rPr>
        <w:t>…………………………………</w:t>
      </w:r>
      <w:r>
        <w:rPr>
          <w:rFonts w:hint="eastAsia" w:hAnsi="宋体" w:cs="仿宋"/>
          <w:b/>
          <w:bCs/>
          <w:color w:val="auto"/>
          <w:sz w:val="21"/>
          <w:highlight w:val="none"/>
          <w:lang w:eastAsia="zh-CN"/>
        </w:rPr>
        <w:t>……</w:t>
      </w:r>
      <w:r>
        <w:rPr>
          <w:rFonts w:hint="eastAsia" w:hAnsi="宋体" w:cs="仿宋"/>
          <w:b/>
          <w:bCs/>
          <w:color w:val="auto"/>
          <w:sz w:val="21"/>
          <w:highlight w:val="none"/>
        </w:rPr>
        <w:t>…………………………</w:t>
      </w:r>
      <w:r>
        <w:rPr>
          <w:rFonts w:hint="eastAsia" w:ascii="宋体" w:hAnsi="宋体" w:eastAsia="宋体" w:cs="仿宋"/>
          <w:b/>
          <w:bCs/>
          <w:color w:val="auto"/>
          <w:sz w:val="21"/>
          <w:szCs w:val="21"/>
          <w:highlight w:val="none"/>
          <w:lang w:val="en-US" w:eastAsia="zh-CN"/>
        </w:rPr>
        <w:t>……</w:t>
      </w:r>
      <w:r>
        <w:rPr>
          <w:rFonts w:hint="eastAsia" w:hAnsi="宋体" w:cs="仿宋"/>
          <w:b/>
          <w:bCs/>
          <w:color w:val="auto"/>
          <w:sz w:val="21"/>
          <w:highlight w:val="none"/>
        </w:rPr>
        <w:t>……………………</w:t>
      </w:r>
      <w:r>
        <w:rPr>
          <w:rFonts w:hint="eastAsia" w:hAnsi="宋体" w:cs="仿宋"/>
          <w:b/>
          <w:bCs/>
          <w:color w:val="auto"/>
          <w:sz w:val="21"/>
          <w:highlight w:val="none"/>
          <w:lang w:val="en-US" w:eastAsia="zh-CN"/>
        </w:rPr>
        <w:t>8</w:t>
      </w:r>
      <w:r>
        <w:rPr>
          <w:rFonts w:hint="eastAsia" w:hAnsi="宋体" w:cs="仿宋"/>
          <w:b/>
          <w:bCs/>
          <w:color w:val="auto"/>
          <w:sz w:val="21"/>
          <w:highlight w:val="none"/>
        </w:rPr>
        <w:t>分</w:t>
      </w:r>
    </w:p>
    <w:p w14:paraId="61C23FF4">
      <w:pPr>
        <w:pStyle w:val="28"/>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outlineLvl w:val="1"/>
        <w:rPr>
          <w:rFonts w:hint="eastAsia" w:ascii="宋体" w:hAnsi="宋体" w:eastAsia="宋体" w:cs="仿宋"/>
          <w:bCs/>
          <w:color w:val="auto"/>
          <w:sz w:val="21"/>
          <w:szCs w:val="21"/>
        </w:rPr>
      </w:pPr>
      <w:r>
        <w:rPr>
          <w:rFonts w:hint="eastAsia" w:ascii="宋体" w:hAnsi="宋体" w:eastAsia="宋体" w:cs="仿宋"/>
          <w:bCs/>
          <w:color w:val="auto"/>
          <w:sz w:val="21"/>
          <w:szCs w:val="21"/>
          <w:lang w:eastAsia="zh-CN"/>
        </w:rPr>
        <w:t>（</w:t>
      </w:r>
      <w:r>
        <w:rPr>
          <w:rFonts w:hint="eastAsia" w:ascii="宋体" w:hAnsi="宋体" w:eastAsia="宋体" w:cs="仿宋"/>
          <w:bCs/>
          <w:color w:val="auto"/>
          <w:sz w:val="21"/>
          <w:szCs w:val="21"/>
          <w:lang w:val="en-US" w:eastAsia="zh-CN"/>
        </w:rPr>
        <w:t>1</w:t>
      </w:r>
      <w:r>
        <w:rPr>
          <w:rFonts w:hint="eastAsia" w:ascii="宋体" w:hAnsi="宋体" w:eastAsia="宋体" w:cs="仿宋"/>
          <w:bCs/>
          <w:color w:val="auto"/>
          <w:sz w:val="21"/>
          <w:szCs w:val="21"/>
          <w:lang w:eastAsia="zh-CN"/>
        </w:rPr>
        <w:t>）</w:t>
      </w:r>
      <w:r>
        <w:rPr>
          <w:rFonts w:hint="eastAsia" w:ascii="宋体" w:hAnsi="宋体" w:eastAsia="宋体" w:cs="仿宋"/>
          <w:bCs/>
          <w:color w:val="auto"/>
          <w:sz w:val="21"/>
          <w:szCs w:val="21"/>
        </w:rPr>
        <w:t>为保障项目目标，要求投标人为本项目</w:t>
      </w:r>
      <w:r>
        <w:rPr>
          <w:rFonts w:hint="eastAsia" w:hAnsi="宋体" w:cs="仿宋"/>
          <w:bCs/>
          <w:color w:val="auto"/>
          <w:sz w:val="21"/>
          <w:szCs w:val="21"/>
          <w:lang w:val="en-US" w:eastAsia="zh-CN"/>
        </w:rPr>
        <w:t>拟</w:t>
      </w:r>
      <w:r>
        <w:rPr>
          <w:rFonts w:hint="eastAsia" w:ascii="宋体" w:hAnsi="宋体" w:eastAsia="宋体" w:cs="仿宋"/>
          <w:bCs/>
          <w:color w:val="auto"/>
          <w:sz w:val="21"/>
          <w:szCs w:val="21"/>
        </w:rPr>
        <w:t>配备的项目经理（1人）具有高级信息系统项目管理师、高级系统架构设计师</w:t>
      </w:r>
      <w:r>
        <w:rPr>
          <w:rFonts w:hint="eastAsia" w:hAnsi="宋体" w:cs="仿宋"/>
          <w:bCs/>
          <w:color w:val="auto"/>
          <w:sz w:val="21"/>
          <w:szCs w:val="21"/>
          <w:lang w:val="en-US" w:eastAsia="zh-CN"/>
        </w:rPr>
        <w:t>和</w:t>
      </w:r>
      <w:r>
        <w:rPr>
          <w:rFonts w:hint="eastAsia" w:ascii="宋体" w:hAnsi="宋体" w:eastAsia="宋体" w:cs="仿宋"/>
          <w:bCs/>
          <w:color w:val="auto"/>
          <w:sz w:val="21"/>
          <w:szCs w:val="21"/>
        </w:rPr>
        <w:t>高级系统分析师证书，同时具有医院电子病历系统功能应用水平五级（五级及以上等级）项目实施经验和医院互联互通四甲（四甲及以上等级）项目测评实施经验得4分，其他不得分。【1）提供人员资质证书、近六个月中任意一个月（不含投标当月）社保缴纳证明；2）项目经验需提供与用户签订的合同（合同建设内容需包含医院过级基础HIS、EMR、集成平台系统）、用户过级证书、加盖用户公章的项目实施证明材料（证明该人员作为项目经理具备相应的项目实施经验）。】</w:t>
      </w:r>
    </w:p>
    <w:p w14:paraId="68DFF25A">
      <w:pPr>
        <w:pStyle w:val="28"/>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outlineLvl w:val="1"/>
        <w:rPr>
          <w:rFonts w:hint="eastAsia" w:ascii="宋体" w:hAnsi="宋体" w:cs="仿宋"/>
          <w:bCs/>
          <w:color w:val="auto"/>
          <w:sz w:val="21"/>
          <w:szCs w:val="21"/>
        </w:rPr>
      </w:pPr>
      <w:r>
        <w:rPr>
          <w:rFonts w:hint="eastAsia" w:ascii="宋体" w:hAnsi="宋体" w:eastAsia="宋体" w:cs="仿宋"/>
          <w:bCs/>
          <w:color w:val="auto"/>
          <w:sz w:val="21"/>
          <w:szCs w:val="21"/>
          <w:lang w:eastAsia="zh-CN"/>
        </w:rPr>
        <w:t>（</w:t>
      </w:r>
      <w:r>
        <w:rPr>
          <w:rFonts w:hint="eastAsia" w:ascii="宋体" w:hAnsi="宋体" w:eastAsia="宋体" w:cs="仿宋"/>
          <w:bCs/>
          <w:color w:val="auto"/>
          <w:sz w:val="21"/>
          <w:szCs w:val="21"/>
          <w:lang w:val="en-US" w:eastAsia="zh-CN"/>
        </w:rPr>
        <w:t>2</w:t>
      </w:r>
      <w:r>
        <w:rPr>
          <w:rFonts w:hint="eastAsia" w:ascii="宋体" w:hAnsi="宋体" w:eastAsia="宋体" w:cs="仿宋"/>
          <w:bCs/>
          <w:color w:val="auto"/>
          <w:sz w:val="21"/>
          <w:szCs w:val="21"/>
          <w:lang w:eastAsia="zh-CN"/>
        </w:rPr>
        <w:t>）</w:t>
      </w:r>
      <w:r>
        <w:rPr>
          <w:rFonts w:hint="eastAsia" w:ascii="宋体" w:hAnsi="宋体" w:eastAsia="宋体" w:cs="仿宋"/>
          <w:bCs/>
          <w:color w:val="auto"/>
          <w:sz w:val="21"/>
          <w:szCs w:val="21"/>
        </w:rPr>
        <w:t>投标人</w:t>
      </w:r>
      <w:r>
        <w:rPr>
          <w:rFonts w:hint="eastAsia" w:hAnsi="宋体" w:cs="仿宋"/>
          <w:bCs/>
          <w:color w:val="auto"/>
          <w:sz w:val="21"/>
          <w:szCs w:val="21"/>
          <w:lang w:val="en-US" w:eastAsia="zh-CN"/>
        </w:rPr>
        <w:t>拟投入本项目</w:t>
      </w:r>
      <w:r>
        <w:rPr>
          <w:rFonts w:hint="eastAsia" w:ascii="宋体" w:hAnsi="宋体" w:eastAsia="宋体" w:cs="仿宋"/>
          <w:bCs/>
          <w:color w:val="auto"/>
          <w:sz w:val="21"/>
          <w:szCs w:val="21"/>
        </w:rPr>
        <w:t>的项目团队（项目经理除外）中具有高级信息系统项目管理师、信息安全规划师、系统集成项目管理工程师、软件设计师、网络工程师、软件测试工程师、高级系统架构师、高级系统分析师</w:t>
      </w:r>
      <w:r>
        <w:rPr>
          <w:rFonts w:hint="eastAsia" w:hAnsi="宋体" w:cs="仿宋"/>
          <w:bCs/>
          <w:color w:val="auto"/>
          <w:sz w:val="21"/>
          <w:szCs w:val="21"/>
          <w:lang w:eastAsia="zh-CN"/>
        </w:rPr>
        <w:t>，</w:t>
      </w:r>
      <w:r>
        <w:rPr>
          <w:rFonts w:hint="eastAsia" w:hAnsi="宋体" w:cs="仿宋"/>
          <w:bCs/>
          <w:color w:val="auto"/>
          <w:sz w:val="21"/>
          <w:szCs w:val="21"/>
          <w:lang w:val="en-US" w:eastAsia="zh-CN"/>
        </w:rPr>
        <w:t>每具备1人得0.5分，最多得4分</w:t>
      </w:r>
      <w:r>
        <w:rPr>
          <w:rFonts w:hint="eastAsia" w:ascii="宋体" w:hAnsi="宋体" w:eastAsia="宋体" w:cs="仿宋"/>
          <w:bCs/>
          <w:color w:val="auto"/>
          <w:sz w:val="21"/>
          <w:szCs w:val="21"/>
        </w:rPr>
        <w:t>。【提供人员资质证书、近六个月中任意一个月（不含投标当月）社保缴纳证明。同一人同时具有多项证书的只计一人，不累加、不重复计分；证明材料提供不全的不得分。】</w:t>
      </w:r>
    </w:p>
    <w:p w14:paraId="5A41C073">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b/>
          <w:sz w:val="21"/>
          <w:szCs w:val="21"/>
        </w:rPr>
      </w:pPr>
      <w:r>
        <w:rPr>
          <w:rFonts w:hint="eastAsia" w:ascii="宋体" w:hAnsi="宋体"/>
          <w:b/>
          <w:sz w:val="21"/>
          <w:szCs w:val="21"/>
        </w:rPr>
        <w:t>（三）总得分</w:t>
      </w:r>
      <w:r>
        <w:rPr>
          <w:rFonts w:ascii="宋体" w:hAnsi="宋体"/>
          <w:b/>
          <w:sz w:val="21"/>
          <w:szCs w:val="21"/>
        </w:rPr>
        <w:t xml:space="preserve">=1 + 2 + 3 + 4 + 5 + </w:t>
      </w:r>
      <w:r>
        <w:rPr>
          <w:rFonts w:hint="eastAsia" w:ascii="宋体" w:hAnsi="宋体"/>
          <w:b/>
          <w:sz w:val="21"/>
          <w:szCs w:val="21"/>
          <w:lang w:val="en-US" w:eastAsia="zh-CN"/>
        </w:rPr>
        <w:t>6</w:t>
      </w:r>
      <w:r>
        <w:rPr>
          <w:rFonts w:ascii="宋体" w:hAnsi="宋体"/>
          <w:b/>
          <w:sz w:val="21"/>
          <w:szCs w:val="21"/>
        </w:rPr>
        <w:t xml:space="preserve"> + </w:t>
      </w:r>
      <w:r>
        <w:rPr>
          <w:rFonts w:hint="eastAsia" w:ascii="宋体" w:hAnsi="宋体"/>
          <w:b/>
          <w:sz w:val="21"/>
          <w:szCs w:val="21"/>
          <w:lang w:val="en-US" w:eastAsia="zh-CN"/>
        </w:rPr>
        <w:t>7</w:t>
      </w:r>
      <w:r>
        <w:rPr>
          <w:rFonts w:ascii="宋体" w:hAnsi="宋体"/>
          <w:b/>
          <w:sz w:val="21"/>
          <w:szCs w:val="21"/>
        </w:rPr>
        <w:t xml:space="preserve"> + </w:t>
      </w:r>
      <w:r>
        <w:rPr>
          <w:rFonts w:hint="eastAsia" w:ascii="宋体" w:hAnsi="宋体"/>
          <w:b/>
          <w:sz w:val="21"/>
          <w:szCs w:val="21"/>
          <w:lang w:val="en-US" w:eastAsia="zh-CN"/>
        </w:rPr>
        <w:t>8 + 9 + 10 + 11</w:t>
      </w:r>
      <w:r>
        <w:rPr>
          <w:rFonts w:hint="eastAsia" w:ascii="宋体" w:hAnsi="宋体"/>
          <w:b/>
          <w:sz w:val="21"/>
          <w:szCs w:val="21"/>
        </w:rPr>
        <w:t>。</w:t>
      </w:r>
    </w:p>
    <w:p w14:paraId="7F0C17E8">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b/>
          <w:bCs/>
          <w:sz w:val="21"/>
          <w:szCs w:val="21"/>
        </w:rPr>
      </w:pPr>
      <w:r>
        <w:rPr>
          <w:rFonts w:hint="eastAsia" w:ascii="宋体" w:hAnsi="宋体"/>
          <w:b/>
          <w:bCs/>
          <w:sz w:val="21"/>
          <w:szCs w:val="21"/>
        </w:rPr>
        <w:t>三、中标候选供应商推荐原则</w:t>
      </w:r>
    </w:p>
    <w:p w14:paraId="69FAC90A">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bCs/>
        </w:rPr>
      </w:pPr>
      <w:r>
        <w:rPr>
          <w:rFonts w:hint="eastAsia" w:ascii="宋体" w:hAnsi="宋体"/>
          <w:bCs/>
          <w:sz w:val="21"/>
          <w:szCs w:val="21"/>
        </w:rPr>
        <w:t>（一）评标委员会将根据评审后得分由高到低顺序排列次序并推荐中标候选人。得分相同的，以投标报价由低到高顺序排列；得分相同且投标报价相同</w:t>
      </w:r>
      <w:r>
        <w:rPr>
          <w:rFonts w:hint="eastAsia" w:ascii="宋体" w:hAnsi="宋体"/>
          <w:bCs/>
        </w:rPr>
        <w:t>的并列，投标文件满足招标文件全部实质性要求，且按照评审因素的量化指标评审得分最高的投标人为排名第一的中标候选人。</w:t>
      </w:r>
    </w:p>
    <w:p w14:paraId="08969484">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Times New Roman"/>
          <w:bCs/>
          <w:color w:val="auto"/>
          <w:sz w:val="21"/>
          <w:szCs w:val="21"/>
        </w:rPr>
      </w:pPr>
      <w:r>
        <w:rPr>
          <w:rFonts w:hint="eastAsia" w:ascii="宋体" w:hAnsi="宋体"/>
          <w:bCs/>
        </w:rPr>
        <w:t>采购人应当确定评审委员会推荐排名第一的中标候选人为</w:t>
      </w:r>
      <w:r>
        <w:rPr>
          <w:rFonts w:hint="eastAsia" w:ascii="宋体" w:hAnsi="宋体"/>
        </w:rPr>
        <w:t>中标人</w:t>
      </w:r>
      <w:r>
        <w:rPr>
          <w:rFonts w:hint="eastAsia" w:ascii="宋体" w:hAnsi="宋体"/>
          <w:bCs/>
        </w:rPr>
        <w:t>。排名第一的中标候选人放弃中标、因不可抗力或者自身原因提出不能履行合同，采购人可以确定排名第二的中标候选人为</w:t>
      </w:r>
      <w:r>
        <w:rPr>
          <w:rFonts w:hint="eastAsia" w:ascii="宋体" w:hAnsi="宋体"/>
        </w:rPr>
        <w:t>中标人</w:t>
      </w:r>
      <w:r>
        <w:rPr>
          <w:rFonts w:hint="eastAsia" w:ascii="宋体" w:hAnsi="宋体"/>
          <w:bCs/>
        </w:rPr>
        <w:t>。排名第二的中标候选人因前款规定的同样原因不</w:t>
      </w:r>
      <w:r>
        <w:rPr>
          <w:rFonts w:hint="eastAsia" w:ascii="宋体" w:hAnsi="宋体"/>
          <w:bCs/>
          <w:color w:val="auto"/>
        </w:rPr>
        <w:t>能签订合同的，采购人、采购代理机构可以确定排名第三的中标候选人为中标人，采购人也可以决定重新采购。对采购过程、中标结果提出的质疑，合格供应商符合法定数量时，可以从合</w:t>
      </w:r>
      <w:r>
        <w:rPr>
          <w:rFonts w:hint="eastAsia" w:ascii="宋体" w:hAnsi="宋体" w:eastAsia="宋体" w:cs="Times New Roman"/>
          <w:bCs/>
          <w:color w:val="auto"/>
          <w:sz w:val="21"/>
          <w:szCs w:val="21"/>
        </w:rPr>
        <w:t>格的中标候选人中另行确定中标供应商的，应当依法另行确定中标供应商；否则应当重新开展采购活动。</w:t>
      </w:r>
    </w:p>
    <w:p w14:paraId="737DDCF9">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Times New Roman"/>
          <w:bCs/>
          <w:sz w:val="21"/>
          <w:szCs w:val="21"/>
        </w:rPr>
      </w:pPr>
      <w:r>
        <w:rPr>
          <w:rFonts w:hint="eastAsia" w:ascii="宋体" w:hAnsi="宋体" w:eastAsia="宋体" w:cs="Times New Roman"/>
          <w:bCs/>
          <w:color w:val="auto"/>
          <w:sz w:val="21"/>
          <w:szCs w:val="21"/>
        </w:rPr>
        <w:t>（二）</w:t>
      </w:r>
      <w:r>
        <w:rPr>
          <w:rFonts w:hint="eastAsia" w:ascii="宋体" w:hAnsi="宋体" w:eastAsia="宋体" w:cs="Times New Roman"/>
          <w:bCs/>
          <w:color w:val="auto"/>
          <w:sz w:val="21"/>
          <w:szCs w:val="21"/>
          <w:lang w:val="en-US" w:eastAsia="zh-CN"/>
        </w:rPr>
        <w:t>异常低价审查：具体详见第三章《投标人须知》。</w:t>
      </w:r>
    </w:p>
    <w:p w14:paraId="58A065FC">
      <w:pPr>
        <w:pStyle w:val="28"/>
        <w:spacing w:line="360" w:lineRule="auto"/>
        <w:ind w:firstLine="400" w:firstLineChars="200"/>
        <w:rPr>
          <w:rFonts w:hint="eastAsia" w:hAnsi="宋体" w:cs="宋体"/>
          <w:color w:val="auto"/>
        </w:rPr>
      </w:pPr>
    </w:p>
    <w:p w14:paraId="7860CEB5">
      <w:pPr>
        <w:spacing w:line="360" w:lineRule="auto"/>
        <w:contextualSpacing/>
        <w:rPr>
          <w:rFonts w:hint="eastAsia" w:ascii="宋体" w:hAnsi="宋体" w:cs="宋体"/>
          <w:b/>
          <w:color w:val="auto"/>
          <w:sz w:val="24"/>
        </w:rPr>
      </w:pPr>
      <w:r>
        <w:rPr>
          <w:rFonts w:hint="eastAsia" w:ascii="宋体" w:hAnsi="宋体" w:cs="宋体"/>
          <w:b/>
          <w:color w:val="auto"/>
          <w:sz w:val="24"/>
        </w:rPr>
        <w:br w:type="page"/>
      </w:r>
    </w:p>
    <w:p w14:paraId="7BC40C24">
      <w:pPr>
        <w:spacing w:before="120" w:beforeLines="50" w:after="120" w:afterLines="50" w:line="400" w:lineRule="exact"/>
        <w:rPr>
          <w:rFonts w:hint="eastAsia" w:ascii="宋体" w:hAnsi="宋体" w:cs="宋体"/>
          <w:b/>
          <w:color w:val="auto"/>
          <w:sz w:val="24"/>
        </w:rPr>
      </w:pPr>
    </w:p>
    <w:p w14:paraId="62BD70B9">
      <w:pPr>
        <w:spacing w:before="120" w:beforeLines="50" w:after="120" w:afterLines="50" w:line="400" w:lineRule="exact"/>
        <w:rPr>
          <w:rFonts w:hint="eastAsia" w:ascii="宋体" w:hAnsi="宋体" w:cs="宋体"/>
          <w:b/>
          <w:color w:val="auto"/>
          <w:sz w:val="24"/>
        </w:rPr>
      </w:pPr>
    </w:p>
    <w:p w14:paraId="1B801FCA">
      <w:pPr>
        <w:spacing w:before="120" w:beforeLines="50" w:after="120" w:afterLines="50" w:line="400" w:lineRule="exact"/>
        <w:rPr>
          <w:rFonts w:hint="eastAsia" w:ascii="宋体" w:hAnsi="宋体" w:cs="宋体"/>
          <w:b/>
          <w:color w:val="auto"/>
          <w:sz w:val="24"/>
        </w:rPr>
      </w:pPr>
    </w:p>
    <w:p w14:paraId="59747485">
      <w:pPr>
        <w:spacing w:before="120" w:beforeLines="50" w:after="120" w:afterLines="50" w:line="400" w:lineRule="exact"/>
        <w:rPr>
          <w:rFonts w:hint="eastAsia" w:ascii="宋体" w:hAnsi="宋体" w:cs="宋体"/>
          <w:b/>
          <w:color w:val="auto"/>
          <w:sz w:val="24"/>
        </w:rPr>
      </w:pPr>
    </w:p>
    <w:p w14:paraId="35ECCD8B">
      <w:pPr>
        <w:spacing w:before="120" w:beforeLines="50" w:after="120" w:afterLines="50" w:line="400" w:lineRule="exact"/>
        <w:rPr>
          <w:rFonts w:hint="eastAsia" w:ascii="宋体" w:hAnsi="宋体" w:cs="宋体"/>
          <w:b/>
          <w:color w:val="auto"/>
          <w:sz w:val="24"/>
        </w:rPr>
      </w:pPr>
    </w:p>
    <w:p w14:paraId="059597E8">
      <w:pPr>
        <w:spacing w:before="120" w:beforeLines="50" w:after="120" w:afterLines="50" w:line="400" w:lineRule="exact"/>
        <w:rPr>
          <w:rFonts w:hint="eastAsia" w:ascii="宋体" w:hAnsi="宋体" w:cs="宋体"/>
          <w:b/>
          <w:color w:val="auto"/>
          <w:sz w:val="24"/>
        </w:rPr>
      </w:pPr>
    </w:p>
    <w:p w14:paraId="41BBAD83">
      <w:pPr>
        <w:spacing w:before="120" w:beforeLines="50" w:after="120" w:afterLines="50" w:line="400" w:lineRule="exact"/>
        <w:rPr>
          <w:rFonts w:hint="eastAsia" w:ascii="宋体" w:hAnsi="宋体" w:cs="宋体"/>
          <w:b/>
          <w:color w:val="auto"/>
          <w:sz w:val="24"/>
        </w:rPr>
      </w:pPr>
    </w:p>
    <w:p w14:paraId="49D9E407">
      <w:pPr>
        <w:spacing w:before="120" w:beforeLines="50" w:after="120" w:afterLines="50" w:line="400" w:lineRule="exact"/>
        <w:rPr>
          <w:rFonts w:hint="eastAsia" w:ascii="宋体" w:hAnsi="宋体" w:cs="宋体"/>
          <w:b/>
          <w:color w:val="auto"/>
          <w:sz w:val="24"/>
        </w:rPr>
      </w:pPr>
    </w:p>
    <w:p w14:paraId="4C17A1E7">
      <w:pPr>
        <w:spacing w:before="120" w:beforeLines="50" w:after="120" w:afterLines="50" w:line="400" w:lineRule="exact"/>
        <w:rPr>
          <w:rFonts w:hint="eastAsia" w:ascii="宋体" w:hAnsi="宋体" w:cs="宋体"/>
          <w:b/>
          <w:color w:val="auto"/>
          <w:sz w:val="24"/>
        </w:rPr>
      </w:pPr>
    </w:p>
    <w:p w14:paraId="636EA1D8">
      <w:pPr>
        <w:spacing w:before="120" w:beforeLines="50" w:after="120" w:afterLines="50" w:line="400" w:lineRule="exact"/>
        <w:rPr>
          <w:rFonts w:hint="eastAsia" w:ascii="宋体" w:hAnsi="宋体" w:cs="宋体"/>
          <w:b/>
          <w:color w:val="auto"/>
          <w:sz w:val="24"/>
        </w:rPr>
      </w:pPr>
    </w:p>
    <w:p w14:paraId="6F5C9309">
      <w:pPr>
        <w:pStyle w:val="3"/>
        <w:keepNext w:val="0"/>
        <w:keepLines w:val="0"/>
        <w:jc w:val="center"/>
        <w:rPr>
          <w:rFonts w:hint="eastAsia" w:ascii="宋体" w:hAnsi="宋体" w:eastAsia="宋体" w:cs="宋体"/>
          <w:color w:val="auto"/>
        </w:rPr>
      </w:pPr>
      <w:bookmarkStart w:id="108" w:name="_Toc19686833"/>
      <w:r>
        <w:rPr>
          <w:rFonts w:hint="eastAsia" w:ascii="宋体" w:hAnsi="宋体" w:eastAsia="宋体" w:cs="宋体"/>
          <w:color w:val="auto"/>
        </w:rPr>
        <w:t xml:space="preserve">第五章  </w:t>
      </w:r>
      <w:bookmarkEnd w:id="108"/>
      <w:r>
        <w:rPr>
          <w:rFonts w:hint="eastAsia" w:ascii="宋体" w:hAnsi="宋体" w:eastAsia="宋体" w:cs="宋体"/>
          <w:color w:val="auto"/>
        </w:rPr>
        <w:t>政府采购合同主要条款</w:t>
      </w:r>
    </w:p>
    <w:p w14:paraId="40887119">
      <w:pPr>
        <w:snapToGrid w:val="0"/>
        <w:jc w:val="center"/>
        <w:rPr>
          <w:rFonts w:hint="eastAsia" w:ascii="宋体" w:hAnsi="宋体" w:cs="宋体"/>
          <w:bCs/>
          <w:color w:val="auto"/>
          <w:sz w:val="32"/>
          <w:szCs w:val="32"/>
        </w:rPr>
      </w:pPr>
    </w:p>
    <w:p w14:paraId="65F4311C">
      <w:pPr>
        <w:snapToGrid w:val="0"/>
        <w:jc w:val="center"/>
        <w:rPr>
          <w:rFonts w:hint="eastAsia" w:ascii="宋体" w:hAnsi="宋体" w:cs="宋体"/>
          <w:bCs/>
          <w:color w:val="auto"/>
          <w:sz w:val="32"/>
          <w:szCs w:val="32"/>
        </w:rPr>
      </w:pPr>
    </w:p>
    <w:p w14:paraId="0F5FE2C2">
      <w:pPr>
        <w:snapToGrid w:val="0"/>
        <w:jc w:val="center"/>
        <w:rPr>
          <w:rFonts w:hint="eastAsia" w:ascii="宋体" w:hAnsi="宋体" w:cs="宋体"/>
          <w:bCs/>
          <w:color w:val="auto"/>
          <w:sz w:val="32"/>
          <w:szCs w:val="32"/>
        </w:rPr>
      </w:pPr>
    </w:p>
    <w:p w14:paraId="09B965C9">
      <w:pPr>
        <w:snapToGrid w:val="0"/>
        <w:jc w:val="center"/>
        <w:rPr>
          <w:rFonts w:hint="eastAsia" w:ascii="宋体" w:hAnsi="宋体" w:cs="宋体"/>
          <w:bCs/>
          <w:color w:val="auto"/>
          <w:sz w:val="32"/>
          <w:szCs w:val="32"/>
        </w:rPr>
      </w:pPr>
    </w:p>
    <w:p w14:paraId="5664E8F1">
      <w:pPr>
        <w:snapToGrid w:val="0"/>
        <w:jc w:val="center"/>
        <w:rPr>
          <w:rFonts w:hint="eastAsia" w:ascii="宋体" w:hAnsi="宋体" w:cs="宋体"/>
          <w:bCs/>
          <w:color w:val="auto"/>
          <w:sz w:val="32"/>
          <w:szCs w:val="32"/>
        </w:rPr>
      </w:pPr>
    </w:p>
    <w:p w14:paraId="5B04FDDE">
      <w:pPr>
        <w:snapToGrid w:val="0"/>
        <w:jc w:val="center"/>
        <w:rPr>
          <w:rFonts w:hint="eastAsia" w:ascii="宋体" w:hAnsi="宋体" w:cs="宋体"/>
          <w:bCs/>
          <w:color w:val="auto"/>
          <w:sz w:val="32"/>
          <w:szCs w:val="32"/>
        </w:rPr>
      </w:pPr>
    </w:p>
    <w:p w14:paraId="5A7D675A">
      <w:pPr>
        <w:snapToGrid w:val="0"/>
        <w:jc w:val="center"/>
        <w:rPr>
          <w:rFonts w:hint="eastAsia" w:ascii="宋体" w:hAnsi="宋体" w:cs="宋体"/>
          <w:bCs/>
          <w:color w:val="auto"/>
          <w:sz w:val="32"/>
          <w:szCs w:val="32"/>
        </w:rPr>
      </w:pPr>
    </w:p>
    <w:p w14:paraId="70C25C83">
      <w:pPr>
        <w:snapToGrid w:val="0"/>
        <w:jc w:val="center"/>
        <w:rPr>
          <w:rFonts w:hint="eastAsia" w:ascii="宋体" w:hAnsi="宋体" w:cs="宋体"/>
          <w:bCs/>
          <w:color w:val="auto"/>
          <w:sz w:val="32"/>
          <w:szCs w:val="32"/>
        </w:rPr>
      </w:pPr>
    </w:p>
    <w:p w14:paraId="74A6E05E">
      <w:pPr>
        <w:snapToGrid w:val="0"/>
        <w:jc w:val="center"/>
        <w:rPr>
          <w:rFonts w:hint="eastAsia" w:ascii="宋体" w:hAnsi="宋体" w:cs="宋体"/>
          <w:bCs/>
          <w:color w:val="auto"/>
          <w:sz w:val="32"/>
          <w:szCs w:val="32"/>
        </w:rPr>
      </w:pPr>
    </w:p>
    <w:p w14:paraId="76DCE509">
      <w:pPr>
        <w:snapToGrid w:val="0"/>
        <w:jc w:val="center"/>
        <w:rPr>
          <w:rFonts w:hint="eastAsia" w:ascii="宋体" w:hAnsi="宋体" w:cs="宋体"/>
          <w:bCs/>
          <w:color w:val="auto"/>
          <w:sz w:val="32"/>
          <w:szCs w:val="32"/>
        </w:rPr>
      </w:pPr>
    </w:p>
    <w:p w14:paraId="19C7C9D6">
      <w:pPr>
        <w:snapToGrid w:val="0"/>
        <w:jc w:val="center"/>
        <w:rPr>
          <w:rFonts w:hint="eastAsia" w:ascii="宋体" w:hAnsi="宋体" w:cs="宋体"/>
          <w:bCs/>
          <w:color w:val="auto"/>
          <w:sz w:val="32"/>
          <w:szCs w:val="32"/>
        </w:rPr>
      </w:pPr>
    </w:p>
    <w:p w14:paraId="74B8D7D2">
      <w:pPr>
        <w:snapToGrid w:val="0"/>
        <w:jc w:val="center"/>
        <w:rPr>
          <w:rFonts w:hint="eastAsia" w:ascii="宋体" w:hAnsi="宋体" w:cs="宋体"/>
          <w:bCs/>
          <w:color w:val="auto"/>
          <w:sz w:val="32"/>
          <w:szCs w:val="32"/>
        </w:rPr>
      </w:pPr>
    </w:p>
    <w:p w14:paraId="65390A42">
      <w:pPr>
        <w:snapToGrid w:val="0"/>
        <w:jc w:val="center"/>
        <w:rPr>
          <w:rFonts w:hint="eastAsia" w:ascii="宋体" w:hAnsi="宋体" w:cs="宋体"/>
          <w:bCs/>
          <w:color w:val="auto"/>
          <w:sz w:val="32"/>
          <w:szCs w:val="32"/>
        </w:rPr>
      </w:pPr>
    </w:p>
    <w:p w14:paraId="66E5B8C0">
      <w:pPr>
        <w:snapToGrid w:val="0"/>
        <w:jc w:val="center"/>
        <w:rPr>
          <w:rFonts w:hint="eastAsia" w:ascii="宋体" w:hAnsi="宋体" w:cs="宋体"/>
          <w:bCs/>
          <w:color w:val="auto"/>
          <w:sz w:val="32"/>
          <w:szCs w:val="32"/>
        </w:rPr>
      </w:pPr>
    </w:p>
    <w:p w14:paraId="7936C23D">
      <w:pPr>
        <w:snapToGrid w:val="0"/>
        <w:spacing w:line="360" w:lineRule="exact"/>
        <w:jc w:val="center"/>
        <w:rPr>
          <w:rFonts w:hint="eastAsia"/>
          <w:b/>
          <w:bCs/>
          <w:color w:val="FF0000"/>
          <w:sz w:val="32"/>
          <w:szCs w:val="32"/>
        </w:rPr>
      </w:pPr>
      <w:r>
        <w:rPr>
          <w:rFonts w:hint="eastAsia" w:ascii="宋体" w:hAnsi="宋体" w:cs="宋体"/>
          <w:bCs/>
          <w:color w:val="auto"/>
          <w:sz w:val="32"/>
          <w:szCs w:val="32"/>
        </w:rPr>
        <w:br w:type="page"/>
      </w:r>
      <w:bookmarkStart w:id="109" w:name="_Hlk55381736"/>
      <w:r>
        <w:rPr>
          <w:rFonts w:hint="eastAsia"/>
          <w:b/>
          <w:bCs/>
          <w:sz w:val="32"/>
          <w:szCs w:val="32"/>
        </w:rPr>
        <w:t>广西壮族自治区政府采购合同（格式）</w:t>
      </w:r>
    </w:p>
    <w:p w14:paraId="49AC8153">
      <w:pPr>
        <w:jc w:val="center"/>
        <w:rPr>
          <w:rFonts w:hint="eastAsia" w:ascii="宋体" w:hAnsi="宋体"/>
          <w:bCs/>
          <w:szCs w:val="21"/>
        </w:rPr>
      </w:pPr>
    </w:p>
    <w:p w14:paraId="33649060">
      <w:pPr>
        <w:snapToGrid w:val="0"/>
        <w:spacing w:line="360" w:lineRule="exact"/>
        <w:ind w:right="480" w:firstLine="5985" w:firstLineChars="2850"/>
        <w:rPr>
          <w:rFonts w:hint="eastAsia" w:ascii="宋体" w:hAnsi="宋体"/>
          <w:bCs/>
          <w:szCs w:val="21"/>
          <w:u w:val="single"/>
        </w:rPr>
      </w:pPr>
      <w:r>
        <w:rPr>
          <w:rFonts w:hint="eastAsia" w:ascii="宋体" w:hAnsi="宋体"/>
          <w:bCs/>
          <w:szCs w:val="21"/>
        </w:rPr>
        <w:t>合同编号：</w:t>
      </w:r>
    </w:p>
    <w:p w14:paraId="54BF4568">
      <w:pPr>
        <w:spacing w:line="380" w:lineRule="exact"/>
        <w:ind w:right="800"/>
        <w:rPr>
          <w:rFonts w:ascii="宋体" w:hAnsi="宋体" w:cs="宋体"/>
          <w:bCs/>
          <w:szCs w:val="21"/>
          <w:u w:val="single"/>
        </w:rPr>
      </w:pPr>
      <w:r>
        <w:rPr>
          <w:rFonts w:hint="eastAsia" w:ascii="宋体" w:hAnsi="宋体" w:cs="宋体"/>
          <w:szCs w:val="21"/>
        </w:rPr>
        <w:t>采购计划号：</w:t>
      </w:r>
      <w:r>
        <w:rPr>
          <w:rFonts w:hint="eastAsia" w:ascii="宋体" w:hAnsi="宋体" w:cs="宋体"/>
          <w:szCs w:val="21"/>
          <w:u w:val="single"/>
        </w:rPr>
        <w:t xml:space="preserve"> </w:t>
      </w:r>
      <w:r>
        <w:rPr>
          <w:rFonts w:ascii="宋体" w:hAnsi="宋体" w:cs="宋体"/>
          <w:szCs w:val="21"/>
          <w:u w:val="single"/>
        </w:rPr>
        <w:t xml:space="preserve">                        </w:t>
      </w:r>
      <w:r>
        <w:rPr>
          <w:rFonts w:ascii="宋体" w:hAnsi="宋体" w:cs="宋体"/>
          <w:szCs w:val="21"/>
        </w:rPr>
        <w:t xml:space="preserve">   </w:t>
      </w:r>
      <w:r>
        <w:rPr>
          <w:rFonts w:hint="eastAsia" w:ascii="宋体" w:hAnsi="宋体" w:cs="宋体"/>
          <w:bCs/>
          <w:szCs w:val="21"/>
        </w:rPr>
        <w:t>合同编号：</w:t>
      </w:r>
      <w:r>
        <w:rPr>
          <w:rFonts w:ascii="宋体" w:hAnsi="宋体" w:cs="宋体"/>
          <w:szCs w:val="21"/>
          <w:u w:val="single"/>
        </w:rPr>
        <w:t xml:space="preserve">                </w:t>
      </w:r>
      <w:r>
        <w:rPr>
          <w:rFonts w:hint="eastAsia" w:ascii="宋体" w:hAnsi="宋体" w:cs="宋体"/>
          <w:szCs w:val="21"/>
          <w:u w:val="single"/>
        </w:rPr>
        <w:t xml:space="preserve">  </w:t>
      </w:r>
    </w:p>
    <w:p w14:paraId="03C89F02">
      <w:pPr>
        <w:spacing w:line="380" w:lineRule="exact"/>
        <w:rPr>
          <w:rFonts w:ascii="宋体" w:hAnsi="宋体" w:cs="宋体"/>
          <w:szCs w:val="21"/>
          <w:u w:val="single"/>
        </w:rPr>
      </w:pPr>
      <w:r>
        <w:rPr>
          <w:rFonts w:hint="eastAsia" w:ascii="宋体" w:hAnsi="宋体" w:cs="宋体"/>
          <w:szCs w:val="21"/>
        </w:rPr>
        <w:t>采购人（甲方）：</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hint="eastAsia" w:ascii="宋体" w:hAnsi="宋体" w:cs="宋体"/>
          <w:szCs w:val="21"/>
        </w:rPr>
        <w:t xml:space="preserve">   供应商（乙方）：</w:t>
      </w:r>
      <w:r>
        <w:rPr>
          <w:rFonts w:ascii="宋体" w:hAnsi="宋体" w:cs="宋体"/>
          <w:szCs w:val="21"/>
          <w:u w:val="single"/>
        </w:rPr>
        <w:t xml:space="preserve">                    </w:t>
      </w:r>
      <w:r>
        <w:rPr>
          <w:rFonts w:hint="eastAsia" w:ascii="宋体" w:hAnsi="宋体" w:cs="宋体"/>
          <w:szCs w:val="21"/>
        </w:rPr>
        <w:t xml:space="preserve">    </w:t>
      </w:r>
    </w:p>
    <w:p w14:paraId="49587A0E">
      <w:pPr>
        <w:spacing w:line="380" w:lineRule="exact"/>
        <w:rPr>
          <w:rFonts w:hint="eastAsia" w:ascii="宋体" w:hAnsi="宋体" w:cs="宋体"/>
          <w:szCs w:val="21"/>
          <w:u w:val="single"/>
        </w:rPr>
      </w:pPr>
      <w:r>
        <w:rPr>
          <w:rFonts w:hint="eastAsia" w:ascii="宋体" w:hAnsi="宋体" w:cs="宋体"/>
          <w:szCs w:val="21"/>
        </w:rPr>
        <w:t>项目名称：</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ascii="宋体" w:hAnsi="宋体" w:cs="宋体"/>
          <w:szCs w:val="21"/>
        </w:rPr>
        <w:t xml:space="preserve">   </w:t>
      </w:r>
      <w:r>
        <w:rPr>
          <w:rFonts w:hint="eastAsia" w:ascii="宋体" w:hAnsi="宋体" w:cs="宋体"/>
          <w:szCs w:val="21"/>
        </w:rPr>
        <w:t>项目编号：</w:t>
      </w:r>
      <w:r>
        <w:rPr>
          <w:rFonts w:ascii="宋体" w:hAnsi="宋体" w:cs="宋体"/>
          <w:szCs w:val="21"/>
          <w:u w:val="single"/>
        </w:rPr>
        <w:t xml:space="preserve">                          </w:t>
      </w:r>
    </w:p>
    <w:p w14:paraId="4E7D50D7">
      <w:pPr>
        <w:spacing w:line="380" w:lineRule="exact"/>
        <w:rPr>
          <w:rFonts w:hint="eastAsia" w:ascii="宋体" w:hAnsi="宋体" w:cs="宋体"/>
          <w:szCs w:val="21"/>
          <w:u w:val="single"/>
        </w:rPr>
      </w:pPr>
      <w:r>
        <w:rPr>
          <w:rFonts w:hint="eastAsia" w:ascii="宋体" w:hAnsi="宋体" w:cs="宋体"/>
          <w:szCs w:val="21"/>
        </w:rPr>
        <w:t>签订地点：</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hint="eastAsia" w:ascii="宋体" w:hAnsi="宋体" w:cs="宋体"/>
          <w:szCs w:val="21"/>
        </w:rPr>
        <w:t xml:space="preserve">   签订时间：</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1F8FC489">
      <w:pPr>
        <w:spacing w:line="380" w:lineRule="exact"/>
        <w:rPr>
          <w:rFonts w:hint="eastAsia" w:ascii="宋体" w:hAnsi="宋体" w:cs="宋体"/>
          <w:szCs w:val="21"/>
        </w:rPr>
      </w:pPr>
      <w:r>
        <w:rPr>
          <w:rFonts w:hint="eastAsia" w:ascii="宋体" w:hAnsi="宋体" w:cs="宋体"/>
          <w:szCs w:val="21"/>
        </w:rPr>
        <w:t>本合同为中小企业预留合同：</w:t>
      </w:r>
      <w:r>
        <w:rPr>
          <w:rFonts w:hint="eastAsia" w:ascii="宋体" w:hAnsi="宋体" w:cs="宋体"/>
          <w:szCs w:val="21"/>
          <w:u w:val="single"/>
        </w:rPr>
        <w:t>（否）</w:t>
      </w:r>
      <w:r>
        <w:rPr>
          <w:rFonts w:hint="eastAsia" w:ascii="宋体" w:hAnsi="宋体" w:cs="宋体"/>
          <w:szCs w:val="21"/>
        </w:rPr>
        <w:t>。</w:t>
      </w:r>
    </w:p>
    <w:p w14:paraId="2386017B">
      <w:pPr>
        <w:spacing w:line="380" w:lineRule="exact"/>
        <w:ind w:firstLine="420" w:firstLineChars="200"/>
        <w:rPr>
          <w:rFonts w:hint="eastAsia" w:ascii="宋体" w:hAnsi="宋体" w:cs="宋体"/>
          <w:szCs w:val="21"/>
        </w:rPr>
      </w:pPr>
    </w:p>
    <w:p w14:paraId="7BFEC131">
      <w:pPr>
        <w:spacing w:line="380" w:lineRule="exact"/>
        <w:ind w:firstLine="420" w:firstLineChars="200"/>
        <w:rPr>
          <w:rFonts w:hint="eastAsia" w:ascii="宋体" w:hAnsi="宋体" w:cs="宋体"/>
          <w:szCs w:val="21"/>
        </w:rPr>
      </w:pPr>
      <w:r>
        <w:rPr>
          <w:rFonts w:hint="eastAsia" w:ascii="宋体" w:hAnsi="宋体" w:cs="宋体"/>
          <w:szCs w:val="21"/>
        </w:rPr>
        <w:t>根据《中华人民共和国政府采购法》《中华人民共和国民法典》等法律法规规定，按照</w:t>
      </w:r>
      <w:r>
        <w:rPr>
          <w:rFonts w:hint="eastAsia" w:ascii="宋体" w:hAnsi="宋体"/>
          <w:szCs w:val="21"/>
        </w:rPr>
        <w:t>招标文件规定条款和乙方投标文件及其承诺，甲乙双方签订本合同。</w:t>
      </w:r>
    </w:p>
    <w:p w14:paraId="3AA81DAA">
      <w:pPr>
        <w:spacing w:line="380" w:lineRule="exact"/>
        <w:ind w:firstLine="422" w:firstLineChars="200"/>
        <w:rPr>
          <w:rFonts w:hint="eastAsia" w:ascii="宋体" w:hAnsi="宋体" w:cs="宋体"/>
          <w:b/>
          <w:szCs w:val="21"/>
        </w:rPr>
      </w:pPr>
      <w:r>
        <w:rPr>
          <w:rFonts w:hint="eastAsia" w:ascii="宋体" w:hAnsi="宋体" w:cs="宋体"/>
          <w:b/>
          <w:szCs w:val="21"/>
        </w:rPr>
        <w:t>第一条　合同标的</w:t>
      </w:r>
    </w:p>
    <w:p w14:paraId="00E57E4F">
      <w:pPr>
        <w:tabs>
          <w:tab w:val="left" w:pos="8280"/>
        </w:tabs>
        <w:snapToGrid w:val="0"/>
        <w:spacing w:line="380" w:lineRule="exact"/>
        <w:ind w:right="26" w:firstLine="420" w:firstLineChars="200"/>
        <w:rPr>
          <w:rFonts w:hint="eastAsia" w:ascii="宋体" w:hAnsi="宋体" w:eastAsia="宋体"/>
          <w:szCs w:val="21"/>
          <w:lang w:eastAsia="zh-CN"/>
        </w:rPr>
      </w:pPr>
      <w:r>
        <w:rPr>
          <w:rFonts w:hint="eastAsia" w:ascii="宋体" w:hAnsi="宋体"/>
          <w:szCs w:val="21"/>
        </w:rPr>
        <w:t>1.服务项目</w:t>
      </w:r>
      <w:r>
        <w:rPr>
          <w:rFonts w:hint="eastAsia" w:ascii="宋体" w:hAnsi="宋体"/>
          <w:szCs w:val="21"/>
          <w:lang w:eastAsia="zh-CN"/>
        </w:rPr>
        <w:t>：</w:t>
      </w:r>
    </w:p>
    <w:p w14:paraId="13AE5C22">
      <w:pPr>
        <w:tabs>
          <w:tab w:val="left" w:pos="8280"/>
        </w:tabs>
        <w:snapToGrid w:val="0"/>
        <w:spacing w:line="380" w:lineRule="exact"/>
        <w:ind w:right="26" w:firstLine="420" w:firstLineChars="200"/>
        <w:rPr>
          <w:rFonts w:hint="eastAsia" w:ascii="宋体" w:hAnsi="宋体"/>
          <w:szCs w:val="21"/>
        </w:rPr>
      </w:pPr>
      <w:r>
        <w:rPr>
          <w:rFonts w:hint="eastAsia" w:ascii="宋体" w:hAnsi="宋体"/>
          <w:szCs w:val="21"/>
        </w:rPr>
        <w:t>乙方接受甲方委托，承担《</w:t>
      </w:r>
      <w:r>
        <w:rPr>
          <w:rFonts w:hint="eastAsia" w:ascii="宋体" w:hAnsi="宋体"/>
          <w:szCs w:val="21"/>
          <w:u w:val="single"/>
        </w:rPr>
        <w:t xml:space="preserve">            </w:t>
      </w:r>
      <w:r>
        <w:rPr>
          <w:rFonts w:hint="eastAsia" w:ascii="宋体" w:hAnsi="宋体"/>
          <w:szCs w:val="21"/>
        </w:rPr>
        <w:t>》项目实施工作，并为甲方提供技术服务，以满足甲方对本合同项目服务需求及要求。</w:t>
      </w:r>
      <w:r>
        <w:rPr>
          <w:rFonts w:hint="eastAsia" w:ascii="宋体" w:hAnsi="宋体"/>
          <w:b/>
          <w:szCs w:val="21"/>
          <w:u w:val="single"/>
        </w:rPr>
        <w:t>合同总金额（大写）人民币            （¥       ）（详见报价表，即“开标一览表”）</w:t>
      </w:r>
      <w:r>
        <w:rPr>
          <w:rFonts w:hint="eastAsia" w:ascii="宋体" w:hAnsi="宋体"/>
          <w:szCs w:val="21"/>
        </w:rPr>
        <w:t>。</w:t>
      </w:r>
    </w:p>
    <w:p w14:paraId="35D5370E">
      <w:pPr>
        <w:tabs>
          <w:tab w:val="left" w:pos="8280"/>
        </w:tabs>
        <w:snapToGrid w:val="0"/>
        <w:spacing w:line="380" w:lineRule="exact"/>
        <w:ind w:right="26" w:firstLine="420" w:firstLineChars="200"/>
        <w:rPr>
          <w:rFonts w:hint="eastAsia" w:ascii="宋体" w:hAnsi="宋体"/>
          <w:szCs w:val="21"/>
        </w:rPr>
      </w:pPr>
      <w:r>
        <w:rPr>
          <w:rFonts w:hint="eastAsia" w:ascii="宋体" w:hAnsi="宋体"/>
          <w:szCs w:val="21"/>
        </w:rPr>
        <w:t>2.项目服务所应实现的目标及技术要求以招标文件和投标文件承诺约定为准。</w:t>
      </w:r>
    </w:p>
    <w:p w14:paraId="5B267AF4">
      <w:pPr>
        <w:spacing w:line="380" w:lineRule="exact"/>
        <w:ind w:firstLine="420" w:firstLineChars="200"/>
        <w:rPr>
          <w:rFonts w:hint="eastAsia" w:ascii="宋体" w:hAnsi="宋体" w:cs="宋体"/>
          <w:szCs w:val="21"/>
        </w:rPr>
      </w:pPr>
      <w:r>
        <w:rPr>
          <w:rFonts w:hint="eastAsia" w:ascii="宋体" w:hAnsi="宋体"/>
          <w:szCs w:val="21"/>
        </w:rPr>
        <w:t>3.本合同为整体服务包干项目，合同总金额包含所有服务内容，包括但不限于项目开发建设、</w:t>
      </w:r>
      <w:r>
        <w:rPr>
          <w:rFonts w:hint="eastAsia" w:ascii="宋体" w:hAnsi="宋体"/>
          <w:szCs w:val="21"/>
          <w:lang w:val="en-US" w:eastAsia="zh-CN"/>
        </w:rPr>
        <w:t>软件硬件采购费用、</w:t>
      </w:r>
      <w:r>
        <w:rPr>
          <w:rFonts w:hint="eastAsia" w:ascii="宋体" w:hAnsi="宋体"/>
          <w:szCs w:val="21"/>
        </w:rPr>
        <w:t>测试、功能调整、接口费（含采购人及第三方公司）、第三方开放能力平台服务费、人员培训、差旅费、开发人员费用、运行维护、故障处理、技术服务费用、试运行、配合验收费用、保险费、采购代理服务费、系统（软件）的永久使用权利等一切完成本项目服务期限内工作全部费用的总和；除非另有明确约定，甲方不再向乙方支付任何其他费用。</w:t>
      </w:r>
    </w:p>
    <w:p w14:paraId="28E1E180">
      <w:pPr>
        <w:spacing w:line="380" w:lineRule="exact"/>
        <w:ind w:firstLine="422" w:firstLineChars="200"/>
        <w:rPr>
          <w:rFonts w:hint="eastAsia" w:ascii="宋体" w:hAnsi="宋体" w:cs="宋体"/>
          <w:b/>
          <w:szCs w:val="21"/>
        </w:rPr>
      </w:pPr>
      <w:r>
        <w:rPr>
          <w:rFonts w:hint="eastAsia" w:ascii="宋体" w:hAnsi="宋体" w:cs="宋体"/>
          <w:b/>
          <w:szCs w:val="21"/>
        </w:rPr>
        <w:t>第二条　质量保证</w:t>
      </w:r>
    </w:p>
    <w:p w14:paraId="02BB2782">
      <w:pPr>
        <w:snapToGrid w:val="0"/>
        <w:spacing w:line="380" w:lineRule="exact"/>
        <w:ind w:firstLine="420" w:firstLineChars="200"/>
        <w:rPr>
          <w:rFonts w:hint="eastAsia" w:ascii="宋体" w:hAnsi="宋体" w:cs="宋体"/>
          <w:szCs w:val="21"/>
        </w:rPr>
      </w:pPr>
      <w:r>
        <w:rPr>
          <w:rFonts w:hint="eastAsia" w:ascii="宋体" w:hAnsi="宋体" w:cs="宋体"/>
          <w:szCs w:val="21"/>
        </w:rPr>
        <w:t>乙方所提供的技术服务及售后服务内容必须与投标文件及其承诺相一致，有国家强制性标准的，必须符合国家强制性标准的规定，没有国家强制性标准但有其他地方或行业强制性标准的，必须符合相关强制性标准的规定。</w:t>
      </w:r>
    </w:p>
    <w:p w14:paraId="763D45FE">
      <w:pPr>
        <w:spacing w:line="380" w:lineRule="exact"/>
        <w:ind w:firstLine="422" w:firstLineChars="200"/>
        <w:rPr>
          <w:rFonts w:hint="eastAsia" w:ascii="宋体" w:hAnsi="宋体" w:cs="宋体"/>
          <w:szCs w:val="21"/>
        </w:rPr>
      </w:pPr>
      <w:r>
        <w:rPr>
          <w:rFonts w:hint="eastAsia" w:ascii="宋体" w:hAnsi="宋体" w:cs="宋体"/>
          <w:b/>
          <w:szCs w:val="21"/>
        </w:rPr>
        <w:t>第三条　权利保证</w:t>
      </w:r>
    </w:p>
    <w:p w14:paraId="419D594F">
      <w:pPr>
        <w:snapToGrid w:val="0"/>
        <w:spacing w:line="380" w:lineRule="exact"/>
        <w:ind w:firstLine="420" w:firstLineChars="200"/>
        <w:rPr>
          <w:rFonts w:hint="eastAsia" w:ascii="宋体" w:hAnsi="宋体" w:cs="宋体"/>
          <w:szCs w:val="21"/>
        </w:rPr>
      </w:pPr>
      <w:r>
        <w:rPr>
          <w:rFonts w:hint="eastAsia" w:ascii="宋体" w:hAnsi="宋体" w:cs="宋体"/>
          <w:szCs w:val="21"/>
        </w:rPr>
        <w:t>1</w:t>
      </w:r>
      <w:r>
        <w:rPr>
          <w:rFonts w:ascii="宋体" w:hAnsi="宋体" w:cs="宋体"/>
          <w:szCs w:val="21"/>
        </w:rPr>
        <w:t>.</w:t>
      </w:r>
      <w:r>
        <w:rPr>
          <w:rFonts w:hint="eastAsia" w:ascii="宋体" w:hAnsi="宋体" w:cs="宋体"/>
          <w:szCs w:val="21"/>
        </w:rPr>
        <w:t>乙方应保证所提供服务在使用时不会侵犯任何第三方的</w:t>
      </w:r>
      <w:r>
        <w:rPr>
          <w:rFonts w:hint="eastAsia" w:ascii="宋体" w:hAnsi="宋体" w:cs="宋体"/>
          <w:szCs w:val="21"/>
          <w:lang w:val="en-US" w:eastAsia="zh-CN"/>
        </w:rPr>
        <w:t>著作权、</w:t>
      </w:r>
      <w:r>
        <w:rPr>
          <w:rFonts w:hint="eastAsia" w:ascii="宋体" w:hAnsi="宋体" w:cs="宋体"/>
          <w:szCs w:val="21"/>
        </w:rPr>
        <w:t>专利权、商标权、工业设计权等知识产权及其他合法权利，且所有权、处分权等没有受到任何限制，乙方保证任何第三方不能对其向甲方提供的技术服务主张权利，即乙方向甲方承担本合同标的的权利瑕疵担保义务。若因违反本款约定引起的第三方权利纠纷的由乙方负责解决，包括甲方使用该产品所需的授权费以及解决争议发生的一切费用均由乙方承担。如果不能取得使用许可需要另行购买产品的，所需费用由乙方承担，并赔偿甲方因此受到的损失。</w:t>
      </w:r>
    </w:p>
    <w:p w14:paraId="62920CA0">
      <w:pPr>
        <w:snapToGrid w:val="0"/>
        <w:spacing w:line="38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18014667">
      <w:pPr>
        <w:snapToGrid w:val="0"/>
        <w:spacing w:line="380" w:lineRule="exact"/>
        <w:ind w:firstLine="420" w:firstLineChars="200"/>
        <w:rPr>
          <w:rFonts w:hint="eastAsia" w:ascii="宋体" w:hAnsi="宋体" w:cs="宋体"/>
          <w:szCs w:val="21"/>
        </w:rPr>
      </w:pPr>
      <w:r>
        <w:rPr>
          <w:rFonts w:ascii="宋体" w:hAnsi="宋体" w:cs="宋体"/>
          <w:szCs w:val="21"/>
        </w:rPr>
        <w:t>3</w:t>
      </w:r>
      <w:r>
        <w:rPr>
          <w:rFonts w:hint="eastAsia" w:ascii="宋体" w:hAnsi="宋体" w:cs="宋体"/>
          <w:szCs w:val="21"/>
        </w:rPr>
        <w:t>.甲方根据工作需要，可为乙方提供相关资料等。</w:t>
      </w:r>
    </w:p>
    <w:p w14:paraId="0F6AFC4D">
      <w:pPr>
        <w:snapToGrid w:val="0"/>
        <w:spacing w:line="380" w:lineRule="exact"/>
        <w:ind w:firstLine="420" w:firstLineChars="200"/>
        <w:rPr>
          <w:rFonts w:hint="eastAsia" w:ascii="宋体" w:hAnsi="宋体" w:cs="宋体"/>
          <w:szCs w:val="21"/>
        </w:rPr>
      </w:pPr>
      <w:r>
        <w:rPr>
          <w:rFonts w:ascii="宋体" w:hAnsi="宋体" w:cs="宋体"/>
          <w:szCs w:val="21"/>
        </w:rPr>
        <w:t>4</w:t>
      </w:r>
      <w:r>
        <w:rPr>
          <w:rFonts w:hint="eastAsia" w:ascii="宋体" w:hAnsi="宋体" w:cs="宋体"/>
          <w:szCs w:val="21"/>
        </w:rPr>
        <w:t>.甲方有权定期了解乙方工作进展情况，并对乙方工作进行监督，提出合理建议。</w:t>
      </w:r>
    </w:p>
    <w:p w14:paraId="4D91A632">
      <w:pPr>
        <w:snapToGrid w:val="0"/>
        <w:spacing w:line="380" w:lineRule="exact"/>
        <w:ind w:firstLine="420" w:firstLineChars="200"/>
        <w:rPr>
          <w:rFonts w:hint="eastAsia" w:ascii="宋体" w:hAnsi="宋体" w:cs="宋体"/>
          <w:szCs w:val="21"/>
        </w:rPr>
      </w:pPr>
      <w:r>
        <w:rPr>
          <w:rFonts w:ascii="宋体" w:hAnsi="宋体" w:cs="宋体"/>
          <w:szCs w:val="21"/>
        </w:rPr>
        <w:t>5</w:t>
      </w:r>
      <w:r>
        <w:rPr>
          <w:rFonts w:hint="eastAsia" w:ascii="宋体" w:hAnsi="宋体" w:cs="宋体"/>
          <w:szCs w:val="21"/>
        </w:rPr>
        <w:t>.乙方应在规定时间节点内完成项目工作。</w:t>
      </w:r>
    </w:p>
    <w:p w14:paraId="211442CB">
      <w:pPr>
        <w:snapToGrid w:val="0"/>
        <w:spacing w:line="380" w:lineRule="exact"/>
        <w:ind w:firstLine="420" w:firstLineChars="200"/>
        <w:rPr>
          <w:rFonts w:hint="eastAsia" w:ascii="宋体" w:hAnsi="宋体" w:cs="宋体"/>
          <w:szCs w:val="21"/>
        </w:rPr>
      </w:pPr>
      <w:r>
        <w:rPr>
          <w:rFonts w:ascii="宋体" w:hAnsi="宋体" w:cs="宋体"/>
          <w:szCs w:val="21"/>
        </w:rPr>
        <w:t>6</w:t>
      </w:r>
      <w:r>
        <w:rPr>
          <w:rFonts w:hint="eastAsia" w:ascii="宋体" w:hAnsi="宋体" w:cs="宋体"/>
          <w:szCs w:val="21"/>
        </w:rPr>
        <w:t>.乙方以及乙方安排完成合同项目的工作人员，应当确保具备与本合同约定所要求相符合的资质与条件，具备相应的工作经验，乙方须完全符合并遵守本合同所涉及的相关法律、法规、规范性文件的规定，确保可以依法开展合同约定的事项。如甲方有权要求乙方更换相应工作人员，乙方应根据甲方要求更换相同级别人员，不能影响服务质量。（见合同附件《项目实施人员一览表》）。</w:t>
      </w:r>
    </w:p>
    <w:p w14:paraId="2364811C">
      <w:pPr>
        <w:snapToGrid w:val="0"/>
        <w:spacing w:line="380" w:lineRule="exact"/>
        <w:ind w:firstLine="420" w:firstLineChars="200"/>
        <w:rPr>
          <w:rFonts w:hint="eastAsia" w:ascii="宋体" w:hAnsi="宋体" w:cs="宋体"/>
          <w:szCs w:val="21"/>
        </w:rPr>
      </w:pPr>
      <w:r>
        <w:rPr>
          <w:rFonts w:ascii="宋体" w:hAnsi="宋体" w:cs="宋体"/>
          <w:szCs w:val="21"/>
        </w:rPr>
        <w:t>7</w:t>
      </w:r>
      <w:r>
        <w:rPr>
          <w:rFonts w:hint="eastAsia" w:ascii="宋体" w:hAnsi="宋体" w:cs="宋体"/>
          <w:szCs w:val="21"/>
        </w:rPr>
        <w:t>.合同履行过程中，乙方应根据甲方要求，定期向甲方汇报工作进展，并接受甲方监督。</w:t>
      </w:r>
    </w:p>
    <w:p w14:paraId="31797E0B">
      <w:pPr>
        <w:snapToGrid w:val="0"/>
        <w:spacing w:line="380" w:lineRule="exact"/>
        <w:ind w:firstLine="420" w:firstLineChars="200"/>
        <w:rPr>
          <w:rFonts w:hint="eastAsia" w:ascii="宋体" w:hAnsi="宋体" w:cs="宋体"/>
          <w:szCs w:val="21"/>
        </w:rPr>
      </w:pPr>
      <w:r>
        <w:rPr>
          <w:rFonts w:ascii="宋体" w:hAnsi="宋体" w:cs="宋体"/>
          <w:szCs w:val="21"/>
        </w:rPr>
        <w:t>8</w:t>
      </w:r>
      <w:r>
        <w:rPr>
          <w:rFonts w:hint="eastAsia" w:ascii="宋体" w:hAnsi="宋体" w:cs="宋体"/>
          <w:szCs w:val="21"/>
        </w:rPr>
        <w:t>.乙方有权根据本合同约定及工作需要，要求甲方提供与项目建设有关的信息与资料。</w:t>
      </w:r>
    </w:p>
    <w:p w14:paraId="4F238985">
      <w:pPr>
        <w:snapToGrid w:val="0"/>
        <w:spacing w:line="380" w:lineRule="exact"/>
        <w:ind w:firstLine="420" w:firstLineChars="200"/>
        <w:rPr>
          <w:rFonts w:hint="eastAsia" w:ascii="宋体" w:hAnsi="宋体" w:cs="宋体"/>
          <w:szCs w:val="21"/>
        </w:rPr>
      </w:pPr>
      <w:r>
        <w:rPr>
          <w:rFonts w:ascii="宋体" w:hAnsi="宋体" w:cs="宋体"/>
          <w:szCs w:val="21"/>
        </w:rPr>
        <w:t>9</w:t>
      </w:r>
      <w:r>
        <w:rPr>
          <w:rFonts w:hint="eastAsia" w:ascii="宋体" w:hAnsi="宋体" w:cs="宋体"/>
          <w:szCs w:val="21"/>
        </w:rPr>
        <w:t>.乙方有权要求甲方配合其工作，并要求甲方提供必要的协助。</w:t>
      </w:r>
    </w:p>
    <w:p w14:paraId="1AFCB3F1">
      <w:pPr>
        <w:snapToGrid w:val="0"/>
        <w:spacing w:line="380" w:lineRule="exact"/>
        <w:ind w:firstLine="420" w:firstLineChars="200"/>
        <w:rPr>
          <w:rFonts w:ascii="宋体" w:hAnsi="宋体" w:cs="宋体"/>
          <w:szCs w:val="21"/>
        </w:rPr>
      </w:pPr>
      <w:r>
        <w:rPr>
          <w:rFonts w:ascii="宋体" w:hAnsi="宋体" w:cs="宋体"/>
          <w:szCs w:val="21"/>
        </w:rPr>
        <w:t>10</w:t>
      </w:r>
      <w:r>
        <w:rPr>
          <w:rFonts w:hint="eastAsia" w:ascii="宋体" w:hAnsi="宋体" w:cs="宋体"/>
          <w:szCs w:val="21"/>
        </w:rPr>
        <w:t>.乙方应按招标文件规定及投标承诺的时间向甲方提供项目实施工作有关技术资料。</w:t>
      </w:r>
    </w:p>
    <w:p w14:paraId="11EB2F62">
      <w:pPr>
        <w:snapToGrid w:val="0"/>
        <w:spacing w:line="380" w:lineRule="exact"/>
        <w:ind w:firstLine="420" w:firstLineChars="200"/>
        <w:rPr>
          <w:rFonts w:hint="eastAsia" w:ascii="宋体" w:hAnsi="宋体" w:cs="宋体"/>
          <w:szCs w:val="21"/>
        </w:rPr>
      </w:pPr>
      <w:r>
        <w:rPr>
          <w:rFonts w:hint="eastAsia" w:ascii="宋体" w:hAnsi="宋体" w:cs="宋体"/>
          <w:szCs w:val="21"/>
        </w:rPr>
        <w:t>11.乙方保证所提供或交付的技术服务所有权完全属于乙方且无任何抵押、质押、查封等产权及权利瑕疵。</w:t>
      </w:r>
    </w:p>
    <w:p w14:paraId="47B0FEB2">
      <w:pPr>
        <w:snapToGrid w:val="0"/>
        <w:spacing w:line="380" w:lineRule="exact"/>
        <w:ind w:firstLine="420" w:firstLineChars="200"/>
        <w:rPr>
          <w:rFonts w:hint="eastAsia" w:ascii="宋体" w:hAnsi="宋体" w:cs="宋体"/>
          <w:szCs w:val="21"/>
        </w:rPr>
      </w:pPr>
      <w:r>
        <w:rPr>
          <w:rFonts w:hint="eastAsia" w:ascii="宋体" w:hAnsi="宋体" w:cs="宋体"/>
          <w:szCs w:val="21"/>
        </w:rPr>
        <w:t>12.乙方所交付的技术成果（即</w:t>
      </w:r>
      <w:r>
        <w:rPr>
          <w:rFonts w:hint="eastAsia" w:ascii="宋体" w:hAnsi="宋体"/>
          <w:szCs w:val="21"/>
        </w:rPr>
        <w:t>本项目定制开发软件的所有版权</w:t>
      </w:r>
      <w:r>
        <w:rPr>
          <w:rFonts w:hint="eastAsia" w:ascii="宋体" w:hAnsi="宋体" w:cs="宋体"/>
          <w:szCs w:val="21"/>
        </w:rPr>
        <w:t>）知识产权归甲方所有。</w:t>
      </w:r>
    </w:p>
    <w:p w14:paraId="163E9363">
      <w:pPr>
        <w:snapToGrid w:val="0"/>
        <w:spacing w:line="380" w:lineRule="exact"/>
        <w:ind w:firstLine="420" w:firstLineChars="200"/>
        <w:rPr>
          <w:rFonts w:hint="eastAsia" w:ascii="宋体" w:hAnsi="宋体" w:cs="宋体"/>
          <w:szCs w:val="21"/>
        </w:rPr>
        <w:pPrChange w:id="0" w:author="2" w:date="2026-04-02T15:48:58Z">
          <w:pPr>
            <w:snapToGrid w:val="0"/>
            <w:spacing w:line="380" w:lineRule="exact"/>
            <w:ind w:firstLine="420" w:firstLineChars="200"/>
          </w:pPr>
        </w:pPrChange>
      </w:pPr>
      <w:r>
        <w:rPr>
          <w:rFonts w:hint="eastAsia" w:ascii="宋体" w:hAnsi="宋体" w:cs="宋体"/>
          <w:szCs w:val="21"/>
          <w:lang w:val="en-US" w:eastAsia="zh-CN"/>
        </w:rPr>
        <w:t>13.</w:t>
      </w:r>
      <w:r>
        <w:rPr>
          <w:rFonts w:hint="eastAsia" w:ascii="宋体" w:hAnsi="宋体" w:cs="宋体"/>
          <w:szCs w:val="21"/>
        </w:rPr>
        <w:t>乙方应对履行本协议过程中所接触到的甲方的保密信息，包括但不限于患者个人信息（参照《信息安全技术 健康医疗数据安全指南》（GB/T 39725-2020）的相关规定范围）、医院内部资料及相关技术资料等负有保密义务，不得进行任何形式的使用或者透露给任何第三方或作为其他商业用途。未经甲方书面同意，乙方不得以任何形式向第三方透露，否则应承担由此给甲方造成的所有损失。乙方对于保密信息的义务应延续至该等信息因合法的原因而成为公开信息。</w:t>
      </w:r>
    </w:p>
    <w:p w14:paraId="7C6E1204">
      <w:pPr>
        <w:spacing w:line="380" w:lineRule="exact"/>
        <w:ind w:firstLine="422" w:firstLineChars="200"/>
        <w:rPr>
          <w:rFonts w:hint="eastAsia" w:ascii="宋体" w:hAnsi="宋体" w:cs="宋体"/>
          <w:szCs w:val="21"/>
        </w:rPr>
      </w:pPr>
      <w:r>
        <w:rPr>
          <w:rFonts w:hint="eastAsia" w:ascii="宋体" w:hAnsi="宋体" w:cs="宋体"/>
          <w:b/>
          <w:szCs w:val="21"/>
        </w:rPr>
        <w:t>第四条　交付和验收</w:t>
      </w:r>
    </w:p>
    <w:p w14:paraId="40B91B7E">
      <w:pPr>
        <w:spacing w:line="380" w:lineRule="exact"/>
        <w:ind w:firstLine="420" w:firstLineChars="200"/>
        <w:rPr>
          <w:rFonts w:hint="eastAsia" w:ascii="宋体" w:hAnsi="宋体" w:cs="宋体"/>
          <w:szCs w:val="21"/>
        </w:rPr>
      </w:pPr>
      <w:r>
        <w:rPr>
          <w:rFonts w:hint="eastAsia" w:ascii="宋体" w:hAnsi="宋体" w:cs="宋体"/>
          <w:szCs w:val="21"/>
        </w:rPr>
        <w:t>1</w:t>
      </w:r>
      <w:r>
        <w:rPr>
          <w:rFonts w:ascii="宋体" w:hAnsi="宋体" w:cs="宋体"/>
          <w:szCs w:val="21"/>
        </w:rPr>
        <w:t>.</w:t>
      </w:r>
      <w:r>
        <w:rPr>
          <w:rFonts w:hint="eastAsia" w:ascii="宋体" w:hAnsi="宋体"/>
          <w:szCs w:val="21"/>
        </w:rPr>
        <w:t>交付使用时间</w:t>
      </w:r>
      <w:r>
        <w:rPr>
          <w:rFonts w:hint="eastAsia" w:ascii="宋体" w:hAnsi="宋体" w:cs="宋体"/>
          <w:szCs w:val="21"/>
        </w:rPr>
        <w:t>：</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，地点：</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w:t>
      </w:r>
    </w:p>
    <w:p w14:paraId="56BB711B">
      <w:pPr>
        <w:snapToGrid w:val="0"/>
        <w:spacing w:line="380" w:lineRule="exact"/>
        <w:ind w:firstLine="420" w:firstLineChars="200"/>
        <w:rPr>
          <w:rFonts w:hint="eastAsia"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乙方应按投标文件及其承诺向甲方提供相应的服务，并提供所服务内容的相关技术资料。</w:t>
      </w:r>
    </w:p>
    <w:p w14:paraId="2ADF46BC">
      <w:pPr>
        <w:spacing w:line="380" w:lineRule="exact"/>
        <w:ind w:firstLine="420" w:firstLineChars="200"/>
        <w:rPr>
          <w:rFonts w:hint="eastAsia" w:ascii="宋体" w:hAnsi="宋体" w:cs="宋体"/>
          <w:szCs w:val="21"/>
        </w:rPr>
      </w:pPr>
      <w:r>
        <w:rPr>
          <w:rFonts w:hint="eastAsia" w:ascii="宋体" w:hAnsi="宋体" w:cs="宋体"/>
          <w:szCs w:val="21"/>
        </w:rPr>
        <w:t>3</w:t>
      </w:r>
      <w:r>
        <w:rPr>
          <w:rFonts w:ascii="宋体" w:hAnsi="宋体" w:cs="宋体"/>
          <w:szCs w:val="21"/>
        </w:rPr>
        <w:t>.</w:t>
      </w:r>
      <w:r>
        <w:rPr>
          <w:rFonts w:hint="eastAsia" w:ascii="宋体" w:hAnsi="宋体" w:cs="宋体"/>
          <w:szCs w:val="21"/>
        </w:rPr>
        <w:t>乙方提供不符合投标文件及其承诺以及本合同规定的服务成果，甲方有权拒绝接受。</w:t>
      </w:r>
    </w:p>
    <w:p w14:paraId="774C0773">
      <w:pPr>
        <w:spacing w:line="380" w:lineRule="exact"/>
        <w:ind w:firstLine="420" w:firstLineChars="200"/>
        <w:rPr>
          <w:rFonts w:hint="eastAsia" w:ascii="宋体" w:hAnsi="宋体"/>
          <w:szCs w:val="21"/>
        </w:rPr>
      </w:pPr>
      <w:r>
        <w:rPr>
          <w:rFonts w:hint="eastAsia" w:ascii="宋体" w:hAnsi="宋体"/>
          <w:szCs w:val="21"/>
        </w:rPr>
        <w:t>4</w:t>
      </w:r>
      <w:r>
        <w:rPr>
          <w:rFonts w:ascii="宋体" w:hAnsi="宋体"/>
          <w:szCs w:val="21"/>
        </w:rPr>
        <w:t>.</w:t>
      </w:r>
      <w:r>
        <w:rPr>
          <w:rFonts w:hint="eastAsia" w:ascii="宋体" w:hAnsi="宋体"/>
          <w:szCs w:val="21"/>
        </w:rPr>
        <w:t>乙方完成服务后应及时书面通知甲方进行验收，甲方应在收到通知后五个工作日内进行验收，逾期不开始验收的，乙方可视同验收合格。验收合格后由甲乙双方签署验收单并加盖采购人公章，甲乙双方各执一份。如涉及短期内无法发现的问题与瑕疵，甲方在检验期限内难以完成全面检验的，以上期限仅视为甲方对标的系统初步使用提出异议的期限，具体期限根据甲方实际使用情况酌情延长。</w:t>
      </w:r>
    </w:p>
    <w:p w14:paraId="3BC599AD">
      <w:pPr>
        <w:spacing w:line="380" w:lineRule="exact"/>
        <w:ind w:firstLine="420" w:firstLineChars="200"/>
        <w:rPr>
          <w:rFonts w:hint="eastAsia" w:ascii="宋体" w:hAnsi="宋体"/>
          <w:szCs w:val="21"/>
        </w:rPr>
      </w:pPr>
      <w:r>
        <w:rPr>
          <w:rFonts w:hint="eastAsia" w:ascii="宋体" w:hAnsi="宋体" w:cs="宋体"/>
          <w:szCs w:val="21"/>
        </w:rPr>
        <w:t>5</w:t>
      </w:r>
      <w:r>
        <w:rPr>
          <w:rFonts w:ascii="宋体" w:hAnsi="宋体" w:cs="宋体"/>
          <w:szCs w:val="21"/>
        </w:rPr>
        <w:t>.</w:t>
      </w:r>
      <w:r>
        <w:rPr>
          <w:rFonts w:hint="eastAsia" w:ascii="宋体" w:hAnsi="宋体" w:cs="宋体"/>
          <w:szCs w:val="21"/>
        </w:rPr>
        <w:t>甲乙双方应按照《</w:t>
      </w:r>
      <w:r>
        <w:rPr>
          <w:rFonts w:ascii="宋体" w:hAnsi="宋体" w:cs="宋体"/>
          <w:szCs w:val="21"/>
        </w:rPr>
        <w:t>广西壮族自治区政府采购项目履约验收管理办法</w:t>
      </w:r>
      <w:r>
        <w:rPr>
          <w:rFonts w:hint="eastAsia" w:ascii="宋体" w:hAnsi="宋体" w:cs="宋体"/>
          <w:szCs w:val="21"/>
        </w:rPr>
        <w:t>》、双方合同、投标文件及其承诺验收。</w:t>
      </w:r>
    </w:p>
    <w:p w14:paraId="7D2C8BB4">
      <w:pPr>
        <w:spacing w:line="380" w:lineRule="exact"/>
        <w:ind w:firstLine="420" w:firstLineChars="200"/>
        <w:rPr>
          <w:rFonts w:hint="eastAsia" w:ascii="宋体" w:hAnsi="宋体" w:cs="宋体"/>
          <w:szCs w:val="21"/>
        </w:rPr>
      </w:pPr>
      <w:r>
        <w:rPr>
          <w:rFonts w:hint="eastAsia" w:ascii="宋体" w:hAnsi="宋体" w:cs="宋体"/>
          <w:szCs w:val="21"/>
        </w:rPr>
        <w:t>6</w:t>
      </w:r>
      <w:r>
        <w:rPr>
          <w:rFonts w:ascii="宋体" w:hAnsi="宋体" w:cs="宋体"/>
          <w:szCs w:val="21"/>
        </w:rPr>
        <w:t>.</w:t>
      </w:r>
      <w:r>
        <w:rPr>
          <w:rFonts w:hint="eastAsia" w:ascii="宋体" w:hAnsi="宋体" w:cs="宋体"/>
          <w:szCs w:val="21"/>
        </w:rPr>
        <w:t>甲方在初步验收或者最终验收过程中如发现乙方提供的服务成果不满足投标文件及其承诺，以及本合同规定的，可暂缓向乙方付款，直到乙方及时完善并提交相应的服务成果且经甲方验收合格后，方可办理付款。</w:t>
      </w:r>
    </w:p>
    <w:p w14:paraId="63EAD976">
      <w:pPr>
        <w:spacing w:line="380" w:lineRule="exact"/>
        <w:ind w:firstLine="420" w:firstLineChars="200"/>
        <w:rPr>
          <w:rFonts w:hint="eastAsia" w:ascii="宋体" w:hAnsi="宋体" w:cs="宋体"/>
          <w:szCs w:val="21"/>
        </w:rPr>
      </w:pPr>
      <w:r>
        <w:rPr>
          <w:rFonts w:hint="eastAsia" w:ascii="宋体" w:hAnsi="宋体" w:cs="宋体"/>
          <w:szCs w:val="21"/>
        </w:rPr>
        <w:t>7</w:t>
      </w:r>
      <w:r>
        <w:rPr>
          <w:rFonts w:ascii="宋体" w:hAnsi="宋体" w:cs="宋体"/>
          <w:szCs w:val="21"/>
        </w:rPr>
        <w:t>.</w:t>
      </w:r>
      <w:r>
        <w:rPr>
          <w:rFonts w:hint="eastAsia" w:ascii="宋体" w:hAnsi="宋体" w:cs="宋体"/>
          <w:szCs w:val="21"/>
        </w:rPr>
        <w:t>甲方验收时以书面形式提出异议的，乙方应自收到甲方书面异议后五个工作日内及时予以解决，否则甲方有权不出具服务验收合格单。</w:t>
      </w:r>
    </w:p>
    <w:p w14:paraId="67ED2535">
      <w:pPr>
        <w:spacing w:line="380" w:lineRule="exact"/>
        <w:ind w:firstLine="420" w:firstLineChars="200"/>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甲、乙双方对产品系统质量有争议协商不成且需要通过检测/鉴定才能判断时，甲方有权委托具有相应资质的检测/鉴定单位按照相关标准进行检测/鉴定，质量检测/鉴定合格的检测/鉴定费用由甲方承担，质量检测/鉴定不合格的检测费/鉴定用由乙方承担，乙方应当在</w:t>
      </w:r>
      <w:r>
        <w:rPr>
          <w:rFonts w:hint="eastAsia" w:ascii="宋体" w:hAnsi="宋体" w:cs="宋体"/>
          <w:szCs w:val="21"/>
          <w:lang w:val="en-US" w:eastAsia="zh-CN"/>
        </w:rPr>
        <w:t>五</w:t>
      </w:r>
      <w:r>
        <w:rPr>
          <w:rFonts w:hint="eastAsia" w:ascii="宋体" w:hAnsi="宋体" w:cs="宋体"/>
          <w:szCs w:val="21"/>
        </w:rPr>
        <w:t>个工作日内更换符合本合同质量要求的合格产品，由此产生的费用由乙方承担，并承担相应违约责任。</w:t>
      </w:r>
    </w:p>
    <w:p w14:paraId="322D441F">
      <w:pPr>
        <w:snapToGrid w:val="0"/>
        <w:spacing w:line="380" w:lineRule="exact"/>
        <w:ind w:firstLine="422" w:firstLineChars="200"/>
        <w:rPr>
          <w:rFonts w:hint="eastAsia" w:ascii="宋体" w:hAnsi="宋体" w:cs="宋体"/>
          <w:szCs w:val="21"/>
          <w:u w:val="single"/>
        </w:rPr>
      </w:pPr>
      <w:r>
        <w:rPr>
          <w:rFonts w:hint="eastAsia" w:ascii="宋体" w:hAnsi="宋体" w:cs="宋体"/>
          <w:b/>
          <w:szCs w:val="21"/>
        </w:rPr>
        <w:t>第五条　付款方式</w:t>
      </w:r>
    </w:p>
    <w:p w14:paraId="24C144D5">
      <w:pPr>
        <w:snapToGrid w:val="0"/>
        <w:spacing w:line="380" w:lineRule="exact"/>
        <w:ind w:firstLine="420" w:firstLineChars="200"/>
        <w:rPr>
          <w:rFonts w:hint="eastAsia" w:ascii="宋体" w:hAnsi="宋体"/>
          <w:szCs w:val="21"/>
        </w:rPr>
      </w:pPr>
      <w:r>
        <w:rPr>
          <w:rFonts w:hint="eastAsia" w:ascii="宋体" w:hAnsi="宋体"/>
          <w:szCs w:val="21"/>
        </w:rPr>
        <w:t>（1）自签订合同之日起10个工作日内，支付合同金额40%；项目所有系统安装、调试完毕，上线稳定运行30日并出具上线报告后10个工作日内支付至合同金额的80%；经验收合格之日起10个工作日内支付至合同金额的100%。</w:t>
      </w:r>
    </w:p>
    <w:p w14:paraId="5FC9152B">
      <w:pPr>
        <w:snapToGrid w:val="0"/>
        <w:spacing w:line="380" w:lineRule="exact"/>
        <w:ind w:firstLine="420" w:firstLineChars="200"/>
        <w:rPr>
          <w:rFonts w:hint="eastAsia" w:ascii="宋体" w:hAnsi="宋体"/>
          <w:szCs w:val="21"/>
        </w:rPr>
      </w:pPr>
      <w:r>
        <w:rPr>
          <w:rFonts w:hint="eastAsia" w:ascii="宋体" w:hAnsi="宋体"/>
          <w:szCs w:val="21"/>
        </w:rPr>
        <w:t>（2）每笔款项支付前，</w:t>
      </w:r>
      <w:r>
        <w:rPr>
          <w:rFonts w:hint="eastAsia" w:ascii="宋体" w:hAnsi="宋体"/>
          <w:szCs w:val="21"/>
          <w:lang w:val="en-US" w:eastAsia="zh-CN"/>
        </w:rPr>
        <w:t>乙方</w:t>
      </w:r>
      <w:r>
        <w:rPr>
          <w:rFonts w:hint="eastAsia" w:ascii="宋体" w:hAnsi="宋体"/>
          <w:szCs w:val="21"/>
        </w:rPr>
        <w:t>应按</w:t>
      </w:r>
      <w:r>
        <w:rPr>
          <w:rFonts w:hint="eastAsia" w:ascii="宋体" w:hAnsi="宋体"/>
          <w:szCs w:val="21"/>
          <w:lang w:val="en-US" w:eastAsia="zh-CN"/>
        </w:rPr>
        <w:t>甲方</w:t>
      </w:r>
      <w:r>
        <w:rPr>
          <w:rFonts w:hint="eastAsia" w:ascii="宋体" w:hAnsi="宋体"/>
          <w:szCs w:val="21"/>
        </w:rPr>
        <w:t>要求开具同等额度发票给</w:t>
      </w:r>
      <w:r>
        <w:rPr>
          <w:rFonts w:hint="eastAsia" w:ascii="宋体" w:hAnsi="宋体"/>
          <w:szCs w:val="21"/>
          <w:lang w:val="en-US" w:eastAsia="zh-CN"/>
        </w:rPr>
        <w:t>甲方</w:t>
      </w:r>
      <w:r>
        <w:rPr>
          <w:rFonts w:hint="eastAsia" w:ascii="宋体" w:hAnsi="宋体"/>
          <w:szCs w:val="21"/>
        </w:rPr>
        <w:t>，</w:t>
      </w:r>
      <w:r>
        <w:rPr>
          <w:rFonts w:hint="eastAsia" w:ascii="宋体" w:hAnsi="宋体"/>
          <w:szCs w:val="21"/>
          <w:lang w:val="en-US" w:eastAsia="zh-CN"/>
        </w:rPr>
        <w:t>甲方</w:t>
      </w:r>
      <w:r>
        <w:rPr>
          <w:rFonts w:hint="eastAsia" w:ascii="宋体" w:hAnsi="宋体"/>
          <w:szCs w:val="21"/>
        </w:rPr>
        <w:t>在收到完整的请款资料后的10个工作日内支付相应金额的货款给</w:t>
      </w:r>
      <w:r>
        <w:rPr>
          <w:rFonts w:hint="eastAsia" w:ascii="宋体" w:hAnsi="宋体"/>
          <w:szCs w:val="21"/>
          <w:lang w:val="en-US" w:eastAsia="zh-CN"/>
        </w:rPr>
        <w:t>乙方</w:t>
      </w:r>
      <w:r>
        <w:rPr>
          <w:rFonts w:hint="eastAsia" w:ascii="宋体" w:hAnsi="宋体"/>
          <w:szCs w:val="21"/>
        </w:rPr>
        <w:t>。在支付周期内不计利息，如</w:t>
      </w:r>
      <w:r>
        <w:rPr>
          <w:rFonts w:hint="eastAsia" w:ascii="宋体" w:hAnsi="宋体"/>
          <w:szCs w:val="21"/>
          <w:lang w:val="en-US" w:eastAsia="zh-CN"/>
        </w:rPr>
        <w:t>甲方</w:t>
      </w:r>
      <w:r>
        <w:rPr>
          <w:rFonts w:hint="eastAsia" w:ascii="宋体" w:hAnsi="宋体"/>
          <w:szCs w:val="21"/>
        </w:rPr>
        <w:t>有相应资金安排提前支付货款，</w:t>
      </w:r>
      <w:r>
        <w:rPr>
          <w:rFonts w:hint="eastAsia" w:ascii="宋体" w:hAnsi="宋体"/>
          <w:szCs w:val="21"/>
          <w:lang w:val="en-US" w:eastAsia="zh-CN"/>
        </w:rPr>
        <w:t>乙方</w:t>
      </w:r>
      <w:r>
        <w:rPr>
          <w:rFonts w:hint="eastAsia" w:ascii="宋体" w:hAnsi="宋体"/>
          <w:szCs w:val="21"/>
        </w:rPr>
        <w:t>应给予配合提供相应的请款资料和开具发票等。</w:t>
      </w:r>
    </w:p>
    <w:p w14:paraId="3859FC91">
      <w:pPr>
        <w:snapToGrid w:val="0"/>
        <w:spacing w:line="380" w:lineRule="exact"/>
        <w:ind w:firstLine="420" w:firstLineChars="200"/>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rPr>
        <w:t>本协议所约定的付款义务，</w:t>
      </w:r>
      <w:r>
        <w:rPr>
          <w:rFonts w:hint="eastAsia" w:ascii="宋体" w:hAnsi="宋体"/>
          <w:szCs w:val="21"/>
          <w:lang w:val="en-US" w:eastAsia="zh-CN"/>
        </w:rPr>
        <w:t>甲方</w:t>
      </w:r>
      <w:r>
        <w:rPr>
          <w:rFonts w:hint="eastAsia" w:ascii="宋体" w:hAnsi="宋体"/>
          <w:szCs w:val="21"/>
        </w:rPr>
        <w:t>逾期履行的，应按照本合同订立时一年期贷款市场报价利率计算利息（逾期付款损失）。但利息（逾期付款损失）不得超过合同金额的5%。</w:t>
      </w:r>
    </w:p>
    <w:p w14:paraId="6D59E713">
      <w:pPr>
        <w:snapToGrid w:val="0"/>
        <w:spacing w:line="380" w:lineRule="exact"/>
        <w:ind w:firstLine="422" w:firstLineChars="200"/>
        <w:rPr>
          <w:rFonts w:hint="eastAsia" w:ascii="宋体" w:hAnsi="宋体" w:cs="宋体"/>
          <w:b/>
          <w:szCs w:val="21"/>
        </w:rPr>
      </w:pPr>
      <w:r>
        <w:rPr>
          <w:rFonts w:hint="eastAsia" w:ascii="宋体" w:hAnsi="宋体" w:cs="宋体"/>
          <w:b/>
          <w:szCs w:val="21"/>
        </w:rPr>
        <w:t>第六条　履约保证金</w:t>
      </w:r>
    </w:p>
    <w:p w14:paraId="78D2C80C">
      <w:pPr>
        <w:spacing w:line="380" w:lineRule="exact"/>
        <w:ind w:firstLine="420" w:firstLineChars="200"/>
        <w:rPr>
          <w:rFonts w:hint="eastAsia" w:ascii="宋体" w:hAnsi="宋体"/>
          <w:szCs w:val="21"/>
        </w:rPr>
      </w:pPr>
      <w:r>
        <w:rPr>
          <w:rFonts w:hint="eastAsia" w:ascii="宋体" w:hAnsi="宋体"/>
          <w:szCs w:val="21"/>
        </w:rPr>
        <w:t>1.在合同签订前，乙方按合同金额的</w:t>
      </w:r>
      <w:r>
        <w:rPr>
          <w:rFonts w:hint="eastAsia" w:ascii="宋体" w:hAnsi="宋体"/>
          <w:szCs w:val="21"/>
          <w:u w:val="single"/>
        </w:rPr>
        <w:t>5%</w:t>
      </w:r>
      <w:r>
        <w:rPr>
          <w:rFonts w:hint="eastAsia" w:ascii="宋体" w:hAnsi="宋体"/>
          <w:szCs w:val="21"/>
        </w:rPr>
        <w:t>向甲方指定账户交纳履约保证金</w:t>
      </w:r>
      <w:r>
        <w:rPr>
          <w:rFonts w:hint="eastAsia" w:ascii="新宋体" w:eastAsia="新宋体"/>
          <w:color w:val="auto"/>
          <w:szCs w:val="21"/>
        </w:rPr>
        <w:t>（中小企业按合同金额</w:t>
      </w:r>
      <w:r>
        <w:rPr>
          <w:rFonts w:hint="eastAsia" w:ascii="新宋体" w:eastAsia="新宋体"/>
          <w:color w:val="auto"/>
          <w:szCs w:val="21"/>
          <w:lang w:eastAsia="zh-CN"/>
        </w:rPr>
        <w:t>的</w:t>
      </w:r>
      <w:r>
        <w:rPr>
          <w:rFonts w:hint="eastAsia" w:ascii="新宋体" w:eastAsia="新宋体"/>
          <w:color w:val="auto"/>
          <w:szCs w:val="21"/>
        </w:rPr>
        <w:t>2%）</w:t>
      </w:r>
      <w:r>
        <w:rPr>
          <w:rFonts w:hint="eastAsia" w:ascii="宋体" w:hAnsi="宋体"/>
          <w:szCs w:val="21"/>
        </w:rPr>
        <w:t>。</w:t>
      </w:r>
    </w:p>
    <w:p w14:paraId="5EBC89E0">
      <w:pPr>
        <w:spacing w:line="380" w:lineRule="exact"/>
        <w:ind w:firstLine="420" w:firstLineChars="200"/>
        <w:rPr>
          <w:rFonts w:hint="eastAsia" w:ascii="宋体" w:hAnsi="宋体"/>
          <w:szCs w:val="21"/>
        </w:rPr>
      </w:pPr>
      <w:r>
        <w:rPr>
          <w:rFonts w:hint="eastAsia" w:ascii="宋体" w:hAnsi="宋体"/>
          <w:szCs w:val="21"/>
        </w:rPr>
        <w:t>2.履约保证金递交方式：银行转账、支票、本票或者银行出具的保函等非现金方式。</w:t>
      </w:r>
    </w:p>
    <w:p w14:paraId="1AAD4E70">
      <w:pPr>
        <w:spacing w:line="380" w:lineRule="exact"/>
        <w:ind w:firstLine="420" w:firstLineChars="200"/>
        <w:rPr>
          <w:rFonts w:hint="eastAsia" w:ascii="宋体" w:hAnsi="宋体"/>
          <w:szCs w:val="21"/>
        </w:rPr>
      </w:pPr>
      <w:r>
        <w:rPr>
          <w:rFonts w:hint="eastAsia" w:ascii="宋体" w:hAnsi="宋体"/>
          <w:szCs w:val="21"/>
        </w:rPr>
        <w:t>3.履约保证金退还约定：履约保证金自</w:t>
      </w:r>
      <w:r>
        <w:rPr>
          <w:rFonts w:hint="eastAsia" w:ascii="宋体" w:hAnsi="宋体"/>
          <w:szCs w:val="21"/>
          <w:lang w:val="en-US" w:eastAsia="zh-CN"/>
        </w:rPr>
        <w:t>乙方</w:t>
      </w:r>
      <w:r>
        <w:rPr>
          <w:rFonts w:hint="eastAsia" w:ascii="宋体" w:hAnsi="宋体"/>
          <w:szCs w:val="21"/>
        </w:rPr>
        <w:t>履行质保期责任和义务后，扣除违约金额后（如有），由</w:t>
      </w:r>
      <w:r>
        <w:rPr>
          <w:rFonts w:hint="eastAsia" w:ascii="宋体" w:hAnsi="宋体"/>
          <w:szCs w:val="21"/>
          <w:lang w:val="en-US" w:eastAsia="zh-CN"/>
        </w:rPr>
        <w:t>甲方</w:t>
      </w:r>
      <w:r>
        <w:rPr>
          <w:rFonts w:hint="eastAsia" w:ascii="宋体" w:hAnsi="宋体"/>
          <w:szCs w:val="21"/>
        </w:rPr>
        <w:t>于5个工作日内无息退还。</w:t>
      </w:r>
    </w:p>
    <w:p w14:paraId="3019815E">
      <w:pPr>
        <w:spacing w:line="380" w:lineRule="exact"/>
        <w:ind w:firstLine="420" w:firstLineChars="200"/>
        <w:rPr>
          <w:rFonts w:hint="eastAsia" w:ascii="宋体" w:hAnsi="宋体" w:cs="宋体"/>
          <w:szCs w:val="21"/>
        </w:rPr>
      </w:pPr>
      <w:r>
        <w:rPr>
          <w:rFonts w:hint="eastAsia" w:ascii="宋体" w:hAnsi="宋体" w:cs="宋体"/>
          <w:szCs w:val="21"/>
        </w:rPr>
        <w:t>4.履约保证金指定账户：</w:t>
      </w:r>
    </w:p>
    <w:p w14:paraId="67D70A34">
      <w:pPr>
        <w:spacing w:line="380" w:lineRule="exact"/>
        <w:ind w:firstLine="420" w:firstLineChars="200"/>
        <w:rPr>
          <w:rFonts w:hint="eastAsia" w:ascii="宋体" w:hAnsi="宋体" w:cs="宋体"/>
          <w:szCs w:val="21"/>
        </w:rPr>
      </w:pPr>
      <w:r>
        <w:rPr>
          <w:rFonts w:hint="eastAsia" w:ascii="宋体" w:hAnsi="宋体" w:cs="宋体"/>
          <w:szCs w:val="21"/>
        </w:rPr>
        <w:t>开户名称：广西骨伤医院</w:t>
      </w:r>
    </w:p>
    <w:p w14:paraId="563D4991">
      <w:pPr>
        <w:spacing w:line="380" w:lineRule="exact"/>
        <w:ind w:firstLine="420" w:firstLineChars="200"/>
        <w:rPr>
          <w:rFonts w:hint="eastAsia" w:ascii="宋体" w:hAnsi="宋体" w:cs="宋体"/>
          <w:szCs w:val="21"/>
        </w:rPr>
      </w:pPr>
      <w:r>
        <w:rPr>
          <w:rFonts w:hint="eastAsia" w:ascii="宋体" w:hAnsi="宋体" w:cs="宋体"/>
          <w:szCs w:val="21"/>
        </w:rPr>
        <w:t>开户银行：交通银行股份有限公司南宁东葛西支行</w:t>
      </w:r>
    </w:p>
    <w:p w14:paraId="2BD588A6">
      <w:pPr>
        <w:spacing w:line="380" w:lineRule="exact"/>
        <w:ind w:firstLine="420" w:firstLineChars="200"/>
        <w:rPr>
          <w:rFonts w:hint="eastAsia" w:ascii="宋体" w:hAnsi="宋体" w:cs="宋体"/>
          <w:szCs w:val="21"/>
        </w:rPr>
      </w:pPr>
      <w:r>
        <w:rPr>
          <w:rFonts w:hint="eastAsia" w:ascii="宋体" w:hAnsi="宋体" w:cs="宋体"/>
          <w:szCs w:val="21"/>
        </w:rPr>
        <w:t>银行账号：451060701018000175729</w:t>
      </w:r>
    </w:p>
    <w:p w14:paraId="4F106571">
      <w:pPr>
        <w:spacing w:line="380" w:lineRule="exact"/>
        <w:ind w:firstLine="422" w:firstLineChars="200"/>
        <w:rPr>
          <w:rFonts w:hint="eastAsia" w:ascii="宋体" w:hAnsi="宋体" w:cs="宋体"/>
          <w:b/>
          <w:szCs w:val="21"/>
        </w:rPr>
      </w:pPr>
      <w:r>
        <w:rPr>
          <w:rFonts w:hint="eastAsia" w:ascii="宋体" w:hAnsi="宋体" w:cs="宋体"/>
          <w:b/>
          <w:szCs w:val="21"/>
        </w:rPr>
        <w:t>第七条  税费</w:t>
      </w:r>
    </w:p>
    <w:p w14:paraId="1FF0262C">
      <w:pPr>
        <w:spacing w:line="380" w:lineRule="exact"/>
        <w:ind w:firstLine="420" w:firstLineChars="200"/>
        <w:rPr>
          <w:rFonts w:hint="eastAsia" w:ascii="宋体" w:hAnsi="宋体" w:cs="宋体"/>
          <w:szCs w:val="21"/>
        </w:rPr>
      </w:pPr>
      <w:r>
        <w:rPr>
          <w:rFonts w:hint="eastAsia" w:ascii="宋体" w:hAnsi="宋体" w:cs="宋体"/>
          <w:szCs w:val="21"/>
        </w:rPr>
        <w:t>本合同执行中相关的一切税费均由乙方负担，合同另有约定的除外。</w:t>
      </w:r>
    </w:p>
    <w:p w14:paraId="626EBCEB">
      <w:pPr>
        <w:spacing w:line="380" w:lineRule="exact"/>
        <w:ind w:firstLine="422" w:firstLineChars="200"/>
        <w:rPr>
          <w:rFonts w:hint="eastAsia" w:ascii="宋体" w:hAnsi="宋体" w:cs="宋体"/>
          <w:b/>
          <w:szCs w:val="21"/>
        </w:rPr>
      </w:pPr>
      <w:r>
        <w:rPr>
          <w:rFonts w:hint="eastAsia" w:ascii="宋体" w:hAnsi="宋体" w:cs="宋体"/>
          <w:b/>
          <w:szCs w:val="21"/>
        </w:rPr>
        <w:t>第八条　违约责任</w:t>
      </w:r>
    </w:p>
    <w:p w14:paraId="4CFE4ECC">
      <w:pPr>
        <w:snapToGrid w:val="0"/>
        <w:spacing w:line="380" w:lineRule="exact"/>
        <w:ind w:firstLine="420" w:firstLineChars="200"/>
        <w:rPr>
          <w:rFonts w:hint="eastAsia" w:ascii="宋体" w:hAnsi="宋体"/>
          <w:szCs w:val="21"/>
        </w:rPr>
      </w:pPr>
      <w:r>
        <w:rPr>
          <w:rFonts w:hint="eastAsia" w:ascii="宋体" w:hAnsi="宋体"/>
          <w:szCs w:val="21"/>
        </w:rPr>
        <w:t>1.乙方应向甲方支付的违约金、赔偿金，甲方有权在应付未付合同款中扣除，违约金不足以弥补甲方损失的，甲方可继续向乙方追偿，乙方所有赔偿金总额不得超过本项目合同总金额。</w:t>
      </w:r>
    </w:p>
    <w:p w14:paraId="632A7E61">
      <w:pPr>
        <w:snapToGrid w:val="0"/>
        <w:spacing w:line="380" w:lineRule="exact"/>
        <w:ind w:firstLine="420" w:firstLineChars="200"/>
        <w:rPr>
          <w:rFonts w:hint="eastAsia" w:ascii="宋体" w:hAnsi="宋体"/>
          <w:szCs w:val="21"/>
        </w:rPr>
      </w:pPr>
      <w:r>
        <w:rPr>
          <w:rFonts w:hint="eastAsia" w:ascii="宋体" w:hAnsi="宋体"/>
          <w:szCs w:val="21"/>
        </w:rPr>
        <w:t>2.若因乙方原因而未能履行合同或未达到合同约定的要求，甲方有权书面敦促乙方履行合同，乙方应在收到甲方书面通知之日起七日内给予书面答复并进行整改；如乙方在上述时间未答复，或无故拖延履行合同超过7日，或经2次整改后仍未达到甲方要求，甲方有权书面通知乙方解除本合同，且无需支付合同解除后的合同后续费用。同时，乙方必须退还甲方已付出的所有服务费用，并赔偿由此给甲方造成的全部损失。</w:t>
      </w:r>
    </w:p>
    <w:p w14:paraId="774BEF05">
      <w:pPr>
        <w:snapToGrid w:val="0"/>
        <w:spacing w:line="380" w:lineRule="exact"/>
        <w:ind w:firstLine="420" w:firstLineChars="200"/>
        <w:rPr>
          <w:rFonts w:hint="eastAsia" w:ascii="宋体" w:hAnsi="宋体"/>
          <w:szCs w:val="21"/>
        </w:rPr>
      </w:pPr>
      <w:r>
        <w:rPr>
          <w:rFonts w:hint="eastAsia" w:ascii="宋体" w:hAnsi="宋体"/>
          <w:szCs w:val="21"/>
        </w:rPr>
        <w:t>3.乙方或乙方人员违反保密义务时，甲方有权书面通知乙方解除合同，且无需支付合同解除后的合同后续费用。同时，乙方必须退还甲方已付出的所有费用，并赔偿由此给甲方造成的全部损失。</w:t>
      </w:r>
    </w:p>
    <w:p w14:paraId="46BC3944">
      <w:pPr>
        <w:snapToGrid w:val="0"/>
        <w:spacing w:line="380" w:lineRule="exact"/>
        <w:ind w:firstLine="420" w:firstLineChars="200"/>
        <w:rPr>
          <w:rFonts w:hint="eastAsia" w:ascii="宋体" w:hAnsi="宋体"/>
          <w:szCs w:val="21"/>
        </w:rPr>
      </w:pPr>
      <w:r>
        <w:rPr>
          <w:rFonts w:hint="eastAsia" w:ascii="宋体" w:hAnsi="宋体"/>
          <w:szCs w:val="21"/>
        </w:rPr>
        <w:t>4.乙方应当保证有权销售本合同的所有产品或技术服务，不会因此侵犯到第三人的所有权、知识产权等一切权利。属于第三人拥有知识产权的已经取得第三人合法授权，甲方有权不受限制的使用。若因违反本款约定引起的第三方任何纠纷或诉讼的均由乙方负责交涉解决并承担全部责任，包括甲方使用该产品或技术服务所需的授权费以及解决争议发生的一切费用（包括但不限于律师费、诉讼费、鉴定费等）均由乙方承担。如果不能取得使用许可需要另行购买产品或技术服务的，所需费用由乙方承担，并赔偿甲方因此受到的损失。如甲方为解决纠纷先行垫支了费用，乙方须在接到甲方通知之日起5个工作日内向甲方偿还完毕，并赔偿甲方全部经济损失。</w:t>
      </w:r>
    </w:p>
    <w:p w14:paraId="160B299B">
      <w:pPr>
        <w:snapToGrid w:val="0"/>
        <w:spacing w:line="380" w:lineRule="exact"/>
        <w:ind w:firstLine="420" w:firstLineChars="200"/>
        <w:rPr>
          <w:rFonts w:hint="eastAsia" w:ascii="宋体" w:hAnsi="宋体"/>
          <w:szCs w:val="21"/>
        </w:rPr>
      </w:pPr>
      <w:r>
        <w:rPr>
          <w:rFonts w:hint="eastAsia" w:ascii="宋体" w:hAnsi="宋体"/>
          <w:szCs w:val="21"/>
        </w:rPr>
        <w:t>5.甲方根据本合同约定而解除合同的，有权不予支付任何款项给乙方，已经支付的，乙方应当自甲方要求返还之日起5日内予以返还，除合同有其他约定外，乙方还应支付合同总价5%的违约金给甲方并赔偿甲方全部经济损失。</w:t>
      </w:r>
    </w:p>
    <w:p w14:paraId="26848C12">
      <w:pPr>
        <w:snapToGrid w:val="0"/>
        <w:spacing w:line="380" w:lineRule="exact"/>
        <w:ind w:firstLine="420" w:firstLineChars="200"/>
        <w:rPr>
          <w:rFonts w:hint="eastAsia" w:ascii="宋体" w:hAnsi="宋体"/>
          <w:szCs w:val="21"/>
        </w:rPr>
      </w:pPr>
      <w:r>
        <w:rPr>
          <w:rFonts w:hint="eastAsia" w:ascii="宋体" w:hAnsi="宋体"/>
          <w:szCs w:val="21"/>
        </w:rPr>
        <w:t>6.本合同签订后，乙方要求提前解除合同的，应向甲方支付本合同总价款30%的违约金，退还甲方已支付的全部费用并赔偿由此给甲方造成的全部损失。</w:t>
      </w:r>
    </w:p>
    <w:p w14:paraId="1C6BAA7C">
      <w:pPr>
        <w:snapToGrid w:val="0"/>
        <w:spacing w:line="380" w:lineRule="exact"/>
        <w:ind w:firstLine="420" w:firstLineChars="200"/>
        <w:rPr>
          <w:rFonts w:hint="eastAsia" w:ascii="宋体" w:hAnsi="宋体"/>
          <w:szCs w:val="21"/>
        </w:rPr>
      </w:pPr>
      <w:r>
        <w:rPr>
          <w:rFonts w:hint="eastAsia" w:ascii="宋体" w:hAnsi="宋体"/>
          <w:szCs w:val="21"/>
        </w:rPr>
        <w:t>7.乙方未按期限完成项目工作或者项目工作的完成不符合约定的，乙方应根据本合同约定，向甲方支付违约金并赔偿甲方因此造成的经济损失（包括但不限于诉讼费、保全费、律师费等）。</w:t>
      </w:r>
    </w:p>
    <w:p w14:paraId="4ACB0D5E">
      <w:pPr>
        <w:snapToGrid w:val="0"/>
        <w:spacing w:line="380" w:lineRule="exact"/>
        <w:ind w:firstLine="420" w:firstLineChars="200"/>
        <w:rPr>
          <w:rFonts w:hint="eastAsia" w:ascii="宋体" w:hAnsi="宋体"/>
          <w:szCs w:val="21"/>
        </w:rPr>
      </w:pPr>
      <w:r>
        <w:rPr>
          <w:rFonts w:hint="eastAsia" w:ascii="宋体" w:hAnsi="宋体"/>
          <w:szCs w:val="21"/>
        </w:rPr>
        <w:t>8.乙方违反本合同约定或法律规定的，应当赔偿给甲方造成的全部损失，包括但不限于直接损失、甲方向第三人支付的违约金、赔偿金及甲方为索赔或应对第三方索赔而支出的诉讼费、仲裁费、律师费、公证费、保全费、担保费、鉴定费、评估费、调查费等全部费用。</w:t>
      </w:r>
    </w:p>
    <w:p w14:paraId="4BBD2FA8">
      <w:pPr>
        <w:snapToGrid w:val="0"/>
        <w:spacing w:line="380" w:lineRule="exact"/>
        <w:ind w:firstLine="420" w:firstLineChars="200"/>
        <w:rPr>
          <w:rFonts w:hint="eastAsia" w:ascii="宋体" w:hAnsi="宋体"/>
          <w:szCs w:val="21"/>
        </w:rPr>
      </w:pPr>
      <w:r>
        <w:rPr>
          <w:rFonts w:hint="eastAsia" w:ascii="宋体" w:hAnsi="宋体"/>
          <w:szCs w:val="21"/>
        </w:rPr>
        <w:t>9.当以上违约金不足以弥补甲方损失时，乙方还应对甲方超过违约金部分的损失依法承担赔偿责任，甲方有权继续向乙方追偿。乙方应按协议约定履行，如违反本协议约定，乙方须赔偿由此给甲方造成的损失，包括直接的财产损失，以及因违约造成的可能产生的预期经济损失以及守约方为应对相关处罚、纠纷、诉讼支出的全部费用（包括但不限于守约方因此承担的处罚、赔偿责任、发生的当事人以及代理人差旅费、诉讼费、公告费、律师费、公证费、保全费、诉讼保全保险费、评估费、鉴定费及其他损失等）。</w:t>
      </w:r>
    </w:p>
    <w:p w14:paraId="4A88990A">
      <w:pPr>
        <w:spacing w:line="380" w:lineRule="exact"/>
        <w:ind w:firstLine="422" w:firstLineChars="200"/>
        <w:rPr>
          <w:rFonts w:hint="eastAsia" w:ascii="宋体" w:hAnsi="宋体" w:cs="宋体"/>
          <w:b/>
          <w:szCs w:val="21"/>
        </w:rPr>
      </w:pPr>
      <w:r>
        <w:rPr>
          <w:rFonts w:hint="eastAsia" w:ascii="宋体" w:hAnsi="宋体" w:cs="宋体"/>
          <w:b/>
          <w:szCs w:val="21"/>
        </w:rPr>
        <w:t>第九条  不可抗力事件处理</w:t>
      </w:r>
    </w:p>
    <w:p w14:paraId="4117F967">
      <w:pPr>
        <w:spacing w:line="380" w:lineRule="exact"/>
        <w:ind w:firstLine="420" w:firstLineChars="200"/>
        <w:rPr>
          <w:rFonts w:hint="eastAsia" w:ascii="宋体" w:hAnsi="宋体" w:cs="宋体"/>
          <w:szCs w:val="21"/>
        </w:rPr>
      </w:pPr>
      <w:r>
        <w:rPr>
          <w:rFonts w:hint="eastAsia" w:ascii="宋体" w:hAnsi="宋体" w:cs="宋体"/>
          <w:szCs w:val="21"/>
        </w:rPr>
        <w:t>1</w:t>
      </w:r>
      <w:r>
        <w:rPr>
          <w:rFonts w:ascii="宋体" w:hAnsi="宋体" w:cs="宋体"/>
          <w:szCs w:val="21"/>
        </w:rPr>
        <w:t>.</w:t>
      </w:r>
      <w:r>
        <w:rPr>
          <w:rFonts w:hint="eastAsia" w:ascii="宋体" w:hAnsi="宋体" w:cs="宋体"/>
          <w:szCs w:val="21"/>
        </w:rPr>
        <w:t>在合同履行期内，任何一方因不可抗力事件导致不能履行合同，则合同履行期可延长，其延长期与不可抗力影响期相同。</w:t>
      </w:r>
    </w:p>
    <w:p w14:paraId="21963357">
      <w:pPr>
        <w:spacing w:line="380" w:lineRule="exact"/>
        <w:ind w:firstLine="420" w:firstLineChars="200"/>
        <w:rPr>
          <w:rFonts w:hint="eastAsia" w:ascii="宋体" w:hAnsi="宋体" w:cs="宋体"/>
          <w:szCs w:val="21"/>
        </w:rPr>
      </w:pPr>
      <w:r>
        <w:rPr>
          <w:rFonts w:hint="eastAsia" w:ascii="宋体" w:hAnsi="宋体" w:cs="宋体"/>
          <w:szCs w:val="21"/>
        </w:rPr>
        <w:t>2.由于不可抗力事件不能全部或部分履行合同义务时，任一方可中止履行其在本合同项下的义务（在不可抗力事件发生前已发生的应履行但未履行义务除外）。</w:t>
      </w:r>
    </w:p>
    <w:p w14:paraId="3FBD9984">
      <w:pPr>
        <w:spacing w:line="380" w:lineRule="exact"/>
        <w:ind w:firstLine="420" w:firstLineChars="200"/>
        <w:rPr>
          <w:rFonts w:hint="eastAsia" w:ascii="宋体" w:hAnsi="宋体" w:cs="宋体"/>
          <w:szCs w:val="21"/>
        </w:rPr>
      </w:pPr>
      <w:r>
        <w:rPr>
          <w:rFonts w:hint="eastAsia" w:ascii="宋体" w:hAnsi="宋体" w:cs="宋体"/>
          <w:szCs w:val="21"/>
        </w:rPr>
        <w:t>3.不可抗力事件发生后，应立即通知对方，并寄送有关权威机构出具的证明。声称受到不可抗力的一方应在任何时候采取合理的行动，以避免或尽量减少不可抗力事件的影响。因主观原因延误，未及时采取必要措施而导致损失扩大的，不能免除责任。</w:t>
      </w:r>
    </w:p>
    <w:p w14:paraId="6217EBCC">
      <w:pPr>
        <w:spacing w:line="380" w:lineRule="exact"/>
        <w:ind w:firstLine="420" w:firstLineChars="200"/>
        <w:rPr>
          <w:rFonts w:hint="eastAsia" w:ascii="宋体" w:hAnsi="宋体" w:cs="宋体"/>
          <w:szCs w:val="21"/>
        </w:rPr>
      </w:pPr>
      <w:r>
        <w:rPr>
          <w:rFonts w:hint="eastAsia" w:ascii="宋体" w:hAnsi="宋体" w:cs="宋体"/>
          <w:szCs w:val="21"/>
        </w:rPr>
        <w:t>4.不可抗力事件延续一百二十天以上，双方应通过友好协商，确定是否继续履行合同。</w:t>
      </w:r>
    </w:p>
    <w:p w14:paraId="3E15A1D0">
      <w:pPr>
        <w:spacing w:line="380" w:lineRule="exact"/>
        <w:ind w:firstLine="422" w:firstLineChars="200"/>
        <w:rPr>
          <w:rFonts w:hint="eastAsia" w:ascii="宋体" w:hAnsi="宋体" w:cs="宋体"/>
          <w:szCs w:val="21"/>
        </w:rPr>
      </w:pPr>
      <w:r>
        <w:rPr>
          <w:rFonts w:hint="eastAsia" w:ascii="宋体" w:hAnsi="宋体" w:cs="宋体"/>
          <w:b/>
          <w:szCs w:val="21"/>
        </w:rPr>
        <w:t>第十条  合同争议解决</w:t>
      </w:r>
    </w:p>
    <w:p w14:paraId="7869CB75">
      <w:pPr>
        <w:snapToGrid w:val="0"/>
        <w:spacing w:line="380" w:lineRule="exact"/>
        <w:ind w:firstLine="420" w:firstLineChars="200"/>
        <w:rPr>
          <w:rFonts w:hint="eastAsia" w:ascii="宋体" w:hAnsi="宋体" w:cs="宋体"/>
          <w:szCs w:val="21"/>
        </w:rPr>
      </w:pPr>
      <w:r>
        <w:rPr>
          <w:rFonts w:hint="eastAsia" w:ascii="宋体" w:hAnsi="宋体" w:cs="宋体"/>
          <w:szCs w:val="21"/>
        </w:rPr>
        <w:t>1</w:t>
      </w:r>
      <w:r>
        <w:rPr>
          <w:rFonts w:ascii="宋体" w:hAnsi="宋体" w:cs="宋体"/>
          <w:szCs w:val="21"/>
        </w:rPr>
        <w:t>.</w:t>
      </w:r>
      <w:r>
        <w:rPr>
          <w:rFonts w:hint="eastAsia" w:ascii="宋体" w:hAnsi="宋体" w:cs="宋体"/>
          <w:szCs w:val="21"/>
        </w:rPr>
        <w:t>因服务质量问题发生争议的，应邀请国家认可的质量检测机构或第三方专业机构进行鉴定。经鉴定，服务符合标准的，鉴定费由甲方承担；经鉴定，服务不符合标准的，鉴定费由乙方承担。</w:t>
      </w:r>
    </w:p>
    <w:p w14:paraId="122C6FED">
      <w:pPr>
        <w:snapToGrid w:val="0"/>
        <w:spacing w:line="380" w:lineRule="exact"/>
        <w:ind w:firstLine="420" w:firstLineChars="200"/>
        <w:rPr>
          <w:rFonts w:hint="eastAsia"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因履行本合同引起的或者与本合同有关的争议，甲乙双方应首先通过友好协商解决，如果协商不能解决，</w:t>
      </w:r>
      <w:r>
        <w:rPr>
          <w:rFonts w:hint="eastAsia" w:ascii="宋体" w:hAnsi="宋体" w:cs="宋体"/>
          <w:szCs w:val="21"/>
          <w:lang w:val="en-US" w:eastAsia="zh-CN"/>
        </w:rPr>
        <w:t>应</w:t>
      </w:r>
      <w:r>
        <w:rPr>
          <w:rFonts w:hint="eastAsia" w:ascii="宋体" w:hAnsi="宋体" w:cs="宋体"/>
          <w:szCs w:val="21"/>
        </w:rPr>
        <w:t>向甲方所在地有管辖权人民法院提起诉讼。</w:t>
      </w:r>
    </w:p>
    <w:p w14:paraId="2A5ABE52">
      <w:pPr>
        <w:snapToGrid w:val="0"/>
        <w:spacing w:line="380" w:lineRule="exact"/>
        <w:ind w:firstLine="420" w:firstLineChars="200"/>
        <w:rPr>
          <w:rFonts w:hint="eastAsia" w:ascii="宋体" w:hAnsi="宋体" w:cs="宋体"/>
          <w:szCs w:val="21"/>
        </w:rPr>
      </w:pPr>
      <w:r>
        <w:rPr>
          <w:rFonts w:hint="eastAsia" w:ascii="宋体" w:hAnsi="宋体" w:cs="宋体"/>
          <w:szCs w:val="21"/>
        </w:rPr>
        <w:t>3</w:t>
      </w:r>
      <w:r>
        <w:rPr>
          <w:rFonts w:ascii="宋体" w:hAnsi="宋体" w:cs="宋体"/>
          <w:szCs w:val="21"/>
        </w:rPr>
        <w:t>.</w:t>
      </w:r>
      <w:r>
        <w:rPr>
          <w:rFonts w:hint="eastAsia" w:ascii="宋体" w:hAnsi="宋体" w:cs="宋体"/>
          <w:szCs w:val="21"/>
        </w:rPr>
        <w:t>诉讼期间，本合同继续履行。</w:t>
      </w:r>
    </w:p>
    <w:p w14:paraId="33C18C23">
      <w:pPr>
        <w:spacing w:line="380" w:lineRule="exact"/>
        <w:ind w:firstLine="422" w:firstLineChars="200"/>
        <w:rPr>
          <w:rFonts w:hint="eastAsia" w:ascii="宋体" w:hAnsi="宋体" w:cs="宋体"/>
          <w:b/>
          <w:szCs w:val="21"/>
        </w:rPr>
      </w:pPr>
      <w:r>
        <w:rPr>
          <w:rFonts w:hint="eastAsia" w:ascii="宋体" w:hAnsi="宋体" w:cs="宋体"/>
          <w:b/>
          <w:szCs w:val="21"/>
        </w:rPr>
        <w:t>第十一条  合同生效及其它</w:t>
      </w:r>
    </w:p>
    <w:p w14:paraId="5B78D599">
      <w:pPr>
        <w:spacing w:line="380" w:lineRule="exact"/>
        <w:ind w:firstLine="420" w:firstLineChars="200"/>
        <w:rPr>
          <w:rFonts w:hint="eastAsia" w:ascii="宋体" w:hAnsi="宋体" w:cs="宋体"/>
          <w:szCs w:val="21"/>
        </w:rPr>
      </w:pPr>
      <w:r>
        <w:rPr>
          <w:rFonts w:hint="eastAsia" w:ascii="宋体" w:hAnsi="宋体" w:cs="宋体"/>
          <w:szCs w:val="21"/>
        </w:rPr>
        <w:t>1</w:t>
      </w:r>
      <w:r>
        <w:rPr>
          <w:rFonts w:ascii="宋体" w:hAnsi="宋体" w:cs="宋体"/>
          <w:szCs w:val="21"/>
        </w:rPr>
        <w:t>.</w:t>
      </w:r>
      <w:r>
        <w:rPr>
          <w:rFonts w:hint="eastAsia" w:ascii="宋体" w:hAnsi="宋体" w:cs="宋体"/>
          <w:szCs w:val="21"/>
        </w:rPr>
        <w:t>合同经双方法定代表人或者授权代表签字并加盖单位公章后生效（委托代理人签字的需后附授权委托书，格式自拟）。</w:t>
      </w:r>
    </w:p>
    <w:p w14:paraId="5F3BCCF4">
      <w:pPr>
        <w:spacing w:line="380" w:lineRule="exact"/>
        <w:ind w:firstLine="420" w:firstLineChars="200"/>
        <w:rPr>
          <w:rFonts w:hint="eastAsia"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合同执行中涉及采购资金和采购内容修改或者补充的，在法规允许范围内，签书面补充协议方可作为主合同不可分割的一部分。</w:t>
      </w:r>
    </w:p>
    <w:p w14:paraId="5849B216">
      <w:pPr>
        <w:spacing w:line="380" w:lineRule="exact"/>
        <w:ind w:firstLine="420" w:firstLineChars="200"/>
        <w:rPr>
          <w:rFonts w:hint="eastAsia" w:ascii="宋体" w:hAnsi="宋体" w:cs="宋体"/>
          <w:szCs w:val="21"/>
        </w:rPr>
      </w:pPr>
      <w:r>
        <w:rPr>
          <w:rFonts w:hint="eastAsia" w:ascii="宋体" w:hAnsi="宋体" w:cs="宋体"/>
          <w:szCs w:val="21"/>
        </w:rPr>
        <w:t>3</w:t>
      </w:r>
      <w:r>
        <w:rPr>
          <w:rFonts w:ascii="宋体" w:hAnsi="宋体" w:cs="宋体"/>
          <w:szCs w:val="21"/>
        </w:rPr>
        <w:t>.</w:t>
      </w:r>
      <w:r>
        <w:rPr>
          <w:rFonts w:hint="eastAsia" w:ascii="宋体" w:hAnsi="宋体" w:cs="宋体"/>
          <w:szCs w:val="21"/>
        </w:rPr>
        <w:t>本合同未尽事宜，遵照《中华人民共和国民法典》有关条文执行。</w:t>
      </w:r>
    </w:p>
    <w:p w14:paraId="65534B7A">
      <w:pPr>
        <w:spacing w:line="380" w:lineRule="exact"/>
        <w:ind w:firstLine="422" w:firstLineChars="200"/>
        <w:rPr>
          <w:rFonts w:hint="eastAsia" w:ascii="宋体" w:hAnsi="宋体" w:cs="宋体"/>
          <w:b/>
          <w:szCs w:val="21"/>
        </w:rPr>
      </w:pPr>
      <w:r>
        <w:rPr>
          <w:rFonts w:hint="eastAsia" w:ascii="宋体" w:hAnsi="宋体" w:cs="宋体"/>
          <w:b/>
          <w:szCs w:val="21"/>
        </w:rPr>
        <w:t>第十二条　合同的变更、终止与转让</w:t>
      </w:r>
    </w:p>
    <w:p w14:paraId="06F4BEE3">
      <w:pPr>
        <w:spacing w:line="380" w:lineRule="exact"/>
        <w:ind w:firstLine="420" w:firstLineChars="200"/>
        <w:rPr>
          <w:rFonts w:hint="eastAsia" w:ascii="宋体" w:hAnsi="宋体" w:cs="宋体"/>
          <w:szCs w:val="21"/>
        </w:rPr>
      </w:pPr>
      <w:r>
        <w:rPr>
          <w:rFonts w:hint="eastAsia" w:ascii="宋体" w:hAnsi="宋体" w:cs="宋体"/>
          <w:szCs w:val="21"/>
        </w:rPr>
        <w:t>1、除《中华人民共和国政府采购法》第五十条规定的情形外，本合同一经签订，甲乙双方不得擅自变更、中止或者终止。</w:t>
      </w:r>
    </w:p>
    <w:p w14:paraId="31A60615">
      <w:pPr>
        <w:spacing w:line="380" w:lineRule="exact"/>
        <w:ind w:firstLine="420" w:firstLineChars="200"/>
        <w:rPr>
          <w:rFonts w:ascii="宋体" w:hAnsi="宋体" w:cs="宋体"/>
          <w:szCs w:val="21"/>
        </w:rPr>
      </w:pPr>
      <w:r>
        <w:rPr>
          <w:rFonts w:hint="eastAsia" w:ascii="宋体" w:hAnsi="宋体" w:cs="宋体"/>
          <w:szCs w:val="21"/>
        </w:rPr>
        <w:t>2、乙方不得擅自转让其应履行的合同义务。</w:t>
      </w:r>
    </w:p>
    <w:p w14:paraId="0D3EDEE2">
      <w:pPr>
        <w:spacing w:line="380" w:lineRule="exact"/>
        <w:ind w:firstLine="422" w:firstLineChars="200"/>
        <w:rPr>
          <w:rFonts w:hint="eastAsia" w:ascii="宋体" w:hAnsi="宋体" w:cs="宋体"/>
          <w:b/>
          <w:szCs w:val="21"/>
        </w:rPr>
      </w:pPr>
      <w:r>
        <w:rPr>
          <w:rFonts w:hint="eastAsia" w:ascii="宋体" w:hAnsi="宋体" w:cs="宋体"/>
          <w:b/>
          <w:szCs w:val="21"/>
        </w:rPr>
        <w:t>第十三条　通知与送达</w:t>
      </w:r>
    </w:p>
    <w:p w14:paraId="1B412878">
      <w:pPr>
        <w:spacing w:line="380" w:lineRule="exact"/>
        <w:ind w:firstLine="420" w:firstLineChars="200"/>
        <w:rPr>
          <w:rFonts w:hint="eastAsia" w:ascii="宋体" w:hAnsi="宋体" w:cs="宋体"/>
          <w:szCs w:val="21"/>
        </w:rPr>
      </w:pPr>
      <w:r>
        <w:rPr>
          <w:rFonts w:hint="eastAsia" w:ascii="宋体" w:hAnsi="宋体" w:cs="宋体"/>
          <w:szCs w:val="21"/>
        </w:rPr>
        <w:t>1.本协议项下对合同一方对另外一方的任何通知或请求，应当发送至接收方在合同中约定的地址、联系人和通信终端。一方当事人变更名称、地址、联系人或通信终端等信息的，应当在变更后3日内及时书面通知对方当事人，对方当事人实际收到变更通知前的送达仍为有效送达，电子送达与书面送达具有同等法律效力。</w:t>
      </w:r>
    </w:p>
    <w:p w14:paraId="3D44ED70">
      <w:pPr>
        <w:spacing w:line="380" w:lineRule="exact"/>
        <w:ind w:firstLine="420" w:firstLineChars="200"/>
        <w:rPr>
          <w:rFonts w:hint="eastAsia" w:ascii="宋体" w:hAnsi="宋体" w:cs="宋体"/>
          <w:szCs w:val="21"/>
        </w:rPr>
      </w:pPr>
      <w:r>
        <w:rPr>
          <w:rFonts w:hint="eastAsia" w:ascii="宋体" w:hAnsi="宋体" w:cs="宋体"/>
          <w:szCs w:val="21"/>
        </w:rPr>
        <w:t>2.任何一方当事人向对/他方所发出的通知或请求送达时间：</w:t>
      </w:r>
    </w:p>
    <w:p w14:paraId="7770572A">
      <w:pPr>
        <w:spacing w:line="380" w:lineRule="exact"/>
        <w:ind w:firstLine="420" w:firstLineChars="200"/>
        <w:rPr>
          <w:rFonts w:hint="eastAsia" w:ascii="宋体" w:hAnsi="宋体" w:cs="宋体"/>
          <w:szCs w:val="21"/>
        </w:rPr>
      </w:pPr>
      <w:r>
        <w:rPr>
          <w:rFonts w:hint="eastAsia" w:ascii="宋体" w:hAnsi="宋体" w:cs="宋体"/>
          <w:szCs w:val="21"/>
        </w:rPr>
        <w:t>（1）如果是传真，则在发送当日视为送达；</w:t>
      </w:r>
    </w:p>
    <w:p w14:paraId="37BDE599">
      <w:pPr>
        <w:spacing w:line="380" w:lineRule="exact"/>
        <w:ind w:firstLine="420" w:firstLineChars="200"/>
        <w:rPr>
          <w:rFonts w:hint="eastAsia" w:ascii="宋体" w:hAnsi="宋体" w:cs="宋体"/>
          <w:szCs w:val="21"/>
        </w:rPr>
      </w:pPr>
      <w:r>
        <w:rPr>
          <w:rFonts w:hint="eastAsia" w:ascii="宋体" w:hAnsi="宋体" w:cs="宋体"/>
          <w:szCs w:val="21"/>
        </w:rPr>
        <w:t>（2）如果是短信/微信/电子邮件，自电子文件内容在发送方正确填写地址且未被系统退回的情况下，进入对方数据电文接收系统当日视为送达。</w:t>
      </w:r>
    </w:p>
    <w:p w14:paraId="457CCC17">
      <w:pPr>
        <w:spacing w:line="380" w:lineRule="exact"/>
        <w:ind w:firstLine="420" w:firstLineChars="200"/>
        <w:rPr>
          <w:rFonts w:hint="eastAsia" w:ascii="宋体" w:hAnsi="宋体" w:cs="宋体"/>
          <w:szCs w:val="21"/>
        </w:rPr>
      </w:pPr>
      <w:r>
        <w:rPr>
          <w:rFonts w:hint="eastAsia" w:ascii="宋体" w:hAnsi="宋体" w:cs="宋体"/>
          <w:szCs w:val="21"/>
        </w:rPr>
        <w:t>（3）如果是信函，在挂号信交邮后第三日视为送达；</w:t>
      </w:r>
    </w:p>
    <w:p w14:paraId="4110F6C8">
      <w:pPr>
        <w:spacing w:line="380" w:lineRule="exact"/>
        <w:ind w:firstLine="420" w:firstLineChars="200"/>
        <w:rPr>
          <w:rFonts w:hint="eastAsia" w:ascii="宋体" w:hAnsi="宋体" w:cs="宋体"/>
          <w:szCs w:val="21"/>
        </w:rPr>
      </w:pPr>
      <w:r>
        <w:rPr>
          <w:rFonts w:hint="eastAsia" w:ascii="宋体" w:hAnsi="宋体" w:cs="宋体"/>
          <w:szCs w:val="21"/>
        </w:rPr>
        <w:t>（4）如果是派人专程送达，则在收件人签收之日视为收到；</w:t>
      </w:r>
    </w:p>
    <w:p w14:paraId="52751C62">
      <w:pPr>
        <w:spacing w:line="380" w:lineRule="exact"/>
        <w:ind w:firstLine="420" w:firstLineChars="200"/>
        <w:rPr>
          <w:rFonts w:hint="eastAsia" w:ascii="宋体" w:hAnsi="宋体" w:cs="宋体"/>
          <w:szCs w:val="21"/>
        </w:rPr>
      </w:pPr>
      <w:r>
        <w:rPr>
          <w:rFonts w:hint="eastAsia" w:ascii="宋体" w:hAnsi="宋体" w:cs="宋体"/>
          <w:szCs w:val="21"/>
        </w:rPr>
        <w:t>（5）如果同时使用几种通知方式的，以其中较快到达接收方者为准。</w:t>
      </w:r>
    </w:p>
    <w:p w14:paraId="479B0C0F">
      <w:pPr>
        <w:spacing w:line="380" w:lineRule="exact"/>
        <w:ind w:firstLine="420" w:firstLineChars="200"/>
        <w:rPr>
          <w:rFonts w:hint="eastAsia" w:ascii="宋体" w:hAnsi="宋体" w:cs="宋体"/>
          <w:szCs w:val="21"/>
        </w:rPr>
      </w:pPr>
      <w:r>
        <w:rPr>
          <w:rFonts w:hint="eastAsia" w:ascii="宋体" w:hAnsi="宋体" w:cs="宋体"/>
          <w:szCs w:val="21"/>
        </w:rPr>
        <w:t>（6）若送达日为非工作日,则视为在下一工作日送达。</w:t>
      </w:r>
    </w:p>
    <w:p w14:paraId="179C89A7">
      <w:pPr>
        <w:spacing w:line="380" w:lineRule="exact"/>
        <w:ind w:firstLine="420" w:firstLineChars="200"/>
        <w:rPr>
          <w:rFonts w:hint="eastAsia" w:ascii="宋体" w:hAnsi="宋体" w:cs="宋体"/>
          <w:szCs w:val="21"/>
        </w:rPr>
      </w:pPr>
      <w:r>
        <w:rPr>
          <w:rFonts w:hint="eastAsia" w:ascii="宋体" w:hAnsi="宋体" w:cs="宋体"/>
          <w:szCs w:val="21"/>
        </w:rPr>
        <w:t>3.本合同约定的地址、联系人及电子通信终端等信息亦为双方工作联系往来、法律文书及争议解决时人民法院和/或仲裁机构的法律文书送达地址。人民法院和/或仲裁机构的诉讼文书（含裁判文书）向任何合同任何一方当事人的上述地址和/或工商登记公示地址（居民身份证登记地址）送达的，视为有效送达。当事人对电子通信终端的联系送达适用于争议解决时的送达。</w:t>
      </w:r>
    </w:p>
    <w:p w14:paraId="57F94F19">
      <w:pPr>
        <w:spacing w:line="380" w:lineRule="exact"/>
        <w:ind w:firstLine="420" w:firstLineChars="200"/>
        <w:rPr>
          <w:rFonts w:hint="eastAsia" w:ascii="宋体" w:hAnsi="宋体" w:cs="宋体"/>
          <w:szCs w:val="21"/>
        </w:rPr>
      </w:pPr>
      <w:r>
        <w:rPr>
          <w:rFonts w:hint="eastAsia" w:ascii="宋体" w:hAnsi="宋体" w:cs="宋体"/>
          <w:szCs w:val="21"/>
        </w:rPr>
        <w:t>4.合同送达条款与争议解决条款均为独立条款，不受合同整体或其他条款的效力的影响。因载明的地址有误或变更地址5日内未及时告知对方的，导致相关通知文书及诉讼文书未能实际被接收的、邮寄送达的，以文件退回之日为送达之日；直接送达的，以送达人当场在送达回证上记明情况之日为送达之日。</w:t>
      </w:r>
    </w:p>
    <w:p w14:paraId="4832D8B6">
      <w:pPr>
        <w:spacing w:line="380" w:lineRule="exact"/>
        <w:ind w:firstLine="422" w:firstLineChars="200"/>
        <w:rPr>
          <w:rFonts w:hint="eastAsia" w:ascii="宋体" w:hAnsi="宋体" w:cs="宋体"/>
          <w:b/>
          <w:szCs w:val="21"/>
        </w:rPr>
      </w:pPr>
      <w:r>
        <w:rPr>
          <w:rFonts w:hint="eastAsia" w:ascii="宋体" w:hAnsi="宋体" w:cs="宋体"/>
          <w:b/>
          <w:szCs w:val="21"/>
        </w:rPr>
        <w:t>第十四条　签订本合同依据</w:t>
      </w:r>
    </w:p>
    <w:p w14:paraId="559F6308">
      <w:pPr>
        <w:spacing w:line="380" w:lineRule="exact"/>
        <w:ind w:firstLine="420" w:firstLineChars="200"/>
        <w:rPr>
          <w:rFonts w:hint="eastAsia" w:ascii="宋体" w:hAnsi="宋体" w:cs="宋体"/>
          <w:szCs w:val="21"/>
        </w:rPr>
      </w:pPr>
      <w:r>
        <w:rPr>
          <w:rFonts w:hint="eastAsia" w:ascii="宋体" w:hAnsi="宋体" w:cs="宋体"/>
          <w:szCs w:val="21"/>
        </w:rPr>
        <w:t>1.本项目的采购文件（含采购答疑）、符合采购要求的投标文件、甲方确认采购要求、本合同履行过程中双方签章确认的协议或其他文件均为本合同的组成部分，若合同组成文件之间发生矛盾的，以下排列顺序为合同组成文件之间的优先解释顺序：</w:t>
      </w:r>
    </w:p>
    <w:p w14:paraId="7DD4BCAD">
      <w:pPr>
        <w:spacing w:line="380" w:lineRule="exact"/>
        <w:ind w:firstLine="420" w:firstLineChars="200"/>
        <w:rPr>
          <w:rFonts w:hint="eastAsia" w:ascii="宋体" w:hAnsi="宋体" w:cs="宋体"/>
          <w:szCs w:val="21"/>
        </w:rPr>
      </w:pPr>
      <w:r>
        <w:rPr>
          <w:rFonts w:hint="eastAsia" w:ascii="宋体" w:hAnsi="宋体" w:cs="宋体"/>
          <w:szCs w:val="21"/>
        </w:rPr>
        <w:t>（1）合同履行过程中双方签章确认的协议或其他文件；</w:t>
      </w:r>
    </w:p>
    <w:p w14:paraId="27B256A6">
      <w:pPr>
        <w:spacing w:line="380" w:lineRule="exact"/>
        <w:ind w:firstLine="420" w:firstLineChars="200"/>
        <w:rPr>
          <w:rFonts w:hint="eastAsia" w:ascii="宋体" w:hAnsi="宋体" w:cs="宋体"/>
          <w:szCs w:val="21"/>
        </w:rPr>
      </w:pPr>
      <w:r>
        <w:rPr>
          <w:rFonts w:hint="eastAsia" w:ascii="宋体" w:hAnsi="宋体" w:cs="宋体"/>
          <w:szCs w:val="21"/>
        </w:rPr>
        <w:t>（2）甲方确认的采购要求；</w:t>
      </w:r>
    </w:p>
    <w:p w14:paraId="73A3B015">
      <w:pPr>
        <w:spacing w:line="380" w:lineRule="exact"/>
        <w:ind w:firstLine="420" w:firstLineChars="200"/>
        <w:rPr>
          <w:rFonts w:hint="eastAsia" w:ascii="宋体" w:hAnsi="宋体" w:cs="宋体"/>
          <w:szCs w:val="21"/>
        </w:rPr>
      </w:pPr>
      <w:r>
        <w:rPr>
          <w:rFonts w:hint="eastAsia" w:ascii="宋体" w:hAnsi="宋体" w:cs="宋体"/>
          <w:szCs w:val="21"/>
        </w:rPr>
        <w:t>（3）合同附件；</w:t>
      </w:r>
    </w:p>
    <w:p w14:paraId="0C4E71E0">
      <w:pPr>
        <w:spacing w:line="380" w:lineRule="exact"/>
        <w:ind w:firstLine="420" w:firstLineChars="200"/>
        <w:rPr>
          <w:rFonts w:hint="eastAsia" w:ascii="宋体" w:hAnsi="宋体" w:cs="宋体"/>
          <w:szCs w:val="21"/>
        </w:rPr>
      </w:pPr>
      <w:r>
        <w:rPr>
          <w:rFonts w:hint="eastAsia" w:ascii="宋体" w:hAnsi="宋体" w:cs="宋体"/>
          <w:szCs w:val="21"/>
        </w:rPr>
        <w:t>（4）中标或成交通知书；</w:t>
      </w:r>
    </w:p>
    <w:p w14:paraId="49C49F1E">
      <w:pPr>
        <w:spacing w:line="380" w:lineRule="exact"/>
        <w:ind w:firstLine="420" w:firstLineChars="200"/>
        <w:rPr>
          <w:rFonts w:hint="eastAsia" w:ascii="宋体" w:hAnsi="宋体" w:cs="宋体"/>
          <w:szCs w:val="21"/>
        </w:rPr>
      </w:pPr>
      <w:r>
        <w:rPr>
          <w:rFonts w:hint="eastAsia" w:ascii="宋体" w:hAnsi="宋体" w:cs="宋体"/>
          <w:szCs w:val="21"/>
        </w:rPr>
        <w:t>（5）采购文件(含答疑)；</w:t>
      </w:r>
    </w:p>
    <w:p w14:paraId="50FB66C9">
      <w:pPr>
        <w:spacing w:line="380" w:lineRule="exact"/>
        <w:ind w:firstLine="420" w:firstLineChars="200"/>
        <w:rPr>
          <w:rFonts w:hint="eastAsia" w:ascii="宋体" w:hAnsi="宋体" w:cs="宋体"/>
          <w:szCs w:val="21"/>
        </w:rPr>
      </w:pPr>
      <w:r>
        <w:rPr>
          <w:rFonts w:hint="eastAsia" w:ascii="宋体" w:hAnsi="宋体" w:cs="宋体"/>
          <w:szCs w:val="21"/>
        </w:rPr>
        <w:t>（6）符合采购要求的投标文件；</w:t>
      </w:r>
    </w:p>
    <w:p w14:paraId="37D43ED4">
      <w:pPr>
        <w:spacing w:line="380" w:lineRule="exact"/>
        <w:ind w:firstLine="420" w:firstLineChars="200"/>
        <w:rPr>
          <w:rFonts w:hint="eastAsia" w:ascii="宋体" w:hAnsi="宋体" w:cs="宋体"/>
          <w:szCs w:val="21"/>
        </w:rPr>
      </w:pPr>
      <w:r>
        <w:rPr>
          <w:rFonts w:hint="eastAsia" w:ascii="宋体" w:hAnsi="宋体" w:cs="宋体"/>
          <w:szCs w:val="21"/>
        </w:rPr>
        <w:t>（7）标准、规范及有关技术文件；</w:t>
      </w:r>
    </w:p>
    <w:p w14:paraId="442BE48E">
      <w:pPr>
        <w:spacing w:line="380" w:lineRule="exact"/>
        <w:ind w:firstLine="420" w:firstLineChars="200"/>
        <w:rPr>
          <w:rFonts w:hint="eastAsia" w:ascii="宋体" w:hAnsi="宋体" w:cs="宋体"/>
          <w:szCs w:val="21"/>
        </w:rPr>
      </w:pPr>
      <w:r>
        <w:rPr>
          <w:rFonts w:hint="eastAsia" w:ascii="宋体" w:hAnsi="宋体" w:cs="宋体"/>
          <w:szCs w:val="21"/>
        </w:rPr>
        <w:t>（8）其他合同文件。</w:t>
      </w:r>
    </w:p>
    <w:p w14:paraId="6FE46D4E">
      <w:pPr>
        <w:spacing w:line="380" w:lineRule="exact"/>
        <w:ind w:firstLine="420" w:firstLineChars="200"/>
        <w:rPr>
          <w:rFonts w:hint="eastAsia" w:ascii="宋体" w:hAnsi="宋体" w:cs="宋体"/>
          <w:szCs w:val="21"/>
        </w:rPr>
      </w:pPr>
      <w:r>
        <w:rPr>
          <w:rFonts w:hint="eastAsia" w:ascii="宋体" w:hAnsi="宋体" w:cs="宋体"/>
          <w:szCs w:val="21"/>
        </w:rPr>
        <w:t>2.前述文件应认为是互为补充和解释的，但如有互相矛盾之处，以前述文件所列顺序作为其优先解释的顺序，但如果某一文件对甲方权利维护更有利或对设计工作有更高、更严格要求的以该文件内容为准。</w:t>
      </w:r>
    </w:p>
    <w:p w14:paraId="41594C81">
      <w:pPr>
        <w:spacing w:line="380" w:lineRule="exact"/>
        <w:ind w:firstLine="420" w:firstLineChars="200"/>
        <w:rPr>
          <w:rFonts w:hint="eastAsia" w:ascii="宋体" w:hAnsi="宋体" w:cs="宋体"/>
          <w:szCs w:val="21"/>
        </w:rPr>
      </w:pPr>
      <w:r>
        <w:rPr>
          <w:rFonts w:hint="eastAsia" w:ascii="宋体" w:hAnsi="宋体" w:cs="宋体"/>
          <w:szCs w:val="21"/>
        </w:rPr>
        <w:t>3.前述各项文件包括双方就该合同组成文件所作出的补充和修改，属于同一项文件的，应以最新签署的为准。</w:t>
      </w:r>
    </w:p>
    <w:p w14:paraId="1EF201DC">
      <w:pPr>
        <w:snapToGrid w:val="0"/>
        <w:spacing w:line="340" w:lineRule="exact"/>
        <w:ind w:left="-61" w:leftChars="-29" w:firstLine="422" w:firstLineChars="200"/>
        <w:rPr>
          <w:rFonts w:hint="eastAsia"/>
          <w:lang w:val="en-US" w:eastAsia="zh-CN"/>
        </w:rPr>
      </w:pPr>
      <w:r>
        <w:rPr>
          <w:rFonts w:hint="eastAsia" w:ascii="宋体" w:hAnsi="宋体" w:cs="宋体"/>
          <w:b/>
          <w:szCs w:val="21"/>
        </w:rPr>
        <w:t>第十五条　</w:t>
      </w:r>
      <w:r>
        <w:rPr>
          <w:rFonts w:hint="eastAsia" w:ascii="宋体" w:hAnsi="宋体" w:cs="宋体"/>
          <w:szCs w:val="21"/>
        </w:rPr>
        <w:t>本合同一式五份，具有同等法律效力。甲方执三份，乙方执一份，采购代理机构一份。</w:t>
      </w:r>
    </w:p>
    <w:p w14:paraId="537B0E1A">
      <w:pPr>
        <w:rPr>
          <w:rFonts w:hint="eastAsia"/>
          <w:lang w:val="en-US" w:eastAsia="zh-CN"/>
        </w:rPr>
      </w:pPr>
    </w:p>
    <w:tbl>
      <w:tblPr>
        <w:tblStyle w:val="51"/>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1"/>
        <w:gridCol w:w="4808"/>
      </w:tblGrid>
      <w:tr w14:paraId="4102F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jc w:val="center"/>
        </w:trPr>
        <w:tc>
          <w:tcPr>
            <w:tcW w:w="4551" w:type="dxa"/>
            <w:noWrap w:val="0"/>
            <w:vAlign w:val="top"/>
          </w:tcPr>
          <w:p w14:paraId="146D6636">
            <w:pPr>
              <w:snapToGrid w:val="0"/>
              <w:spacing w:line="360" w:lineRule="exact"/>
              <w:rPr>
                <w:rFonts w:hint="eastAsia" w:ascii="宋体"/>
                <w:color w:val="auto"/>
                <w:szCs w:val="21"/>
              </w:rPr>
            </w:pPr>
            <w:r>
              <w:rPr>
                <w:rFonts w:hint="eastAsia" w:ascii="宋体"/>
                <w:color w:val="auto"/>
                <w:szCs w:val="21"/>
              </w:rPr>
              <w:t xml:space="preserve">甲方（章）           </w:t>
            </w:r>
          </w:p>
          <w:p w14:paraId="2E2F6390">
            <w:pPr>
              <w:snapToGrid w:val="0"/>
              <w:spacing w:line="360" w:lineRule="exact"/>
              <w:rPr>
                <w:rFonts w:hint="eastAsia" w:ascii="宋体"/>
                <w:color w:val="auto"/>
                <w:szCs w:val="21"/>
              </w:rPr>
            </w:pPr>
          </w:p>
          <w:p w14:paraId="2A30DF09">
            <w:pPr>
              <w:snapToGrid w:val="0"/>
              <w:spacing w:line="360" w:lineRule="exact"/>
              <w:rPr>
                <w:rFonts w:hint="eastAsia" w:ascii="宋体"/>
                <w:color w:val="auto"/>
                <w:szCs w:val="21"/>
              </w:rPr>
            </w:pPr>
          </w:p>
          <w:p w14:paraId="0EF67349">
            <w:pPr>
              <w:snapToGrid w:val="0"/>
              <w:spacing w:line="360" w:lineRule="exact"/>
              <w:ind w:firstLine="945" w:firstLineChars="450"/>
              <w:rPr>
                <w:rFonts w:hint="eastAsia" w:ascii="宋体"/>
                <w:color w:val="auto"/>
                <w:szCs w:val="21"/>
              </w:rPr>
            </w:pPr>
            <w:r>
              <w:rPr>
                <w:rFonts w:hint="eastAsia" w:ascii="宋体"/>
                <w:color w:val="auto"/>
                <w:szCs w:val="21"/>
              </w:rPr>
              <w:t xml:space="preserve">                 年   月   日</w:t>
            </w:r>
          </w:p>
        </w:tc>
        <w:tc>
          <w:tcPr>
            <w:tcW w:w="4808" w:type="dxa"/>
            <w:noWrap w:val="0"/>
            <w:vAlign w:val="top"/>
          </w:tcPr>
          <w:p w14:paraId="7D2C1AF7">
            <w:pPr>
              <w:snapToGrid w:val="0"/>
              <w:spacing w:line="360" w:lineRule="exact"/>
              <w:rPr>
                <w:rFonts w:hint="eastAsia" w:ascii="宋体"/>
                <w:color w:val="auto"/>
                <w:szCs w:val="21"/>
              </w:rPr>
            </w:pPr>
            <w:r>
              <w:rPr>
                <w:rFonts w:hint="eastAsia" w:ascii="宋体"/>
                <w:color w:val="auto"/>
                <w:szCs w:val="21"/>
              </w:rPr>
              <w:t xml:space="preserve">乙方（章）              </w:t>
            </w:r>
          </w:p>
          <w:p w14:paraId="238AD9F7">
            <w:pPr>
              <w:snapToGrid w:val="0"/>
              <w:spacing w:line="360" w:lineRule="exact"/>
              <w:rPr>
                <w:rFonts w:hint="eastAsia" w:ascii="宋体"/>
                <w:color w:val="auto"/>
                <w:szCs w:val="21"/>
              </w:rPr>
            </w:pPr>
          </w:p>
          <w:p w14:paraId="54463827">
            <w:pPr>
              <w:snapToGrid w:val="0"/>
              <w:spacing w:line="360" w:lineRule="exact"/>
              <w:rPr>
                <w:rFonts w:hint="eastAsia" w:ascii="宋体"/>
                <w:color w:val="auto"/>
                <w:szCs w:val="21"/>
              </w:rPr>
            </w:pPr>
          </w:p>
          <w:p w14:paraId="798A94FC">
            <w:pPr>
              <w:snapToGrid w:val="0"/>
              <w:spacing w:line="360" w:lineRule="exact"/>
              <w:rPr>
                <w:rFonts w:hint="eastAsia" w:ascii="宋体"/>
                <w:color w:val="auto"/>
                <w:szCs w:val="21"/>
              </w:rPr>
            </w:pPr>
            <w:r>
              <w:rPr>
                <w:rFonts w:hint="eastAsia" w:ascii="宋体"/>
                <w:color w:val="auto"/>
                <w:szCs w:val="21"/>
              </w:rPr>
              <w:t xml:space="preserve">                             年   月   日</w:t>
            </w:r>
          </w:p>
        </w:tc>
      </w:tr>
      <w:tr w14:paraId="5510A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4551" w:type="dxa"/>
            <w:noWrap w:val="0"/>
            <w:vAlign w:val="top"/>
          </w:tcPr>
          <w:p w14:paraId="45FE9FB2">
            <w:pPr>
              <w:snapToGrid w:val="0"/>
              <w:spacing w:line="360" w:lineRule="exact"/>
              <w:rPr>
                <w:rFonts w:hint="eastAsia" w:ascii="宋体"/>
                <w:color w:val="auto"/>
                <w:szCs w:val="21"/>
              </w:rPr>
            </w:pPr>
            <w:r>
              <w:rPr>
                <w:rFonts w:hint="eastAsia" w:ascii="宋体"/>
                <w:color w:val="auto"/>
                <w:szCs w:val="21"/>
              </w:rPr>
              <w:t>单位地址：</w:t>
            </w:r>
          </w:p>
        </w:tc>
        <w:tc>
          <w:tcPr>
            <w:tcW w:w="4808" w:type="dxa"/>
            <w:noWrap w:val="0"/>
            <w:vAlign w:val="top"/>
          </w:tcPr>
          <w:p w14:paraId="753F3F95">
            <w:pPr>
              <w:snapToGrid w:val="0"/>
              <w:spacing w:line="360" w:lineRule="exact"/>
              <w:rPr>
                <w:rFonts w:hint="eastAsia" w:ascii="宋体"/>
                <w:color w:val="auto"/>
                <w:szCs w:val="21"/>
              </w:rPr>
            </w:pPr>
            <w:r>
              <w:rPr>
                <w:rFonts w:hint="eastAsia" w:ascii="宋体"/>
                <w:color w:val="auto"/>
                <w:szCs w:val="21"/>
              </w:rPr>
              <w:t>单位地址：</w:t>
            </w:r>
          </w:p>
        </w:tc>
      </w:tr>
      <w:tr w14:paraId="6E14C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4551" w:type="dxa"/>
            <w:noWrap w:val="0"/>
            <w:vAlign w:val="top"/>
          </w:tcPr>
          <w:p w14:paraId="3CC34AFB">
            <w:pPr>
              <w:snapToGrid w:val="0"/>
              <w:spacing w:line="360" w:lineRule="exact"/>
              <w:rPr>
                <w:rFonts w:hint="eastAsia" w:ascii="宋体"/>
                <w:color w:val="auto"/>
                <w:szCs w:val="21"/>
              </w:rPr>
            </w:pPr>
            <w:r>
              <w:rPr>
                <w:rFonts w:hint="eastAsia" w:ascii="宋体"/>
                <w:color w:val="auto"/>
                <w:szCs w:val="21"/>
              </w:rPr>
              <w:t>法定代表人(负责人)：</w:t>
            </w:r>
          </w:p>
        </w:tc>
        <w:tc>
          <w:tcPr>
            <w:tcW w:w="4808" w:type="dxa"/>
            <w:noWrap w:val="0"/>
            <w:vAlign w:val="top"/>
          </w:tcPr>
          <w:p w14:paraId="4D1943D5">
            <w:pPr>
              <w:snapToGrid w:val="0"/>
              <w:spacing w:line="360" w:lineRule="exact"/>
              <w:rPr>
                <w:rFonts w:hint="eastAsia" w:ascii="宋体"/>
                <w:color w:val="auto"/>
                <w:szCs w:val="21"/>
              </w:rPr>
            </w:pPr>
            <w:r>
              <w:rPr>
                <w:rFonts w:hint="eastAsia" w:ascii="宋体"/>
                <w:color w:val="auto"/>
                <w:szCs w:val="21"/>
              </w:rPr>
              <w:t>法定代表人(负责人)：</w:t>
            </w:r>
          </w:p>
        </w:tc>
      </w:tr>
      <w:tr w14:paraId="15652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4551" w:type="dxa"/>
            <w:noWrap w:val="0"/>
            <w:vAlign w:val="top"/>
          </w:tcPr>
          <w:p w14:paraId="3148AE0F">
            <w:pPr>
              <w:snapToGrid w:val="0"/>
              <w:spacing w:line="360" w:lineRule="exact"/>
              <w:rPr>
                <w:rFonts w:hint="eastAsia" w:ascii="宋体"/>
                <w:color w:val="auto"/>
                <w:szCs w:val="21"/>
              </w:rPr>
            </w:pPr>
            <w:r>
              <w:rPr>
                <w:rFonts w:hint="eastAsia" w:ascii="宋体"/>
                <w:color w:val="auto"/>
                <w:szCs w:val="21"/>
              </w:rPr>
              <w:t>委托代理人：</w:t>
            </w:r>
          </w:p>
        </w:tc>
        <w:tc>
          <w:tcPr>
            <w:tcW w:w="4808" w:type="dxa"/>
            <w:noWrap w:val="0"/>
            <w:vAlign w:val="top"/>
          </w:tcPr>
          <w:p w14:paraId="232F1E97">
            <w:pPr>
              <w:snapToGrid w:val="0"/>
              <w:spacing w:line="360" w:lineRule="exact"/>
              <w:rPr>
                <w:rFonts w:hint="eastAsia" w:ascii="宋体"/>
                <w:color w:val="auto"/>
                <w:szCs w:val="21"/>
              </w:rPr>
            </w:pPr>
            <w:r>
              <w:rPr>
                <w:rFonts w:hint="eastAsia" w:ascii="宋体"/>
                <w:color w:val="auto"/>
                <w:szCs w:val="21"/>
              </w:rPr>
              <w:t>委托代理人：</w:t>
            </w:r>
          </w:p>
        </w:tc>
      </w:tr>
      <w:tr w14:paraId="09F7B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4551" w:type="dxa"/>
            <w:noWrap w:val="0"/>
            <w:vAlign w:val="top"/>
          </w:tcPr>
          <w:p w14:paraId="4D243E70">
            <w:pPr>
              <w:snapToGrid w:val="0"/>
              <w:spacing w:line="360" w:lineRule="exact"/>
              <w:rPr>
                <w:rFonts w:hint="eastAsia" w:ascii="宋体"/>
                <w:color w:val="auto"/>
                <w:szCs w:val="21"/>
              </w:rPr>
            </w:pPr>
            <w:r>
              <w:rPr>
                <w:rFonts w:hint="eastAsia" w:ascii="宋体"/>
                <w:color w:val="auto"/>
                <w:szCs w:val="21"/>
              </w:rPr>
              <w:t>电话：</w:t>
            </w:r>
          </w:p>
        </w:tc>
        <w:tc>
          <w:tcPr>
            <w:tcW w:w="4808" w:type="dxa"/>
            <w:noWrap w:val="0"/>
            <w:vAlign w:val="top"/>
          </w:tcPr>
          <w:p w14:paraId="78CDB43F">
            <w:pPr>
              <w:snapToGrid w:val="0"/>
              <w:spacing w:line="360" w:lineRule="exact"/>
              <w:rPr>
                <w:rFonts w:hint="eastAsia" w:ascii="宋体"/>
                <w:color w:val="auto"/>
                <w:szCs w:val="21"/>
              </w:rPr>
            </w:pPr>
            <w:r>
              <w:rPr>
                <w:rFonts w:hint="eastAsia" w:ascii="宋体"/>
                <w:color w:val="auto"/>
                <w:szCs w:val="21"/>
              </w:rPr>
              <w:t>电话：</w:t>
            </w:r>
          </w:p>
        </w:tc>
      </w:tr>
      <w:tr w14:paraId="1FD55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551" w:type="dxa"/>
            <w:noWrap w:val="0"/>
            <w:vAlign w:val="top"/>
          </w:tcPr>
          <w:p w14:paraId="5EBD0A21">
            <w:pPr>
              <w:snapToGrid w:val="0"/>
              <w:spacing w:line="360" w:lineRule="exact"/>
              <w:rPr>
                <w:rFonts w:hint="eastAsia" w:ascii="宋体"/>
                <w:color w:val="auto"/>
                <w:szCs w:val="21"/>
              </w:rPr>
            </w:pPr>
            <w:r>
              <w:rPr>
                <w:rFonts w:hint="eastAsia" w:ascii="宋体"/>
                <w:color w:val="auto"/>
                <w:szCs w:val="21"/>
              </w:rPr>
              <w:t>电子邮箱：</w:t>
            </w:r>
          </w:p>
        </w:tc>
        <w:tc>
          <w:tcPr>
            <w:tcW w:w="4808" w:type="dxa"/>
            <w:noWrap w:val="0"/>
            <w:vAlign w:val="top"/>
          </w:tcPr>
          <w:p w14:paraId="2576F0A6">
            <w:pPr>
              <w:snapToGrid w:val="0"/>
              <w:spacing w:line="360" w:lineRule="exact"/>
              <w:rPr>
                <w:rFonts w:hint="eastAsia" w:ascii="宋体"/>
                <w:color w:val="auto"/>
                <w:szCs w:val="21"/>
              </w:rPr>
            </w:pPr>
            <w:r>
              <w:rPr>
                <w:rFonts w:hint="eastAsia" w:ascii="宋体"/>
                <w:color w:val="auto"/>
                <w:szCs w:val="21"/>
              </w:rPr>
              <w:t>电子邮箱：</w:t>
            </w:r>
          </w:p>
        </w:tc>
      </w:tr>
      <w:tr w14:paraId="7F51D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4551" w:type="dxa"/>
            <w:noWrap w:val="0"/>
            <w:vAlign w:val="top"/>
          </w:tcPr>
          <w:p w14:paraId="70FBC4D8">
            <w:pPr>
              <w:snapToGrid w:val="0"/>
              <w:spacing w:line="360" w:lineRule="exact"/>
              <w:rPr>
                <w:rFonts w:hint="eastAsia" w:ascii="宋体"/>
                <w:color w:val="auto"/>
                <w:szCs w:val="21"/>
              </w:rPr>
            </w:pPr>
            <w:r>
              <w:rPr>
                <w:rFonts w:hint="eastAsia" w:ascii="宋体"/>
                <w:color w:val="auto"/>
                <w:szCs w:val="21"/>
              </w:rPr>
              <w:t>开户银行：</w:t>
            </w:r>
          </w:p>
        </w:tc>
        <w:tc>
          <w:tcPr>
            <w:tcW w:w="4808" w:type="dxa"/>
            <w:noWrap w:val="0"/>
            <w:vAlign w:val="top"/>
          </w:tcPr>
          <w:p w14:paraId="09F02616">
            <w:pPr>
              <w:snapToGrid w:val="0"/>
              <w:spacing w:line="360" w:lineRule="exact"/>
              <w:rPr>
                <w:rFonts w:hint="eastAsia" w:ascii="宋体"/>
                <w:color w:val="auto"/>
                <w:szCs w:val="21"/>
              </w:rPr>
            </w:pPr>
            <w:r>
              <w:rPr>
                <w:rFonts w:hint="eastAsia" w:ascii="宋体"/>
                <w:color w:val="auto"/>
                <w:szCs w:val="21"/>
              </w:rPr>
              <w:t>开户银行：</w:t>
            </w:r>
          </w:p>
        </w:tc>
      </w:tr>
      <w:tr w14:paraId="4FDE5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4551" w:type="dxa"/>
            <w:noWrap w:val="0"/>
            <w:vAlign w:val="top"/>
          </w:tcPr>
          <w:p w14:paraId="586A7312">
            <w:pPr>
              <w:snapToGrid w:val="0"/>
              <w:spacing w:line="360" w:lineRule="exact"/>
              <w:rPr>
                <w:rFonts w:hint="eastAsia" w:ascii="宋体"/>
                <w:color w:val="auto"/>
                <w:szCs w:val="21"/>
              </w:rPr>
            </w:pPr>
            <w:r>
              <w:rPr>
                <w:rFonts w:hint="eastAsia" w:ascii="宋体"/>
                <w:color w:val="auto"/>
                <w:szCs w:val="21"/>
              </w:rPr>
              <w:t>账号：</w:t>
            </w:r>
          </w:p>
        </w:tc>
        <w:tc>
          <w:tcPr>
            <w:tcW w:w="4808" w:type="dxa"/>
            <w:noWrap w:val="0"/>
            <w:vAlign w:val="top"/>
          </w:tcPr>
          <w:p w14:paraId="1C6596F4">
            <w:pPr>
              <w:snapToGrid w:val="0"/>
              <w:spacing w:line="360" w:lineRule="exact"/>
              <w:rPr>
                <w:rFonts w:hint="eastAsia" w:ascii="宋体"/>
                <w:color w:val="auto"/>
                <w:szCs w:val="21"/>
              </w:rPr>
            </w:pPr>
            <w:r>
              <w:rPr>
                <w:rFonts w:hint="eastAsia" w:ascii="宋体"/>
                <w:color w:val="auto"/>
                <w:szCs w:val="21"/>
              </w:rPr>
              <w:t>账号：</w:t>
            </w:r>
          </w:p>
        </w:tc>
      </w:tr>
      <w:tr w14:paraId="315A9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4551" w:type="dxa"/>
            <w:noWrap w:val="0"/>
            <w:vAlign w:val="top"/>
          </w:tcPr>
          <w:p w14:paraId="1381C0CA">
            <w:pPr>
              <w:snapToGrid w:val="0"/>
              <w:spacing w:line="360" w:lineRule="exact"/>
              <w:rPr>
                <w:rFonts w:hint="eastAsia" w:ascii="宋体"/>
                <w:color w:val="auto"/>
                <w:szCs w:val="21"/>
              </w:rPr>
            </w:pPr>
            <w:r>
              <w:rPr>
                <w:rFonts w:hint="eastAsia" w:ascii="宋体"/>
                <w:color w:val="auto"/>
                <w:szCs w:val="21"/>
              </w:rPr>
              <w:t>邮政编码：</w:t>
            </w:r>
          </w:p>
        </w:tc>
        <w:tc>
          <w:tcPr>
            <w:tcW w:w="4808" w:type="dxa"/>
            <w:noWrap w:val="0"/>
            <w:vAlign w:val="top"/>
          </w:tcPr>
          <w:p w14:paraId="257DE97F">
            <w:pPr>
              <w:snapToGrid w:val="0"/>
              <w:spacing w:line="360" w:lineRule="exact"/>
              <w:rPr>
                <w:rFonts w:hint="eastAsia" w:ascii="宋体"/>
                <w:color w:val="auto"/>
                <w:szCs w:val="21"/>
              </w:rPr>
            </w:pPr>
            <w:r>
              <w:rPr>
                <w:rFonts w:hint="eastAsia" w:ascii="宋体"/>
                <w:color w:val="auto"/>
                <w:szCs w:val="21"/>
              </w:rPr>
              <w:t>邮政编码：</w:t>
            </w:r>
          </w:p>
        </w:tc>
      </w:tr>
      <w:tr w14:paraId="22CAF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9359" w:type="dxa"/>
            <w:gridSpan w:val="2"/>
            <w:noWrap w:val="0"/>
            <w:vAlign w:val="top"/>
          </w:tcPr>
          <w:p w14:paraId="30448ABC">
            <w:pPr>
              <w:snapToGrid w:val="0"/>
              <w:spacing w:line="360" w:lineRule="exact"/>
              <w:rPr>
                <w:rFonts w:hint="eastAsia" w:ascii="宋体"/>
                <w:color w:val="auto"/>
                <w:szCs w:val="21"/>
              </w:rPr>
            </w:pPr>
            <w:r>
              <w:rPr>
                <w:rFonts w:hint="eastAsia" w:ascii="宋体"/>
                <w:color w:val="auto"/>
                <w:szCs w:val="21"/>
              </w:rPr>
              <w:t>经办人：</w:t>
            </w:r>
          </w:p>
          <w:p w14:paraId="48E9E96B">
            <w:pPr>
              <w:snapToGrid w:val="0"/>
              <w:spacing w:line="360" w:lineRule="exact"/>
              <w:rPr>
                <w:rFonts w:hint="eastAsia" w:ascii="宋体"/>
                <w:color w:val="auto"/>
                <w:szCs w:val="21"/>
              </w:rPr>
            </w:pPr>
          </w:p>
          <w:p w14:paraId="3CAC2FD9">
            <w:pPr>
              <w:snapToGrid w:val="0"/>
              <w:spacing w:line="360" w:lineRule="exact"/>
              <w:ind w:firstLine="630" w:firstLineChars="300"/>
              <w:jc w:val="right"/>
              <w:rPr>
                <w:rFonts w:hint="eastAsia" w:ascii="宋体"/>
                <w:color w:val="auto"/>
                <w:szCs w:val="21"/>
              </w:rPr>
            </w:pPr>
            <w:r>
              <w:rPr>
                <w:rFonts w:hint="eastAsia" w:ascii="宋体"/>
                <w:color w:val="auto"/>
                <w:szCs w:val="21"/>
              </w:rPr>
              <w:t>年    月    日</w:t>
            </w:r>
          </w:p>
        </w:tc>
      </w:tr>
    </w:tbl>
    <w:p w14:paraId="167BAE68">
      <w:pPr>
        <w:rPr>
          <w:rFonts w:hint="eastAsia"/>
        </w:rPr>
      </w:pPr>
    </w:p>
    <w:p w14:paraId="4D6CABF9">
      <w:pPr>
        <w:jc w:val="center"/>
        <w:rPr>
          <w:rFonts w:hint="eastAsia"/>
          <w:b/>
          <w:bCs/>
          <w:color w:val="auto"/>
          <w:sz w:val="32"/>
          <w:szCs w:val="40"/>
        </w:rPr>
      </w:pPr>
    </w:p>
    <w:p w14:paraId="165AC9E7">
      <w:pPr>
        <w:jc w:val="center"/>
        <w:rPr>
          <w:rFonts w:hint="eastAsia"/>
          <w:b/>
          <w:bCs/>
          <w:color w:val="auto"/>
          <w:sz w:val="32"/>
          <w:szCs w:val="40"/>
        </w:rPr>
      </w:pPr>
      <w:r>
        <w:rPr>
          <w:rFonts w:hint="eastAsia"/>
          <w:b/>
          <w:bCs/>
          <w:color w:val="auto"/>
          <w:sz w:val="32"/>
          <w:szCs w:val="40"/>
        </w:rPr>
        <w:t>合 同 附 件</w:t>
      </w:r>
    </w:p>
    <w:tbl>
      <w:tblPr>
        <w:tblStyle w:val="51"/>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9"/>
        <w:gridCol w:w="4641"/>
      </w:tblGrid>
      <w:tr w14:paraId="0FAEE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380" w:type="dxa"/>
            <w:gridSpan w:val="2"/>
            <w:tcBorders>
              <w:top w:val="single" w:color="auto" w:sz="4" w:space="0"/>
              <w:left w:val="single" w:color="auto" w:sz="4" w:space="0"/>
              <w:right w:val="single" w:color="auto" w:sz="4" w:space="0"/>
            </w:tcBorders>
            <w:noWrap w:val="0"/>
            <w:vAlign w:val="top"/>
          </w:tcPr>
          <w:p w14:paraId="472A16D1">
            <w:pPr>
              <w:snapToGrid w:val="0"/>
              <w:spacing w:line="360" w:lineRule="exact"/>
              <w:rPr>
                <w:rFonts w:hint="eastAsia"/>
                <w:color w:val="auto"/>
                <w:szCs w:val="21"/>
              </w:rPr>
            </w:pPr>
            <w:r>
              <w:rPr>
                <w:rFonts w:hint="eastAsia"/>
                <w:color w:val="auto"/>
                <w:szCs w:val="21"/>
              </w:rPr>
              <w:t>1、供应商承诺具体事项：</w:t>
            </w:r>
          </w:p>
        </w:tc>
      </w:tr>
      <w:tr w14:paraId="2175D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380" w:type="dxa"/>
            <w:gridSpan w:val="2"/>
            <w:tcBorders>
              <w:top w:val="single" w:color="auto" w:sz="4" w:space="0"/>
              <w:left w:val="single" w:color="auto" w:sz="4" w:space="0"/>
              <w:right w:val="single" w:color="auto" w:sz="4" w:space="0"/>
            </w:tcBorders>
            <w:noWrap w:val="0"/>
            <w:vAlign w:val="top"/>
          </w:tcPr>
          <w:p w14:paraId="46B27DD1">
            <w:pPr>
              <w:snapToGrid w:val="0"/>
              <w:spacing w:line="360" w:lineRule="exact"/>
              <w:rPr>
                <w:rFonts w:hint="eastAsia"/>
                <w:color w:val="auto"/>
                <w:szCs w:val="21"/>
              </w:rPr>
            </w:pPr>
            <w:r>
              <w:rPr>
                <w:rFonts w:hint="eastAsia"/>
                <w:color w:val="auto"/>
                <w:szCs w:val="21"/>
              </w:rPr>
              <w:t>2、售后服务具体事项：</w:t>
            </w:r>
          </w:p>
        </w:tc>
      </w:tr>
      <w:tr w14:paraId="28DE0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380" w:type="dxa"/>
            <w:gridSpan w:val="2"/>
            <w:tcBorders>
              <w:top w:val="single" w:color="auto" w:sz="4" w:space="0"/>
              <w:left w:val="single" w:color="auto" w:sz="4" w:space="0"/>
              <w:right w:val="single" w:color="auto" w:sz="4" w:space="0"/>
            </w:tcBorders>
            <w:noWrap w:val="0"/>
            <w:vAlign w:val="top"/>
          </w:tcPr>
          <w:p w14:paraId="35E645D3">
            <w:pPr>
              <w:snapToGrid w:val="0"/>
              <w:spacing w:line="360" w:lineRule="exact"/>
              <w:rPr>
                <w:rFonts w:hint="eastAsia"/>
                <w:color w:val="auto"/>
                <w:szCs w:val="21"/>
              </w:rPr>
            </w:pPr>
            <w:r>
              <w:rPr>
                <w:rFonts w:hint="eastAsia"/>
                <w:color w:val="auto"/>
                <w:szCs w:val="21"/>
              </w:rPr>
              <w:t>3、保修期责任：</w:t>
            </w:r>
          </w:p>
        </w:tc>
      </w:tr>
      <w:tr w14:paraId="41DFB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380" w:type="dxa"/>
            <w:gridSpan w:val="2"/>
            <w:tcBorders>
              <w:top w:val="single" w:color="auto" w:sz="4" w:space="0"/>
              <w:left w:val="single" w:color="auto" w:sz="4" w:space="0"/>
              <w:right w:val="single" w:color="auto" w:sz="4" w:space="0"/>
            </w:tcBorders>
            <w:noWrap w:val="0"/>
            <w:vAlign w:val="top"/>
          </w:tcPr>
          <w:p w14:paraId="2EEBE73F">
            <w:pPr>
              <w:snapToGrid w:val="0"/>
              <w:spacing w:line="360" w:lineRule="exact"/>
              <w:rPr>
                <w:rFonts w:hint="eastAsia"/>
                <w:color w:val="auto"/>
                <w:szCs w:val="21"/>
              </w:rPr>
            </w:pPr>
            <w:r>
              <w:rPr>
                <w:rFonts w:hint="eastAsia"/>
                <w:color w:val="auto"/>
                <w:szCs w:val="21"/>
              </w:rPr>
              <w:t>4、其他具体事项：</w:t>
            </w:r>
          </w:p>
        </w:tc>
      </w:tr>
      <w:tr w14:paraId="23DC3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4739" w:type="dxa"/>
            <w:tcBorders>
              <w:top w:val="single" w:color="auto" w:sz="4" w:space="0"/>
              <w:left w:val="single" w:color="auto" w:sz="4" w:space="0"/>
              <w:bottom w:val="single" w:color="auto" w:sz="4" w:space="0"/>
              <w:right w:val="single" w:color="auto" w:sz="4" w:space="0"/>
            </w:tcBorders>
            <w:noWrap w:val="0"/>
            <w:vAlign w:val="top"/>
          </w:tcPr>
          <w:p w14:paraId="6F0C343C">
            <w:pPr>
              <w:snapToGrid w:val="0"/>
              <w:spacing w:line="360" w:lineRule="exact"/>
              <w:jc w:val="both"/>
              <w:rPr>
                <w:rFonts w:hint="eastAsia"/>
                <w:color w:val="auto"/>
                <w:szCs w:val="21"/>
              </w:rPr>
            </w:pPr>
            <w:r>
              <w:rPr>
                <w:rFonts w:hint="eastAsia"/>
                <w:color w:val="auto"/>
                <w:szCs w:val="21"/>
              </w:rPr>
              <w:t>甲方（章）</w:t>
            </w:r>
          </w:p>
          <w:p w14:paraId="7EEF3CD3">
            <w:pPr>
              <w:snapToGrid w:val="0"/>
              <w:spacing w:line="360" w:lineRule="exact"/>
              <w:ind w:firstLine="422"/>
              <w:jc w:val="both"/>
              <w:rPr>
                <w:rFonts w:hint="eastAsia"/>
                <w:color w:val="auto"/>
                <w:szCs w:val="21"/>
              </w:rPr>
            </w:pPr>
          </w:p>
          <w:p w14:paraId="1BEF080D">
            <w:pPr>
              <w:snapToGrid w:val="0"/>
              <w:spacing w:line="360" w:lineRule="exact"/>
              <w:ind w:firstLine="422"/>
              <w:jc w:val="both"/>
              <w:rPr>
                <w:rFonts w:hint="eastAsia"/>
                <w:color w:val="auto"/>
                <w:szCs w:val="21"/>
              </w:rPr>
            </w:pPr>
            <w:r>
              <w:rPr>
                <w:rFonts w:hint="eastAsia"/>
                <w:color w:val="auto"/>
                <w:szCs w:val="21"/>
              </w:rPr>
              <w:t xml:space="preserve">                      年   月   日 </w:t>
            </w:r>
          </w:p>
        </w:tc>
        <w:tc>
          <w:tcPr>
            <w:tcW w:w="4641" w:type="dxa"/>
            <w:tcBorders>
              <w:top w:val="single" w:color="auto" w:sz="4" w:space="0"/>
              <w:left w:val="single" w:color="auto" w:sz="4" w:space="0"/>
              <w:bottom w:val="single" w:color="auto" w:sz="4" w:space="0"/>
              <w:right w:val="single" w:color="auto" w:sz="4" w:space="0"/>
            </w:tcBorders>
            <w:noWrap w:val="0"/>
            <w:vAlign w:val="top"/>
          </w:tcPr>
          <w:p w14:paraId="39BF99D8">
            <w:pPr>
              <w:snapToGrid w:val="0"/>
              <w:spacing w:line="360" w:lineRule="exact"/>
              <w:jc w:val="both"/>
              <w:rPr>
                <w:rFonts w:hint="eastAsia"/>
                <w:color w:val="auto"/>
                <w:szCs w:val="21"/>
              </w:rPr>
            </w:pPr>
            <w:r>
              <w:rPr>
                <w:rFonts w:hint="eastAsia"/>
                <w:color w:val="auto"/>
                <w:szCs w:val="21"/>
              </w:rPr>
              <w:t>乙方（章）</w:t>
            </w:r>
          </w:p>
          <w:p w14:paraId="1C390B07">
            <w:pPr>
              <w:snapToGrid w:val="0"/>
              <w:spacing w:line="360" w:lineRule="exact"/>
              <w:ind w:firstLine="422"/>
              <w:jc w:val="both"/>
              <w:rPr>
                <w:rFonts w:hint="eastAsia"/>
                <w:color w:val="auto"/>
                <w:szCs w:val="21"/>
              </w:rPr>
            </w:pPr>
          </w:p>
          <w:p w14:paraId="01208C1E">
            <w:pPr>
              <w:snapToGrid w:val="0"/>
              <w:spacing w:line="360" w:lineRule="exact"/>
              <w:ind w:firstLine="422"/>
              <w:jc w:val="both"/>
              <w:rPr>
                <w:rFonts w:hint="eastAsia"/>
                <w:color w:val="auto"/>
                <w:szCs w:val="21"/>
              </w:rPr>
            </w:pPr>
            <w:r>
              <w:rPr>
                <w:rFonts w:hint="eastAsia"/>
                <w:color w:val="auto"/>
                <w:szCs w:val="21"/>
              </w:rPr>
              <w:t xml:space="preserve">                       年   月   日</w:t>
            </w:r>
          </w:p>
        </w:tc>
      </w:tr>
    </w:tbl>
    <w:p w14:paraId="02341899">
      <w:pPr>
        <w:snapToGrid w:val="0"/>
        <w:spacing w:line="360" w:lineRule="exact"/>
        <w:rPr>
          <w:rFonts w:hint="eastAsia" w:ascii="宋体"/>
          <w:color w:val="auto"/>
          <w:szCs w:val="21"/>
        </w:rPr>
      </w:pPr>
      <w:r>
        <w:rPr>
          <w:rFonts w:hint="eastAsia" w:ascii="宋体"/>
          <w:color w:val="auto"/>
          <w:szCs w:val="21"/>
        </w:rPr>
        <w:t xml:space="preserve">  注：售后服务事项填不下时可另加附页。</w:t>
      </w:r>
    </w:p>
    <w:p w14:paraId="35328CFF">
      <w:pPr>
        <w:pStyle w:val="28"/>
        <w:rPr>
          <w:rFonts w:hint="eastAsia" w:hAnsi="宋体"/>
          <w:b/>
          <w:color w:val="auto"/>
          <w:sz w:val="28"/>
          <w:szCs w:val="28"/>
          <w:highlight w:val="none"/>
        </w:rPr>
      </w:pPr>
    </w:p>
    <w:p w14:paraId="586D0336">
      <w:pPr>
        <w:rPr>
          <w:rFonts w:hint="eastAsia" w:hAnsi="宋体"/>
          <w:b/>
          <w:color w:val="auto"/>
          <w:sz w:val="28"/>
          <w:szCs w:val="28"/>
          <w:highlight w:val="none"/>
          <w:lang w:val="en-US" w:eastAsia="zh-CN"/>
        </w:rPr>
      </w:pPr>
      <w:r>
        <w:rPr>
          <w:rFonts w:hint="eastAsia" w:hAnsi="宋体"/>
          <w:b/>
          <w:color w:val="auto"/>
          <w:sz w:val="28"/>
          <w:szCs w:val="28"/>
          <w:highlight w:val="none"/>
          <w:lang w:val="en-US" w:eastAsia="zh-CN"/>
        </w:rPr>
        <w:br w:type="page"/>
      </w:r>
    </w:p>
    <w:p w14:paraId="5B8A9CD2">
      <w:pPr>
        <w:pStyle w:val="28"/>
        <w:rPr>
          <w:rFonts w:hint="eastAsia" w:hAnsi="宋体" w:eastAsia="宋体"/>
          <w:b/>
          <w:color w:val="auto"/>
          <w:sz w:val="28"/>
          <w:szCs w:val="28"/>
          <w:highlight w:val="none"/>
          <w:lang w:val="en-US" w:eastAsia="zh-CN"/>
        </w:rPr>
      </w:pPr>
      <w:r>
        <w:rPr>
          <w:rFonts w:hint="eastAsia" w:hAnsi="宋体"/>
          <w:b/>
          <w:color w:val="auto"/>
          <w:sz w:val="28"/>
          <w:szCs w:val="28"/>
          <w:highlight w:val="none"/>
          <w:lang w:val="en-US" w:eastAsia="zh-CN"/>
        </w:rPr>
        <w:t>附件：</w:t>
      </w:r>
    </w:p>
    <w:p w14:paraId="0205C700">
      <w:pPr>
        <w:spacing w:line="360" w:lineRule="auto"/>
        <w:jc w:val="center"/>
        <w:rPr>
          <w:rFonts w:ascii="宋体" w:hAnsi="宋体"/>
          <w:sz w:val="40"/>
          <w:highlight w:val="none"/>
        </w:rPr>
      </w:pPr>
      <w:r>
        <w:rPr>
          <w:rFonts w:hint="eastAsia" w:ascii="宋体" w:hAnsi="宋体"/>
          <w:sz w:val="40"/>
          <w:highlight w:val="none"/>
        </w:rPr>
        <w:t>医院信息安全保密协议</w:t>
      </w:r>
    </w:p>
    <w:p w14:paraId="6F9FCCB6">
      <w:pPr>
        <w:spacing w:line="360" w:lineRule="auto"/>
        <w:rPr>
          <w:rFonts w:ascii="宋体" w:hAnsi="宋体"/>
          <w:sz w:val="24"/>
          <w:highlight w:val="none"/>
        </w:rPr>
      </w:pPr>
      <w:r>
        <w:rPr>
          <w:rFonts w:hint="eastAsia" w:ascii="宋体" w:hAnsi="宋体"/>
          <w:sz w:val="24"/>
          <w:highlight w:val="none"/>
        </w:rPr>
        <w:t>甲方：</w:t>
      </w:r>
      <w:r>
        <w:rPr>
          <w:rFonts w:hint="eastAsia" w:ascii="宋体" w:hAnsi="宋体"/>
          <w:sz w:val="24"/>
          <w:szCs w:val="24"/>
          <w:highlight w:val="none"/>
          <w:u w:val="single"/>
        </w:rPr>
        <w:t>广西壮族自治区中医骨伤科研究所</w:t>
      </w:r>
    </w:p>
    <w:p w14:paraId="192E7CFF">
      <w:pPr>
        <w:spacing w:line="360" w:lineRule="auto"/>
        <w:rPr>
          <w:rFonts w:hint="default" w:ascii="宋体" w:hAnsi="宋体" w:eastAsia="宋体"/>
          <w:sz w:val="24"/>
          <w:highlight w:val="none"/>
          <w:lang w:val="en-US" w:eastAsia="zh-CN"/>
        </w:rPr>
      </w:pPr>
      <w:r>
        <w:rPr>
          <w:rFonts w:hint="eastAsia" w:ascii="宋体" w:hAnsi="宋体"/>
          <w:sz w:val="24"/>
          <w:highlight w:val="none"/>
        </w:rPr>
        <w:t>乙方：</w:t>
      </w:r>
      <w:r>
        <w:rPr>
          <w:rFonts w:hint="eastAsia" w:ascii="宋体" w:hAnsi="宋体" w:eastAsia="宋体"/>
          <w:sz w:val="24"/>
          <w:highlight w:val="none"/>
          <w:u w:val="single"/>
          <w:lang w:val="en-US" w:eastAsia="zh-CN"/>
        </w:rPr>
        <w:t xml:space="preserve">            </w:t>
      </w:r>
    </w:p>
    <w:p w14:paraId="01BF0EA3">
      <w:pPr>
        <w:snapToGrid w:val="0"/>
        <w:spacing w:line="480" w:lineRule="exact"/>
        <w:rPr>
          <w:rFonts w:ascii="宋体" w:hAnsi="宋体"/>
          <w:sz w:val="24"/>
          <w:highlight w:val="none"/>
        </w:rPr>
      </w:pPr>
    </w:p>
    <w:p w14:paraId="1EB1B0A4">
      <w:pPr>
        <w:snapToGrid w:val="0"/>
        <w:spacing w:line="480" w:lineRule="exact"/>
        <w:rPr>
          <w:rFonts w:ascii="宋体" w:hAnsi="宋体"/>
          <w:sz w:val="24"/>
          <w:highlight w:val="none"/>
        </w:rPr>
      </w:pPr>
      <w:r>
        <w:rPr>
          <w:rFonts w:hint="eastAsia" w:ascii="宋体" w:hAnsi="宋体"/>
          <w:sz w:val="24"/>
          <w:highlight w:val="none"/>
        </w:rPr>
        <w:t>第一条：定义</w:t>
      </w:r>
    </w:p>
    <w:p w14:paraId="1FD802B8">
      <w:pPr>
        <w:snapToGrid w:val="0"/>
        <w:spacing w:line="480" w:lineRule="exact"/>
        <w:ind w:firstLine="540"/>
        <w:rPr>
          <w:rFonts w:ascii="宋体" w:hAnsi="宋体"/>
          <w:sz w:val="24"/>
          <w:highlight w:val="none"/>
        </w:rPr>
      </w:pPr>
      <w:r>
        <w:rPr>
          <w:rFonts w:hint="eastAsia" w:ascii="宋体" w:hAnsi="宋体"/>
          <w:sz w:val="24"/>
          <w:highlight w:val="none"/>
        </w:rPr>
        <w:t>本协议所指的保密信息是指：</w:t>
      </w:r>
    </w:p>
    <w:p w14:paraId="7BA77189">
      <w:pPr>
        <w:snapToGrid w:val="0"/>
        <w:spacing w:line="480" w:lineRule="exact"/>
        <w:ind w:firstLine="540"/>
        <w:rPr>
          <w:rFonts w:ascii="宋体" w:hAnsi="宋体"/>
          <w:sz w:val="24"/>
          <w:highlight w:val="none"/>
        </w:rPr>
      </w:pPr>
      <w:r>
        <w:rPr>
          <w:rFonts w:hint="eastAsia" w:ascii="宋体" w:hAnsi="宋体"/>
          <w:sz w:val="24"/>
          <w:highlight w:val="none"/>
        </w:rPr>
        <w:t>技术信息：包括涉及甲方信息化建设中的技术信息，包括软件技术、数据、管理文件等；</w:t>
      </w:r>
    </w:p>
    <w:p w14:paraId="6C84E3C6">
      <w:pPr>
        <w:snapToGrid w:val="0"/>
        <w:spacing w:line="480" w:lineRule="exact"/>
        <w:ind w:firstLine="540"/>
        <w:rPr>
          <w:rFonts w:ascii="宋体" w:hAnsi="宋体"/>
          <w:sz w:val="24"/>
          <w:highlight w:val="none"/>
        </w:rPr>
      </w:pPr>
      <w:r>
        <w:rPr>
          <w:rFonts w:hint="eastAsia" w:ascii="宋体" w:hAnsi="宋体"/>
          <w:sz w:val="24"/>
          <w:highlight w:val="none"/>
        </w:rPr>
        <w:t>人事信息：包括涉及甲方的人事档案、薪酬、及考核等人力资源管理信息；</w:t>
      </w:r>
    </w:p>
    <w:p w14:paraId="1A6D4B77">
      <w:pPr>
        <w:tabs>
          <w:tab w:val="left" w:pos="1078"/>
        </w:tabs>
        <w:snapToGrid w:val="0"/>
        <w:spacing w:line="480" w:lineRule="exact"/>
        <w:ind w:firstLine="540"/>
        <w:rPr>
          <w:rFonts w:ascii="宋体" w:hAnsi="宋体"/>
          <w:sz w:val="24"/>
          <w:highlight w:val="none"/>
        </w:rPr>
      </w:pPr>
      <w:r>
        <w:rPr>
          <w:rFonts w:hint="eastAsia" w:ascii="宋体" w:hAnsi="宋体"/>
          <w:sz w:val="24"/>
          <w:highlight w:val="none"/>
        </w:rPr>
        <w:t>医院运行信息：包括涉及甲方业务运行的各种信息，医院经营方向、经营决策、定价政策、医院药品和耗材统计信息以及内部掌握的合同、协议、项目方案等；</w:t>
      </w:r>
    </w:p>
    <w:p w14:paraId="0E20DB88">
      <w:pPr>
        <w:tabs>
          <w:tab w:val="left" w:pos="1078"/>
        </w:tabs>
        <w:snapToGrid w:val="0"/>
        <w:spacing w:line="480" w:lineRule="exact"/>
        <w:ind w:firstLine="540"/>
        <w:rPr>
          <w:rFonts w:ascii="宋体" w:hAnsi="宋体"/>
          <w:sz w:val="24"/>
          <w:highlight w:val="none"/>
        </w:rPr>
      </w:pPr>
      <w:r>
        <w:rPr>
          <w:rFonts w:hint="eastAsia" w:ascii="宋体" w:hAnsi="宋体"/>
          <w:sz w:val="24"/>
          <w:highlight w:val="none"/>
        </w:rPr>
        <w:t>财务信息：包括涉及甲方的各项财务报表、成本及预算报告、员工工资等；</w:t>
      </w:r>
    </w:p>
    <w:p w14:paraId="7DBCA63F">
      <w:pPr>
        <w:tabs>
          <w:tab w:val="left" w:pos="1078"/>
        </w:tabs>
        <w:snapToGrid w:val="0"/>
        <w:spacing w:line="480" w:lineRule="exact"/>
        <w:ind w:firstLine="540"/>
        <w:rPr>
          <w:rFonts w:ascii="宋体" w:hAnsi="宋体"/>
          <w:sz w:val="24"/>
          <w:highlight w:val="none"/>
        </w:rPr>
      </w:pPr>
      <w:r>
        <w:rPr>
          <w:rFonts w:hint="eastAsia" w:ascii="宋体" w:hAnsi="宋体"/>
          <w:sz w:val="24"/>
          <w:highlight w:val="none"/>
        </w:rPr>
        <w:t>患者信息：包括涉及甲方门诊、住院患者的相关诊疗信息，如患者基本信息、诊疗计划、病历信息、费用信息、处方等；</w:t>
      </w:r>
    </w:p>
    <w:p w14:paraId="07604D9C">
      <w:pPr>
        <w:tabs>
          <w:tab w:val="left" w:pos="1078"/>
        </w:tabs>
        <w:snapToGrid w:val="0"/>
        <w:spacing w:line="480" w:lineRule="exact"/>
        <w:ind w:firstLine="540"/>
        <w:rPr>
          <w:rFonts w:ascii="宋体" w:hAnsi="宋体"/>
          <w:sz w:val="24"/>
          <w:highlight w:val="none"/>
        </w:rPr>
      </w:pPr>
      <w:r>
        <w:rPr>
          <w:rFonts w:hint="eastAsia" w:ascii="宋体" w:hAnsi="宋体"/>
          <w:sz w:val="24"/>
          <w:highlight w:val="none"/>
        </w:rPr>
        <w:t>医院依照法律、法规或相关协议规定，对外承担保密义务的其他事项。</w:t>
      </w:r>
    </w:p>
    <w:p w14:paraId="1214B778">
      <w:pPr>
        <w:tabs>
          <w:tab w:val="left" w:pos="1078"/>
        </w:tabs>
        <w:snapToGrid w:val="0"/>
        <w:spacing w:line="480" w:lineRule="exact"/>
        <w:ind w:firstLine="540"/>
        <w:rPr>
          <w:rFonts w:ascii="宋体" w:hAnsi="宋体"/>
          <w:sz w:val="24"/>
          <w:highlight w:val="none"/>
        </w:rPr>
      </w:pPr>
      <w:r>
        <w:rPr>
          <w:rFonts w:hint="eastAsia" w:ascii="宋体" w:hAnsi="宋体"/>
          <w:sz w:val="24"/>
          <w:highlight w:val="none"/>
        </w:rPr>
        <w:t>医院信息系统、数据库等个人</w:t>
      </w:r>
      <w:r>
        <w:rPr>
          <w:rFonts w:hint="eastAsia" w:ascii="宋体" w:hAnsi="宋体" w:eastAsia="宋体"/>
          <w:sz w:val="24"/>
          <w:highlight w:val="none"/>
          <w:lang w:eastAsia="zh-CN"/>
        </w:rPr>
        <w:t>的账号</w:t>
      </w:r>
      <w:r>
        <w:rPr>
          <w:rFonts w:hint="eastAsia" w:ascii="宋体" w:hAnsi="宋体"/>
          <w:sz w:val="24"/>
          <w:highlight w:val="none"/>
        </w:rPr>
        <w:t>、密码、口令的保密。</w:t>
      </w:r>
    </w:p>
    <w:p w14:paraId="409D6B75">
      <w:pPr>
        <w:snapToGrid w:val="0"/>
        <w:spacing w:line="480" w:lineRule="exact"/>
        <w:rPr>
          <w:rFonts w:ascii="宋体" w:hAnsi="宋体"/>
          <w:sz w:val="24"/>
          <w:highlight w:val="none"/>
        </w:rPr>
      </w:pPr>
    </w:p>
    <w:p w14:paraId="5BE9C2D9">
      <w:pPr>
        <w:snapToGrid w:val="0"/>
        <w:spacing w:line="480" w:lineRule="exact"/>
        <w:rPr>
          <w:rFonts w:ascii="宋体" w:hAnsi="宋体"/>
          <w:sz w:val="24"/>
          <w:highlight w:val="none"/>
        </w:rPr>
      </w:pPr>
      <w:r>
        <w:rPr>
          <w:rFonts w:hint="eastAsia" w:ascii="宋体" w:hAnsi="宋体"/>
          <w:sz w:val="24"/>
          <w:highlight w:val="none"/>
        </w:rPr>
        <w:t>第二条：保密义务</w:t>
      </w:r>
    </w:p>
    <w:p w14:paraId="55426F53">
      <w:pPr>
        <w:snapToGrid w:val="0"/>
        <w:spacing w:line="480" w:lineRule="exact"/>
        <w:ind w:firstLine="540"/>
        <w:rPr>
          <w:rFonts w:ascii="宋体" w:hAnsi="宋体"/>
          <w:sz w:val="24"/>
          <w:highlight w:val="none"/>
        </w:rPr>
      </w:pPr>
      <w:r>
        <w:rPr>
          <w:rFonts w:hint="eastAsia" w:ascii="宋体" w:hAnsi="宋体"/>
          <w:sz w:val="24"/>
          <w:highlight w:val="none"/>
        </w:rPr>
        <w:t>根据第一条定义的保密信息，乙方承担以下保密义务：</w:t>
      </w:r>
    </w:p>
    <w:p w14:paraId="1CCD85E0">
      <w:pPr>
        <w:tabs>
          <w:tab w:val="left" w:pos="1281"/>
        </w:tabs>
        <w:snapToGrid w:val="0"/>
        <w:spacing w:line="480" w:lineRule="exact"/>
        <w:ind w:firstLine="540"/>
        <w:rPr>
          <w:rFonts w:ascii="宋体" w:hAnsi="宋体"/>
          <w:sz w:val="24"/>
          <w:highlight w:val="none"/>
        </w:rPr>
      </w:pPr>
      <w:r>
        <w:rPr>
          <w:rFonts w:hint="eastAsia" w:ascii="宋体" w:hAnsi="宋体"/>
          <w:sz w:val="24"/>
          <w:highlight w:val="none"/>
        </w:rPr>
        <w:t>乙方保证从甲方获取的保密信息仅用于日常工作使用。</w:t>
      </w:r>
    </w:p>
    <w:p w14:paraId="7B443DD5">
      <w:pPr>
        <w:tabs>
          <w:tab w:val="left" w:pos="1281"/>
        </w:tabs>
        <w:snapToGrid w:val="0"/>
        <w:spacing w:line="480" w:lineRule="exact"/>
        <w:ind w:firstLine="540"/>
        <w:rPr>
          <w:rFonts w:ascii="宋体" w:hAnsi="宋体"/>
          <w:sz w:val="24"/>
          <w:highlight w:val="none"/>
        </w:rPr>
      </w:pPr>
      <w:r>
        <w:rPr>
          <w:rFonts w:hint="eastAsia" w:ascii="宋体" w:hAnsi="宋体"/>
          <w:sz w:val="24"/>
          <w:highlight w:val="none"/>
        </w:rPr>
        <w:t>乙方保证对甲方提供的保密信息予以妥善保存，并至少采取适用于对自己的保密信息同样的保护措施和审慎程度进行保密。</w:t>
      </w:r>
    </w:p>
    <w:p w14:paraId="19B70176">
      <w:pPr>
        <w:tabs>
          <w:tab w:val="left" w:pos="1281"/>
        </w:tabs>
        <w:snapToGrid w:val="0"/>
        <w:spacing w:line="480" w:lineRule="exact"/>
        <w:ind w:firstLine="540"/>
        <w:rPr>
          <w:rFonts w:ascii="宋体" w:hAnsi="宋体"/>
          <w:sz w:val="24"/>
          <w:highlight w:val="none"/>
        </w:rPr>
      </w:pPr>
      <w:r>
        <w:rPr>
          <w:rFonts w:hint="eastAsia" w:ascii="宋体" w:hAnsi="宋体"/>
          <w:sz w:val="24"/>
          <w:highlight w:val="none"/>
        </w:rPr>
        <w:t>乙方不得刺探与本身业务无关的甲方保密信息。</w:t>
      </w:r>
    </w:p>
    <w:p w14:paraId="24552180">
      <w:pPr>
        <w:tabs>
          <w:tab w:val="left" w:pos="1281"/>
        </w:tabs>
        <w:snapToGrid w:val="0"/>
        <w:spacing w:line="480" w:lineRule="exact"/>
        <w:ind w:firstLine="540"/>
        <w:rPr>
          <w:rFonts w:ascii="宋体" w:hAnsi="宋体"/>
          <w:sz w:val="24"/>
          <w:highlight w:val="none"/>
        </w:rPr>
      </w:pPr>
      <w:r>
        <w:rPr>
          <w:rFonts w:hint="eastAsia" w:ascii="宋体" w:hAnsi="宋体"/>
          <w:sz w:val="24"/>
          <w:highlight w:val="none"/>
        </w:rPr>
        <w:t>不得向任何未经甲方授权的第三方提供甲方的保密信息。</w:t>
      </w:r>
    </w:p>
    <w:p w14:paraId="6272B5B1">
      <w:pPr>
        <w:tabs>
          <w:tab w:val="left" w:pos="1281"/>
        </w:tabs>
        <w:snapToGrid w:val="0"/>
        <w:spacing w:line="480" w:lineRule="exact"/>
        <w:ind w:firstLine="540"/>
        <w:rPr>
          <w:rFonts w:ascii="宋体" w:hAnsi="宋体"/>
          <w:sz w:val="24"/>
          <w:highlight w:val="none"/>
        </w:rPr>
      </w:pPr>
      <w:r>
        <w:rPr>
          <w:rFonts w:hint="eastAsia" w:ascii="宋体" w:hAnsi="宋体"/>
          <w:sz w:val="24"/>
          <w:highlight w:val="none"/>
        </w:rPr>
        <w:t>不得允许（出借、</w:t>
      </w:r>
      <w:r>
        <w:rPr>
          <w:rFonts w:hint="eastAsia" w:ascii="宋体" w:hAnsi="宋体" w:eastAsia="宋体"/>
          <w:sz w:val="24"/>
          <w:highlight w:val="none"/>
          <w:lang w:eastAsia="zh-CN"/>
        </w:rPr>
        <w:t>赠予</w:t>
      </w:r>
      <w:r>
        <w:rPr>
          <w:rFonts w:hint="eastAsia" w:ascii="宋体" w:hAnsi="宋体"/>
          <w:sz w:val="24"/>
          <w:highlight w:val="none"/>
        </w:rPr>
        <w:t>、出租、转让等处理甲方保密信息的行为皆属于“允许”）或协助未经甲方授权的第三方使用甲方的保密信息。</w:t>
      </w:r>
    </w:p>
    <w:p w14:paraId="2F8E062C">
      <w:pPr>
        <w:tabs>
          <w:tab w:val="left" w:pos="1281"/>
        </w:tabs>
        <w:snapToGrid w:val="0"/>
        <w:spacing w:line="480" w:lineRule="exact"/>
        <w:ind w:firstLine="540"/>
        <w:rPr>
          <w:rFonts w:ascii="宋体" w:hAnsi="宋体"/>
          <w:sz w:val="24"/>
          <w:highlight w:val="none"/>
        </w:rPr>
      </w:pPr>
      <w:r>
        <w:rPr>
          <w:rFonts w:hint="eastAsia" w:ascii="宋体" w:hAnsi="宋体"/>
          <w:sz w:val="24"/>
          <w:highlight w:val="none"/>
        </w:rPr>
        <w:t>乙方向甲方提供从甲方获取的保密信息的保密密级及知悉保密信息的范围，在乙方上述人员知悉该保密信息前，应向其提示保密信息的保密性和应承担的义务，并保证上述人员以书面形式同意接受本协议条款的约束，确保上述人员承担保密责任的程度不低于本协议规定的程度。</w:t>
      </w:r>
    </w:p>
    <w:p w14:paraId="46284B03">
      <w:pPr>
        <w:tabs>
          <w:tab w:val="left" w:pos="1281"/>
        </w:tabs>
        <w:snapToGrid w:val="0"/>
        <w:spacing w:line="480" w:lineRule="exact"/>
        <w:ind w:firstLine="540"/>
        <w:rPr>
          <w:rFonts w:ascii="宋体" w:hAnsi="宋体"/>
          <w:sz w:val="24"/>
          <w:highlight w:val="none"/>
        </w:rPr>
      </w:pPr>
      <w:r>
        <w:rPr>
          <w:rFonts w:hint="eastAsia" w:ascii="宋体" w:hAnsi="宋体"/>
          <w:sz w:val="24"/>
          <w:highlight w:val="none"/>
        </w:rPr>
        <w:t>如果乙方被要求向政府部门、法院或其他有权部门提供保密信息，乙方在可能的情况下，应立即向甲方予以通报，以便甲方能以保密为抗辩理由或取得保护措施，并且应用尽适用法的所有程序来保护该保密信息。</w:t>
      </w:r>
    </w:p>
    <w:p w14:paraId="76C7C4FA">
      <w:pPr>
        <w:snapToGrid w:val="0"/>
        <w:spacing w:line="480" w:lineRule="exact"/>
        <w:rPr>
          <w:rFonts w:ascii="宋体" w:hAnsi="宋体"/>
          <w:sz w:val="24"/>
          <w:highlight w:val="none"/>
        </w:rPr>
      </w:pPr>
    </w:p>
    <w:p w14:paraId="348A9295">
      <w:pPr>
        <w:snapToGrid w:val="0"/>
        <w:spacing w:line="480" w:lineRule="exact"/>
        <w:rPr>
          <w:rFonts w:ascii="宋体" w:hAnsi="宋体"/>
          <w:sz w:val="24"/>
          <w:highlight w:val="none"/>
        </w:rPr>
      </w:pPr>
      <w:r>
        <w:rPr>
          <w:rFonts w:hint="eastAsia" w:ascii="宋体" w:hAnsi="宋体"/>
          <w:sz w:val="24"/>
          <w:highlight w:val="none"/>
        </w:rPr>
        <w:t>第三条: 非权利授予</w:t>
      </w:r>
    </w:p>
    <w:p w14:paraId="78770DDD">
      <w:pPr>
        <w:snapToGrid w:val="0"/>
        <w:spacing w:line="480" w:lineRule="exact"/>
        <w:ind w:firstLine="540"/>
        <w:rPr>
          <w:rFonts w:ascii="宋体" w:hAnsi="宋体"/>
          <w:sz w:val="24"/>
          <w:highlight w:val="none"/>
        </w:rPr>
      </w:pPr>
      <w:r>
        <w:rPr>
          <w:rFonts w:hint="eastAsia" w:ascii="宋体" w:hAnsi="宋体"/>
          <w:sz w:val="24"/>
          <w:highlight w:val="none"/>
        </w:rPr>
        <w:t>任何保密信息的获得并不意味着授予乙方任何有关甲方所有的专利权或版权，也不意味着授予乙方有关甲方保密信息的任何权利，除了乙方有权为履行其工作职责下的义务合理使用甲方提供的保密信息。</w:t>
      </w:r>
    </w:p>
    <w:p w14:paraId="49F6ADE2">
      <w:pPr>
        <w:snapToGrid w:val="0"/>
        <w:spacing w:line="480" w:lineRule="exact"/>
        <w:ind w:firstLine="540"/>
        <w:rPr>
          <w:rFonts w:ascii="宋体" w:hAnsi="宋体"/>
          <w:sz w:val="24"/>
          <w:highlight w:val="none"/>
        </w:rPr>
      </w:pPr>
    </w:p>
    <w:p w14:paraId="291B3D3B">
      <w:pPr>
        <w:snapToGrid w:val="0"/>
        <w:spacing w:line="480" w:lineRule="exact"/>
        <w:rPr>
          <w:rFonts w:ascii="宋体" w:hAnsi="宋体"/>
          <w:sz w:val="24"/>
          <w:highlight w:val="none"/>
        </w:rPr>
      </w:pPr>
      <w:r>
        <w:rPr>
          <w:rFonts w:hint="eastAsia" w:ascii="宋体" w:hAnsi="宋体"/>
          <w:sz w:val="24"/>
          <w:highlight w:val="none"/>
        </w:rPr>
        <w:t>第四条: 违约和赔偿</w:t>
      </w:r>
    </w:p>
    <w:p w14:paraId="592B8C91">
      <w:pPr>
        <w:snapToGrid w:val="0"/>
        <w:spacing w:line="480" w:lineRule="exact"/>
        <w:ind w:firstLine="540"/>
        <w:rPr>
          <w:rFonts w:ascii="宋体" w:hAnsi="宋体"/>
          <w:sz w:val="24"/>
          <w:highlight w:val="none"/>
        </w:rPr>
      </w:pPr>
      <w:r>
        <w:rPr>
          <w:rFonts w:hint="eastAsia" w:ascii="宋体" w:hAnsi="宋体"/>
          <w:sz w:val="24"/>
          <w:highlight w:val="none"/>
        </w:rPr>
        <w:t>1、 乙方有违反本协议的情形，无论故意与过失，应当立即停止侵害，并在第一时间采取一切必要措施防止保密信息的扩散，尽最大可能消除影响，并及时通知甲方。</w:t>
      </w:r>
    </w:p>
    <w:p w14:paraId="1252D638">
      <w:pPr>
        <w:snapToGrid w:val="0"/>
        <w:spacing w:line="480" w:lineRule="exact"/>
        <w:ind w:firstLine="540"/>
        <w:rPr>
          <w:rFonts w:ascii="宋体" w:hAnsi="宋体"/>
          <w:sz w:val="24"/>
          <w:highlight w:val="none"/>
        </w:rPr>
      </w:pPr>
      <w:r>
        <w:rPr>
          <w:rFonts w:hint="eastAsia" w:ascii="宋体" w:hAnsi="宋体"/>
          <w:sz w:val="24"/>
          <w:highlight w:val="none"/>
        </w:rPr>
        <w:t>2、乙方违反本协议的规定，应承担由此产生的全部责任，包括法律责任、甲方名誉、经济损失等。</w:t>
      </w:r>
    </w:p>
    <w:p w14:paraId="59567069">
      <w:pPr>
        <w:snapToGrid w:val="0"/>
        <w:spacing w:line="480" w:lineRule="exact"/>
        <w:rPr>
          <w:rFonts w:ascii="宋体" w:hAnsi="宋体"/>
          <w:sz w:val="24"/>
          <w:highlight w:val="none"/>
        </w:rPr>
      </w:pPr>
    </w:p>
    <w:p w14:paraId="2C5D2CA2">
      <w:pPr>
        <w:snapToGrid w:val="0"/>
        <w:spacing w:line="480" w:lineRule="exact"/>
        <w:rPr>
          <w:rFonts w:ascii="宋体" w:hAnsi="宋体"/>
          <w:sz w:val="24"/>
          <w:highlight w:val="none"/>
        </w:rPr>
      </w:pPr>
      <w:r>
        <w:rPr>
          <w:rFonts w:hint="eastAsia" w:ascii="宋体" w:hAnsi="宋体"/>
          <w:sz w:val="24"/>
          <w:highlight w:val="none"/>
        </w:rPr>
        <w:t>第五条: 保密信息的归还</w:t>
      </w:r>
    </w:p>
    <w:p w14:paraId="446C3C65">
      <w:pPr>
        <w:snapToGrid w:val="0"/>
        <w:spacing w:line="480" w:lineRule="exact"/>
        <w:ind w:firstLine="540"/>
        <w:rPr>
          <w:rFonts w:ascii="宋体" w:hAnsi="宋体"/>
          <w:sz w:val="24"/>
          <w:highlight w:val="none"/>
        </w:rPr>
      </w:pPr>
      <w:r>
        <w:rPr>
          <w:rFonts w:hint="eastAsia" w:ascii="宋体" w:hAnsi="宋体"/>
          <w:sz w:val="24"/>
          <w:highlight w:val="none"/>
        </w:rPr>
        <w:t>在甲乙双方合作业务终止后，协议所涉及的由甲方送交给乙方的一切保密信息，无论是书面的、电子的还是其他具体形式，以及乙方所作的复印件均需立即交还甲方，或者予以销毁，且有关销毁凭证应同时送交给甲方。</w:t>
      </w:r>
    </w:p>
    <w:p w14:paraId="032E4C27">
      <w:pPr>
        <w:snapToGrid w:val="0"/>
        <w:spacing w:line="480" w:lineRule="exact"/>
        <w:rPr>
          <w:rFonts w:ascii="宋体" w:hAnsi="宋体"/>
          <w:sz w:val="24"/>
          <w:highlight w:val="none"/>
        </w:rPr>
      </w:pPr>
    </w:p>
    <w:p w14:paraId="3582EF5E">
      <w:pPr>
        <w:pStyle w:val="28"/>
        <w:rPr>
          <w:rFonts w:hint="eastAsia" w:hAnsi="宋体"/>
          <w:b/>
          <w:color w:val="auto"/>
          <w:sz w:val="28"/>
          <w:szCs w:val="28"/>
          <w:highlight w:val="none"/>
        </w:rPr>
      </w:pPr>
      <w:r>
        <w:rPr>
          <w:rFonts w:hint="eastAsia" w:ascii="宋体" w:hAnsi="宋体"/>
          <w:sz w:val="24"/>
          <w:highlight w:val="none"/>
        </w:rPr>
        <w:t>第六条：本协议为《</w:t>
      </w:r>
      <w:r>
        <w:rPr>
          <w:rFonts w:hint="eastAsia" w:ascii="宋体" w:hAnsi="宋体"/>
          <w:sz w:val="24"/>
          <w:highlight w:val="none"/>
          <w:u w:val="single"/>
          <w:lang w:eastAsia="zh-CN"/>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rPr>
        <w:t>》</w:t>
      </w:r>
      <w:r>
        <w:rPr>
          <w:rFonts w:hint="eastAsia" w:ascii="宋体" w:hAnsi="宋体" w:eastAsia="宋体"/>
          <w:sz w:val="24"/>
          <w:highlight w:val="none"/>
          <w:lang w:val="en-US" w:eastAsia="zh-CN"/>
        </w:rPr>
        <w:t>合同</w:t>
      </w:r>
      <w:r>
        <w:rPr>
          <w:rFonts w:hint="eastAsia" w:ascii="宋体" w:hAnsi="宋体"/>
          <w:sz w:val="24"/>
          <w:highlight w:val="none"/>
        </w:rPr>
        <w:t>附件，每份合同均附有本协议。</w:t>
      </w:r>
    </w:p>
    <w:p w14:paraId="2027DFE1">
      <w:pPr>
        <w:pStyle w:val="28"/>
        <w:rPr>
          <w:rFonts w:hint="eastAsia" w:hAnsi="宋体"/>
          <w:b/>
          <w:color w:val="auto"/>
          <w:sz w:val="28"/>
          <w:szCs w:val="28"/>
          <w:highlight w:val="none"/>
        </w:rPr>
      </w:pPr>
    </w:p>
    <w:p w14:paraId="682EBAEF">
      <w:pPr>
        <w:spacing w:line="400" w:lineRule="exact"/>
        <w:jc w:val="both"/>
        <w:rPr>
          <w:rFonts w:hint="eastAsia" w:ascii="宋体"/>
          <w:color w:val="auto"/>
          <w:sz w:val="32"/>
          <w:szCs w:val="32"/>
        </w:rPr>
      </w:pPr>
    </w:p>
    <w:p w14:paraId="5E6F97F0">
      <w:pPr>
        <w:spacing w:line="400" w:lineRule="exact"/>
        <w:jc w:val="both"/>
        <w:rPr>
          <w:rFonts w:hint="eastAsia" w:ascii="宋体"/>
          <w:color w:val="auto"/>
          <w:sz w:val="32"/>
          <w:szCs w:val="32"/>
        </w:rPr>
      </w:pPr>
    </w:p>
    <w:bookmarkEnd w:id="109"/>
    <w:p w14:paraId="2849F10D">
      <w:pPr>
        <w:snapToGrid w:val="0"/>
        <w:rPr>
          <w:rFonts w:hint="eastAsia" w:ascii="宋体" w:hAnsi="宋体" w:cs="宋体"/>
          <w:b/>
          <w:color w:val="auto"/>
          <w:sz w:val="32"/>
          <w:szCs w:val="32"/>
        </w:rPr>
      </w:pPr>
    </w:p>
    <w:p w14:paraId="68051633">
      <w:pPr>
        <w:snapToGrid w:val="0"/>
        <w:rPr>
          <w:rFonts w:hint="eastAsia" w:ascii="宋体" w:hAnsi="宋体" w:cs="宋体"/>
          <w:b/>
          <w:color w:val="auto"/>
          <w:sz w:val="32"/>
          <w:szCs w:val="32"/>
        </w:rPr>
      </w:pPr>
    </w:p>
    <w:p w14:paraId="2DF70CF7">
      <w:pPr>
        <w:snapToGrid w:val="0"/>
        <w:rPr>
          <w:rFonts w:hint="eastAsia" w:ascii="宋体" w:hAnsi="宋体" w:cs="宋体"/>
          <w:b/>
          <w:color w:val="auto"/>
          <w:sz w:val="32"/>
          <w:szCs w:val="32"/>
        </w:rPr>
      </w:pPr>
    </w:p>
    <w:p w14:paraId="50AD7F6E">
      <w:pPr>
        <w:snapToGrid w:val="0"/>
        <w:rPr>
          <w:rFonts w:hint="eastAsia" w:ascii="宋体" w:hAnsi="宋体" w:cs="宋体"/>
          <w:b/>
          <w:color w:val="auto"/>
          <w:sz w:val="32"/>
          <w:szCs w:val="32"/>
        </w:rPr>
      </w:pPr>
    </w:p>
    <w:p w14:paraId="272E7A32">
      <w:pPr>
        <w:snapToGrid w:val="0"/>
        <w:rPr>
          <w:rFonts w:hint="eastAsia" w:ascii="宋体" w:hAnsi="宋体" w:cs="宋体"/>
          <w:b/>
          <w:color w:val="auto"/>
          <w:sz w:val="32"/>
          <w:szCs w:val="32"/>
        </w:rPr>
      </w:pPr>
    </w:p>
    <w:p w14:paraId="438AC5CF">
      <w:pPr>
        <w:snapToGrid w:val="0"/>
        <w:rPr>
          <w:rFonts w:hint="eastAsia" w:ascii="宋体" w:hAnsi="宋体" w:cs="宋体"/>
          <w:b/>
          <w:color w:val="auto"/>
          <w:sz w:val="32"/>
          <w:szCs w:val="32"/>
        </w:rPr>
      </w:pPr>
    </w:p>
    <w:p w14:paraId="6FDD771D">
      <w:pPr>
        <w:snapToGrid w:val="0"/>
        <w:rPr>
          <w:rFonts w:hint="eastAsia" w:ascii="宋体" w:hAnsi="宋体" w:cs="宋体"/>
          <w:b/>
          <w:color w:val="auto"/>
          <w:sz w:val="32"/>
          <w:szCs w:val="32"/>
        </w:rPr>
      </w:pPr>
    </w:p>
    <w:p w14:paraId="6BCE768E">
      <w:pPr>
        <w:snapToGrid w:val="0"/>
        <w:rPr>
          <w:rFonts w:hint="eastAsia" w:ascii="宋体" w:hAnsi="宋体" w:cs="宋体"/>
          <w:b/>
          <w:color w:val="auto"/>
          <w:sz w:val="32"/>
          <w:szCs w:val="32"/>
        </w:rPr>
      </w:pPr>
    </w:p>
    <w:p w14:paraId="7E791D9B">
      <w:pPr>
        <w:snapToGrid w:val="0"/>
        <w:rPr>
          <w:rFonts w:hint="eastAsia" w:ascii="宋体" w:hAnsi="宋体" w:cs="宋体"/>
          <w:b/>
          <w:color w:val="auto"/>
          <w:sz w:val="32"/>
          <w:szCs w:val="32"/>
        </w:rPr>
      </w:pPr>
    </w:p>
    <w:p w14:paraId="35085DD6">
      <w:pPr>
        <w:snapToGrid w:val="0"/>
        <w:rPr>
          <w:rFonts w:hint="eastAsia" w:ascii="宋体" w:hAnsi="宋体" w:cs="宋体"/>
          <w:b/>
          <w:color w:val="auto"/>
          <w:sz w:val="32"/>
          <w:szCs w:val="32"/>
        </w:rPr>
      </w:pPr>
    </w:p>
    <w:p w14:paraId="41A4FFCD">
      <w:pPr>
        <w:snapToGrid w:val="0"/>
        <w:rPr>
          <w:rFonts w:hint="eastAsia" w:ascii="宋体" w:hAnsi="宋体" w:cs="宋体"/>
          <w:b/>
          <w:color w:val="auto"/>
          <w:sz w:val="32"/>
          <w:szCs w:val="32"/>
        </w:rPr>
      </w:pPr>
    </w:p>
    <w:p w14:paraId="7B35F13F">
      <w:pPr>
        <w:snapToGrid w:val="0"/>
        <w:rPr>
          <w:rFonts w:hint="eastAsia" w:ascii="宋体" w:hAnsi="宋体" w:cs="宋体"/>
          <w:b/>
          <w:color w:val="auto"/>
          <w:sz w:val="32"/>
          <w:szCs w:val="32"/>
        </w:rPr>
      </w:pPr>
    </w:p>
    <w:p w14:paraId="045FF57B">
      <w:pPr>
        <w:snapToGrid w:val="0"/>
        <w:rPr>
          <w:rFonts w:hint="eastAsia" w:ascii="宋体" w:hAnsi="宋体" w:cs="宋体"/>
          <w:b/>
          <w:color w:val="auto"/>
          <w:sz w:val="32"/>
          <w:szCs w:val="32"/>
        </w:rPr>
      </w:pPr>
    </w:p>
    <w:p w14:paraId="31A4462E">
      <w:pPr>
        <w:snapToGrid w:val="0"/>
        <w:rPr>
          <w:rFonts w:hint="eastAsia" w:ascii="宋体" w:hAnsi="宋体" w:cs="宋体"/>
          <w:b/>
          <w:color w:val="auto"/>
          <w:sz w:val="32"/>
          <w:szCs w:val="32"/>
        </w:rPr>
      </w:pPr>
    </w:p>
    <w:p w14:paraId="72059591">
      <w:pPr>
        <w:snapToGrid w:val="0"/>
        <w:rPr>
          <w:rFonts w:hint="eastAsia" w:ascii="宋体" w:hAnsi="宋体" w:cs="宋体"/>
          <w:bCs/>
          <w:color w:val="auto"/>
          <w:sz w:val="32"/>
          <w:szCs w:val="32"/>
        </w:rPr>
      </w:pPr>
    </w:p>
    <w:p w14:paraId="2939DA71">
      <w:pPr>
        <w:pStyle w:val="3"/>
        <w:keepNext w:val="0"/>
        <w:keepLines w:val="0"/>
        <w:jc w:val="center"/>
        <w:rPr>
          <w:rFonts w:hint="eastAsia" w:ascii="宋体" w:hAnsi="宋体" w:eastAsia="宋体" w:cs="宋体"/>
          <w:color w:val="auto"/>
        </w:rPr>
      </w:pPr>
      <w:bookmarkStart w:id="110" w:name="_Toc19686834"/>
      <w:r>
        <w:rPr>
          <w:rFonts w:hint="eastAsia" w:ascii="宋体" w:hAnsi="宋体" w:eastAsia="宋体" w:cs="宋体"/>
          <w:color w:val="auto"/>
        </w:rPr>
        <w:t>第六章　投标文件格式</w:t>
      </w:r>
      <w:bookmarkEnd w:id="110"/>
    </w:p>
    <w:p w14:paraId="45893275">
      <w:pPr>
        <w:spacing w:line="720" w:lineRule="auto"/>
        <w:jc w:val="center"/>
        <w:rPr>
          <w:rFonts w:hint="eastAsia"/>
          <w:sz w:val="32"/>
          <w:szCs w:val="32"/>
        </w:rPr>
      </w:pPr>
      <w:r>
        <w:rPr>
          <w:rFonts w:hint="eastAsia" w:ascii="宋体" w:hAnsi="宋体" w:cs="宋体"/>
          <w:color w:val="auto"/>
          <w:sz w:val="32"/>
          <w:szCs w:val="20"/>
        </w:rPr>
        <w:br w:type="page"/>
      </w:r>
      <w:r>
        <w:rPr>
          <w:rFonts w:hint="eastAsia"/>
          <w:sz w:val="32"/>
          <w:szCs w:val="32"/>
        </w:rPr>
        <w:t>投标文件格式</w:t>
      </w:r>
    </w:p>
    <w:p w14:paraId="4228A7E8">
      <w:pPr>
        <w:spacing w:line="480" w:lineRule="auto"/>
        <w:jc w:val="center"/>
        <w:rPr>
          <w:rFonts w:hint="eastAsia"/>
          <w:b/>
        </w:rPr>
      </w:pPr>
      <w:r>
        <w:rPr>
          <w:rFonts w:hint="eastAsia"/>
          <w:b/>
        </w:rPr>
        <w:t>一、投标文件封面格式</w:t>
      </w:r>
    </w:p>
    <w:p w14:paraId="39E7255D">
      <w:pPr>
        <w:snapToGrid w:val="0"/>
        <w:spacing w:before="156" w:beforeLines="50" w:after="50" w:line="360" w:lineRule="exact"/>
        <w:rPr>
          <w:rFonts w:hint="eastAsia" w:ascii="仿宋_GB2312" w:eastAsia="仿宋_GB2312"/>
          <w:sz w:val="24"/>
        </w:rPr>
      </w:pPr>
    </w:p>
    <w:p w14:paraId="7544442B">
      <w:pPr>
        <w:snapToGrid w:val="0"/>
        <w:spacing w:before="156" w:beforeLines="50" w:after="50" w:line="360" w:lineRule="exact"/>
        <w:rPr>
          <w:rFonts w:hint="eastAsia" w:ascii="仿宋_GB2312" w:eastAsia="仿宋_GB2312"/>
          <w:bCs/>
          <w:sz w:val="24"/>
        </w:rPr>
      </w:pPr>
      <w:r>
        <w:rPr>
          <w:rFonts w:hint="eastAsia" w:ascii="仿宋_GB2312" w:eastAsia="仿宋_GB2312"/>
          <w:sz w:val="24"/>
        </w:rPr>
        <w:t xml:space="preserve">                                                   </w:t>
      </w:r>
    </w:p>
    <w:p w14:paraId="626E28C5">
      <w:pPr>
        <w:snapToGrid w:val="0"/>
        <w:spacing w:before="156" w:beforeLines="50" w:after="50" w:line="360" w:lineRule="exact"/>
        <w:jc w:val="center"/>
        <w:rPr>
          <w:rFonts w:hint="eastAsia" w:ascii="宋体"/>
          <w:b/>
          <w:bCs/>
          <w:sz w:val="32"/>
          <w:szCs w:val="32"/>
        </w:rPr>
      </w:pPr>
      <w:r>
        <w:rPr>
          <w:rFonts w:hint="eastAsia" w:ascii="宋体"/>
          <w:b/>
          <w:bCs/>
          <w:sz w:val="32"/>
          <w:szCs w:val="32"/>
        </w:rPr>
        <w:t>投标文件</w:t>
      </w:r>
    </w:p>
    <w:p w14:paraId="4EF70CA2">
      <w:pPr>
        <w:snapToGrid w:val="0"/>
        <w:spacing w:before="156" w:beforeLines="50" w:after="50" w:line="360" w:lineRule="exact"/>
        <w:rPr>
          <w:rFonts w:hint="eastAsia" w:ascii="仿宋_GB2312" w:eastAsia="仿宋_GB2312"/>
          <w:bCs/>
          <w:sz w:val="24"/>
        </w:rPr>
      </w:pPr>
    </w:p>
    <w:p w14:paraId="00119222">
      <w:pPr>
        <w:snapToGrid w:val="0"/>
        <w:spacing w:before="156" w:beforeLines="50" w:after="50" w:line="360" w:lineRule="exact"/>
        <w:ind w:firstLine="630" w:firstLineChars="300"/>
        <w:rPr>
          <w:rFonts w:hint="eastAsia" w:ascii="宋体"/>
          <w:bCs/>
          <w:szCs w:val="21"/>
        </w:rPr>
      </w:pPr>
      <w:r>
        <w:rPr>
          <w:rFonts w:hint="eastAsia" w:ascii="宋体"/>
          <w:bCs/>
          <w:szCs w:val="21"/>
        </w:rPr>
        <w:t xml:space="preserve">采购项目名称： </w:t>
      </w:r>
    </w:p>
    <w:p w14:paraId="1DE1BE7C">
      <w:pPr>
        <w:snapToGrid w:val="0"/>
        <w:spacing w:before="156" w:beforeLines="50" w:after="50" w:line="360" w:lineRule="exact"/>
        <w:ind w:firstLine="630" w:firstLineChars="300"/>
        <w:rPr>
          <w:rFonts w:hint="eastAsia" w:ascii="宋体"/>
          <w:bCs/>
          <w:szCs w:val="21"/>
        </w:rPr>
      </w:pPr>
      <w:r>
        <w:rPr>
          <w:rFonts w:hint="eastAsia" w:ascii="宋体"/>
          <w:bCs/>
          <w:szCs w:val="21"/>
        </w:rPr>
        <w:t xml:space="preserve">采购项目编号： </w:t>
      </w:r>
    </w:p>
    <w:p w14:paraId="618ECC27">
      <w:pPr>
        <w:snapToGrid w:val="0"/>
        <w:spacing w:before="156" w:beforeLines="50" w:after="50" w:line="360" w:lineRule="exact"/>
        <w:ind w:firstLine="630" w:firstLineChars="300"/>
        <w:rPr>
          <w:rFonts w:hint="eastAsia" w:ascii="宋体"/>
          <w:bCs/>
          <w:szCs w:val="21"/>
        </w:rPr>
      </w:pPr>
      <w:r>
        <w:rPr>
          <w:rFonts w:hint="eastAsia" w:ascii="宋体"/>
          <w:bCs/>
          <w:szCs w:val="21"/>
        </w:rPr>
        <w:t>所投分标（如有）：</w:t>
      </w:r>
    </w:p>
    <w:p w14:paraId="3329CED5">
      <w:pPr>
        <w:snapToGrid w:val="0"/>
        <w:spacing w:before="156" w:beforeLines="50" w:after="50" w:line="360" w:lineRule="exact"/>
        <w:ind w:firstLine="630" w:firstLineChars="300"/>
        <w:rPr>
          <w:rFonts w:hint="eastAsia" w:ascii="宋体"/>
          <w:bCs/>
          <w:szCs w:val="21"/>
        </w:rPr>
      </w:pPr>
      <w:r>
        <w:rPr>
          <w:rFonts w:hint="eastAsia" w:ascii="宋体"/>
          <w:bCs/>
          <w:szCs w:val="21"/>
        </w:rPr>
        <w:t>投标人名称：（盖章）</w:t>
      </w:r>
    </w:p>
    <w:p w14:paraId="2D60B149">
      <w:pPr>
        <w:snapToGrid w:val="0"/>
        <w:spacing w:before="156" w:beforeLines="50" w:after="50" w:line="360" w:lineRule="exact"/>
        <w:ind w:firstLine="630" w:firstLineChars="300"/>
        <w:rPr>
          <w:rFonts w:hint="eastAsia" w:ascii="宋体"/>
          <w:bCs/>
          <w:szCs w:val="21"/>
        </w:rPr>
      </w:pPr>
      <w:r>
        <w:rPr>
          <w:rFonts w:hint="eastAsia" w:ascii="宋体"/>
          <w:bCs/>
          <w:szCs w:val="21"/>
        </w:rPr>
        <w:t>投标人地址：</w:t>
      </w:r>
    </w:p>
    <w:p w14:paraId="0D731630">
      <w:pPr>
        <w:spacing w:line="360" w:lineRule="exact"/>
        <w:rPr>
          <w:rFonts w:hint="eastAsia"/>
        </w:rPr>
      </w:pPr>
      <w:r>
        <w:rPr>
          <w:rFonts w:hint="eastAsia"/>
        </w:rPr>
        <w:t xml:space="preserve">                                                   年  月  日</w:t>
      </w:r>
    </w:p>
    <w:p w14:paraId="616E9BFF">
      <w:pPr>
        <w:spacing w:line="360" w:lineRule="exact"/>
        <w:rPr>
          <w:rFonts w:hint="eastAsia"/>
        </w:rPr>
      </w:pPr>
    </w:p>
    <w:p w14:paraId="4F834CC7">
      <w:pPr>
        <w:spacing w:line="360" w:lineRule="exact"/>
        <w:rPr>
          <w:rFonts w:hint="eastAsia"/>
        </w:rPr>
      </w:pPr>
      <w:bookmarkStart w:id="111" w:name="_Toc254970698"/>
      <w:bookmarkStart w:id="112" w:name="_Toc254970557"/>
      <w:r>
        <w:rPr>
          <w:rFonts w:hint="eastAsia" w:ascii="宋体" w:hAnsi="宋体"/>
          <w:bCs/>
          <w:szCs w:val="21"/>
        </w:rPr>
        <w:t>[注：</w:t>
      </w:r>
      <w:r>
        <w:rPr>
          <w:rFonts w:hint="eastAsia" w:ascii="宋体" w:hAnsi="宋体"/>
        </w:rPr>
        <w:t>投标文件由资格文件、商务技术文件、报价文件</w:t>
      </w:r>
      <w:r>
        <w:rPr>
          <w:rFonts w:hint="eastAsia" w:ascii="宋体"/>
          <w:b/>
          <w:szCs w:val="21"/>
        </w:rPr>
        <w:t>三部分</w:t>
      </w:r>
      <w:r>
        <w:rPr>
          <w:rFonts w:hint="eastAsia" w:ascii="宋体"/>
          <w:szCs w:val="21"/>
        </w:rPr>
        <w:t>组成</w:t>
      </w:r>
      <w:r>
        <w:rPr>
          <w:rFonts w:hint="eastAsia" w:ascii="宋体" w:hAnsi="宋体"/>
          <w:bCs/>
          <w:szCs w:val="21"/>
        </w:rPr>
        <w:t>]</w:t>
      </w:r>
    </w:p>
    <w:p w14:paraId="210EFF1B">
      <w:pPr>
        <w:spacing w:line="720" w:lineRule="auto"/>
        <w:jc w:val="center"/>
        <w:rPr>
          <w:rFonts w:hint="eastAsia"/>
          <w:b/>
        </w:rPr>
      </w:pPr>
      <w:r>
        <w:rPr>
          <w:b/>
        </w:rPr>
        <w:br w:type="page"/>
      </w:r>
      <w:r>
        <w:rPr>
          <w:rFonts w:hint="eastAsia"/>
          <w:b/>
        </w:rPr>
        <w:t>二、投标文件目录</w:t>
      </w:r>
    </w:p>
    <w:p w14:paraId="5328DA23">
      <w:pPr>
        <w:snapToGrid w:val="0"/>
        <w:spacing w:before="156" w:beforeLines="50" w:line="360" w:lineRule="exact"/>
        <w:ind w:firstLine="413" w:firstLineChars="196"/>
        <w:jc w:val="left"/>
        <w:rPr>
          <w:rFonts w:hint="eastAsia" w:ascii="宋体" w:hAnsi="宋体"/>
          <w:b/>
          <w:szCs w:val="21"/>
        </w:rPr>
      </w:pPr>
      <w:r>
        <w:rPr>
          <w:rFonts w:hint="eastAsia" w:ascii="宋体" w:hAnsi="宋体"/>
          <w:b/>
          <w:szCs w:val="21"/>
        </w:rPr>
        <w:t>1.资格文件：</w:t>
      </w:r>
    </w:p>
    <w:p w14:paraId="21A1F0EB">
      <w:pPr>
        <w:snapToGrid w:val="0"/>
        <w:spacing w:line="360" w:lineRule="exact"/>
        <w:ind w:firstLine="411" w:firstLineChars="196"/>
        <w:jc w:val="left"/>
        <w:rPr>
          <w:rFonts w:hint="eastAsia" w:ascii="宋体" w:hAnsi="宋体"/>
          <w:szCs w:val="21"/>
        </w:rPr>
      </w:pPr>
      <w:r>
        <w:rPr>
          <w:rFonts w:hint="eastAsia" w:ascii="宋体" w:hAnsi="宋体"/>
          <w:szCs w:val="21"/>
        </w:rPr>
        <w:t>（1）有效的主体资格证明文件；</w:t>
      </w:r>
    </w:p>
    <w:p w14:paraId="188964B8">
      <w:pPr>
        <w:spacing w:line="370" w:lineRule="exact"/>
        <w:rPr>
          <w:rFonts w:hint="eastAsia"/>
          <w:b/>
        </w:rPr>
      </w:pPr>
      <w:r>
        <w:rPr>
          <w:rFonts w:hint="eastAsia"/>
          <w:b/>
        </w:rPr>
        <w:t xml:space="preserve">    </w:t>
      </w:r>
      <w:r>
        <w:rPr>
          <w:rFonts w:hint="eastAsia" w:ascii="宋体" w:hAnsi="宋体"/>
        </w:rPr>
        <w:t xml:space="preserve"> 投标人有效的“主体资格证明文件”（如营业执照、事业单位法人证书、执业许可证、自然人身份证等）</w:t>
      </w:r>
      <w:r>
        <w:rPr>
          <w:rFonts w:hint="eastAsia" w:hAnsi="宋体"/>
        </w:rPr>
        <w:t>复印件</w:t>
      </w:r>
      <w:r>
        <w:rPr>
          <w:rFonts w:hint="eastAsia" w:ascii="宋体" w:hAnsi="宋体"/>
        </w:rPr>
        <w:t>；</w:t>
      </w:r>
      <w:r>
        <w:rPr>
          <w:rFonts w:hint="eastAsia" w:ascii="宋体" w:hAnsi="宋体"/>
          <w:b/>
        </w:rPr>
        <w:t>（必须提供）</w:t>
      </w:r>
    </w:p>
    <w:p w14:paraId="612C9012">
      <w:pPr>
        <w:snapToGrid w:val="0"/>
        <w:spacing w:line="360" w:lineRule="exact"/>
        <w:ind w:firstLine="411" w:firstLineChars="196"/>
        <w:jc w:val="left"/>
        <w:rPr>
          <w:rFonts w:ascii="宋体" w:hAnsi="宋体"/>
          <w:szCs w:val="21"/>
        </w:rPr>
      </w:pPr>
      <w:r>
        <w:rPr>
          <w:rFonts w:hint="eastAsia" w:ascii="宋体" w:hAnsi="宋体"/>
          <w:szCs w:val="21"/>
        </w:rPr>
        <w:t>（2）投标截止之日前一年内投标人连续三个月的依法缴纳税费或依法免缴税费的证明；无纳税记录的，应提供由投标人所在地的税务部门出具的《依法纳税或依法免税证明》。</w:t>
      </w:r>
      <w:r>
        <w:rPr>
          <w:rFonts w:hint="eastAsia" w:ascii="宋体" w:hAnsi="宋体"/>
          <w:b/>
          <w:szCs w:val="21"/>
        </w:rPr>
        <w:t>（必须提供，新成立单位按实际提供）</w:t>
      </w:r>
    </w:p>
    <w:p w14:paraId="41B512BC">
      <w:pPr>
        <w:snapToGrid w:val="0"/>
        <w:spacing w:line="360" w:lineRule="exact"/>
        <w:ind w:firstLine="411" w:firstLineChars="196"/>
        <w:jc w:val="left"/>
        <w:rPr>
          <w:rFonts w:hint="eastAsia" w:ascii="宋体" w:hAnsi="宋体"/>
          <w:szCs w:val="21"/>
        </w:rPr>
      </w:pPr>
      <w:r>
        <w:rPr>
          <w:rFonts w:hint="eastAsia" w:ascii="宋体" w:hAnsi="宋体"/>
          <w:szCs w:val="21"/>
        </w:rPr>
        <w:t>（3）投标截止之日前一年内投标人连续三个月的依法缴纳社保费的缴费凭证；无缴费记录的，应提供由投标人所在地社保等相关部门出具的《依法缴纳或依法免缴社保费证明》。</w:t>
      </w:r>
      <w:r>
        <w:rPr>
          <w:rFonts w:hint="eastAsia" w:ascii="宋体" w:hAnsi="宋体"/>
          <w:b/>
          <w:szCs w:val="21"/>
        </w:rPr>
        <w:t>（必须提供，新成立单位按实际提供）</w:t>
      </w:r>
    </w:p>
    <w:p w14:paraId="74B5E031">
      <w:pPr>
        <w:snapToGrid w:val="0"/>
        <w:spacing w:line="360" w:lineRule="exact"/>
        <w:jc w:val="left"/>
        <w:rPr>
          <w:rFonts w:hint="eastAsia" w:ascii="宋体" w:hAnsi="宋体"/>
          <w:b/>
          <w:szCs w:val="21"/>
        </w:rPr>
      </w:pPr>
      <w:r>
        <w:rPr>
          <w:rFonts w:hint="eastAsia" w:ascii="宋体" w:hAnsi="宋体"/>
          <w:b/>
          <w:szCs w:val="21"/>
        </w:rPr>
        <w:t xml:space="preserve">    </w:t>
      </w:r>
      <w:r>
        <w:rPr>
          <w:rFonts w:hint="eastAsia" w:ascii="宋体" w:hAnsi="宋体"/>
          <w:szCs w:val="21"/>
        </w:rPr>
        <w:t>（4）财务状况报告</w:t>
      </w:r>
      <w:r>
        <w:rPr>
          <w:rFonts w:hint="eastAsia" w:ascii="宋体" w:hAnsi="宋体"/>
          <w:color w:val="auto"/>
          <w:szCs w:val="21"/>
        </w:rPr>
        <w:t>（</w:t>
      </w:r>
      <w:r>
        <w:rPr>
          <w:rFonts w:hint="eastAsia" w:ascii="宋体" w:hAnsi="宋体"/>
          <w:color w:val="auto"/>
          <w:szCs w:val="21"/>
          <w:u w:val="single"/>
        </w:rPr>
        <w:t>202</w:t>
      </w:r>
      <w:r>
        <w:rPr>
          <w:rFonts w:hint="eastAsia" w:ascii="宋体" w:hAnsi="宋体"/>
          <w:color w:val="auto"/>
          <w:szCs w:val="21"/>
          <w:u w:val="single"/>
          <w:lang w:val="en-US" w:eastAsia="zh-CN"/>
        </w:rPr>
        <w:t>4</w:t>
      </w:r>
      <w:r>
        <w:rPr>
          <w:rFonts w:hint="eastAsia" w:ascii="宋体" w:hAnsi="宋体"/>
          <w:color w:val="auto"/>
          <w:szCs w:val="21"/>
          <w:u w:val="single"/>
        </w:rPr>
        <w:t>年或202</w:t>
      </w:r>
      <w:r>
        <w:rPr>
          <w:rFonts w:hint="eastAsia" w:ascii="宋体" w:hAnsi="宋体"/>
          <w:color w:val="auto"/>
          <w:szCs w:val="21"/>
          <w:u w:val="single"/>
          <w:lang w:val="en-US" w:eastAsia="zh-CN"/>
        </w:rPr>
        <w:t>5</w:t>
      </w:r>
      <w:r>
        <w:rPr>
          <w:rFonts w:hint="eastAsia" w:ascii="宋体" w:hAnsi="宋体"/>
          <w:color w:val="auto"/>
          <w:szCs w:val="21"/>
          <w:u w:val="single"/>
        </w:rPr>
        <w:t>年</w:t>
      </w:r>
      <w:r>
        <w:rPr>
          <w:rFonts w:hint="eastAsia" w:ascii="宋体" w:hAnsi="宋体"/>
          <w:color w:val="auto"/>
          <w:szCs w:val="21"/>
        </w:rPr>
        <w:t>财务报表复印件）或者银行出具的资信证明，或者中国人民银行征信中心出具的信用报告（企业竞标的提供企业信</w:t>
      </w:r>
      <w:r>
        <w:rPr>
          <w:rFonts w:hint="eastAsia" w:ascii="宋体" w:hAnsi="宋体"/>
          <w:szCs w:val="21"/>
        </w:rPr>
        <w:t>用报告，自然人竞标的提供个人信用报告）；供应商属于成立时间在规定年度之后的法人或其他组织，只需提供响应文件提交截止时间前一个月的财务状况报告（表）或银行出具的资信证明或者中国人民银行征信中心出具的企业信用报告；资信证明应在有效期内，未注明有效期的，银行出具时间至响应文件提交截止时间不超过一年）</w:t>
      </w:r>
      <w:r>
        <w:rPr>
          <w:rFonts w:hint="eastAsia" w:ascii="宋体" w:hAnsi="宋体"/>
          <w:b/>
          <w:szCs w:val="21"/>
        </w:rPr>
        <w:t>（必须提供）</w:t>
      </w:r>
    </w:p>
    <w:p w14:paraId="0A317D04">
      <w:pPr>
        <w:snapToGrid w:val="0"/>
        <w:spacing w:line="360" w:lineRule="exact"/>
        <w:ind w:firstLine="411" w:firstLineChars="196"/>
        <w:jc w:val="left"/>
        <w:rPr>
          <w:rFonts w:hint="eastAsia" w:ascii="宋体" w:hAnsi="宋体"/>
          <w:b/>
          <w:szCs w:val="21"/>
        </w:rPr>
      </w:pPr>
      <w:r>
        <w:rPr>
          <w:rFonts w:hint="eastAsia" w:ascii="宋体" w:hAnsi="宋体" w:cs="宋体"/>
          <w:kern w:val="0"/>
          <w:szCs w:val="21"/>
        </w:rPr>
        <w:t>（5）</w:t>
      </w:r>
      <w:r>
        <w:rPr>
          <w:rFonts w:ascii="宋体" w:hAnsi="宋体"/>
          <w:szCs w:val="21"/>
        </w:rPr>
        <w:t>具备履行合同所必需的设备和专业技术能力的证明材料</w:t>
      </w:r>
      <w:r>
        <w:rPr>
          <w:rFonts w:hint="eastAsia" w:ascii="宋体" w:hAnsi="宋体" w:cs="宋体"/>
          <w:kern w:val="0"/>
          <w:szCs w:val="21"/>
        </w:rPr>
        <w:t>。</w:t>
      </w:r>
      <w:r>
        <w:rPr>
          <w:rFonts w:hint="eastAsia" w:ascii="宋体" w:hAnsi="宋体"/>
          <w:b/>
          <w:szCs w:val="21"/>
        </w:rPr>
        <w:t>（内容、格式自拟，必须提供）</w:t>
      </w:r>
    </w:p>
    <w:p w14:paraId="7443E6FF">
      <w:pPr>
        <w:snapToGrid w:val="0"/>
        <w:spacing w:line="360" w:lineRule="exact"/>
        <w:ind w:firstLine="411" w:firstLineChars="196"/>
        <w:jc w:val="left"/>
        <w:rPr>
          <w:rFonts w:hint="eastAsia" w:ascii="宋体" w:hAnsi="宋体"/>
          <w:color w:val="000000"/>
          <w:szCs w:val="21"/>
        </w:rPr>
      </w:pPr>
      <w:r>
        <w:rPr>
          <w:rFonts w:hint="eastAsia" w:ascii="宋体" w:hAnsi="宋体" w:cs="宋体"/>
          <w:kern w:val="0"/>
          <w:szCs w:val="21"/>
        </w:rPr>
        <w:t>（</w:t>
      </w:r>
      <w:r>
        <w:rPr>
          <w:rFonts w:hint="eastAsia" w:ascii="宋体" w:hAnsi="宋体" w:cs="宋体"/>
          <w:kern w:val="0"/>
          <w:szCs w:val="21"/>
          <w:lang w:val="en-US" w:eastAsia="zh-CN"/>
        </w:rPr>
        <w:t>6</w:t>
      </w:r>
      <w:r>
        <w:rPr>
          <w:rFonts w:hint="eastAsia" w:ascii="宋体" w:hAnsi="宋体" w:cs="宋体"/>
          <w:kern w:val="0"/>
          <w:szCs w:val="21"/>
        </w:rPr>
        <w:t>）</w:t>
      </w:r>
      <w:r>
        <w:rPr>
          <w:rFonts w:hint="eastAsia" w:ascii="宋体" w:hAnsi="宋体"/>
          <w:szCs w:val="21"/>
        </w:rPr>
        <w:t>参加政府</w:t>
      </w:r>
      <w:r>
        <w:rPr>
          <w:rFonts w:hint="eastAsia" w:ascii="宋体" w:hAnsi="宋体"/>
          <w:color w:val="000000"/>
          <w:szCs w:val="21"/>
        </w:rPr>
        <w:t>采购活动前三年内在经营活动中没有重大违法记录和不良信用记录的书面声明。（</w:t>
      </w:r>
      <w:r>
        <w:rPr>
          <w:rFonts w:hint="eastAsia" w:ascii="宋体" w:hAnsi="宋体"/>
          <w:b/>
          <w:color w:val="000000"/>
          <w:szCs w:val="21"/>
        </w:rPr>
        <w:t>格式自拟，必须提供</w:t>
      </w:r>
      <w:r>
        <w:rPr>
          <w:rFonts w:hint="eastAsia" w:ascii="宋体" w:hAnsi="宋体"/>
          <w:color w:val="000000"/>
          <w:szCs w:val="21"/>
        </w:rPr>
        <w:t>）</w:t>
      </w:r>
    </w:p>
    <w:p w14:paraId="2B97D401">
      <w:pPr>
        <w:snapToGrid w:val="0"/>
        <w:spacing w:line="360" w:lineRule="exact"/>
        <w:ind w:firstLine="413" w:firstLineChars="196"/>
        <w:jc w:val="left"/>
        <w:rPr>
          <w:rFonts w:hint="eastAsia" w:ascii="宋体" w:hAnsi="宋体"/>
          <w:b/>
          <w:szCs w:val="21"/>
        </w:rPr>
      </w:pPr>
      <w:r>
        <w:rPr>
          <w:rFonts w:hint="eastAsia" w:ascii="宋体" w:hAnsi="宋体"/>
          <w:b/>
          <w:szCs w:val="21"/>
        </w:rPr>
        <w:t>注：采购人或采购代理机构在资格审查结束前对供应商进行信用查询</w:t>
      </w:r>
    </w:p>
    <w:p w14:paraId="59CC3154">
      <w:pPr>
        <w:snapToGrid w:val="0"/>
        <w:spacing w:line="360" w:lineRule="exact"/>
        <w:ind w:firstLine="413" w:firstLineChars="196"/>
        <w:jc w:val="left"/>
        <w:rPr>
          <w:rFonts w:hint="eastAsia" w:ascii="宋体" w:hAnsi="宋体"/>
          <w:b/>
          <w:szCs w:val="21"/>
        </w:rPr>
      </w:pPr>
      <w:r>
        <w:rPr>
          <w:rFonts w:hint="eastAsia" w:ascii="宋体" w:hAnsi="宋体"/>
          <w:b/>
          <w:szCs w:val="21"/>
        </w:rPr>
        <w:t>查询渠道：“信用中国”网站(www.creditchina.gov.cn) 、中国政府采购网(www.ccgp.gov.cn)</w:t>
      </w:r>
    </w:p>
    <w:p w14:paraId="4A7DFB6E">
      <w:pPr>
        <w:snapToGrid w:val="0"/>
        <w:spacing w:line="360" w:lineRule="exact"/>
        <w:ind w:firstLine="413" w:firstLineChars="196"/>
        <w:jc w:val="left"/>
        <w:rPr>
          <w:rFonts w:hint="eastAsia" w:ascii="宋体" w:hAnsi="宋体"/>
          <w:b/>
          <w:szCs w:val="21"/>
        </w:rPr>
      </w:pPr>
      <w:r>
        <w:rPr>
          <w:rFonts w:hint="eastAsia" w:ascii="宋体" w:hAnsi="宋体"/>
          <w:b/>
          <w:szCs w:val="21"/>
        </w:rPr>
        <w:t>查询截止时间：资格审查结束前。</w:t>
      </w:r>
    </w:p>
    <w:p w14:paraId="23074D9A">
      <w:pPr>
        <w:snapToGrid w:val="0"/>
        <w:spacing w:line="360" w:lineRule="exact"/>
        <w:ind w:firstLine="413" w:firstLineChars="196"/>
        <w:jc w:val="left"/>
        <w:rPr>
          <w:rFonts w:hint="eastAsia" w:ascii="宋体" w:hAnsi="宋体"/>
          <w:b/>
          <w:szCs w:val="21"/>
        </w:rPr>
      </w:pPr>
      <w:r>
        <w:rPr>
          <w:rFonts w:hint="eastAsia" w:ascii="宋体" w:hAnsi="宋体"/>
          <w:b/>
          <w:szCs w:val="21"/>
        </w:rPr>
        <w:t>查询记录和证据留存方式：在查询网站中直接打印查询记录，打印材料作为评审资料保存。</w:t>
      </w:r>
    </w:p>
    <w:p w14:paraId="03437A08">
      <w:pPr>
        <w:snapToGrid w:val="0"/>
        <w:spacing w:line="360" w:lineRule="exact"/>
        <w:ind w:firstLine="413" w:firstLineChars="196"/>
        <w:jc w:val="left"/>
        <w:rPr>
          <w:rFonts w:hint="eastAsia" w:ascii="宋体" w:hAnsi="宋体"/>
          <w:b/>
          <w:szCs w:val="21"/>
        </w:rPr>
      </w:pPr>
      <w:r>
        <w:rPr>
          <w:rFonts w:hint="eastAsia" w:ascii="宋体" w:hAnsi="宋体"/>
          <w:b/>
          <w:szCs w:val="21"/>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将拒绝其参与政府采购活动。</w:t>
      </w:r>
    </w:p>
    <w:p w14:paraId="7F90175F">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lang w:eastAsia="zh-CN"/>
        </w:rPr>
        <w:t>（</w:t>
      </w:r>
      <w:r>
        <w:rPr>
          <w:rFonts w:hint="eastAsia" w:ascii="宋体" w:hAnsi="宋体" w:eastAsia="宋体" w:cs="宋体"/>
          <w:color w:val="auto"/>
          <w:lang w:val="en-US" w:eastAsia="zh-CN"/>
        </w:rPr>
        <w:t>7</w:t>
      </w:r>
      <w:r>
        <w:rPr>
          <w:rFonts w:hint="eastAsia" w:ascii="宋体" w:hAnsi="宋体" w:eastAsia="宋体" w:cs="宋体"/>
          <w:color w:val="auto"/>
          <w:lang w:eastAsia="zh-CN"/>
        </w:rPr>
        <w:t>）</w:t>
      </w:r>
      <w:r>
        <w:rPr>
          <w:rFonts w:hint="eastAsia" w:ascii="宋体" w:hAnsi="宋体" w:eastAsia="宋体" w:cs="宋体"/>
          <w:color w:val="auto"/>
          <w:szCs w:val="21"/>
        </w:rPr>
        <w:t>投标人直接控股、管理关系信息表（</w:t>
      </w:r>
      <w:r>
        <w:rPr>
          <w:rFonts w:hint="eastAsia" w:ascii="宋体" w:hAnsi="宋体" w:eastAsia="宋体" w:cs="宋体"/>
          <w:color w:val="auto"/>
          <w:szCs w:val="21"/>
          <w:highlight w:val="none"/>
        </w:rPr>
        <w:t>格式后附）；</w:t>
      </w:r>
      <w:r>
        <w:rPr>
          <w:rFonts w:hint="eastAsia" w:ascii="宋体" w:hAnsi="宋体" w:eastAsia="宋体" w:cs="宋体"/>
          <w:b/>
          <w:bCs/>
          <w:color w:val="auto"/>
          <w:szCs w:val="21"/>
          <w:highlight w:val="none"/>
        </w:rPr>
        <w:t>（必须提供</w:t>
      </w:r>
      <w:r>
        <w:rPr>
          <w:rFonts w:hint="eastAsia" w:ascii="宋体" w:hAnsi="宋体" w:eastAsia="宋体" w:cs="宋体"/>
          <w:b/>
          <w:bCs/>
          <w:color w:val="auto"/>
          <w:sz w:val="21"/>
          <w:szCs w:val="21"/>
          <w:highlight w:val="none"/>
        </w:rPr>
        <w:t>，否则作无效投标处理</w:t>
      </w:r>
      <w:r>
        <w:rPr>
          <w:rFonts w:hint="eastAsia" w:ascii="宋体" w:hAnsi="宋体" w:eastAsia="宋体" w:cs="宋体"/>
          <w:b/>
          <w:bCs/>
          <w:color w:val="auto"/>
          <w:szCs w:val="21"/>
          <w:highlight w:val="none"/>
        </w:rPr>
        <w:t>）</w:t>
      </w:r>
    </w:p>
    <w:p w14:paraId="2971B612">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hint="default" w:ascii="宋体" w:hAnsi="宋体" w:eastAsia="宋体" w:cs="宋体"/>
          <w:color w:val="FF0000"/>
          <w:szCs w:val="21"/>
          <w:highlight w:val="yellow"/>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lang w:val="en-US" w:eastAsia="zh-CN"/>
        </w:rPr>
        <w:t>参加本项目无围标串标行为的承诺；</w:t>
      </w:r>
      <w:r>
        <w:rPr>
          <w:rFonts w:hint="eastAsia" w:ascii="宋体" w:hAnsi="宋体" w:eastAsia="宋体" w:cs="宋体"/>
          <w:b w:val="0"/>
          <w:bCs w:val="0"/>
          <w:color w:val="auto"/>
          <w:sz w:val="21"/>
          <w:szCs w:val="21"/>
          <w:highlight w:val="none"/>
        </w:rPr>
        <w:t>（</w:t>
      </w:r>
      <w:r>
        <w:rPr>
          <w:rFonts w:hint="eastAsia" w:ascii="宋体" w:hAnsi="宋体" w:eastAsia="宋体" w:cs="宋体"/>
          <w:b/>
          <w:bCs/>
          <w:color w:val="auto"/>
          <w:sz w:val="21"/>
          <w:szCs w:val="21"/>
          <w:highlight w:val="none"/>
        </w:rPr>
        <w:t>必须提供</w:t>
      </w:r>
      <w:r>
        <w:rPr>
          <w:rFonts w:hint="eastAsia" w:ascii="宋体" w:hAnsi="宋体" w:eastAsia="宋体" w:cs="宋体"/>
          <w:b/>
          <w:bCs/>
          <w:color w:val="000000"/>
          <w:sz w:val="21"/>
          <w:szCs w:val="21"/>
        </w:rPr>
        <w:t>，否则作无效投标处理</w:t>
      </w:r>
      <w:r>
        <w:rPr>
          <w:rFonts w:hint="eastAsia" w:ascii="宋体" w:hAnsi="宋体" w:eastAsia="宋体" w:cs="宋体"/>
          <w:b w:val="0"/>
          <w:bCs w:val="0"/>
          <w:color w:val="000000"/>
          <w:sz w:val="21"/>
          <w:szCs w:val="21"/>
        </w:rPr>
        <w:t>）</w:t>
      </w:r>
    </w:p>
    <w:p w14:paraId="43624313">
      <w:pPr>
        <w:pStyle w:val="28"/>
        <w:snapToGrid w:val="0"/>
        <w:spacing w:line="370" w:lineRule="exact"/>
        <w:ind w:firstLine="422" w:firstLineChars="200"/>
        <w:jc w:val="left"/>
        <w:rPr>
          <w:rFonts w:hint="eastAsia"/>
          <w:b/>
          <w:sz w:val="21"/>
          <w:szCs w:val="21"/>
          <w:lang w:eastAsia="zh-CN"/>
        </w:rPr>
      </w:pPr>
      <w:r>
        <w:rPr>
          <w:rFonts w:hint="eastAsia"/>
          <w:b/>
          <w:sz w:val="21"/>
          <w:szCs w:val="21"/>
        </w:rPr>
        <w:t>2.商务技术文件：</w:t>
      </w:r>
    </w:p>
    <w:p w14:paraId="753527D9">
      <w:pPr>
        <w:ind w:firstLine="422" w:firstLineChars="200"/>
        <w:rPr>
          <w:rFonts w:hint="eastAsia" w:ascii="宋体" w:hAnsi="宋体"/>
          <w:b/>
          <w:sz w:val="21"/>
          <w:szCs w:val="21"/>
        </w:rPr>
      </w:pPr>
      <w:r>
        <w:rPr>
          <w:rFonts w:hint="eastAsia" w:ascii="宋体" w:hAnsi="宋体"/>
          <w:b/>
          <w:sz w:val="21"/>
          <w:szCs w:val="21"/>
        </w:rPr>
        <w:t>2.1商务文件：</w:t>
      </w:r>
    </w:p>
    <w:p w14:paraId="5585D686">
      <w:pPr>
        <w:snapToGrid w:val="0"/>
        <w:spacing w:line="370" w:lineRule="exact"/>
        <w:ind w:firstLine="411" w:firstLineChars="196"/>
        <w:jc w:val="left"/>
        <w:rPr>
          <w:rFonts w:hint="eastAsia" w:ascii="宋体"/>
          <w:sz w:val="21"/>
          <w:szCs w:val="21"/>
        </w:rPr>
      </w:pPr>
      <w:r>
        <w:rPr>
          <w:rFonts w:hint="eastAsia" w:ascii="宋体"/>
          <w:sz w:val="21"/>
          <w:szCs w:val="21"/>
        </w:rPr>
        <w:t>（1）</w:t>
      </w:r>
      <w:r>
        <w:rPr>
          <w:rFonts w:hint="eastAsia" w:ascii="宋体" w:hAnsi="宋体"/>
          <w:color w:val="000000"/>
          <w:sz w:val="21"/>
          <w:szCs w:val="21"/>
        </w:rPr>
        <w:t>投标保证金的提交凭证</w:t>
      </w:r>
      <w:r>
        <w:rPr>
          <w:rFonts w:hint="eastAsia" w:ascii="宋体"/>
          <w:sz w:val="21"/>
          <w:szCs w:val="21"/>
        </w:rPr>
        <w:t>；</w:t>
      </w:r>
      <w:r>
        <w:rPr>
          <w:rFonts w:hint="eastAsia" w:ascii="宋体"/>
          <w:b/>
          <w:color w:val="000000"/>
          <w:sz w:val="21"/>
          <w:szCs w:val="21"/>
        </w:rPr>
        <w:t>（必须提供）</w:t>
      </w:r>
    </w:p>
    <w:p w14:paraId="53CEC89B">
      <w:pPr>
        <w:snapToGrid w:val="0"/>
        <w:spacing w:line="370" w:lineRule="exact"/>
        <w:ind w:firstLine="411" w:firstLineChars="196"/>
        <w:jc w:val="left"/>
        <w:rPr>
          <w:rFonts w:hint="eastAsia" w:ascii="宋体"/>
          <w:sz w:val="21"/>
          <w:szCs w:val="21"/>
        </w:rPr>
      </w:pPr>
      <w:r>
        <w:rPr>
          <w:rFonts w:hint="eastAsia" w:ascii="宋体"/>
          <w:sz w:val="21"/>
          <w:szCs w:val="21"/>
        </w:rPr>
        <w:t>（2）投标声明书 (格式见第六章)；</w:t>
      </w:r>
      <w:r>
        <w:rPr>
          <w:rFonts w:hint="eastAsia" w:ascii="宋体"/>
          <w:b/>
          <w:color w:val="000000"/>
          <w:sz w:val="21"/>
          <w:szCs w:val="21"/>
        </w:rPr>
        <w:t>（必须提供）</w:t>
      </w:r>
    </w:p>
    <w:p w14:paraId="49D41FFF">
      <w:pPr>
        <w:snapToGrid w:val="0"/>
        <w:spacing w:line="370" w:lineRule="exact"/>
        <w:ind w:firstLine="411" w:firstLineChars="196"/>
        <w:jc w:val="left"/>
        <w:rPr>
          <w:rFonts w:hint="eastAsia" w:ascii="宋体"/>
          <w:szCs w:val="21"/>
        </w:rPr>
      </w:pPr>
      <w:r>
        <w:rPr>
          <w:rFonts w:hint="eastAsia" w:ascii="宋体"/>
          <w:sz w:val="21"/>
          <w:szCs w:val="21"/>
        </w:rPr>
        <w:t>（3）法定代表人</w:t>
      </w:r>
      <w:r>
        <w:rPr>
          <w:rFonts w:hint="eastAsia" w:ascii="宋体"/>
          <w:szCs w:val="21"/>
        </w:rPr>
        <w:t>(负责人)授权委托书和委托代理人身份证正、反面复印件（格式见第六章)</w:t>
      </w:r>
      <w:r>
        <w:rPr>
          <w:rFonts w:hint="eastAsia" w:ascii="宋体"/>
          <w:b/>
          <w:szCs w:val="21"/>
        </w:rPr>
        <w:t>（委托时必须提供）</w:t>
      </w:r>
      <w:r>
        <w:rPr>
          <w:rFonts w:hint="eastAsia" w:ascii="宋体"/>
          <w:szCs w:val="21"/>
        </w:rPr>
        <w:t>；</w:t>
      </w:r>
    </w:p>
    <w:p w14:paraId="3E832408">
      <w:pPr>
        <w:snapToGrid w:val="0"/>
        <w:spacing w:line="370" w:lineRule="exact"/>
        <w:ind w:firstLine="411" w:firstLineChars="196"/>
        <w:jc w:val="left"/>
        <w:rPr>
          <w:rFonts w:hint="eastAsia" w:ascii="宋体"/>
          <w:szCs w:val="21"/>
        </w:rPr>
      </w:pPr>
      <w:r>
        <w:rPr>
          <w:rFonts w:hint="eastAsia" w:ascii="宋体"/>
          <w:szCs w:val="21"/>
        </w:rPr>
        <w:t>（4）法定代表人(负责人)身份证明书（格式见附件)、法定代表人（负责人）有效身份证正反面复印件</w:t>
      </w:r>
      <w:r>
        <w:rPr>
          <w:rFonts w:hint="eastAsia" w:ascii="宋体"/>
          <w:b/>
          <w:szCs w:val="21"/>
        </w:rPr>
        <w:t>（必须提供）</w:t>
      </w:r>
      <w:r>
        <w:rPr>
          <w:rFonts w:hint="eastAsia" w:ascii="宋体"/>
          <w:szCs w:val="21"/>
        </w:rPr>
        <w:t xml:space="preserve">； </w:t>
      </w:r>
    </w:p>
    <w:p w14:paraId="5BE3D5C8">
      <w:pPr>
        <w:snapToGrid w:val="0"/>
        <w:spacing w:line="370" w:lineRule="exact"/>
        <w:ind w:firstLine="411" w:firstLineChars="196"/>
        <w:jc w:val="left"/>
        <w:rPr>
          <w:rFonts w:hint="eastAsia" w:ascii="宋体"/>
          <w:b/>
          <w:color w:val="000000"/>
          <w:szCs w:val="21"/>
        </w:rPr>
      </w:pPr>
      <w:r>
        <w:rPr>
          <w:rFonts w:hint="eastAsia" w:ascii="宋体"/>
          <w:szCs w:val="21"/>
        </w:rPr>
        <w:t>（5）商务响应表（格式见第六章）；</w:t>
      </w:r>
      <w:r>
        <w:rPr>
          <w:rFonts w:hint="eastAsia" w:ascii="宋体"/>
          <w:b/>
          <w:color w:val="000000"/>
          <w:szCs w:val="21"/>
        </w:rPr>
        <w:t>（必须提供）</w:t>
      </w:r>
    </w:p>
    <w:p w14:paraId="45A749E4">
      <w:pPr>
        <w:snapToGrid w:val="0"/>
        <w:spacing w:line="370" w:lineRule="exact"/>
        <w:ind w:firstLine="411" w:firstLineChars="196"/>
        <w:jc w:val="left"/>
        <w:rPr>
          <w:rFonts w:hint="eastAsia" w:ascii="宋体"/>
          <w:b/>
          <w:szCs w:val="21"/>
        </w:rPr>
      </w:pPr>
      <w:r>
        <w:rPr>
          <w:rFonts w:hint="eastAsia" w:ascii="宋体"/>
          <w:szCs w:val="21"/>
        </w:rPr>
        <w:t>（6）招标项目采购需求中要求必须提供的材料等；</w:t>
      </w:r>
      <w:r>
        <w:rPr>
          <w:rFonts w:hint="eastAsia"/>
        </w:rPr>
        <w:t>（招标项目采购需求中要求必须提供的材料，据实提供）</w:t>
      </w:r>
    </w:p>
    <w:p w14:paraId="10985FFC">
      <w:pPr>
        <w:snapToGrid w:val="0"/>
        <w:spacing w:line="370" w:lineRule="exact"/>
        <w:ind w:firstLine="411" w:firstLineChars="196"/>
        <w:jc w:val="left"/>
        <w:rPr>
          <w:rFonts w:hint="eastAsia" w:ascii="宋体"/>
          <w:b/>
          <w:szCs w:val="21"/>
        </w:rPr>
      </w:pPr>
      <w:r>
        <w:rPr>
          <w:rFonts w:hint="eastAsia" w:ascii="宋体"/>
          <w:szCs w:val="21"/>
        </w:rPr>
        <w:t>（7）具备法律、行政法规规定的其他条件的证明材料。</w:t>
      </w:r>
      <w:r>
        <w:rPr>
          <w:rFonts w:hint="eastAsia" w:ascii="宋体"/>
          <w:b/>
          <w:szCs w:val="21"/>
        </w:rPr>
        <w:t xml:space="preserve"> (如有规定,则必须提供)</w:t>
      </w:r>
    </w:p>
    <w:p w14:paraId="57118031">
      <w:pPr>
        <w:snapToGrid w:val="0"/>
        <w:spacing w:line="370" w:lineRule="exact"/>
        <w:ind w:firstLine="413" w:firstLineChars="196"/>
        <w:jc w:val="left"/>
        <w:rPr>
          <w:rFonts w:hint="eastAsia" w:ascii="宋体"/>
          <w:b/>
          <w:bCs/>
          <w:szCs w:val="21"/>
        </w:rPr>
      </w:pPr>
      <w:r>
        <w:rPr>
          <w:rFonts w:hint="eastAsia" w:ascii="宋体"/>
          <w:b/>
          <w:bCs/>
          <w:szCs w:val="21"/>
        </w:rPr>
        <w:t xml:space="preserve">可作为投标人资信评分的资质证明材料（可选）  </w:t>
      </w:r>
    </w:p>
    <w:p w14:paraId="4300AE41">
      <w:pPr>
        <w:snapToGrid w:val="0"/>
        <w:spacing w:line="370" w:lineRule="exact"/>
        <w:ind w:firstLine="411" w:firstLineChars="196"/>
        <w:jc w:val="left"/>
        <w:rPr>
          <w:rFonts w:hint="eastAsia" w:ascii="宋体"/>
          <w:szCs w:val="21"/>
        </w:rPr>
      </w:pPr>
      <w:r>
        <w:rPr>
          <w:rFonts w:hint="eastAsia" w:ascii="宋体"/>
          <w:szCs w:val="21"/>
        </w:rPr>
        <w:t>（8）类似</w:t>
      </w:r>
      <w:r>
        <w:rPr>
          <w:rFonts w:hint="eastAsia" w:ascii="宋体"/>
          <w:szCs w:val="21"/>
          <w:lang w:val="en-US" w:eastAsia="zh-CN"/>
        </w:rPr>
        <w:t>信息系统建设项目</w:t>
      </w:r>
      <w:r>
        <w:rPr>
          <w:rFonts w:hint="eastAsia" w:ascii="宋体"/>
          <w:szCs w:val="21"/>
        </w:rPr>
        <w:t>成功案例的业绩（投标人同类项目实施情况一览表、</w:t>
      </w:r>
      <w:r>
        <w:rPr>
          <w:rFonts w:hint="eastAsia" w:ascii="宋体" w:hAnsi="宋体" w:cs="仿宋"/>
          <w:bCs/>
          <w:color w:val="auto"/>
          <w:sz w:val="21"/>
          <w:szCs w:val="21"/>
        </w:rPr>
        <w:t>中标</w:t>
      </w:r>
      <w:r>
        <w:rPr>
          <w:rFonts w:hint="eastAsia" w:ascii="宋体" w:hAnsi="宋体" w:cs="仿宋"/>
          <w:bCs/>
          <w:color w:val="auto"/>
          <w:sz w:val="21"/>
          <w:szCs w:val="21"/>
          <w:lang w:eastAsia="zh-CN"/>
        </w:rPr>
        <w:t>（</w:t>
      </w:r>
      <w:r>
        <w:rPr>
          <w:rFonts w:hint="eastAsia" w:ascii="宋体" w:hAnsi="宋体" w:cs="仿宋"/>
          <w:bCs/>
          <w:color w:val="auto"/>
          <w:sz w:val="21"/>
          <w:szCs w:val="21"/>
        </w:rPr>
        <w:t>成交</w:t>
      </w:r>
      <w:r>
        <w:rPr>
          <w:rFonts w:hint="eastAsia" w:ascii="宋体" w:hAnsi="宋体" w:cs="仿宋"/>
          <w:bCs/>
          <w:color w:val="auto"/>
          <w:sz w:val="21"/>
          <w:szCs w:val="21"/>
          <w:lang w:eastAsia="zh-CN"/>
        </w:rPr>
        <w:t>）</w:t>
      </w:r>
      <w:r>
        <w:rPr>
          <w:rFonts w:hint="eastAsia" w:ascii="宋体" w:hAnsi="宋体" w:cs="仿宋"/>
          <w:bCs/>
          <w:color w:val="auto"/>
          <w:sz w:val="21"/>
          <w:szCs w:val="21"/>
        </w:rPr>
        <w:t>通知书或合同</w:t>
      </w:r>
      <w:r>
        <w:rPr>
          <w:rFonts w:hint="eastAsia" w:ascii="宋体" w:hAnsi="宋体" w:cs="仿宋"/>
          <w:bCs/>
          <w:color w:val="auto"/>
          <w:sz w:val="21"/>
          <w:szCs w:val="21"/>
          <w:lang w:val="en-US" w:eastAsia="zh-CN"/>
        </w:rPr>
        <w:t>证明</w:t>
      </w:r>
      <w:r>
        <w:rPr>
          <w:rFonts w:hint="eastAsia" w:ascii="宋体"/>
          <w:szCs w:val="21"/>
        </w:rPr>
        <w:t>扫描件等，格式可自行调整）；</w:t>
      </w:r>
    </w:p>
    <w:p w14:paraId="7A0A853D">
      <w:pPr>
        <w:snapToGrid w:val="0"/>
        <w:spacing w:line="370" w:lineRule="exact"/>
        <w:ind w:firstLine="411" w:firstLineChars="196"/>
        <w:jc w:val="left"/>
        <w:rPr>
          <w:rFonts w:hint="eastAsia" w:ascii="宋体"/>
          <w:szCs w:val="21"/>
        </w:rPr>
      </w:pPr>
      <w:r>
        <w:rPr>
          <w:rFonts w:hint="eastAsia" w:ascii="宋体"/>
          <w:szCs w:val="21"/>
        </w:rPr>
        <w:t>（9）其他特殊资质证书；</w:t>
      </w:r>
    </w:p>
    <w:p w14:paraId="4FD3F138">
      <w:pPr>
        <w:snapToGrid w:val="0"/>
        <w:spacing w:line="370" w:lineRule="exact"/>
        <w:ind w:firstLine="411" w:firstLineChars="196"/>
        <w:jc w:val="left"/>
        <w:rPr>
          <w:rFonts w:hint="eastAsia" w:ascii="宋体"/>
          <w:szCs w:val="21"/>
        </w:rPr>
      </w:pPr>
      <w:r>
        <w:rPr>
          <w:rFonts w:hint="eastAsia" w:ascii="宋体"/>
          <w:szCs w:val="21"/>
        </w:rPr>
        <w:t>（10）投标人质量管理和质量保证体系等方面的认证证书；</w:t>
      </w:r>
    </w:p>
    <w:p w14:paraId="3ED81176">
      <w:pPr>
        <w:snapToGrid w:val="0"/>
        <w:spacing w:line="370" w:lineRule="exact"/>
        <w:ind w:firstLine="411" w:firstLineChars="196"/>
        <w:jc w:val="left"/>
        <w:rPr>
          <w:rFonts w:hint="eastAsia" w:ascii="宋体"/>
          <w:szCs w:val="21"/>
        </w:rPr>
      </w:pPr>
      <w:r>
        <w:rPr>
          <w:rFonts w:hint="eastAsia" w:ascii="宋体"/>
          <w:szCs w:val="21"/>
        </w:rPr>
        <w:t>（11）投标人认为可以证明其能力或业绩的其他材料；</w:t>
      </w:r>
    </w:p>
    <w:p w14:paraId="38CF87B2">
      <w:pPr>
        <w:snapToGrid w:val="0"/>
        <w:spacing w:line="370" w:lineRule="exact"/>
        <w:ind w:firstLine="411" w:firstLineChars="196"/>
        <w:jc w:val="left"/>
        <w:rPr>
          <w:rFonts w:hint="eastAsia" w:ascii="宋体"/>
          <w:color w:val="auto"/>
          <w:szCs w:val="21"/>
        </w:rPr>
      </w:pPr>
      <w:r>
        <w:rPr>
          <w:rFonts w:hint="eastAsia" w:ascii="宋体"/>
          <w:szCs w:val="21"/>
        </w:rPr>
        <w:t>（12）投标人关于服务升级以及本单位债务纠纷、违法违规记录等方面的情况（内容见投标声明书）；</w:t>
      </w:r>
    </w:p>
    <w:p w14:paraId="75C25942">
      <w:pPr>
        <w:snapToGrid w:val="0"/>
        <w:spacing w:line="370" w:lineRule="exact"/>
        <w:ind w:firstLine="411" w:firstLineChars="196"/>
        <w:jc w:val="left"/>
        <w:rPr>
          <w:rFonts w:hint="eastAsia" w:ascii="宋体"/>
          <w:color w:val="auto"/>
          <w:szCs w:val="21"/>
        </w:rPr>
      </w:pPr>
      <w:r>
        <w:rPr>
          <w:rFonts w:hint="eastAsia" w:ascii="宋体"/>
          <w:color w:val="auto"/>
          <w:szCs w:val="21"/>
        </w:rPr>
        <w:t>（13）投标人情况介绍；</w:t>
      </w:r>
    </w:p>
    <w:p w14:paraId="4FF99645">
      <w:pPr>
        <w:tabs>
          <w:tab w:val="left" w:pos="5812"/>
        </w:tabs>
        <w:snapToGrid w:val="0"/>
        <w:spacing w:line="370" w:lineRule="exact"/>
        <w:ind w:firstLine="411" w:firstLineChars="196"/>
        <w:jc w:val="left"/>
        <w:rPr>
          <w:rFonts w:hint="eastAsia" w:ascii="宋体"/>
          <w:b/>
          <w:color w:val="auto"/>
          <w:szCs w:val="21"/>
        </w:rPr>
      </w:pPr>
      <w:r>
        <w:rPr>
          <w:rFonts w:hint="eastAsia" w:ascii="宋体"/>
          <w:color w:val="auto"/>
          <w:szCs w:val="21"/>
        </w:rPr>
        <w:t>（14）中小企业声明函。</w:t>
      </w:r>
      <w:r>
        <w:rPr>
          <w:rFonts w:hint="eastAsia" w:ascii="宋体"/>
          <w:b/>
          <w:color w:val="auto"/>
          <w:szCs w:val="21"/>
        </w:rPr>
        <w:t>（按最新相关政策执行，格式见第六章，如有请提供）</w:t>
      </w:r>
    </w:p>
    <w:p w14:paraId="53964345">
      <w:pPr>
        <w:snapToGrid w:val="0"/>
        <w:spacing w:line="370" w:lineRule="exact"/>
        <w:ind w:firstLine="411" w:firstLineChars="196"/>
        <w:jc w:val="left"/>
        <w:rPr>
          <w:rFonts w:hint="eastAsia" w:ascii="宋体" w:hAnsi="宋体"/>
          <w:color w:val="auto"/>
          <w:szCs w:val="21"/>
          <w:lang w:eastAsia="zh-CN"/>
        </w:rPr>
      </w:pP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15</w:t>
      </w:r>
      <w:r>
        <w:rPr>
          <w:rFonts w:hint="eastAsia" w:ascii="宋体" w:hAnsi="宋体" w:eastAsia="宋体" w:cs="Times New Roman"/>
          <w:color w:val="auto"/>
          <w:szCs w:val="21"/>
          <w:lang w:eastAsia="zh-CN"/>
        </w:rPr>
        <w:t>）</w:t>
      </w:r>
      <w:r>
        <w:rPr>
          <w:rFonts w:hint="eastAsia" w:ascii="宋体" w:hAnsi="宋体" w:eastAsia="宋体" w:cs="宋体"/>
          <w:color w:val="auto"/>
          <w:szCs w:val="21"/>
          <w:lang w:val="en-US" w:eastAsia="zh-CN"/>
        </w:rPr>
        <w:t>本国产品适用政府采购</w:t>
      </w:r>
      <w:r>
        <w:rPr>
          <w:rFonts w:hint="eastAsia"/>
          <w:color w:val="auto"/>
          <w:lang w:val="en-US" w:eastAsia="zh-CN"/>
        </w:rPr>
        <w:t>政策相关资料。</w:t>
      </w:r>
      <w:r>
        <w:rPr>
          <w:rFonts w:hint="eastAsia" w:ascii="宋体" w:hAnsi="宋体"/>
          <w:b w:val="0"/>
          <w:bCs w:val="0"/>
          <w:color w:val="auto"/>
          <w:szCs w:val="21"/>
          <w:lang w:eastAsia="zh-CN"/>
        </w:rPr>
        <w:t>（供应商根据自身响应情况出具）</w:t>
      </w:r>
      <w:r>
        <w:rPr>
          <w:rFonts w:hint="eastAsia" w:ascii="宋体" w:hAnsi="宋体"/>
          <w:b/>
          <w:bCs/>
          <w:color w:val="auto"/>
          <w:szCs w:val="21"/>
          <w:lang w:eastAsia="zh-CN"/>
        </w:rPr>
        <w:t>（</w:t>
      </w:r>
      <w:r>
        <w:rPr>
          <w:rFonts w:hint="eastAsia" w:ascii="宋体" w:hAnsi="宋体"/>
          <w:b/>
          <w:bCs/>
          <w:color w:val="auto"/>
          <w:szCs w:val="21"/>
          <w:lang w:val="en-US" w:eastAsia="zh-CN"/>
        </w:rPr>
        <w:t>本项目不适用</w:t>
      </w:r>
      <w:r>
        <w:rPr>
          <w:rFonts w:hint="eastAsia" w:ascii="宋体" w:hAnsi="宋体"/>
          <w:b/>
          <w:bCs/>
          <w:color w:val="auto"/>
          <w:szCs w:val="21"/>
          <w:lang w:eastAsia="zh-CN"/>
        </w:rPr>
        <w:t>）</w:t>
      </w:r>
    </w:p>
    <w:p w14:paraId="61500D64">
      <w:pPr>
        <w:snapToGrid w:val="0"/>
        <w:spacing w:line="370" w:lineRule="exact"/>
        <w:ind w:firstLine="413" w:firstLineChars="196"/>
        <w:jc w:val="left"/>
        <w:rPr>
          <w:rFonts w:hint="eastAsia" w:ascii="宋体"/>
          <w:b/>
          <w:bCs/>
          <w:szCs w:val="21"/>
        </w:rPr>
      </w:pPr>
      <w:r>
        <w:rPr>
          <w:rFonts w:hint="eastAsia" w:ascii="宋体"/>
          <w:b/>
          <w:bCs/>
          <w:szCs w:val="21"/>
        </w:rPr>
        <w:t>2.2技术文件：</w:t>
      </w:r>
    </w:p>
    <w:p w14:paraId="47B6E705">
      <w:pPr>
        <w:snapToGrid w:val="0"/>
        <w:spacing w:line="370" w:lineRule="exact"/>
        <w:ind w:firstLine="411" w:firstLineChars="196"/>
        <w:jc w:val="left"/>
        <w:rPr>
          <w:rFonts w:hint="eastAsia" w:ascii="宋体"/>
          <w:szCs w:val="21"/>
        </w:rPr>
      </w:pPr>
      <w:r>
        <w:rPr>
          <w:rFonts w:hint="eastAsia" w:ascii="宋体"/>
          <w:szCs w:val="21"/>
        </w:rPr>
        <w:t>（1）服务响应表；</w:t>
      </w:r>
      <w:r>
        <w:rPr>
          <w:rFonts w:hint="eastAsia" w:ascii="宋体"/>
          <w:b/>
          <w:color w:val="000000"/>
          <w:szCs w:val="21"/>
        </w:rPr>
        <w:t>（必须提供）</w:t>
      </w:r>
    </w:p>
    <w:p w14:paraId="5FF207D6">
      <w:pPr>
        <w:snapToGrid w:val="0"/>
        <w:spacing w:line="370" w:lineRule="exact"/>
        <w:ind w:firstLine="420" w:firstLineChars="200"/>
        <w:jc w:val="left"/>
        <w:rPr>
          <w:rFonts w:hint="eastAsia" w:ascii="宋体"/>
          <w:szCs w:val="21"/>
        </w:rPr>
      </w:pPr>
      <w:r>
        <w:rPr>
          <w:rFonts w:hint="eastAsia" w:ascii="宋体"/>
          <w:szCs w:val="21"/>
        </w:rPr>
        <w:t>（2）</w:t>
      </w:r>
      <w:r>
        <w:rPr>
          <w:rFonts w:hint="eastAsia"/>
        </w:rPr>
        <w:t>服务方案</w:t>
      </w:r>
      <w:r>
        <w:rPr>
          <w:rFonts w:hint="eastAsia" w:ascii="宋体" w:hAnsi="宋体"/>
          <w:lang w:eastAsia="zh-CN"/>
        </w:rPr>
        <w:t>（</w:t>
      </w:r>
      <w:r>
        <w:rPr>
          <w:rFonts w:hint="eastAsia" w:ascii="宋体" w:hAnsi="宋体"/>
        </w:rPr>
        <w:t>如：项目</w:t>
      </w:r>
      <w:r>
        <w:rPr>
          <w:rFonts w:hint="eastAsia" w:ascii="宋体" w:hAnsi="宋体"/>
          <w:lang w:val="en-US" w:eastAsia="zh-CN"/>
        </w:rPr>
        <w:t>理解分析</w:t>
      </w:r>
      <w:r>
        <w:rPr>
          <w:rFonts w:hint="eastAsia" w:ascii="宋体" w:hAnsi="宋体"/>
        </w:rPr>
        <w:t>、</w:t>
      </w:r>
      <w:r>
        <w:rPr>
          <w:rFonts w:hint="eastAsia" w:ascii="宋体" w:hAnsi="宋体"/>
          <w:lang w:val="en-US" w:eastAsia="zh-CN"/>
        </w:rPr>
        <w:t>技术设计方案</w:t>
      </w:r>
      <w:r>
        <w:rPr>
          <w:rFonts w:hint="eastAsia" w:ascii="宋体" w:hAnsi="宋体"/>
        </w:rPr>
        <w:t>、</w:t>
      </w:r>
      <w:r>
        <w:rPr>
          <w:rFonts w:hint="eastAsia" w:ascii="宋体" w:hAnsi="宋体"/>
          <w:lang w:val="en-US" w:eastAsia="zh-CN"/>
        </w:rPr>
        <w:t>项目实施方案</w:t>
      </w:r>
      <w:r>
        <w:rPr>
          <w:rFonts w:hint="eastAsia" w:ascii="宋体" w:hAnsi="宋体"/>
        </w:rPr>
        <w:t>、运维及售后服务方案</w:t>
      </w:r>
      <w:r>
        <w:rPr>
          <w:rFonts w:hint="eastAsia" w:ascii="宋体" w:hAnsi="宋体"/>
          <w:lang w:eastAsia="zh-CN"/>
        </w:rPr>
        <w:t>、</w:t>
      </w:r>
      <w:r>
        <w:rPr>
          <w:rFonts w:hint="eastAsia" w:ascii="宋体" w:hAnsi="宋体"/>
          <w:lang w:val="en-US" w:eastAsia="zh-CN"/>
        </w:rPr>
        <w:t>培训方案</w:t>
      </w:r>
      <w:r>
        <w:rPr>
          <w:rFonts w:hint="eastAsia" w:ascii="宋体" w:hAnsi="宋体"/>
        </w:rPr>
        <w:t>等</w:t>
      </w:r>
      <w:r>
        <w:rPr>
          <w:rFonts w:hint="eastAsia" w:ascii="宋体" w:hAnsi="宋体"/>
          <w:lang w:eastAsia="zh-CN"/>
        </w:rPr>
        <w:t>）</w:t>
      </w:r>
      <w:r>
        <w:rPr>
          <w:rFonts w:hint="eastAsia" w:ascii="宋体" w:hAnsi="宋体"/>
          <w:szCs w:val="21"/>
        </w:rPr>
        <w:t>；</w:t>
      </w:r>
      <w:r>
        <w:rPr>
          <w:rFonts w:hint="eastAsia" w:ascii="宋体" w:hAnsi="宋体"/>
          <w:b/>
          <w:szCs w:val="21"/>
        </w:rPr>
        <w:t>（格式自拟，</w:t>
      </w:r>
      <w:r>
        <w:rPr>
          <w:rFonts w:hint="eastAsia" w:ascii="宋体"/>
          <w:b/>
          <w:color w:val="000000"/>
          <w:szCs w:val="21"/>
        </w:rPr>
        <w:t>必须提供</w:t>
      </w:r>
      <w:r>
        <w:rPr>
          <w:rFonts w:hint="eastAsia" w:ascii="宋体" w:hAnsi="宋体"/>
          <w:b/>
          <w:szCs w:val="21"/>
        </w:rPr>
        <w:t>）</w:t>
      </w:r>
    </w:p>
    <w:p w14:paraId="1868B22E">
      <w:pPr>
        <w:snapToGrid w:val="0"/>
        <w:spacing w:line="370" w:lineRule="exact"/>
        <w:ind w:firstLine="420" w:firstLineChars="200"/>
        <w:jc w:val="left"/>
        <w:rPr>
          <w:rFonts w:hint="eastAsia" w:ascii="宋体"/>
          <w:szCs w:val="21"/>
        </w:rPr>
      </w:pPr>
      <w:r>
        <w:rPr>
          <w:rFonts w:hint="eastAsia" w:ascii="宋体"/>
          <w:szCs w:val="21"/>
        </w:rPr>
        <w:t>（3）</w:t>
      </w:r>
      <w:r>
        <w:rPr>
          <w:rFonts w:hint="eastAsia" w:ascii="宋体" w:hAnsi="宋体"/>
          <w:szCs w:val="21"/>
        </w:rPr>
        <w:t>投标人拥有主要服务设施的情况和现状（格式自拟）及项目实施人员一览表</w:t>
      </w:r>
      <w:r>
        <w:rPr>
          <w:rFonts w:hint="eastAsia" w:ascii="宋体"/>
          <w:szCs w:val="21"/>
        </w:rPr>
        <w:t>；</w:t>
      </w:r>
    </w:p>
    <w:p w14:paraId="47976C8B">
      <w:pPr>
        <w:snapToGrid w:val="0"/>
        <w:spacing w:line="370" w:lineRule="exact"/>
        <w:ind w:firstLine="420" w:firstLineChars="200"/>
        <w:jc w:val="left"/>
        <w:rPr>
          <w:rFonts w:hint="eastAsia" w:ascii="宋体"/>
          <w:szCs w:val="21"/>
        </w:rPr>
      </w:pPr>
      <w:r>
        <w:rPr>
          <w:rFonts w:hint="eastAsia" w:ascii="宋体"/>
          <w:szCs w:val="21"/>
        </w:rPr>
        <w:t>（4）优惠条件：投标人承诺给予招标人的各种优惠条件；</w:t>
      </w:r>
    </w:p>
    <w:p w14:paraId="7C6C259D">
      <w:pPr>
        <w:snapToGrid w:val="0"/>
        <w:spacing w:line="370" w:lineRule="exact"/>
        <w:ind w:firstLine="420" w:firstLineChars="200"/>
        <w:jc w:val="left"/>
        <w:rPr>
          <w:rFonts w:hint="eastAsia" w:ascii="宋体"/>
          <w:szCs w:val="21"/>
        </w:rPr>
      </w:pPr>
      <w:r>
        <w:rPr>
          <w:rFonts w:hint="eastAsia" w:ascii="宋体"/>
          <w:szCs w:val="21"/>
        </w:rPr>
        <w:t>（5）投标人对本项目的合理化建议和改进措施；</w:t>
      </w:r>
    </w:p>
    <w:p w14:paraId="5780B1A8">
      <w:pPr>
        <w:snapToGrid w:val="0"/>
        <w:spacing w:line="370" w:lineRule="exact"/>
        <w:ind w:firstLine="420" w:firstLineChars="200"/>
        <w:jc w:val="left"/>
        <w:rPr>
          <w:rFonts w:hint="eastAsia" w:ascii="宋体"/>
          <w:szCs w:val="21"/>
        </w:rPr>
      </w:pPr>
      <w:r>
        <w:rPr>
          <w:rFonts w:hint="eastAsia" w:ascii="宋体"/>
          <w:szCs w:val="21"/>
        </w:rPr>
        <w:t>（6）投标人认为需要提供的其他材料；</w:t>
      </w:r>
    </w:p>
    <w:p w14:paraId="37DC04E4">
      <w:pPr>
        <w:snapToGrid w:val="0"/>
        <w:spacing w:line="370" w:lineRule="exact"/>
        <w:ind w:firstLine="420" w:firstLineChars="200"/>
        <w:jc w:val="left"/>
        <w:rPr>
          <w:rFonts w:hint="eastAsia" w:ascii="宋体"/>
          <w:szCs w:val="21"/>
        </w:rPr>
      </w:pPr>
      <w:r>
        <w:rPr>
          <w:rFonts w:hint="eastAsia" w:ascii="宋体"/>
          <w:szCs w:val="21"/>
        </w:rPr>
        <w:t>（7）招标项目采购需求中要求必须提供的材料。</w:t>
      </w:r>
      <w:r>
        <w:rPr>
          <w:rFonts w:hint="eastAsia"/>
        </w:rPr>
        <w:t>（招标项目采购需求中要求必须提供的材料，据实提供）</w:t>
      </w:r>
    </w:p>
    <w:p w14:paraId="204EAE24">
      <w:pPr>
        <w:snapToGrid w:val="0"/>
        <w:spacing w:line="370" w:lineRule="exact"/>
        <w:ind w:firstLine="422" w:firstLineChars="200"/>
        <w:jc w:val="left"/>
        <w:rPr>
          <w:rFonts w:hint="eastAsia" w:ascii="宋体"/>
          <w:b/>
          <w:szCs w:val="21"/>
        </w:rPr>
      </w:pPr>
      <w:r>
        <w:rPr>
          <w:rFonts w:hint="eastAsia" w:ascii="宋体"/>
          <w:b/>
          <w:szCs w:val="21"/>
        </w:rPr>
        <w:t>3.报价文件：</w:t>
      </w:r>
    </w:p>
    <w:p w14:paraId="4195AF1C">
      <w:pPr>
        <w:snapToGrid w:val="0"/>
        <w:spacing w:line="370" w:lineRule="exact"/>
        <w:ind w:firstLine="420" w:firstLineChars="200"/>
        <w:jc w:val="left"/>
        <w:rPr>
          <w:rFonts w:hint="eastAsia" w:ascii="宋体" w:hAnsi="宋体"/>
          <w:szCs w:val="21"/>
        </w:rPr>
      </w:pPr>
      <w:r>
        <w:rPr>
          <w:rFonts w:hint="eastAsia" w:ascii="宋体" w:hAnsi="宋体"/>
          <w:szCs w:val="21"/>
        </w:rPr>
        <w:t>（1）投标函（格式见第六章）；</w:t>
      </w:r>
      <w:r>
        <w:rPr>
          <w:rFonts w:hint="eastAsia" w:ascii="宋体" w:hAnsi="宋体"/>
          <w:b/>
          <w:color w:val="000000"/>
          <w:szCs w:val="21"/>
        </w:rPr>
        <w:t>（必须提供）</w:t>
      </w:r>
    </w:p>
    <w:p w14:paraId="2C14F069">
      <w:pPr>
        <w:snapToGrid w:val="0"/>
        <w:spacing w:line="370" w:lineRule="exact"/>
        <w:ind w:firstLine="420" w:firstLineChars="200"/>
        <w:jc w:val="left"/>
        <w:rPr>
          <w:rFonts w:hint="eastAsia" w:ascii="宋体" w:hAnsi="宋体"/>
          <w:szCs w:val="21"/>
        </w:rPr>
      </w:pPr>
      <w:r>
        <w:rPr>
          <w:rFonts w:hint="eastAsia" w:ascii="宋体" w:hAnsi="宋体"/>
          <w:szCs w:val="21"/>
        </w:rPr>
        <w:t>（2）投标报价明细表（格式见第六章）；</w:t>
      </w:r>
      <w:r>
        <w:rPr>
          <w:rFonts w:hint="eastAsia" w:ascii="宋体" w:hAnsi="宋体"/>
          <w:b/>
          <w:color w:val="000000"/>
          <w:szCs w:val="21"/>
        </w:rPr>
        <w:t>（必须提供）</w:t>
      </w:r>
    </w:p>
    <w:p w14:paraId="28F9D3C1">
      <w:pPr>
        <w:snapToGrid w:val="0"/>
        <w:spacing w:line="370" w:lineRule="exact"/>
        <w:ind w:firstLine="420" w:firstLineChars="200"/>
        <w:jc w:val="left"/>
        <w:rPr>
          <w:rFonts w:hint="eastAsia" w:ascii="宋体" w:hAnsi="宋体"/>
          <w:szCs w:val="21"/>
        </w:rPr>
      </w:pPr>
      <w:r>
        <w:rPr>
          <w:rFonts w:hint="eastAsia" w:ascii="宋体" w:hAnsi="宋体"/>
          <w:szCs w:val="21"/>
        </w:rPr>
        <w:t>（3）投标人针对报价需要说明的其他文件和说明；（格式自拟）</w:t>
      </w:r>
    </w:p>
    <w:p w14:paraId="74D1835B">
      <w:pPr>
        <w:snapToGrid w:val="0"/>
        <w:spacing w:line="370" w:lineRule="exact"/>
        <w:ind w:firstLine="420" w:firstLineChars="200"/>
        <w:jc w:val="left"/>
        <w:rPr>
          <w:rFonts w:hint="eastAsia" w:ascii="宋体" w:hAnsi="宋体"/>
          <w:color w:val="auto"/>
          <w:szCs w:val="21"/>
        </w:rPr>
      </w:pPr>
      <w:r>
        <w:rPr>
          <w:rFonts w:hint="eastAsia" w:ascii="宋体" w:hAnsi="宋体"/>
          <w:color w:val="auto"/>
          <w:szCs w:val="21"/>
        </w:rPr>
        <w:t>（4）开标一览表（格式见第六章）。</w:t>
      </w:r>
      <w:r>
        <w:rPr>
          <w:rFonts w:hint="eastAsia" w:ascii="宋体" w:hAnsi="宋体"/>
          <w:b/>
          <w:color w:val="auto"/>
          <w:szCs w:val="21"/>
        </w:rPr>
        <w:t>（必须提供）</w:t>
      </w:r>
    </w:p>
    <w:p w14:paraId="2CEE74FC">
      <w:pPr>
        <w:snapToGrid w:val="0"/>
        <w:spacing w:line="370" w:lineRule="exact"/>
        <w:ind w:firstLine="413" w:firstLineChars="196"/>
        <w:jc w:val="left"/>
        <w:rPr>
          <w:rFonts w:hint="eastAsia"/>
          <w:color w:val="auto"/>
        </w:rPr>
      </w:pPr>
      <w:r>
        <w:rPr>
          <w:rFonts w:hint="eastAsia" w:ascii="宋体" w:hAnsi="宋体"/>
          <w:b/>
          <w:bCs/>
          <w:color w:val="auto"/>
          <w:szCs w:val="21"/>
        </w:rPr>
        <w:t>★注：法定代表人(负责人)授权委托书、投标声明书、投标函、开标一览表必须按照招标文件格式要求签署和加盖单位公章，否则作投标无效处理</w:t>
      </w:r>
      <w:r>
        <w:rPr>
          <w:rFonts w:hint="eastAsia" w:ascii="宋体" w:hAnsi="Times New Roman" w:eastAsia="宋体" w:cs="Times New Roman"/>
          <w:b/>
          <w:bCs/>
          <w:color w:val="auto"/>
          <w:szCs w:val="21"/>
        </w:rPr>
        <w:t>。</w:t>
      </w:r>
    </w:p>
    <w:p w14:paraId="7802DE28">
      <w:pPr>
        <w:snapToGrid w:val="0"/>
        <w:spacing w:before="50" w:after="156" w:afterLines="50" w:line="360" w:lineRule="exact"/>
        <w:jc w:val="left"/>
        <w:outlineLvl w:val="0"/>
        <w:rPr>
          <w:rFonts w:hint="eastAsia" w:ascii="宋体" w:hAnsi="宋体"/>
          <w:color w:val="FF0000"/>
          <w:szCs w:val="21"/>
        </w:rPr>
      </w:pPr>
    </w:p>
    <w:p w14:paraId="2150B617">
      <w:pPr>
        <w:snapToGrid w:val="0"/>
        <w:spacing w:before="50" w:after="156" w:afterLines="50" w:line="360" w:lineRule="exact"/>
        <w:jc w:val="center"/>
        <w:outlineLvl w:val="0"/>
        <w:rPr>
          <w:rFonts w:hint="eastAsia" w:ascii="宋体" w:hAnsi="宋体"/>
          <w:b/>
          <w:szCs w:val="21"/>
        </w:rPr>
      </w:pPr>
      <w:r>
        <w:rPr>
          <w:rFonts w:ascii="宋体" w:hAnsi="宋体"/>
          <w:b/>
          <w:szCs w:val="21"/>
        </w:rPr>
        <w:br w:type="page"/>
      </w:r>
      <w:r>
        <w:rPr>
          <w:rFonts w:hint="eastAsia" w:ascii="宋体" w:hAnsi="宋体"/>
          <w:b/>
          <w:szCs w:val="21"/>
        </w:rPr>
        <w:t>三、投标文件格式</w:t>
      </w:r>
    </w:p>
    <w:p w14:paraId="080467CB">
      <w:pPr>
        <w:snapToGrid w:val="0"/>
        <w:spacing w:before="50" w:after="156" w:afterLines="50" w:line="360" w:lineRule="exact"/>
        <w:jc w:val="left"/>
        <w:outlineLvl w:val="0"/>
        <w:rPr>
          <w:rFonts w:hint="eastAsia" w:ascii="宋体" w:hAnsi="宋体"/>
          <w:b/>
          <w:bCs/>
          <w:szCs w:val="21"/>
        </w:rPr>
      </w:pPr>
      <w:r>
        <w:rPr>
          <w:rFonts w:hint="eastAsia" w:ascii="宋体" w:hAnsi="宋体"/>
          <w:b/>
          <w:szCs w:val="21"/>
        </w:rPr>
        <w:t>一）</w:t>
      </w:r>
      <w:r>
        <w:rPr>
          <w:rFonts w:hint="eastAsia" w:ascii="宋体" w:hAnsi="宋体"/>
          <w:b/>
          <w:bCs/>
          <w:szCs w:val="21"/>
        </w:rPr>
        <w:t>资格文件部分（格式）</w:t>
      </w:r>
    </w:p>
    <w:p w14:paraId="3E260860">
      <w:pPr>
        <w:snapToGrid w:val="0"/>
        <w:spacing w:line="360" w:lineRule="exact"/>
        <w:ind w:firstLine="210" w:firstLineChars="100"/>
        <w:jc w:val="left"/>
        <w:rPr>
          <w:rFonts w:hint="eastAsia" w:ascii="宋体" w:hAnsi="宋体"/>
          <w:szCs w:val="21"/>
        </w:rPr>
      </w:pPr>
      <w:r>
        <w:rPr>
          <w:rFonts w:hint="eastAsia" w:ascii="宋体" w:hAnsi="宋体"/>
          <w:szCs w:val="21"/>
        </w:rPr>
        <w:t>（1）有效的主体资格证明文件；</w:t>
      </w:r>
    </w:p>
    <w:p w14:paraId="71F4F44E">
      <w:pPr>
        <w:snapToGrid w:val="0"/>
        <w:spacing w:line="360" w:lineRule="exact"/>
        <w:ind w:firstLine="211" w:firstLineChars="100"/>
        <w:jc w:val="left"/>
        <w:rPr>
          <w:rFonts w:hint="eastAsia" w:ascii="宋体" w:hAnsi="宋体"/>
          <w:b/>
          <w:szCs w:val="21"/>
        </w:rPr>
      </w:pPr>
      <w:r>
        <w:rPr>
          <w:rFonts w:hint="eastAsia" w:ascii="宋体" w:hAnsi="宋体"/>
          <w:b/>
          <w:szCs w:val="21"/>
        </w:rPr>
        <w:t xml:space="preserve"> </w:t>
      </w:r>
      <w:r>
        <w:rPr>
          <w:rFonts w:hint="eastAsia" w:ascii="宋体" w:hAnsi="宋体"/>
          <w:szCs w:val="21"/>
        </w:rPr>
        <w:t>投标人有效的“主体资格证明文件”（如营业执照、事业单位法人证书、执业许可证、自然人身份证等）复印件；</w:t>
      </w:r>
      <w:r>
        <w:rPr>
          <w:rFonts w:hint="eastAsia" w:ascii="宋体" w:hAnsi="宋体"/>
          <w:b/>
          <w:szCs w:val="21"/>
        </w:rPr>
        <w:t>（必须提供）</w:t>
      </w:r>
    </w:p>
    <w:p w14:paraId="7D1D3EF2">
      <w:pPr>
        <w:snapToGrid w:val="0"/>
        <w:spacing w:line="360" w:lineRule="exact"/>
        <w:ind w:firstLine="210" w:firstLineChars="100"/>
        <w:jc w:val="left"/>
        <w:rPr>
          <w:rFonts w:hint="eastAsia" w:ascii="宋体" w:hAnsi="宋体"/>
          <w:szCs w:val="21"/>
        </w:rPr>
      </w:pPr>
    </w:p>
    <w:p w14:paraId="30A9AAF6">
      <w:pPr>
        <w:snapToGrid w:val="0"/>
        <w:spacing w:line="360" w:lineRule="exact"/>
        <w:ind w:firstLine="210" w:firstLineChars="100"/>
        <w:jc w:val="left"/>
        <w:rPr>
          <w:rFonts w:hint="eastAsia" w:ascii="宋体" w:hAnsi="宋体"/>
          <w:szCs w:val="21"/>
        </w:rPr>
      </w:pPr>
    </w:p>
    <w:p w14:paraId="3DE67F57">
      <w:pPr>
        <w:snapToGrid w:val="0"/>
        <w:spacing w:line="360" w:lineRule="exact"/>
        <w:ind w:firstLine="210" w:firstLineChars="100"/>
        <w:jc w:val="left"/>
        <w:rPr>
          <w:rFonts w:hint="eastAsia" w:ascii="宋体" w:hAnsi="宋体"/>
          <w:b/>
          <w:szCs w:val="21"/>
        </w:rPr>
      </w:pPr>
      <w:r>
        <w:rPr>
          <w:rFonts w:hint="eastAsia" w:ascii="宋体" w:hAnsi="宋体"/>
          <w:szCs w:val="21"/>
        </w:rPr>
        <w:t>（2）投标截止之日前一年内投标人连续三个月的依法缴纳税费或依法免缴税费的证明；无纳税记录的，应提供由投标人所在地的税务部门出具的《依法纳税或依法免税证明》。</w:t>
      </w:r>
      <w:r>
        <w:rPr>
          <w:rFonts w:hint="eastAsia" w:ascii="宋体" w:hAnsi="宋体"/>
          <w:b/>
          <w:szCs w:val="21"/>
        </w:rPr>
        <w:t>（必须提供，新成立单位按实际提供）</w:t>
      </w:r>
    </w:p>
    <w:p w14:paraId="6ADA10AD">
      <w:pPr>
        <w:snapToGrid w:val="0"/>
        <w:spacing w:line="360" w:lineRule="exact"/>
        <w:ind w:firstLine="210" w:firstLineChars="100"/>
        <w:jc w:val="left"/>
        <w:rPr>
          <w:rFonts w:ascii="宋体" w:hAnsi="宋体"/>
          <w:szCs w:val="21"/>
        </w:rPr>
      </w:pPr>
    </w:p>
    <w:p w14:paraId="0A36DC42"/>
    <w:p w14:paraId="72FA3BE4">
      <w:pPr>
        <w:numPr>
          <w:ilvl w:val="0"/>
          <w:numId w:val="7"/>
        </w:numPr>
        <w:snapToGrid w:val="0"/>
        <w:spacing w:line="360" w:lineRule="exact"/>
        <w:ind w:firstLine="210" w:firstLineChars="100"/>
        <w:jc w:val="left"/>
        <w:rPr>
          <w:rFonts w:hint="eastAsia" w:ascii="宋体" w:hAnsi="宋体"/>
          <w:b/>
          <w:szCs w:val="21"/>
        </w:rPr>
      </w:pPr>
      <w:r>
        <w:rPr>
          <w:rFonts w:hint="eastAsia" w:ascii="宋体" w:hAnsi="宋体"/>
          <w:szCs w:val="21"/>
        </w:rPr>
        <w:t>投标截止之日前一年内投标人连续三个月的依法缴纳社保费的缴费凭证；无缴费记录的，应提供由投标人所在地社保等相关部门出具的《依法缴纳或依法免缴社保费证明》。</w:t>
      </w:r>
      <w:r>
        <w:rPr>
          <w:rFonts w:hint="eastAsia" w:ascii="宋体" w:hAnsi="宋体"/>
          <w:b/>
          <w:szCs w:val="21"/>
        </w:rPr>
        <w:t>（必须提供，新成立单位按实际提供）</w:t>
      </w:r>
    </w:p>
    <w:p w14:paraId="2D592938">
      <w:pPr>
        <w:rPr>
          <w:rFonts w:hint="eastAsia"/>
        </w:rPr>
      </w:pPr>
    </w:p>
    <w:p w14:paraId="4A1E3D22">
      <w:pPr>
        <w:snapToGrid w:val="0"/>
        <w:spacing w:line="360" w:lineRule="exact"/>
        <w:ind w:firstLine="210" w:firstLineChars="100"/>
        <w:jc w:val="left"/>
        <w:rPr>
          <w:rFonts w:hint="eastAsia" w:ascii="宋体" w:hAnsi="宋体"/>
          <w:szCs w:val="21"/>
        </w:rPr>
      </w:pPr>
    </w:p>
    <w:p w14:paraId="1560DD52">
      <w:pPr>
        <w:numPr>
          <w:ilvl w:val="0"/>
          <w:numId w:val="7"/>
        </w:numPr>
        <w:snapToGrid w:val="0"/>
        <w:spacing w:line="360" w:lineRule="exact"/>
        <w:ind w:left="0" w:leftChars="0" w:firstLine="210" w:firstLineChars="100"/>
        <w:jc w:val="left"/>
        <w:rPr>
          <w:rFonts w:hint="eastAsia" w:ascii="宋体" w:hAnsi="宋体"/>
          <w:b/>
          <w:szCs w:val="21"/>
        </w:rPr>
      </w:pPr>
      <w:r>
        <w:rPr>
          <w:rFonts w:ascii="宋体" w:hAnsi="宋体"/>
          <w:szCs w:val="21"/>
        </w:rPr>
        <w:t>财务状况报告</w:t>
      </w:r>
      <w:r>
        <w:rPr>
          <w:rFonts w:hint="eastAsia" w:ascii="宋体" w:hAnsi="宋体"/>
          <w:szCs w:val="21"/>
        </w:rPr>
        <w:t>。财务状况</w:t>
      </w:r>
      <w:r>
        <w:rPr>
          <w:rFonts w:hint="eastAsia" w:ascii="宋体" w:hAnsi="宋体"/>
          <w:color w:val="auto"/>
          <w:szCs w:val="21"/>
        </w:rPr>
        <w:t>报告（</w:t>
      </w:r>
      <w:r>
        <w:rPr>
          <w:rFonts w:hint="eastAsia" w:ascii="宋体" w:hAnsi="宋体"/>
          <w:color w:val="auto"/>
          <w:szCs w:val="21"/>
          <w:u w:val="single"/>
        </w:rPr>
        <w:t>202</w:t>
      </w:r>
      <w:r>
        <w:rPr>
          <w:rFonts w:hint="eastAsia" w:ascii="宋体" w:hAnsi="宋体"/>
          <w:color w:val="auto"/>
          <w:szCs w:val="21"/>
          <w:u w:val="single"/>
          <w:lang w:val="en-US" w:eastAsia="zh-CN"/>
        </w:rPr>
        <w:t>4</w:t>
      </w:r>
      <w:r>
        <w:rPr>
          <w:rFonts w:hint="eastAsia" w:ascii="宋体" w:hAnsi="宋体"/>
          <w:color w:val="auto"/>
          <w:szCs w:val="21"/>
          <w:u w:val="single"/>
        </w:rPr>
        <w:t>年或202</w:t>
      </w:r>
      <w:r>
        <w:rPr>
          <w:rFonts w:hint="eastAsia" w:ascii="宋体" w:hAnsi="宋体"/>
          <w:color w:val="auto"/>
          <w:szCs w:val="21"/>
          <w:u w:val="single"/>
          <w:lang w:val="en-US" w:eastAsia="zh-CN"/>
        </w:rPr>
        <w:t>5</w:t>
      </w:r>
      <w:r>
        <w:rPr>
          <w:rFonts w:hint="eastAsia" w:ascii="宋体" w:hAnsi="宋体"/>
          <w:color w:val="auto"/>
          <w:szCs w:val="21"/>
          <w:u w:val="single"/>
        </w:rPr>
        <w:t>年</w:t>
      </w:r>
      <w:r>
        <w:rPr>
          <w:rFonts w:hint="eastAsia" w:ascii="宋体" w:hAnsi="宋体"/>
          <w:color w:val="auto"/>
          <w:szCs w:val="21"/>
        </w:rPr>
        <w:t>财务报表复印件</w:t>
      </w:r>
      <w:r>
        <w:rPr>
          <w:rFonts w:hint="eastAsia" w:ascii="宋体" w:hAnsi="宋体"/>
          <w:szCs w:val="21"/>
        </w:rPr>
        <w:t>）或者银行出具的资信证明，或者中国人民银行征信中心出具的信用报告（企业竞标的提供企业信用报告，自然人竞标的提供个人信用报告）；供应商属于成立时间在规定年度之后的法人或其他组织，只需提供响应文件提交截止时间前一个月的财务状况报告（表）或银行出具的资信证明或者中国人民银行征信中心出具的企业信用报告；资信证明应在有效期内，未注明有效期的，银行出具时间至响应文件提交截止时间不超过一年）</w:t>
      </w:r>
      <w:r>
        <w:rPr>
          <w:rFonts w:hint="eastAsia" w:ascii="宋体" w:hAnsi="宋体"/>
          <w:b/>
          <w:szCs w:val="21"/>
        </w:rPr>
        <w:t>（必须提供）</w:t>
      </w:r>
    </w:p>
    <w:p w14:paraId="023179C5">
      <w:pPr>
        <w:snapToGrid w:val="0"/>
        <w:spacing w:line="360" w:lineRule="exact"/>
        <w:ind w:firstLine="211" w:firstLineChars="100"/>
        <w:jc w:val="left"/>
        <w:rPr>
          <w:rFonts w:hint="eastAsia" w:ascii="宋体" w:hAnsi="宋体"/>
          <w:b/>
          <w:szCs w:val="21"/>
        </w:rPr>
      </w:pPr>
    </w:p>
    <w:p w14:paraId="54E2F641">
      <w:pPr>
        <w:snapToGrid w:val="0"/>
        <w:spacing w:line="360" w:lineRule="exact"/>
        <w:ind w:firstLine="210" w:firstLineChars="100"/>
        <w:jc w:val="left"/>
        <w:rPr>
          <w:rFonts w:hint="eastAsia" w:ascii="宋体" w:hAnsi="宋体"/>
          <w:b/>
          <w:szCs w:val="21"/>
        </w:rPr>
      </w:pPr>
      <w:r>
        <w:rPr>
          <w:rFonts w:hint="eastAsia" w:ascii="宋体" w:hAnsi="宋体"/>
          <w:szCs w:val="21"/>
        </w:rPr>
        <w:t>（5）</w:t>
      </w:r>
      <w:r>
        <w:rPr>
          <w:rFonts w:ascii="宋体" w:hAnsi="宋体"/>
          <w:szCs w:val="21"/>
        </w:rPr>
        <w:t>具备履行合同所必需的设备和专业技术能力的证明材料</w:t>
      </w:r>
      <w:r>
        <w:rPr>
          <w:rFonts w:hint="eastAsia" w:ascii="宋体" w:hAnsi="宋体"/>
          <w:szCs w:val="21"/>
        </w:rPr>
        <w:t>。</w:t>
      </w:r>
      <w:r>
        <w:rPr>
          <w:rFonts w:hint="eastAsia" w:ascii="宋体" w:hAnsi="宋体"/>
          <w:b/>
          <w:szCs w:val="21"/>
        </w:rPr>
        <w:t>（内容、格式自拟，必须提供）</w:t>
      </w:r>
    </w:p>
    <w:p w14:paraId="055B0A1A">
      <w:pPr>
        <w:snapToGrid w:val="0"/>
        <w:spacing w:line="360" w:lineRule="exact"/>
        <w:ind w:firstLine="211" w:firstLineChars="100"/>
        <w:jc w:val="left"/>
        <w:rPr>
          <w:rFonts w:hint="eastAsia" w:ascii="宋体" w:hAnsi="宋体"/>
          <w:b/>
          <w:szCs w:val="21"/>
        </w:rPr>
      </w:pPr>
    </w:p>
    <w:p w14:paraId="5BC8A21B">
      <w:pPr>
        <w:numPr>
          <w:ilvl w:val="0"/>
          <w:numId w:val="8"/>
        </w:numPr>
        <w:snapToGrid w:val="0"/>
        <w:spacing w:line="360" w:lineRule="exact"/>
        <w:ind w:left="0" w:leftChars="0" w:firstLine="210" w:firstLineChars="100"/>
        <w:jc w:val="left"/>
        <w:rPr>
          <w:rFonts w:hint="eastAsia" w:ascii="宋体" w:hAnsi="宋体"/>
          <w:szCs w:val="21"/>
        </w:rPr>
      </w:pPr>
      <w:r>
        <w:rPr>
          <w:rFonts w:hint="eastAsia" w:ascii="宋体" w:hAnsi="宋体"/>
          <w:szCs w:val="21"/>
        </w:rPr>
        <w:t>参加政府采购活动前三年内在经营活动中没有重大违法记录和不良信用记录的书面声明。（</w:t>
      </w:r>
      <w:r>
        <w:rPr>
          <w:rFonts w:hint="eastAsia" w:ascii="宋体" w:hAnsi="宋体"/>
          <w:b/>
          <w:szCs w:val="21"/>
        </w:rPr>
        <w:t>格式自拟，必须提供</w:t>
      </w:r>
      <w:r>
        <w:rPr>
          <w:rFonts w:hint="eastAsia" w:ascii="宋体" w:hAnsi="宋体"/>
          <w:szCs w:val="21"/>
        </w:rPr>
        <w:t>）</w:t>
      </w:r>
    </w:p>
    <w:p w14:paraId="22412712">
      <w:pPr>
        <w:snapToGrid w:val="0"/>
        <w:spacing w:line="360" w:lineRule="exact"/>
        <w:ind w:firstLine="211" w:firstLineChars="100"/>
        <w:jc w:val="left"/>
        <w:rPr>
          <w:rFonts w:hint="eastAsia" w:ascii="宋体" w:hAnsi="宋体"/>
          <w:b/>
          <w:szCs w:val="21"/>
        </w:rPr>
      </w:pPr>
      <w:r>
        <w:rPr>
          <w:rFonts w:hint="eastAsia" w:ascii="宋体" w:hAnsi="宋体"/>
          <w:b/>
          <w:szCs w:val="21"/>
        </w:rPr>
        <w:t>注：采购人或采购代理机构在资格审查结束前对供应商进行信用查询</w:t>
      </w:r>
    </w:p>
    <w:p w14:paraId="320FA0CE">
      <w:pPr>
        <w:snapToGrid w:val="0"/>
        <w:spacing w:line="360" w:lineRule="exact"/>
        <w:ind w:firstLine="211" w:firstLineChars="100"/>
        <w:jc w:val="left"/>
        <w:rPr>
          <w:rFonts w:hint="eastAsia" w:ascii="宋体" w:hAnsi="宋体"/>
          <w:b/>
          <w:szCs w:val="21"/>
        </w:rPr>
      </w:pPr>
      <w:r>
        <w:rPr>
          <w:rFonts w:hint="eastAsia" w:ascii="宋体" w:hAnsi="宋体"/>
          <w:b/>
          <w:szCs w:val="21"/>
        </w:rPr>
        <w:t>查询渠道：“信用中国”网站(www.creditchina.gov.cn) 、中国政府采购网(www.ccgp.gov.cn)</w:t>
      </w:r>
    </w:p>
    <w:p w14:paraId="2C5F7BAD">
      <w:pPr>
        <w:snapToGrid w:val="0"/>
        <w:spacing w:line="360" w:lineRule="exact"/>
        <w:ind w:firstLine="211" w:firstLineChars="100"/>
        <w:jc w:val="left"/>
        <w:rPr>
          <w:rFonts w:hint="eastAsia" w:ascii="宋体" w:hAnsi="宋体"/>
          <w:b/>
          <w:szCs w:val="21"/>
        </w:rPr>
      </w:pPr>
      <w:r>
        <w:rPr>
          <w:rFonts w:hint="eastAsia" w:ascii="宋体" w:hAnsi="宋体"/>
          <w:b/>
          <w:szCs w:val="21"/>
        </w:rPr>
        <w:t>查询截止时间：资格审查结束前。</w:t>
      </w:r>
    </w:p>
    <w:p w14:paraId="758186E4">
      <w:pPr>
        <w:snapToGrid w:val="0"/>
        <w:spacing w:line="360" w:lineRule="exact"/>
        <w:ind w:firstLine="211" w:firstLineChars="100"/>
        <w:jc w:val="left"/>
        <w:rPr>
          <w:rFonts w:hint="eastAsia" w:ascii="宋体" w:hAnsi="宋体"/>
          <w:b/>
          <w:szCs w:val="21"/>
        </w:rPr>
      </w:pPr>
      <w:r>
        <w:rPr>
          <w:rFonts w:hint="eastAsia" w:ascii="宋体" w:hAnsi="宋体"/>
          <w:b/>
          <w:szCs w:val="21"/>
        </w:rPr>
        <w:t>查询记录和证据留存方式：在查询网站中直接打印查询记录，打印材料作为评审资料保存。</w:t>
      </w:r>
    </w:p>
    <w:p w14:paraId="7E018E6C">
      <w:pPr>
        <w:snapToGrid w:val="0"/>
        <w:spacing w:line="360" w:lineRule="exact"/>
        <w:ind w:firstLine="211" w:firstLineChars="100"/>
        <w:jc w:val="left"/>
        <w:rPr>
          <w:rFonts w:hint="eastAsia" w:ascii="宋体" w:cs="宋体"/>
          <w:b/>
          <w:kern w:val="0"/>
          <w:szCs w:val="21"/>
        </w:rPr>
      </w:pPr>
      <w:r>
        <w:rPr>
          <w:rFonts w:hint="eastAsia" w:ascii="宋体" w:hAnsi="宋体"/>
          <w:b/>
          <w:szCs w:val="21"/>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将拒绝其参与政府采购活动。</w:t>
      </w:r>
    </w:p>
    <w:p w14:paraId="38B44D47">
      <w:pPr>
        <w:rPr>
          <w:rFonts w:hint="eastAsia"/>
        </w:rPr>
      </w:pPr>
    </w:p>
    <w:p w14:paraId="5D135C8B">
      <w:pP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br w:type="page"/>
      </w:r>
    </w:p>
    <w:p w14:paraId="00FFAAF5">
      <w:pPr>
        <w:pStyle w:val="28"/>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SA"/>
        </w:rPr>
        <w:t>（7）</w:t>
      </w:r>
      <w:r>
        <w:rPr>
          <w:rFonts w:hint="eastAsia" w:ascii="宋体" w:hAnsi="宋体" w:eastAsia="宋体" w:cs="宋体"/>
          <w:b w:val="0"/>
          <w:bCs w:val="0"/>
          <w:color w:val="auto"/>
          <w:sz w:val="21"/>
          <w:szCs w:val="21"/>
          <w:highlight w:val="none"/>
        </w:rPr>
        <w:t>投标人直接控股、管理关系信息表（格式后附）；（</w:t>
      </w:r>
      <w:r>
        <w:rPr>
          <w:rFonts w:hint="eastAsia" w:ascii="宋体" w:hAnsi="宋体" w:eastAsia="宋体" w:cs="宋体"/>
          <w:b/>
          <w:bCs/>
          <w:color w:val="auto"/>
          <w:sz w:val="21"/>
          <w:szCs w:val="21"/>
          <w:highlight w:val="none"/>
        </w:rPr>
        <w:t>必须提供，否则作无效投标处理</w:t>
      </w:r>
      <w:r>
        <w:rPr>
          <w:rFonts w:hint="eastAsia" w:ascii="宋体" w:hAnsi="宋体" w:eastAsia="宋体" w:cs="宋体"/>
          <w:b w:val="0"/>
          <w:bCs w:val="0"/>
          <w:color w:val="auto"/>
          <w:sz w:val="21"/>
          <w:szCs w:val="21"/>
          <w:highlight w:val="none"/>
        </w:rPr>
        <w:t>）</w:t>
      </w:r>
    </w:p>
    <w:p w14:paraId="1F58EEA6">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Cs w:val="21"/>
          <w:highlight w:val="none"/>
          <w:lang w:eastAsia="zh-CN"/>
        </w:rPr>
      </w:pPr>
    </w:p>
    <w:p w14:paraId="42C844EF">
      <w:pPr>
        <w:snapToGrid w:val="0"/>
        <w:spacing w:before="50" w:afterLines="50" w:line="360" w:lineRule="auto"/>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投标人直接控股股东信息表</w:t>
      </w:r>
    </w:p>
    <w:tbl>
      <w:tblPr>
        <w:tblStyle w:val="51"/>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3B1E7628">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2CCDEF2">
            <w:pPr>
              <w:spacing w:line="36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98717E6">
            <w:pPr>
              <w:spacing w:line="36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F274685">
            <w:pPr>
              <w:spacing w:line="36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66C70C6">
            <w:pPr>
              <w:spacing w:line="36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08A6383">
            <w:pPr>
              <w:spacing w:line="36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备注</w:t>
            </w:r>
          </w:p>
        </w:tc>
      </w:tr>
      <w:tr w14:paraId="39B55762">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D78540F">
            <w:pPr>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3D347D4">
            <w:pPr>
              <w:spacing w:line="360" w:lineRule="auto"/>
              <w:jc w:val="center"/>
              <w:rPr>
                <w:rFonts w:ascii="宋体" w:hAnsi="宋体" w:cs="宋体"/>
                <w:color w:val="auto"/>
                <w:kern w:val="0"/>
                <w:sz w:val="21"/>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B6AAB36">
            <w:pPr>
              <w:spacing w:line="360" w:lineRule="auto"/>
              <w:jc w:val="center"/>
              <w:rPr>
                <w:rFonts w:ascii="宋体" w:hAnsi="宋体" w:cs="宋体"/>
                <w:color w:val="auto"/>
                <w:kern w:val="0"/>
                <w:sz w:val="21"/>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77C856">
            <w:pPr>
              <w:spacing w:line="360" w:lineRule="auto"/>
              <w:jc w:val="center"/>
              <w:rPr>
                <w:rFonts w:ascii="宋体" w:hAnsi="宋体" w:cs="宋体"/>
                <w:color w:val="auto"/>
                <w:kern w:val="0"/>
                <w:sz w:val="21"/>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05B19CA">
            <w:pPr>
              <w:spacing w:line="360" w:lineRule="auto"/>
              <w:jc w:val="center"/>
              <w:rPr>
                <w:rFonts w:ascii="宋体" w:hAnsi="宋体" w:cs="宋体"/>
                <w:color w:val="auto"/>
                <w:kern w:val="0"/>
                <w:sz w:val="21"/>
                <w:szCs w:val="21"/>
                <w:highlight w:val="none"/>
              </w:rPr>
            </w:pPr>
          </w:p>
        </w:tc>
      </w:tr>
      <w:tr w14:paraId="74D2A3AA">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0A604C">
            <w:pPr>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472B2A0">
            <w:pPr>
              <w:spacing w:line="360" w:lineRule="auto"/>
              <w:jc w:val="center"/>
              <w:rPr>
                <w:rFonts w:ascii="宋体" w:hAnsi="宋体" w:cs="宋体"/>
                <w:color w:val="auto"/>
                <w:kern w:val="0"/>
                <w:sz w:val="21"/>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3C582FF">
            <w:pPr>
              <w:spacing w:line="360" w:lineRule="auto"/>
              <w:jc w:val="center"/>
              <w:rPr>
                <w:rFonts w:ascii="宋体" w:hAnsi="宋体" w:cs="宋体"/>
                <w:color w:val="auto"/>
                <w:kern w:val="0"/>
                <w:sz w:val="21"/>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C31AC90">
            <w:pPr>
              <w:spacing w:line="360" w:lineRule="auto"/>
              <w:jc w:val="center"/>
              <w:rPr>
                <w:rFonts w:ascii="宋体" w:hAnsi="宋体" w:cs="宋体"/>
                <w:color w:val="auto"/>
                <w:kern w:val="0"/>
                <w:sz w:val="21"/>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F3760F7">
            <w:pPr>
              <w:spacing w:line="360" w:lineRule="auto"/>
              <w:jc w:val="center"/>
              <w:rPr>
                <w:rFonts w:ascii="宋体" w:hAnsi="宋体" w:cs="宋体"/>
                <w:color w:val="auto"/>
                <w:kern w:val="0"/>
                <w:sz w:val="21"/>
                <w:szCs w:val="21"/>
                <w:highlight w:val="none"/>
              </w:rPr>
            </w:pPr>
          </w:p>
        </w:tc>
      </w:tr>
      <w:tr w14:paraId="7B16F21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02721DE">
            <w:pPr>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8459ACA">
            <w:pPr>
              <w:spacing w:line="360" w:lineRule="auto"/>
              <w:jc w:val="center"/>
              <w:rPr>
                <w:rFonts w:ascii="宋体" w:hAnsi="宋体" w:cs="宋体"/>
                <w:color w:val="auto"/>
                <w:kern w:val="0"/>
                <w:sz w:val="21"/>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ACDCA52">
            <w:pPr>
              <w:spacing w:line="360" w:lineRule="auto"/>
              <w:jc w:val="center"/>
              <w:rPr>
                <w:rFonts w:ascii="宋体" w:hAnsi="宋体" w:cs="宋体"/>
                <w:color w:val="auto"/>
                <w:kern w:val="0"/>
                <w:sz w:val="21"/>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B9E921C">
            <w:pPr>
              <w:spacing w:line="360" w:lineRule="auto"/>
              <w:jc w:val="center"/>
              <w:rPr>
                <w:rFonts w:ascii="宋体" w:hAnsi="宋体" w:cs="宋体"/>
                <w:color w:val="auto"/>
                <w:kern w:val="0"/>
                <w:sz w:val="21"/>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2859393">
            <w:pPr>
              <w:spacing w:line="360" w:lineRule="auto"/>
              <w:jc w:val="center"/>
              <w:rPr>
                <w:rFonts w:ascii="宋体" w:hAnsi="宋体" w:cs="宋体"/>
                <w:color w:val="auto"/>
                <w:kern w:val="0"/>
                <w:sz w:val="21"/>
                <w:szCs w:val="21"/>
                <w:highlight w:val="none"/>
              </w:rPr>
            </w:pPr>
          </w:p>
        </w:tc>
      </w:tr>
      <w:tr w14:paraId="54340BBC">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8C705F4">
            <w:pPr>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2A8B1C9">
            <w:pPr>
              <w:spacing w:line="360" w:lineRule="auto"/>
              <w:jc w:val="center"/>
              <w:rPr>
                <w:rFonts w:ascii="宋体" w:hAnsi="宋体" w:cs="宋体"/>
                <w:color w:val="auto"/>
                <w:kern w:val="0"/>
                <w:sz w:val="21"/>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023258D">
            <w:pPr>
              <w:spacing w:line="360" w:lineRule="auto"/>
              <w:jc w:val="center"/>
              <w:rPr>
                <w:rFonts w:ascii="宋体" w:hAnsi="宋体" w:cs="宋体"/>
                <w:color w:val="auto"/>
                <w:kern w:val="0"/>
                <w:sz w:val="21"/>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DF758E2">
            <w:pPr>
              <w:spacing w:line="360" w:lineRule="auto"/>
              <w:jc w:val="center"/>
              <w:rPr>
                <w:rFonts w:ascii="宋体" w:hAnsi="宋体" w:cs="宋体"/>
                <w:color w:val="auto"/>
                <w:kern w:val="0"/>
                <w:sz w:val="21"/>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42D7F3D">
            <w:pPr>
              <w:spacing w:line="360" w:lineRule="auto"/>
              <w:jc w:val="center"/>
              <w:rPr>
                <w:rFonts w:ascii="宋体" w:hAnsi="宋体" w:cs="宋体"/>
                <w:color w:val="auto"/>
                <w:kern w:val="0"/>
                <w:sz w:val="21"/>
                <w:szCs w:val="21"/>
                <w:highlight w:val="none"/>
              </w:rPr>
            </w:pPr>
          </w:p>
        </w:tc>
      </w:tr>
    </w:tbl>
    <w:p w14:paraId="36CA6BDA">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注：</w:t>
      </w:r>
    </w:p>
    <w:p w14:paraId="438480EC">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D973783">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2.本表所指的控股关系仅限于直接控股关系，不包括间接的控股关系。公司实际控制人与公司之间的关系不属于本表所指的直接控股关系。</w:t>
      </w:r>
    </w:p>
    <w:p w14:paraId="72EB74DE">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3.供应商不存在直接控股股东的，则填“无”。</w:t>
      </w:r>
    </w:p>
    <w:p w14:paraId="33BC096A">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ascii="宋体" w:hAnsi="宋体" w:cs="宋体"/>
          <w:color w:val="auto"/>
          <w:sz w:val="21"/>
          <w:szCs w:val="21"/>
          <w:highlight w:val="none"/>
        </w:rPr>
      </w:pPr>
    </w:p>
    <w:p w14:paraId="23192C1B">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ascii="宋体" w:hAnsi="宋体" w:cs="宋体"/>
          <w:color w:val="auto"/>
          <w:sz w:val="21"/>
          <w:szCs w:val="21"/>
          <w:highlight w:val="none"/>
        </w:rPr>
      </w:pPr>
    </w:p>
    <w:p w14:paraId="10D6C7E2">
      <w:pPr>
        <w:keepNext w:val="0"/>
        <w:keepLines w:val="0"/>
        <w:pageBreakBefore w:val="0"/>
        <w:widowControl w:val="0"/>
        <w:kinsoku/>
        <w:wordWrap/>
        <w:overflowPunct/>
        <w:topLinePunct w:val="0"/>
        <w:autoSpaceDE/>
        <w:autoSpaceDN/>
        <w:bidi w:val="0"/>
        <w:adjustRightInd/>
        <w:snapToGrid w:val="0"/>
        <w:spacing w:line="500" w:lineRule="exact"/>
        <w:ind w:firstLine="4410" w:firstLineChars="2100"/>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zh-CN"/>
        </w:rPr>
        <w:t>投标人名称(电子签章)：</w:t>
      </w:r>
    </w:p>
    <w:p w14:paraId="406F652C">
      <w:pPr>
        <w:keepNext w:val="0"/>
        <w:keepLines w:val="0"/>
        <w:pageBreakBefore w:val="0"/>
        <w:widowControl w:val="0"/>
        <w:kinsoku/>
        <w:wordWrap/>
        <w:overflowPunct/>
        <w:topLinePunct w:val="0"/>
        <w:autoSpaceDE/>
        <w:autoSpaceDN/>
        <w:bidi w:val="0"/>
        <w:adjustRightInd/>
        <w:snapToGrid w:val="0"/>
        <w:spacing w:line="500" w:lineRule="exact"/>
        <w:ind w:firstLine="4515" w:firstLineChars="2150"/>
        <w:textAlignment w:val="auto"/>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日期</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 xml:space="preserve"> 年  </w:t>
      </w:r>
      <w:r>
        <w:rPr>
          <w:rFonts w:hint="eastAsia" w:ascii="宋体" w:hAnsi="宋体" w:cs="宋体"/>
          <w:color w:val="auto"/>
          <w:kern w:val="0"/>
          <w:sz w:val="21"/>
          <w:szCs w:val="21"/>
          <w:highlight w:val="none"/>
          <w:lang w:val="zh-CN"/>
        </w:rPr>
        <w:t>月</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日</w:t>
      </w:r>
    </w:p>
    <w:p w14:paraId="3939D206">
      <w:pPr>
        <w:snapToGrid w:val="0"/>
        <w:jc w:val="center"/>
        <w:rPr>
          <w:rFonts w:ascii="宋体" w:hAnsi="宋体" w:cs="宋体"/>
          <w:b/>
          <w:color w:val="auto"/>
          <w:sz w:val="21"/>
          <w:szCs w:val="21"/>
          <w:highlight w:val="none"/>
        </w:rPr>
      </w:pPr>
      <w:r>
        <w:rPr>
          <w:rFonts w:hint="eastAsia" w:ascii="宋体" w:hAnsi="宋体" w:cs="宋体"/>
          <w:b/>
          <w:color w:val="auto"/>
          <w:sz w:val="21"/>
          <w:szCs w:val="21"/>
          <w:highlight w:val="none"/>
        </w:rPr>
        <w:br w:type="page"/>
      </w:r>
    </w:p>
    <w:p w14:paraId="649158D1">
      <w:pPr>
        <w:snapToGrid w:val="0"/>
        <w:spacing w:line="360" w:lineRule="auto"/>
        <w:jc w:val="center"/>
        <w:rPr>
          <w:rFonts w:ascii="宋体" w:hAnsi="宋体" w:cs="宋体"/>
          <w:color w:val="auto"/>
          <w:sz w:val="28"/>
          <w:szCs w:val="28"/>
          <w:highlight w:val="none"/>
        </w:rPr>
      </w:pPr>
      <w:r>
        <w:rPr>
          <w:rFonts w:hint="eastAsia" w:ascii="宋体" w:hAnsi="宋体" w:cs="宋体"/>
          <w:b/>
          <w:color w:val="auto"/>
          <w:sz w:val="28"/>
          <w:szCs w:val="28"/>
          <w:highlight w:val="none"/>
        </w:rPr>
        <w:t>投标人直接管理关系信息表</w:t>
      </w:r>
    </w:p>
    <w:tbl>
      <w:tblPr>
        <w:tblStyle w:val="51"/>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1C15A2F9">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C73B4E4">
            <w:pPr>
              <w:spacing w:line="36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ABBFE1A">
            <w:pPr>
              <w:spacing w:line="36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845D2AE">
            <w:pPr>
              <w:spacing w:line="36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38D0064">
            <w:pPr>
              <w:spacing w:line="36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备注</w:t>
            </w:r>
          </w:p>
        </w:tc>
      </w:tr>
      <w:tr w14:paraId="0FD755FA">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FEB891F">
            <w:pPr>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3055BE8">
            <w:pPr>
              <w:spacing w:line="360" w:lineRule="auto"/>
              <w:jc w:val="center"/>
              <w:rPr>
                <w:rFonts w:ascii="宋体" w:hAnsi="宋体" w:cs="宋体"/>
                <w:color w:val="auto"/>
                <w:kern w:val="0"/>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DCEED24">
            <w:pPr>
              <w:spacing w:line="360" w:lineRule="auto"/>
              <w:jc w:val="center"/>
              <w:rPr>
                <w:rFonts w:ascii="宋体" w:hAnsi="宋体" w:cs="宋体"/>
                <w:color w:val="auto"/>
                <w:kern w:val="0"/>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4C99734">
            <w:pPr>
              <w:spacing w:line="360" w:lineRule="auto"/>
              <w:jc w:val="center"/>
              <w:rPr>
                <w:rFonts w:ascii="宋体" w:hAnsi="宋体" w:cs="宋体"/>
                <w:color w:val="auto"/>
                <w:kern w:val="0"/>
                <w:sz w:val="21"/>
                <w:szCs w:val="21"/>
                <w:highlight w:val="none"/>
              </w:rPr>
            </w:pPr>
          </w:p>
        </w:tc>
      </w:tr>
      <w:tr w14:paraId="41A96E8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53739AA">
            <w:pPr>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AB05D33">
            <w:pPr>
              <w:spacing w:line="360" w:lineRule="auto"/>
              <w:jc w:val="center"/>
              <w:rPr>
                <w:rFonts w:ascii="宋体" w:hAnsi="宋体" w:cs="宋体"/>
                <w:color w:val="auto"/>
                <w:kern w:val="0"/>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63E1C65">
            <w:pPr>
              <w:spacing w:line="360" w:lineRule="auto"/>
              <w:jc w:val="center"/>
              <w:rPr>
                <w:rFonts w:ascii="宋体" w:hAnsi="宋体" w:cs="宋体"/>
                <w:color w:val="auto"/>
                <w:kern w:val="0"/>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37880AF">
            <w:pPr>
              <w:spacing w:line="360" w:lineRule="auto"/>
              <w:jc w:val="center"/>
              <w:rPr>
                <w:rFonts w:ascii="宋体" w:hAnsi="宋体" w:cs="宋体"/>
                <w:color w:val="auto"/>
                <w:kern w:val="0"/>
                <w:sz w:val="21"/>
                <w:szCs w:val="21"/>
                <w:highlight w:val="none"/>
              </w:rPr>
            </w:pPr>
          </w:p>
        </w:tc>
      </w:tr>
      <w:tr w14:paraId="4615C78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574C4EF">
            <w:pPr>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36288B9">
            <w:pPr>
              <w:spacing w:line="360" w:lineRule="auto"/>
              <w:jc w:val="center"/>
              <w:rPr>
                <w:rFonts w:ascii="宋体" w:hAnsi="宋体" w:cs="宋体"/>
                <w:color w:val="auto"/>
                <w:kern w:val="0"/>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244489B">
            <w:pPr>
              <w:spacing w:line="360" w:lineRule="auto"/>
              <w:jc w:val="center"/>
              <w:rPr>
                <w:rFonts w:ascii="宋体" w:hAnsi="宋体" w:cs="宋体"/>
                <w:color w:val="auto"/>
                <w:kern w:val="0"/>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74815BB">
            <w:pPr>
              <w:spacing w:line="360" w:lineRule="auto"/>
              <w:jc w:val="center"/>
              <w:rPr>
                <w:rFonts w:ascii="宋体" w:hAnsi="宋体" w:cs="宋体"/>
                <w:color w:val="auto"/>
                <w:kern w:val="0"/>
                <w:sz w:val="21"/>
                <w:szCs w:val="21"/>
                <w:highlight w:val="none"/>
              </w:rPr>
            </w:pPr>
          </w:p>
        </w:tc>
      </w:tr>
      <w:tr w14:paraId="2764A52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5916468">
            <w:pPr>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2431112">
            <w:pPr>
              <w:spacing w:line="360" w:lineRule="auto"/>
              <w:jc w:val="center"/>
              <w:rPr>
                <w:rFonts w:ascii="宋体" w:hAnsi="宋体" w:cs="宋体"/>
                <w:color w:val="auto"/>
                <w:kern w:val="0"/>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2AB2D68">
            <w:pPr>
              <w:spacing w:line="360" w:lineRule="auto"/>
              <w:jc w:val="center"/>
              <w:rPr>
                <w:rFonts w:ascii="宋体" w:hAnsi="宋体" w:cs="宋体"/>
                <w:color w:val="auto"/>
                <w:kern w:val="0"/>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433E33A">
            <w:pPr>
              <w:spacing w:line="360" w:lineRule="auto"/>
              <w:jc w:val="center"/>
              <w:rPr>
                <w:rFonts w:ascii="宋体" w:hAnsi="宋体" w:cs="宋体"/>
                <w:color w:val="auto"/>
                <w:kern w:val="0"/>
                <w:sz w:val="21"/>
                <w:szCs w:val="21"/>
                <w:highlight w:val="none"/>
              </w:rPr>
            </w:pPr>
          </w:p>
        </w:tc>
      </w:tr>
    </w:tbl>
    <w:p w14:paraId="1A1AA13C">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473466D6">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1.管理关系：是指不具有出资持股关系的其他单位之间存在的管理与被管理关系，如一些上下级关系的事业单位和团体组织。</w:t>
      </w:r>
    </w:p>
    <w:p w14:paraId="1F1E43D1">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2.本表所指的管理关系仅限于直接管理关系，不包括间接的管理关系。</w:t>
      </w:r>
    </w:p>
    <w:p w14:paraId="1BA87F0F">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3.供应商不存在直接管理关系的，则填“无”。</w:t>
      </w:r>
    </w:p>
    <w:p w14:paraId="632E9FD6">
      <w:pPr>
        <w:snapToGrid w:val="0"/>
        <w:spacing w:line="360" w:lineRule="auto"/>
        <w:jc w:val="left"/>
        <w:rPr>
          <w:rFonts w:ascii="宋体" w:hAnsi="宋体" w:cs="宋体"/>
          <w:color w:val="auto"/>
          <w:sz w:val="21"/>
          <w:szCs w:val="21"/>
          <w:highlight w:val="none"/>
        </w:rPr>
      </w:pPr>
    </w:p>
    <w:p w14:paraId="2FBAACE5">
      <w:pPr>
        <w:snapToGrid w:val="0"/>
        <w:spacing w:line="360" w:lineRule="auto"/>
        <w:jc w:val="left"/>
        <w:rPr>
          <w:rFonts w:ascii="宋体" w:hAnsi="宋体" w:cs="宋体"/>
          <w:color w:val="auto"/>
          <w:sz w:val="21"/>
          <w:szCs w:val="21"/>
          <w:highlight w:val="none"/>
        </w:rPr>
      </w:pPr>
    </w:p>
    <w:p w14:paraId="776F0A4A">
      <w:pPr>
        <w:keepNext w:val="0"/>
        <w:keepLines w:val="0"/>
        <w:pageBreakBefore w:val="0"/>
        <w:widowControl w:val="0"/>
        <w:kinsoku/>
        <w:wordWrap/>
        <w:overflowPunct/>
        <w:topLinePunct w:val="0"/>
        <w:autoSpaceDE/>
        <w:autoSpaceDN/>
        <w:bidi w:val="0"/>
        <w:adjustRightInd/>
        <w:snapToGrid w:val="0"/>
        <w:spacing w:line="500" w:lineRule="exact"/>
        <w:ind w:firstLine="4410" w:firstLineChars="2100"/>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投标人名称(电子签章)：</w:t>
      </w:r>
    </w:p>
    <w:p w14:paraId="22265459">
      <w:pPr>
        <w:keepNext w:val="0"/>
        <w:keepLines w:val="0"/>
        <w:pageBreakBefore w:val="0"/>
        <w:widowControl w:val="0"/>
        <w:kinsoku/>
        <w:wordWrap/>
        <w:overflowPunct/>
        <w:topLinePunct w:val="0"/>
        <w:autoSpaceDE/>
        <w:autoSpaceDN/>
        <w:bidi w:val="0"/>
        <w:adjustRightInd/>
        <w:snapToGrid w:val="0"/>
        <w:spacing w:line="500" w:lineRule="exact"/>
        <w:ind w:firstLine="4410" w:firstLineChars="2100"/>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日期：  年  月   日</w:t>
      </w:r>
    </w:p>
    <w:p w14:paraId="18FA1AE8">
      <w:pPr>
        <w:snapToGrid w:val="0"/>
        <w:spacing w:before="50" w:afterLines="50"/>
        <w:jc w:val="left"/>
        <w:rPr>
          <w:rFonts w:ascii="宋体" w:hAnsi="宋体" w:cs="宋体"/>
          <w:color w:val="auto"/>
          <w:sz w:val="21"/>
          <w:szCs w:val="21"/>
          <w:highlight w:val="none"/>
        </w:rPr>
      </w:pPr>
    </w:p>
    <w:p w14:paraId="2393D29F">
      <w:pPr>
        <w:pStyle w:val="19"/>
        <w:ind w:firstLine="480" w:firstLineChars="200"/>
        <w:rPr>
          <w:rFonts w:hint="default" w:eastAsia="宋体"/>
          <w:color w:val="auto"/>
          <w:highlight w:val="none"/>
          <w:lang w:val="en-US" w:eastAsia="zh-CN"/>
        </w:rPr>
      </w:pPr>
      <w:r>
        <w:rPr>
          <w:rFonts w:hint="eastAsia" w:ascii="宋体" w:hAnsi="宋体" w:eastAsia="宋体" w:cs="宋体"/>
          <w:color w:val="auto"/>
          <w:szCs w:val="21"/>
          <w:highlight w:val="none"/>
          <w:lang w:eastAsia="zh-CN"/>
        </w:rPr>
        <w:br w:type="page"/>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投标人参加本项目无围标串标行为的承诺；</w:t>
      </w:r>
    </w:p>
    <w:p w14:paraId="4A471F0F">
      <w:pPr>
        <w:snapToGrid w:val="0"/>
        <w:spacing w:before="50" w:after="50"/>
        <w:jc w:val="center"/>
        <w:rPr>
          <w:rFonts w:hint="eastAsia" w:ascii="宋体" w:hAnsi="宋体" w:cs="宋体"/>
          <w:b/>
          <w:color w:val="auto"/>
          <w:sz w:val="32"/>
          <w:highlight w:val="none"/>
        </w:rPr>
      </w:pPr>
    </w:p>
    <w:p w14:paraId="7C1C2135">
      <w:pPr>
        <w:snapToGrid w:val="0"/>
        <w:spacing w:before="50" w:after="50"/>
        <w:jc w:val="center"/>
        <w:rPr>
          <w:rFonts w:hint="eastAsia" w:ascii="宋体" w:hAnsi="宋体" w:cs="宋体"/>
          <w:b/>
          <w:color w:val="auto"/>
          <w:sz w:val="28"/>
          <w:szCs w:val="22"/>
          <w:highlight w:val="none"/>
        </w:rPr>
      </w:pPr>
      <w:r>
        <w:rPr>
          <w:rFonts w:hint="eastAsia" w:ascii="宋体" w:hAnsi="宋体" w:cs="宋体"/>
          <w:b/>
          <w:color w:val="auto"/>
          <w:sz w:val="28"/>
          <w:szCs w:val="22"/>
          <w:highlight w:val="none"/>
        </w:rPr>
        <w:t>投标人参加本项目无围标串标行为的承诺函</w:t>
      </w:r>
    </w:p>
    <w:p w14:paraId="2182CD3D">
      <w:pPr>
        <w:pStyle w:val="49"/>
        <w:rPr>
          <w:color w:val="auto"/>
          <w:sz w:val="21"/>
          <w:szCs w:val="21"/>
          <w:highlight w:val="none"/>
        </w:rPr>
      </w:pPr>
    </w:p>
    <w:p w14:paraId="499A681B">
      <w:pPr>
        <w:spacing w:line="440" w:lineRule="exact"/>
        <w:contextualSpacing/>
        <w:jc w:val="left"/>
        <w:rPr>
          <w:rFonts w:ascii="宋体" w:hAnsi="宋体" w:cs="宋体"/>
          <w:b/>
          <w:color w:val="auto"/>
          <w:sz w:val="21"/>
          <w:szCs w:val="21"/>
          <w:highlight w:val="none"/>
        </w:rPr>
      </w:pPr>
      <w:bookmarkStart w:id="113" w:name="OLE_LINK45"/>
      <w:bookmarkStart w:id="114" w:name="OLE_LINK44"/>
      <w:r>
        <w:rPr>
          <w:rFonts w:hint="eastAsia" w:ascii="宋体" w:hAnsi="宋体" w:cs="宋体"/>
          <w:b/>
          <w:color w:val="auto"/>
          <w:sz w:val="21"/>
          <w:szCs w:val="21"/>
          <w:highlight w:val="none"/>
        </w:rPr>
        <w:t>一、我方承诺无下列相互串通投标的情形：</w:t>
      </w:r>
    </w:p>
    <w:p w14:paraId="3DFE191D">
      <w:pPr>
        <w:spacing w:line="440" w:lineRule="exact"/>
        <w:ind w:firstLine="411" w:firstLineChars="196"/>
        <w:contextualSpacing/>
        <w:jc w:val="left"/>
        <w:rPr>
          <w:rFonts w:ascii="宋体" w:hAnsi="宋体" w:cs="宋体"/>
          <w:color w:val="auto"/>
          <w:sz w:val="21"/>
          <w:szCs w:val="21"/>
          <w:highlight w:val="none"/>
        </w:rPr>
      </w:pPr>
      <w:r>
        <w:rPr>
          <w:rFonts w:hint="eastAsia" w:ascii="宋体" w:hAnsi="宋体" w:cs="宋体"/>
          <w:color w:val="auto"/>
          <w:sz w:val="21"/>
          <w:szCs w:val="21"/>
          <w:highlight w:val="none"/>
        </w:rPr>
        <w:t>1.不同投标人的投标文件由同一单位或者个人编制；或者不同投标人报名的IP地址一致的；或者编制标书硬件设备CPU编号、硬盘编号、网卡地址一致的情况；</w:t>
      </w:r>
    </w:p>
    <w:p w14:paraId="6BDB59B8">
      <w:pPr>
        <w:spacing w:line="440" w:lineRule="exact"/>
        <w:ind w:firstLine="411" w:firstLineChars="196"/>
        <w:contextualSpacing/>
        <w:jc w:val="left"/>
        <w:rPr>
          <w:rFonts w:ascii="宋体" w:hAnsi="宋体" w:cs="宋体"/>
          <w:color w:val="auto"/>
          <w:sz w:val="21"/>
          <w:szCs w:val="21"/>
          <w:highlight w:val="none"/>
        </w:rPr>
      </w:pPr>
      <w:r>
        <w:rPr>
          <w:rFonts w:hint="eastAsia" w:ascii="宋体" w:hAnsi="宋体" w:cs="宋体"/>
          <w:color w:val="auto"/>
          <w:sz w:val="21"/>
          <w:szCs w:val="21"/>
          <w:highlight w:val="none"/>
        </w:rPr>
        <w:t>2.不同投标人委托同一单位或者个人办理投标事宜；</w:t>
      </w:r>
    </w:p>
    <w:p w14:paraId="6D782404">
      <w:pPr>
        <w:spacing w:line="440" w:lineRule="exact"/>
        <w:ind w:firstLine="411" w:firstLineChars="196"/>
        <w:contextualSpacing/>
        <w:jc w:val="left"/>
        <w:rPr>
          <w:rFonts w:ascii="宋体" w:hAnsi="宋体" w:cs="宋体"/>
          <w:color w:val="auto"/>
          <w:sz w:val="21"/>
          <w:szCs w:val="21"/>
          <w:highlight w:val="none"/>
        </w:rPr>
      </w:pPr>
      <w:r>
        <w:rPr>
          <w:rFonts w:hint="eastAsia" w:ascii="宋体" w:hAnsi="宋体" w:cs="宋体"/>
          <w:color w:val="auto"/>
          <w:sz w:val="21"/>
          <w:szCs w:val="21"/>
          <w:highlight w:val="none"/>
        </w:rPr>
        <w:t>3.不同的投标人的投标文件载明的项目管理员为同一个人；</w:t>
      </w:r>
    </w:p>
    <w:p w14:paraId="304FF48D">
      <w:pPr>
        <w:spacing w:line="440" w:lineRule="exact"/>
        <w:ind w:firstLine="411" w:firstLineChars="196"/>
        <w:contextualSpacing/>
        <w:jc w:val="left"/>
        <w:rPr>
          <w:rFonts w:ascii="宋体" w:hAnsi="宋体" w:cs="宋体"/>
          <w:color w:val="auto"/>
          <w:sz w:val="21"/>
          <w:szCs w:val="21"/>
          <w:highlight w:val="none"/>
        </w:rPr>
      </w:pPr>
      <w:r>
        <w:rPr>
          <w:rFonts w:hint="eastAsia" w:ascii="宋体" w:hAnsi="宋体" w:cs="宋体"/>
          <w:color w:val="auto"/>
          <w:sz w:val="21"/>
          <w:szCs w:val="21"/>
          <w:highlight w:val="none"/>
        </w:rPr>
        <w:t>4.不同投标人的投标文件异常一致或者投标报价呈规律性差异；</w:t>
      </w:r>
    </w:p>
    <w:p w14:paraId="4DD34AFA">
      <w:pPr>
        <w:spacing w:line="440" w:lineRule="exact"/>
        <w:ind w:firstLine="411" w:firstLineChars="196"/>
        <w:contextualSpacing/>
        <w:jc w:val="left"/>
        <w:rPr>
          <w:rFonts w:ascii="宋体" w:hAnsi="宋体" w:cs="宋体"/>
          <w:color w:val="auto"/>
          <w:sz w:val="21"/>
          <w:szCs w:val="21"/>
          <w:highlight w:val="none"/>
        </w:rPr>
      </w:pPr>
      <w:r>
        <w:rPr>
          <w:rFonts w:hint="eastAsia" w:ascii="宋体" w:hAnsi="宋体" w:cs="宋体"/>
          <w:color w:val="auto"/>
          <w:sz w:val="21"/>
          <w:szCs w:val="21"/>
          <w:highlight w:val="none"/>
        </w:rPr>
        <w:t>5.不同投标人的投标文件相互混装；</w:t>
      </w:r>
    </w:p>
    <w:p w14:paraId="3DFC4429">
      <w:pPr>
        <w:spacing w:line="440" w:lineRule="exact"/>
        <w:ind w:firstLine="411" w:firstLineChars="196"/>
        <w:contextualSpacing/>
        <w:jc w:val="left"/>
        <w:rPr>
          <w:rFonts w:ascii="宋体" w:hAnsi="宋体" w:cs="宋体"/>
          <w:color w:val="auto"/>
          <w:sz w:val="21"/>
          <w:szCs w:val="21"/>
          <w:highlight w:val="none"/>
        </w:rPr>
      </w:pPr>
      <w:r>
        <w:rPr>
          <w:rFonts w:hint="eastAsia" w:ascii="宋体" w:hAnsi="宋体" w:cs="宋体"/>
          <w:color w:val="auto"/>
          <w:sz w:val="21"/>
          <w:szCs w:val="21"/>
          <w:highlight w:val="none"/>
        </w:rPr>
        <w:t>6.不同投标人的投标保证金从同一单位或者个人账户转出。</w:t>
      </w:r>
    </w:p>
    <w:p w14:paraId="5EECE5E4">
      <w:pPr>
        <w:spacing w:line="440" w:lineRule="exact"/>
        <w:contextualSpacing/>
        <w:jc w:val="left"/>
        <w:rPr>
          <w:rFonts w:ascii="宋体" w:hAnsi="宋体" w:cs="宋体"/>
          <w:color w:val="auto"/>
          <w:sz w:val="21"/>
          <w:szCs w:val="21"/>
          <w:highlight w:val="none"/>
        </w:rPr>
      </w:pPr>
      <w:r>
        <w:rPr>
          <w:rFonts w:hint="eastAsia" w:ascii="宋体" w:hAnsi="宋体" w:cs="宋体"/>
          <w:b/>
          <w:color w:val="auto"/>
          <w:sz w:val="21"/>
          <w:szCs w:val="21"/>
          <w:highlight w:val="none"/>
        </w:rPr>
        <w:t>二、我方承诺无下列恶意串通的情形：</w:t>
      </w:r>
    </w:p>
    <w:p w14:paraId="3CC32367">
      <w:pPr>
        <w:spacing w:line="440" w:lineRule="exact"/>
        <w:ind w:firstLine="411" w:firstLineChars="196"/>
        <w:contextualSpacing/>
        <w:jc w:val="left"/>
        <w:rPr>
          <w:rFonts w:ascii="宋体" w:hAnsi="宋体" w:cs="宋体"/>
          <w:color w:val="auto"/>
          <w:sz w:val="21"/>
          <w:szCs w:val="21"/>
          <w:highlight w:val="none"/>
        </w:rPr>
      </w:pPr>
      <w:r>
        <w:rPr>
          <w:rFonts w:hint="eastAsia" w:ascii="宋体" w:hAnsi="宋体" w:cs="宋体"/>
          <w:color w:val="auto"/>
          <w:sz w:val="21"/>
          <w:szCs w:val="21"/>
          <w:highlight w:val="none"/>
        </w:rPr>
        <w:t>1.投标人直接或者间接从采购人或者采购代理机构处获得其他投标人的相关信息并修改其投标文件或者响应文件；</w:t>
      </w:r>
    </w:p>
    <w:p w14:paraId="5B2DF225">
      <w:pPr>
        <w:spacing w:line="440" w:lineRule="exact"/>
        <w:ind w:firstLine="411" w:firstLineChars="196"/>
        <w:contextualSpacing/>
        <w:jc w:val="left"/>
        <w:rPr>
          <w:rFonts w:ascii="宋体" w:hAnsi="宋体" w:cs="宋体"/>
          <w:color w:val="auto"/>
          <w:sz w:val="21"/>
          <w:szCs w:val="21"/>
          <w:highlight w:val="none"/>
        </w:rPr>
      </w:pPr>
      <w:r>
        <w:rPr>
          <w:rFonts w:hint="eastAsia" w:ascii="宋体" w:hAnsi="宋体" w:cs="宋体"/>
          <w:color w:val="auto"/>
          <w:sz w:val="21"/>
          <w:szCs w:val="21"/>
          <w:highlight w:val="none"/>
        </w:rPr>
        <w:t>2.投标人按照采购人或者采购代理机构的授意撤换、修改投标文件或者响应文件；</w:t>
      </w:r>
    </w:p>
    <w:p w14:paraId="0CB040A5">
      <w:pPr>
        <w:spacing w:line="440" w:lineRule="exact"/>
        <w:ind w:firstLine="411" w:firstLineChars="196"/>
        <w:contextualSpacing/>
        <w:jc w:val="left"/>
        <w:rPr>
          <w:rFonts w:ascii="宋体" w:hAnsi="宋体" w:cs="宋体"/>
          <w:color w:val="auto"/>
          <w:sz w:val="21"/>
          <w:szCs w:val="21"/>
          <w:highlight w:val="none"/>
        </w:rPr>
      </w:pPr>
      <w:r>
        <w:rPr>
          <w:rFonts w:hint="eastAsia" w:ascii="宋体" w:hAnsi="宋体" w:cs="宋体"/>
          <w:color w:val="auto"/>
          <w:sz w:val="21"/>
          <w:szCs w:val="21"/>
          <w:highlight w:val="none"/>
        </w:rPr>
        <w:t>3.投标人之间协商报价、技术方案等投标文件或者响应文件的实质性内容；</w:t>
      </w:r>
    </w:p>
    <w:p w14:paraId="1073F349">
      <w:pPr>
        <w:spacing w:line="440" w:lineRule="exact"/>
        <w:ind w:firstLine="411" w:firstLineChars="196"/>
        <w:contextualSpacing/>
        <w:jc w:val="left"/>
        <w:rPr>
          <w:rFonts w:ascii="宋体" w:hAnsi="宋体" w:cs="宋体"/>
          <w:color w:val="auto"/>
          <w:sz w:val="21"/>
          <w:szCs w:val="21"/>
          <w:highlight w:val="none"/>
        </w:rPr>
      </w:pPr>
      <w:r>
        <w:rPr>
          <w:rFonts w:hint="eastAsia" w:ascii="宋体" w:hAnsi="宋体" w:cs="宋体"/>
          <w:color w:val="auto"/>
          <w:sz w:val="21"/>
          <w:szCs w:val="21"/>
          <w:highlight w:val="none"/>
        </w:rPr>
        <w:t>4.属于同一集团、协会、商会等组织成员的投标人按照该组织要求协同参加政府采购活动；</w:t>
      </w:r>
    </w:p>
    <w:p w14:paraId="63BB573F">
      <w:pPr>
        <w:spacing w:line="440" w:lineRule="exact"/>
        <w:ind w:firstLine="411" w:firstLineChars="196"/>
        <w:contextualSpacing/>
        <w:jc w:val="left"/>
        <w:rPr>
          <w:rFonts w:ascii="宋体" w:hAnsi="宋体" w:cs="宋体"/>
          <w:color w:val="auto"/>
          <w:sz w:val="21"/>
          <w:szCs w:val="21"/>
          <w:highlight w:val="none"/>
        </w:rPr>
      </w:pPr>
      <w:r>
        <w:rPr>
          <w:rFonts w:hint="eastAsia" w:ascii="宋体" w:hAnsi="宋体" w:cs="宋体"/>
          <w:color w:val="auto"/>
          <w:sz w:val="21"/>
          <w:szCs w:val="21"/>
          <w:highlight w:val="none"/>
        </w:rPr>
        <w:t>5.投标人之间事先约定一致抬高或者压低投标报价，或者在招标项目中事先约定轮流以高价位或者低价位中标，或者事先约定由某一特定投标人中标，然后再参加投标；</w:t>
      </w:r>
    </w:p>
    <w:p w14:paraId="685BD3AB">
      <w:pPr>
        <w:spacing w:line="440" w:lineRule="exact"/>
        <w:ind w:firstLine="411" w:firstLineChars="196"/>
        <w:contextualSpacing/>
        <w:jc w:val="left"/>
        <w:rPr>
          <w:rFonts w:ascii="宋体" w:hAnsi="宋体" w:cs="宋体"/>
          <w:color w:val="auto"/>
          <w:sz w:val="21"/>
          <w:szCs w:val="21"/>
          <w:highlight w:val="none"/>
        </w:rPr>
      </w:pPr>
      <w:r>
        <w:rPr>
          <w:rFonts w:hint="eastAsia" w:ascii="宋体" w:hAnsi="宋体" w:cs="宋体"/>
          <w:color w:val="auto"/>
          <w:sz w:val="21"/>
          <w:szCs w:val="21"/>
          <w:highlight w:val="none"/>
        </w:rPr>
        <w:t>6.投标人之间商定部分投标人放弃参加政府采购活动或者放弃中标；</w:t>
      </w:r>
    </w:p>
    <w:p w14:paraId="750420E4">
      <w:pPr>
        <w:spacing w:line="440" w:lineRule="exact"/>
        <w:ind w:firstLine="411" w:firstLineChars="196"/>
        <w:contextualSpacing/>
        <w:jc w:val="left"/>
        <w:rPr>
          <w:rFonts w:ascii="宋体" w:hAnsi="宋体" w:cs="宋体"/>
          <w:color w:val="auto"/>
          <w:sz w:val="21"/>
          <w:szCs w:val="21"/>
          <w:highlight w:val="none"/>
        </w:rPr>
      </w:pPr>
      <w:r>
        <w:rPr>
          <w:rFonts w:hint="eastAsia" w:ascii="宋体" w:hAnsi="宋体" w:cs="宋体"/>
          <w:color w:val="auto"/>
          <w:sz w:val="21"/>
          <w:szCs w:val="21"/>
          <w:highlight w:val="none"/>
        </w:rPr>
        <w:t>7.投标人与采购人或者采购代理机构之间、投标人相互之间，为谋求特定投标人中标或者排斥其他投标人的其他串通行为。</w:t>
      </w:r>
    </w:p>
    <w:p w14:paraId="54050EBF">
      <w:pPr>
        <w:spacing w:line="440" w:lineRule="exact"/>
        <w:ind w:firstLine="413" w:firstLineChars="196"/>
        <w:contextualSpacing/>
        <w:jc w:val="left"/>
        <w:rPr>
          <w:rFonts w:ascii="宋体" w:hAnsi="宋体" w:cs="宋体"/>
          <w:b/>
          <w:color w:val="auto"/>
          <w:sz w:val="21"/>
          <w:szCs w:val="21"/>
          <w:highlight w:val="none"/>
        </w:rPr>
      </w:pPr>
      <w:r>
        <w:rPr>
          <w:rFonts w:hint="eastAsia" w:ascii="宋体" w:hAnsi="宋体" w:cs="宋体"/>
          <w:b/>
          <w:color w:val="auto"/>
          <w:sz w:val="21"/>
          <w:szCs w:val="21"/>
          <w:highlight w:val="none"/>
        </w:rPr>
        <w:t>以上情形一经核查属实，接受政府采购监管部门对我方认定存在围标串标行为，我方愿意承担一切后果，并不再寻求任何旨在减轻或者免除法律责任的辩解。</w:t>
      </w:r>
      <w:bookmarkEnd w:id="113"/>
      <w:bookmarkEnd w:id="114"/>
    </w:p>
    <w:p w14:paraId="55DBCEDC">
      <w:pPr>
        <w:pStyle w:val="28"/>
        <w:spacing w:line="440" w:lineRule="exact"/>
        <w:ind w:firstLine="5985" w:firstLineChars="2850"/>
        <w:contextualSpacing/>
        <w:rPr>
          <w:rFonts w:hAnsi="宋体" w:cs="宋体"/>
          <w:color w:val="auto"/>
          <w:sz w:val="21"/>
          <w:szCs w:val="21"/>
          <w:highlight w:val="none"/>
        </w:rPr>
      </w:pPr>
    </w:p>
    <w:p w14:paraId="5EE2DAA3">
      <w:pPr>
        <w:spacing w:line="360" w:lineRule="auto"/>
        <w:ind w:firstLine="420" w:firstLineChars="200"/>
        <w:contextualSpacing/>
        <w:rPr>
          <w:rFonts w:ascii="宋体" w:hAnsi="宋体" w:cs="宋体"/>
          <w:color w:val="auto"/>
          <w:sz w:val="21"/>
          <w:szCs w:val="21"/>
          <w:highlight w:val="none"/>
          <w:u w:val="single"/>
        </w:rPr>
      </w:pPr>
      <w:r>
        <w:rPr>
          <w:rFonts w:hint="eastAsia" w:hAnsi="宋体" w:cs="宋体"/>
          <w:color w:val="auto"/>
          <w:sz w:val="21"/>
          <w:szCs w:val="21"/>
          <w:highlight w:val="none"/>
        </w:rPr>
        <w:t>投标人名称（电子签章）：</w:t>
      </w:r>
    </w:p>
    <w:p w14:paraId="629CB7F6">
      <w:pPr>
        <w:spacing w:line="360" w:lineRule="auto"/>
        <w:ind w:firstLine="420" w:firstLineChars="200"/>
        <w:contextualSpacing/>
        <w:rPr>
          <w:rFonts w:hAnsi="宋体" w:cs="宋体"/>
          <w:color w:val="auto"/>
          <w:sz w:val="21"/>
          <w:szCs w:val="21"/>
          <w:highlight w:val="none"/>
        </w:rPr>
      </w:pPr>
      <w:r>
        <w:rPr>
          <w:rFonts w:hint="eastAsia" w:hAnsi="宋体" w:cs="宋体"/>
          <w:color w:val="auto"/>
          <w:sz w:val="21"/>
          <w:szCs w:val="21"/>
          <w:highlight w:val="none"/>
        </w:rPr>
        <w:t>日期：</w:t>
      </w:r>
      <w:r>
        <w:rPr>
          <w:rFonts w:hint="eastAsia" w:hAnsi="宋体" w:cs="宋体"/>
          <w:color w:val="auto"/>
          <w:sz w:val="21"/>
          <w:szCs w:val="21"/>
          <w:highlight w:val="none"/>
          <w:lang w:val="en-US" w:eastAsia="zh-CN"/>
        </w:rPr>
        <w:t xml:space="preserve">  </w:t>
      </w:r>
      <w:r>
        <w:rPr>
          <w:rFonts w:hint="eastAsia" w:hAnsi="宋体" w:cs="宋体"/>
          <w:color w:val="auto"/>
          <w:sz w:val="21"/>
          <w:szCs w:val="21"/>
          <w:highlight w:val="none"/>
        </w:rPr>
        <w:t>年</w:t>
      </w:r>
      <w:r>
        <w:rPr>
          <w:rFonts w:hint="eastAsia" w:hAnsi="宋体" w:cs="宋体"/>
          <w:color w:val="auto"/>
          <w:sz w:val="21"/>
          <w:szCs w:val="21"/>
          <w:highlight w:val="none"/>
          <w:lang w:val="en-US" w:eastAsia="zh-CN"/>
        </w:rPr>
        <w:t xml:space="preserve">  </w:t>
      </w:r>
      <w:r>
        <w:rPr>
          <w:rFonts w:hint="eastAsia" w:hAnsi="宋体" w:cs="宋体"/>
          <w:color w:val="auto"/>
          <w:sz w:val="21"/>
          <w:szCs w:val="21"/>
          <w:highlight w:val="none"/>
        </w:rPr>
        <w:t>月</w:t>
      </w:r>
      <w:r>
        <w:rPr>
          <w:rFonts w:hint="eastAsia" w:hAnsi="宋体" w:cs="宋体"/>
          <w:color w:val="auto"/>
          <w:sz w:val="21"/>
          <w:szCs w:val="21"/>
          <w:highlight w:val="none"/>
          <w:lang w:val="en-US" w:eastAsia="zh-CN"/>
        </w:rPr>
        <w:t xml:space="preserve">   </w:t>
      </w:r>
      <w:r>
        <w:rPr>
          <w:rFonts w:hint="eastAsia" w:hAnsi="宋体" w:cs="宋体"/>
          <w:color w:val="auto"/>
          <w:sz w:val="21"/>
          <w:szCs w:val="21"/>
          <w:highlight w:val="none"/>
        </w:rPr>
        <w:t>日</w:t>
      </w:r>
    </w:p>
    <w:p w14:paraId="0A5D4819">
      <w:pPr>
        <w:snapToGrid w:val="0"/>
        <w:spacing w:before="50" w:after="156" w:afterLines="50" w:line="360" w:lineRule="exact"/>
        <w:jc w:val="left"/>
        <w:outlineLvl w:val="0"/>
        <w:rPr>
          <w:rFonts w:hint="eastAsia" w:ascii="Times New Roman" w:hAnsi="Times New Roman" w:eastAsia="宋体" w:cs="Times New Roman"/>
          <w:b/>
          <w:color w:val="auto"/>
          <w:highlight w:val="none"/>
        </w:rPr>
      </w:pPr>
      <w:r>
        <w:rPr>
          <w:rFonts w:hint="eastAsia" w:ascii="Times New Roman" w:hAnsi="Times New Roman" w:eastAsia="宋体" w:cs="Times New Roman"/>
          <w:b/>
          <w:color w:val="auto"/>
          <w:highlight w:val="none"/>
        </w:rPr>
        <w:br w:type="page"/>
      </w:r>
      <w:r>
        <w:rPr>
          <w:rFonts w:hint="eastAsia" w:ascii="Times New Roman" w:hAnsi="Times New Roman" w:eastAsia="宋体" w:cs="Times New Roman"/>
          <w:b/>
          <w:color w:val="auto"/>
          <w:highlight w:val="none"/>
        </w:rPr>
        <w:t>二）商务技术文件部分（格式）</w:t>
      </w:r>
    </w:p>
    <w:p w14:paraId="2F08DDDF">
      <w:pPr>
        <w:spacing w:line="360" w:lineRule="exact"/>
        <w:rPr>
          <w:rFonts w:hint="eastAsia" w:ascii="宋体" w:hAnsi="宋体"/>
          <w:b/>
        </w:rPr>
      </w:pPr>
      <w:r>
        <w:rPr>
          <w:rFonts w:hint="eastAsia" w:ascii="宋体" w:hAnsi="宋体"/>
          <w:b/>
        </w:rPr>
        <w:t>1.商务文件：</w:t>
      </w:r>
    </w:p>
    <w:p w14:paraId="57407BFA">
      <w:pPr>
        <w:spacing w:line="360" w:lineRule="exact"/>
        <w:rPr>
          <w:rFonts w:hint="eastAsia" w:ascii="宋体" w:hAnsi="宋体"/>
          <w:b/>
        </w:rPr>
      </w:pPr>
    </w:p>
    <w:p w14:paraId="22078D47">
      <w:pPr>
        <w:spacing w:line="360" w:lineRule="exact"/>
        <w:rPr>
          <w:rFonts w:hint="eastAsia"/>
        </w:rPr>
      </w:pPr>
      <w:r>
        <w:rPr>
          <w:rFonts w:hint="eastAsia"/>
        </w:rPr>
        <w:t xml:space="preserve">    （1）</w:t>
      </w:r>
      <w:r>
        <w:rPr>
          <w:rFonts w:hint="eastAsia" w:ascii="宋体" w:hAnsi="宋体"/>
          <w:color w:val="000000"/>
          <w:szCs w:val="21"/>
        </w:rPr>
        <w:t>投标保证金的提交凭证</w:t>
      </w:r>
      <w:r>
        <w:rPr>
          <w:rFonts w:hint="eastAsia" w:ascii="宋体" w:cs="宋体"/>
          <w:kern w:val="0"/>
          <w:szCs w:val="21"/>
        </w:rPr>
        <w:t>；</w:t>
      </w:r>
      <w:r>
        <w:rPr>
          <w:rFonts w:hint="eastAsia" w:ascii="宋体" w:cs="宋体"/>
          <w:b/>
          <w:kern w:val="0"/>
          <w:szCs w:val="21"/>
        </w:rPr>
        <w:t>（必须提供）</w:t>
      </w:r>
    </w:p>
    <w:p w14:paraId="0FC5472F">
      <w:pPr>
        <w:spacing w:line="360" w:lineRule="exact"/>
        <w:rPr>
          <w:rFonts w:hint="eastAsia"/>
        </w:rPr>
      </w:pPr>
    </w:p>
    <w:p w14:paraId="4EA8FE37">
      <w:pPr>
        <w:spacing w:line="360" w:lineRule="exact"/>
        <w:rPr>
          <w:rFonts w:hint="eastAsia"/>
        </w:rPr>
      </w:pPr>
      <w:r>
        <w:rPr>
          <w:rFonts w:hint="eastAsia"/>
        </w:rPr>
        <w:t xml:space="preserve">    （2）投标声明书格式：</w:t>
      </w:r>
    </w:p>
    <w:p w14:paraId="414A19D5">
      <w:pPr>
        <w:snapToGrid w:val="0"/>
        <w:spacing w:before="156" w:beforeLines="50" w:after="50" w:line="360" w:lineRule="exact"/>
        <w:jc w:val="center"/>
        <w:rPr>
          <w:rFonts w:hint="eastAsia" w:ascii="宋体"/>
          <w:b/>
          <w:sz w:val="30"/>
          <w:szCs w:val="30"/>
        </w:rPr>
      </w:pPr>
      <w:r>
        <w:rPr>
          <w:rFonts w:hint="eastAsia" w:ascii="宋体"/>
          <w:b/>
          <w:sz w:val="30"/>
          <w:szCs w:val="30"/>
        </w:rPr>
        <w:t>投标声明书</w:t>
      </w:r>
    </w:p>
    <w:p w14:paraId="2CECBB04">
      <w:pPr>
        <w:spacing w:line="400" w:lineRule="exact"/>
        <w:rPr>
          <w:rFonts w:hint="eastAsia"/>
        </w:rPr>
      </w:pPr>
      <w:r>
        <w:rPr>
          <w:rFonts w:hint="eastAsia"/>
        </w:rPr>
        <w:t>致：</w:t>
      </w:r>
      <w:r>
        <w:rPr>
          <w:rFonts w:hint="eastAsia"/>
          <w:u w:val="single"/>
        </w:rPr>
        <w:t xml:space="preserve"> </w:t>
      </w:r>
      <w:r>
        <w:rPr>
          <w:rFonts w:hint="eastAsia"/>
          <w:u w:val="single"/>
          <w:lang w:eastAsia="zh-CN"/>
        </w:rPr>
        <w:t>广西中吉银工程项目管理有限公司</w:t>
      </w:r>
      <w:r>
        <w:rPr>
          <w:rFonts w:hint="eastAsia"/>
          <w:u w:val="single"/>
        </w:rPr>
        <w:t xml:space="preserve"> </w:t>
      </w:r>
    </w:p>
    <w:p w14:paraId="310555CA">
      <w:pPr>
        <w:spacing w:line="400" w:lineRule="exact"/>
        <w:rPr>
          <w:rFonts w:hint="eastAsia"/>
        </w:rPr>
      </w:pPr>
      <w:r>
        <w:rPr>
          <w:rFonts w:hint="eastAsia"/>
        </w:rPr>
        <w:t xml:space="preserve">    </w:t>
      </w:r>
      <w:r>
        <w:rPr>
          <w:rFonts w:hint="eastAsia"/>
          <w:u w:val="single"/>
        </w:rPr>
        <w:t xml:space="preserve">                </w:t>
      </w:r>
      <w:r>
        <w:rPr>
          <w:rFonts w:hint="eastAsia"/>
        </w:rPr>
        <w:t>（投标人名称）系中华人民共和国合法企业，经营地址</w:t>
      </w:r>
      <w:r>
        <w:rPr>
          <w:rFonts w:hint="eastAsia"/>
          <w:u w:val="single"/>
        </w:rPr>
        <w:t xml:space="preserve">                               </w:t>
      </w:r>
      <w:r>
        <w:rPr>
          <w:rFonts w:hint="eastAsia"/>
        </w:rPr>
        <w:t>。</w:t>
      </w:r>
    </w:p>
    <w:p w14:paraId="4A8BC976">
      <w:pPr>
        <w:spacing w:line="400" w:lineRule="exact"/>
        <w:rPr>
          <w:rFonts w:hint="eastAsia"/>
        </w:rPr>
      </w:pPr>
      <w:r>
        <w:rPr>
          <w:rFonts w:hint="eastAsia"/>
        </w:rPr>
        <w:t xml:space="preserve">    我</w:t>
      </w:r>
      <w:r>
        <w:rPr>
          <w:rFonts w:hint="eastAsia"/>
          <w:u w:val="single"/>
        </w:rPr>
        <w:t xml:space="preserve">           </w:t>
      </w:r>
      <w:r>
        <w:rPr>
          <w:rFonts w:hint="eastAsia"/>
        </w:rPr>
        <w:t>（姓名）系</w:t>
      </w:r>
      <w:r>
        <w:rPr>
          <w:rFonts w:hint="eastAsia"/>
          <w:u w:val="single"/>
        </w:rPr>
        <w:t xml:space="preserve">                    </w:t>
      </w:r>
      <w:r>
        <w:rPr>
          <w:rFonts w:hint="eastAsia"/>
        </w:rPr>
        <w:t>（投标人名称）的法定代表人（负责人），我方愿意参加贵方组织的</w:t>
      </w:r>
      <w:r>
        <w:rPr>
          <w:rFonts w:hint="eastAsia"/>
          <w:u w:val="single"/>
        </w:rPr>
        <w:t xml:space="preserve">                     </w:t>
      </w:r>
      <w:r>
        <w:rPr>
          <w:rFonts w:hint="eastAsia"/>
        </w:rPr>
        <w:t>项目的投标，为便于贵方公正、择优地确定中标人及其服务，我方就本次投标有关事项郑重声明如下：</w:t>
      </w:r>
    </w:p>
    <w:p w14:paraId="52572F49">
      <w:pPr>
        <w:spacing w:line="400" w:lineRule="exact"/>
        <w:rPr>
          <w:rFonts w:hint="eastAsia"/>
        </w:rPr>
      </w:pPr>
      <w:r>
        <w:rPr>
          <w:rFonts w:hint="eastAsia"/>
        </w:rPr>
        <w:t xml:space="preserve">    1.我方向贵方提交的所有投标文件、资料都是准确的和真实的。</w:t>
      </w:r>
    </w:p>
    <w:p w14:paraId="126B9137">
      <w:pPr>
        <w:spacing w:line="400" w:lineRule="exact"/>
        <w:rPr>
          <w:rFonts w:hint="eastAsia"/>
        </w:rPr>
      </w:pPr>
      <w:r>
        <w:rPr>
          <w:rFonts w:hint="eastAsia"/>
        </w:rPr>
        <w:t xml:space="preserve">    2.我方不是采购人的附属机构；在获知本项目采购信息后，与采购人聘请的为此项目提供咨询服务的公司及其附属机构没有任何联系。</w:t>
      </w:r>
    </w:p>
    <w:p w14:paraId="4EEED035">
      <w:pPr>
        <w:spacing w:line="400" w:lineRule="exact"/>
        <w:rPr>
          <w:rFonts w:hint="eastAsia"/>
        </w:rPr>
      </w:pPr>
      <w:r>
        <w:rPr>
          <w:rFonts w:hint="eastAsia"/>
        </w:rPr>
        <w:t xml:space="preserve">    3.我方此次向贵方提供的服务名称为：</w:t>
      </w:r>
      <w:r>
        <w:rPr>
          <w:rFonts w:hint="eastAsia"/>
          <w:u w:val="single"/>
        </w:rPr>
        <w:t xml:space="preserve">                            </w:t>
      </w:r>
      <w:r>
        <w:rPr>
          <w:rFonts w:hint="eastAsia"/>
        </w:rPr>
        <w:t>。</w:t>
      </w:r>
    </w:p>
    <w:p w14:paraId="6D62AA43">
      <w:pPr>
        <w:spacing w:line="400" w:lineRule="exact"/>
        <w:rPr>
          <w:rFonts w:hint="eastAsia"/>
        </w:rPr>
      </w:pPr>
      <w:r>
        <w:rPr>
          <w:rFonts w:hint="eastAsia"/>
        </w:rPr>
        <w:t xml:space="preserve">    4.我方诚意提请贵方关注：近期有关该服务等方面的重大决策和事项有：</w:t>
      </w:r>
    </w:p>
    <w:p w14:paraId="380F54CB">
      <w:pPr>
        <w:spacing w:line="400" w:lineRule="exact"/>
        <w:rPr>
          <w:rFonts w:hint="eastAsia"/>
          <w:u w:val="single"/>
        </w:rPr>
      </w:pPr>
      <w:r>
        <w:rPr>
          <w:rFonts w:hint="eastAsia"/>
        </w:rPr>
        <w:t>　　</w:t>
      </w:r>
      <w:r>
        <w:rPr>
          <w:rFonts w:hint="eastAsia"/>
          <w:u w:val="single"/>
        </w:rPr>
        <w:t>　　　　　　　　　　　　　　　　　　　　　　　　　</w:t>
      </w:r>
    </w:p>
    <w:p w14:paraId="394BCD7B">
      <w:pPr>
        <w:spacing w:line="400" w:lineRule="exact"/>
        <w:rPr>
          <w:rFonts w:hint="eastAsia"/>
          <w:u w:val="single"/>
        </w:rPr>
      </w:pPr>
      <w:r>
        <w:rPr>
          <w:rFonts w:hint="eastAsia"/>
        </w:rPr>
        <w:t>　　</w:t>
      </w:r>
      <w:r>
        <w:rPr>
          <w:rFonts w:hint="eastAsia"/>
          <w:u w:val="single"/>
        </w:rPr>
        <w:t>　　　　　　　　　　　　　　　　　　　　　　　　　</w:t>
      </w:r>
    </w:p>
    <w:p w14:paraId="6C5CE900">
      <w:pPr>
        <w:spacing w:line="400" w:lineRule="exact"/>
        <w:rPr>
          <w:rFonts w:hint="eastAsia"/>
        </w:rPr>
      </w:pPr>
      <w:r>
        <w:rPr>
          <w:rFonts w:hint="eastAsia"/>
        </w:rPr>
        <w:t xml:space="preserve">    5.我方</w:t>
      </w:r>
      <w:r>
        <w:t>参加政府采购活动前</w:t>
      </w:r>
      <w:r>
        <w:rPr>
          <w:rFonts w:hint="eastAsia"/>
        </w:rPr>
        <w:t>三</w:t>
      </w:r>
      <w:r>
        <w:t>年内在经营活动中重大违法记录</w:t>
      </w:r>
      <w:r>
        <w:rPr>
          <w:rFonts w:hint="eastAsia"/>
        </w:rPr>
        <w:t>情况：</w:t>
      </w:r>
    </w:p>
    <w:p w14:paraId="1F97483D">
      <w:pPr>
        <w:spacing w:line="400" w:lineRule="exact"/>
        <w:rPr>
          <w:rFonts w:hint="eastAsia"/>
          <w:u w:val="single"/>
        </w:rPr>
      </w:pPr>
      <w:r>
        <w:rPr>
          <w:rFonts w:hint="eastAsia"/>
        </w:rPr>
        <w:t>　　</w:t>
      </w:r>
      <w:r>
        <w:rPr>
          <w:rFonts w:hint="eastAsia"/>
          <w:u w:val="single"/>
        </w:rPr>
        <w:t>　　　　　　　　　　　　　　　　　　　　　　　　　</w:t>
      </w:r>
    </w:p>
    <w:p w14:paraId="4DC62F55">
      <w:pPr>
        <w:spacing w:line="400" w:lineRule="exact"/>
        <w:rPr>
          <w:rFonts w:hint="eastAsia"/>
        </w:rPr>
      </w:pPr>
      <w:r>
        <w:rPr>
          <w:rFonts w:hint="eastAsia"/>
        </w:rPr>
        <w:t xml:space="preserve">    6.以上事项如有虚假或隐瞒，我方愿意承担一切后果。</w:t>
      </w:r>
    </w:p>
    <w:p w14:paraId="11D4A7B3">
      <w:pPr>
        <w:spacing w:line="400" w:lineRule="exact"/>
        <w:rPr>
          <w:rFonts w:hint="eastAsia"/>
        </w:rPr>
      </w:pPr>
    </w:p>
    <w:p w14:paraId="5087BEC7">
      <w:pPr>
        <w:spacing w:line="400" w:lineRule="exact"/>
        <w:rPr>
          <w:rFonts w:hint="eastAsia"/>
          <w:color w:val="auto"/>
          <w:highlight w:val="none"/>
        </w:rPr>
      </w:pPr>
      <w:r>
        <w:rPr>
          <w:rFonts w:hint="eastAsia"/>
        </w:rPr>
        <w:t xml:space="preserve">                                            </w:t>
      </w:r>
      <w:r>
        <w:rPr>
          <w:rFonts w:hint="eastAsia"/>
          <w:color w:val="auto"/>
          <w:highlight w:val="none"/>
        </w:rPr>
        <w:t xml:space="preserve">  法定代表人（负责人）签字或盖章：</w:t>
      </w:r>
      <w:r>
        <w:rPr>
          <w:rFonts w:hint="eastAsia"/>
          <w:color w:val="auto"/>
          <w:highlight w:val="none"/>
          <w:u w:val="single"/>
        </w:rPr>
        <w:t xml:space="preserve">             </w:t>
      </w:r>
    </w:p>
    <w:p w14:paraId="1525E1B5">
      <w:pPr>
        <w:spacing w:line="400" w:lineRule="exact"/>
        <w:rPr>
          <w:rFonts w:hint="eastAsia"/>
          <w:color w:val="auto"/>
          <w:highlight w:val="none"/>
        </w:rPr>
      </w:pPr>
      <w:r>
        <w:rPr>
          <w:rFonts w:hint="eastAsia"/>
          <w:color w:val="auto"/>
          <w:highlight w:val="none"/>
        </w:rPr>
        <w:t xml:space="preserve">                                               投标人名称（</w:t>
      </w:r>
      <w:r>
        <w:rPr>
          <w:rFonts w:hint="eastAsia" w:ascii="宋体"/>
          <w:color w:val="auto"/>
          <w:szCs w:val="21"/>
          <w:highlight w:val="none"/>
        </w:rPr>
        <w:t>盖章</w:t>
      </w:r>
      <w:r>
        <w:rPr>
          <w:rFonts w:hint="eastAsia"/>
          <w:color w:val="auto"/>
          <w:highlight w:val="none"/>
        </w:rPr>
        <w:t>）：</w:t>
      </w:r>
      <w:r>
        <w:rPr>
          <w:rFonts w:hint="eastAsia"/>
          <w:color w:val="auto"/>
          <w:highlight w:val="none"/>
          <w:u w:val="single"/>
        </w:rPr>
        <w:t xml:space="preserve">               </w:t>
      </w:r>
    </w:p>
    <w:p w14:paraId="04AD63E3">
      <w:pPr>
        <w:spacing w:line="400" w:lineRule="exact"/>
        <w:rPr>
          <w:rFonts w:hint="eastAsia"/>
          <w:color w:val="auto"/>
          <w:highlight w:val="none"/>
        </w:rPr>
      </w:pPr>
      <w:r>
        <w:rPr>
          <w:rFonts w:hint="eastAsia"/>
          <w:color w:val="auto"/>
          <w:highlight w:val="none"/>
        </w:rPr>
        <w:t xml:space="preserve">                                                                          年    月    日</w:t>
      </w:r>
    </w:p>
    <w:p w14:paraId="5A5EB246">
      <w:pPr>
        <w:spacing w:line="360" w:lineRule="auto"/>
        <w:jc w:val="center"/>
        <w:rPr>
          <w:rFonts w:hint="default" w:ascii="仿宋_GB2312" w:hAnsi="仿宋" w:eastAsia="仿宋_GB2312" w:cs="仿宋_GB2312"/>
          <w:b/>
          <w:color w:val="auto"/>
          <w:sz w:val="30"/>
          <w:szCs w:val="30"/>
          <w:highlight w:val="none"/>
          <w:lang w:val="en-US" w:eastAsia="zh-CN"/>
        </w:rPr>
      </w:pPr>
    </w:p>
    <w:p w14:paraId="7BBBA2F2">
      <w:pPr>
        <w:spacing w:line="400" w:lineRule="exact"/>
        <w:rPr>
          <w:rFonts w:hint="eastAsia"/>
        </w:rPr>
      </w:pPr>
    </w:p>
    <w:p w14:paraId="161918ED">
      <w:pPr>
        <w:spacing w:line="400" w:lineRule="exact"/>
        <w:rPr>
          <w:rFonts w:hint="eastAsia"/>
          <w:b/>
        </w:rPr>
      </w:pPr>
    </w:p>
    <w:p w14:paraId="00006CE1">
      <w:pPr>
        <w:spacing w:line="400" w:lineRule="exact"/>
        <w:rPr>
          <w:b/>
        </w:rPr>
      </w:pPr>
      <w:r>
        <w:rPr>
          <w:b/>
        </w:rPr>
        <w:t>重大违法记录，是指供应商因违法经营受到刑事处罚或者责令停产停业、吊销许可证或者执照、较大数额罚款等行政处罚。</w:t>
      </w:r>
    </w:p>
    <w:p w14:paraId="0691D8D3">
      <w:pPr>
        <w:snapToGrid w:val="0"/>
        <w:spacing w:before="50" w:after="156" w:afterLines="50" w:line="340" w:lineRule="exact"/>
        <w:jc w:val="left"/>
        <w:rPr>
          <w:rFonts w:hint="eastAsia" w:ascii="宋体"/>
          <w:b/>
          <w:szCs w:val="21"/>
        </w:rPr>
      </w:pPr>
      <w:r>
        <w:rPr>
          <w:rFonts w:hint="eastAsia" w:ascii="宋体"/>
          <w:b/>
          <w:szCs w:val="21"/>
        </w:rPr>
        <w:br w:type="page"/>
      </w:r>
      <w:r>
        <w:rPr>
          <w:rFonts w:hint="eastAsia" w:ascii="宋体"/>
          <w:b/>
          <w:szCs w:val="21"/>
        </w:rPr>
        <w:t xml:space="preserve">    </w:t>
      </w:r>
    </w:p>
    <w:p w14:paraId="2848A4A4">
      <w:pPr>
        <w:snapToGrid w:val="0"/>
        <w:spacing w:before="50" w:after="156" w:afterLines="50" w:line="340" w:lineRule="exact"/>
        <w:jc w:val="left"/>
        <w:rPr>
          <w:rFonts w:hint="eastAsia" w:ascii="宋体"/>
          <w:szCs w:val="21"/>
        </w:rPr>
      </w:pPr>
      <w:r>
        <w:rPr>
          <w:rFonts w:hint="eastAsia" w:ascii="宋体"/>
          <w:szCs w:val="21"/>
        </w:rPr>
        <w:t>(3) 法定代表人(负责人)授权委托书格式：</w:t>
      </w:r>
    </w:p>
    <w:p w14:paraId="3D4202EF">
      <w:pPr>
        <w:snapToGrid w:val="0"/>
        <w:spacing w:before="156" w:beforeLines="50" w:after="50" w:line="340" w:lineRule="exact"/>
        <w:jc w:val="center"/>
        <w:rPr>
          <w:rFonts w:hint="eastAsia" w:ascii="宋体"/>
          <w:b/>
          <w:sz w:val="30"/>
          <w:szCs w:val="30"/>
        </w:rPr>
      </w:pPr>
    </w:p>
    <w:p w14:paraId="55A72FE4">
      <w:pPr>
        <w:snapToGrid w:val="0"/>
        <w:spacing w:before="156" w:beforeLines="50" w:after="50" w:line="340" w:lineRule="exact"/>
        <w:jc w:val="center"/>
        <w:rPr>
          <w:rFonts w:hint="eastAsia" w:ascii="宋体"/>
          <w:b/>
          <w:sz w:val="30"/>
          <w:szCs w:val="30"/>
        </w:rPr>
      </w:pPr>
      <w:r>
        <w:rPr>
          <w:rFonts w:hint="eastAsia" w:ascii="宋体"/>
          <w:b/>
          <w:sz w:val="30"/>
          <w:szCs w:val="30"/>
        </w:rPr>
        <w:t>法定代表人(负责人)授权委托书</w:t>
      </w:r>
    </w:p>
    <w:p w14:paraId="55062B6C">
      <w:pPr>
        <w:spacing w:line="400" w:lineRule="exact"/>
        <w:rPr>
          <w:rFonts w:hint="eastAsia"/>
        </w:rPr>
      </w:pPr>
      <w:r>
        <w:rPr>
          <w:rFonts w:hint="eastAsia"/>
        </w:rPr>
        <w:t>致：</w:t>
      </w:r>
      <w:r>
        <w:rPr>
          <w:rFonts w:hint="eastAsia"/>
          <w:u w:val="single"/>
        </w:rPr>
        <w:t xml:space="preserve"> </w:t>
      </w:r>
      <w:r>
        <w:rPr>
          <w:rFonts w:hint="eastAsia"/>
          <w:u w:val="single"/>
          <w:lang w:eastAsia="zh-CN"/>
        </w:rPr>
        <w:t>广西中吉银工程项目管理有限公司</w:t>
      </w:r>
      <w:r>
        <w:rPr>
          <w:rFonts w:hint="eastAsia"/>
          <w:u w:val="single"/>
        </w:rPr>
        <w:t xml:space="preserve"> </w:t>
      </w:r>
    </w:p>
    <w:p w14:paraId="18E47E9A">
      <w:pPr>
        <w:spacing w:line="400" w:lineRule="exact"/>
        <w:rPr>
          <w:rFonts w:hint="eastAsia"/>
        </w:rPr>
      </w:pPr>
      <w:r>
        <w:rPr>
          <w:rFonts w:hint="eastAsia"/>
        </w:rPr>
        <w:t xml:space="preserve">    我</w:t>
      </w:r>
      <w:r>
        <w:rPr>
          <w:rFonts w:hint="eastAsia"/>
          <w:u w:val="single"/>
        </w:rPr>
        <w:t xml:space="preserve">             </w:t>
      </w:r>
      <w:r>
        <w:rPr>
          <w:rFonts w:hint="eastAsia"/>
        </w:rPr>
        <w:t>（姓名）系</w:t>
      </w:r>
      <w:r>
        <w:rPr>
          <w:rFonts w:hint="eastAsia"/>
          <w:u w:val="single"/>
        </w:rPr>
        <w:t xml:space="preserve">                </w:t>
      </w:r>
      <w:r>
        <w:rPr>
          <w:rFonts w:hint="eastAsia"/>
        </w:rPr>
        <w:t>（投标人名称）的法定代表人（负责人），现授权委托本单位在职职工</w:t>
      </w:r>
      <w:r>
        <w:rPr>
          <w:rFonts w:hint="eastAsia"/>
          <w:u w:val="single"/>
        </w:rPr>
        <w:t xml:space="preserve">           </w:t>
      </w:r>
      <w:r>
        <w:rPr>
          <w:rFonts w:hint="eastAsia"/>
        </w:rPr>
        <w:t>（姓名）以我方的名义参加</w:t>
      </w:r>
      <w:r>
        <w:rPr>
          <w:rFonts w:hint="eastAsia"/>
          <w:u w:val="single"/>
        </w:rPr>
        <w:t xml:space="preserve">                </w:t>
      </w:r>
      <w:r>
        <w:rPr>
          <w:rFonts w:hint="eastAsia"/>
        </w:rPr>
        <w:t>项目的投标活动，并代表我方全权办理针对上述项目的投标、开标、评标、签约等具体事务和签署相关文件。</w:t>
      </w:r>
    </w:p>
    <w:p w14:paraId="6B02B1F3">
      <w:pPr>
        <w:spacing w:line="400" w:lineRule="exact"/>
        <w:rPr>
          <w:rFonts w:hint="eastAsia"/>
        </w:rPr>
      </w:pPr>
      <w:r>
        <w:rPr>
          <w:rFonts w:hint="eastAsia"/>
        </w:rPr>
        <w:t xml:space="preserve">    我方对被授权人的签名事项负全部责任。</w:t>
      </w:r>
    </w:p>
    <w:p w14:paraId="7707D24A">
      <w:pPr>
        <w:spacing w:line="400" w:lineRule="exact"/>
        <w:rPr>
          <w:rFonts w:hint="eastAsia"/>
        </w:rPr>
      </w:pPr>
      <w:r>
        <w:rPr>
          <w:rFonts w:hint="eastAsia"/>
        </w:rPr>
        <w:t xml:space="preserve">    </w:t>
      </w:r>
      <w:r>
        <w:rPr>
          <w:rFonts w:hint="eastAsia"/>
          <w:u w:val="single"/>
        </w:rPr>
        <w:t>在撤销授权的书面通知以前，本授权书一直有效。</w:t>
      </w:r>
      <w:r>
        <w:rPr>
          <w:rFonts w:hint="eastAsia"/>
        </w:rPr>
        <w:t>被授权人在授权书有效期内签署的所有文件不因授权的撤销而失效。</w:t>
      </w:r>
    </w:p>
    <w:p w14:paraId="541070C1">
      <w:pPr>
        <w:spacing w:line="400" w:lineRule="exact"/>
        <w:rPr>
          <w:rFonts w:hint="eastAsia"/>
        </w:rPr>
      </w:pPr>
      <w:r>
        <w:rPr>
          <w:rFonts w:hint="eastAsia"/>
        </w:rPr>
        <w:t xml:space="preserve">    被授权人无转委托权，特此委托。</w:t>
      </w:r>
    </w:p>
    <w:p w14:paraId="50278B6D">
      <w:pPr>
        <w:spacing w:line="400" w:lineRule="exact"/>
        <w:rPr>
          <w:rFonts w:hint="eastAsia"/>
        </w:rPr>
      </w:pPr>
    </w:p>
    <w:p w14:paraId="7CD949C8">
      <w:pPr>
        <w:spacing w:line="400" w:lineRule="exact"/>
        <w:rPr>
          <w:rFonts w:hint="eastAsia"/>
        </w:rPr>
      </w:pPr>
      <w:r>
        <w:rPr>
          <w:rFonts w:hint="eastAsia"/>
        </w:rPr>
        <w:t>被授权人签字或盖章：</w:t>
      </w:r>
      <w:r>
        <w:rPr>
          <w:rFonts w:hint="eastAsia"/>
          <w:u w:val="single"/>
        </w:rPr>
        <w:t xml:space="preserve">            </w:t>
      </w:r>
      <w:r>
        <w:rPr>
          <w:rFonts w:hint="eastAsia"/>
        </w:rPr>
        <w:t xml:space="preserve">              法定代表人（负责人）签字或盖章：</w:t>
      </w:r>
      <w:r>
        <w:rPr>
          <w:rFonts w:hint="eastAsia"/>
          <w:u w:val="single"/>
        </w:rPr>
        <w:t xml:space="preserve">            </w:t>
      </w:r>
    </w:p>
    <w:p w14:paraId="7696DB3B">
      <w:pPr>
        <w:spacing w:line="400" w:lineRule="exact"/>
        <w:rPr>
          <w:rFonts w:hint="eastAsia"/>
          <w:u w:val="single"/>
        </w:rPr>
      </w:pPr>
      <w:r>
        <w:rPr>
          <w:rFonts w:hint="eastAsia"/>
        </w:rPr>
        <w:t>所在部门职务：</w:t>
      </w:r>
      <w:r>
        <w:rPr>
          <w:rFonts w:hint="eastAsia"/>
          <w:u w:val="single"/>
        </w:rPr>
        <w:t xml:space="preserve">                  </w:t>
      </w:r>
      <w:r>
        <w:rPr>
          <w:rFonts w:hint="eastAsia"/>
        </w:rPr>
        <w:t xml:space="preserve">              职务：</w:t>
      </w:r>
      <w:r>
        <w:rPr>
          <w:rFonts w:hint="eastAsia"/>
          <w:u w:val="single"/>
        </w:rPr>
        <w:t xml:space="preserve">               </w:t>
      </w:r>
    </w:p>
    <w:p w14:paraId="5D328960">
      <w:pPr>
        <w:spacing w:line="400" w:lineRule="exact"/>
        <w:rPr>
          <w:rFonts w:hint="eastAsia"/>
        </w:rPr>
      </w:pPr>
      <w:r>
        <w:rPr>
          <w:rFonts w:hint="eastAsia"/>
        </w:rPr>
        <w:t>被授权人身份证号码：</w:t>
      </w:r>
      <w:r>
        <w:rPr>
          <w:rFonts w:hint="eastAsia"/>
          <w:u w:val="single"/>
        </w:rPr>
        <w:t xml:space="preserve">                            </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5"/>
      </w:tblGrid>
      <w:tr w14:paraId="06D7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5" w:type="dxa"/>
            <w:noWrap w:val="0"/>
            <w:vAlign w:val="top"/>
          </w:tcPr>
          <w:p w14:paraId="5AA1AEFB">
            <w:pPr>
              <w:spacing w:line="400" w:lineRule="exact"/>
              <w:rPr>
                <w:rFonts w:hint="eastAsia"/>
              </w:rPr>
            </w:pPr>
            <w:r>
              <w:rPr>
                <w:rFonts w:hint="eastAsia"/>
              </w:rPr>
              <w:t>贴附“委托代理人有效身份证复印件”（正反两面）</w:t>
            </w:r>
          </w:p>
        </w:tc>
      </w:tr>
    </w:tbl>
    <w:p w14:paraId="1D5266D6">
      <w:pPr>
        <w:spacing w:line="400" w:lineRule="exact"/>
        <w:rPr>
          <w:rFonts w:hint="eastAsia"/>
        </w:rPr>
      </w:pPr>
      <w:r>
        <w:rPr>
          <w:rFonts w:hint="eastAsia"/>
        </w:rPr>
        <w:t xml:space="preserve">                                                      投标人名称（</w:t>
      </w:r>
      <w:r>
        <w:rPr>
          <w:rFonts w:hint="eastAsia" w:ascii="宋体"/>
          <w:szCs w:val="21"/>
        </w:rPr>
        <w:t>盖章</w:t>
      </w:r>
      <w:r>
        <w:rPr>
          <w:rFonts w:hint="eastAsia"/>
        </w:rPr>
        <w:t>）：</w:t>
      </w:r>
    </w:p>
    <w:p w14:paraId="3CB5487D">
      <w:pPr>
        <w:spacing w:line="400" w:lineRule="exact"/>
        <w:rPr>
          <w:rFonts w:hint="eastAsia"/>
        </w:rPr>
      </w:pPr>
      <w:r>
        <w:rPr>
          <w:rFonts w:hint="eastAsia"/>
        </w:rPr>
        <w:t xml:space="preserve">                                                                   年    月    日</w:t>
      </w:r>
    </w:p>
    <w:p w14:paraId="35CB6567">
      <w:pPr>
        <w:snapToGrid w:val="0"/>
        <w:spacing w:line="360" w:lineRule="auto"/>
        <w:ind w:left="5355" w:leftChars="2400" w:hanging="315" w:hangingChars="150"/>
        <w:rPr>
          <w:rFonts w:hint="eastAsia"/>
        </w:rPr>
      </w:pPr>
      <w:r>
        <w:rPr>
          <w:rFonts w:hint="eastAsia"/>
        </w:rPr>
        <w:t xml:space="preserve">    </w:t>
      </w:r>
    </w:p>
    <w:p w14:paraId="2233029E">
      <w:pPr>
        <w:snapToGrid w:val="0"/>
        <w:spacing w:line="360" w:lineRule="auto"/>
        <w:ind w:left="5355" w:leftChars="2400" w:hanging="315" w:hangingChars="150"/>
        <w:rPr>
          <w:rFonts w:hint="eastAsia"/>
        </w:rPr>
      </w:pPr>
    </w:p>
    <w:p w14:paraId="64FA5602">
      <w:pPr>
        <w:snapToGrid w:val="0"/>
        <w:spacing w:line="360" w:lineRule="auto"/>
        <w:ind w:firstLine="4725" w:firstLineChars="2250"/>
        <w:rPr>
          <w:rFonts w:hint="eastAsia" w:ascii="仿宋_GB2312" w:hAnsi="仿宋" w:eastAsia="仿宋_GB2312" w:cs="仿宋_GB2312"/>
          <w:color w:val="auto"/>
          <w:kern w:val="0"/>
          <w:sz w:val="24"/>
          <w:highlight w:val="none"/>
          <w:lang w:val="zh-CN"/>
        </w:rPr>
      </w:pPr>
      <w:r>
        <w:rPr>
          <w:rFonts w:hint="eastAsia"/>
        </w:rPr>
        <w:t xml:space="preserve">                                                </w:t>
      </w:r>
    </w:p>
    <w:p w14:paraId="4CDDBF97">
      <w:pPr>
        <w:spacing w:line="400" w:lineRule="exact"/>
        <w:rPr>
          <w:rFonts w:hint="eastAsia"/>
        </w:rPr>
      </w:pPr>
    </w:p>
    <w:p w14:paraId="7D13D2FB">
      <w:pPr>
        <w:snapToGrid w:val="0"/>
        <w:spacing w:before="50" w:after="156" w:afterLines="50" w:line="400" w:lineRule="exact"/>
        <w:jc w:val="left"/>
        <w:rPr>
          <w:rFonts w:hint="eastAsia" w:ascii="宋体"/>
          <w:szCs w:val="21"/>
        </w:rPr>
      </w:pPr>
      <w:r>
        <w:rPr>
          <w:rFonts w:hint="eastAsia" w:ascii="宋体"/>
          <w:szCs w:val="21"/>
        </w:rPr>
        <w:t xml:space="preserve">    </w:t>
      </w:r>
    </w:p>
    <w:p w14:paraId="771DEE5D">
      <w:pPr>
        <w:snapToGrid w:val="0"/>
        <w:spacing w:before="50" w:after="156" w:afterLines="50" w:line="400" w:lineRule="exact"/>
        <w:jc w:val="left"/>
        <w:rPr>
          <w:rFonts w:hint="eastAsia" w:ascii="宋体"/>
          <w:szCs w:val="21"/>
        </w:rPr>
      </w:pPr>
    </w:p>
    <w:p w14:paraId="15F58693">
      <w:pPr>
        <w:snapToGrid w:val="0"/>
        <w:spacing w:before="50" w:after="156" w:afterLines="50" w:line="400" w:lineRule="exact"/>
        <w:jc w:val="left"/>
        <w:rPr>
          <w:rFonts w:hint="eastAsia" w:ascii="宋体"/>
          <w:szCs w:val="21"/>
        </w:rPr>
      </w:pPr>
    </w:p>
    <w:p w14:paraId="372355AB">
      <w:pPr>
        <w:snapToGrid w:val="0"/>
        <w:spacing w:before="50" w:after="156" w:afterLines="50" w:line="400" w:lineRule="exact"/>
        <w:jc w:val="left"/>
        <w:rPr>
          <w:rFonts w:hint="eastAsia" w:ascii="宋体"/>
          <w:szCs w:val="21"/>
        </w:rPr>
      </w:pPr>
    </w:p>
    <w:p w14:paraId="3234AD26">
      <w:pPr>
        <w:snapToGrid w:val="0"/>
        <w:spacing w:before="50" w:after="156" w:afterLines="50" w:line="400" w:lineRule="exact"/>
        <w:jc w:val="left"/>
        <w:rPr>
          <w:rFonts w:hint="eastAsia" w:ascii="宋体"/>
          <w:szCs w:val="21"/>
        </w:rPr>
      </w:pPr>
    </w:p>
    <w:p w14:paraId="2504AA19">
      <w:pPr>
        <w:snapToGrid w:val="0"/>
        <w:spacing w:before="50" w:after="156" w:afterLines="50" w:line="400" w:lineRule="exact"/>
        <w:jc w:val="left"/>
        <w:rPr>
          <w:rFonts w:hint="eastAsia" w:ascii="宋体"/>
          <w:szCs w:val="21"/>
        </w:rPr>
      </w:pPr>
    </w:p>
    <w:p w14:paraId="2D5E5755">
      <w:pPr>
        <w:snapToGrid w:val="0"/>
        <w:spacing w:before="50" w:after="156" w:afterLines="50" w:line="400" w:lineRule="exact"/>
        <w:jc w:val="left"/>
        <w:rPr>
          <w:rFonts w:hint="eastAsia" w:ascii="宋体"/>
          <w:szCs w:val="21"/>
        </w:rPr>
      </w:pPr>
    </w:p>
    <w:p w14:paraId="4E662059">
      <w:pPr>
        <w:snapToGrid w:val="0"/>
        <w:spacing w:before="50" w:after="156" w:afterLines="50" w:line="400" w:lineRule="exact"/>
        <w:jc w:val="left"/>
        <w:rPr>
          <w:rFonts w:hint="eastAsia" w:ascii="宋体"/>
          <w:szCs w:val="21"/>
        </w:rPr>
      </w:pPr>
    </w:p>
    <w:p w14:paraId="3E07AD96">
      <w:pPr>
        <w:snapToGrid w:val="0"/>
        <w:spacing w:before="50" w:after="156" w:afterLines="50" w:line="400" w:lineRule="exact"/>
        <w:jc w:val="left"/>
        <w:rPr>
          <w:rFonts w:hint="eastAsia" w:ascii="宋体"/>
          <w:szCs w:val="21"/>
        </w:rPr>
      </w:pPr>
      <w:r>
        <w:rPr>
          <w:rFonts w:hint="eastAsia" w:ascii="宋体"/>
          <w:szCs w:val="21"/>
        </w:rPr>
        <w:t>（4）法定代表人（负责人）身份证明书</w:t>
      </w:r>
    </w:p>
    <w:p w14:paraId="797E89C0">
      <w:pPr>
        <w:spacing w:before="312" w:beforeLines="100" w:after="156" w:afterLines="50" w:line="400" w:lineRule="exact"/>
        <w:ind w:left="540"/>
        <w:jc w:val="center"/>
        <w:rPr>
          <w:rFonts w:hint="eastAsia" w:ascii="黑体" w:eastAsia="黑体"/>
          <w:sz w:val="28"/>
          <w:szCs w:val="28"/>
        </w:rPr>
      </w:pPr>
      <w:r>
        <w:rPr>
          <w:rFonts w:hint="eastAsia" w:ascii="宋体"/>
          <w:b/>
          <w:sz w:val="32"/>
          <w:szCs w:val="32"/>
        </w:rPr>
        <w:t>法定代表人（负责人）身份证明书</w:t>
      </w:r>
    </w:p>
    <w:p w14:paraId="6FD20D6A">
      <w:pPr>
        <w:spacing w:line="400" w:lineRule="exact"/>
        <w:ind w:left="540"/>
        <w:rPr>
          <w:rFonts w:hint="eastAsia" w:ascii="宋体"/>
          <w:sz w:val="24"/>
        </w:rPr>
      </w:pPr>
      <w:r>
        <w:rPr>
          <w:rFonts w:hint="eastAsia" w:ascii="宋体"/>
          <w:sz w:val="24"/>
        </w:rPr>
        <w:t>投 标 人：</w:t>
      </w:r>
      <w:r>
        <w:rPr>
          <w:rFonts w:hint="eastAsia" w:ascii="宋体"/>
          <w:sz w:val="24"/>
          <w:u w:val="single"/>
        </w:rPr>
        <w:t xml:space="preserve">                                                        </w:t>
      </w:r>
    </w:p>
    <w:p w14:paraId="174CF0AE">
      <w:pPr>
        <w:spacing w:line="400" w:lineRule="exact"/>
        <w:ind w:left="540"/>
        <w:rPr>
          <w:rFonts w:hint="eastAsia" w:ascii="宋体"/>
          <w:sz w:val="24"/>
        </w:rPr>
      </w:pPr>
      <w:r>
        <w:rPr>
          <w:rFonts w:hint="eastAsia" w:ascii="宋体"/>
          <w:sz w:val="24"/>
        </w:rPr>
        <w:t>单位性质：</w:t>
      </w:r>
      <w:r>
        <w:rPr>
          <w:rFonts w:hint="eastAsia" w:ascii="宋体"/>
          <w:sz w:val="24"/>
          <w:u w:val="single"/>
        </w:rPr>
        <w:t xml:space="preserve">                                                        </w:t>
      </w:r>
    </w:p>
    <w:p w14:paraId="3D57A587">
      <w:pPr>
        <w:spacing w:line="400" w:lineRule="exact"/>
        <w:ind w:left="540"/>
        <w:rPr>
          <w:rFonts w:hint="eastAsia" w:ascii="宋体"/>
          <w:sz w:val="24"/>
        </w:rPr>
      </w:pPr>
      <w:r>
        <w:rPr>
          <w:rFonts w:hint="eastAsia" w:ascii="宋体"/>
          <w:sz w:val="24"/>
        </w:rPr>
        <w:t>地    址：</w:t>
      </w:r>
      <w:r>
        <w:rPr>
          <w:rFonts w:hint="eastAsia" w:ascii="宋体"/>
          <w:sz w:val="24"/>
          <w:u w:val="single"/>
        </w:rPr>
        <w:t xml:space="preserve">                                                        </w:t>
      </w:r>
    </w:p>
    <w:p w14:paraId="52DA3AAB">
      <w:pPr>
        <w:spacing w:line="400" w:lineRule="exact"/>
        <w:ind w:left="540"/>
        <w:rPr>
          <w:rFonts w:hint="eastAsia" w:ascii="宋体"/>
          <w:sz w:val="24"/>
        </w:rPr>
      </w:pPr>
      <w:r>
        <w:rPr>
          <w:rFonts w:hint="eastAsia" w:ascii="宋体"/>
          <w:sz w:val="24"/>
        </w:rPr>
        <w:t>成立时间：</w:t>
      </w:r>
      <w:r>
        <w:rPr>
          <w:rFonts w:hint="eastAsia" w:ascii="宋体"/>
          <w:sz w:val="24"/>
          <w:u w:val="single"/>
        </w:rPr>
        <w:t xml:space="preserve">                 </w:t>
      </w:r>
      <w:r>
        <w:rPr>
          <w:rFonts w:hint="eastAsia" w:ascii="宋体"/>
          <w:sz w:val="24"/>
        </w:rPr>
        <w:t>年</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日</w:t>
      </w:r>
    </w:p>
    <w:p w14:paraId="1CFDA1F7">
      <w:pPr>
        <w:spacing w:line="400" w:lineRule="exact"/>
        <w:ind w:left="540"/>
        <w:rPr>
          <w:rFonts w:hint="eastAsia" w:ascii="宋体"/>
          <w:sz w:val="24"/>
        </w:rPr>
      </w:pPr>
      <w:r>
        <w:rPr>
          <w:rFonts w:hint="eastAsia" w:ascii="宋体"/>
          <w:sz w:val="24"/>
        </w:rPr>
        <w:t>经营期限：</w:t>
      </w:r>
      <w:r>
        <w:rPr>
          <w:rFonts w:hint="eastAsia" w:ascii="宋体"/>
          <w:sz w:val="24"/>
          <w:u w:val="single"/>
        </w:rPr>
        <w:t xml:space="preserve">                                                        </w:t>
      </w:r>
    </w:p>
    <w:p w14:paraId="731C7FCA">
      <w:pPr>
        <w:spacing w:line="400" w:lineRule="exact"/>
        <w:ind w:left="540"/>
        <w:rPr>
          <w:rFonts w:hint="eastAsia" w:ascii="宋体"/>
          <w:sz w:val="24"/>
        </w:rPr>
      </w:pPr>
      <w:r>
        <w:rPr>
          <w:rFonts w:hint="eastAsia" w:ascii="宋体"/>
          <w:sz w:val="24"/>
        </w:rPr>
        <w:t>姓    名：</w:t>
      </w:r>
      <w:r>
        <w:rPr>
          <w:rFonts w:hint="eastAsia" w:ascii="宋体"/>
          <w:sz w:val="24"/>
          <w:u w:val="single"/>
        </w:rPr>
        <w:t xml:space="preserve">                          </w:t>
      </w:r>
      <w:r>
        <w:rPr>
          <w:rFonts w:hint="eastAsia" w:ascii="宋体"/>
          <w:sz w:val="24"/>
        </w:rPr>
        <w:t>性      别：</w:t>
      </w:r>
      <w:r>
        <w:rPr>
          <w:rFonts w:hint="eastAsia" w:ascii="宋体"/>
          <w:sz w:val="24"/>
          <w:u w:val="single"/>
        </w:rPr>
        <w:t xml:space="preserve">                </w:t>
      </w:r>
    </w:p>
    <w:p w14:paraId="15497CF4">
      <w:pPr>
        <w:spacing w:line="400" w:lineRule="exact"/>
        <w:ind w:left="540"/>
        <w:rPr>
          <w:rFonts w:hint="eastAsia" w:ascii="宋体"/>
          <w:sz w:val="24"/>
          <w:u w:val="single"/>
        </w:rPr>
      </w:pPr>
      <w:r>
        <w:rPr>
          <w:rFonts w:hint="eastAsia" w:ascii="宋体"/>
          <w:sz w:val="24"/>
        </w:rPr>
        <w:t>年    龄：</w:t>
      </w:r>
      <w:r>
        <w:rPr>
          <w:rFonts w:hint="eastAsia" w:ascii="宋体"/>
          <w:sz w:val="24"/>
          <w:u w:val="single"/>
        </w:rPr>
        <w:t xml:space="preserve">                          </w:t>
      </w:r>
      <w:r>
        <w:rPr>
          <w:rFonts w:hint="eastAsia" w:ascii="宋体"/>
          <w:sz w:val="24"/>
        </w:rPr>
        <w:t>职      务：</w:t>
      </w:r>
      <w:r>
        <w:rPr>
          <w:rFonts w:hint="eastAsia" w:ascii="宋体"/>
          <w:sz w:val="24"/>
          <w:u w:val="single"/>
        </w:rPr>
        <w:t xml:space="preserve">                </w:t>
      </w:r>
    </w:p>
    <w:p w14:paraId="1601C82F">
      <w:pPr>
        <w:spacing w:line="400" w:lineRule="exact"/>
        <w:ind w:left="540"/>
        <w:rPr>
          <w:rFonts w:hint="eastAsia" w:ascii="宋体"/>
          <w:sz w:val="24"/>
        </w:rPr>
      </w:pPr>
      <w:r>
        <w:rPr>
          <w:rFonts w:hint="eastAsia" w:ascii="宋体"/>
          <w:sz w:val="24"/>
        </w:rPr>
        <w:t>身份证</w:t>
      </w:r>
      <w:r>
        <w:rPr>
          <w:rFonts w:hint="eastAsia"/>
          <w:sz w:val="24"/>
        </w:rPr>
        <w:t>号码：</w:t>
      </w:r>
      <w:r>
        <w:rPr>
          <w:rFonts w:hint="eastAsia"/>
          <w:sz w:val="24"/>
          <w:u w:val="single"/>
        </w:rPr>
        <w:t xml:space="preserve">                                 </w:t>
      </w:r>
    </w:p>
    <w:p w14:paraId="374DBFD1">
      <w:pPr>
        <w:spacing w:line="400" w:lineRule="exact"/>
        <w:ind w:left="540"/>
        <w:rPr>
          <w:rFonts w:hint="eastAsia" w:ascii="宋体"/>
          <w:sz w:val="24"/>
        </w:rPr>
      </w:pPr>
      <w:r>
        <w:rPr>
          <w:rFonts w:hint="eastAsia" w:ascii="宋体"/>
          <w:sz w:val="24"/>
        </w:rPr>
        <w:t>系</w:t>
      </w:r>
      <w:r>
        <w:rPr>
          <w:rFonts w:hint="eastAsia" w:ascii="宋体"/>
          <w:sz w:val="24"/>
          <w:u w:val="single"/>
        </w:rPr>
        <w:t xml:space="preserve">                                                 </w:t>
      </w:r>
      <w:r>
        <w:rPr>
          <w:rFonts w:hint="eastAsia" w:ascii="宋体"/>
          <w:sz w:val="24"/>
        </w:rPr>
        <w:t>（投标人名称）的法定代表人（负责人）。</w:t>
      </w:r>
    </w:p>
    <w:p w14:paraId="5138292E">
      <w:pPr>
        <w:spacing w:line="400" w:lineRule="exact"/>
        <w:ind w:left="540"/>
        <w:rPr>
          <w:rFonts w:hint="eastAsia" w:ascii="宋体"/>
          <w:sz w:val="24"/>
        </w:rPr>
      </w:pPr>
      <w:r>
        <w:rPr>
          <w:rFonts w:hint="eastAsia" w:ascii="宋体"/>
          <w:sz w:val="24"/>
        </w:rPr>
        <w:t>特此证明。</w:t>
      </w:r>
    </w:p>
    <w:p w14:paraId="35CF34FA">
      <w:pPr>
        <w:spacing w:line="400" w:lineRule="exact"/>
        <w:ind w:left="540"/>
        <w:rPr>
          <w:rFonts w:hint="eastAsia" w:ascii="宋体"/>
          <w:sz w:val="24"/>
        </w:rPr>
      </w:pPr>
      <w:r>
        <w:rPr>
          <w:rFonts w:hint="eastAsia" w:ascii="宋体"/>
          <w:sz w:val="24"/>
        </w:rPr>
        <w:t>附件：法定代表人（负责人）有效身份证正反面复印件</w:t>
      </w:r>
    </w:p>
    <w:p w14:paraId="7DCFBC3D">
      <w:pPr>
        <w:pStyle w:val="3"/>
        <w:rPr>
          <w:rFonts w:hint="eastAsia"/>
        </w:rPr>
      </w:pPr>
    </w:p>
    <w:p w14:paraId="2A15B8A1">
      <w:pPr>
        <w:wordWrap w:val="0"/>
        <w:spacing w:line="400" w:lineRule="exact"/>
        <w:ind w:left="540"/>
        <w:jc w:val="right"/>
        <w:rPr>
          <w:rFonts w:hint="eastAsia" w:ascii="宋体"/>
          <w:sz w:val="24"/>
        </w:rPr>
      </w:pPr>
      <w:r>
        <w:rPr>
          <w:rFonts w:hint="eastAsia" w:ascii="宋体"/>
          <w:sz w:val="24"/>
        </w:rPr>
        <w:t>投标人名称（盖章）</w:t>
      </w:r>
      <w:r>
        <w:rPr>
          <w:rFonts w:hint="eastAsia" w:ascii="宋体"/>
          <w:sz w:val="24"/>
          <w:u w:val="single"/>
        </w:rPr>
        <w:t xml:space="preserve">                          </w:t>
      </w:r>
    </w:p>
    <w:p w14:paraId="3C12CB4A">
      <w:pPr>
        <w:snapToGrid w:val="0"/>
        <w:spacing w:before="156" w:beforeLines="50" w:after="50" w:line="400" w:lineRule="exact"/>
        <w:ind w:left="540"/>
        <w:jc w:val="right"/>
        <w:rPr>
          <w:rFonts w:hint="eastAsia" w:ascii="宋体"/>
          <w:sz w:val="30"/>
          <w:szCs w:val="20"/>
        </w:rPr>
      </w:pPr>
      <w:r>
        <w:rPr>
          <w:rFonts w:hint="eastAsia" w:ascii="宋体"/>
          <w:sz w:val="24"/>
          <w:u w:val="single"/>
        </w:rPr>
        <w:t xml:space="preserve">         </w:t>
      </w:r>
      <w:r>
        <w:rPr>
          <w:rFonts w:hint="eastAsia" w:ascii="宋体"/>
          <w:sz w:val="24"/>
        </w:rPr>
        <w:t>年</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日</w:t>
      </w:r>
    </w:p>
    <w:p w14:paraId="3ABEFFF9">
      <w:pPr>
        <w:snapToGrid w:val="0"/>
        <w:spacing w:before="156" w:beforeLines="50" w:after="50" w:line="400" w:lineRule="exact"/>
        <w:ind w:left="540"/>
        <w:jc w:val="right"/>
        <w:rPr>
          <w:rFonts w:hint="eastAsia" w:ascii="宋体"/>
          <w:sz w:val="30"/>
          <w:szCs w:val="20"/>
        </w:rPr>
      </w:pPr>
    </w:p>
    <w:p w14:paraId="2B624759">
      <w:pPr>
        <w:pStyle w:val="3"/>
        <w:rPr>
          <w:rFonts w:hint="eastAsia" w:ascii="宋体"/>
          <w:sz w:val="30"/>
          <w:szCs w:val="20"/>
        </w:rPr>
      </w:pPr>
    </w:p>
    <w:p w14:paraId="08A0B435">
      <w:pPr>
        <w:rPr>
          <w:rFonts w:hint="eastAsia" w:ascii="宋体"/>
          <w:sz w:val="30"/>
          <w:szCs w:val="20"/>
        </w:rPr>
      </w:pPr>
    </w:p>
    <w:p w14:paraId="6C246B99">
      <w:pPr>
        <w:pStyle w:val="3"/>
        <w:rPr>
          <w:rFonts w:hint="eastAsia" w:ascii="宋体"/>
          <w:sz w:val="30"/>
          <w:szCs w:val="20"/>
        </w:rPr>
      </w:pPr>
    </w:p>
    <w:p w14:paraId="55F85139">
      <w:pPr>
        <w:rPr>
          <w:rFonts w:hint="eastAsia" w:ascii="宋体"/>
          <w:sz w:val="30"/>
          <w:szCs w:val="20"/>
        </w:rPr>
      </w:pPr>
    </w:p>
    <w:p w14:paraId="5928F3EA">
      <w:pPr>
        <w:pStyle w:val="3"/>
        <w:rPr>
          <w:rFonts w:hint="eastAsia" w:ascii="宋体"/>
          <w:sz w:val="30"/>
          <w:szCs w:val="20"/>
        </w:rPr>
      </w:pPr>
    </w:p>
    <w:p w14:paraId="569EE4EE">
      <w:pPr>
        <w:rPr>
          <w:rFonts w:hint="eastAsia" w:ascii="宋体"/>
          <w:sz w:val="30"/>
          <w:szCs w:val="20"/>
        </w:rPr>
      </w:pPr>
    </w:p>
    <w:p w14:paraId="7C598C68">
      <w:pPr>
        <w:snapToGrid w:val="0"/>
        <w:spacing w:line="360" w:lineRule="exact"/>
        <w:jc w:val="left"/>
        <w:rPr>
          <w:rFonts w:hint="eastAsia" w:ascii="宋体"/>
          <w:szCs w:val="21"/>
        </w:rPr>
      </w:pPr>
      <w:r>
        <w:rPr>
          <w:rFonts w:hint="eastAsia" w:ascii="宋体"/>
          <w:szCs w:val="21"/>
        </w:rPr>
        <w:br w:type="page"/>
      </w:r>
      <w:r>
        <w:rPr>
          <w:rFonts w:hint="eastAsia" w:ascii="宋体"/>
          <w:szCs w:val="21"/>
        </w:rPr>
        <w:t xml:space="preserve">    （5）商务响应表格式：</w:t>
      </w:r>
      <w:bookmarkEnd w:id="111"/>
      <w:bookmarkEnd w:id="112"/>
    </w:p>
    <w:tbl>
      <w:tblPr>
        <w:tblStyle w:val="5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3600"/>
        <w:gridCol w:w="1440"/>
        <w:gridCol w:w="2880"/>
      </w:tblGrid>
      <w:tr w14:paraId="7FD0C7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14:paraId="22C1FB4B">
            <w:pPr>
              <w:snapToGrid w:val="0"/>
              <w:spacing w:before="156" w:beforeLines="50" w:line="360" w:lineRule="exact"/>
              <w:jc w:val="center"/>
              <w:rPr>
                <w:rFonts w:hint="eastAsia" w:ascii="宋体"/>
                <w:szCs w:val="21"/>
              </w:rPr>
            </w:pPr>
            <w:r>
              <w:rPr>
                <w:rFonts w:hint="eastAsia" w:ascii="宋体"/>
                <w:szCs w:val="21"/>
              </w:rPr>
              <w:t>项目</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767725BB">
            <w:pPr>
              <w:snapToGrid w:val="0"/>
              <w:spacing w:before="156" w:beforeLines="50" w:line="360" w:lineRule="exact"/>
              <w:jc w:val="center"/>
              <w:rPr>
                <w:rFonts w:hint="eastAsia" w:ascii="宋体"/>
                <w:szCs w:val="21"/>
              </w:rPr>
            </w:pPr>
            <w:r>
              <w:rPr>
                <w:rFonts w:hint="eastAsia" w:ascii="宋体"/>
                <w:szCs w:val="21"/>
              </w:rPr>
              <w:t>招标文件要求</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5786F2BC">
            <w:pPr>
              <w:snapToGrid w:val="0"/>
              <w:spacing w:before="156" w:beforeLines="50" w:line="360" w:lineRule="exact"/>
              <w:jc w:val="center"/>
              <w:rPr>
                <w:rFonts w:hint="eastAsia" w:ascii="宋体"/>
                <w:szCs w:val="21"/>
              </w:rPr>
            </w:pPr>
            <w:r>
              <w:rPr>
                <w:rFonts w:hint="eastAsia" w:ascii="宋体"/>
                <w:szCs w:val="21"/>
              </w:rPr>
              <w:t>是否响应</w:t>
            </w:r>
          </w:p>
        </w:tc>
        <w:tc>
          <w:tcPr>
            <w:tcW w:w="2880" w:type="dxa"/>
            <w:tcBorders>
              <w:top w:val="single" w:color="auto" w:sz="4" w:space="0"/>
              <w:left w:val="single" w:color="auto" w:sz="4" w:space="0"/>
              <w:bottom w:val="single" w:color="auto" w:sz="4" w:space="0"/>
              <w:right w:val="single" w:color="auto" w:sz="4" w:space="0"/>
            </w:tcBorders>
            <w:noWrap w:val="0"/>
            <w:vAlign w:val="top"/>
          </w:tcPr>
          <w:p w14:paraId="7BC2C603">
            <w:pPr>
              <w:snapToGrid w:val="0"/>
              <w:spacing w:before="156" w:beforeLines="50" w:line="360" w:lineRule="exact"/>
              <w:jc w:val="center"/>
              <w:rPr>
                <w:rFonts w:hint="eastAsia" w:ascii="宋体"/>
                <w:szCs w:val="21"/>
              </w:rPr>
            </w:pPr>
            <w:r>
              <w:rPr>
                <w:rFonts w:hint="eastAsia" w:ascii="宋体"/>
                <w:szCs w:val="21"/>
              </w:rPr>
              <w:t>投标人的承诺或说明</w:t>
            </w:r>
          </w:p>
        </w:tc>
      </w:tr>
      <w:tr w14:paraId="2968BA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0878BA9F">
            <w:pPr>
              <w:tabs>
                <w:tab w:val="left" w:pos="180"/>
                <w:tab w:val="left" w:pos="1620"/>
              </w:tabs>
              <w:spacing w:line="400" w:lineRule="exact"/>
              <w:jc w:val="center"/>
              <w:rPr>
                <w:rFonts w:hint="eastAsia" w:ascii="宋体" w:hAnsi="宋体"/>
                <w:b w:val="0"/>
                <w:bCs w:val="0"/>
                <w:color w:val="auto"/>
                <w:szCs w:val="21"/>
              </w:rPr>
            </w:pPr>
            <w:r>
              <w:rPr>
                <w:rFonts w:hint="eastAsia" w:ascii="宋体" w:hAnsi="宋体"/>
                <w:b w:val="0"/>
                <w:bCs w:val="0"/>
                <w:color w:val="auto"/>
                <w:szCs w:val="21"/>
              </w:rPr>
              <w:t>实施期限</w:t>
            </w:r>
          </w:p>
          <w:p w14:paraId="45318D49">
            <w:pPr>
              <w:tabs>
                <w:tab w:val="left" w:pos="180"/>
                <w:tab w:val="left" w:pos="1620"/>
              </w:tabs>
              <w:spacing w:line="400" w:lineRule="exact"/>
              <w:jc w:val="center"/>
              <w:rPr>
                <w:rFonts w:hint="eastAsia" w:ascii="宋体" w:hAnsi="宋体"/>
                <w:b w:val="0"/>
                <w:bCs w:val="0"/>
                <w:color w:val="auto"/>
                <w:szCs w:val="21"/>
              </w:rPr>
            </w:pPr>
            <w:r>
              <w:rPr>
                <w:rFonts w:hint="eastAsia" w:ascii="宋体" w:hAnsi="宋体"/>
                <w:b w:val="0"/>
                <w:bCs w:val="0"/>
                <w:color w:val="auto"/>
                <w:szCs w:val="21"/>
              </w:rPr>
              <w:t>和地点</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7D748ADB">
            <w:pPr>
              <w:rPr>
                <w:rFonts w:hint="eastAsia"/>
                <w:color w:val="auto"/>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3C9E7FD">
            <w:pPr>
              <w:jc w:val="center"/>
              <w:rPr>
                <w:rFonts w:hint="eastAsia"/>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41E05DCE">
            <w:pPr>
              <w:rPr>
                <w:rFonts w:hint="eastAsia"/>
              </w:rPr>
            </w:pPr>
          </w:p>
        </w:tc>
      </w:tr>
      <w:tr w14:paraId="1BA232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6952BA92">
            <w:pPr>
              <w:spacing w:line="400" w:lineRule="exact"/>
              <w:jc w:val="center"/>
              <w:rPr>
                <w:rFonts w:hint="eastAsia" w:ascii="宋体" w:hAnsi="宋体"/>
                <w:b w:val="0"/>
                <w:bCs w:val="0"/>
                <w:color w:val="auto"/>
                <w:szCs w:val="21"/>
              </w:rPr>
            </w:pPr>
            <w:r>
              <w:rPr>
                <w:rFonts w:hint="eastAsia" w:ascii="宋体" w:hAnsi="宋体"/>
                <w:b w:val="0"/>
                <w:bCs w:val="0"/>
                <w:color w:val="auto"/>
                <w:szCs w:val="21"/>
              </w:rPr>
              <w:t>合同签订</w:t>
            </w:r>
          </w:p>
          <w:p w14:paraId="5C92AFCC">
            <w:pPr>
              <w:spacing w:line="400" w:lineRule="exact"/>
              <w:jc w:val="center"/>
              <w:rPr>
                <w:rFonts w:hint="eastAsia" w:ascii="宋体" w:hAnsi="宋体"/>
                <w:b w:val="0"/>
                <w:bCs w:val="0"/>
                <w:color w:val="auto"/>
                <w:szCs w:val="21"/>
              </w:rPr>
            </w:pPr>
            <w:r>
              <w:rPr>
                <w:rFonts w:hint="eastAsia" w:ascii="宋体" w:hAnsi="宋体"/>
                <w:b w:val="0"/>
                <w:bCs w:val="0"/>
                <w:color w:val="auto"/>
                <w:szCs w:val="21"/>
              </w:rPr>
              <w:t>期限</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1A89D792">
            <w:pPr>
              <w:rPr>
                <w:rFonts w:hint="eastAsia"/>
                <w:color w:val="auto"/>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DFD8ADF">
            <w:pPr>
              <w:jc w:val="center"/>
              <w:rPr>
                <w:rFonts w:hint="eastAsia"/>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36906691">
            <w:pPr>
              <w:rPr>
                <w:rFonts w:hint="eastAsia"/>
              </w:rPr>
            </w:pPr>
          </w:p>
        </w:tc>
      </w:tr>
      <w:tr w14:paraId="42155C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632FC343">
            <w:pPr>
              <w:spacing w:line="400" w:lineRule="exact"/>
              <w:jc w:val="center"/>
              <w:rPr>
                <w:rFonts w:hint="eastAsia" w:ascii="新宋体" w:eastAsia="新宋体"/>
                <w:b w:val="0"/>
                <w:bCs w:val="0"/>
                <w:color w:val="auto"/>
                <w:szCs w:val="21"/>
              </w:rPr>
            </w:pPr>
            <w:r>
              <w:rPr>
                <w:rFonts w:hint="eastAsia" w:ascii="新宋体" w:eastAsia="新宋体"/>
                <w:b w:val="0"/>
                <w:bCs w:val="0"/>
                <w:color w:val="auto"/>
                <w:szCs w:val="21"/>
              </w:rPr>
              <w:t>质保期</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6FB72239">
            <w:pPr>
              <w:rPr>
                <w:rFonts w:hint="eastAsia"/>
                <w:color w:val="auto"/>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6D52C0B">
            <w:pPr>
              <w:jc w:val="center"/>
              <w:rPr>
                <w:rFonts w:hint="eastAsia"/>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6587DEDF">
            <w:pPr>
              <w:rPr>
                <w:rFonts w:hint="eastAsia"/>
              </w:rPr>
            </w:pPr>
          </w:p>
        </w:tc>
      </w:tr>
      <w:tr w14:paraId="7E6955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5456E748">
            <w:pPr>
              <w:spacing w:line="400" w:lineRule="exact"/>
              <w:jc w:val="center"/>
              <w:rPr>
                <w:rFonts w:hint="eastAsia" w:ascii="新宋体" w:eastAsia="新宋体"/>
                <w:b w:val="0"/>
                <w:bCs w:val="0"/>
                <w:color w:val="auto"/>
                <w:szCs w:val="21"/>
              </w:rPr>
            </w:pPr>
            <w:r>
              <w:rPr>
                <w:rFonts w:hint="eastAsia" w:ascii="新宋体" w:eastAsia="新宋体"/>
                <w:b w:val="0"/>
                <w:bCs w:val="0"/>
                <w:color w:val="auto"/>
                <w:szCs w:val="21"/>
              </w:rPr>
              <w:t>售后服务</w:t>
            </w:r>
          </w:p>
          <w:p w14:paraId="7A123DBB">
            <w:pPr>
              <w:spacing w:line="400" w:lineRule="exact"/>
              <w:jc w:val="center"/>
              <w:rPr>
                <w:rFonts w:hint="eastAsia" w:ascii="新宋体" w:eastAsia="新宋体"/>
                <w:b w:val="0"/>
                <w:bCs w:val="0"/>
                <w:color w:val="auto"/>
                <w:szCs w:val="21"/>
              </w:rPr>
            </w:pPr>
            <w:r>
              <w:rPr>
                <w:rFonts w:hint="eastAsia" w:ascii="新宋体" w:eastAsia="新宋体"/>
                <w:b w:val="0"/>
                <w:bCs w:val="0"/>
                <w:color w:val="auto"/>
                <w:szCs w:val="21"/>
              </w:rPr>
              <w:t>要求</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1458494A">
            <w:pPr>
              <w:rPr>
                <w:rFonts w:hint="eastAsia"/>
                <w:color w:val="auto"/>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DAFF76F">
            <w:pPr>
              <w:jc w:val="center"/>
              <w:rPr>
                <w:rFonts w:hint="eastAsia"/>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48325FAE">
            <w:pPr>
              <w:rPr>
                <w:rFonts w:hint="eastAsia"/>
              </w:rPr>
            </w:pPr>
          </w:p>
        </w:tc>
      </w:tr>
      <w:tr w14:paraId="097887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69807BBC">
            <w:pPr>
              <w:tabs>
                <w:tab w:val="left" w:pos="180"/>
                <w:tab w:val="left" w:pos="1620"/>
              </w:tabs>
              <w:spacing w:line="400" w:lineRule="exact"/>
              <w:jc w:val="center"/>
              <w:rPr>
                <w:rFonts w:hint="eastAsia" w:ascii="宋体" w:hAnsi="宋体"/>
                <w:b w:val="0"/>
                <w:bCs w:val="0"/>
                <w:color w:val="auto"/>
                <w:szCs w:val="21"/>
              </w:rPr>
            </w:pPr>
            <w:r>
              <w:rPr>
                <w:rFonts w:hint="eastAsia" w:ascii="宋体" w:hAnsi="宋体"/>
                <w:b w:val="0"/>
                <w:bCs w:val="0"/>
                <w:color w:val="auto"/>
                <w:szCs w:val="21"/>
              </w:rPr>
              <w:t>报价要求</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163D3F4C">
            <w:pPr>
              <w:rPr>
                <w:rFonts w:hint="eastAsia"/>
                <w:color w:val="auto"/>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3A304B7">
            <w:pPr>
              <w:jc w:val="center"/>
              <w:rPr>
                <w:rFonts w:hint="eastAsia"/>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60BDA6A6">
            <w:pPr>
              <w:rPr>
                <w:rFonts w:hint="eastAsia"/>
              </w:rPr>
            </w:pPr>
          </w:p>
        </w:tc>
      </w:tr>
      <w:tr w14:paraId="12D70D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3BD43C78">
            <w:pPr>
              <w:tabs>
                <w:tab w:val="left" w:pos="180"/>
                <w:tab w:val="left" w:pos="1620"/>
              </w:tabs>
              <w:spacing w:line="400" w:lineRule="exact"/>
              <w:jc w:val="center"/>
              <w:rPr>
                <w:rFonts w:hint="eastAsia" w:ascii="宋体" w:hAnsi="宋体" w:cs="宋体"/>
                <w:b w:val="0"/>
                <w:bCs w:val="0"/>
                <w:szCs w:val="21"/>
              </w:rPr>
            </w:pPr>
            <w:r>
              <w:rPr>
                <w:rFonts w:hint="eastAsia" w:ascii="宋体" w:hAnsi="宋体" w:cs="宋体"/>
                <w:b w:val="0"/>
                <w:bCs w:val="0"/>
                <w:szCs w:val="21"/>
              </w:rPr>
              <w:t>验收标准</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474F92F0">
            <w:pPr>
              <w:rPr>
                <w:rFonts w:hint="eastAsia"/>
                <w:color w:val="auto"/>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1BD151C">
            <w:pPr>
              <w:jc w:val="center"/>
              <w:rPr>
                <w:rFonts w:hint="eastAsia"/>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2EFA553E">
            <w:pPr>
              <w:rPr>
                <w:rFonts w:hint="eastAsia"/>
              </w:rPr>
            </w:pPr>
          </w:p>
        </w:tc>
      </w:tr>
      <w:tr w14:paraId="684012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31A406FD">
            <w:pPr>
              <w:wordWrap w:val="0"/>
              <w:topLinePunct/>
              <w:snapToGrid w:val="0"/>
              <w:jc w:val="center"/>
              <w:rPr>
                <w:rFonts w:hint="eastAsia" w:ascii="宋体" w:hAnsi="宋体" w:cs="宋体"/>
                <w:b w:val="0"/>
                <w:bCs w:val="0"/>
                <w:szCs w:val="21"/>
              </w:rPr>
            </w:pPr>
            <w:r>
              <w:rPr>
                <w:rFonts w:hint="eastAsia" w:ascii="宋体" w:hAnsi="宋体" w:cs="宋体"/>
                <w:b w:val="0"/>
                <w:bCs w:val="0"/>
                <w:szCs w:val="21"/>
              </w:rPr>
              <w:t>付款条件</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65A781F3">
            <w:pPr>
              <w:rPr>
                <w:rFonts w:hint="eastAsia"/>
                <w:color w:val="auto"/>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CB93FF8">
            <w:pPr>
              <w:jc w:val="center"/>
              <w:rPr>
                <w:rFonts w:hint="eastAsia"/>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4902E105">
            <w:pPr>
              <w:rPr>
                <w:rFonts w:hint="eastAsia"/>
              </w:rPr>
            </w:pPr>
          </w:p>
        </w:tc>
      </w:tr>
      <w:tr w14:paraId="35AEA9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4A09A604">
            <w:pPr>
              <w:wordWrap w:val="0"/>
              <w:topLinePunct/>
              <w:snapToGrid w:val="0"/>
              <w:jc w:val="center"/>
              <w:rPr>
                <w:rFonts w:hint="eastAsia" w:ascii="宋体" w:hAnsi="宋体" w:cs="宋体"/>
                <w:b w:val="0"/>
                <w:bCs w:val="0"/>
                <w:szCs w:val="21"/>
              </w:rPr>
            </w:pPr>
            <w:r>
              <w:rPr>
                <w:rFonts w:hint="eastAsia" w:ascii="宋体" w:hAnsi="宋体" w:cs="宋体"/>
                <w:b w:val="0"/>
                <w:bCs w:val="0"/>
                <w:szCs w:val="21"/>
              </w:rPr>
              <w:t>履约保证金</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407E2A4C">
            <w:pPr>
              <w:rPr>
                <w:rFonts w:hint="eastAsia"/>
                <w:color w:val="auto"/>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B95A37E">
            <w:pPr>
              <w:jc w:val="center"/>
              <w:rPr>
                <w:rFonts w:hint="eastAsia"/>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51A3D252">
            <w:pPr>
              <w:rPr>
                <w:rFonts w:hint="eastAsia"/>
              </w:rPr>
            </w:pPr>
          </w:p>
        </w:tc>
      </w:tr>
      <w:tr w14:paraId="108658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3930EFD3">
            <w:pPr>
              <w:snapToGrid w:val="0"/>
              <w:spacing w:line="360" w:lineRule="auto"/>
              <w:jc w:val="center"/>
              <w:rPr>
                <w:rFonts w:hint="eastAsia" w:ascii="宋体" w:hAnsi="宋体" w:cs="宋体"/>
                <w:b w:val="0"/>
                <w:bCs w:val="0"/>
                <w:szCs w:val="21"/>
              </w:rPr>
            </w:pPr>
            <w:r>
              <w:rPr>
                <w:rFonts w:hint="eastAsia" w:ascii="宋体" w:hAnsi="宋体" w:cs="宋体"/>
                <w:b w:val="0"/>
                <w:bCs w:val="0"/>
                <w:szCs w:val="21"/>
              </w:rPr>
              <w:t>知识产权要求</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4CDD1942">
            <w:pPr>
              <w:rPr>
                <w:rFonts w:hint="eastAsia"/>
                <w:color w:val="auto"/>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DBC1FAC">
            <w:pPr>
              <w:jc w:val="center"/>
              <w:rPr>
                <w:rFonts w:hint="eastAsia"/>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2DD3B56A">
            <w:pPr>
              <w:rPr>
                <w:rFonts w:hint="eastAsia"/>
              </w:rPr>
            </w:pPr>
          </w:p>
        </w:tc>
      </w:tr>
      <w:tr w14:paraId="23F39A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27291741">
            <w:pPr>
              <w:snapToGrid w:val="0"/>
              <w:spacing w:line="360" w:lineRule="auto"/>
              <w:jc w:val="center"/>
              <w:rPr>
                <w:rFonts w:hint="eastAsia" w:ascii="宋体" w:hAnsi="宋体" w:cs="宋体"/>
                <w:b w:val="0"/>
                <w:bCs w:val="0"/>
                <w:szCs w:val="21"/>
              </w:rPr>
            </w:pPr>
            <w:r>
              <w:rPr>
                <w:rFonts w:hint="eastAsia" w:ascii="宋体" w:hAnsi="宋体" w:cs="宋体"/>
                <w:b w:val="0"/>
                <w:bCs w:val="0"/>
                <w:szCs w:val="21"/>
              </w:rPr>
              <w:t>保密要求</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1C7667A7">
            <w:pPr>
              <w:rPr>
                <w:rFonts w:hint="eastAsia"/>
                <w:color w:val="auto"/>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D14745E">
            <w:pPr>
              <w:jc w:val="center"/>
              <w:rPr>
                <w:rFonts w:hint="eastAsia"/>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1165D670">
            <w:pPr>
              <w:rPr>
                <w:rFonts w:hint="eastAsia"/>
              </w:rPr>
            </w:pPr>
          </w:p>
        </w:tc>
      </w:tr>
      <w:tr w14:paraId="6C229C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32FF64E2">
            <w:pPr>
              <w:wordWrap w:val="0"/>
              <w:topLinePunct/>
              <w:snapToGrid w:val="0"/>
              <w:jc w:val="center"/>
              <w:rPr>
                <w:rFonts w:hint="default" w:ascii="宋体" w:hAnsi="宋体" w:eastAsia="宋体" w:cs="宋体"/>
                <w:b w:val="0"/>
                <w:bCs w:val="0"/>
                <w:szCs w:val="21"/>
                <w:lang w:val="en-US" w:eastAsia="zh-CN"/>
              </w:rPr>
            </w:pPr>
            <w:r>
              <w:rPr>
                <w:rFonts w:hint="default" w:ascii="宋体" w:hAnsi="宋体" w:eastAsia="宋体" w:cs="宋体"/>
                <w:b w:val="0"/>
                <w:bCs w:val="0"/>
                <w:szCs w:val="21"/>
                <w:lang w:val="en-US" w:eastAsia="zh-CN"/>
              </w:rPr>
              <w:t>其他要求</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63581A84">
            <w:pPr>
              <w:rPr>
                <w:rFonts w:hint="eastAsia"/>
                <w:color w:val="auto"/>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ED2307F">
            <w:pPr>
              <w:jc w:val="center"/>
              <w:rPr>
                <w:rFonts w:hint="eastAsia"/>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6598E290">
            <w:pPr>
              <w:rPr>
                <w:rFonts w:hint="eastAsia"/>
              </w:rPr>
            </w:pPr>
          </w:p>
        </w:tc>
      </w:tr>
      <w:tr w14:paraId="3D266D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noWrap w:val="0"/>
            <w:vAlign w:val="center"/>
          </w:tcPr>
          <w:p w14:paraId="5124BA58">
            <w:pPr>
              <w:jc w:val="center"/>
              <w:rPr>
                <w:rFonts w:hint="eastAsia"/>
              </w:rPr>
            </w:pPr>
            <w:r>
              <w:rPr>
                <w:rFonts w:hint="eastAsia"/>
              </w:rPr>
              <w:t>…</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082DDF08">
            <w:pPr>
              <w:rPr>
                <w:rFonts w:hint="eastAsia"/>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22AF23D">
            <w:pPr>
              <w:jc w:val="center"/>
              <w:rPr>
                <w:rFonts w:hint="eastAsia"/>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2E9496DC">
            <w:pPr>
              <w:rPr>
                <w:rFonts w:hint="eastAsia"/>
              </w:rPr>
            </w:pPr>
          </w:p>
        </w:tc>
      </w:tr>
    </w:tbl>
    <w:p w14:paraId="7201DB27">
      <w:pPr>
        <w:snapToGrid w:val="0"/>
        <w:spacing w:before="50" w:after="50" w:line="360" w:lineRule="exact"/>
        <w:ind w:firstLine="210" w:firstLineChars="100"/>
        <w:rPr>
          <w:rFonts w:hint="eastAsia" w:ascii="宋体"/>
          <w:szCs w:val="21"/>
        </w:rPr>
      </w:pPr>
    </w:p>
    <w:p w14:paraId="6239CABB">
      <w:pPr>
        <w:snapToGrid w:val="0"/>
        <w:spacing w:before="50" w:after="50" w:line="360" w:lineRule="exact"/>
        <w:ind w:firstLine="210" w:firstLineChars="100"/>
        <w:rPr>
          <w:rFonts w:hint="eastAsia" w:ascii="宋体"/>
          <w:spacing w:val="20"/>
          <w:szCs w:val="21"/>
          <w:u w:val="single"/>
        </w:rPr>
      </w:pPr>
      <w:r>
        <w:rPr>
          <w:rFonts w:hint="eastAsia" w:ascii="宋体"/>
          <w:szCs w:val="21"/>
        </w:rPr>
        <w:t>法定代表人（负责人）或委托代理人签字或盖章</w:t>
      </w:r>
      <w:r>
        <w:rPr>
          <w:rFonts w:hint="eastAsia" w:ascii="宋体"/>
          <w:spacing w:val="20"/>
          <w:szCs w:val="21"/>
        </w:rPr>
        <w:t>：</w:t>
      </w:r>
      <w:r>
        <w:rPr>
          <w:rFonts w:hint="eastAsia" w:ascii="宋体"/>
          <w:spacing w:val="20"/>
          <w:szCs w:val="21"/>
          <w:u w:val="single"/>
        </w:rPr>
        <w:t xml:space="preserve">           </w:t>
      </w:r>
    </w:p>
    <w:p w14:paraId="7B41451A">
      <w:pPr>
        <w:snapToGrid w:val="0"/>
        <w:spacing w:before="50" w:after="50" w:line="360" w:lineRule="exact"/>
        <w:ind w:firstLine="210" w:firstLineChars="100"/>
        <w:rPr>
          <w:rFonts w:hint="eastAsia" w:ascii="宋体"/>
          <w:b/>
          <w:szCs w:val="21"/>
        </w:rPr>
      </w:pPr>
      <w:r>
        <w:rPr>
          <w:rFonts w:hint="eastAsia"/>
        </w:rPr>
        <w:t>投标人名称（</w:t>
      </w:r>
      <w:r>
        <w:rPr>
          <w:rFonts w:hint="eastAsia" w:ascii="宋体"/>
          <w:szCs w:val="21"/>
        </w:rPr>
        <w:t>盖章</w:t>
      </w:r>
      <w:r>
        <w:rPr>
          <w:rFonts w:hint="eastAsia"/>
        </w:rPr>
        <w:t>）</w:t>
      </w:r>
      <w:r>
        <w:rPr>
          <w:rFonts w:hint="eastAsia" w:ascii="宋体"/>
          <w:spacing w:val="20"/>
          <w:szCs w:val="21"/>
        </w:rPr>
        <w:t>：</w:t>
      </w:r>
      <w:r>
        <w:rPr>
          <w:rFonts w:hint="eastAsia" w:ascii="宋体"/>
          <w:spacing w:val="20"/>
          <w:szCs w:val="21"/>
          <w:u w:val="single"/>
        </w:rPr>
        <w:t xml:space="preserve">            </w:t>
      </w:r>
      <w:r>
        <w:rPr>
          <w:rFonts w:hint="eastAsia" w:ascii="宋体"/>
          <w:spacing w:val="20"/>
          <w:szCs w:val="21"/>
        </w:rPr>
        <w:t xml:space="preserve">                 日 期：</w:t>
      </w:r>
      <w:r>
        <w:rPr>
          <w:rFonts w:hint="eastAsia" w:ascii="宋体"/>
          <w:spacing w:val="20"/>
          <w:szCs w:val="21"/>
          <w:u w:val="single"/>
        </w:rPr>
        <w:t xml:space="preserve">          </w:t>
      </w:r>
    </w:p>
    <w:p w14:paraId="41D10F48">
      <w:pPr>
        <w:spacing w:line="360" w:lineRule="exact"/>
        <w:rPr>
          <w:rFonts w:hint="eastAsia"/>
        </w:rPr>
      </w:pPr>
    </w:p>
    <w:p w14:paraId="41C74B06">
      <w:pPr>
        <w:numPr>
          <w:ilvl w:val="0"/>
          <w:numId w:val="0"/>
        </w:numPr>
        <w:spacing w:line="360" w:lineRule="exact"/>
        <w:ind w:leftChars="100"/>
        <w:rPr>
          <w:rFonts w:hint="eastAsia"/>
        </w:rPr>
      </w:pPr>
      <w:r>
        <w:rPr>
          <w:rFonts w:hint="eastAsia"/>
          <w:lang w:val="en-US" w:eastAsia="zh-CN"/>
        </w:rPr>
        <w:t>6）</w:t>
      </w:r>
      <w:r>
        <w:rPr>
          <w:rFonts w:hint="eastAsia"/>
        </w:rPr>
        <w:t>招标项目采购需求中要求必须提供的材料等（招标项目采购需求中要求必须提供的材料，据实提供）</w:t>
      </w:r>
    </w:p>
    <w:p w14:paraId="750CD599">
      <w:pPr>
        <w:rPr>
          <w:rFonts w:hint="eastAsia"/>
        </w:rPr>
      </w:pPr>
    </w:p>
    <w:p w14:paraId="45DBFB68">
      <w:pPr>
        <w:rPr>
          <w:rFonts w:hint="eastAsia"/>
        </w:rPr>
      </w:pPr>
    </w:p>
    <w:p w14:paraId="20914F39">
      <w:pPr>
        <w:rPr>
          <w:rFonts w:hint="eastAsia"/>
        </w:rPr>
      </w:pPr>
      <w:r>
        <w:rPr>
          <w:rFonts w:hint="eastAsia"/>
        </w:rPr>
        <w:t>（7）具备法律、行政法规规定的其他条件的证明材料（格式自拟）</w:t>
      </w:r>
    </w:p>
    <w:p w14:paraId="5D5A05C1">
      <w:pPr>
        <w:spacing w:line="360" w:lineRule="exact"/>
        <w:rPr>
          <w:rFonts w:hint="eastAsia" w:ascii="宋体"/>
          <w:szCs w:val="21"/>
        </w:rPr>
      </w:pPr>
      <w:r>
        <w:br w:type="page"/>
      </w:r>
      <w:r>
        <w:rPr>
          <w:rFonts w:hint="eastAsia"/>
        </w:rPr>
        <w:t>（8）</w:t>
      </w:r>
      <w:r>
        <w:rPr>
          <w:rFonts w:hint="eastAsia" w:ascii="宋体"/>
          <w:szCs w:val="21"/>
        </w:rPr>
        <w:t>类似</w:t>
      </w:r>
      <w:r>
        <w:rPr>
          <w:rFonts w:hint="eastAsia" w:ascii="宋体"/>
          <w:szCs w:val="21"/>
          <w:lang w:val="en-US" w:eastAsia="zh-CN"/>
        </w:rPr>
        <w:t>信息系统建设项目</w:t>
      </w:r>
      <w:r>
        <w:rPr>
          <w:rFonts w:hint="eastAsia" w:ascii="宋体"/>
          <w:szCs w:val="21"/>
        </w:rPr>
        <w:t>成功案例的业绩（投标人同类项目实施情况一览表、</w:t>
      </w:r>
      <w:r>
        <w:rPr>
          <w:rFonts w:hint="eastAsia" w:ascii="宋体" w:hAnsi="宋体" w:cs="仿宋"/>
          <w:bCs/>
          <w:color w:val="auto"/>
          <w:sz w:val="21"/>
          <w:szCs w:val="21"/>
        </w:rPr>
        <w:t>中标</w:t>
      </w:r>
      <w:r>
        <w:rPr>
          <w:rFonts w:hint="eastAsia" w:ascii="宋体" w:hAnsi="宋体" w:cs="仿宋"/>
          <w:bCs/>
          <w:color w:val="auto"/>
          <w:sz w:val="21"/>
          <w:szCs w:val="21"/>
          <w:lang w:eastAsia="zh-CN"/>
        </w:rPr>
        <w:t>（</w:t>
      </w:r>
      <w:r>
        <w:rPr>
          <w:rFonts w:hint="eastAsia" w:ascii="宋体" w:hAnsi="宋体" w:cs="仿宋"/>
          <w:bCs/>
          <w:color w:val="auto"/>
          <w:sz w:val="21"/>
          <w:szCs w:val="21"/>
        </w:rPr>
        <w:t>成交</w:t>
      </w:r>
      <w:r>
        <w:rPr>
          <w:rFonts w:hint="eastAsia" w:ascii="宋体" w:hAnsi="宋体" w:cs="仿宋"/>
          <w:bCs/>
          <w:color w:val="auto"/>
          <w:sz w:val="21"/>
          <w:szCs w:val="21"/>
          <w:lang w:eastAsia="zh-CN"/>
        </w:rPr>
        <w:t>）</w:t>
      </w:r>
      <w:r>
        <w:rPr>
          <w:rFonts w:hint="eastAsia" w:ascii="宋体" w:hAnsi="宋体" w:cs="仿宋"/>
          <w:bCs/>
          <w:color w:val="auto"/>
          <w:sz w:val="21"/>
          <w:szCs w:val="21"/>
        </w:rPr>
        <w:t>通知书或合同</w:t>
      </w:r>
      <w:r>
        <w:rPr>
          <w:rFonts w:hint="eastAsia" w:ascii="宋体" w:hAnsi="宋体" w:cs="仿宋"/>
          <w:bCs/>
          <w:color w:val="auto"/>
          <w:sz w:val="21"/>
          <w:szCs w:val="21"/>
          <w:lang w:val="en-US" w:eastAsia="zh-CN"/>
        </w:rPr>
        <w:t>证明</w:t>
      </w:r>
      <w:r>
        <w:rPr>
          <w:rFonts w:hint="eastAsia" w:ascii="宋体"/>
          <w:szCs w:val="21"/>
        </w:rPr>
        <w:t>扫描件等，格式可自行调整）；</w:t>
      </w:r>
    </w:p>
    <w:p w14:paraId="22F22510">
      <w:pPr>
        <w:spacing w:line="360" w:lineRule="exact"/>
        <w:rPr>
          <w:rFonts w:hint="eastAsia"/>
        </w:rPr>
      </w:pP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5"/>
        <w:gridCol w:w="1985"/>
        <w:gridCol w:w="1701"/>
        <w:gridCol w:w="1134"/>
        <w:gridCol w:w="1559"/>
        <w:gridCol w:w="1806"/>
      </w:tblGrid>
      <w:tr w14:paraId="700F18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40" w:hRule="atLeast"/>
          <w:jc w:val="center"/>
        </w:trPr>
        <w:tc>
          <w:tcPr>
            <w:tcW w:w="815" w:type="dxa"/>
            <w:tcBorders>
              <w:top w:val="single" w:color="auto" w:sz="4" w:space="0"/>
              <w:left w:val="single" w:color="auto" w:sz="4" w:space="0"/>
              <w:bottom w:val="single" w:color="auto" w:sz="4" w:space="0"/>
              <w:right w:val="single" w:color="auto" w:sz="4" w:space="0"/>
            </w:tcBorders>
            <w:noWrap w:val="0"/>
            <w:vAlign w:val="center"/>
          </w:tcPr>
          <w:p w14:paraId="7AE68693">
            <w:pPr>
              <w:snapToGrid w:val="0"/>
              <w:spacing w:line="360" w:lineRule="exact"/>
              <w:jc w:val="center"/>
              <w:rPr>
                <w:rFonts w:hint="eastAsia" w:ascii="宋体"/>
                <w:szCs w:val="21"/>
              </w:rPr>
            </w:pPr>
            <w:r>
              <w:rPr>
                <w:rFonts w:hint="eastAsia" w:ascii="宋体"/>
                <w:szCs w:val="21"/>
              </w:rPr>
              <w:t>序号</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206648C1">
            <w:pPr>
              <w:snapToGrid w:val="0"/>
              <w:spacing w:line="360" w:lineRule="exact"/>
              <w:jc w:val="center"/>
              <w:rPr>
                <w:rFonts w:hint="eastAsia" w:ascii="宋体"/>
                <w:szCs w:val="21"/>
              </w:rPr>
            </w:pPr>
            <w:r>
              <w:rPr>
                <w:rFonts w:hint="eastAsia" w:ascii="宋体"/>
                <w:szCs w:val="21"/>
              </w:rPr>
              <w:t>采购单位名称</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3529A2A">
            <w:pPr>
              <w:snapToGrid w:val="0"/>
              <w:spacing w:line="360" w:lineRule="exact"/>
              <w:jc w:val="center"/>
              <w:rPr>
                <w:rFonts w:hint="eastAsia" w:ascii="宋体"/>
                <w:szCs w:val="21"/>
              </w:rPr>
            </w:pPr>
            <w:r>
              <w:rPr>
                <w:rFonts w:hint="eastAsia" w:ascii="宋体"/>
                <w:szCs w:val="21"/>
              </w:rPr>
              <w:t>服务或项目名称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5CF49AF">
            <w:pPr>
              <w:snapToGrid w:val="0"/>
              <w:spacing w:line="360" w:lineRule="exact"/>
              <w:jc w:val="center"/>
              <w:rPr>
                <w:rFonts w:hint="eastAsia" w:ascii="宋体"/>
                <w:szCs w:val="21"/>
              </w:rPr>
            </w:pPr>
            <w:r>
              <w:rPr>
                <w:rFonts w:hint="eastAsia" w:ascii="宋体"/>
                <w:szCs w:val="21"/>
              </w:rPr>
              <w:t>采购数量</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465FE2A">
            <w:pPr>
              <w:snapToGrid w:val="0"/>
              <w:spacing w:line="360" w:lineRule="exact"/>
              <w:jc w:val="center"/>
              <w:rPr>
                <w:rFonts w:hint="eastAsia" w:ascii="宋体"/>
                <w:szCs w:val="21"/>
              </w:rPr>
            </w:pPr>
            <w:r>
              <w:rPr>
                <w:rFonts w:hint="eastAsia" w:ascii="宋体"/>
                <w:szCs w:val="21"/>
              </w:rPr>
              <w:t>合同金额</w:t>
            </w:r>
          </w:p>
        </w:tc>
        <w:tc>
          <w:tcPr>
            <w:tcW w:w="1806" w:type="dxa"/>
            <w:tcBorders>
              <w:top w:val="single" w:color="auto" w:sz="4" w:space="0"/>
              <w:left w:val="single" w:color="auto" w:sz="4" w:space="0"/>
              <w:right w:val="single" w:color="auto" w:sz="4" w:space="0"/>
            </w:tcBorders>
            <w:noWrap w:val="0"/>
            <w:vAlign w:val="center"/>
          </w:tcPr>
          <w:p w14:paraId="2013F8C1">
            <w:pPr>
              <w:snapToGrid w:val="0"/>
              <w:spacing w:line="360" w:lineRule="exact"/>
              <w:jc w:val="center"/>
              <w:rPr>
                <w:rFonts w:hint="eastAsia" w:ascii="宋体"/>
                <w:szCs w:val="21"/>
              </w:rPr>
            </w:pPr>
            <w:r>
              <w:rPr>
                <w:rFonts w:hint="eastAsia" w:ascii="宋体"/>
                <w:szCs w:val="21"/>
              </w:rPr>
              <w:t>采购单位联系人及联系电话</w:t>
            </w:r>
          </w:p>
        </w:tc>
      </w:tr>
      <w:tr w14:paraId="140C9E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815" w:type="dxa"/>
            <w:tcBorders>
              <w:top w:val="single" w:color="auto" w:sz="4" w:space="0"/>
              <w:left w:val="single" w:color="auto" w:sz="4" w:space="0"/>
              <w:bottom w:val="single" w:color="auto" w:sz="4" w:space="0"/>
              <w:right w:val="single" w:color="auto" w:sz="4" w:space="0"/>
            </w:tcBorders>
            <w:noWrap w:val="0"/>
            <w:vAlign w:val="top"/>
          </w:tcPr>
          <w:p w14:paraId="70E46936">
            <w:pPr>
              <w:snapToGrid w:val="0"/>
              <w:spacing w:line="360" w:lineRule="exact"/>
              <w:jc w:val="left"/>
              <w:rPr>
                <w:rFonts w:hint="eastAsia" w:ascii="宋体"/>
                <w:szCs w:val="21"/>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0B94B0AB">
            <w:pPr>
              <w:snapToGrid w:val="0"/>
              <w:spacing w:line="360" w:lineRule="exact"/>
              <w:jc w:val="left"/>
              <w:rPr>
                <w:rFonts w:hint="eastAsia" w:asci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5FACE281">
            <w:pPr>
              <w:snapToGrid w:val="0"/>
              <w:spacing w:line="360" w:lineRule="exact"/>
              <w:jc w:val="left"/>
              <w:rPr>
                <w:rFonts w:hint="eastAsia" w:asci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856450F">
            <w:pPr>
              <w:snapToGrid w:val="0"/>
              <w:spacing w:line="360" w:lineRule="exact"/>
              <w:jc w:val="left"/>
              <w:rPr>
                <w:rFonts w:hint="eastAsia" w:ascii="宋体"/>
                <w:szCs w:val="21"/>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7E99996F">
            <w:pPr>
              <w:snapToGrid w:val="0"/>
              <w:spacing w:line="360" w:lineRule="exact"/>
              <w:jc w:val="left"/>
              <w:rPr>
                <w:rFonts w:hint="eastAsia" w:ascii="宋体"/>
                <w:szCs w:val="21"/>
              </w:rPr>
            </w:pPr>
          </w:p>
        </w:tc>
        <w:tc>
          <w:tcPr>
            <w:tcW w:w="1806" w:type="dxa"/>
            <w:tcBorders>
              <w:top w:val="single" w:color="auto" w:sz="4" w:space="0"/>
              <w:left w:val="single" w:color="auto" w:sz="4" w:space="0"/>
              <w:bottom w:val="single" w:color="auto" w:sz="4" w:space="0"/>
              <w:right w:val="single" w:color="auto" w:sz="4" w:space="0"/>
            </w:tcBorders>
            <w:noWrap w:val="0"/>
            <w:vAlign w:val="top"/>
          </w:tcPr>
          <w:p w14:paraId="74DC43A3">
            <w:pPr>
              <w:snapToGrid w:val="0"/>
              <w:spacing w:line="360" w:lineRule="exact"/>
              <w:jc w:val="left"/>
              <w:rPr>
                <w:rFonts w:hint="eastAsia" w:ascii="宋体"/>
                <w:szCs w:val="21"/>
              </w:rPr>
            </w:pPr>
          </w:p>
        </w:tc>
      </w:tr>
      <w:tr w14:paraId="3657A5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5" w:type="dxa"/>
            <w:tcBorders>
              <w:top w:val="single" w:color="auto" w:sz="4" w:space="0"/>
              <w:left w:val="single" w:color="auto" w:sz="4" w:space="0"/>
              <w:bottom w:val="single" w:color="auto" w:sz="4" w:space="0"/>
              <w:right w:val="single" w:color="auto" w:sz="4" w:space="0"/>
            </w:tcBorders>
            <w:noWrap w:val="0"/>
            <w:vAlign w:val="top"/>
          </w:tcPr>
          <w:p w14:paraId="3064500E">
            <w:pPr>
              <w:snapToGrid w:val="0"/>
              <w:spacing w:before="50" w:after="156" w:afterLines="50" w:line="360" w:lineRule="exact"/>
              <w:jc w:val="left"/>
              <w:rPr>
                <w:rFonts w:hint="eastAsia" w:ascii="宋体"/>
                <w:szCs w:val="21"/>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72D9AE73">
            <w:pPr>
              <w:snapToGrid w:val="0"/>
              <w:spacing w:before="50" w:after="156" w:afterLines="50" w:line="360" w:lineRule="exact"/>
              <w:jc w:val="left"/>
              <w:rPr>
                <w:rFonts w:hint="eastAsia" w:asci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2FE7CE01">
            <w:pPr>
              <w:snapToGrid w:val="0"/>
              <w:spacing w:before="50" w:after="156" w:afterLines="50" w:line="360" w:lineRule="exact"/>
              <w:jc w:val="left"/>
              <w:rPr>
                <w:rFonts w:hint="eastAsia" w:asci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0DA24D8">
            <w:pPr>
              <w:snapToGrid w:val="0"/>
              <w:spacing w:before="50" w:after="156" w:afterLines="50" w:line="360" w:lineRule="exact"/>
              <w:jc w:val="left"/>
              <w:rPr>
                <w:rFonts w:hint="eastAsia" w:ascii="宋体"/>
                <w:szCs w:val="21"/>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1262F4F6">
            <w:pPr>
              <w:snapToGrid w:val="0"/>
              <w:spacing w:before="50" w:after="156" w:afterLines="50" w:line="360" w:lineRule="exact"/>
              <w:jc w:val="left"/>
              <w:rPr>
                <w:rFonts w:hint="eastAsia" w:ascii="宋体"/>
                <w:szCs w:val="21"/>
              </w:rPr>
            </w:pPr>
          </w:p>
        </w:tc>
        <w:tc>
          <w:tcPr>
            <w:tcW w:w="1806" w:type="dxa"/>
            <w:tcBorders>
              <w:top w:val="single" w:color="auto" w:sz="4" w:space="0"/>
              <w:left w:val="single" w:color="auto" w:sz="4" w:space="0"/>
              <w:bottom w:val="single" w:color="auto" w:sz="4" w:space="0"/>
              <w:right w:val="single" w:color="auto" w:sz="4" w:space="0"/>
            </w:tcBorders>
            <w:noWrap w:val="0"/>
            <w:vAlign w:val="top"/>
          </w:tcPr>
          <w:p w14:paraId="146B12D5">
            <w:pPr>
              <w:snapToGrid w:val="0"/>
              <w:spacing w:before="50" w:after="156" w:afterLines="50" w:line="360" w:lineRule="exact"/>
              <w:jc w:val="left"/>
              <w:rPr>
                <w:rFonts w:hint="eastAsia" w:ascii="宋体"/>
                <w:szCs w:val="21"/>
              </w:rPr>
            </w:pPr>
          </w:p>
        </w:tc>
      </w:tr>
      <w:tr w14:paraId="0A1629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815" w:type="dxa"/>
            <w:tcBorders>
              <w:top w:val="single" w:color="auto" w:sz="4" w:space="0"/>
              <w:left w:val="single" w:color="auto" w:sz="4" w:space="0"/>
              <w:bottom w:val="single" w:color="auto" w:sz="4" w:space="0"/>
              <w:right w:val="single" w:color="auto" w:sz="4" w:space="0"/>
            </w:tcBorders>
            <w:noWrap w:val="0"/>
            <w:vAlign w:val="top"/>
          </w:tcPr>
          <w:p w14:paraId="66516FC8">
            <w:pPr>
              <w:snapToGrid w:val="0"/>
              <w:spacing w:before="50" w:after="156" w:afterLines="50" w:line="360" w:lineRule="exact"/>
              <w:jc w:val="left"/>
              <w:rPr>
                <w:rFonts w:hint="eastAsia" w:ascii="宋体"/>
                <w:szCs w:val="21"/>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254C10F8">
            <w:pPr>
              <w:snapToGrid w:val="0"/>
              <w:spacing w:before="50" w:after="156" w:afterLines="50" w:line="360" w:lineRule="exact"/>
              <w:jc w:val="left"/>
              <w:rPr>
                <w:rFonts w:hint="eastAsia" w:asci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794902FE">
            <w:pPr>
              <w:snapToGrid w:val="0"/>
              <w:spacing w:before="50" w:after="156" w:afterLines="50" w:line="360" w:lineRule="exact"/>
              <w:jc w:val="left"/>
              <w:rPr>
                <w:rFonts w:hint="eastAsia" w:asci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2E290628">
            <w:pPr>
              <w:snapToGrid w:val="0"/>
              <w:spacing w:before="50" w:after="156" w:afterLines="50" w:line="360" w:lineRule="exact"/>
              <w:jc w:val="left"/>
              <w:rPr>
                <w:rFonts w:hint="eastAsia" w:ascii="宋体"/>
                <w:szCs w:val="21"/>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7B199107">
            <w:pPr>
              <w:snapToGrid w:val="0"/>
              <w:spacing w:before="50" w:after="156" w:afterLines="50" w:line="360" w:lineRule="exact"/>
              <w:jc w:val="left"/>
              <w:rPr>
                <w:rFonts w:hint="eastAsia" w:ascii="宋体"/>
                <w:szCs w:val="21"/>
              </w:rPr>
            </w:pPr>
          </w:p>
        </w:tc>
        <w:tc>
          <w:tcPr>
            <w:tcW w:w="1806" w:type="dxa"/>
            <w:tcBorders>
              <w:top w:val="single" w:color="auto" w:sz="4" w:space="0"/>
              <w:left w:val="single" w:color="auto" w:sz="4" w:space="0"/>
              <w:bottom w:val="single" w:color="auto" w:sz="4" w:space="0"/>
              <w:right w:val="single" w:color="auto" w:sz="4" w:space="0"/>
            </w:tcBorders>
            <w:noWrap w:val="0"/>
            <w:vAlign w:val="top"/>
          </w:tcPr>
          <w:p w14:paraId="7C4B55A0">
            <w:pPr>
              <w:snapToGrid w:val="0"/>
              <w:spacing w:before="50" w:after="156" w:afterLines="50" w:line="360" w:lineRule="exact"/>
              <w:jc w:val="left"/>
              <w:rPr>
                <w:rFonts w:hint="eastAsia" w:ascii="宋体"/>
                <w:szCs w:val="21"/>
              </w:rPr>
            </w:pPr>
          </w:p>
        </w:tc>
      </w:tr>
      <w:tr w14:paraId="449277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5" w:type="dxa"/>
            <w:tcBorders>
              <w:top w:val="single" w:color="auto" w:sz="4" w:space="0"/>
              <w:left w:val="single" w:color="auto" w:sz="4" w:space="0"/>
              <w:bottom w:val="single" w:color="auto" w:sz="4" w:space="0"/>
              <w:right w:val="single" w:color="auto" w:sz="4" w:space="0"/>
            </w:tcBorders>
            <w:noWrap w:val="0"/>
            <w:vAlign w:val="top"/>
          </w:tcPr>
          <w:p w14:paraId="733419D3">
            <w:pPr>
              <w:snapToGrid w:val="0"/>
              <w:spacing w:before="50" w:after="156" w:afterLines="50" w:line="360" w:lineRule="exact"/>
              <w:jc w:val="left"/>
              <w:rPr>
                <w:rFonts w:hint="eastAsia" w:ascii="宋体"/>
                <w:szCs w:val="21"/>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55B82E4C">
            <w:pPr>
              <w:snapToGrid w:val="0"/>
              <w:spacing w:before="50" w:after="156" w:afterLines="50" w:line="360" w:lineRule="exact"/>
              <w:jc w:val="left"/>
              <w:rPr>
                <w:rFonts w:hint="eastAsia" w:asci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14748002">
            <w:pPr>
              <w:snapToGrid w:val="0"/>
              <w:spacing w:before="50" w:after="156" w:afterLines="50" w:line="360" w:lineRule="exact"/>
              <w:jc w:val="left"/>
              <w:rPr>
                <w:rFonts w:hint="eastAsia" w:asci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057BC28">
            <w:pPr>
              <w:snapToGrid w:val="0"/>
              <w:spacing w:before="50" w:after="156" w:afterLines="50" w:line="360" w:lineRule="exact"/>
              <w:jc w:val="left"/>
              <w:rPr>
                <w:rFonts w:hint="eastAsia" w:ascii="宋体"/>
                <w:szCs w:val="21"/>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60D4AD39">
            <w:pPr>
              <w:snapToGrid w:val="0"/>
              <w:spacing w:before="50" w:after="156" w:afterLines="50" w:line="360" w:lineRule="exact"/>
              <w:jc w:val="left"/>
              <w:rPr>
                <w:rFonts w:hint="eastAsia" w:ascii="宋体"/>
                <w:szCs w:val="21"/>
              </w:rPr>
            </w:pPr>
          </w:p>
        </w:tc>
        <w:tc>
          <w:tcPr>
            <w:tcW w:w="1806" w:type="dxa"/>
            <w:tcBorders>
              <w:top w:val="single" w:color="auto" w:sz="4" w:space="0"/>
              <w:left w:val="single" w:color="auto" w:sz="4" w:space="0"/>
              <w:bottom w:val="single" w:color="auto" w:sz="4" w:space="0"/>
              <w:right w:val="single" w:color="auto" w:sz="4" w:space="0"/>
            </w:tcBorders>
            <w:noWrap w:val="0"/>
            <w:vAlign w:val="top"/>
          </w:tcPr>
          <w:p w14:paraId="473DB346">
            <w:pPr>
              <w:snapToGrid w:val="0"/>
              <w:spacing w:before="50" w:after="156" w:afterLines="50" w:line="360" w:lineRule="exact"/>
              <w:jc w:val="left"/>
              <w:rPr>
                <w:rFonts w:hint="eastAsia" w:ascii="宋体"/>
                <w:szCs w:val="21"/>
              </w:rPr>
            </w:pPr>
          </w:p>
        </w:tc>
      </w:tr>
      <w:tr w14:paraId="240A40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5" w:type="dxa"/>
            <w:tcBorders>
              <w:top w:val="single" w:color="auto" w:sz="4" w:space="0"/>
              <w:left w:val="single" w:color="auto" w:sz="4" w:space="0"/>
              <w:bottom w:val="single" w:color="auto" w:sz="4" w:space="0"/>
              <w:right w:val="single" w:color="auto" w:sz="4" w:space="0"/>
            </w:tcBorders>
            <w:noWrap w:val="0"/>
            <w:vAlign w:val="top"/>
          </w:tcPr>
          <w:p w14:paraId="08D64266">
            <w:pPr>
              <w:snapToGrid w:val="0"/>
              <w:spacing w:before="50" w:after="156" w:afterLines="50" w:line="360" w:lineRule="exact"/>
              <w:jc w:val="left"/>
              <w:rPr>
                <w:rFonts w:hint="eastAsia" w:ascii="宋体"/>
                <w:szCs w:val="21"/>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13D2208D">
            <w:pPr>
              <w:snapToGrid w:val="0"/>
              <w:spacing w:before="50" w:after="156" w:afterLines="50" w:line="360" w:lineRule="exact"/>
              <w:jc w:val="left"/>
              <w:rPr>
                <w:rFonts w:hint="eastAsia" w:asci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2CC3CB8E">
            <w:pPr>
              <w:snapToGrid w:val="0"/>
              <w:spacing w:before="50" w:after="156" w:afterLines="50" w:line="360" w:lineRule="exact"/>
              <w:jc w:val="left"/>
              <w:rPr>
                <w:rFonts w:hint="eastAsia" w:asci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46DB2D5">
            <w:pPr>
              <w:snapToGrid w:val="0"/>
              <w:spacing w:before="50" w:after="156" w:afterLines="50" w:line="360" w:lineRule="exact"/>
              <w:jc w:val="left"/>
              <w:rPr>
                <w:rFonts w:hint="eastAsia" w:ascii="宋体"/>
                <w:szCs w:val="21"/>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2A3A1CDE">
            <w:pPr>
              <w:snapToGrid w:val="0"/>
              <w:spacing w:before="50" w:after="156" w:afterLines="50" w:line="360" w:lineRule="exact"/>
              <w:jc w:val="left"/>
              <w:rPr>
                <w:rFonts w:hint="eastAsia" w:ascii="宋体"/>
                <w:szCs w:val="21"/>
              </w:rPr>
            </w:pPr>
          </w:p>
        </w:tc>
        <w:tc>
          <w:tcPr>
            <w:tcW w:w="1806" w:type="dxa"/>
            <w:tcBorders>
              <w:top w:val="single" w:color="auto" w:sz="4" w:space="0"/>
              <w:left w:val="single" w:color="auto" w:sz="4" w:space="0"/>
              <w:bottom w:val="single" w:color="auto" w:sz="4" w:space="0"/>
              <w:right w:val="single" w:color="auto" w:sz="4" w:space="0"/>
            </w:tcBorders>
            <w:noWrap w:val="0"/>
            <w:vAlign w:val="top"/>
          </w:tcPr>
          <w:p w14:paraId="3221F2D3">
            <w:pPr>
              <w:snapToGrid w:val="0"/>
              <w:spacing w:before="50" w:after="156" w:afterLines="50" w:line="360" w:lineRule="exact"/>
              <w:jc w:val="left"/>
              <w:rPr>
                <w:rFonts w:hint="eastAsia" w:ascii="宋体"/>
                <w:szCs w:val="21"/>
              </w:rPr>
            </w:pPr>
          </w:p>
        </w:tc>
      </w:tr>
    </w:tbl>
    <w:p w14:paraId="2BB90142">
      <w:pPr>
        <w:pStyle w:val="15"/>
        <w:snapToGrid w:val="0"/>
        <w:spacing w:line="360" w:lineRule="exact"/>
        <w:rPr>
          <w:rFonts w:hint="eastAsia" w:ascii="宋体" w:eastAsia="宋体"/>
          <w:sz w:val="21"/>
          <w:szCs w:val="21"/>
          <w:u w:val="single"/>
        </w:rPr>
      </w:pPr>
      <w:r>
        <w:rPr>
          <w:rFonts w:hint="eastAsia" w:ascii="宋体" w:eastAsia="宋体"/>
          <w:sz w:val="21"/>
          <w:szCs w:val="21"/>
        </w:rPr>
        <w:t xml:space="preserve">  法定代表人(负责人)签字或盖章：</w:t>
      </w:r>
      <w:r>
        <w:rPr>
          <w:rFonts w:hint="eastAsia" w:ascii="宋体" w:eastAsia="宋体"/>
          <w:sz w:val="21"/>
          <w:szCs w:val="21"/>
          <w:u w:val="single"/>
        </w:rPr>
        <w:t>　　　    　　</w:t>
      </w:r>
    </w:p>
    <w:p w14:paraId="7F4B7A60">
      <w:pPr>
        <w:snapToGrid w:val="0"/>
        <w:spacing w:before="50" w:line="360" w:lineRule="exact"/>
        <w:jc w:val="left"/>
        <w:rPr>
          <w:rFonts w:hint="eastAsia" w:ascii="宋体"/>
          <w:szCs w:val="21"/>
        </w:rPr>
      </w:pPr>
      <w:r>
        <w:rPr>
          <w:rFonts w:hint="eastAsia" w:ascii="宋体"/>
          <w:szCs w:val="21"/>
        </w:rPr>
        <w:t xml:space="preserve">  </w:t>
      </w:r>
      <w:r>
        <w:rPr>
          <w:rFonts w:hint="eastAsia"/>
        </w:rPr>
        <w:t>投标人名称（</w:t>
      </w:r>
      <w:r>
        <w:rPr>
          <w:rFonts w:hint="eastAsia" w:ascii="宋体"/>
          <w:szCs w:val="21"/>
        </w:rPr>
        <w:t>盖章</w:t>
      </w:r>
      <w:r>
        <w:rPr>
          <w:rFonts w:hint="eastAsia"/>
        </w:rPr>
        <w:t>）</w:t>
      </w:r>
      <w:r>
        <w:rPr>
          <w:rFonts w:hint="eastAsia" w:ascii="宋体"/>
          <w:szCs w:val="21"/>
        </w:rPr>
        <w:t>：</w:t>
      </w:r>
      <w:r>
        <w:rPr>
          <w:rFonts w:hint="eastAsia" w:ascii="宋体"/>
          <w:szCs w:val="21"/>
          <w:u w:val="single"/>
        </w:rPr>
        <w:t xml:space="preserve">                 </w:t>
      </w:r>
      <w:r>
        <w:rPr>
          <w:rFonts w:hint="eastAsia" w:ascii="宋体"/>
          <w:szCs w:val="21"/>
        </w:rPr>
        <w:t xml:space="preserve">                                     年    月  日</w:t>
      </w:r>
    </w:p>
    <w:p w14:paraId="0B35BD72">
      <w:pPr>
        <w:snapToGrid w:val="0"/>
        <w:spacing w:before="50" w:line="360" w:lineRule="exact"/>
        <w:jc w:val="left"/>
        <w:rPr>
          <w:rFonts w:hint="eastAsia" w:ascii="宋体"/>
          <w:szCs w:val="21"/>
        </w:rPr>
      </w:pPr>
    </w:p>
    <w:p w14:paraId="351FFA84">
      <w:pPr>
        <w:rPr>
          <w:rFonts w:hint="eastAsia"/>
        </w:rPr>
      </w:pPr>
    </w:p>
    <w:p w14:paraId="2725D4C6">
      <w:pPr>
        <w:rPr>
          <w:rFonts w:hint="eastAsia"/>
        </w:rPr>
      </w:pPr>
    </w:p>
    <w:p w14:paraId="41AC672B">
      <w:pPr>
        <w:spacing w:line="300" w:lineRule="exact"/>
        <w:ind w:firstLine="420"/>
        <w:rPr>
          <w:rFonts w:hint="eastAsia" w:ascii="宋体" w:hAnsi="宋体"/>
        </w:rPr>
      </w:pPr>
      <w:r>
        <w:rPr>
          <w:rFonts w:hint="eastAsia" w:ascii="宋体" w:hAnsi="宋体"/>
        </w:rPr>
        <w:t>（9）其他特殊资质证书；</w:t>
      </w:r>
    </w:p>
    <w:p w14:paraId="48DBBFA5">
      <w:pPr>
        <w:snapToGrid w:val="0"/>
        <w:spacing w:line="360" w:lineRule="auto"/>
        <w:ind w:firstLine="5640" w:firstLineChars="2350"/>
        <w:rPr>
          <w:rFonts w:hint="eastAsia" w:ascii="仿宋_GB2312" w:hAnsi="仿宋" w:eastAsia="仿宋_GB2312" w:cs="仿宋_GB2312"/>
          <w:color w:val="auto"/>
          <w:kern w:val="0"/>
          <w:sz w:val="24"/>
          <w:highlight w:val="none"/>
          <w:lang w:val="zh-CN"/>
        </w:rPr>
      </w:pPr>
    </w:p>
    <w:p w14:paraId="7FEBE59A">
      <w:pPr>
        <w:spacing w:line="300" w:lineRule="exact"/>
        <w:rPr>
          <w:rFonts w:hint="eastAsia" w:ascii="宋体" w:hAnsi="宋体"/>
        </w:rPr>
      </w:pPr>
    </w:p>
    <w:p w14:paraId="33AE2A67">
      <w:pPr>
        <w:numPr>
          <w:ilvl w:val="0"/>
          <w:numId w:val="9"/>
        </w:numPr>
        <w:spacing w:line="300" w:lineRule="exact"/>
        <w:ind w:firstLine="405"/>
        <w:rPr>
          <w:rFonts w:hint="eastAsia" w:ascii="宋体" w:hAnsi="宋体"/>
        </w:rPr>
      </w:pPr>
      <w:r>
        <w:rPr>
          <w:rFonts w:hint="eastAsia" w:ascii="宋体" w:hAnsi="宋体"/>
        </w:rPr>
        <w:t>投标人质量管理和质量保证体系等方面的认证证书</w:t>
      </w:r>
    </w:p>
    <w:p w14:paraId="3FAF7A13">
      <w:pPr>
        <w:spacing w:line="300" w:lineRule="exact"/>
        <w:ind w:firstLine="405"/>
        <w:rPr>
          <w:rFonts w:hint="eastAsia" w:ascii="宋体" w:hAnsi="宋体"/>
        </w:rPr>
      </w:pPr>
    </w:p>
    <w:p w14:paraId="6F5F9DEA">
      <w:pPr>
        <w:spacing w:line="300" w:lineRule="exact"/>
        <w:rPr>
          <w:rFonts w:hint="eastAsia" w:ascii="宋体" w:hAnsi="宋体"/>
        </w:rPr>
      </w:pPr>
    </w:p>
    <w:p w14:paraId="4C6E2B06">
      <w:pPr>
        <w:spacing w:line="300" w:lineRule="exact"/>
        <w:ind w:firstLine="405"/>
        <w:rPr>
          <w:rFonts w:hint="eastAsia" w:ascii="宋体" w:hAnsi="宋体"/>
        </w:rPr>
      </w:pPr>
      <w:r>
        <w:rPr>
          <w:rFonts w:hint="eastAsia" w:ascii="宋体" w:hAnsi="宋体"/>
        </w:rPr>
        <w:t>（11）投标人认为可以证明其能力或业绩的其他材料（格式自拟）</w:t>
      </w:r>
    </w:p>
    <w:p w14:paraId="6A3D469D">
      <w:pPr>
        <w:snapToGrid w:val="0"/>
        <w:spacing w:line="360" w:lineRule="auto"/>
        <w:ind w:firstLine="5640" w:firstLineChars="2350"/>
        <w:rPr>
          <w:rFonts w:hint="eastAsia" w:ascii="仿宋_GB2312" w:hAnsi="仿宋" w:eastAsia="仿宋_GB2312" w:cs="仿宋_GB2312"/>
          <w:color w:val="auto"/>
          <w:kern w:val="0"/>
          <w:sz w:val="24"/>
          <w:highlight w:val="none"/>
          <w:lang w:val="zh-CN"/>
        </w:rPr>
      </w:pPr>
    </w:p>
    <w:p w14:paraId="43C42E7A">
      <w:pPr>
        <w:spacing w:line="300" w:lineRule="exact"/>
        <w:ind w:firstLine="435"/>
        <w:rPr>
          <w:rFonts w:hint="eastAsia" w:ascii="宋体" w:hAnsi="宋体"/>
          <w:szCs w:val="21"/>
        </w:rPr>
      </w:pPr>
      <w:r>
        <w:rPr>
          <w:rFonts w:hint="eastAsia" w:ascii="宋体" w:hAnsi="宋体"/>
        </w:rPr>
        <w:t>（12）</w:t>
      </w:r>
      <w:r>
        <w:rPr>
          <w:rFonts w:hint="eastAsia" w:ascii="宋体" w:hAnsi="宋体"/>
          <w:szCs w:val="21"/>
        </w:rPr>
        <w:t>投标人关于服务升级以及本单位债务纠纷、违法违规记录等方面的情况（内容见投标声明书）</w:t>
      </w:r>
    </w:p>
    <w:p w14:paraId="7F6939E6">
      <w:pPr>
        <w:spacing w:line="300" w:lineRule="exact"/>
        <w:rPr>
          <w:rFonts w:hint="eastAsia" w:ascii="宋体" w:hAnsi="宋体"/>
        </w:rPr>
      </w:pPr>
    </w:p>
    <w:p w14:paraId="705F63CC">
      <w:pPr>
        <w:snapToGrid w:val="0"/>
        <w:spacing w:line="300" w:lineRule="exact"/>
        <w:ind w:firstLine="411" w:firstLineChars="196"/>
        <w:jc w:val="left"/>
        <w:rPr>
          <w:rFonts w:hint="eastAsia" w:ascii="宋体" w:hAnsi="宋体"/>
          <w:color w:val="FF0000"/>
          <w:szCs w:val="21"/>
        </w:rPr>
      </w:pPr>
    </w:p>
    <w:p w14:paraId="3A11F106">
      <w:pPr>
        <w:spacing w:line="300" w:lineRule="exact"/>
        <w:ind w:firstLine="435"/>
        <w:rPr>
          <w:rFonts w:hint="eastAsia" w:ascii="宋体" w:hAnsi="宋体"/>
        </w:rPr>
      </w:pPr>
      <w:r>
        <w:rPr>
          <w:rFonts w:hint="eastAsia" w:ascii="宋体" w:hAnsi="宋体"/>
        </w:rPr>
        <w:t>（13）投标人情况介绍（主要服务、技术力量、企业规模、经营业绩等，格式自拟）</w:t>
      </w:r>
    </w:p>
    <w:p w14:paraId="5A447E4D">
      <w:pPr>
        <w:spacing w:line="300" w:lineRule="exact"/>
        <w:ind w:firstLine="435"/>
        <w:rPr>
          <w:rFonts w:hint="eastAsia" w:ascii="宋体" w:hAnsi="宋体"/>
        </w:rPr>
      </w:pPr>
    </w:p>
    <w:p w14:paraId="2058DBF4">
      <w:pPr>
        <w:spacing w:line="300" w:lineRule="exact"/>
        <w:ind w:firstLine="435"/>
        <w:rPr>
          <w:rFonts w:hint="eastAsia" w:ascii="宋体" w:hAnsi="宋体"/>
        </w:rPr>
      </w:pPr>
    </w:p>
    <w:p w14:paraId="1BB2971D">
      <w:pPr>
        <w:snapToGrid w:val="0"/>
        <w:spacing w:line="300" w:lineRule="exact"/>
        <w:ind w:firstLine="411" w:firstLineChars="196"/>
        <w:jc w:val="left"/>
        <w:rPr>
          <w:rFonts w:hint="eastAsia" w:ascii="宋体"/>
          <w:szCs w:val="21"/>
        </w:rPr>
      </w:pPr>
      <w:r>
        <w:rPr>
          <w:rFonts w:ascii="宋体" w:hAnsi="宋体"/>
          <w:szCs w:val="21"/>
        </w:rPr>
        <w:br w:type="page"/>
      </w:r>
      <w:r>
        <w:rPr>
          <w:rFonts w:hint="eastAsia" w:ascii="宋体" w:hAnsi="宋体"/>
          <w:szCs w:val="21"/>
        </w:rPr>
        <w:t>（1</w:t>
      </w:r>
      <w:r>
        <w:rPr>
          <w:rFonts w:hint="eastAsia" w:ascii="宋体" w:hAnsi="宋体"/>
          <w:szCs w:val="21"/>
          <w:lang w:val="en-US" w:eastAsia="zh-CN"/>
        </w:rPr>
        <w:t>4</w:t>
      </w:r>
      <w:r>
        <w:rPr>
          <w:rFonts w:hint="eastAsia" w:ascii="宋体"/>
          <w:szCs w:val="21"/>
        </w:rPr>
        <w:t>）中小企业声明函。</w:t>
      </w:r>
    </w:p>
    <w:p w14:paraId="116AA344">
      <w:pPr>
        <w:pStyle w:val="28"/>
        <w:spacing w:line="440" w:lineRule="exact"/>
        <w:jc w:val="center"/>
        <w:rPr>
          <w:rFonts w:hint="eastAsia" w:hAnsi="宋体"/>
          <w:b/>
          <w:bCs/>
          <w:sz w:val="30"/>
          <w:szCs w:val="30"/>
          <w:lang w:eastAsia="zh-CN"/>
        </w:rPr>
      </w:pPr>
      <w:r>
        <w:rPr>
          <w:rFonts w:hAnsi="宋体"/>
          <w:b/>
          <w:bCs/>
          <w:sz w:val="30"/>
          <w:szCs w:val="30"/>
        </w:rPr>
        <w:t>中小企业声明函（</w:t>
      </w:r>
      <w:r>
        <w:rPr>
          <w:rFonts w:hint="eastAsia" w:hAnsi="宋体"/>
          <w:b/>
          <w:bCs/>
          <w:sz w:val="30"/>
          <w:szCs w:val="30"/>
          <w:lang w:eastAsia="zh-CN"/>
        </w:rPr>
        <w:t>服务</w:t>
      </w:r>
      <w:r>
        <w:rPr>
          <w:rFonts w:hAnsi="宋体"/>
          <w:b/>
          <w:bCs/>
          <w:sz w:val="30"/>
          <w:szCs w:val="30"/>
        </w:rPr>
        <w:t>）</w:t>
      </w:r>
    </w:p>
    <w:p w14:paraId="21B4C9B9">
      <w:pPr>
        <w:spacing w:line="440" w:lineRule="exact"/>
      </w:pPr>
    </w:p>
    <w:p w14:paraId="3357DFAD">
      <w:pPr>
        <w:pStyle w:val="28"/>
        <w:spacing w:line="440" w:lineRule="exact"/>
        <w:ind w:firstLine="525" w:firstLineChars="250"/>
        <w:jc w:val="left"/>
        <w:rPr>
          <w:rFonts w:hint="eastAsia"/>
          <w:sz w:val="21"/>
          <w:szCs w:val="22"/>
          <w:lang w:val="en-US" w:eastAsia="zh-CN"/>
        </w:rPr>
      </w:pPr>
      <w:r>
        <w:rPr>
          <w:rFonts w:hint="eastAsia"/>
          <w:sz w:val="21"/>
          <w:szCs w:val="22"/>
          <w:lang w:val="en-US" w:eastAsia="zh-CN"/>
        </w:rPr>
        <w:t>本公司（联合体）郑重声明，根据《政府采购促进中小企业发展管理办法》（财库﹝2020﹞46 号）的规定，本公司（联合体）参加</w:t>
      </w:r>
      <w:r>
        <w:rPr>
          <w:rFonts w:hint="eastAsia"/>
          <w:sz w:val="21"/>
          <w:szCs w:val="22"/>
          <w:u w:val="single"/>
          <w:lang w:val="en-US" w:eastAsia="zh-CN"/>
        </w:rPr>
        <w:t>（单位名称）</w:t>
      </w:r>
      <w:r>
        <w:rPr>
          <w:rFonts w:hint="eastAsia"/>
          <w:sz w:val="21"/>
          <w:szCs w:val="22"/>
          <w:lang w:val="en-US" w:eastAsia="zh-CN"/>
        </w:rPr>
        <w:t>的</w:t>
      </w:r>
      <w:r>
        <w:rPr>
          <w:rFonts w:hint="eastAsia"/>
          <w:sz w:val="21"/>
          <w:szCs w:val="22"/>
          <w:u w:val="single"/>
          <w:lang w:val="en-US" w:eastAsia="zh-CN"/>
        </w:rPr>
        <w:t>（项目名称）</w:t>
      </w:r>
      <w:r>
        <w:rPr>
          <w:rFonts w:hint="eastAsia"/>
          <w:sz w:val="21"/>
          <w:szCs w:val="22"/>
          <w:lang w:val="en-US" w:eastAsia="zh-CN"/>
        </w:rPr>
        <w:t>采购活动，服务全部由符合政策要求的中小企业承接。相关企业（含联合体中的中小企业、签订分包意向协议的中小企业）的具体情况如下：</w:t>
      </w:r>
    </w:p>
    <w:p w14:paraId="0F5D43CF">
      <w:pPr>
        <w:pStyle w:val="28"/>
        <w:spacing w:line="440" w:lineRule="exact"/>
        <w:ind w:firstLine="420" w:firstLineChars="200"/>
        <w:jc w:val="left"/>
        <w:rPr>
          <w:rFonts w:hint="eastAsia"/>
          <w:sz w:val="21"/>
          <w:szCs w:val="22"/>
          <w:lang w:val="en-US" w:eastAsia="zh-CN"/>
        </w:rPr>
      </w:pPr>
      <w:r>
        <w:rPr>
          <w:rFonts w:hint="eastAsia"/>
          <w:sz w:val="21"/>
          <w:szCs w:val="22"/>
          <w:lang w:val="en-US" w:eastAsia="zh-CN"/>
        </w:rPr>
        <w:t>1.</w:t>
      </w:r>
      <w:r>
        <w:rPr>
          <w:rFonts w:hint="eastAsia"/>
          <w:sz w:val="21"/>
          <w:szCs w:val="22"/>
          <w:u w:val="single"/>
          <w:lang w:val="en-US" w:eastAsia="zh-CN"/>
        </w:rPr>
        <w:t xml:space="preserve">（标的名称） </w:t>
      </w:r>
      <w:r>
        <w:rPr>
          <w:rFonts w:hint="eastAsia"/>
          <w:sz w:val="21"/>
          <w:szCs w:val="22"/>
          <w:lang w:val="en-US" w:eastAsia="zh-CN"/>
        </w:rPr>
        <w:t>，属于</w:t>
      </w:r>
      <w:r>
        <w:rPr>
          <w:rFonts w:hint="eastAsia"/>
          <w:sz w:val="21"/>
          <w:szCs w:val="22"/>
          <w:u w:val="single"/>
          <w:lang w:val="en-US" w:eastAsia="zh-CN"/>
        </w:rPr>
        <w:t>（采购文件中明确的所属行业）</w:t>
      </w:r>
      <w:r>
        <w:rPr>
          <w:rFonts w:hint="eastAsia"/>
          <w:sz w:val="21"/>
          <w:szCs w:val="22"/>
          <w:lang w:val="en-US" w:eastAsia="zh-CN"/>
        </w:rPr>
        <w:t>；承接企业为</w:t>
      </w:r>
      <w:r>
        <w:rPr>
          <w:rFonts w:hint="eastAsia"/>
          <w:sz w:val="21"/>
          <w:szCs w:val="22"/>
          <w:u w:val="single"/>
          <w:lang w:val="en-US" w:eastAsia="zh-CN"/>
        </w:rPr>
        <w:t>（企业名称）</w:t>
      </w:r>
      <w:r>
        <w:rPr>
          <w:rFonts w:hint="eastAsia"/>
          <w:sz w:val="21"/>
          <w:szCs w:val="22"/>
          <w:lang w:val="en-US" w:eastAsia="zh-CN"/>
        </w:rPr>
        <w:t>，从业人员</w:t>
      </w:r>
      <w:r>
        <w:rPr>
          <w:rFonts w:hint="eastAsia"/>
          <w:sz w:val="21"/>
          <w:szCs w:val="22"/>
          <w:u w:val="single"/>
          <w:lang w:val="en-US" w:eastAsia="zh-CN"/>
        </w:rPr>
        <w:t xml:space="preserve">     </w:t>
      </w:r>
      <w:r>
        <w:rPr>
          <w:rFonts w:hint="eastAsia"/>
          <w:sz w:val="21"/>
          <w:szCs w:val="22"/>
          <w:lang w:val="en-US" w:eastAsia="zh-CN"/>
        </w:rPr>
        <w:t>人，营业收入为</w:t>
      </w:r>
      <w:r>
        <w:rPr>
          <w:rFonts w:hint="eastAsia"/>
          <w:sz w:val="21"/>
          <w:szCs w:val="22"/>
          <w:u w:val="single"/>
          <w:lang w:val="en-US" w:eastAsia="zh-CN"/>
        </w:rPr>
        <w:t xml:space="preserve">     </w:t>
      </w:r>
      <w:r>
        <w:rPr>
          <w:rFonts w:hint="eastAsia"/>
          <w:sz w:val="21"/>
          <w:szCs w:val="22"/>
          <w:lang w:val="en-US" w:eastAsia="zh-CN"/>
        </w:rPr>
        <w:t>万元，资产总额为</w:t>
      </w:r>
      <w:r>
        <w:rPr>
          <w:rFonts w:hint="eastAsia"/>
          <w:sz w:val="21"/>
          <w:szCs w:val="22"/>
          <w:u w:val="single"/>
          <w:lang w:val="en-US" w:eastAsia="zh-CN"/>
        </w:rPr>
        <w:t xml:space="preserve">     </w:t>
      </w:r>
      <w:r>
        <w:rPr>
          <w:rFonts w:hint="eastAsia"/>
          <w:sz w:val="21"/>
          <w:szCs w:val="22"/>
          <w:lang w:val="en-US" w:eastAsia="zh-CN"/>
        </w:rPr>
        <w:t>万元，属于</w:t>
      </w:r>
      <w:r>
        <w:rPr>
          <w:rFonts w:hint="eastAsia"/>
          <w:sz w:val="21"/>
          <w:szCs w:val="22"/>
          <w:u w:val="single"/>
          <w:lang w:val="en-US" w:eastAsia="zh-CN"/>
        </w:rPr>
        <w:t>（中型企业、小型企业、微型企业）</w:t>
      </w:r>
      <w:r>
        <w:rPr>
          <w:rFonts w:hint="eastAsia"/>
          <w:sz w:val="21"/>
          <w:szCs w:val="22"/>
          <w:lang w:val="en-US" w:eastAsia="zh-CN"/>
        </w:rPr>
        <w:t xml:space="preserve">； </w:t>
      </w:r>
    </w:p>
    <w:p w14:paraId="00A19ED3">
      <w:pPr>
        <w:pStyle w:val="28"/>
        <w:spacing w:line="440" w:lineRule="exact"/>
        <w:ind w:firstLine="420" w:firstLineChars="200"/>
        <w:jc w:val="left"/>
        <w:rPr>
          <w:rFonts w:hint="eastAsia"/>
          <w:sz w:val="21"/>
          <w:szCs w:val="22"/>
          <w:lang w:val="en-US" w:eastAsia="zh-CN"/>
        </w:rPr>
      </w:pPr>
      <w:r>
        <w:rPr>
          <w:rFonts w:hint="eastAsia"/>
          <w:sz w:val="21"/>
          <w:szCs w:val="22"/>
          <w:lang w:val="en-US" w:eastAsia="zh-CN"/>
        </w:rPr>
        <w:t>2.</w:t>
      </w:r>
      <w:r>
        <w:rPr>
          <w:rFonts w:hint="eastAsia"/>
          <w:sz w:val="21"/>
          <w:szCs w:val="22"/>
          <w:u w:val="single"/>
          <w:lang w:val="en-US" w:eastAsia="zh-CN"/>
        </w:rPr>
        <w:t xml:space="preserve">（标的名称） </w:t>
      </w:r>
      <w:r>
        <w:rPr>
          <w:rFonts w:hint="eastAsia"/>
          <w:sz w:val="21"/>
          <w:szCs w:val="22"/>
          <w:lang w:val="en-US" w:eastAsia="zh-CN"/>
        </w:rPr>
        <w:t>，属于</w:t>
      </w:r>
      <w:r>
        <w:rPr>
          <w:rFonts w:hint="eastAsia"/>
          <w:sz w:val="21"/>
          <w:szCs w:val="22"/>
          <w:u w:val="single"/>
          <w:lang w:val="en-US" w:eastAsia="zh-CN"/>
        </w:rPr>
        <w:t>（采购文件中明确的所属行业）</w:t>
      </w:r>
      <w:r>
        <w:rPr>
          <w:rFonts w:hint="eastAsia"/>
          <w:sz w:val="21"/>
          <w:szCs w:val="22"/>
          <w:lang w:val="en-US" w:eastAsia="zh-CN"/>
        </w:rPr>
        <w:t>；承接企业为（企业名称），从业人员</w:t>
      </w:r>
      <w:r>
        <w:rPr>
          <w:rFonts w:hint="eastAsia"/>
          <w:sz w:val="21"/>
          <w:szCs w:val="22"/>
          <w:u w:val="single"/>
          <w:lang w:val="en-US" w:eastAsia="zh-CN"/>
        </w:rPr>
        <w:t xml:space="preserve">     </w:t>
      </w:r>
      <w:r>
        <w:rPr>
          <w:rFonts w:hint="eastAsia"/>
          <w:sz w:val="21"/>
          <w:szCs w:val="22"/>
          <w:lang w:val="en-US" w:eastAsia="zh-CN"/>
        </w:rPr>
        <w:t>人，营业收入为</w:t>
      </w:r>
      <w:r>
        <w:rPr>
          <w:rFonts w:hint="eastAsia"/>
          <w:sz w:val="21"/>
          <w:szCs w:val="22"/>
          <w:u w:val="single"/>
          <w:lang w:val="en-US" w:eastAsia="zh-CN"/>
        </w:rPr>
        <w:t xml:space="preserve">     </w:t>
      </w:r>
      <w:r>
        <w:rPr>
          <w:rFonts w:hint="eastAsia"/>
          <w:sz w:val="21"/>
          <w:szCs w:val="22"/>
          <w:lang w:val="en-US" w:eastAsia="zh-CN"/>
        </w:rPr>
        <w:t>万元，资产总额为</w:t>
      </w:r>
      <w:r>
        <w:rPr>
          <w:rFonts w:hint="eastAsia"/>
          <w:sz w:val="21"/>
          <w:szCs w:val="22"/>
          <w:u w:val="single"/>
          <w:lang w:val="en-US" w:eastAsia="zh-CN"/>
        </w:rPr>
        <w:t xml:space="preserve">     </w:t>
      </w:r>
      <w:r>
        <w:rPr>
          <w:rFonts w:hint="eastAsia"/>
          <w:sz w:val="21"/>
          <w:szCs w:val="22"/>
          <w:lang w:val="en-US" w:eastAsia="zh-CN"/>
        </w:rPr>
        <w:t>万元，属于</w:t>
      </w:r>
      <w:r>
        <w:rPr>
          <w:rFonts w:hint="eastAsia"/>
          <w:sz w:val="21"/>
          <w:szCs w:val="22"/>
          <w:u w:val="single"/>
          <w:lang w:val="en-US" w:eastAsia="zh-CN"/>
        </w:rPr>
        <w:t>（中型企业、小型企业、微型企业）</w:t>
      </w:r>
      <w:r>
        <w:rPr>
          <w:rFonts w:hint="eastAsia"/>
          <w:sz w:val="21"/>
          <w:szCs w:val="22"/>
          <w:lang w:val="en-US" w:eastAsia="zh-CN"/>
        </w:rPr>
        <w:t>；</w:t>
      </w:r>
    </w:p>
    <w:p w14:paraId="36DA5360">
      <w:pPr>
        <w:pStyle w:val="28"/>
        <w:spacing w:line="440" w:lineRule="exact"/>
        <w:ind w:firstLine="420" w:firstLineChars="200"/>
        <w:jc w:val="left"/>
        <w:rPr>
          <w:rFonts w:hint="eastAsia"/>
          <w:sz w:val="21"/>
          <w:szCs w:val="22"/>
          <w:lang w:val="en-US" w:eastAsia="zh-CN"/>
        </w:rPr>
      </w:pPr>
      <w:r>
        <w:rPr>
          <w:rFonts w:hint="eastAsia"/>
          <w:sz w:val="21"/>
          <w:szCs w:val="22"/>
          <w:lang w:val="en-US" w:eastAsia="zh-CN"/>
        </w:rPr>
        <w:t>……</w:t>
      </w:r>
    </w:p>
    <w:p w14:paraId="079256FE">
      <w:pPr>
        <w:pStyle w:val="28"/>
        <w:spacing w:line="440" w:lineRule="exact"/>
        <w:ind w:firstLine="420" w:firstLineChars="200"/>
        <w:jc w:val="left"/>
        <w:rPr>
          <w:rFonts w:hint="eastAsia"/>
          <w:sz w:val="21"/>
          <w:szCs w:val="22"/>
          <w:lang w:val="en-US" w:eastAsia="zh-CN"/>
        </w:rPr>
      </w:pPr>
      <w:r>
        <w:rPr>
          <w:rFonts w:hint="eastAsia"/>
          <w:sz w:val="21"/>
          <w:szCs w:val="22"/>
          <w:lang w:val="en-US" w:eastAsia="zh-CN"/>
        </w:rPr>
        <w:t>以上企业，不属于大企业的分支机构，不存在控股股东为大企业的情形，也不存在与大企业的负责人为同一人的情形。</w:t>
      </w:r>
    </w:p>
    <w:p w14:paraId="105AC56B">
      <w:pPr>
        <w:pStyle w:val="28"/>
        <w:spacing w:line="440" w:lineRule="exact"/>
        <w:ind w:firstLine="420" w:firstLineChars="200"/>
        <w:jc w:val="left"/>
        <w:rPr>
          <w:rFonts w:hint="eastAsia"/>
          <w:sz w:val="21"/>
          <w:szCs w:val="22"/>
          <w:lang w:val="en-US" w:eastAsia="zh-CN"/>
        </w:rPr>
      </w:pPr>
      <w:r>
        <w:rPr>
          <w:rFonts w:hint="eastAsia"/>
          <w:sz w:val="21"/>
          <w:szCs w:val="22"/>
          <w:lang w:val="en-US" w:eastAsia="zh-CN"/>
        </w:rPr>
        <w:t>本企业对上述声明内容的真实性负责。如有虚假，将依法承担相应责任。</w:t>
      </w:r>
    </w:p>
    <w:p w14:paraId="3DBCBE34">
      <w:pPr>
        <w:pStyle w:val="28"/>
        <w:spacing w:line="440" w:lineRule="exact"/>
        <w:ind w:firstLine="420" w:firstLineChars="200"/>
        <w:jc w:val="left"/>
        <w:rPr>
          <w:rFonts w:hint="eastAsia"/>
          <w:sz w:val="21"/>
          <w:szCs w:val="22"/>
          <w:lang w:val="en-US" w:eastAsia="zh-CN"/>
        </w:rPr>
      </w:pPr>
    </w:p>
    <w:p w14:paraId="505A65FC">
      <w:pPr>
        <w:pStyle w:val="28"/>
        <w:spacing w:line="440" w:lineRule="exact"/>
        <w:ind w:firstLine="4620" w:firstLineChars="2200"/>
        <w:jc w:val="left"/>
        <w:rPr>
          <w:rFonts w:hint="eastAsia"/>
          <w:sz w:val="21"/>
          <w:szCs w:val="22"/>
          <w:lang w:val="en-US" w:eastAsia="zh-CN"/>
        </w:rPr>
      </w:pPr>
      <w:r>
        <w:rPr>
          <w:rFonts w:hint="eastAsia"/>
          <w:sz w:val="21"/>
          <w:szCs w:val="22"/>
          <w:lang w:val="en-US" w:eastAsia="zh-CN"/>
        </w:rPr>
        <w:t>企业名称（盖章）：</w:t>
      </w:r>
    </w:p>
    <w:p w14:paraId="17774197">
      <w:pPr>
        <w:pStyle w:val="28"/>
        <w:spacing w:line="440" w:lineRule="exact"/>
        <w:ind w:firstLine="4620" w:firstLineChars="2200"/>
        <w:jc w:val="left"/>
        <w:rPr>
          <w:rFonts w:hint="eastAsia"/>
          <w:sz w:val="21"/>
          <w:szCs w:val="22"/>
          <w:lang w:val="en-US" w:eastAsia="zh-CN"/>
        </w:rPr>
      </w:pPr>
      <w:r>
        <w:rPr>
          <w:rFonts w:hint="eastAsia"/>
          <w:sz w:val="21"/>
          <w:szCs w:val="22"/>
          <w:lang w:val="en-US" w:eastAsia="zh-CN"/>
        </w:rPr>
        <w:t>日 期：</w:t>
      </w:r>
    </w:p>
    <w:p w14:paraId="3A0B5079">
      <w:pPr>
        <w:snapToGrid w:val="0"/>
        <w:spacing w:line="380" w:lineRule="exact"/>
        <w:ind w:firstLine="431" w:firstLineChars="196"/>
        <w:jc w:val="left"/>
        <w:rPr>
          <w:rFonts w:hint="eastAsia" w:ascii="宋体"/>
          <w:sz w:val="22"/>
          <w:szCs w:val="22"/>
        </w:rPr>
      </w:pPr>
    </w:p>
    <w:p w14:paraId="378C39C9">
      <w:pPr>
        <w:snapToGrid w:val="0"/>
        <w:spacing w:line="340" w:lineRule="exact"/>
        <w:ind w:firstLine="392" w:firstLineChars="196"/>
        <w:jc w:val="left"/>
        <w:rPr>
          <w:rFonts w:hint="eastAsia"/>
          <w:sz w:val="20"/>
          <w:szCs w:val="20"/>
        </w:rPr>
      </w:pPr>
      <w:r>
        <w:rPr>
          <w:rFonts w:hint="eastAsia"/>
          <w:sz w:val="20"/>
          <w:szCs w:val="20"/>
        </w:rPr>
        <w:t>注：1、从业人员、营业收入、资产总额填报上一年度数据，无上一年度数据的新成立企业可不填报。</w:t>
      </w:r>
    </w:p>
    <w:p w14:paraId="5C8EAAA9">
      <w:pPr>
        <w:snapToGrid w:val="0"/>
        <w:spacing w:line="340" w:lineRule="exact"/>
        <w:ind w:firstLine="792" w:firstLineChars="396"/>
        <w:jc w:val="left"/>
        <w:rPr>
          <w:rFonts w:hint="eastAsia"/>
          <w:sz w:val="20"/>
          <w:szCs w:val="20"/>
        </w:rPr>
      </w:pPr>
      <w:r>
        <w:rPr>
          <w:rFonts w:hint="eastAsia"/>
          <w:sz w:val="20"/>
          <w:szCs w:val="20"/>
        </w:rPr>
        <w:t>2、请根据自己的真实情况出具《中小企业声明函》。依法享受中小企业优惠政策的，采购人或者采购代理机构在公告中标结果时，同时公告其《中小企业声明函》，接受社会监督。</w:t>
      </w:r>
    </w:p>
    <w:p w14:paraId="102CBF31">
      <w:pPr>
        <w:snapToGrid w:val="0"/>
        <w:spacing w:line="340" w:lineRule="exact"/>
        <w:ind w:firstLine="792" w:firstLineChars="396"/>
        <w:jc w:val="left"/>
        <w:rPr>
          <w:rFonts w:hint="eastAsia" w:ascii="宋体"/>
          <w:sz w:val="22"/>
          <w:szCs w:val="22"/>
        </w:rPr>
      </w:pPr>
      <w:r>
        <w:rPr>
          <w:rFonts w:hint="eastAsia"/>
          <w:sz w:val="20"/>
          <w:szCs w:val="20"/>
        </w:rPr>
        <w:t>3、在政府采购活动中，供应商提供的货物、工程或者服务符合下列情形的，享受《政府采购促进中小企业发展管理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政府采购促进中小企业发展管理办法》规定的中小企业扶持政策。以联合体形式参加政府采购活动，联合体各方均为中小企业的，联合体视同中小企业。其中，联合体各方均为小微企业的，联合体视同小微企业。</w:t>
      </w:r>
    </w:p>
    <w:p w14:paraId="685D7557">
      <w:pPr>
        <w:spacing w:line="528" w:lineRule="exact"/>
        <w:ind w:left="1871" w:leftChars="891" w:firstLine="525" w:firstLineChars="250"/>
        <w:rPr>
          <w:rFonts w:hint="eastAsia" w:ascii="宋体"/>
          <w:sz w:val="18"/>
          <w:szCs w:val="18"/>
        </w:rPr>
      </w:pPr>
      <w:r>
        <w:br w:type="page"/>
      </w:r>
    </w:p>
    <w:p w14:paraId="2B7728D7">
      <w:pPr>
        <w:spacing w:line="528" w:lineRule="exact"/>
        <w:ind w:firstLine="2400" w:firstLineChars="600"/>
        <w:rPr>
          <w:rFonts w:ascii="宋体" w:hAnsi="宋体" w:cs="Arial Unicode MS"/>
          <w:sz w:val="40"/>
          <w:szCs w:val="40"/>
        </w:rPr>
      </w:pPr>
      <w:r>
        <w:rPr>
          <w:rFonts w:hint="eastAsia" w:ascii="宋体" w:hAnsi="宋体" w:cs="微软雅黑"/>
          <w:sz w:val="40"/>
          <w:szCs w:val="40"/>
        </w:rPr>
        <w:t>中小微企业划型标准</w:t>
      </w:r>
    </w:p>
    <w:tbl>
      <w:tblPr>
        <w:tblStyle w:val="51"/>
        <w:tblW w:w="8857" w:type="dxa"/>
        <w:tblInd w:w="250" w:type="dxa"/>
        <w:tblLayout w:type="fixed"/>
        <w:tblCellMar>
          <w:top w:w="0" w:type="dxa"/>
          <w:left w:w="108" w:type="dxa"/>
          <w:bottom w:w="0" w:type="dxa"/>
          <w:right w:w="108" w:type="dxa"/>
        </w:tblCellMar>
      </w:tblPr>
      <w:tblGrid>
        <w:gridCol w:w="1887"/>
        <w:gridCol w:w="1536"/>
        <w:gridCol w:w="1013"/>
        <w:gridCol w:w="1797"/>
        <w:gridCol w:w="1597"/>
        <w:gridCol w:w="1027"/>
      </w:tblGrid>
      <w:tr w14:paraId="5F7FF4DE">
        <w:tblPrEx>
          <w:tblCellMar>
            <w:top w:w="0" w:type="dxa"/>
            <w:left w:w="108" w:type="dxa"/>
            <w:bottom w:w="0" w:type="dxa"/>
            <w:right w:w="108" w:type="dxa"/>
          </w:tblCellMar>
        </w:tblPrEx>
        <w:trPr>
          <w:trHeight w:val="903" w:hRule="atLeast"/>
        </w:trPr>
        <w:tc>
          <w:tcPr>
            <w:tcW w:w="1887" w:type="dxa"/>
            <w:tcBorders>
              <w:top w:val="single" w:color="auto" w:sz="4" w:space="0"/>
              <w:left w:val="single" w:color="auto" w:sz="4" w:space="0"/>
              <w:bottom w:val="single" w:color="auto" w:sz="4" w:space="0"/>
              <w:right w:val="single" w:color="auto" w:sz="4" w:space="0"/>
            </w:tcBorders>
            <w:noWrap w:val="0"/>
            <w:vAlign w:val="center"/>
          </w:tcPr>
          <w:p w14:paraId="1EAEA7DF">
            <w:pPr>
              <w:widowControl/>
              <w:jc w:val="center"/>
              <w:rPr>
                <w:rFonts w:ascii="宋体" w:hAnsi="宋体" w:cs="宋体"/>
                <w:b/>
                <w:kern w:val="0"/>
                <w:sz w:val="24"/>
              </w:rPr>
            </w:pPr>
            <w:r>
              <w:rPr>
                <w:rFonts w:hint="eastAsia" w:ascii="宋体" w:hAnsi="宋体" w:cs="宋体"/>
                <w:b/>
                <w:kern w:val="0"/>
                <w:sz w:val="24"/>
              </w:rPr>
              <w:t>行业名称</w:t>
            </w:r>
          </w:p>
        </w:tc>
        <w:tc>
          <w:tcPr>
            <w:tcW w:w="1536" w:type="dxa"/>
            <w:tcBorders>
              <w:top w:val="single" w:color="auto" w:sz="4" w:space="0"/>
              <w:left w:val="nil"/>
              <w:bottom w:val="single" w:color="auto" w:sz="4" w:space="0"/>
              <w:right w:val="single" w:color="auto" w:sz="4" w:space="0"/>
            </w:tcBorders>
            <w:noWrap w:val="0"/>
            <w:vAlign w:val="center"/>
          </w:tcPr>
          <w:p w14:paraId="7BDE18C3">
            <w:pPr>
              <w:widowControl/>
              <w:jc w:val="center"/>
              <w:rPr>
                <w:rFonts w:hint="eastAsia" w:ascii="宋体" w:hAnsi="宋体" w:cs="宋体"/>
                <w:b/>
                <w:kern w:val="0"/>
                <w:sz w:val="24"/>
              </w:rPr>
            </w:pPr>
            <w:r>
              <w:rPr>
                <w:rFonts w:hint="eastAsia" w:ascii="宋体" w:hAnsi="宋体" w:cs="宋体"/>
                <w:b/>
                <w:kern w:val="0"/>
                <w:sz w:val="24"/>
              </w:rPr>
              <w:t>指标名称</w:t>
            </w:r>
          </w:p>
        </w:tc>
        <w:tc>
          <w:tcPr>
            <w:tcW w:w="1013" w:type="dxa"/>
            <w:tcBorders>
              <w:top w:val="single" w:color="auto" w:sz="4" w:space="0"/>
              <w:left w:val="nil"/>
              <w:bottom w:val="single" w:color="auto" w:sz="4" w:space="0"/>
              <w:right w:val="single" w:color="auto" w:sz="4" w:space="0"/>
            </w:tcBorders>
            <w:noWrap w:val="0"/>
            <w:vAlign w:val="center"/>
          </w:tcPr>
          <w:p w14:paraId="598E3A34">
            <w:pPr>
              <w:widowControl/>
              <w:jc w:val="center"/>
              <w:rPr>
                <w:rFonts w:hint="eastAsia" w:ascii="宋体" w:hAnsi="宋体" w:cs="宋体"/>
                <w:b/>
                <w:kern w:val="0"/>
                <w:sz w:val="24"/>
              </w:rPr>
            </w:pPr>
            <w:r>
              <w:rPr>
                <w:rFonts w:hint="eastAsia" w:ascii="宋体" w:hAnsi="宋体" w:cs="宋体"/>
                <w:b/>
                <w:kern w:val="0"/>
                <w:sz w:val="24"/>
              </w:rPr>
              <w:t>计量单位</w:t>
            </w:r>
          </w:p>
        </w:tc>
        <w:tc>
          <w:tcPr>
            <w:tcW w:w="1797" w:type="dxa"/>
            <w:tcBorders>
              <w:top w:val="single" w:color="auto" w:sz="4" w:space="0"/>
              <w:left w:val="nil"/>
              <w:bottom w:val="single" w:color="auto" w:sz="4" w:space="0"/>
              <w:right w:val="single" w:color="auto" w:sz="4" w:space="0"/>
            </w:tcBorders>
            <w:noWrap w:val="0"/>
            <w:vAlign w:val="center"/>
          </w:tcPr>
          <w:p w14:paraId="7764A209">
            <w:pPr>
              <w:widowControl/>
              <w:jc w:val="center"/>
              <w:rPr>
                <w:rFonts w:hint="eastAsia" w:ascii="宋体" w:hAnsi="宋体" w:cs="宋体"/>
                <w:b/>
                <w:kern w:val="0"/>
                <w:sz w:val="24"/>
              </w:rPr>
            </w:pPr>
            <w:r>
              <w:rPr>
                <w:rFonts w:hint="eastAsia" w:ascii="宋体" w:hAnsi="宋体" w:cs="宋体"/>
                <w:b/>
                <w:kern w:val="0"/>
                <w:sz w:val="24"/>
              </w:rPr>
              <w:t>中型</w:t>
            </w:r>
          </w:p>
        </w:tc>
        <w:tc>
          <w:tcPr>
            <w:tcW w:w="1597" w:type="dxa"/>
            <w:tcBorders>
              <w:top w:val="single" w:color="auto" w:sz="4" w:space="0"/>
              <w:left w:val="nil"/>
              <w:bottom w:val="single" w:color="auto" w:sz="4" w:space="0"/>
              <w:right w:val="single" w:color="auto" w:sz="4" w:space="0"/>
            </w:tcBorders>
            <w:noWrap w:val="0"/>
            <w:vAlign w:val="center"/>
          </w:tcPr>
          <w:p w14:paraId="26527DBC">
            <w:pPr>
              <w:widowControl/>
              <w:jc w:val="center"/>
              <w:rPr>
                <w:rFonts w:hint="eastAsia" w:ascii="宋体" w:hAnsi="宋体" w:cs="宋体"/>
                <w:b/>
                <w:kern w:val="0"/>
                <w:sz w:val="24"/>
              </w:rPr>
            </w:pPr>
            <w:r>
              <w:rPr>
                <w:rFonts w:hint="eastAsia" w:ascii="宋体" w:hAnsi="宋体" w:cs="宋体"/>
                <w:b/>
                <w:kern w:val="0"/>
                <w:sz w:val="24"/>
              </w:rPr>
              <w:t>小型</w:t>
            </w:r>
          </w:p>
        </w:tc>
        <w:tc>
          <w:tcPr>
            <w:tcW w:w="1027" w:type="dxa"/>
            <w:tcBorders>
              <w:top w:val="single" w:color="auto" w:sz="4" w:space="0"/>
              <w:left w:val="nil"/>
              <w:bottom w:val="single" w:color="auto" w:sz="4" w:space="0"/>
              <w:right w:val="single" w:color="auto" w:sz="4" w:space="0"/>
            </w:tcBorders>
            <w:noWrap w:val="0"/>
            <w:vAlign w:val="center"/>
          </w:tcPr>
          <w:p w14:paraId="5F1C7A86">
            <w:pPr>
              <w:widowControl/>
              <w:jc w:val="center"/>
              <w:rPr>
                <w:rFonts w:hint="eastAsia" w:ascii="宋体" w:hAnsi="宋体" w:cs="宋体"/>
                <w:b/>
                <w:kern w:val="0"/>
                <w:sz w:val="24"/>
              </w:rPr>
            </w:pPr>
            <w:r>
              <w:rPr>
                <w:rFonts w:hint="eastAsia" w:ascii="宋体" w:hAnsi="宋体" w:cs="宋体"/>
                <w:b/>
                <w:kern w:val="0"/>
                <w:sz w:val="24"/>
              </w:rPr>
              <w:t>微型</w:t>
            </w:r>
          </w:p>
        </w:tc>
      </w:tr>
      <w:tr w14:paraId="10C98D65">
        <w:tblPrEx>
          <w:tblCellMar>
            <w:top w:w="0" w:type="dxa"/>
            <w:left w:w="108" w:type="dxa"/>
            <w:bottom w:w="0" w:type="dxa"/>
            <w:right w:w="108" w:type="dxa"/>
          </w:tblCellMar>
        </w:tblPrEx>
        <w:trPr>
          <w:trHeight w:val="359" w:hRule="atLeast"/>
        </w:trPr>
        <w:tc>
          <w:tcPr>
            <w:tcW w:w="1887" w:type="dxa"/>
            <w:tcBorders>
              <w:top w:val="nil"/>
              <w:left w:val="single" w:color="auto" w:sz="4" w:space="0"/>
              <w:bottom w:val="single" w:color="auto" w:sz="4" w:space="0"/>
              <w:right w:val="single" w:color="auto" w:sz="4" w:space="0"/>
            </w:tcBorders>
            <w:noWrap w:val="0"/>
            <w:vAlign w:val="center"/>
          </w:tcPr>
          <w:p w14:paraId="6AD50F34">
            <w:pPr>
              <w:widowControl/>
              <w:jc w:val="center"/>
              <w:rPr>
                <w:rFonts w:hint="eastAsia" w:ascii="宋体" w:hAnsi="宋体" w:cs="宋体"/>
                <w:b/>
                <w:bCs/>
                <w:kern w:val="0"/>
                <w:sz w:val="18"/>
                <w:szCs w:val="18"/>
              </w:rPr>
            </w:pPr>
            <w:r>
              <w:rPr>
                <w:rFonts w:hint="eastAsia" w:ascii="宋体" w:hAnsi="宋体" w:cs="宋体"/>
                <w:b/>
                <w:bCs/>
                <w:kern w:val="0"/>
                <w:sz w:val="18"/>
                <w:szCs w:val="18"/>
              </w:rPr>
              <w:t>农、林、牧、渔</w:t>
            </w:r>
          </w:p>
        </w:tc>
        <w:tc>
          <w:tcPr>
            <w:tcW w:w="1536" w:type="dxa"/>
            <w:tcBorders>
              <w:top w:val="nil"/>
              <w:left w:val="nil"/>
              <w:bottom w:val="single" w:color="auto" w:sz="4" w:space="0"/>
              <w:right w:val="single" w:color="auto" w:sz="4" w:space="0"/>
            </w:tcBorders>
            <w:noWrap w:val="0"/>
            <w:vAlign w:val="center"/>
          </w:tcPr>
          <w:p w14:paraId="02DB7CA2">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1013" w:type="dxa"/>
            <w:tcBorders>
              <w:top w:val="nil"/>
              <w:left w:val="nil"/>
              <w:bottom w:val="single" w:color="auto" w:sz="4" w:space="0"/>
              <w:right w:val="single" w:color="auto" w:sz="4" w:space="0"/>
            </w:tcBorders>
            <w:noWrap w:val="0"/>
            <w:vAlign w:val="center"/>
          </w:tcPr>
          <w:p w14:paraId="1E70ED93">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797" w:type="dxa"/>
            <w:tcBorders>
              <w:top w:val="nil"/>
              <w:left w:val="nil"/>
              <w:bottom w:val="single" w:color="auto" w:sz="4" w:space="0"/>
              <w:right w:val="single" w:color="auto" w:sz="4" w:space="0"/>
            </w:tcBorders>
            <w:noWrap w:val="0"/>
            <w:vAlign w:val="center"/>
          </w:tcPr>
          <w:p w14:paraId="76E3775D">
            <w:pPr>
              <w:widowControl/>
              <w:jc w:val="left"/>
              <w:rPr>
                <w:rFonts w:hint="eastAsia" w:ascii="宋体" w:hAnsi="宋体" w:cs="宋体"/>
                <w:kern w:val="0"/>
                <w:sz w:val="18"/>
                <w:szCs w:val="18"/>
              </w:rPr>
            </w:pPr>
            <w:r>
              <w:rPr>
                <w:rFonts w:hint="eastAsia" w:ascii="宋体" w:hAnsi="宋体" w:cs="宋体"/>
                <w:kern w:val="0"/>
                <w:sz w:val="18"/>
                <w:szCs w:val="18"/>
              </w:rPr>
              <w:t>500≤Y＜20000</w:t>
            </w:r>
          </w:p>
        </w:tc>
        <w:tc>
          <w:tcPr>
            <w:tcW w:w="1597" w:type="dxa"/>
            <w:tcBorders>
              <w:top w:val="nil"/>
              <w:left w:val="nil"/>
              <w:bottom w:val="single" w:color="auto" w:sz="4" w:space="0"/>
              <w:right w:val="single" w:color="auto" w:sz="4" w:space="0"/>
            </w:tcBorders>
            <w:noWrap w:val="0"/>
            <w:vAlign w:val="center"/>
          </w:tcPr>
          <w:p w14:paraId="7631B002">
            <w:pPr>
              <w:widowControl/>
              <w:jc w:val="left"/>
              <w:rPr>
                <w:rFonts w:hint="eastAsia" w:ascii="宋体" w:hAnsi="宋体" w:cs="宋体"/>
                <w:kern w:val="0"/>
                <w:sz w:val="18"/>
                <w:szCs w:val="18"/>
              </w:rPr>
            </w:pPr>
            <w:r>
              <w:rPr>
                <w:rFonts w:hint="eastAsia" w:ascii="宋体" w:hAnsi="宋体" w:cs="宋体"/>
                <w:kern w:val="0"/>
                <w:sz w:val="18"/>
                <w:szCs w:val="18"/>
              </w:rPr>
              <w:t>50≤Y＜500</w:t>
            </w:r>
          </w:p>
        </w:tc>
        <w:tc>
          <w:tcPr>
            <w:tcW w:w="1027" w:type="dxa"/>
            <w:tcBorders>
              <w:top w:val="nil"/>
              <w:left w:val="nil"/>
              <w:bottom w:val="single" w:color="auto" w:sz="4" w:space="0"/>
              <w:right w:val="single" w:color="auto" w:sz="4" w:space="0"/>
            </w:tcBorders>
            <w:noWrap w:val="0"/>
            <w:vAlign w:val="center"/>
          </w:tcPr>
          <w:p w14:paraId="168205DE">
            <w:pPr>
              <w:widowControl/>
              <w:jc w:val="left"/>
              <w:rPr>
                <w:rFonts w:hint="eastAsia" w:ascii="宋体" w:hAnsi="宋体" w:cs="宋体"/>
                <w:kern w:val="0"/>
                <w:sz w:val="18"/>
                <w:szCs w:val="18"/>
              </w:rPr>
            </w:pPr>
            <w:r>
              <w:rPr>
                <w:rFonts w:hint="eastAsia" w:ascii="宋体" w:hAnsi="宋体" w:cs="宋体"/>
                <w:kern w:val="0"/>
                <w:sz w:val="18"/>
                <w:szCs w:val="18"/>
              </w:rPr>
              <w:t>Y＜50</w:t>
            </w:r>
          </w:p>
        </w:tc>
      </w:tr>
      <w:tr w14:paraId="554C802B">
        <w:tblPrEx>
          <w:tblCellMar>
            <w:top w:w="0" w:type="dxa"/>
            <w:left w:w="108" w:type="dxa"/>
            <w:bottom w:w="0" w:type="dxa"/>
            <w:right w:w="108" w:type="dxa"/>
          </w:tblCellMar>
        </w:tblPrEx>
        <w:trPr>
          <w:trHeight w:val="359" w:hRule="atLeast"/>
        </w:trPr>
        <w:tc>
          <w:tcPr>
            <w:tcW w:w="1887" w:type="dxa"/>
            <w:vMerge w:val="restart"/>
            <w:tcBorders>
              <w:top w:val="nil"/>
              <w:left w:val="single" w:color="auto" w:sz="4" w:space="0"/>
              <w:bottom w:val="single" w:color="auto" w:sz="4" w:space="0"/>
              <w:right w:val="single" w:color="auto" w:sz="4" w:space="0"/>
            </w:tcBorders>
            <w:noWrap w:val="0"/>
            <w:vAlign w:val="center"/>
          </w:tcPr>
          <w:p w14:paraId="6150CB31">
            <w:pPr>
              <w:widowControl/>
              <w:jc w:val="center"/>
              <w:rPr>
                <w:rFonts w:hint="eastAsia" w:ascii="宋体" w:hAnsi="宋体" w:cs="宋体"/>
                <w:b/>
                <w:bCs/>
                <w:kern w:val="0"/>
                <w:sz w:val="18"/>
                <w:szCs w:val="18"/>
              </w:rPr>
            </w:pPr>
            <w:r>
              <w:rPr>
                <w:rFonts w:hint="eastAsia" w:ascii="宋体" w:hAnsi="宋体" w:cs="宋体"/>
                <w:b/>
                <w:bCs/>
                <w:kern w:val="0"/>
                <w:sz w:val="18"/>
                <w:szCs w:val="18"/>
              </w:rPr>
              <w:t>工业</w:t>
            </w:r>
          </w:p>
        </w:tc>
        <w:tc>
          <w:tcPr>
            <w:tcW w:w="1536" w:type="dxa"/>
            <w:tcBorders>
              <w:top w:val="nil"/>
              <w:left w:val="nil"/>
              <w:bottom w:val="single" w:color="auto" w:sz="4" w:space="0"/>
              <w:right w:val="single" w:color="auto" w:sz="4" w:space="0"/>
            </w:tcBorders>
            <w:noWrap w:val="0"/>
            <w:vAlign w:val="center"/>
          </w:tcPr>
          <w:p w14:paraId="0FFB3FB9">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1013" w:type="dxa"/>
            <w:tcBorders>
              <w:top w:val="nil"/>
              <w:left w:val="nil"/>
              <w:bottom w:val="single" w:color="auto" w:sz="4" w:space="0"/>
              <w:right w:val="single" w:color="auto" w:sz="4" w:space="0"/>
            </w:tcBorders>
            <w:noWrap w:val="0"/>
            <w:vAlign w:val="center"/>
          </w:tcPr>
          <w:p w14:paraId="7F9BF146">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797" w:type="dxa"/>
            <w:tcBorders>
              <w:top w:val="nil"/>
              <w:left w:val="nil"/>
              <w:bottom w:val="single" w:color="auto" w:sz="4" w:space="0"/>
              <w:right w:val="single" w:color="auto" w:sz="4" w:space="0"/>
            </w:tcBorders>
            <w:noWrap w:val="0"/>
            <w:vAlign w:val="center"/>
          </w:tcPr>
          <w:p w14:paraId="6AD41C81">
            <w:pPr>
              <w:widowControl/>
              <w:jc w:val="left"/>
              <w:rPr>
                <w:rFonts w:hint="eastAsia" w:ascii="宋体" w:hAnsi="宋体" w:cs="宋体"/>
                <w:kern w:val="0"/>
                <w:sz w:val="18"/>
                <w:szCs w:val="18"/>
              </w:rPr>
            </w:pPr>
            <w:r>
              <w:rPr>
                <w:rFonts w:hint="eastAsia" w:ascii="宋体" w:hAnsi="宋体" w:cs="宋体"/>
                <w:kern w:val="0"/>
                <w:sz w:val="18"/>
                <w:szCs w:val="18"/>
              </w:rPr>
              <w:t>300≤X＜1000</w:t>
            </w:r>
          </w:p>
        </w:tc>
        <w:tc>
          <w:tcPr>
            <w:tcW w:w="1597" w:type="dxa"/>
            <w:tcBorders>
              <w:top w:val="nil"/>
              <w:left w:val="nil"/>
              <w:bottom w:val="single" w:color="auto" w:sz="4" w:space="0"/>
              <w:right w:val="single" w:color="auto" w:sz="4" w:space="0"/>
            </w:tcBorders>
            <w:noWrap w:val="0"/>
            <w:vAlign w:val="center"/>
          </w:tcPr>
          <w:p w14:paraId="2EE675AB">
            <w:pPr>
              <w:widowControl/>
              <w:jc w:val="left"/>
              <w:rPr>
                <w:rFonts w:hint="eastAsia" w:ascii="宋体" w:hAnsi="宋体" w:cs="宋体"/>
                <w:kern w:val="0"/>
                <w:sz w:val="18"/>
                <w:szCs w:val="18"/>
              </w:rPr>
            </w:pPr>
            <w:r>
              <w:rPr>
                <w:rFonts w:hint="eastAsia" w:ascii="宋体" w:hAnsi="宋体" w:cs="宋体"/>
                <w:kern w:val="0"/>
                <w:sz w:val="18"/>
                <w:szCs w:val="18"/>
              </w:rPr>
              <w:t>20≤X＜300</w:t>
            </w:r>
          </w:p>
        </w:tc>
        <w:tc>
          <w:tcPr>
            <w:tcW w:w="1027" w:type="dxa"/>
            <w:tcBorders>
              <w:top w:val="nil"/>
              <w:left w:val="nil"/>
              <w:bottom w:val="single" w:color="auto" w:sz="4" w:space="0"/>
              <w:right w:val="single" w:color="auto" w:sz="4" w:space="0"/>
            </w:tcBorders>
            <w:noWrap w:val="0"/>
            <w:vAlign w:val="center"/>
          </w:tcPr>
          <w:p w14:paraId="4CA5219C">
            <w:pPr>
              <w:widowControl/>
              <w:jc w:val="left"/>
              <w:rPr>
                <w:rFonts w:hint="eastAsia" w:ascii="宋体" w:hAnsi="宋体" w:cs="宋体"/>
                <w:kern w:val="0"/>
                <w:sz w:val="18"/>
                <w:szCs w:val="18"/>
              </w:rPr>
            </w:pPr>
            <w:r>
              <w:rPr>
                <w:rFonts w:hint="eastAsia" w:ascii="宋体" w:hAnsi="宋体" w:cs="宋体"/>
                <w:kern w:val="0"/>
                <w:sz w:val="18"/>
                <w:szCs w:val="18"/>
              </w:rPr>
              <w:t>X＜20</w:t>
            </w:r>
          </w:p>
        </w:tc>
      </w:tr>
      <w:tr w14:paraId="47A22652">
        <w:tblPrEx>
          <w:tblCellMar>
            <w:top w:w="0" w:type="dxa"/>
            <w:left w:w="108" w:type="dxa"/>
            <w:bottom w:w="0" w:type="dxa"/>
            <w:right w:w="108" w:type="dxa"/>
          </w:tblCellMar>
        </w:tblPrEx>
        <w:trPr>
          <w:trHeight w:val="359" w:hRule="atLeast"/>
        </w:trPr>
        <w:tc>
          <w:tcPr>
            <w:tcW w:w="1887" w:type="dxa"/>
            <w:vMerge w:val="continue"/>
            <w:tcBorders>
              <w:top w:val="nil"/>
              <w:left w:val="single" w:color="auto" w:sz="4" w:space="0"/>
              <w:bottom w:val="single" w:color="auto" w:sz="4" w:space="0"/>
              <w:right w:val="single" w:color="auto" w:sz="4" w:space="0"/>
            </w:tcBorders>
            <w:noWrap w:val="0"/>
            <w:vAlign w:val="center"/>
          </w:tcPr>
          <w:p w14:paraId="0D4317EE">
            <w:pPr>
              <w:widowControl/>
              <w:jc w:val="center"/>
              <w:rPr>
                <w:rFonts w:ascii="宋体" w:hAnsi="宋体" w:cs="宋体"/>
                <w:b/>
                <w:bCs/>
                <w:kern w:val="0"/>
                <w:sz w:val="18"/>
                <w:szCs w:val="18"/>
              </w:rPr>
            </w:pPr>
          </w:p>
        </w:tc>
        <w:tc>
          <w:tcPr>
            <w:tcW w:w="1536" w:type="dxa"/>
            <w:tcBorders>
              <w:top w:val="nil"/>
              <w:left w:val="nil"/>
              <w:bottom w:val="single" w:color="auto" w:sz="4" w:space="0"/>
              <w:right w:val="single" w:color="auto" w:sz="4" w:space="0"/>
            </w:tcBorders>
            <w:noWrap w:val="0"/>
            <w:vAlign w:val="center"/>
          </w:tcPr>
          <w:p w14:paraId="0B17B851">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1013" w:type="dxa"/>
            <w:tcBorders>
              <w:top w:val="nil"/>
              <w:left w:val="nil"/>
              <w:bottom w:val="single" w:color="auto" w:sz="4" w:space="0"/>
              <w:right w:val="single" w:color="auto" w:sz="4" w:space="0"/>
            </w:tcBorders>
            <w:noWrap w:val="0"/>
            <w:vAlign w:val="center"/>
          </w:tcPr>
          <w:p w14:paraId="1EC4EE88">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797" w:type="dxa"/>
            <w:tcBorders>
              <w:top w:val="nil"/>
              <w:left w:val="nil"/>
              <w:bottom w:val="single" w:color="auto" w:sz="4" w:space="0"/>
              <w:right w:val="single" w:color="auto" w:sz="4" w:space="0"/>
            </w:tcBorders>
            <w:noWrap w:val="0"/>
            <w:vAlign w:val="center"/>
          </w:tcPr>
          <w:p w14:paraId="02CCEDAD">
            <w:pPr>
              <w:widowControl/>
              <w:jc w:val="left"/>
              <w:rPr>
                <w:rFonts w:hint="eastAsia" w:ascii="宋体" w:hAnsi="宋体" w:cs="宋体"/>
                <w:kern w:val="0"/>
                <w:sz w:val="18"/>
                <w:szCs w:val="18"/>
              </w:rPr>
            </w:pPr>
            <w:r>
              <w:rPr>
                <w:rFonts w:hint="eastAsia" w:ascii="宋体" w:hAnsi="宋体" w:cs="宋体"/>
                <w:kern w:val="0"/>
                <w:sz w:val="18"/>
                <w:szCs w:val="18"/>
              </w:rPr>
              <w:t>2000≤Y＜40000</w:t>
            </w:r>
          </w:p>
        </w:tc>
        <w:tc>
          <w:tcPr>
            <w:tcW w:w="1597" w:type="dxa"/>
            <w:tcBorders>
              <w:top w:val="nil"/>
              <w:left w:val="nil"/>
              <w:bottom w:val="single" w:color="auto" w:sz="4" w:space="0"/>
              <w:right w:val="single" w:color="auto" w:sz="4" w:space="0"/>
            </w:tcBorders>
            <w:noWrap w:val="0"/>
            <w:vAlign w:val="center"/>
          </w:tcPr>
          <w:p w14:paraId="44B6EA1D">
            <w:pPr>
              <w:widowControl/>
              <w:jc w:val="left"/>
              <w:rPr>
                <w:rFonts w:hint="eastAsia" w:ascii="宋体" w:hAnsi="宋体" w:cs="宋体"/>
                <w:kern w:val="0"/>
                <w:sz w:val="18"/>
                <w:szCs w:val="18"/>
              </w:rPr>
            </w:pPr>
            <w:r>
              <w:rPr>
                <w:rFonts w:hint="eastAsia" w:ascii="宋体" w:hAnsi="宋体" w:cs="宋体"/>
                <w:kern w:val="0"/>
                <w:sz w:val="18"/>
                <w:szCs w:val="18"/>
              </w:rPr>
              <w:t>300≤Y＜2000</w:t>
            </w:r>
          </w:p>
        </w:tc>
        <w:tc>
          <w:tcPr>
            <w:tcW w:w="1027" w:type="dxa"/>
            <w:tcBorders>
              <w:top w:val="nil"/>
              <w:left w:val="nil"/>
              <w:bottom w:val="single" w:color="auto" w:sz="4" w:space="0"/>
              <w:right w:val="single" w:color="auto" w:sz="4" w:space="0"/>
            </w:tcBorders>
            <w:noWrap w:val="0"/>
            <w:vAlign w:val="center"/>
          </w:tcPr>
          <w:p w14:paraId="303FF0C8">
            <w:pPr>
              <w:widowControl/>
              <w:jc w:val="left"/>
              <w:rPr>
                <w:rFonts w:hint="eastAsia" w:ascii="宋体" w:hAnsi="宋体" w:cs="宋体"/>
                <w:kern w:val="0"/>
                <w:sz w:val="18"/>
                <w:szCs w:val="18"/>
              </w:rPr>
            </w:pPr>
            <w:r>
              <w:rPr>
                <w:rFonts w:hint="eastAsia" w:ascii="宋体" w:hAnsi="宋体" w:cs="宋体"/>
                <w:kern w:val="0"/>
                <w:sz w:val="18"/>
                <w:szCs w:val="18"/>
              </w:rPr>
              <w:t>Y＜300</w:t>
            </w:r>
          </w:p>
        </w:tc>
      </w:tr>
      <w:tr w14:paraId="7A1D84EE">
        <w:tblPrEx>
          <w:tblCellMar>
            <w:top w:w="0" w:type="dxa"/>
            <w:left w:w="108" w:type="dxa"/>
            <w:bottom w:w="0" w:type="dxa"/>
            <w:right w:w="108" w:type="dxa"/>
          </w:tblCellMar>
        </w:tblPrEx>
        <w:trPr>
          <w:trHeight w:val="359" w:hRule="atLeast"/>
        </w:trPr>
        <w:tc>
          <w:tcPr>
            <w:tcW w:w="1887" w:type="dxa"/>
            <w:vMerge w:val="restart"/>
            <w:tcBorders>
              <w:top w:val="nil"/>
              <w:left w:val="single" w:color="auto" w:sz="4" w:space="0"/>
              <w:bottom w:val="single" w:color="auto" w:sz="4" w:space="0"/>
              <w:right w:val="single" w:color="auto" w:sz="4" w:space="0"/>
            </w:tcBorders>
            <w:noWrap w:val="0"/>
            <w:vAlign w:val="center"/>
          </w:tcPr>
          <w:p w14:paraId="412CE496">
            <w:pPr>
              <w:widowControl/>
              <w:jc w:val="center"/>
              <w:rPr>
                <w:rFonts w:hint="eastAsia" w:ascii="宋体" w:hAnsi="宋体" w:cs="宋体"/>
                <w:b/>
                <w:bCs/>
                <w:kern w:val="0"/>
                <w:sz w:val="18"/>
                <w:szCs w:val="18"/>
              </w:rPr>
            </w:pPr>
            <w:r>
              <w:rPr>
                <w:rFonts w:hint="eastAsia" w:ascii="宋体" w:hAnsi="宋体" w:cs="宋体"/>
                <w:b/>
                <w:bCs/>
                <w:kern w:val="0"/>
                <w:sz w:val="18"/>
                <w:szCs w:val="18"/>
              </w:rPr>
              <w:t>建筑业</w:t>
            </w:r>
          </w:p>
        </w:tc>
        <w:tc>
          <w:tcPr>
            <w:tcW w:w="1536" w:type="dxa"/>
            <w:tcBorders>
              <w:top w:val="nil"/>
              <w:left w:val="nil"/>
              <w:bottom w:val="single" w:color="auto" w:sz="4" w:space="0"/>
              <w:right w:val="single" w:color="auto" w:sz="4" w:space="0"/>
            </w:tcBorders>
            <w:noWrap w:val="0"/>
            <w:vAlign w:val="center"/>
          </w:tcPr>
          <w:p w14:paraId="6605C179">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1013" w:type="dxa"/>
            <w:tcBorders>
              <w:top w:val="nil"/>
              <w:left w:val="nil"/>
              <w:bottom w:val="single" w:color="auto" w:sz="4" w:space="0"/>
              <w:right w:val="single" w:color="auto" w:sz="4" w:space="0"/>
            </w:tcBorders>
            <w:noWrap w:val="0"/>
            <w:vAlign w:val="center"/>
          </w:tcPr>
          <w:p w14:paraId="59A80D16">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797" w:type="dxa"/>
            <w:tcBorders>
              <w:top w:val="nil"/>
              <w:left w:val="nil"/>
              <w:bottom w:val="single" w:color="auto" w:sz="4" w:space="0"/>
              <w:right w:val="single" w:color="auto" w:sz="4" w:space="0"/>
            </w:tcBorders>
            <w:noWrap w:val="0"/>
            <w:vAlign w:val="center"/>
          </w:tcPr>
          <w:p w14:paraId="4E39C6F7">
            <w:pPr>
              <w:widowControl/>
              <w:jc w:val="left"/>
              <w:rPr>
                <w:rFonts w:hint="eastAsia" w:ascii="宋体" w:hAnsi="宋体" w:cs="宋体"/>
                <w:kern w:val="0"/>
                <w:sz w:val="18"/>
                <w:szCs w:val="18"/>
              </w:rPr>
            </w:pPr>
            <w:r>
              <w:rPr>
                <w:rFonts w:hint="eastAsia" w:ascii="宋体" w:hAnsi="宋体" w:cs="宋体"/>
                <w:kern w:val="0"/>
                <w:sz w:val="18"/>
                <w:szCs w:val="18"/>
              </w:rPr>
              <w:t>6000≤Y＜80000</w:t>
            </w:r>
          </w:p>
        </w:tc>
        <w:tc>
          <w:tcPr>
            <w:tcW w:w="1597" w:type="dxa"/>
            <w:tcBorders>
              <w:top w:val="nil"/>
              <w:left w:val="nil"/>
              <w:bottom w:val="single" w:color="auto" w:sz="4" w:space="0"/>
              <w:right w:val="single" w:color="auto" w:sz="4" w:space="0"/>
            </w:tcBorders>
            <w:noWrap w:val="0"/>
            <w:vAlign w:val="center"/>
          </w:tcPr>
          <w:p w14:paraId="2ECE3116">
            <w:pPr>
              <w:widowControl/>
              <w:jc w:val="left"/>
              <w:rPr>
                <w:rFonts w:hint="eastAsia" w:ascii="宋体" w:hAnsi="宋体" w:cs="宋体"/>
                <w:kern w:val="0"/>
                <w:sz w:val="18"/>
                <w:szCs w:val="18"/>
              </w:rPr>
            </w:pPr>
            <w:r>
              <w:rPr>
                <w:rFonts w:hint="eastAsia" w:ascii="宋体" w:hAnsi="宋体" w:cs="宋体"/>
                <w:kern w:val="0"/>
                <w:sz w:val="18"/>
                <w:szCs w:val="18"/>
              </w:rPr>
              <w:t>300≤Y＜6000</w:t>
            </w:r>
          </w:p>
        </w:tc>
        <w:tc>
          <w:tcPr>
            <w:tcW w:w="1027" w:type="dxa"/>
            <w:tcBorders>
              <w:top w:val="nil"/>
              <w:left w:val="nil"/>
              <w:bottom w:val="single" w:color="auto" w:sz="4" w:space="0"/>
              <w:right w:val="single" w:color="auto" w:sz="4" w:space="0"/>
            </w:tcBorders>
            <w:noWrap w:val="0"/>
            <w:vAlign w:val="center"/>
          </w:tcPr>
          <w:p w14:paraId="70B162CF">
            <w:pPr>
              <w:widowControl/>
              <w:jc w:val="left"/>
              <w:rPr>
                <w:rFonts w:hint="eastAsia" w:ascii="宋体" w:hAnsi="宋体" w:cs="宋体"/>
                <w:kern w:val="0"/>
                <w:sz w:val="18"/>
                <w:szCs w:val="18"/>
              </w:rPr>
            </w:pPr>
            <w:r>
              <w:rPr>
                <w:rFonts w:hint="eastAsia" w:ascii="宋体" w:hAnsi="宋体" w:cs="宋体"/>
                <w:kern w:val="0"/>
                <w:sz w:val="18"/>
                <w:szCs w:val="18"/>
              </w:rPr>
              <w:t>Y＜300</w:t>
            </w:r>
          </w:p>
        </w:tc>
      </w:tr>
      <w:tr w14:paraId="12BFE733">
        <w:tblPrEx>
          <w:tblCellMar>
            <w:top w:w="0" w:type="dxa"/>
            <w:left w:w="108" w:type="dxa"/>
            <w:bottom w:w="0" w:type="dxa"/>
            <w:right w:w="108" w:type="dxa"/>
          </w:tblCellMar>
        </w:tblPrEx>
        <w:trPr>
          <w:trHeight w:val="359" w:hRule="atLeast"/>
        </w:trPr>
        <w:tc>
          <w:tcPr>
            <w:tcW w:w="1887" w:type="dxa"/>
            <w:vMerge w:val="continue"/>
            <w:tcBorders>
              <w:top w:val="nil"/>
              <w:left w:val="single" w:color="auto" w:sz="4" w:space="0"/>
              <w:bottom w:val="single" w:color="auto" w:sz="4" w:space="0"/>
              <w:right w:val="single" w:color="auto" w:sz="4" w:space="0"/>
            </w:tcBorders>
            <w:noWrap w:val="0"/>
            <w:vAlign w:val="center"/>
          </w:tcPr>
          <w:p w14:paraId="050A2CFB">
            <w:pPr>
              <w:widowControl/>
              <w:jc w:val="center"/>
              <w:rPr>
                <w:rFonts w:ascii="宋体" w:hAnsi="宋体" w:cs="宋体"/>
                <w:b/>
                <w:bCs/>
                <w:kern w:val="0"/>
                <w:sz w:val="18"/>
                <w:szCs w:val="18"/>
              </w:rPr>
            </w:pPr>
          </w:p>
        </w:tc>
        <w:tc>
          <w:tcPr>
            <w:tcW w:w="1536" w:type="dxa"/>
            <w:tcBorders>
              <w:top w:val="nil"/>
              <w:left w:val="nil"/>
              <w:bottom w:val="single" w:color="auto" w:sz="4" w:space="0"/>
              <w:right w:val="single" w:color="auto" w:sz="4" w:space="0"/>
            </w:tcBorders>
            <w:noWrap w:val="0"/>
            <w:vAlign w:val="center"/>
          </w:tcPr>
          <w:p w14:paraId="72153A35">
            <w:pPr>
              <w:widowControl/>
              <w:jc w:val="left"/>
              <w:rPr>
                <w:rFonts w:hint="eastAsia" w:ascii="宋体" w:hAnsi="宋体" w:cs="宋体"/>
                <w:kern w:val="0"/>
                <w:sz w:val="18"/>
                <w:szCs w:val="18"/>
              </w:rPr>
            </w:pPr>
            <w:r>
              <w:rPr>
                <w:rFonts w:hint="eastAsia" w:ascii="宋体" w:hAnsi="宋体" w:cs="宋体"/>
                <w:kern w:val="0"/>
                <w:sz w:val="18"/>
                <w:szCs w:val="18"/>
              </w:rPr>
              <w:t>资产总额（Z）</w:t>
            </w:r>
          </w:p>
        </w:tc>
        <w:tc>
          <w:tcPr>
            <w:tcW w:w="1013" w:type="dxa"/>
            <w:tcBorders>
              <w:top w:val="nil"/>
              <w:left w:val="nil"/>
              <w:bottom w:val="single" w:color="auto" w:sz="4" w:space="0"/>
              <w:right w:val="single" w:color="auto" w:sz="4" w:space="0"/>
            </w:tcBorders>
            <w:noWrap w:val="0"/>
            <w:vAlign w:val="center"/>
          </w:tcPr>
          <w:p w14:paraId="083E8C09">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797" w:type="dxa"/>
            <w:tcBorders>
              <w:top w:val="nil"/>
              <w:left w:val="nil"/>
              <w:bottom w:val="single" w:color="auto" w:sz="4" w:space="0"/>
              <w:right w:val="single" w:color="auto" w:sz="4" w:space="0"/>
            </w:tcBorders>
            <w:noWrap w:val="0"/>
            <w:vAlign w:val="center"/>
          </w:tcPr>
          <w:p w14:paraId="1AC82314">
            <w:pPr>
              <w:widowControl/>
              <w:jc w:val="left"/>
              <w:rPr>
                <w:rFonts w:hint="eastAsia" w:ascii="宋体" w:hAnsi="宋体" w:cs="宋体"/>
                <w:kern w:val="0"/>
                <w:sz w:val="18"/>
                <w:szCs w:val="18"/>
              </w:rPr>
            </w:pPr>
            <w:r>
              <w:rPr>
                <w:rFonts w:hint="eastAsia" w:ascii="宋体" w:hAnsi="宋体" w:cs="宋体"/>
                <w:kern w:val="0"/>
                <w:sz w:val="18"/>
                <w:szCs w:val="18"/>
              </w:rPr>
              <w:t>5000≤Z＜80000</w:t>
            </w:r>
          </w:p>
        </w:tc>
        <w:tc>
          <w:tcPr>
            <w:tcW w:w="1597" w:type="dxa"/>
            <w:tcBorders>
              <w:top w:val="nil"/>
              <w:left w:val="nil"/>
              <w:bottom w:val="single" w:color="auto" w:sz="4" w:space="0"/>
              <w:right w:val="single" w:color="auto" w:sz="4" w:space="0"/>
            </w:tcBorders>
            <w:noWrap w:val="0"/>
            <w:vAlign w:val="center"/>
          </w:tcPr>
          <w:p w14:paraId="6CE9E3F9">
            <w:pPr>
              <w:widowControl/>
              <w:jc w:val="left"/>
              <w:rPr>
                <w:rFonts w:hint="eastAsia" w:ascii="宋体" w:hAnsi="宋体" w:cs="宋体"/>
                <w:kern w:val="0"/>
                <w:sz w:val="18"/>
                <w:szCs w:val="18"/>
              </w:rPr>
            </w:pPr>
            <w:r>
              <w:rPr>
                <w:rFonts w:hint="eastAsia" w:ascii="宋体" w:hAnsi="宋体" w:cs="宋体"/>
                <w:kern w:val="0"/>
                <w:sz w:val="18"/>
                <w:szCs w:val="18"/>
              </w:rPr>
              <w:t>300≤Z＜5000</w:t>
            </w:r>
          </w:p>
        </w:tc>
        <w:tc>
          <w:tcPr>
            <w:tcW w:w="1027" w:type="dxa"/>
            <w:tcBorders>
              <w:top w:val="nil"/>
              <w:left w:val="nil"/>
              <w:bottom w:val="single" w:color="auto" w:sz="4" w:space="0"/>
              <w:right w:val="single" w:color="auto" w:sz="4" w:space="0"/>
            </w:tcBorders>
            <w:noWrap w:val="0"/>
            <w:vAlign w:val="center"/>
          </w:tcPr>
          <w:p w14:paraId="3452F354">
            <w:pPr>
              <w:widowControl/>
              <w:jc w:val="left"/>
              <w:rPr>
                <w:rFonts w:hint="eastAsia" w:ascii="宋体" w:hAnsi="宋体" w:cs="宋体"/>
                <w:kern w:val="0"/>
                <w:sz w:val="18"/>
                <w:szCs w:val="18"/>
              </w:rPr>
            </w:pPr>
            <w:r>
              <w:rPr>
                <w:rFonts w:hint="eastAsia" w:ascii="宋体" w:hAnsi="宋体" w:cs="宋体"/>
                <w:kern w:val="0"/>
                <w:sz w:val="18"/>
                <w:szCs w:val="18"/>
              </w:rPr>
              <w:t>Z＜300</w:t>
            </w:r>
          </w:p>
        </w:tc>
      </w:tr>
      <w:tr w14:paraId="6ACBEB35">
        <w:tblPrEx>
          <w:tblCellMar>
            <w:top w:w="0" w:type="dxa"/>
            <w:left w:w="108" w:type="dxa"/>
            <w:bottom w:w="0" w:type="dxa"/>
            <w:right w:w="108" w:type="dxa"/>
          </w:tblCellMar>
        </w:tblPrEx>
        <w:trPr>
          <w:trHeight w:val="359" w:hRule="atLeast"/>
        </w:trPr>
        <w:tc>
          <w:tcPr>
            <w:tcW w:w="1887" w:type="dxa"/>
            <w:vMerge w:val="restart"/>
            <w:tcBorders>
              <w:top w:val="nil"/>
              <w:left w:val="single" w:color="auto" w:sz="4" w:space="0"/>
              <w:bottom w:val="single" w:color="auto" w:sz="4" w:space="0"/>
              <w:right w:val="single" w:color="auto" w:sz="4" w:space="0"/>
            </w:tcBorders>
            <w:noWrap w:val="0"/>
            <w:vAlign w:val="center"/>
          </w:tcPr>
          <w:p w14:paraId="530C57AA">
            <w:pPr>
              <w:widowControl/>
              <w:jc w:val="center"/>
              <w:rPr>
                <w:rFonts w:hint="eastAsia" w:ascii="宋体" w:hAnsi="宋体" w:cs="宋体"/>
                <w:b/>
                <w:bCs/>
                <w:kern w:val="0"/>
                <w:sz w:val="18"/>
                <w:szCs w:val="18"/>
              </w:rPr>
            </w:pPr>
            <w:r>
              <w:rPr>
                <w:rFonts w:hint="eastAsia" w:ascii="宋体" w:hAnsi="宋体" w:cs="宋体"/>
                <w:b/>
                <w:bCs/>
                <w:kern w:val="0"/>
                <w:sz w:val="18"/>
                <w:szCs w:val="18"/>
              </w:rPr>
              <w:t>批发业</w:t>
            </w:r>
          </w:p>
        </w:tc>
        <w:tc>
          <w:tcPr>
            <w:tcW w:w="1536" w:type="dxa"/>
            <w:tcBorders>
              <w:top w:val="nil"/>
              <w:left w:val="nil"/>
              <w:bottom w:val="single" w:color="auto" w:sz="4" w:space="0"/>
              <w:right w:val="single" w:color="auto" w:sz="4" w:space="0"/>
            </w:tcBorders>
            <w:noWrap w:val="0"/>
            <w:vAlign w:val="center"/>
          </w:tcPr>
          <w:p w14:paraId="53275377">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1013" w:type="dxa"/>
            <w:tcBorders>
              <w:top w:val="nil"/>
              <w:left w:val="nil"/>
              <w:bottom w:val="single" w:color="auto" w:sz="4" w:space="0"/>
              <w:right w:val="single" w:color="auto" w:sz="4" w:space="0"/>
            </w:tcBorders>
            <w:noWrap w:val="0"/>
            <w:vAlign w:val="center"/>
          </w:tcPr>
          <w:p w14:paraId="2CA034A2">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797" w:type="dxa"/>
            <w:tcBorders>
              <w:top w:val="nil"/>
              <w:left w:val="nil"/>
              <w:bottom w:val="single" w:color="auto" w:sz="4" w:space="0"/>
              <w:right w:val="single" w:color="auto" w:sz="4" w:space="0"/>
            </w:tcBorders>
            <w:noWrap w:val="0"/>
            <w:vAlign w:val="center"/>
          </w:tcPr>
          <w:p w14:paraId="3C8265E3">
            <w:pPr>
              <w:widowControl/>
              <w:jc w:val="left"/>
              <w:rPr>
                <w:rFonts w:hint="eastAsia" w:ascii="宋体" w:hAnsi="宋体" w:cs="宋体"/>
                <w:kern w:val="0"/>
                <w:sz w:val="18"/>
                <w:szCs w:val="18"/>
              </w:rPr>
            </w:pPr>
            <w:r>
              <w:rPr>
                <w:rFonts w:hint="eastAsia" w:ascii="宋体" w:hAnsi="宋体" w:cs="宋体"/>
                <w:kern w:val="0"/>
                <w:sz w:val="18"/>
                <w:szCs w:val="18"/>
              </w:rPr>
              <w:t>20≤X＜200</w:t>
            </w:r>
          </w:p>
        </w:tc>
        <w:tc>
          <w:tcPr>
            <w:tcW w:w="1597" w:type="dxa"/>
            <w:tcBorders>
              <w:top w:val="nil"/>
              <w:left w:val="nil"/>
              <w:bottom w:val="single" w:color="auto" w:sz="4" w:space="0"/>
              <w:right w:val="single" w:color="auto" w:sz="4" w:space="0"/>
            </w:tcBorders>
            <w:noWrap w:val="0"/>
            <w:vAlign w:val="center"/>
          </w:tcPr>
          <w:p w14:paraId="3D30DEA2">
            <w:pPr>
              <w:widowControl/>
              <w:jc w:val="left"/>
              <w:rPr>
                <w:rFonts w:hint="eastAsia" w:ascii="宋体" w:hAnsi="宋体" w:cs="宋体"/>
                <w:kern w:val="0"/>
                <w:sz w:val="18"/>
                <w:szCs w:val="18"/>
              </w:rPr>
            </w:pPr>
            <w:r>
              <w:rPr>
                <w:rFonts w:hint="eastAsia" w:ascii="宋体" w:hAnsi="宋体" w:cs="宋体"/>
                <w:kern w:val="0"/>
                <w:sz w:val="18"/>
                <w:szCs w:val="18"/>
              </w:rPr>
              <w:t>5≤X＜20</w:t>
            </w:r>
          </w:p>
        </w:tc>
        <w:tc>
          <w:tcPr>
            <w:tcW w:w="1027" w:type="dxa"/>
            <w:tcBorders>
              <w:top w:val="nil"/>
              <w:left w:val="nil"/>
              <w:bottom w:val="single" w:color="auto" w:sz="4" w:space="0"/>
              <w:right w:val="single" w:color="auto" w:sz="4" w:space="0"/>
            </w:tcBorders>
            <w:noWrap w:val="0"/>
            <w:vAlign w:val="center"/>
          </w:tcPr>
          <w:p w14:paraId="2AD36CE3">
            <w:pPr>
              <w:widowControl/>
              <w:jc w:val="left"/>
              <w:rPr>
                <w:rFonts w:hint="eastAsia" w:ascii="宋体" w:hAnsi="宋体" w:cs="宋体"/>
                <w:kern w:val="0"/>
                <w:sz w:val="18"/>
                <w:szCs w:val="18"/>
              </w:rPr>
            </w:pPr>
            <w:r>
              <w:rPr>
                <w:rFonts w:hint="eastAsia" w:ascii="宋体" w:hAnsi="宋体" w:cs="宋体"/>
                <w:kern w:val="0"/>
                <w:sz w:val="18"/>
                <w:szCs w:val="18"/>
              </w:rPr>
              <w:t>X＜5</w:t>
            </w:r>
          </w:p>
        </w:tc>
      </w:tr>
      <w:tr w14:paraId="6259D7B3">
        <w:tblPrEx>
          <w:tblCellMar>
            <w:top w:w="0" w:type="dxa"/>
            <w:left w:w="108" w:type="dxa"/>
            <w:bottom w:w="0" w:type="dxa"/>
            <w:right w:w="108" w:type="dxa"/>
          </w:tblCellMar>
        </w:tblPrEx>
        <w:trPr>
          <w:trHeight w:val="359" w:hRule="atLeast"/>
        </w:trPr>
        <w:tc>
          <w:tcPr>
            <w:tcW w:w="1887" w:type="dxa"/>
            <w:vMerge w:val="continue"/>
            <w:tcBorders>
              <w:top w:val="nil"/>
              <w:left w:val="single" w:color="auto" w:sz="4" w:space="0"/>
              <w:bottom w:val="single" w:color="auto" w:sz="4" w:space="0"/>
              <w:right w:val="single" w:color="auto" w:sz="4" w:space="0"/>
            </w:tcBorders>
            <w:noWrap w:val="0"/>
            <w:vAlign w:val="center"/>
          </w:tcPr>
          <w:p w14:paraId="7CE5F64B">
            <w:pPr>
              <w:widowControl/>
              <w:jc w:val="center"/>
              <w:rPr>
                <w:rFonts w:ascii="宋体" w:hAnsi="宋体" w:cs="宋体"/>
                <w:b/>
                <w:bCs/>
                <w:kern w:val="0"/>
                <w:sz w:val="18"/>
                <w:szCs w:val="18"/>
              </w:rPr>
            </w:pPr>
          </w:p>
        </w:tc>
        <w:tc>
          <w:tcPr>
            <w:tcW w:w="1536" w:type="dxa"/>
            <w:tcBorders>
              <w:top w:val="nil"/>
              <w:left w:val="nil"/>
              <w:bottom w:val="single" w:color="auto" w:sz="4" w:space="0"/>
              <w:right w:val="single" w:color="auto" w:sz="4" w:space="0"/>
            </w:tcBorders>
            <w:noWrap w:val="0"/>
            <w:vAlign w:val="center"/>
          </w:tcPr>
          <w:p w14:paraId="7A03459A">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1013" w:type="dxa"/>
            <w:tcBorders>
              <w:top w:val="nil"/>
              <w:left w:val="nil"/>
              <w:bottom w:val="single" w:color="auto" w:sz="4" w:space="0"/>
              <w:right w:val="single" w:color="auto" w:sz="4" w:space="0"/>
            </w:tcBorders>
            <w:noWrap w:val="0"/>
            <w:vAlign w:val="center"/>
          </w:tcPr>
          <w:p w14:paraId="5107293A">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797" w:type="dxa"/>
            <w:tcBorders>
              <w:top w:val="nil"/>
              <w:left w:val="nil"/>
              <w:bottom w:val="single" w:color="auto" w:sz="4" w:space="0"/>
              <w:right w:val="single" w:color="auto" w:sz="4" w:space="0"/>
            </w:tcBorders>
            <w:noWrap w:val="0"/>
            <w:vAlign w:val="center"/>
          </w:tcPr>
          <w:p w14:paraId="04187F30">
            <w:pPr>
              <w:widowControl/>
              <w:jc w:val="left"/>
              <w:rPr>
                <w:rFonts w:hint="eastAsia" w:ascii="宋体" w:hAnsi="宋体" w:cs="宋体"/>
                <w:kern w:val="0"/>
                <w:sz w:val="18"/>
                <w:szCs w:val="18"/>
              </w:rPr>
            </w:pPr>
            <w:r>
              <w:rPr>
                <w:rFonts w:hint="eastAsia" w:ascii="宋体" w:hAnsi="宋体" w:cs="宋体"/>
                <w:kern w:val="0"/>
                <w:sz w:val="18"/>
                <w:szCs w:val="18"/>
              </w:rPr>
              <w:t>5000≤Y＜40000</w:t>
            </w:r>
          </w:p>
        </w:tc>
        <w:tc>
          <w:tcPr>
            <w:tcW w:w="1597" w:type="dxa"/>
            <w:tcBorders>
              <w:top w:val="nil"/>
              <w:left w:val="nil"/>
              <w:bottom w:val="single" w:color="auto" w:sz="4" w:space="0"/>
              <w:right w:val="single" w:color="auto" w:sz="4" w:space="0"/>
            </w:tcBorders>
            <w:noWrap w:val="0"/>
            <w:vAlign w:val="center"/>
          </w:tcPr>
          <w:p w14:paraId="4C251185">
            <w:pPr>
              <w:widowControl/>
              <w:jc w:val="left"/>
              <w:rPr>
                <w:rFonts w:hint="eastAsia" w:ascii="宋体" w:hAnsi="宋体" w:cs="宋体"/>
                <w:kern w:val="0"/>
                <w:sz w:val="18"/>
                <w:szCs w:val="18"/>
              </w:rPr>
            </w:pPr>
            <w:r>
              <w:rPr>
                <w:rFonts w:hint="eastAsia" w:ascii="宋体" w:hAnsi="宋体" w:cs="宋体"/>
                <w:kern w:val="0"/>
                <w:sz w:val="18"/>
                <w:szCs w:val="18"/>
              </w:rPr>
              <w:t>1000≤Y＜5000</w:t>
            </w:r>
          </w:p>
        </w:tc>
        <w:tc>
          <w:tcPr>
            <w:tcW w:w="1027" w:type="dxa"/>
            <w:tcBorders>
              <w:top w:val="nil"/>
              <w:left w:val="nil"/>
              <w:bottom w:val="single" w:color="auto" w:sz="4" w:space="0"/>
              <w:right w:val="single" w:color="auto" w:sz="4" w:space="0"/>
            </w:tcBorders>
            <w:noWrap w:val="0"/>
            <w:vAlign w:val="center"/>
          </w:tcPr>
          <w:p w14:paraId="7503648B">
            <w:pPr>
              <w:widowControl/>
              <w:jc w:val="left"/>
              <w:rPr>
                <w:rFonts w:hint="eastAsia" w:ascii="宋体" w:hAnsi="宋体" w:cs="宋体"/>
                <w:kern w:val="0"/>
                <w:sz w:val="18"/>
                <w:szCs w:val="18"/>
              </w:rPr>
            </w:pPr>
            <w:r>
              <w:rPr>
                <w:rFonts w:hint="eastAsia" w:ascii="宋体" w:hAnsi="宋体" w:cs="宋体"/>
                <w:kern w:val="0"/>
                <w:sz w:val="18"/>
                <w:szCs w:val="18"/>
              </w:rPr>
              <w:t>Y＜1000</w:t>
            </w:r>
          </w:p>
        </w:tc>
      </w:tr>
      <w:tr w14:paraId="3420B41F">
        <w:tblPrEx>
          <w:tblCellMar>
            <w:top w:w="0" w:type="dxa"/>
            <w:left w:w="108" w:type="dxa"/>
            <w:bottom w:w="0" w:type="dxa"/>
            <w:right w:w="108" w:type="dxa"/>
          </w:tblCellMar>
        </w:tblPrEx>
        <w:trPr>
          <w:trHeight w:val="359" w:hRule="atLeast"/>
        </w:trPr>
        <w:tc>
          <w:tcPr>
            <w:tcW w:w="1887" w:type="dxa"/>
            <w:vMerge w:val="restart"/>
            <w:tcBorders>
              <w:top w:val="nil"/>
              <w:left w:val="single" w:color="auto" w:sz="4" w:space="0"/>
              <w:bottom w:val="single" w:color="auto" w:sz="4" w:space="0"/>
              <w:right w:val="single" w:color="auto" w:sz="4" w:space="0"/>
            </w:tcBorders>
            <w:noWrap w:val="0"/>
            <w:vAlign w:val="center"/>
          </w:tcPr>
          <w:p w14:paraId="100379F0">
            <w:pPr>
              <w:widowControl/>
              <w:jc w:val="center"/>
              <w:rPr>
                <w:rFonts w:hint="eastAsia" w:ascii="宋体" w:hAnsi="宋体" w:cs="宋体"/>
                <w:b/>
                <w:bCs/>
                <w:kern w:val="0"/>
                <w:sz w:val="18"/>
                <w:szCs w:val="18"/>
              </w:rPr>
            </w:pPr>
            <w:r>
              <w:rPr>
                <w:rFonts w:hint="eastAsia" w:ascii="宋体" w:hAnsi="宋体" w:cs="宋体"/>
                <w:b/>
                <w:bCs/>
                <w:kern w:val="0"/>
                <w:sz w:val="18"/>
                <w:szCs w:val="18"/>
              </w:rPr>
              <w:t>零售业</w:t>
            </w:r>
          </w:p>
        </w:tc>
        <w:tc>
          <w:tcPr>
            <w:tcW w:w="1536" w:type="dxa"/>
            <w:tcBorders>
              <w:top w:val="nil"/>
              <w:left w:val="nil"/>
              <w:bottom w:val="single" w:color="auto" w:sz="4" w:space="0"/>
              <w:right w:val="single" w:color="auto" w:sz="4" w:space="0"/>
            </w:tcBorders>
            <w:noWrap w:val="0"/>
            <w:vAlign w:val="center"/>
          </w:tcPr>
          <w:p w14:paraId="45511687">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1013" w:type="dxa"/>
            <w:tcBorders>
              <w:top w:val="nil"/>
              <w:left w:val="nil"/>
              <w:bottom w:val="single" w:color="auto" w:sz="4" w:space="0"/>
              <w:right w:val="single" w:color="auto" w:sz="4" w:space="0"/>
            </w:tcBorders>
            <w:noWrap w:val="0"/>
            <w:vAlign w:val="center"/>
          </w:tcPr>
          <w:p w14:paraId="383E69D1">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797" w:type="dxa"/>
            <w:tcBorders>
              <w:top w:val="nil"/>
              <w:left w:val="nil"/>
              <w:bottom w:val="single" w:color="auto" w:sz="4" w:space="0"/>
              <w:right w:val="single" w:color="auto" w:sz="4" w:space="0"/>
            </w:tcBorders>
            <w:noWrap w:val="0"/>
            <w:vAlign w:val="center"/>
          </w:tcPr>
          <w:p w14:paraId="31455FF7">
            <w:pPr>
              <w:widowControl/>
              <w:jc w:val="left"/>
              <w:rPr>
                <w:rFonts w:hint="eastAsia" w:ascii="宋体" w:hAnsi="宋体" w:cs="宋体"/>
                <w:kern w:val="0"/>
                <w:sz w:val="18"/>
                <w:szCs w:val="18"/>
              </w:rPr>
            </w:pPr>
            <w:r>
              <w:rPr>
                <w:rFonts w:hint="eastAsia" w:ascii="宋体" w:hAnsi="宋体" w:cs="宋体"/>
                <w:kern w:val="0"/>
                <w:sz w:val="18"/>
                <w:szCs w:val="18"/>
              </w:rPr>
              <w:t>50≤X＜300</w:t>
            </w:r>
          </w:p>
        </w:tc>
        <w:tc>
          <w:tcPr>
            <w:tcW w:w="1597" w:type="dxa"/>
            <w:tcBorders>
              <w:top w:val="nil"/>
              <w:left w:val="nil"/>
              <w:bottom w:val="single" w:color="auto" w:sz="4" w:space="0"/>
              <w:right w:val="single" w:color="auto" w:sz="4" w:space="0"/>
            </w:tcBorders>
            <w:noWrap w:val="0"/>
            <w:vAlign w:val="center"/>
          </w:tcPr>
          <w:p w14:paraId="0CC5FAF5">
            <w:pPr>
              <w:widowControl/>
              <w:jc w:val="left"/>
              <w:rPr>
                <w:rFonts w:hint="eastAsia" w:ascii="宋体" w:hAnsi="宋体" w:cs="宋体"/>
                <w:kern w:val="0"/>
                <w:sz w:val="18"/>
                <w:szCs w:val="18"/>
              </w:rPr>
            </w:pPr>
            <w:r>
              <w:rPr>
                <w:rFonts w:hint="eastAsia" w:ascii="宋体" w:hAnsi="宋体" w:cs="宋体"/>
                <w:kern w:val="0"/>
                <w:sz w:val="18"/>
                <w:szCs w:val="18"/>
              </w:rPr>
              <w:t>10≤X＜50</w:t>
            </w:r>
          </w:p>
        </w:tc>
        <w:tc>
          <w:tcPr>
            <w:tcW w:w="1027" w:type="dxa"/>
            <w:tcBorders>
              <w:top w:val="nil"/>
              <w:left w:val="nil"/>
              <w:bottom w:val="single" w:color="auto" w:sz="4" w:space="0"/>
              <w:right w:val="single" w:color="auto" w:sz="4" w:space="0"/>
            </w:tcBorders>
            <w:noWrap w:val="0"/>
            <w:vAlign w:val="center"/>
          </w:tcPr>
          <w:p w14:paraId="561ED1E5">
            <w:pPr>
              <w:widowControl/>
              <w:jc w:val="left"/>
              <w:rPr>
                <w:rFonts w:hint="eastAsia" w:ascii="宋体" w:hAnsi="宋体" w:cs="宋体"/>
                <w:kern w:val="0"/>
                <w:sz w:val="18"/>
                <w:szCs w:val="18"/>
              </w:rPr>
            </w:pPr>
            <w:r>
              <w:rPr>
                <w:rFonts w:hint="eastAsia" w:ascii="宋体" w:hAnsi="宋体" w:cs="宋体"/>
                <w:kern w:val="0"/>
                <w:sz w:val="18"/>
                <w:szCs w:val="18"/>
              </w:rPr>
              <w:t>X＜10</w:t>
            </w:r>
          </w:p>
        </w:tc>
      </w:tr>
      <w:tr w14:paraId="7B468EFE">
        <w:tblPrEx>
          <w:tblCellMar>
            <w:top w:w="0" w:type="dxa"/>
            <w:left w:w="108" w:type="dxa"/>
            <w:bottom w:w="0" w:type="dxa"/>
            <w:right w:w="108" w:type="dxa"/>
          </w:tblCellMar>
        </w:tblPrEx>
        <w:trPr>
          <w:trHeight w:val="359" w:hRule="atLeast"/>
        </w:trPr>
        <w:tc>
          <w:tcPr>
            <w:tcW w:w="1887" w:type="dxa"/>
            <w:vMerge w:val="continue"/>
            <w:tcBorders>
              <w:top w:val="nil"/>
              <w:left w:val="single" w:color="auto" w:sz="4" w:space="0"/>
              <w:bottom w:val="single" w:color="auto" w:sz="4" w:space="0"/>
              <w:right w:val="single" w:color="auto" w:sz="4" w:space="0"/>
            </w:tcBorders>
            <w:noWrap w:val="0"/>
            <w:vAlign w:val="center"/>
          </w:tcPr>
          <w:p w14:paraId="70F3B341">
            <w:pPr>
              <w:widowControl/>
              <w:jc w:val="center"/>
              <w:rPr>
                <w:rFonts w:ascii="宋体" w:hAnsi="宋体" w:cs="宋体"/>
                <w:b/>
                <w:bCs/>
                <w:kern w:val="0"/>
                <w:sz w:val="18"/>
                <w:szCs w:val="18"/>
              </w:rPr>
            </w:pPr>
          </w:p>
        </w:tc>
        <w:tc>
          <w:tcPr>
            <w:tcW w:w="1536" w:type="dxa"/>
            <w:tcBorders>
              <w:top w:val="nil"/>
              <w:left w:val="nil"/>
              <w:bottom w:val="single" w:color="auto" w:sz="4" w:space="0"/>
              <w:right w:val="single" w:color="auto" w:sz="4" w:space="0"/>
            </w:tcBorders>
            <w:noWrap w:val="0"/>
            <w:vAlign w:val="center"/>
          </w:tcPr>
          <w:p w14:paraId="0272FA61">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1013" w:type="dxa"/>
            <w:tcBorders>
              <w:top w:val="nil"/>
              <w:left w:val="nil"/>
              <w:bottom w:val="single" w:color="auto" w:sz="4" w:space="0"/>
              <w:right w:val="single" w:color="auto" w:sz="4" w:space="0"/>
            </w:tcBorders>
            <w:noWrap w:val="0"/>
            <w:vAlign w:val="center"/>
          </w:tcPr>
          <w:p w14:paraId="7EE4E537">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797" w:type="dxa"/>
            <w:tcBorders>
              <w:top w:val="nil"/>
              <w:left w:val="nil"/>
              <w:bottom w:val="single" w:color="auto" w:sz="4" w:space="0"/>
              <w:right w:val="single" w:color="auto" w:sz="4" w:space="0"/>
            </w:tcBorders>
            <w:noWrap w:val="0"/>
            <w:vAlign w:val="center"/>
          </w:tcPr>
          <w:p w14:paraId="21477735">
            <w:pPr>
              <w:widowControl/>
              <w:jc w:val="left"/>
              <w:rPr>
                <w:rFonts w:hint="eastAsia" w:ascii="宋体" w:hAnsi="宋体" w:cs="宋体"/>
                <w:kern w:val="0"/>
                <w:sz w:val="18"/>
                <w:szCs w:val="18"/>
              </w:rPr>
            </w:pPr>
            <w:r>
              <w:rPr>
                <w:rFonts w:hint="eastAsia" w:ascii="宋体" w:hAnsi="宋体" w:cs="宋体"/>
                <w:kern w:val="0"/>
                <w:sz w:val="18"/>
                <w:szCs w:val="18"/>
              </w:rPr>
              <w:t>500≤Y＜20000</w:t>
            </w:r>
          </w:p>
        </w:tc>
        <w:tc>
          <w:tcPr>
            <w:tcW w:w="1597" w:type="dxa"/>
            <w:tcBorders>
              <w:top w:val="nil"/>
              <w:left w:val="nil"/>
              <w:bottom w:val="single" w:color="auto" w:sz="4" w:space="0"/>
              <w:right w:val="single" w:color="auto" w:sz="4" w:space="0"/>
            </w:tcBorders>
            <w:noWrap w:val="0"/>
            <w:vAlign w:val="center"/>
          </w:tcPr>
          <w:p w14:paraId="0027261B">
            <w:pPr>
              <w:widowControl/>
              <w:jc w:val="left"/>
              <w:rPr>
                <w:rFonts w:hint="eastAsia" w:ascii="宋体" w:hAnsi="宋体" w:cs="宋体"/>
                <w:kern w:val="0"/>
                <w:sz w:val="18"/>
                <w:szCs w:val="18"/>
              </w:rPr>
            </w:pPr>
            <w:r>
              <w:rPr>
                <w:rFonts w:hint="eastAsia" w:ascii="宋体" w:hAnsi="宋体" w:cs="宋体"/>
                <w:kern w:val="0"/>
                <w:sz w:val="18"/>
                <w:szCs w:val="18"/>
              </w:rPr>
              <w:t>100≤Y＜500</w:t>
            </w:r>
          </w:p>
        </w:tc>
        <w:tc>
          <w:tcPr>
            <w:tcW w:w="1027" w:type="dxa"/>
            <w:tcBorders>
              <w:top w:val="nil"/>
              <w:left w:val="nil"/>
              <w:bottom w:val="single" w:color="auto" w:sz="4" w:space="0"/>
              <w:right w:val="single" w:color="auto" w:sz="4" w:space="0"/>
            </w:tcBorders>
            <w:noWrap w:val="0"/>
            <w:vAlign w:val="center"/>
          </w:tcPr>
          <w:p w14:paraId="2298FDC9">
            <w:pPr>
              <w:widowControl/>
              <w:jc w:val="left"/>
              <w:rPr>
                <w:rFonts w:hint="eastAsia" w:ascii="宋体" w:hAnsi="宋体" w:cs="宋体"/>
                <w:kern w:val="0"/>
                <w:sz w:val="18"/>
                <w:szCs w:val="18"/>
              </w:rPr>
            </w:pPr>
            <w:r>
              <w:rPr>
                <w:rFonts w:hint="eastAsia" w:ascii="宋体" w:hAnsi="宋体" w:cs="宋体"/>
                <w:kern w:val="0"/>
                <w:sz w:val="18"/>
                <w:szCs w:val="18"/>
              </w:rPr>
              <w:t>Y＜100</w:t>
            </w:r>
          </w:p>
        </w:tc>
      </w:tr>
      <w:tr w14:paraId="4865BB5E">
        <w:tblPrEx>
          <w:tblCellMar>
            <w:top w:w="0" w:type="dxa"/>
            <w:left w:w="108" w:type="dxa"/>
            <w:bottom w:w="0" w:type="dxa"/>
            <w:right w:w="108" w:type="dxa"/>
          </w:tblCellMar>
        </w:tblPrEx>
        <w:trPr>
          <w:trHeight w:val="359" w:hRule="atLeast"/>
        </w:trPr>
        <w:tc>
          <w:tcPr>
            <w:tcW w:w="1887" w:type="dxa"/>
            <w:vMerge w:val="restart"/>
            <w:tcBorders>
              <w:top w:val="nil"/>
              <w:left w:val="single" w:color="auto" w:sz="4" w:space="0"/>
              <w:bottom w:val="single" w:color="auto" w:sz="4" w:space="0"/>
              <w:right w:val="single" w:color="auto" w:sz="4" w:space="0"/>
            </w:tcBorders>
            <w:noWrap w:val="0"/>
            <w:vAlign w:val="center"/>
          </w:tcPr>
          <w:p w14:paraId="6C0ACBC9">
            <w:pPr>
              <w:widowControl/>
              <w:jc w:val="center"/>
              <w:rPr>
                <w:rFonts w:hint="eastAsia" w:ascii="宋体" w:hAnsi="宋体" w:cs="宋体"/>
                <w:b/>
                <w:bCs/>
                <w:kern w:val="0"/>
                <w:sz w:val="18"/>
                <w:szCs w:val="18"/>
              </w:rPr>
            </w:pPr>
            <w:r>
              <w:rPr>
                <w:rFonts w:hint="eastAsia" w:ascii="宋体" w:hAnsi="宋体" w:cs="宋体"/>
                <w:b/>
                <w:bCs/>
                <w:kern w:val="0"/>
                <w:sz w:val="18"/>
                <w:szCs w:val="18"/>
              </w:rPr>
              <w:t>交通运输业</w:t>
            </w:r>
          </w:p>
        </w:tc>
        <w:tc>
          <w:tcPr>
            <w:tcW w:w="1536" w:type="dxa"/>
            <w:tcBorders>
              <w:top w:val="nil"/>
              <w:left w:val="nil"/>
              <w:bottom w:val="single" w:color="auto" w:sz="4" w:space="0"/>
              <w:right w:val="single" w:color="auto" w:sz="4" w:space="0"/>
            </w:tcBorders>
            <w:noWrap w:val="0"/>
            <w:vAlign w:val="center"/>
          </w:tcPr>
          <w:p w14:paraId="34BABA82">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1013" w:type="dxa"/>
            <w:tcBorders>
              <w:top w:val="nil"/>
              <w:left w:val="nil"/>
              <w:bottom w:val="single" w:color="auto" w:sz="4" w:space="0"/>
              <w:right w:val="single" w:color="auto" w:sz="4" w:space="0"/>
            </w:tcBorders>
            <w:noWrap w:val="0"/>
            <w:vAlign w:val="center"/>
          </w:tcPr>
          <w:p w14:paraId="70A841A5">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797" w:type="dxa"/>
            <w:tcBorders>
              <w:top w:val="nil"/>
              <w:left w:val="nil"/>
              <w:bottom w:val="single" w:color="auto" w:sz="4" w:space="0"/>
              <w:right w:val="single" w:color="auto" w:sz="4" w:space="0"/>
            </w:tcBorders>
            <w:noWrap w:val="0"/>
            <w:vAlign w:val="center"/>
          </w:tcPr>
          <w:p w14:paraId="1E34707B">
            <w:pPr>
              <w:widowControl/>
              <w:jc w:val="left"/>
              <w:rPr>
                <w:rFonts w:hint="eastAsia" w:ascii="宋体" w:hAnsi="宋体" w:cs="宋体"/>
                <w:kern w:val="0"/>
                <w:sz w:val="18"/>
                <w:szCs w:val="18"/>
              </w:rPr>
            </w:pPr>
            <w:r>
              <w:rPr>
                <w:rFonts w:hint="eastAsia" w:ascii="宋体" w:hAnsi="宋体" w:cs="宋体"/>
                <w:kern w:val="0"/>
                <w:sz w:val="18"/>
                <w:szCs w:val="18"/>
              </w:rPr>
              <w:t>300≤X＜1000</w:t>
            </w:r>
          </w:p>
        </w:tc>
        <w:tc>
          <w:tcPr>
            <w:tcW w:w="1597" w:type="dxa"/>
            <w:tcBorders>
              <w:top w:val="nil"/>
              <w:left w:val="nil"/>
              <w:bottom w:val="single" w:color="auto" w:sz="4" w:space="0"/>
              <w:right w:val="single" w:color="auto" w:sz="4" w:space="0"/>
            </w:tcBorders>
            <w:noWrap w:val="0"/>
            <w:vAlign w:val="center"/>
          </w:tcPr>
          <w:p w14:paraId="38ED24DC">
            <w:pPr>
              <w:widowControl/>
              <w:jc w:val="left"/>
              <w:rPr>
                <w:rFonts w:hint="eastAsia" w:ascii="宋体" w:hAnsi="宋体" w:cs="宋体"/>
                <w:kern w:val="0"/>
                <w:sz w:val="18"/>
                <w:szCs w:val="18"/>
              </w:rPr>
            </w:pPr>
            <w:r>
              <w:rPr>
                <w:rFonts w:hint="eastAsia" w:ascii="宋体" w:hAnsi="宋体" w:cs="宋体"/>
                <w:kern w:val="0"/>
                <w:sz w:val="18"/>
                <w:szCs w:val="18"/>
              </w:rPr>
              <w:t>20≤X＜300</w:t>
            </w:r>
          </w:p>
        </w:tc>
        <w:tc>
          <w:tcPr>
            <w:tcW w:w="1027" w:type="dxa"/>
            <w:tcBorders>
              <w:top w:val="nil"/>
              <w:left w:val="nil"/>
              <w:bottom w:val="single" w:color="auto" w:sz="4" w:space="0"/>
              <w:right w:val="single" w:color="auto" w:sz="4" w:space="0"/>
            </w:tcBorders>
            <w:noWrap w:val="0"/>
            <w:vAlign w:val="center"/>
          </w:tcPr>
          <w:p w14:paraId="57A9D225">
            <w:pPr>
              <w:widowControl/>
              <w:jc w:val="left"/>
              <w:rPr>
                <w:rFonts w:hint="eastAsia" w:ascii="宋体" w:hAnsi="宋体" w:cs="宋体"/>
                <w:kern w:val="0"/>
                <w:sz w:val="18"/>
                <w:szCs w:val="18"/>
              </w:rPr>
            </w:pPr>
            <w:r>
              <w:rPr>
                <w:rFonts w:hint="eastAsia" w:ascii="宋体" w:hAnsi="宋体" w:cs="宋体"/>
                <w:kern w:val="0"/>
                <w:sz w:val="18"/>
                <w:szCs w:val="18"/>
              </w:rPr>
              <w:t>X＜20</w:t>
            </w:r>
          </w:p>
        </w:tc>
      </w:tr>
      <w:tr w14:paraId="487710DC">
        <w:tblPrEx>
          <w:tblCellMar>
            <w:top w:w="0" w:type="dxa"/>
            <w:left w:w="108" w:type="dxa"/>
            <w:bottom w:w="0" w:type="dxa"/>
            <w:right w:w="108" w:type="dxa"/>
          </w:tblCellMar>
        </w:tblPrEx>
        <w:trPr>
          <w:trHeight w:val="359" w:hRule="atLeast"/>
        </w:trPr>
        <w:tc>
          <w:tcPr>
            <w:tcW w:w="1887" w:type="dxa"/>
            <w:vMerge w:val="continue"/>
            <w:tcBorders>
              <w:top w:val="nil"/>
              <w:left w:val="single" w:color="auto" w:sz="4" w:space="0"/>
              <w:bottom w:val="single" w:color="auto" w:sz="4" w:space="0"/>
              <w:right w:val="single" w:color="auto" w:sz="4" w:space="0"/>
            </w:tcBorders>
            <w:noWrap w:val="0"/>
            <w:vAlign w:val="center"/>
          </w:tcPr>
          <w:p w14:paraId="54CD2D59">
            <w:pPr>
              <w:widowControl/>
              <w:jc w:val="center"/>
              <w:rPr>
                <w:rFonts w:ascii="宋体" w:hAnsi="宋体" w:cs="宋体"/>
                <w:b/>
                <w:bCs/>
                <w:kern w:val="0"/>
                <w:sz w:val="18"/>
                <w:szCs w:val="18"/>
              </w:rPr>
            </w:pPr>
          </w:p>
        </w:tc>
        <w:tc>
          <w:tcPr>
            <w:tcW w:w="1536" w:type="dxa"/>
            <w:tcBorders>
              <w:top w:val="nil"/>
              <w:left w:val="nil"/>
              <w:bottom w:val="single" w:color="auto" w:sz="4" w:space="0"/>
              <w:right w:val="single" w:color="auto" w:sz="4" w:space="0"/>
            </w:tcBorders>
            <w:noWrap w:val="0"/>
            <w:vAlign w:val="center"/>
          </w:tcPr>
          <w:p w14:paraId="70E8AB06">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1013" w:type="dxa"/>
            <w:tcBorders>
              <w:top w:val="nil"/>
              <w:left w:val="nil"/>
              <w:bottom w:val="single" w:color="auto" w:sz="4" w:space="0"/>
              <w:right w:val="single" w:color="auto" w:sz="4" w:space="0"/>
            </w:tcBorders>
            <w:noWrap w:val="0"/>
            <w:vAlign w:val="center"/>
          </w:tcPr>
          <w:p w14:paraId="729C99C3">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797" w:type="dxa"/>
            <w:tcBorders>
              <w:top w:val="nil"/>
              <w:left w:val="nil"/>
              <w:bottom w:val="single" w:color="auto" w:sz="4" w:space="0"/>
              <w:right w:val="single" w:color="auto" w:sz="4" w:space="0"/>
            </w:tcBorders>
            <w:noWrap w:val="0"/>
            <w:vAlign w:val="center"/>
          </w:tcPr>
          <w:p w14:paraId="45503750">
            <w:pPr>
              <w:widowControl/>
              <w:jc w:val="left"/>
              <w:rPr>
                <w:rFonts w:hint="eastAsia" w:ascii="宋体" w:hAnsi="宋体" w:cs="宋体"/>
                <w:kern w:val="0"/>
                <w:sz w:val="18"/>
                <w:szCs w:val="18"/>
              </w:rPr>
            </w:pPr>
            <w:r>
              <w:rPr>
                <w:rFonts w:hint="eastAsia" w:ascii="宋体" w:hAnsi="宋体" w:cs="宋体"/>
                <w:kern w:val="0"/>
                <w:sz w:val="18"/>
                <w:szCs w:val="18"/>
              </w:rPr>
              <w:t>3000≤Y＜30000</w:t>
            </w:r>
          </w:p>
        </w:tc>
        <w:tc>
          <w:tcPr>
            <w:tcW w:w="1597" w:type="dxa"/>
            <w:tcBorders>
              <w:top w:val="nil"/>
              <w:left w:val="nil"/>
              <w:bottom w:val="single" w:color="auto" w:sz="4" w:space="0"/>
              <w:right w:val="single" w:color="auto" w:sz="4" w:space="0"/>
            </w:tcBorders>
            <w:noWrap w:val="0"/>
            <w:vAlign w:val="center"/>
          </w:tcPr>
          <w:p w14:paraId="0BDCE4D3">
            <w:pPr>
              <w:widowControl/>
              <w:jc w:val="left"/>
              <w:rPr>
                <w:rFonts w:hint="eastAsia" w:ascii="宋体" w:hAnsi="宋体" w:cs="宋体"/>
                <w:kern w:val="0"/>
                <w:sz w:val="18"/>
                <w:szCs w:val="18"/>
              </w:rPr>
            </w:pPr>
            <w:r>
              <w:rPr>
                <w:rFonts w:hint="eastAsia" w:ascii="宋体" w:hAnsi="宋体" w:cs="宋体"/>
                <w:kern w:val="0"/>
                <w:sz w:val="18"/>
                <w:szCs w:val="18"/>
              </w:rPr>
              <w:t>200≤Y＜3000</w:t>
            </w:r>
          </w:p>
        </w:tc>
        <w:tc>
          <w:tcPr>
            <w:tcW w:w="1027" w:type="dxa"/>
            <w:tcBorders>
              <w:top w:val="nil"/>
              <w:left w:val="nil"/>
              <w:bottom w:val="single" w:color="auto" w:sz="4" w:space="0"/>
              <w:right w:val="single" w:color="auto" w:sz="4" w:space="0"/>
            </w:tcBorders>
            <w:noWrap w:val="0"/>
            <w:vAlign w:val="center"/>
          </w:tcPr>
          <w:p w14:paraId="3F6C7016">
            <w:pPr>
              <w:widowControl/>
              <w:jc w:val="left"/>
              <w:rPr>
                <w:rFonts w:hint="eastAsia" w:ascii="宋体" w:hAnsi="宋体" w:cs="宋体"/>
                <w:kern w:val="0"/>
                <w:sz w:val="18"/>
                <w:szCs w:val="18"/>
              </w:rPr>
            </w:pPr>
            <w:r>
              <w:rPr>
                <w:rFonts w:hint="eastAsia" w:ascii="宋体" w:hAnsi="宋体" w:cs="宋体"/>
                <w:kern w:val="0"/>
                <w:sz w:val="18"/>
                <w:szCs w:val="18"/>
              </w:rPr>
              <w:t>Y＜200</w:t>
            </w:r>
          </w:p>
        </w:tc>
      </w:tr>
      <w:tr w14:paraId="3023F012">
        <w:tblPrEx>
          <w:tblCellMar>
            <w:top w:w="0" w:type="dxa"/>
            <w:left w:w="108" w:type="dxa"/>
            <w:bottom w:w="0" w:type="dxa"/>
            <w:right w:w="108" w:type="dxa"/>
          </w:tblCellMar>
        </w:tblPrEx>
        <w:trPr>
          <w:trHeight w:val="359" w:hRule="atLeast"/>
        </w:trPr>
        <w:tc>
          <w:tcPr>
            <w:tcW w:w="1887" w:type="dxa"/>
            <w:vMerge w:val="restart"/>
            <w:tcBorders>
              <w:top w:val="nil"/>
              <w:left w:val="single" w:color="auto" w:sz="4" w:space="0"/>
              <w:bottom w:val="single" w:color="auto" w:sz="4" w:space="0"/>
              <w:right w:val="single" w:color="auto" w:sz="4" w:space="0"/>
            </w:tcBorders>
            <w:noWrap w:val="0"/>
            <w:vAlign w:val="center"/>
          </w:tcPr>
          <w:p w14:paraId="62547AEC">
            <w:pPr>
              <w:widowControl/>
              <w:jc w:val="center"/>
              <w:rPr>
                <w:rFonts w:hint="eastAsia" w:ascii="宋体" w:hAnsi="宋体" w:cs="宋体"/>
                <w:b/>
                <w:bCs/>
                <w:kern w:val="0"/>
                <w:sz w:val="18"/>
                <w:szCs w:val="18"/>
              </w:rPr>
            </w:pPr>
            <w:r>
              <w:rPr>
                <w:rFonts w:hint="eastAsia" w:ascii="宋体" w:hAnsi="宋体" w:cs="宋体"/>
                <w:b/>
                <w:bCs/>
                <w:kern w:val="0"/>
                <w:sz w:val="18"/>
                <w:szCs w:val="18"/>
              </w:rPr>
              <w:t>仓储业</w:t>
            </w:r>
          </w:p>
        </w:tc>
        <w:tc>
          <w:tcPr>
            <w:tcW w:w="1536" w:type="dxa"/>
            <w:tcBorders>
              <w:top w:val="nil"/>
              <w:left w:val="nil"/>
              <w:bottom w:val="single" w:color="auto" w:sz="4" w:space="0"/>
              <w:right w:val="single" w:color="auto" w:sz="4" w:space="0"/>
            </w:tcBorders>
            <w:noWrap w:val="0"/>
            <w:vAlign w:val="center"/>
          </w:tcPr>
          <w:p w14:paraId="60204833">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1013" w:type="dxa"/>
            <w:tcBorders>
              <w:top w:val="nil"/>
              <w:left w:val="nil"/>
              <w:bottom w:val="single" w:color="auto" w:sz="4" w:space="0"/>
              <w:right w:val="single" w:color="auto" w:sz="4" w:space="0"/>
            </w:tcBorders>
            <w:noWrap w:val="0"/>
            <w:vAlign w:val="center"/>
          </w:tcPr>
          <w:p w14:paraId="76C34EB0">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797" w:type="dxa"/>
            <w:tcBorders>
              <w:top w:val="nil"/>
              <w:left w:val="nil"/>
              <w:bottom w:val="single" w:color="auto" w:sz="4" w:space="0"/>
              <w:right w:val="single" w:color="auto" w:sz="4" w:space="0"/>
            </w:tcBorders>
            <w:noWrap w:val="0"/>
            <w:vAlign w:val="center"/>
          </w:tcPr>
          <w:p w14:paraId="1839C3C8">
            <w:pPr>
              <w:widowControl/>
              <w:jc w:val="left"/>
              <w:rPr>
                <w:rFonts w:hint="eastAsia" w:ascii="宋体" w:hAnsi="宋体" w:cs="宋体"/>
                <w:kern w:val="0"/>
                <w:sz w:val="18"/>
                <w:szCs w:val="18"/>
              </w:rPr>
            </w:pPr>
            <w:r>
              <w:rPr>
                <w:rFonts w:hint="eastAsia" w:ascii="宋体" w:hAnsi="宋体" w:cs="宋体"/>
                <w:kern w:val="0"/>
                <w:sz w:val="18"/>
                <w:szCs w:val="18"/>
              </w:rPr>
              <w:t>100≤X＜200</w:t>
            </w:r>
          </w:p>
        </w:tc>
        <w:tc>
          <w:tcPr>
            <w:tcW w:w="1597" w:type="dxa"/>
            <w:tcBorders>
              <w:top w:val="nil"/>
              <w:left w:val="nil"/>
              <w:bottom w:val="single" w:color="auto" w:sz="4" w:space="0"/>
              <w:right w:val="single" w:color="auto" w:sz="4" w:space="0"/>
            </w:tcBorders>
            <w:noWrap w:val="0"/>
            <w:vAlign w:val="center"/>
          </w:tcPr>
          <w:p w14:paraId="4F7BDCCA">
            <w:pPr>
              <w:widowControl/>
              <w:jc w:val="left"/>
              <w:rPr>
                <w:rFonts w:hint="eastAsia" w:ascii="宋体" w:hAnsi="宋体" w:cs="宋体"/>
                <w:kern w:val="0"/>
                <w:sz w:val="18"/>
                <w:szCs w:val="18"/>
              </w:rPr>
            </w:pPr>
            <w:r>
              <w:rPr>
                <w:rFonts w:hint="eastAsia" w:ascii="宋体" w:hAnsi="宋体" w:cs="宋体"/>
                <w:kern w:val="0"/>
                <w:sz w:val="18"/>
                <w:szCs w:val="18"/>
              </w:rPr>
              <w:t>20≤X＜100</w:t>
            </w:r>
          </w:p>
        </w:tc>
        <w:tc>
          <w:tcPr>
            <w:tcW w:w="1027" w:type="dxa"/>
            <w:tcBorders>
              <w:top w:val="nil"/>
              <w:left w:val="nil"/>
              <w:bottom w:val="single" w:color="auto" w:sz="4" w:space="0"/>
              <w:right w:val="single" w:color="auto" w:sz="4" w:space="0"/>
            </w:tcBorders>
            <w:noWrap w:val="0"/>
            <w:vAlign w:val="center"/>
          </w:tcPr>
          <w:p w14:paraId="33476918">
            <w:pPr>
              <w:widowControl/>
              <w:jc w:val="left"/>
              <w:rPr>
                <w:rFonts w:hint="eastAsia" w:ascii="宋体" w:hAnsi="宋体" w:cs="宋体"/>
                <w:kern w:val="0"/>
                <w:sz w:val="18"/>
                <w:szCs w:val="18"/>
              </w:rPr>
            </w:pPr>
            <w:r>
              <w:rPr>
                <w:rFonts w:hint="eastAsia" w:ascii="宋体" w:hAnsi="宋体" w:cs="宋体"/>
                <w:kern w:val="0"/>
                <w:sz w:val="18"/>
                <w:szCs w:val="18"/>
              </w:rPr>
              <w:t>X＜20</w:t>
            </w:r>
          </w:p>
        </w:tc>
      </w:tr>
      <w:tr w14:paraId="78687A1A">
        <w:tblPrEx>
          <w:tblCellMar>
            <w:top w:w="0" w:type="dxa"/>
            <w:left w:w="108" w:type="dxa"/>
            <w:bottom w:w="0" w:type="dxa"/>
            <w:right w:w="108" w:type="dxa"/>
          </w:tblCellMar>
        </w:tblPrEx>
        <w:trPr>
          <w:trHeight w:val="359" w:hRule="atLeast"/>
        </w:trPr>
        <w:tc>
          <w:tcPr>
            <w:tcW w:w="1887" w:type="dxa"/>
            <w:vMerge w:val="continue"/>
            <w:tcBorders>
              <w:top w:val="nil"/>
              <w:left w:val="single" w:color="auto" w:sz="4" w:space="0"/>
              <w:bottom w:val="single" w:color="auto" w:sz="4" w:space="0"/>
              <w:right w:val="single" w:color="auto" w:sz="4" w:space="0"/>
            </w:tcBorders>
            <w:noWrap w:val="0"/>
            <w:vAlign w:val="center"/>
          </w:tcPr>
          <w:p w14:paraId="6402B3B9">
            <w:pPr>
              <w:widowControl/>
              <w:jc w:val="center"/>
              <w:rPr>
                <w:rFonts w:ascii="宋体" w:hAnsi="宋体" w:cs="宋体"/>
                <w:b/>
                <w:bCs/>
                <w:kern w:val="0"/>
                <w:sz w:val="18"/>
                <w:szCs w:val="18"/>
              </w:rPr>
            </w:pPr>
          </w:p>
        </w:tc>
        <w:tc>
          <w:tcPr>
            <w:tcW w:w="1536" w:type="dxa"/>
            <w:tcBorders>
              <w:top w:val="nil"/>
              <w:left w:val="nil"/>
              <w:bottom w:val="single" w:color="auto" w:sz="4" w:space="0"/>
              <w:right w:val="single" w:color="auto" w:sz="4" w:space="0"/>
            </w:tcBorders>
            <w:noWrap w:val="0"/>
            <w:vAlign w:val="center"/>
          </w:tcPr>
          <w:p w14:paraId="14B8FBB1">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1013" w:type="dxa"/>
            <w:tcBorders>
              <w:top w:val="nil"/>
              <w:left w:val="nil"/>
              <w:bottom w:val="single" w:color="auto" w:sz="4" w:space="0"/>
              <w:right w:val="single" w:color="auto" w:sz="4" w:space="0"/>
            </w:tcBorders>
            <w:noWrap w:val="0"/>
            <w:vAlign w:val="center"/>
          </w:tcPr>
          <w:p w14:paraId="1CC86621">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797" w:type="dxa"/>
            <w:tcBorders>
              <w:top w:val="nil"/>
              <w:left w:val="nil"/>
              <w:bottom w:val="single" w:color="auto" w:sz="4" w:space="0"/>
              <w:right w:val="single" w:color="auto" w:sz="4" w:space="0"/>
            </w:tcBorders>
            <w:noWrap w:val="0"/>
            <w:vAlign w:val="center"/>
          </w:tcPr>
          <w:p w14:paraId="43F020BA">
            <w:pPr>
              <w:widowControl/>
              <w:jc w:val="left"/>
              <w:rPr>
                <w:rFonts w:hint="eastAsia" w:ascii="宋体" w:hAnsi="宋体" w:cs="宋体"/>
                <w:kern w:val="0"/>
                <w:sz w:val="18"/>
                <w:szCs w:val="18"/>
              </w:rPr>
            </w:pPr>
            <w:r>
              <w:rPr>
                <w:rFonts w:hint="eastAsia" w:ascii="宋体" w:hAnsi="宋体" w:cs="宋体"/>
                <w:kern w:val="0"/>
                <w:sz w:val="18"/>
                <w:szCs w:val="18"/>
              </w:rPr>
              <w:t>1000≤Y＜30000</w:t>
            </w:r>
          </w:p>
        </w:tc>
        <w:tc>
          <w:tcPr>
            <w:tcW w:w="1597" w:type="dxa"/>
            <w:tcBorders>
              <w:top w:val="nil"/>
              <w:left w:val="nil"/>
              <w:bottom w:val="single" w:color="auto" w:sz="4" w:space="0"/>
              <w:right w:val="single" w:color="auto" w:sz="4" w:space="0"/>
            </w:tcBorders>
            <w:noWrap w:val="0"/>
            <w:vAlign w:val="center"/>
          </w:tcPr>
          <w:p w14:paraId="56D5EEB5">
            <w:pPr>
              <w:widowControl/>
              <w:jc w:val="left"/>
              <w:rPr>
                <w:rFonts w:hint="eastAsia" w:ascii="宋体" w:hAnsi="宋体" w:cs="宋体"/>
                <w:kern w:val="0"/>
                <w:sz w:val="18"/>
                <w:szCs w:val="18"/>
              </w:rPr>
            </w:pPr>
            <w:r>
              <w:rPr>
                <w:rFonts w:hint="eastAsia" w:ascii="宋体" w:hAnsi="宋体" w:cs="宋体"/>
                <w:kern w:val="0"/>
                <w:sz w:val="18"/>
                <w:szCs w:val="18"/>
              </w:rPr>
              <w:t>100≤Y＜1000</w:t>
            </w:r>
          </w:p>
        </w:tc>
        <w:tc>
          <w:tcPr>
            <w:tcW w:w="1027" w:type="dxa"/>
            <w:tcBorders>
              <w:top w:val="nil"/>
              <w:left w:val="nil"/>
              <w:bottom w:val="single" w:color="auto" w:sz="4" w:space="0"/>
              <w:right w:val="single" w:color="auto" w:sz="4" w:space="0"/>
            </w:tcBorders>
            <w:noWrap w:val="0"/>
            <w:vAlign w:val="center"/>
          </w:tcPr>
          <w:p w14:paraId="3D0F441A">
            <w:pPr>
              <w:widowControl/>
              <w:jc w:val="left"/>
              <w:rPr>
                <w:rFonts w:hint="eastAsia" w:ascii="宋体" w:hAnsi="宋体" w:cs="宋体"/>
                <w:kern w:val="0"/>
                <w:sz w:val="18"/>
                <w:szCs w:val="18"/>
              </w:rPr>
            </w:pPr>
            <w:r>
              <w:rPr>
                <w:rFonts w:hint="eastAsia" w:ascii="宋体" w:hAnsi="宋体" w:cs="宋体"/>
                <w:kern w:val="0"/>
                <w:sz w:val="18"/>
                <w:szCs w:val="18"/>
              </w:rPr>
              <w:t>Y＜100</w:t>
            </w:r>
          </w:p>
        </w:tc>
      </w:tr>
      <w:tr w14:paraId="17BB8F03">
        <w:tblPrEx>
          <w:tblCellMar>
            <w:top w:w="0" w:type="dxa"/>
            <w:left w:w="108" w:type="dxa"/>
            <w:bottom w:w="0" w:type="dxa"/>
            <w:right w:w="108" w:type="dxa"/>
          </w:tblCellMar>
        </w:tblPrEx>
        <w:trPr>
          <w:trHeight w:val="359" w:hRule="atLeast"/>
        </w:trPr>
        <w:tc>
          <w:tcPr>
            <w:tcW w:w="1887" w:type="dxa"/>
            <w:vMerge w:val="restart"/>
            <w:tcBorders>
              <w:top w:val="nil"/>
              <w:left w:val="single" w:color="auto" w:sz="4" w:space="0"/>
              <w:bottom w:val="single" w:color="auto" w:sz="4" w:space="0"/>
              <w:right w:val="single" w:color="auto" w:sz="4" w:space="0"/>
            </w:tcBorders>
            <w:noWrap w:val="0"/>
            <w:vAlign w:val="center"/>
          </w:tcPr>
          <w:p w14:paraId="39F7C061">
            <w:pPr>
              <w:widowControl/>
              <w:jc w:val="center"/>
              <w:rPr>
                <w:rFonts w:hint="eastAsia" w:ascii="宋体" w:hAnsi="宋体" w:cs="宋体"/>
                <w:b/>
                <w:bCs/>
                <w:kern w:val="0"/>
                <w:sz w:val="18"/>
                <w:szCs w:val="18"/>
              </w:rPr>
            </w:pPr>
            <w:r>
              <w:rPr>
                <w:rFonts w:hint="eastAsia" w:ascii="宋体" w:hAnsi="宋体" w:cs="宋体"/>
                <w:b/>
                <w:bCs/>
                <w:kern w:val="0"/>
                <w:sz w:val="18"/>
                <w:szCs w:val="18"/>
              </w:rPr>
              <w:t>邮政业</w:t>
            </w:r>
          </w:p>
        </w:tc>
        <w:tc>
          <w:tcPr>
            <w:tcW w:w="1536" w:type="dxa"/>
            <w:tcBorders>
              <w:top w:val="nil"/>
              <w:left w:val="nil"/>
              <w:bottom w:val="single" w:color="auto" w:sz="4" w:space="0"/>
              <w:right w:val="single" w:color="auto" w:sz="4" w:space="0"/>
            </w:tcBorders>
            <w:noWrap w:val="0"/>
            <w:vAlign w:val="center"/>
          </w:tcPr>
          <w:p w14:paraId="5A86A017">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1013" w:type="dxa"/>
            <w:tcBorders>
              <w:top w:val="nil"/>
              <w:left w:val="nil"/>
              <w:bottom w:val="single" w:color="auto" w:sz="4" w:space="0"/>
              <w:right w:val="single" w:color="auto" w:sz="4" w:space="0"/>
            </w:tcBorders>
            <w:noWrap w:val="0"/>
            <w:vAlign w:val="center"/>
          </w:tcPr>
          <w:p w14:paraId="487D7106">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797" w:type="dxa"/>
            <w:tcBorders>
              <w:top w:val="nil"/>
              <w:left w:val="nil"/>
              <w:bottom w:val="single" w:color="auto" w:sz="4" w:space="0"/>
              <w:right w:val="single" w:color="auto" w:sz="4" w:space="0"/>
            </w:tcBorders>
            <w:noWrap w:val="0"/>
            <w:vAlign w:val="center"/>
          </w:tcPr>
          <w:p w14:paraId="082B0232">
            <w:pPr>
              <w:widowControl/>
              <w:jc w:val="left"/>
              <w:rPr>
                <w:rFonts w:hint="eastAsia" w:ascii="宋体" w:hAnsi="宋体" w:cs="宋体"/>
                <w:kern w:val="0"/>
                <w:sz w:val="18"/>
                <w:szCs w:val="18"/>
              </w:rPr>
            </w:pPr>
            <w:r>
              <w:rPr>
                <w:rFonts w:hint="eastAsia" w:ascii="宋体" w:hAnsi="宋体" w:cs="宋体"/>
                <w:kern w:val="0"/>
                <w:sz w:val="18"/>
                <w:szCs w:val="18"/>
              </w:rPr>
              <w:t>300≤X＜1000</w:t>
            </w:r>
          </w:p>
        </w:tc>
        <w:tc>
          <w:tcPr>
            <w:tcW w:w="1597" w:type="dxa"/>
            <w:tcBorders>
              <w:top w:val="nil"/>
              <w:left w:val="nil"/>
              <w:bottom w:val="single" w:color="auto" w:sz="4" w:space="0"/>
              <w:right w:val="single" w:color="auto" w:sz="4" w:space="0"/>
            </w:tcBorders>
            <w:noWrap w:val="0"/>
            <w:vAlign w:val="center"/>
          </w:tcPr>
          <w:p w14:paraId="7819F0D5">
            <w:pPr>
              <w:widowControl/>
              <w:jc w:val="left"/>
              <w:rPr>
                <w:rFonts w:hint="eastAsia" w:ascii="宋体" w:hAnsi="宋体" w:cs="宋体"/>
                <w:kern w:val="0"/>
                <w:sz w:val="18"/>
                <w:szCs w:val="18"/>
              </w:rPr>
            </w:pPr>
            <w:r>
              <w:rPr>
                <w:rFonts w:hint="eastAsia" w:ascii="宋体" w:hAnsi="宋体" w:cs="宋体"/>
                <w:kern w:val="0"/>
                <w:sz w:val="18"/>
                <w:szCs w:val="18"/>
              </w:rPr>
              <w:t>20≤X＜300</w:t>
            </w:r>
          </w:p>
        </w:tc>
        <w:tc>
          <w:tcPr>
            <w:tcW w:w="1027" w:type="dxa"/>
            <w:tcBorders>
              <w:top w:val="nil"/>
              <w:left w:val="nil"/>
              <w:bottom w:val="single" w:color="auto" w:sz="4" w:space="0"/>
              <w:right w:val="single" w:color="auto" w:sz="4" w:space="0"/>
            </w:tcBorders>
            <w:noWrap w:val="0"/>
            <w:vAlign w:val="center"/>
          </w:tcPr>
          <w:p w14:paraId="5BB9C567">
            <w:pPr>
              <w:widowControl/>
              <w:jc w:val="left"/>
              <w:rPr>
                <w:rFonts w:hint="eastAsia" w:ascii="宋体" w:hAnsi="宋体" w:cs="宋体"/>
                <w:kern w:val="0"/>
                <w:sz w:val="18"/>
                <w:szCs w:val="18"/>
              </w:rPr>
            </w:pPr>
            <w:r>
              <w:rPr>
                <w:rFonts w:hint="eastAsia" w:ascii="宋体" w:hAnsi="宋体" w:cs="宋体"/>
                <w:kern w:val="0"/>
                <w:sz w:val="18"/>
                <w:szCs w:val="18"/>
              </w:rPr>
              <w:t>X＜20</w:t>
            </w:r>
          </w:p>
        </w:tc>
      </w:tr>
      <w:tr w14:paraId="595D16C1">
        <w:tblPrEx>
          <w:tblCellMar>
            <w:top w:w="0" w:type="dxa"/>
            <w:left w:w="108" w:type="dxa"/>
            <w:bottom w:w="0" w:type="dxa"/>
            <w:right w:w="108" w:type="dxa"/>
          </w:tblCellMar>
        </w:tblPrEx>
        <w:trPr>
          <w:trHeight w:val="359" w:hRule="atLeast"/>
        </w:trPr>
        <w:tc>
          <w:tcPr>
            <w:tcW w:w="1887" w:type="dxa"/>
            <w:vMerge w:val="continue"/>
            <w:tcBorders>
              <w:top w:val="nil"/>
              <w:left w:val="single" w:color="auto" w:sz="4" w:space="0"/>
              <w:bottom w:val="single" w:color="auto" w:sz="4" w:space="0"/>
              <w:right w:val="single" w:color="auto" w:sz="4" w:space="0"/>
            </w:tcBorders>
            <w:noWrap w:val="0"/>
            <w:vAlign w:val="center"/>
          </w:tcPr>
          <w:p w14:paraId="1BCB4912">
            <w:pPr>
              <w:widowControl/>
              <w:jc w:val="center"/>
              <w:rPr>
                <w:rFonts w:ascii="宋体" w:hAnsi="宋体" w:cs="宋体"/>
                <w:b/>
                <w:bCs/>
                <w:kern w:val="0"/>
                <w:sz w:val="18"/>
                <w:szCs w:val="18"/>
              </w:rPr>
            </w:pPr>
          </w:p>
        </w:tc>
        <w:tc>
          <w:tcPr>
            <w:tcW w:w="1536" w:type="dxa"/>
            <w:tcBorders>
              <w:top w:val="nil"/>
              <w:left w:val="nil"/>
              <w:bottom w:val="single" w:color="auto" w:sz="4" w:space="0"/>
              <w:right w:val="single" w:color="auto" w:sz="4" w:space="0"/>
            </w:tcBorders>
            <w:noWrap w:val="0"/>
            <w:vAlign w:val="center"/>
          </w:tcPr>
          <w:p w14:paraId="482541DD">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1013" w:type="dxa"/>
            <w:tcBorders>
              <w:top w:val="nil"/>
              <w:left w:val="nil"/>
              <w:bottom w:val="single" w:color="auto" w:sz="4" w:space="0"/>
              <w:right w:val="single" w:color="auto" w:sz="4" w:space="0"/>
            </w:tcBorders>
            <w:noWrap w:val="0"/>
            <w:vAlign w:val="center"/>
          </w:tcPr>
          <w:p w14:paraId="78ED8A05">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797" w:type="dxa"/>
            <w:tcBorders>
              <w:top w:val="nil"/>
              <w:left w:val="nil"/>
              <w:bottom w:val="single" w:color="auto" w:sz="4" w:space="0"/>
              <w:right w:val="single" w:color="auto" w:sz="4" w:space="0"/>
            </w:tcBorders>
            <w:noWrap w:val="0"/>
            <w:vAlign w:val="center"/>
          </w:tcPr>
          <w:p w14:paraId="6209E7FF">
            <w:pPr>
              <w:widowControl/>
              <w:jc w:val="left"/>
              <w:rPr>
                <w:rFonts w:hint="eastAsia" w:ascii="宋体" w:hAnsi="宋体" w:cs="宋体"/>
                <w:kern w:val="0"/>
                <w:sz w:val="18"/>
                <w:szCs w:val="18"/>
              </w:rPr>
            </w:pPr>
            <w:r>
              <w:rPr>
                <w:rFonts w:hint="eastAsia" w:ascii="宋体" w:hAnsi="宋体" w:cs="宋体"/>
                <w:kern w:val="0"/>
                <w:sz w:val="18"/>
                <w:szCs w:val="18"/>
              </w:rPr>
              <w:t>2000≤Y＜30000</w:t>
            </w:r>
          </w:p>
        </w:tc>
        <w:tc>
          <w:tcPr>
            <w:tcW w:w="1597" w:type="dxa"/>
            <w:tcBorders>
              <w:top w:val="nil"/>
              <w:left w:val="nil"/>
              <w:bottom w:val="single" w:color="auto" w:sz="4" w:space="0"/>
              <w:right w:val="single" w:color="auto" w:sz="4" w:space="0"/>
            </w:tcBorders>
            <w:noWrap w:val="0"/>
            <w:vAlign w:val="center"/>
          </w:tcPr>
          <w:p w14:paraId="2E99FC7E">
            <w:pPr>
              <w:widowControl/>
              <w:jc w:val="left"/>
              <w:rPr>
                <w:rFonts w:hint="eastAsia" w:ascii="宋体" w:hAnsi="宋体" w:cs="宋体"/>
                <w:kern w:val="0"/>
                <w:sz w:val="18"/>
                <w:szCs w:val="18"/>
              </w:rPr>
            </w:pPr>
            <w:r>
              <w:rPr>
                <w:rFonts w:hint="eastAsia" w:ascii="宋体" w:hAnsi="宋体" w:cs="宋体"/>
                <w:kern w:val="0"/>
                <w:sz w:val="18"/>
                <w:szCs w:val="18"/>
              </w:rPr>
              <w:t>100≤Y＜2000</w:t>
            </w:r>
          </w:p>
        </w:tc>
        <w:tc>
          <w:tcPr>
            <w:tcW w:w="1027" w:type="dxa"/>
            <w:tcBorders>
              <w:top w:val="nil"/>
              <w:left w:val="nil"/>
              <w:bottom w:val="single" w:color="auto" w:sz="4" w:space="0"/>
              <w:right w:val="single" w:color="auto" w:sz="4" w:space="0"/>
            </w:tcBorders>
            <w:noWrap w:val="0"/>
            <w:vAlign w:val="center"/>
          </w:tcPr>
          <w:p w14:paraId="1011FB84">
            <w:pPr>
              <w:widowControl/>
              <w:jc w:val="left"/>
              <w:rPr>
                <w:rFonts w:hint="eastAsia" w:ascii="宋体" w:hAnsi="宋体" w:cs="宋体"/>
                <w:kern w:val="0"/>
                <w:sz w:val="18"/>
                <w:szCs w:val="18"/>
              </w:rPr>
            </w:pPr>
            <w:r>
              <w:rPr>
                <w:rFonts w:hint="eastAsia" w:ascii="宋体" w:hAnsi="宋体" w:cs="宋体"/>
                <w:kern w:val="0"/>
                <w:sz w:val="18"/>
                <w:szCs w:val="18"/>
              </w:rPr>
              <w:t>Y＜100</w:t>
            </w:r>
          </w:p>
        </w:tc>
      </w:tr>
      <w:tr w14:paraId="7B17305D">
        <w:tblPrEx>
          <w:tblCellMar>
            <w:top w:w="0" w:type="dxa"/>
            <w:left w:w="108" w:type="dxa"/>
            <w:bottom w:w="0" w:type="dxa"/>
            <w:right w:w="108" w:type="dxa"/>
          </w:tblCellMar>
        </w:tblPrEx>
        <w:trPr>
          <w:trHeight w:val="359" w:hRule="atLeast"/>
        </w:trPr>
        <w:tc>
          <w:tcPr>
            <w:tcW w:w="1887" w:type="dxa"/>
            <w:vMerge w:val="restart"/>
            <w:tcBorders>
              <w:top w:val="nil"/>
              <w:left w:val="single" w:color="auto" w:sz="4" w:space="0"/>
              <w:bottom w:val="single" w:color="auto" w:sz="4" w:space="0"/>
              <w:right w:val="single" w:color="auto" w:sz="4" w:space="0"/>
            </w:tcBorders>
            <w:noWrap w:val="0"/>
            <w:vAlign w:val="center"/>
          </w:tcPr>
          <w:p w14:paraId="37647CEC">
            <w:pPr>
              <w:widowControl/>
              <w:jc w:val="center"/>
              <w:rPr>
                <w:rFonts w:hint="eastAsia" w:ascii="宋体" w:hAnsi="宋体" w:cs="宋体"/>
                <w:b/>
                <w:bCs/>
                <w:kern w:val="0"/>
                <w:sz w:val="18"/>
                <w:szCs w:val="18"/>
              </w:rPr>
            </w:pPr>
            <w:r>
              <w:rPr>
                <w:rFonts w:hint="eastAsia" w:ascii="宋体" w:hAnsi="宋体" w:cs="宋体"/>
                <w:b/>
                <w:bCs/>
                <w:kern w:val="0"/>
                <w:sz w:val="18"/>
                <w:szCs w:val="18"/>
              </w:rPr>
              <w:t>住宿业</w:t>
            </w:r>
          </w:p>
        </w:tc>
        <w:tc>
          <w:tcPr>
            <w:tcW w:w="1536" w:type="dxa"/>
            <w:tcBorders>
              <w:top w:val="nil"/>
              <w:left w:val="nil"/>
              <w:bottom w:val="single" w:color="auto" w:sz="4" w:space="0"/>
              <w:right w:val="single" w:color="auto" w:sz="4" w:space="0"/>
            </w:tcBorders>
            <w:noWrap w:val="0"/>
            <w:vAlign w:val="center"/>
          </w:tcPr>
          <w:p w14:paraId="7E7B26E2">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1013" w:type="dxa"/>
            <w:tcBorders>
              <w:top w:val="nil"/>
              <w:left w:val="nil"/>
              <w:bottom w:val="single" w:color="auto" w:sz="4" w:space="0"/>
              <w:right w:val="single" w:color="auto" w:sz="4" w:space="0"/>
            </w:tcBorders>
            <w:noWrap w:val="0"/>
            <w:vAlign w:val="center"/>
          </w:tcPr>
          <w:p w14:paraId="0A0DE505">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797" w:type="dxa"/>
            <w:tcBorders>
              <w:top w:val="nil"/>
              <w:left w:val="nil"/>
              <w:bottom w:val="single" w:color="auto" w:sz="4" w:space="0"/>
              <w:right w:val="single" w:color="auto" w:sz="4" w:space="0"/>
            </w:tcBorders>
            <w:noWrap w:val="0"/>
            <w:vAlign w:val="center"/>
          </w:tcPr>
          <w:p w14:paraId="1D3EBD3D">
            <w:pPr>
              <w:widowControl/>
              <w:jc w:val="left"/>
              <w:rPr>
                <w:rFonts w:hint="eastAsia" w:ascii="宋体" w:hAnsi="宋体" w:cs="宋体"/>
                <w:kern w:val="0"/>
                <w:sz w:val="18"/>
                <w:szCs w:val="18"/>
              </w:rPr>
            </w:pPr>
            <w:r>
              <w:rPr>
                <w:rFonts w:hint="eastAsia" w:ascii="宋体" w:hAnsi="宋体" w:cs="宋体"/>
                <w:kern w:val="0"/>
                <w:sz w:val="18"/>
                <w:szCs w:val="18"/>
              </w:rPr>
              <w:t>100≤X＜300</w:t>
            </w:r>
          </w:p>
        </w:tc>
        <w:tc>
          <w:tcPr>
            <w:tcW w:w="1597" w:type="dxa"/>
            <w:tcBorders>
              <w:top w:val="nil"/>
              <w:left w:val="nil"/>
              <w:bottom w:val="single" w:color="auto" w:sz="4" w:space="0"/>
              <w:right w:val="single" w:color="auto" w:sz="4" w:space="0"/>
            </w:tcBorders>
            <w:noWrap w:val="0"/>
            <w:vAlign w:val="center"/>
          </w:tcPr>
          <w:p w14:paraId="05B604C0">
            <w:pPr>
              <w:widowControl/>
              <w:jc w:val="left"/>
              <w:rPr>
                <w:rFonts w:hint="eastAsia" w:ascii="宋体" w:hAnsi="宋体" w:cs="宋体"/>
                <w:kern w:val="0"/>
                <w:sz w:val="18"/>
                <w:szCs w:val="18"/>
              </w:rPr>
            </w:pPr>
            <w:r>
              <w:rPr>
                <w:rFonts w:hint="eastAsia" w:ascii="宋体" w:hAnsi="宋体" w:cs="宋体"/>
                <w:kern w:val="0"/>
                <w:sz w:val="18"/>
                <w:szCs w:val="18"/>
              </w:rPr>
              <w:t>10≤X＜100</w:t>
            </w:r>
          </w:p>
        </w:tc>
        <w:tc>
          <w:tcPr>
            <w:tcW w:w="1027" w:type="dxa"/>
            <w:tcBorders>
              <w:top w:val="nil"/>
              <w:left w:val="nil"/>
              <w:bottom w:val="single" w:color="auto" w:sz="4" w:space="0"/>
              <w:right w:val="single" w:color="auto" w:sz="4" w:space="0"/>
            </w:tcBorders>
            <w:noWrap w:val="0"/>
            <w:vAlign w:val="center"/>
          </w:tcPr>
          <w:p w14:paraId="687BE83B">
            <w:pPr>
              <w:widowControl/>
              <w:jc w:val="left"/>
              <w:rPr>
                <w:rFonts w:hint="eastAsia" w:ascii="宋体" w:hAnsi="宋体" w:cs="宋体"/>
                <w:kern w:val="0"/>
                <w:sz w:val="18"/>
                <w:szCs w:val="18"/>
              </w:rPr>
            </w:pPr>
            <w:r>
              <w:rPr>
                <w:rFonts w:hint="eastAsia" w:ascii="宋体" w:hAnsi="宋体" w:cs="宋体"/>
                <w:kern w:val="0"/>
                <w:sz w:val="18"/>
                <w:szCs w:val="18"/>
              </w:rPr>
              <w:t>X＜10</w:t>
            </w:r>
          </w:p>
        </w:tc>
      </w:tr>
      <w:tr w14:paraId="3BAC199C">
        <w:tblPrEx>
          <w:tblCellMar>
            <w:top w:w="0" w:type="dxa"/>
            <w:left w:w="108" w:type="dxa"/>
            <w:bottom w:w="0" w:type="dxa"/>
            <w:right w:w="108" w:type="dxa"/>
          </w:tblCellMar>
        </w:tblPrEx>
        <w:trPr>
          <w:trHeight w:val="359" w:hRule="atLeast"/>
        </w:trPr>
        <w:tc>
          <w:tcPr>
            <w:tcW w:w="1887" w:type="dxa"/>
            <w:vMerge w:val="continue"/>
            <w:tcBorders>
              <w:top w:val="nil"/>
              <w:left w:val="single" w:color="auto" w:sz="4" w:space="0"/>
              <w:bottom w:val="single" w:color="auto" w:sz="4" w:space="0"/>
              <w:right w:val="single" w:color="auto" w:sz="4" w:space="0"/>
            </w:tcBorders>
            <w:noWrap w:val="0"/>
            <w:vAlign w:val="center"/>
          </w:tcPr>
          <w:p w14:paraId="7D61CBB6">
            <w:pPr>
              <w:widowControl/>
              <w:jc w:val="center"/>
              <w:rPr>
                <w:rFonts w:ascii="宋体" w:hAnsi="宋体" w:cs="宋体"/>
                <w:b/>
                <w:bCs/>
                <w:kern w:val="0"/>
                <w:sz w:val="18"/>
                <w:szCs w:val="18"/>
              </w:rPr>
            </w:pPr>
          </w:p>
        </w:tc>
        <w:tc>
          <w:tcPr>
            <w:tcW w:w="1536" w:type="dxa"/>
            <w:tcBorders>
              <w:top w:val="nil"/>
              <w:left w:val="nil"/>
              <w:bottom w:val="single" w:color="auto" w:sz="4" w:space="0"/>
              <w:right w:val="single" w:color="auto" w:sz="4" w:space="0"/>
            </w:tcBorders>
            <w:noWrap w:val="0"/>
            <w:vAlign w:val="center"/>
          </w:tcPr>
          <w:p w14:paraId="03EBEA2A">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1013" w:type="dxa"/>
            <w:tcBorders>
              <w:top w:val="nil"/>
              <w:left w:val="nil"/>
              <w:bottom w:val="single" w:color="auto" w:sz="4" w:space="0"/>
              <w:right w:val="single" w:color="auto" w:sz="4" w:space="0"/>
            </w:tcBorders>
            <w:noWrap w:val="0"/>
            <w:vAlign w:val="center"/>
          </w:tcPr>
          <w:p w14:paraId="4B2D5D72">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797" w:type="dxa"/>
            <w:tcBorders>
              <w:top w:val="nil"/>
              <w:left w:val="nil"/>
              <w:bottom w:val="single" w:color="auto" w:sz="4" w:space="0"/>
              <w:right w:val="single" w:color="auto" w:sz="4" w:space="0"/>
            </w:tcBorders>
            <w:noWrap w:val="0"/>
            <w:vAlign w:val="center"/>
          </w:tcPr>
          <w:p w14:paraId="25DB4B2C">
            <w:pPr>
              <w:widowControl/>
              <w:jc w:val="left"/>
              <w:rPr>
                <w:rFonts w:hint="eastAsia" w:ascii="宋体" w:hAnsi="宋体" w:cs="宋体"/>
                <w:kern w:val="0"/>
                <w:sz w:val="18"/>
                <w:szCs w:val="18"/>
              </w:rPr>
            </w:pPr>
            <w:r>
              <w:rPr>
                <w:rFonts w:hint="eastAsia" w:ascii="宋体" w:hAnsi="宋体" w:cs="宋体"/>
                <w:kern w:val="0"/>
                <w:sz w:val="18"/>
                <w:szCs w:val="18"/>
              </w:rPr>
              <w:t>2000≤Y＜10000</w:t>
            </w:r>
          </w:p>
        </w:tc>
        <w:tc>
          <w:tcPr>
            <w:tcW w:w="1597" w:type="dxa"/>
            <w:tcBorders>
              <w:top w:val="nil"/>
              <w:left w:val="nil"/>
              <w:bottom w:val="single" w:color="auto" w:sz="4" w:space="0"/>
              <w:right w:val="single" w:color="auto" w:sz="4" w:space="0"/>
            </w:tcBorders>
            <w:noWrap w:val="0"/>
            <w:vAlign w:val="center"/>
          </w:tcPr>
          <w:p w14:paraId="5B45229D">
            <w:pPr>
              <w:widowControl/>
              <w:jc w:val="left"/>
              <w:rPr>
                <w:rFonts w:hint="eastAsia" w:ascii="宋体" w:hAnsi="宋体" w:cs="宋体"/>
                <w:kern w:val="0"/>
                <w:sz w:val="18"/>
                <w:szCs w:val="18"/>
              </w:rPr>
            </w:pPr>
            <w:r>
              <w:rPr>
                <w:rFonts w:hint="eastAsia" w:ascii="宋体" w:hAnsi="宋体" w:cs="宋体"/>
                <w:kern w:val="0"/>
                <w:sz w:val="18"/>
                <w:szCs w:val="18"/>
              </w:rPr>
              <w:t>100≤Y＜2000</w:t>
            </w:r>
          </w:p>
        </w:tc>
        <w:tc>
          <w:tcPr>
            <w:tcW w:w="1027" w:type="dxa"/>
            <w:tcBorders>
              <w:top w:val="nil"/>
              <w:left w:val="nil"/>
              <w:bottom w:val="single" w:color="auto" w:sz="4" w:space="0"/>
              <w:right w:val="single" w:color="auto" w:sz="4" w:space="0"/>
            </w:tcBorders>
            <w:noWrap w:val="0"/>
            <w:vAlign w:val="center"/>
          </w:tcPr>
          <w:p w14:paraId="65741BC9">
            <w:pPr>
              <w:widowControl/>
              <w:jc w:val="left"/>
              <w:rPr>
                <w:rFonts w:hint="eastAsia" w:ascii="宋体" w:hAnsi="宋体" w:cs="宋体"/>
                <w:kern w:val="0"/>
                <w:sz w:val="18"/>
                <w:szCs w:val="18"/>
              </w:rPr>
            </w:pPr>
            <w:r>
              <w:rPr>
                <w:rFonts w:hint="eastAsia" w:ascii="宋体" w:hAnsi="宋体" w:cs="宋体"/>
                <w:kern w:val="0"/>
                <w:sz w:val="18"/>
                <w:szCs w:val="18"/>
              </w:rPr>
              <w:t>Y＜100</w:t>
            </w:r>
          </w:p>
        </w:tc>
      </w:tr>
      <w:tr w14:paraId="44C21C7C">
        <w:tblPrEx>
          <w:tblCellMar>
            <w:top w:w="0" w:type="dxa"/>
            <w:left w:w="108" w:type="dxa"/>
            <w:bottom w:w="0" w:type="dxa"/>
            <w:right w:w="108" w:type="dxa"/>
          </w:tblCellMar>
        </w:tblPrEx>
        <w:trPr>
          <w:trHeight w:val="359" w:hRule="atLeast"/>
        </w:trPr>
        <w:tc>
          <w:tcPr>
            <w:tcW w:w="1887" w:type="dxa"/>
            <w:vMerge w:val="restart"/>
            <w:tcBorders>
              <w:top w:val="nil"/>
              <w:left w:val="single" w:color="auto" w:sz="4" w:space="0"/>
              <w:bottom w:val="single" w:color="auto" w:sz="4" w:space="0"/>
              <w:right w:val="single" w:color="auto" w:sz="4" w:space="0"/>
            </w:tcBorders>
            <w:noWrap w:val="0"/>
            <w:vAlign w:val="center"/>
          </w:tcPr>
          <w:p w14:paraId="003BD97A">
            <w:pPr>
              <w:widowControl/>
              <w:jc w:val="center"/>
              <w:rPr>
                <w:rFonts w:hint="eastAsia" w:ascii="宋体" w:hAnsi="宋体" w:cs="宋体"/>
                <w:b/>
                <w:bCs/>
                <w:kern w:val="0"/>
                <w:sz w:val="18"/>
                <w:szCs w:val="18"/>
              </w:rPr>
            </w:pPr>
            <w:r>
              <w:rPr>
                <w:rFonts w:hint="eastAsia" w:ascii="宋体" w:hAnsi="宋体" w:cs="宋体"/>
                <w:b/>
                <w:bCs/>
                <w:kern w:val="0"/>
                <w:sz w:val="18"/>
                <w:szCs w:val="18"/>
              </w:rPr>
              <w:t>餐饮业</w:t>
            </w:r>
          </w:p>
        </w:tc>
        <w:tc>
          <w:tcPr>
            <w:tcW w:w="1536" w:type="dxa"/>
            <w:tcBorders>
              <w:top w:val="nil"/>
              <w:left w:val="nil"/>
              <w:bottom w:val="single" w:color="auto" w:sz="4" w:space="0"/>
              <w:right w:val="single" w:color="auto" w:sz="4" w:space="0"/>
            </w:tcBorders>
            <w:noWrap w:val="0"/>
            <w:vAlign w:val="center"/>
          </w:tcPr>
          <w:p w14:paraId="29D8F40B">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1013" w:type="dxa"/>
            <w:tcBorders>
              <w:top w:val="nil"/>
              <w:left w:val="nil"/>
              <w:bottom w:val="single" w:color="auto" w:sz="4" w:space="0"/>
              <w:right w:val="single" w:color="auto" w:sz="4" w:space="0"/>
            </w:tcBorders>
            <w:noWrap w:val="0"/>
            <w:vAlign w:val="center"/>
          </w:tcPr>
          <w:p w14:paraId="6EB61D1C">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797" w:type="dxa"/>
            <w:tcBorders>
              <w:top w:val="nil"/>
              <w:left w:val="nil"/>
              <w:bottom w:val="single" w:color="auto" w:sz="4" w:space="0"/>
              <w:right w:val="single" w:color="auto" w:sz="4" w:space="0"/>
            </w:tcBorders>
            <w:noWrap w:val="0"/>
            <w:vAlign w:val="center"/>
          </w:tcPr>
          <w:p w14:paraId="678968F4">
            <w:pPr>
              <w:widowControl/>
              <w:jc w:val="left"/>
              <w:rPr>
                <w:rFonts w:hint="eastAsia" w:ascii="宋体" w:hAnsi="宋体" w:cs="宋体"/>
                <w:kern w:val="0"/>
                <w:sz w:val="18"/>
                <w:szCs w:val="18"/>
              </w:rPr>
            </w:pPr>
            <w:r>
              <w:rPr>
                <w:rFonts w:hint="eastAsia" w:ascii="宋体" w:hAnsi="宋体" w:cs="宋体"/>
                <w:kern w:val="0"/>
                <w:sz w:val="18"/>
                <w:szCs w:val="18"/>
              </w:rPr>
              <w:t>100≤X＜300</w:t>
            </w:r>
          </w:p>
        </w:tc>
        <w:tc>
          <w:tcPr>
            <w:tcW w:w="1597" w:type="dxa"/>
            <w:tcBorders>
              <w:top w:val="nil"/>
              <w:left w:val="nil"/>
              <w:bottom w:val="single" w:color="auto" w:sz="4" w:space="0"/>
              <w:right w:val="single" w:color="auto" w:sz="4" w:space="0"/>
            </w:tcBorders>
            <w:noWrap w:val="0"/>
            <w:vAlign w:val="center"/>
          </w:tcPr>
          <w:p w14:paraId="03153AEA">
            <w:pPr>
              <w:widowControl/>
              <w:jc w:val="left"/>
              <w:rPr>
                <w:rFonts w:hint="eastAsia" w:ascii="宋体" w:hAnsi="宋体" w:cs="宋体"/>
                <w:kern w:val="0"/>
                <w:sz w:val="18"/>
                <w:szCs w:val="18"/>
              </w:rPr>
            </w:pPr>
            <w:r>
              <w:rPr>
                <w:rFonts w:hint="eastAsia" w:ascii="宋体" w:hAnsi="宋体" w:cs="宋体"/>
                <w:kern w:val="0"/>
                <w:sz w:val="18"/>
                <w:szCs w:val="18"/>
              </w:rPr>
              <w:t>10≤X＜100</w:t>
            </w:r>
          </w:p>
        </w:tc>
        <w:tc>
          <w:tcPr>
            <w:tcW w:w="1027" w:type="dxa"/>
            <w:tcBorders>
              <w:top w:val="nil"/>
              <w:left w:val="nil"/>
              <w:bottom w:val="single" w:color="auto" w:sz="4" w:space="0"/>
              <w:right w:val="single" w:color="auto" w:sz="4" w:space="0"/>
            </w:tcBorders>
            <w:noWrap w:val="0"/>
            <w:vAlign w:val="center"/>
          </w:tcPr>
          <w:p w14:paraId="34CD2D77">
            <w:pPr>
              <w:widowControl/>
              <w:jc w:val="left"/>
              <w:rPr>
                <w:rFonts w:hint="eastAsia" w:ascii="宋体" w:hAnsi="宋体" w:cs="宋体"/>
                <w:kern w:val="0"/>
                <w:sz w:val="18"/>
                <w:szCs w:val="18"/>
              </w:rPr>
            </w:pPr>
            <w:r>
              <w:rPr>
                <w:rFonts w:hint="eastAsia" w:ascii="宋体" w:hAnsi="宋体" w:cs="宋体"/>
                <w:kern w:val="0"/>
                <w:sz w:val="18"/>
                <w:szCs w:val="18"/>
              </w:rPr>
              <w:t>X＜10</w:t>
            </w:r>
          </w:p>
        </w:tc>
      </w:tr>
      <w:tr w14:paraId="0FAD7958">
        <w:tblPrEx>
          <w:tblCellMar>
            <w:top w:w="0" w:type="dxa"/>
            <w:left w:w="108" w:type="dxa"/>
            <w:bottom w:w="0" w:type="dxa"/>
            <w:right w:w="108" w:type="dxa"/>
          </w:tblCellMar>
        </w:tblPrEx>
        <w:trPr>
          <w:trHeight w:val="359" w:hRule="atLeast"/>
        </w:trPr>
        <w:tc>
          <w:tcPr>
            <w:tcW w:w="1887" w:type="dxa"/>
            <w:vMerge w:val="continue"/>
            <w:tcBorders>
              <w:top w:val="nil"/>
              <w:left w:val="single" w:color="auto" w:sz="4" w:space="0"/>
              <w:bottom w:val="single" w:color="auto" w:sz="4" w:space="0"/>
              <w:right w:val="single" w:color="auto" w:sz="4" w:space="0"/>
            </w:tcBorders>
            <w:noWrap w:val="0"/>
            <w:vAlign w:val="center"/>
          </w:tcPr>
          <w:p w14:paraId="19DC04A3">
            <w:pPr>
              <w:widowControl/>
              <w:jc w:val="center"/>
              <w:rPr>
                <w:rFonts w:ascii="宋体" w:hAnsi="宋体" w:cs="宋体"/>
                <w:b/>
                <w:bCs/>
                <w:kern w:val="0"/>
                <w:sz w:val="18"/>
                <w:szCs w:val="18"/>
              </w:rPr>
            </w:pPr>
          </w:p>
        </w:tc>
        <w:tc>
          <w:tcPr>
            <w:tcW w:w="1536" w:type="dxa"/>
            <w:tcBorders>
              <w:top w:val="nil"/>
              <w:left w:val="nil"/>
              <w:bottom w:val="single" w:color="auto" w:sz="4" w:space="0"/>
              <w:right w:val="single" w:color="auto" w:sz="4" w:space="0"/>
            </w:tcBorders>
            <w:noWrap w:val="0"/>
            <w:vAlign w:val="center"/>
          </w:tcPr>
          <w:p w14:paraId="0C7527D3">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1013" w:type="dxa"/>
            <w:tcBorders>
              <w:top w:val="nil"/>
              <w:left w:val="nil"/>
              <w:bottom w:val="single" w:color="auto" w:sz="4" w:space="0"/>
              <w:right w:val="single" w:color="auto" w:sz="4" w:space="0"/>
            </w:tcBorders>
            <w:noWrap w:val="0"/>
            <w:vAlign w:val="center"/>
          </w:tcPr>
          <w:p w14:paraId="326D0095">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797" w:type="dxa"/>
            <w:tcBorders>
              <w:top w:val="nil"/>
              <w:left w:val="nil"/>
              <w:bottom w:val="single" w:color="auto" w:sz="4" w:space="0"/>
              <w:right w:val="single" w:color="auto" w:sz="4" w:space="0"/>
            </w:tcBorders>
            <w:noWrap w:val="0"/>
            <w:vAlign w:val="center"/>
          </w:tcPr>
          <w:p w14:paraId="7FD5D799">
            <w:pPr>
              <w:widowControl/>
              <w:jc w:val="left"/>
              <w:rPr>
                <w:rFonts w:hint="eastAsia" w:ascii="宋体" w:hAnsi="宋体" w:cs="宋体"/>
                <w:kern w:val="0"/>
                <w:sz w:val="18"/>
                <w:szCs w:val="18"/>
              </w:rPr>
            </w:pPr>
            <w:r>
              <w:rPr>
                <w:rFonts w:hint="eastAsia" w:ascii="宋体" w:hAnsi="宋体" w:cs="宋体"/>
                <w:kern w:val="0"/>
                <w:sz w:val="18"/>
                <w:szCs w:val="18"/>
              </w:rPr>
              <w:t>2000≤Y＜10000</w:t>
            </w:r>
          </w:p>
        </w:tc>
        <w:tc>
          <w:tcPr>
            <w:tcW w:w="1597" w:type="dxa"/>
            <w:tcBorders>
              <w:top w:val="nil"/>
              <w:left w:val="nil"/>
              <w:bottom w:val="single" w:color="auto" w:sz="4" w:space="0"/>
              <w:right w:val="single" w:color="auto" w:sz="4" w:space="0"/>
            </w:tcBorders>
            <w:noWrap w:val="0"/>
            <w:vAlign w:val="center"/>
          </w:tcPr>
          <w:p w14:paraId="4459415F">
            <w:pPr>
              <w:widowControl/>
              <w:jc w:val="left"/>
              <w:rPr>
                <w:rFonts w:hint="eastAsia" w:ascii="宋体" w:hAnsi="宋体" w:cs="宋体"/>
                <w:kern w:val="0"/>
                <w:sz w:val="18"/>
                <w:szCs w:val="18"/>
              </w:rPr>
            </w:pPr>
            <w:r>
              <w:rPr>
                <w:rFonts w:hint="eastAsia" w:ascii="宋体" w:hAnsi="宋体" w:cs="宋体"/>
                <w:kern w:val="0"/>
                <w:sz w:val="18"/>
                <w:szCs w:val="18"/>
              </w:rPr>
              <w:t>100≤Y＜2000</w:t>
            </w:r>
          </w:p>
        </w:tc>
        <w:tc>
          <w:tcPr>
            <w:tcW w:w="1027" w:type="dxa"/>
            <w:tcBorders>
              <w:top w:val="nil"/>
              <w:left w:val="nil"/>
              <w:bottom w:val="single" w:color="auto" w:sz="4" w:space="0"/>
              <w:right w:val="single" w:color="auto" w:sz="4" w:space="0"/>
            </w:tcBorders>
            <w:noWrap w:val="0"/>
            <w:vAlign w:val="center"/>
          </w:tcPr>
          <w:p w14:paraId="7552A91D">
            <w:pPr>
              <w:widowControl/>
              <w:jc w:val="left"/>
              <w:rPr>
                <w:rFonts w:hint="eastAsia" w:ascii="宋体" w:hAnsi="宋体" w:cs="宋体"/>
                <w:kern w:val="0"/>
                <w:sz w:val="18"/>
                <w:szCs w:val="18"/>
              </w:rPr>
            </w:pPr>
            <w:r>
              <w:rPr>
                <w:rFonts w:hint="eastAsia" w:ascii="宋体" w:hAnsi="宋体" w:cs="宋体"/>
                <w:kern w:val="0"/>
                <w:sz w:val="18"/>
                <w:szCs w:val="18"/>
              </w:rPr>
              <w:t>Y＜100</w:t>
            </w:r>
          </w:p>
        </w:tc>
      </w:tr>
      <w:tr w14:paraId="10E22DAE">
        <w:tblPrEx>
          <w:tblCellMar>
            <w:top w:w="0" w:type="dxa"/>
            <w:left w:w="108" w:type="dxa"/>
            <w:bottom w:w="0" w:type="dxa"/>
            <w:right w:w="108" w:type="dxa"/>
          </w:tblCellMar>
        </w:tblPrEx>
        <w:trPr>
          <w:trHeight w:val="359" w:hRule="atLeast"/>
        </w:trPr>
        <w:tc>
          <w:tcPr>
            <w:tcW w:w="1887" w:type="dxa"/>
            <w:vMerge w:val="restart"/>
            <w:tcBorders>
              <w:top w:val="nil"/>
              <w:left w:val="single" w:color="auto" w:sz="4" w:space="0"/>
              <w:bottom w:val="single" w:color="auto" w:sz="4" w:space="0"/>
              <w:right w:val="single" w:color="auto" w:sz="4" w:space="0"/>
            </w:tcBorders>
            <w:noWrap w:val="0"/>
            <w:vAlign w:val="center"/>
          </w:tcPr>
          <w:p w14:paraId="324A58CC">
            <w:pPr>
              <w:widowControl/>
              <w:jc w:val="center"/>
              <w:rPr>
                <w:rFonts w:hint="eastAsia" w:ascii="宋体" w:hAnsi="宋体" w:cs="宋体"/>
                <w:b/>
                <w:bCs/>
                <w:kern w:val="0"/>
                <w:sz w:val="18"/>
                <w:szCs w:val="18"/>
              </w:rPr>
            </w:pPr>
            <w:r>
              <w:rPr>
                <w:rFonts w:hint="eastAsia" w:ascii="宋体" w:hAnsi="宋体" w:cs="宋体"/>
                <w:b/>
                <w:bCs/>
                <w:kern w:val="0"/>
                <w:sz w:val="18"/>
                <w:szCs w:val="18"/>
              </w:rPr>
              <w:t>信息传输业</w:t>
            </w:r>
          </w:p>
        </w:tc>
        <w:tc>
          <w:tcPr>
            <w:tcW w:w="1536" w:type="dxa"/>
            <w:tcBorders>
              <w:top w:val="nil"/>
              <w:left w:val="nil"/>
              <w:bottom w:val="single" w:color="auto" w:sz="4" w:space="0"/>
              <w:right w:val="single" w:color="auto" w:sz="4" w:space="0"/>
            </w:tcBorders>
            <w:noWrap w:val="0"/>
            <w:vAlign w:val="center"/>
          </w:tcPr>
          <w:p w14:paraId="412D0433">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1013" w:type="dxa"/>
            <w:tcBorders>
              <w:top w:val="nil"/>
              <w:left w:val="nil"/>
              <w:bottom w:val="single" w:color="auto" w:sz="4" w:space="0"/>
              <w:right w:val="single" w:color="auto" w:sz="4" w:space="0"/>
            </w:tcBorders>
            <w:noWrap w:val="0"/>
            <w:vAlign w:val="center"/>
          </w:tcPr>
          <w:p w14:paraId="1C99ABF6">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797" w:type="dxa"/>
            <w:tcBorders>
              <w:top w:val="nil"/>
              <w:left w:val="nil"/>
              <w:bottom w:val="single" w:color="auto" w:sz="4" w:space="0"/>
              <w:right w:val="single" w:color="auto" w:sz="4" w:space="0"/>
            </w:tcBorders>
            <w:noWrap w:val="0"/>
            <w:vAlign w:val="center"/>
          </w:tcPr>
          <w:p w14:paraId="61AD6F4B">
            <w:pPr>
              <w:widowControl/>
              <w:jc w:val="left"/>
              <w:rPr>
                <w:rFonts w:hint="eastAsia" w:ascii="宋体" w:hAnsi="宋体" w:cs="宋体"/>
                <w:kern w:val="0"/>
                <w:sz w:val="18"/>
                <w:szCs w:val="18"/>
              </w:rPr>
            </w:pPr>
            <w:r>
              <w:rPr>
                <w:rFonts w:hint="eastAsia" w:ascii="宋体" w:hAnsi="宋体" w:cs="宋体"/>
                <w:kern w:val="0"/>
                <w:sz w:val="18"/>
                <w:szCs w:val="18"/>
              </w:rPr>
              <w:t>100≤X＜2000</w:t>
            </w:r>
          </w:p>
        </w:tc>
        <w:tc>
          <w:tcPr>
            <w:tcW w:w="1597" w:type="dxa"/>
            <w:tcBorders>
              <w:top w:val="nil"/>
              <w:left w:val="nil"/>
              <w:bottom w:val="single" w:color="auto" w:sz="4" w:space="0"/>
              <w:right w:val="single" w:color="auto" w:sz="4" w:space="0"/>
            </w:tcBorders>
            <w:noWrap w:val="0"/>
            <w:vAlign w:val="center"/>
          </w:tcPr>
          <w:p w14:paraId="72745EFD">
            <w:pPr>
              <w:widowControl/>
              <w:jc w:val="left"/>
              <w:rPr>
                <w:rFonts w:hint="eastAsia" w:ascii="宋体" w:hAnsi="宋体" w:cs="宋体"/>
                <w:kern w:val="0"/>
                <w:sz w:val="18"/>
                <w:szCs w:val="18"/>
              </w:rPr>
            </w:pPr>
            <w:r>
              <w:rPr>
                <w:rFonts w:hint="eastAsia" w:ascii="宋体" w:hAnsi="宋体" w:cs="宋体"/>
                <w:kern w:val="0"/>
                <w:sz w:val="18"/>
                <w:szCs w:val="18"/>
              </w:rPr>
              <w:t>10≤X＜100</w:t>
            </w:r>
          </w:p>
        </w:tc>
        <w:tc>
          <w:tcPr>
            <w:tcW w:w="1027" w:type="dxa"/>
            <w:tcBorders>
              <w:top w:val="nil"/>
              <w:left w:val="nil"/>
              <w:bottom w:val="single" w:color="auto" w:sz="4" w:space="0"/>
              <w:right w:val="single" w:color="auto" w:sz="4" w:space="0"/>
            </w:tcBorders>
            <w:noWrap w:val="0"/>
            <w:vAlign w:val="center"/>
          </w:tcPr>
          <w:p w14:paraId="22FB12F2">
            <w:pPr>
              <w:widowControl/>
              <w:jc w:val="left"/>
              <w:rPr>
                <w:rFonts w:hint="eastAsia" w:ascii="宋体" w:hAnsi="宋体" w:cs="宋体"/>
                <w:kern w:val="0"/>
                <w:sz w:val="18"/>
                <w:szCs w:val="18"/>
              </w:rPr>
            </w:pPr>
            <w:r>
              <w:rPr>
                <w:rFonts w:hint="eastAsia" w:ascii="宋体" w:hAnsi="宋体" w:cs="宋体"/>
                <w:kern w:val="0"/>
                <w:sz w:val="18"/>
                <w:szCs w:val="18"/>
              </w:rPr>
              <w:t>X＜10</w:t>
            </w:r>
          </w:p>
        </w:tc>
      </w:tr>
      <w:tr w14:paraId="799CF21F">
        <w:tblPrEx>
          <w:tblCellMar>
            <w:top w:w="0" w:type="dxa"/>
            <w:left w:w="108" w:type="dxa"/>
            <w:bottom w:w="0" w:type="dxa"/>
            <w:right w:w="108" w:type="dxa"/>
          </w:tblCellMar>
        </w:tblPrEx>
        <w:trPr>
          <w:trHeight w:val="359" w:hRule="atLeast"/>
        </w:trPr>
        <w:tc>
          <w:tcPr>
            <w:tcW w:w="1887" w:type="dxa"/>
            <w:vMerge w:val="continue"/>
            <w:tcBorders>
              <w:top w:val="nil"/>
              <w:left w:val="single" w:color="auto" w:sz="4" w:space="0"/>
              <w:bottom w:val="single" w:color="auto" w:sz="4" w:space="0"/>
              <w:right w:val="single" w:color="auto" w:sz="4" w:space="0"/>
            </w:tcBorders>
            <w:noWrap w:val="0"/>
            <w:vAlign w:val="center"/>
          </w:tcPr>
          <w:p w14:paraId="482B3E30">
            <w:pPr>
              <w:widowControl/>
              <w:jc w:val="center"/>
              <w:rPr>
                <w:rFonts w:ascii="宋体" w:hAnsi="宋体" w:cs="宋体"/>
                <w:b/>
                <w:bCs/>
                <w:kern w:val="0"/>
                <w:sz w:val="18"/>
                <w:szCs w:val="18"/>
              </w:rPr>
            </w:pPr>
          </w:p>
        </w:tc>
        <w:tc>
          <w:tcPr>
            <w:tcW w:w="1536" w:type="dxa"/>
            <w:tcBorders>
              <w:top w:val="nil"/>
              <w:left w:val="nil"/>
              <w:bottom w:val="single" w:color="auto" w:sz="4" w:space="0"/>
              <w:right w:val="single" w:color="auto" w:sz="4" w:space="0"/>
            </w:tcBorders>
            <w:noWrap w:val="0"/>
            <w:vAlign w:val="center"/>
          </w:tcPr>
          <w:p w14:paraId="05770346">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1013" w:type="dxa"/>
            <w:tcBorders>
              <w:top w:val="nil"/>
              <w:left w:val="nil"/>
              <w:bottom w:val="single" w:color="auto" w:sz="4" w:space="0"/>
              <w:right w:val="single" w:color="auto" w:sz="4" w:space="0"/>
            </w:tcBorders>
            <w:noWrap w:val="0"/>
            <w:vAlign w:val="center"/>
          </w:tcPr>
          <w:p w14:paraId="4992A49C">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797" w:type="dxa"/>
            <w:tcBorders>
              <w:top w:val="nil"/>
              <w:left w:val="nil"/>
              <w:bottom w:val="single" w:color="auto" w:sz="4" w:space="0"/>
              <w:right w:val="single" w:color="auto" w:sz="4" w:space="0"/>
            </w:tcBorders>
            <w:noWrap w:val="0"/>
            <w:vAlign w:val="center"/>
          </w:tcPr>
          <w:p w14:paraId="3498700A">
            <w:pPr>
              <w:widowControl/>
              <w:jc w:val="left"/>
              <w:rPr>
                <w:rFonts w:hint="eastAsia" w:ascii="宋体" w:hAnsi="宋体" w:cs="宋体"/>
                <w:kern w:val="0"/>
                <w:sz w:val="18"/>
                <w:szCs w:val="18"/>
              </w:rPr>
            </w:pPr>
            <w:r>
              <w:rPr>
                <w:rFonts w:hint="eastAsia" w:ascii="宋体" w:hAnsi="宋体" w:cs="宋体"/>
                <w:kern w:val="0"/>
                <w:sz w:val="18"/>
                <w:szCs w:val="18"/>
              </w:rPr>
              <w:t>1000≤Y＜100000</w:t>
            </w:r>
          </w:p>
        </w:tc>
        <w:tc>
          <w:tcPr>
            <w:tcW w:w="1597" w:type="dxa"/>
            <w:tcBorders>
              <w:top w:val="nil"/>
              <w:left w:val="nil"/>
              <w:bottom w:val="single" w:color="auto" w:sz="4" w:space="0"/>
              <w:right w:val="single" w:color="auto" w:sz="4" w:space="0"/>
            </w:tcBorders>
            <w:noWrap w:val="0"/>
            <w:vAlign w:val="center"/>
          </w:tcPr>
          <w:p w14:paraId="74614903">
            <w:pPr>
              <w:widowControl/>
              <w:jc w:val="left"/>
              <w:rPr>
                <w:rFonts w:hint="eastAsia" w:ascii="宋体" w:hAnsi="宋体" w:cs="宋体"/>
                <w:kern w:val="0"/>
                <w:sz w:val="18"/>
                <w:szCs w:val="18"/>
              </w:rPr>
            </w:pPr>
            <w:r>
              <w:rPr>
                <w:rFonts w:hint="eastAsia" w:ascii="宋体" w:hAnsi="宋体" w:cs="宋体"/>
                <w:kern w:val="0"/>
                <w:sz w:val="18"/>
                <w:szCs w:val="18"/>
              </w:rPr>
              <w:t>100≤Y＜1000</w:t>
            </w:r>
          </w:p>
        </w:tc>
        <w:tc>
          <w:tcPr>
            <w:tcW w:w="1027" w:type="dxa"/>
            <w:tcBorders>
              <w:top w:val="nil"/>
              <w:left w:val="nil"/>
              <w:bottom w:val="single" w:color="auto" w:sz="4" w:space="0"/>
              <w:right w:val="single" w:color="auto" w:sz="4" w:space="0"/>
            </w:tcBorders>
            <w:noWrap w:val="0"/>
            <w:vAlign w:val="center"/>
          </w:tcPr>
          <w:p w14:paraId="01B33BE8">
            <w:pPr>
              <w:widowControl/>
              <w:jc w:val="left"/>
              <w:rPr>
                <w:rFonts w:hint="eastAsia" w:ascii="宋体" w:hAnsi="宋体" w:cs="宋体"/>
                <w:kern w:val="0"/>
                <w:sz w:val="18"/>
                <w:szCs w:val="18"/>
              </w:rPr>
            </w:pPr>
            <w:r>
              <w:rPr>
                <w:rFonts w:hint="eastAsia" w:ascii="宋体" w:hAnsi="宋体" w:cs="宋体"/>
                <w:kern w:val="0"/>
                <w:sz w:val="18"/>
                <w:szCs w:val="18"/>
              </w:rPr>
              <w:t>Y＜100</w:t>
            </w:r>
          </w:p>
        </w:tc>
      </w:tr>
      <w:tr w14:paraId="3DFBB412">
        <w:tblPrEx>
          <w:tblCellMar>
            <w:top w:w="0" w:type="dxa"/>
            <w:left w:w="108" w:type="dxa"/>
            <w:bottom w:w="0" w:type="dxa"/>
            <w:right w:w="108" w:type="dxa"/>
          </w:tblCellMar>
        </w:tblPrEx>
        <w:trPr>
          <w:trHeight w:val="359" w:hRule="atLeast"/>
        </w:trPr>
        <w:tc>
          <w:tcPr>
            <w:tcW w:w="1887" w:type="dxa"/>
            <w:vMerge w:val="restart"/>
            <w:tcBorders>
              <w:top w:val="nil"/>
              <w:left w:val="single" w:color="auto" w:sz="4" w:space="0"/>
              <w:bottom w:val="single" w:color="auto" w:sz="4" w:space="0"/>
              <w:right w:val="single" w:color="auto" w:sz="4" w:space="0"/>
            </w:tcBorders>
            <w:noWrap w:val="0"/>
            <w:vAlign w:val="center"/>
          </w:tcPr>
          <w:p w14:paraId="0F947B8A">
            <w:pPr>
              <w:widowControl/>
              <w:jc w:val="center"/>
              <w:rPr>
                <w:rFonts w:hint="eastAsia" w:ascii="宋体" w:hAnsi="宋体" w:cs="宋体"/>
                <w:b/>
                <w:bCs/>
                <w:kern w:val="0"/>
                <w:sz w:val="18"/>
                <w:szCs w:val="18"/>
              </w:rPr>
            </w:pPr>
            <w:r>
              <w:rPr>
                <w:rFonts w:hint="eastAsia" w:ascii="宋体" w:hAnsi="宋体" w:cs="宋体"/>
                <w:b/>
                <w:bCs/>
                <w:kern w:val="0"/>
                <w:sz w:val="18"/>
                <w:szCs w:val="18"/>
              </w:rPr>
              <w:t>软件和信息技术服务业</w:t>
            </w:r>
          </w:p>
        </w:tc>
        <w:tc>
          <w:tcPr>
            <w:tcW w:w="1536" w:type="dxa"/>
            <w:tcBorders>
              <w:top w:val="nil"/>
              <w:left w:val="nil"/>
              <w:bottom w:val="single" w:color="auto" w:sz="4" w:space="0"/>
              <w:right w:val="single" w:color="auto" w:sz="4" w:space="0"/>
            </w:tcBorders>
            <w:noWrap w:val="0"/>
            <w:vAlign w:val="center"/>
          </w:tcPr>
          <w:p w14:paraId="3793E9FF">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1013" w:type="dxa"/>
            <w:tcBorders>
              <w:top w:val="nil"/>
              <w:left w:val="nil"/>
              <w:bottom w:val="single" w:color="auto" w:sz="4" w:space="0"/>
              <w:right w:val="single" w:color="auto" w:sz="4" w:space="0"/>
            </w:tcBorders>
            <w:noWrap w:val="0"/>
            <w:vAlign w:val="center"/>
          </w:tcPr>
          <w:p w14:paraId="4A9A9D80">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797" w:type="dxa"/>
            <w:tcBorders>
              <w:top w:val="nil"/>
              <w:left w:val="nil"/>
              <w:bottom w:val="single" w:color="auto" w:sz="4" w:space="0"/>
              <w:right w:val="single" w:color="auto" w:sz="4" w:space="0"/>
            </w:tcBorders>
            <w:noWrap w:val="0"/>
            <w:vAlign w:val="center"/>
          </w:tcPr>
          <w:p w14:paraId="7A2F41B3">
            <w:pPr>
              <w:widowControl/>
              <w:jc w:val="left"/>
              <w:rPr>
                <w:rFonts w:hint="eastAsia" w:ascii="宋体" w:hAnsi="宋体" w:cs="宋体"/>
                <w:kern w:val="0"/>
                <w:sz w:val="18"/>
                <w:szCs w:val="18"/>
              </w:rPr>
            </w:pPr>
            <w:r>
              <w:rPr>
                <w:rFonts w:hint="eastAsia" w:ascii="宋体" w:hAnsi="宋体" w:cs="宋体"/>
                <w:kern w:val="0"/>
                <w:sz w:val="18"/>
                <w:szCs w:val="18"/>
              </w:rPr>
              <w:t>100≤X＜300</w:t>
            </w:r>
          </w:p>
        </w:tc>
        <w:tc>
          <w:tcPr>
            <w:tcW w:w="1597" w:type="dxa"/>
            <w:tcBorders>
              <w:top w:val="nil"/>
              <w:left w:val="nil"/>
              <w:bottom w:val="single" w:color="auto" w:sz="4" w:space="0"/>
              <w:right w:val="single" w:color="auto" w:sz="4" w:space="0"/>
            </w:tcBorders>
            <w:noWrap w:val="0"/>
            <w:vAlign w:val="center"/>
          </w:tcPr>
          <w:p w14:paraId="50AD3B69">
            <w:pPr>
              <w:widowControl/>
              <w:jc w:val="left"/>
              <w:rPr>
                <w:rFonts w:hint="eastAsia" w:ascii="宋体" w:hAnsi="宋体" w:cs="宋体"/>
                <w:kern w:val="0"/>
                <w:sz w:val="18"/>
                <w:szCs w:val="18"/>
              </w:rPr>
            </w:pPr>
            <w:r>
              <w:rPr>
                <w:rFonts w:hint="eastAsia" w:ascii="宋体" w:hAnsi="宋体" w:cs="宋体"/>
                <w:kern w:val="0"/>
                <w:sz w:val="18"/>
                <w:szCs w:val="18"/>
              </w:rPr>
              <w:t>10≤X＜100</w:t>
            </w:r>
          </w:p>
        </w:tc>
        <w:tc>
          <w:tcPr>
            <w:tcW w:w="1027" w:type="dxa"/>
            <w:tcBorders>
              <w:top w:val="nil"/>
              <w:left w:val="nil"/>
              <w:bottom w:val="single" w:color="auto" w:sz="4" w:space="0"/>
              <w:right w:val="single" w:color="auto" w:sz="4" w:space="0"/>
            </w:tcBorders>
            <w:noWrap w:val="0"/>
            <w:vAlign w:val="center"/>
          </w:tcPr>
          <w:p w14:paraId="70CE1A59">
            <w:pPr>
              <w:widowControl/>
              <w:jc w:val="left"/>
              <w:rPr>
                <w:rFonts w:hint="eastAsia" w:ascii="宋体" w:hAnsi="宋体" w:cs="宋体"/>
                <w:kern w:val="0"/>
                <w:sz w:val="18"/>
                <w:szCs w:val="18"/>
              </w:rPr>
            </w:pPr>
            <w:r>
              <w:rPr>
                <w:rFonts w:hint="eastAsia" w:ascii="宋体" w:hAnsi="宋体" w:cs="宋体"/>
                <w:kern w:val="0"/>
                <w:sz w:val="18"/>
                <w:szCs w:val="18"/>
              </w:rPr>
              <w:t>X＜10</w:t>
            </w:r>
          </w:p>
        </w:tc>
      </w:tr>
      <w:tr w14:paraId="7B1B0D67">
        <w:tblPrEx>
          <w:tblCellMar>
            <w:top w:w="0" w:type="dxa"/>
            <w:left w:w="108" w:type="dxa"/>
            <w:bottom w:w="0" w:type="dxa"/>
            <w:right w:w="108" w:type="dxa"/>
          </w:tblCellMar>
        </w:tblPrEx>
        <w:trPr>
          <w:trHeight w:val="359" w:hRule="atLeast"/>
        </w:trPr>
        <w:tc>
          <w:tcPr>
            <w:tcW w:w="1887" w:type="dxa"/>
            <w:vMerge w:val="continue"/>
            <w:tcBorders>
              <w:top w:val="nil"/>
              <w:left w:val="single" w:color="auto" w:sz="4" w:space="0"/>
              <w:bottom w:val="single" w:color="auto" w:sz="4" w:space="0"/>
              <w:right w:val="single" w:color="auto" w:sz="4" w:space="0"/>
            </w:tcBorders>
            <w:noWrap w:val="0"/>
            <w:vAlign w:val="center"/>
          </w:tcPr>
          <w:p w14:paraId="66EFF4E6">
            <w:pPr>
              <w:widowControl/>
              <w:jc w:val="center"/>
              <w:rPr>
                <w:rFonts w:ascii="宋体" w:hAnsi="宋体" w:cs="宋体"/>
                <w:b/>
                <w:bCs/>
                <w:kern w:val="0"/>
                <w:sz w:val="18"/>
                <w:szCs w:val="18"/>
              </w:rPr>
            </w:pPr>
          </w:p>
        </w:tc>
        <w:tc>
          <w:tcPr>
            <w:tcW w:w="1536" w:type="dxa"/>
            <w:tcBorders>
              <w:top w:val="nil"/>
              <w:left w:val="nil"/>
              <w:bottom w:val="single" w:color="auto" w:sz="4" w:space="0"/>
              <w:right w:val="single" w:color="auto" w:sz="4" w:space="0"/>
            </w:tcBorders>
            <w:noWrap w:val="0"/>
            <w:vAlign w:val="center"/>
          </w:tcPr>
          <w:p w14:paraId="7C3A202B">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1013" w:type="dxa"/>
            <w:tcBorders>
              <w:top w:val="nil"/>
              <w:left w:val="nil"/>
              <w:bottom w:val="single" w:color="auto" w:sz="4" w:space="0"/>
              <w:right w:val="single" w:color="auto" w:sz="4" w:space="0"/>
            </w:tcBorders>
            <w:noWrap w:val="0"/>
            <w:vAlign w:val="center"/>
          </w:tcPr>
          <w:p w14:paraId="5BFCEA58">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797" w:type="dxa"/>
            <w:tcBorders>
              <w:top w:val="nil"/>
              <w:left w:val="nil"/>
              <w:bottom w:val="single" w:color="auto" w:sz="4" w:space="0"/>
              <w:right w:val="single" w:color="auto" w:sz="4" w:space="0"/>
            </w:tcBorders>
            <w:noWrap w:val="0"/>
            <w:vAlign w:val="center"/>
          </w:tcPr>
          <w:p w14:paraId="35221C31">
            <w:pPr>
              <w:widowControl/>
              <w:jc w:val="left"/>
              <w:rPr>
                <w:rFonts w:hint="eastAsia" w:ascii="宋体" w:hAnsi="宋体" w:cs="宋体"/>
                <w:kern w:val="0"/>
                <w:sz w:val="18"/>
                <w:szCs w:val="18"/>
              </w:rPr>
            </w:pPr>
            <w:r>
              <w:rPr>
                <w:rFonts w:hint="eastAsia" w:ascii="宋体" w:hAnsi="宋体" w:cs="宋体"/>
                <w:kern w:val="0"/>
                <w:sz w:val="18"/>
                <w:szCs w:val="18"/>
              </w:rPr>
              <w:t>1000≤Y＜10000</w:t>
            </w:r>
          </w:p>
        </w:tc>
        <w:tc>
          <w:tcPr>
            <w:tcW w:w="1597" w:type="dxa"/>
            <w:tcBorders>
              <w:top w:val="nil"/>
              <w:left w:val="nil"/>
              <w:bottom w:val="single" w:color="auto" w:sz="4" w:space="0"/>
              <w:right w:val="single" w:color="auto" w:sz="4" w:space="0"/>
            </w:tcBorders>
            <w:noWrap w:val="0"/>
            <w:vAlign w:val="center"/>
          </w:tcPr>
          <w:p w14:paraId="4945F573">
            <w:pPr>
              <w:widowControl/>
              <w:jc w:val="left"/>
              <w:rPr>
                <w:rFonts w:hint="eastAsia" w:ascii="宋体" w:hAnsi="宋体" w:cs="宋体"/>
                <w:kern w:val="0"/>
                <w:sz w:val="18"/>
                <w:szCs w:val="18"/>
              </w:rPr>
            </w:pPr>
            <w:r>
              <w:rPr>
                <w:rFonts w:hint="eastAsia" w:ascii="宋体" w:hAnsi="宋体" w:cs="宋体"/>
                <w:kern w:val="0"/>
                <w:sz w:val="18"/>
                <w:szCs w:val="18"/>
              </w:rPr>
              <w:t>50≤Y＜1000</w:t>
            </w:r>
          </w:p>
        </w:tc>
        <w:tc>
          <w:tcPr>
            <w:tcW w:w="1027" w:type="dxa"/>
            <w:tcBorders>
              <w:top w:val="nil"/>
              <w:left w:val="nil"/>
              <w:bottom w:val="single" w:color="auto" w:sz="4" w:space="0"/>
              <w:right w:val="single" w:color="auto" w:sz="4" w:space="0"/>
            </w:tcBorders>
            <w:noWrap w:val="0"/>
            <w:vAlign w:val="center"/>
          </w:tcPr>
          <w:p w14:paraId="5E0F2591">
            <w:pPr>
              <w:widowControl/>
              <w:jc w:val="left"/>
              <w:rPr>
                <w:rFonts w:hint="eastAsia" w:ascii="宋体" w:hAnsi="宋体" w:cs="宋体"/>
                <w:kern w:val="0"/>
                <w:sz w:val="18"/>
                <w:szCs w:val="18"/>
              </w:rPr>
            </w:pPr>
            <w:r>
              <w:rPr>
                <w:rFonts w:hint="eastAsia" w:ascii="宋体" w:hAnsi="宋体" w:cs="宋体"/>
                <w:kern w:val="0"/>
                <w:sz w:val="18"/>
                <w:szCs w:val="18"/>
              </w:rPr>
              <w:t>Y＜50</w:t>
            </w:r>
          </w:p>
        </w:tc>
      </w:tr>
      <w:tr w14:paraId="16D4ED6E">
        <w:tblPrEx>
          <w:tblCellMar>
            <w:top w:w="0" w:type="dxa"/>
            <w:left w:w="108" w:type="dxa"/>
            <w:bottom w:w="0" w:type="dxa"/>
            <w:right w:w="108" w:type="dxa"/>
          </w:tblCellMar>
        </w:tblPrEx>
        <w:trPr>
          <w:trHeight w:val="359" w:hRule="atLeast"/>
        </w:trPr>
        <w:tc>
          <w:tcPr>
            <w:tcW w:w="1887" w:type="dxa"/>
            <w:vMerge w:val="restart"/>
            <w:tcBorders>
              <w:top w:val="nil"/>
              <w:left w:val="single" w:color="auto" w:sz="4" w:space="0"/>
              <w:bottom w:val="single" w:color="auto" w:sz="4" w:space="0"/>
              <w:right w:val="single" w:color="auto" w:sz="4" w:space="0"/>
            </w:tcBorders>
            <w:noWrap w:val="0"/>
            <w:vAlign w:val="center"/>
          </w:tcPr>
          <w:p w14:paraId="5EF77992">
            <w:pPr>
              <w:widowControl/>
              <w:jc w:val="center"/>
              <w:rPr>
                <w:rFonts w:hint="eastAsia" w:ascii="宋体" w:hAnsi="宋体" w:cs="宋体"/>
                <w:b/>
                <w:bCs/>
                <w:kern w:val="0"/>
                <w:sz w:val="18"/>
                <w:szCs w:val="18"/>
              </w:rPr>
            </w:pPr>
            <w:r>
              <w:rPr>
                <w:rFonts w:hint="eastAsia" w:ascii="宋体" w:hAnsi="宋体" w:cs="宋体"/>
                <w:b/>
                <w:bCs/>
                <w:kern w:val="0"/>
                <w:sz w:val="18"/>
                <w:szCs w:val="18"/>
              </w:rPr>
              <w:t>房地产开发经营</w:t>
            </w:r>
          </w:p>
        </w:tc>
        <w:tc>
          <w:tcPr>
            <w:tcW w:w="1536" w:type="dxa"/>
            <w:tcBorders>
              <w:top w:val="nil"/>
              <w:left w:val="nil"/>
              <w:bottom w:val="single" w:color="auto" w:sz="4" w:space="0"/>
              <w:right w:val="single" w:color="auto" w:sz="4" w:space="0"/>
            </w:tcBorders>
            <w:noWrap w:val="0"/>
            <w:vAlign w:val="center"/>
          </w:tcPr>
          <w:p w14:paraId="55D566FE">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1013" w:type="dxa"/>
            <w:tcBorders>
              <w:top w:val="nil"/>
              <w:left w:val="nil"/>
              <w:bottom w:val="single" w:color="auto" w:sz="4" w:space="0"/>
              <w:right w:val="single" w:color="auto" w:sz="4" w:space="0"/>
            </w:tcBorders>
            <w:noWrap w:val="0"/>
            <w:vAlign w:val="center"/>
          </w:tcPr>
          <w:p w14:paraId="22C48A94">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797" w:type="dxa"/>
            <w:tcBorders>
              <w:top w:val="nil"/>
              <w:left w:val="nil"/>
              <w:bottom w:val="single" w:color="auto" w:sz="4" w:space="0"/>
              <w:right w:val="single" w:color="auto" w:sz="4" w:space="0"/>
            </w:tcBorders>
            <w:noWrap w:val="0"/>
            <w:vAlign w:val="center"/>
          </w:tcPr>
          <w:p w14:paraId="10777A93">
            <w:pPr>
              <w:widowControl/>
              <w:jc w:val="left"/>
              <w:rPr>
                <w:rFonts w:hint="eastAsia" w:ascii="宋体" w:hAnsi="宋体" w:cs="宋体"/>
                <w:kern w:val="0"/>
                <w:sz w:val="18"/>
                <w:szCs w:val="18"/>
              </w:rPr>
            </w:pPr>
            <w:r>
              <w:rPr>
                <w:rFonts w:hint="eastAsia" w:ascii="宋体" w:hAnsi="宋体" w:cs="宋体"/>
                <w:kern w:val="0"/>
                <w:sz w:val="18"/>
                <w:szCs w:val="18"/>
              </w:rPr>
              <w:t>1000≤Y＜200000</w:t>
            </w:r>
          </w:p>
        </w:tc>
        <w:tc>
          <w:tcPr>
            <w:tcW w:w="1597" w:type="dxa"/>
            <w:tcBorders>
              <w:top w:val="nil"/>
              <w:left w:val="nil"/>
              <w:bottom w:val="single" w:color="auto" w:sz="4" w:space="0"/>
              <w:right w:val="single" w:color="auto" w:sz="4" w:space="0"/>
            </w:tcBorders>
            <w:noWrap w:val="0"/>
            <w:vAlign w:val="center"/>
          </w:tcPr>
          <w:p w14:paraId="59C23902">
            <w:pPr>
              <w:widowControl/>
              <w:jc w:val="left"/>
              <w:rPr>
                <w:rFonts w:hint="eastAsia" w:ascii="宋体" w:hAnsi="宋体" w:cs="宋体"/>
                <w:kern w:val="0"/>
                <w:sz w:val="18"/>
                <w:szCs w:val="18"/>
              </w:rPr>
            </w:pPr>
            <w:r>
              <w:rPr>
                <w:rFonts w:hint="eastAsia" w:ascii="宋体" w:hAnsi="宋体" w:cs="宋体"/>
                <w:kern w:val="0"/>
                <w:sz w:val="18"/>
                <w:szCs w:val="18"/>
              </w:rPr>
              <w:t>100≤X＜1000</w:t>
            </w:r>
          </w:p>
        </w:tc>
        <w:tc>
          <w:tcPr>
            <w:tcW w:w="1027" w:type="dxa"/>
            <w:tcBorders>
              <w:top w:val="nil"/>
              <w:left w:val="nil"/>
              <w:bottom w:val="single" w:color="auto" w:sz="4" w:space="0"/>
              <w:right w:val="single" w:color="auto" w:sz="4" w:space="0"/>
            </w:tcBorders>
            <w:noWrap w:val="0"/>
            <w:vAlign w:val="center"/>
          </w:tcPr>
          <w:p w14:paraId="2316F3B5">
            <w:pPr>
              <w:widowControl/>
              <w:jc w:val="left"/>
              <w:rPr>
                <w:rFonts w:hint="eastAsia" w:ascii="宋体" w:hAnsi="宋体" w:cs="宋体"/>
                <w:kern w:val="0"/>
                <w:sz w:val="18"/>
                <w:szCs w:val="18"/>
              </w:rPr>
            </w:pPr>
            <w:r>
              <w:rPr>
                <w:rFonts w:hint="eastAsia" w:ascii="宋体" w:hAnsi="宋体" w:cs="宋体"/>
                <w:kern w:val="0"/>
                <w:sz w:val="18"/>
                <w:szCs w:val="18"/>
              </w:rPr>
              <w:t>X＜100</w:t>
            </w:r>
          </w:p>
        </w:tc>
      </w:tr>
      <w:tr w14:paraId="78674209">
        <w:tblPrEx>
          <w:tblCellMar>
            <w:top w:w="0" w:type="dxa"/>
            <w:left w:w="108" w:type="dxa"/>
            <w:bottom w:w="0" w:type="dxa"/>
            <w:right w:w="108" w:type="dxa"/>
          </w:tblCellMar>
        </w:tblPrEx>
        <w:trPr>
          <w:trHeight w:val="359" w:hRule="atLeast"/>
        </w:trPr>
        <w:tc>
          <w:tcPr>
            <w:tcW w:w="1887" w:type="dxa"/>
            <w:vMerge w:val="continue"/>
            <w:tcBorders>
              <w:top w:val="nil"/>
              <w:left w:val="single" w:color="auto" w:sz="4" w:space="0"/>
              <w:bottom w:val="single" w:color="auto" w:sz="4" w:space="0"/>
              <w:right w:val="single" w:color="auto" w:sz="4" w:space="0"/>
            </w:tcBorders>
            <w:noWrap w:val="0"/>
            <w:vAlign w:val="center"/>
          </w:tcPr>
          <w:p w14:paraId="6C44508C">
            <w:pPr>
              <w:widowControl/>
              <w:jc w:val="center"/>
              <w:rPr>
                <w:rFonts w:ascii="宋体" w:hAnsi="宋体" w:cs="宋体"/>
                <w:b/>
                <w:bCs/>
                <w:kern w:val="0"/>
                <w:sz w:val="18"/>
                <w:szCs w:val="18"/>
              </w:rPr>
            </w:pPr>
          </w:p>
        </w:tc>
        <w:tc>
          <w:tcPr>
            <w:tcW w:w="1536" w:type="dxa"/>
            <w:tcBorders>
              <w:top w:val="nil"/>
              <w:left w:val="nil"/>
              <w:bottom w:val="single" w:color="auto" w:sz="4" w:space="0"/>
              <w:right w:val="single" w:color="auto" w:sz="4" w:space="0"/>
            </w:tcBorders>
            <w:noWrap w:val="0"/>
            <w:vAlign w:val="center"/>
          </w:tcPr>
          <w:p w14:paraId="4D1764E1">
            <w:pPr>
              <w:widowControl/>
              <w:jc w:val="left"/>
              <w:rPr>
                <w:rFonts w:hint="eastAsia" w:ascii="宋体" w:hAnsi="宋体" w:cs="宋体"/>
                <w:kern w:val="0"/>
                <w:sz w:val="18"/>
                <w:szCs w:val="18"/>
              </w:rPr>
            </w:pPr>
            <w:r>
              <w:rPr>
                <w:rFonts w:hint="eastAsia" w:ascii="宋体" w:hAnsi="宋体" w:cs="宋体"/>
                <w:kern w:val="0"/>
                <w:sz w:val="18"/>
                <w:szCs w:val="18"/>
              </w:rPr>
              <w:t>资产总额（Z）</w:t>
            </w:r>
          </w:p>
        </w:tc>
        <w:tc>
          <w:tcPr>
            <w:tcW w:w="1013" w:type="dxa"/>
            <w:tcBorders>
              <w:top w:val="nil"/>
              <w:left w:val="nil"/>
              <w:bottom w:val="single" w:color="auto" w:sz="4" w:space="0"/>
              <w:right w:val="single" w:color="auto" w:sz="4" w:space="0"/>
            </w:tcBorders>
            <w:noWrap w:val="0"/>
            <w:vAlign w:val="center"/>
          </w:tcPr>
          <w:p w14:paraId="5A94D98A">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797" w:type="dxa"/>
            <w:tcBorders>
              <w:top w:val="nil"/>
              <w:left w:val="nil"/>
              <w:bottom w:val="single" w:color="auto" w:sz="4" w:space="0"/>
              <w:right w:val="single" w:color="auto" w:sz="4" w:space="0"/>
            </w:tcBorders>
            <w:noWrap w:val="0"/>
            <w:vAlign w:val="center"/>
          </w:tcPr>
          <w:p w14:paraId="532F6420">
            <w:pPr>
              <w:widowControl/>
              <w:jc w:val="left"/>
              <w:rPr>
                <w:rFonts w:hint="eastAsia" w:ascii="宋体" w:hAnsi="宋体" w:cs="宋体"/>
                <w:kern w:val="0"/>
                <w:sz w:val="18"/>
                <w:szCs w:val="18"/>
              </w:rPr>
            </w:pPr>
            <w:r>
              <w:rPr>
                <w:rFonts w:hint="eastAsia" w:ascii="宋体" w:hAnsi="宋体" w:cs="宋体"/>
                <w:kern w:val="0"/>
                <w:sz w:val="18"/>
                <w:szCs w:val="18"/>
              </w:rPr>
              <w:t>5000≤Z＜10000</w:t>
            </w:r>
          </w:p>
        </w:tc>
        <w:tc>
          <w:tcPr>
            <w:tcW w:w="1597" w:type="dxa"/>
            <w:tcBorders>
              <w:top w:val="nil"/>
              <w:left w:val="nil"/>
              <w:bottom w:val="single" w:color="auto" w:sz="4" w:space="0"/>
              <w:right w:val="single" w:color="auto" w:sz="4" w:space="0"/>
            </w:tcBorders>
            <w:noWrap w:val="0"/>
            <w:vAlign w:val="center"/>
          </w:tcPr>
          <w:p w14:paraId="3FCCBF5E">
            <w:pPr>
              <w:widowControl/>
              <w:jc w:val="left"/>
              <w:rPr>
                <w:rFonts w:hint="eastAsia" w:ascii="宋体" w:hAnsi="宋体" w:cs="宋体"/>
                <w:kern w:val="0"/>
                <w:sz w:val="18"/>
                <w:szCs w:val="18"/>
              </w:rPr>
            </w:pPr>
            <w:r>
              <w:rPr>
                <w:rFonts w:hint="eastAsia" w:ascii="宋体" w:hAnsi="宋体" w:cs="宋体"/>
                <w:kern w:val="0"/>
                <w:sz w:val="18"/>
                <w:szCs w:val="18"/>
              </w:rPr>
              <w:t>2000≤Y＜5000</w:t>
            </w:r>
          </w:p>
        </w:tc>
        <w:tc>
          <w:tcPr>
            <w:tcW w:w="1027" w:type="dxa"/>
            <w:tcBorders>
              <w:top w:val="nil"/>
              <w:left w:val="nil"/>
              <w:bottom w:val="single" w:color="auto" w:sz="4" w:space="0"/>
              <w:right w:val="single" w:color="auto" w:sz="4" w:space="0"/>
            </w:tcBorders>
            <w:noWrap w:val="0"/>
            <w:vAlign w:val="center"/>
          </w:tcPr>
          <w:p w14:paraId="24097588">
            <w:pPr>
              <w:widowControl/>
              <w:jc w:val="left"/>
              <w:rPr>
                <w:rFonts w:hint="eastAsia" w:ascii="宋体" w:hAnsi="宋体" w:cs="宋体"/>
                <w:kern w:val="0"/>
                <w:sz w:val="18"/>
                <w:szCs w:val="18"/>
              </w:rPr>
            </w:pPr>
            <w:r>
              <w:rPr>
                <w:rFonts w:hint="eastAsia" w:ascii="宋体" w:hAnsi="宋体" w:cs="宋体"/>
                <w:kern w:val="0"/>
                <w:sz w:val="18"/>
                <w:szCs w:val="18"/>
              </w:rPr>
              <w:t>Y＜2000</w:t>
            </w:r>
          </w:p>
        </w:tc>
      </w:tr>
      <w:tr w14:paraId="2F9E6AB6">
        <w:tblPrEx>
          <w:tblCellMar>
            <w:top w:w="0" w:type="dxa"/>
            <w:left w:w="108" w:type="dxa"/>
            <w:bottom w:w="0" w:type="dxa"/>
            <w:right w:w="108" w:type="dxa"/>
          </w:tblCellMar>
        </w:tblPrEx>
        <w:trPr>
          <w:trHeight w:val="359" w:hRule="atLeast"/>
        </w:trPr>
        <w:tc>
          <w:tcPr>
            <w:tcW w:w="1887" w:type="dxa"/>
            <w:vMerge w:val="restart"/>
            <w:tcBorders>
              <w:top w:val="nil"/>
              <w:left w:val="single" w:color="auto" w:sz="4" w:space="0"/>
              <w:bottom w:val="single" w:color="auto" w:sz="4" w:space="0"/>
              <w:right w:val="single" w:color="auto" w:sz="4" w:space="0"/>
            </w:tcBorders>
            <w:noWrap w:val="0"/>
            <w:vAlign w:val="center"/>
          </w:tcPr>
          <w:p w14:paraId="60EC4D41">
            <w:pPr>
              <w:widowControl/>
              <w:jc w:val="center"/>
              <w:rPr>
                <w:rFonts w:hint="eastAsia" w:ascii="宋体" w:hAnsi="宋体" w:cs="宋体"/>
                <w:b/>
                <w:bCs/>
                <w:kern w:val="0"/>
                <w:sz w:val="18"/>
                <w:szCs w:val="18"/>
              </w:rPr>
            </w:pPr>
            <w:r>
              <w:rPr>
                <w:rFonts w:hint="eastAsia" w:ascii="宋体" w:hAnsi="宋体" w:cs="宋体"/>
                <w:b/>
                <w:bCs/>
                <w:kern w:val="0"/>
                <w:sz w:val="18"/>
                <w:szCs w:val="18"/>
              </w:rPr>
              <w:t>物业管理</w:t>
            </w:r>
          </w:p>
        </w:tc>
        <w:tc>
          <w:tcPr>
            <w:tcW w:w="1536" w:type="dxa"/>
            <w:tcBorders>
              <w:top w:val="nil"/>
              <w:left w:val="nil"/>
              <w:bottom w:val="single" w:color="auto" w:sz="4" w:space="0"/>
              <w:right w:val="single" w:color="auto" w:sz="4" w:space="0"/>
            </w:tcBorders>
            <w:noWrap w:val="0"/>
            <w:vAlign w:val="center"/>
          </w:tcPr>
          <w:p w14:paraId="48595065">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1013" w:type="dxa"/>
            <w:tcBorders>
              <w:top w:val="nil"/>
              <w:left w:val="nil"/>
              <w:bottom w:val="single" w:color="auto" w:sz="4" w:space="0"/>
              <w:right w:val="single" w:color="auto" w:sz="4" w:space="0"/>
            </w:tcBorders>
            <w:noWrap w:val="0"/>
            <w:vAlign w:val="center"/>
          </w:tcPr>
          <w:p w14:paraId="7D0F1B2B">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797" w:type="dxa"/>
            <w:tcBorders>
              <w:top w:val="nil"/>
              <w:left w:val="nil"/>
              <w:bottom w:val="single" w:color="auto" w:sz="4" w:space="0"/>
              <w:right w:val="single" w:color="auto" w:sz="4" w:space="0"/>
            </w:tcBorders>
            <w:noWrap w:val="0"/>
            <w:vAlign w:val="center"/>
          </w:tcPr>
          <w:p w14:paraId="3D1013CD">
            <w:pPr>
              <w:widowControl/>
              <w:jc w:val="left"/>
              <w:rPr>
                <w:rFonts w:hint="eastAsia" w:ascii="宋体" w:hAnsi="宋体" w:cs="宋体"/>
                <w:kern w:val="0"/>
                <w:sz w:val="18"/>
                <w:szCs w:val="18"/>
              </w:rPr>
            </w:pPr>
            <w:r>
              <w:rPr>
                <w:rFonts w:hint="eastAsia" w:ascii="宋体" w:hAnsi="宋体" w:cs="宋体"/>
                <w:kern w:val="0"/>
                <w:sz w:val="18"/>
                <w:szCs w:val="18"/>
              </w:rPr>
              <w:t>300≤X＜1000</w:t>
            </w:r>
          </w:p>
        </w:tc>
        <w:tc>
          <w:tcPr>
            <w:tcW w:w="1597" w:type="dxa"/>
            <w:tcBorders>
              <w:top w:val="nil"/>
              <w:left w:val="nil"/>
              <w:bottom w:val="single" w:color="auto" w:sz="4" w:space="0"/>
              <w:right w:val="single" w:color="auto" w:sz="4" w:space="0"/>
            </w:tcBorders>
            <w:noWrap w:val="0"/>
            <w:vAlign w:val="center"/>
          </w:tcPr>
          <w:p w14:paraId="44629FE1">
            <w:pPr>
              <w:widowControl/>
              <w:jc w:val="left"/>
              <w:rPr>
                <w:rFonts w:hint="eastAsia" w:ascii="宋体" w:hAnsi="宋体" w:cs="宋体"/>
                <w:kern w:val="0"/>
                <w:sz w:val="18"/>
                <w:szCs w:val="18"/>
              </w:rPr>
            </w:pPr>
            <w:r>
              <w:rPr>
                <w:rFonts w:hint="eastAsia" w:ascii="宋体" w:hAnsi="宋体" w:cs="宋体"/>
                <w:kern w:val="0"/>
                <w:sz w:val="18"/>
                <w:szCs w:val="18"/>
              </w:rPr>
              <w:t>100≤X＜300</w:t>
            </w:r>
          </w:p>
        </w:tc>
        <w:tc>
          <w:tcPr>
            <w:tcW w:w="1027" w:type="dxa"/>
            <w:tcBorders>
              <w:top w:val="nil"/>
              <w:left w:val="nil"/>
              <w:bottom w:val="single" w:color="auto" w:sz="4" w:space="0"/>
              <w:right w:val="single" w:color="auto" w:sz="4" w:space="0"/>
            </w:tcBorders>
            <w:noWrap w:val="0"/>
            <w:vAlign w:val="center"/>
          </w:tcPr>
          <w:p w14:paraId="7FCA6540">
            <w:pPr>
              <w:widowControl/>
              <w:jc w:val="left"/>
              <w:rPr>
                <w:rFonts w:hint="eastAsia" w:ascii="宋体" w:hAnsi="宋体" w:cs="宋体"/>
                <w:kern w:val="0"/>
                <w:sz w:val="18"/>
                <w:szCs w:val="18"/>
              </w:rPr>
            </w:pPr>
            <w:r>
              <w:rPr>
                <w:rFonts w:hint="eastAsia" w:ascii="宋体" w:hAnsi="宋体" w:cs="宋体"/>
                <w:kern w:val="0"/>
                <w:sz w:val="18"/>
                <w:szCs w:val="18"/>
              </w:rPr>
              <w:t>X＜100</w:t>
            </w:r>
          </w:p>
        </w:tc>
      </w:tr>
      <w:tr w14:paraId="051973F9">
        <w:tblPrEx>
          <w:tblCellMar>
            <w:top w:w="0" w:type="dxa"/>
            <w:left w:w="108" w:type="dxa"/>
            <w:bottom w:w="0" w:type="dxa"/>
            <w:right w:w="108" w:type="dxa"/>
          </w:tblCellMar>
        </w:tblPrEx>
        <w:trPr>
          <w:trHeight w:val="359" w:hRule="atLeast"/>
        </w:trPr>
        <w:tc>
          <w:tcPr>
            <w:tcW w:w="1887" w:type="dxa"/>
            <w:vMerge w:val="continue"/>
            <w:tcBorders>
              <w:top w:val="nil"/>
              <w:left w:val="single" w:color="auto" w:sz="4" w:space="0"/>
              <w:bottom w:val="single" w:color="auto" w:sz="4" w:space="0"/>
              <w:right w:val="single" w:color="auto" w:sz="4" w:space="0"/>
            </w:tcBorders>
            <w:noWrap w:val="0"/>
            <w:vAlign w:val="center"/>
          </w:tcPr>
          <w:p w14:paraId="002A7E82">
            <w:pPr>
              <w:widowControl/>
              <w:jc w:val="center"/>
              <w:rPr>
                <w:rFonts w:ascii="宋体" w:hAnsi="宋体" w:cs="宋体"/>
                <w:b/>
                <w:bCs/>
                <w:kern w:val="0"/>
                <w:sz w:val="18"/>
                <w:szCs w:val="18"/>
              </w:rPr>
            </w:pPr>
          </w:p>
        </w:tc>
        <w:tc>
          <w:tcPr>
            <w:tcW w:w="1536" w:type="dxa"/>
            <w:tcBorders>
              <w:top w:val="nil"/>
              <w:left w:val="nil"/>
              <w:bottom w:val="single" w:color="auto" w:sz="4" w:space="0"/>
              <w:right w:val="single" w:color="auto" w:sz="4" w:space="0"/>
            </w:tcBorders>
            <w:noWrap w:val="0"/>
            <w:vAlign w:val="center"/>
          </w:tcPr>
          <w:p w14:paraId="2855E6C8">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1013" w:type="dxa"/>
            <w:tcBorders>
              <w:top w:val="nil"/>
              <w:left w:val="nil"/>
              <w:bottom w:val="single" w:color="auto" w:sz="4" w:space="0"/>
              <w:right w:val="single" w:color="auto" w:sz="4" w:space="0"/>
            </w:tcBorders>
            <w:noWrap w:val="0"/>
            <w:vAlign w:val="center"/>
          </w:tcPr>
          <w:p w14:paraId="6DC1BCEC">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797" w:type="dxa"/>
            <w:tcBorders>
              <w:top w:val="nil"/>
              <w:left w:val="nil"/>
              <w:bottom w:val="single" w:color="auto" w:sz="4" w:space="0"/>
              <w:right w:val="single" w:color="auto" w:sz="4" w:space="0"/>
            </w:tcBorders>
            <w:noWrap w:val="0"/>
            <w:vAlign w:val="center"/>
          </w:tcPr>
          <w:p w14:paraId="2EEDCF12">
            <w:pPr>
              <w:widowControl/>
              <w:jc w:val="left"/>
              <w:rPr>
                <w:rFonts w:hint="eastAsia" w:ascii="宋体" w:hAnsi="宋体" w:cs="宋体"/>
                <w:kern w:val="0"/>
                <w:sz w:val="18"/>
                <w:szCs w:val="18"/>
              </w:rPr>
            </w:pPr>
            <w:r>
              <w:rPr>
                <w:rFonts w:hint="eastAsia" w:ascii="宋体" w:hAnsi="宋体" w:cs="宋体"/>
                <w:kern w:val="0"/>
                <w:sz w:val="18"/>
                <w:szCs w:val="18"/>
              </w:rPr>
              <w:t>1000≤Y＜5000</w:t>
            </w:r>
          </w:p>
        </w:tc>
        <w:tc>
          <w:tcPr>
            <w:tcW w:w="1597" w:type="dxa"/>
            <w:tcBorders>
              <w:top w:val="nil"/>
              <w:left w:val="nil"/>
              <w:bottom w:val="single" w:color="auto" w:sz="4" w:space="0"/>
              <w:right w:val="single" w:color="auto" w:sz="4" w:space="0"/>
            </w:tcBorders>
            <w:noWrap w:val="0"/>
            <w:vAlign w:val="center"/>
          </w:tcPr>
          <w:p w14:paraId="2E4B88C5">
            <w:pPr>
              <w:widowControl/>
              <w:jc w:val="left"/>
              <w:rPr>
                <w:rFonts w:hint="eastAsia" w:ascii="宋体" w:hAnsi="宋体" w:cs="宋体"/>
                <w:kern w:val="0"/>
                <w:sz w:val="18"/>
                <w:szCs w:val="18"/>
              </w:rPr>
            </w:pPr>
            <w:r>
              <w:rPr>
                <w:rFonts w:hint="eastAsia" w:ascii="宋体" w:hAnsi="宋体" w:cs="宋体"/>
                <w:kern w:val="0"/>
                <w:sz w:val="18"/>
                <w:szCs w:val="18"/>
              </w:rPr>
              <w:t>500≤Y＜1000</w:t>
            </w:r>
          </w:p>
        </w:tc>
        <w:tc>
          <w:tcPr>
            <w:tcW w:w="1027" w:type="dxa"/>
            <w:tcBorders>
              <w:top w:val="nil"/>
              <w:left w:val="nil"/>
              <w:bottom w:val="single" w:color="auto" w:sz="4" w:space="0"/>
              <w:right w:val="single" w:color="auto" w:sz="4" w:space="0"/>
            </w:tcBorders>
            <w:noWrap w:val="0"/>
            <w:vAlign w:val="center"/>
          </w:tcPr>
          <w:p w14:paraId="036B4EB6">
            <w:pPr>
              <w:widowControl/>
              <w:jc w:val="left"/>
              <w:rPr>
                <w:rFonts w:hint="eastAsia" w:ascii="宋体" w:hAnsi="宋体" w:cs="宋体"/>
                <w:kern w:val="0"/>
                <w:sz w:val="18"/>
                <w:szCs w:val="18"/>
              </w:rPr>
            </w:pPr>
            <w:r>
              <w:rPr>
                <w:rFonts w:hint="eastAsia" w:ascii="宋体" w:hAnsi="宋体" w:cs="宋体"/>
                <w:kern w:val="0"/>
                <w:sz w:val="18"/>
                <w:szCs w:val="18"/>
              </w:rPr>
              <w:t>Y＜500</w:t>
            </w:r>
          </w:p>
        </w:tc>
      </w:tr>
      <w:tr w14:paraId="5550A625">
        <w:tblPrEx>
          <w:tblCellMar>
            <w:top w:w="0" w:type="dxa"/>
            <w:left w:w="108" w:type="dxa"/>
            <w:bottom w:w="0" w:type="dxa"/>
            <w:right w:w="108" w:type="dxa"/>
          </w:tblCellMar>
        </w:tblPrEx>
        <w:trPr>
          <w:trHeight w:val="359" w:hRule="atLeast"/>
        </w:trPr>
        <w:tc>
          <w:tcPr>
            <w:tcW w:w="1887" w:type="dxa"/>
            <w:vMerge w:val="restart"/>
            <w:tcBorders>
              <w:top w:val="nil"/>
              <w:left w:val="single" w:color="auto" w:sz="4" w:space="0"/>
              <w:bottom w:val="single" w:color="auto" w:sz="4" w:space="0"/>
              <w:right w:val="single" w:color="auto" w:sz="4" w:space="0"/>
            </w:tcBorders>
            <w:noWrap w:val="0"/>
            <w:vAlign w:val="center"/>
          </w:tcPr>
          <w:p w14:paraId="625D94D0">
            <w:pPr>
              <w:widowControl/>
              <w:jc w:val="center"/>
              <w:rPr>
                <w:rFonts w:hint="eastAsia" w:ascii="宋体" w:hAnsi="宋体" w:cs="宋体"/>
                <w:b/>
                <w:bCs/>
                <w:kern w:val="0"/>
                <w:sz w:val="18"/>
                <w:szCs w:val="18"/>
              </w:rPr>
            </w:pPr>
            <w:r>
              <w:rPr>
                <w:rFonts w:hint="eastAsia" w:ascii="宋体" w:hAnsi="宋体" w:cs="宋体"/>
                <w:b/>
                <w:bCs/>
                <w:kern w:val="0"/>
                <w:sz w:val="18"/>
                <w:szCs w:val="18"/>
              </w:rPr>
              <w:t>租赁和商务服务业</w:t>
            </w:r>
          </w:p>
        </w:tc>
        <w:tc>
          <w:tcPr>
            <w:tcW w:w="1536" w:type="dxa"/>
            <w:tcBorders>
              <w:top w:val="nil"/>
              <w:left w:val="nil"/>
              <w:bottom w:val="single" w:color="auto" w:sz="4" w:space="0"/>
              <w:right w:val="single" w:color="auto" w:sz="4" w:space="0"/>
            </w:tcBorders>
            <w:noWrap w:val="0"/>
            <w:vAlign w:val="center"/>
          </w:tcPr>
          <w:p w14:paraId="43A3062B">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1013" w:type="dxa"/>
            <w:tcBorders>
              <w:top w:val="nil"/>
              <w:left w:val="nil"/>
              <w:bottom w:val="single" w:color="auto" w:sz="4" w:space="0"/>
              <w:right w:val="single" w:color="auto" w:sz="4" w:space="0"/>
            </w:tcBorders>
            <w:noWrap w:val="0"/>
            <w:vAlign w:val="center"/>
          </w:tcPr>
          <w:p w14:paraId="4D461CD0">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797" w:type="dxa"/>
            <w:tcBorders>
              <w:top w:val="nil"/>
              <w:left w:val="nil"/>
              <w:bottom w:val="single" w:color="auto" w:sz="4" w:space="0"/>
              <w:right w:val="single" w:color="auto" w:sz="4" w:space="0"/>
            </w:tcBorders>
            <w:noWrap w:val="0"/>
            <w:vAlign w:val="center"/>
          </w:tcPr>
          <w:p w14:paraId="5D7B7E80">
            <w:pPr>
              <w:widowControl/>
              <w:jc w:val="left"/>
              <w:rPr>
                <w:rFonts w:hint="eastAsia" w:ascii="宋体" w:hAnsi="宋体" w:cs="宋体"/>
                <w:kern w:val="0"/>
                <w:sz w:val="18"/>
                <w:szCs w:val="18"/>
              </w:rPr>
            </w:pPr>
            <w:r>
              <w:rPr>
                <w:rFonts w:hint="eastAsia" w:ascii="宋体" w:hAnsi="宋体" w:cs="宋体"/>
                <w:kern w:val="0"/>
                <w:sz w:val="18"/>
                <w:szCs w:val="18"/>
              </w:rPr>
              <w:t>100≤X＜300</w:t>
            </w:r>
          </w:p>
        </w:tc>
        <w:tc>
          <w:tcPr>
            <w:tcW w:w="1597" w:type="dxa"/>
            <w:tcBorders>
              <w:top w:val="nil"/>
              <w:left w:val="nil"/>
              <w:bottom w:val="single" w:color="auto" w:sz="4" w:space="0"/>
              <w:right w:val="single" w:color="auto" w:sz="4" w:space="0"/>
            </w:tcBorders>
            <w:noWrap w:val="0"/>
            <w:vAlign w:val="center"/>
          </w:tcPr>
          <w:p w14:paraId="68D7BA57">
            <w:pPr>
              <w:widowControl/>
              <w:jc w:val="left"/>
              <w:rPr>
                <w:rFonts w:hint="eastAsia" w:ascii="宋体" w:hAnsi="宋体" w:cs="宋体"/>
                <w:kern w:val="0"/>
                <w:sz w:val="18"/>
                <w:szCs w:val="18"/>
              </w:rPr>
            </w:pPr>
            <w:r>
              <w:rPr>
                <w:rFonts w:hint="eastAsia" w:ascii="宋体" w:hAnsi="宋体" w:cs="宋体"/>
                <w:kern w:val="0"/>
                <w:sz w:val="18"/>
                <w:szCs w:val="18"/>
              </w:rPr>
              <w:t>10≤X＜100</w:t>
            </w:r>
          </w:p>
        </w:tc>
        <w:tc>
          <w:tcPr>
            <w:tcW w:w="1027" w:type="dxa"/>
            <w:tcBorders>
              <w:top w:val="nil"/>
              <w:left w:val="nil"/>
              <w:bottom w:val="single" w:color="auto" w:sz="4" w:space="0"/>
              <w:right w:val="single" w:color="auto" w:sz="4" w:space="0"/>
            </w:tcBorders>
            <w:noWrap w:val="0"/>
            <w:vAlign w:val="center"/>
          </w:tcPr>
          <w:p w14:paraId="58106967">
            <w:pPr>
              <w:widowControl/>
              <w:jc w:val="left"/>
              <w:rPr>
                <w:rFonts w:hint="eastAsia" w:ascii="宋体" w:hAnsi="宋体" w:cs="宋体"/>
                <w:kern w:val="0"/>
                <w:sz w:val="18"/>
                <w:szCs w:val="18"/>
              </w:rPr>
            </w:pPr>
            <w:r>
              <w:rPr>
                <w:rFonts w:hint="eastAsia" w:ascii="宋体" w:hAnsi="宋体" w:cs="宋体"/>
                <w:kern w:val="0"/>
                <w:sz w:val="18"/>
                <w:szCs w:val="18"/>
              </w:rPr>
              <w:t>X＜10</w:t>
            </w:r>
          </w:p>
        </w:tc>
      </w:tr>
      <w:tr w14:paraId="41E4FCEC">
        <w:tblPrEx>
          <w:tblCellMar>
            <w:top w:w="0" w:type="dxa"/>
            <w:left w:w="108" w:type="dxa"/>
            <w:bottom w:w="0" w:type="dxa"/>
            <w:right w:w="108" w:type="dxa"/>
          </w:tblCellMar>
        </w:tblPrEx>
        <w:trPr>
          <w:trHeight w:val="359" w:hRule="atLeast"/>
        </w:trPr>
        <w:tc>
          <w:tcPr>
            <w:tcW w:w="1887" w:type="dxa"/>
            <w:vMerge w:val="continue"/>
            <w:tcBorders>
              <w:top w:val="nil"/>
              <w:left w:val="single" w:color="auto" w:sz="4" w:space="0"/>
              <w:bottom w:val="single" w:color="auto" w:sz="4" w:space="0"/>
              <w:right w:val="single" w:color="auto" w:sz="4" w:space="0"/>
            </w:tcBorders>
            <w:noWrap w:val="0"/>
            <w:vAlign w:val="center"/>
          </w:tcPr>
          <w:p w14:paraId="2C9B0C3A">
            <w:pPr>
              <w:widowControl/>
              <w:jc w:val="center"/>
              <w:rPr>
                <w:rFonts w:ascii="宋体" w:hAnsi="宋体" w:cs="宋体"/>
                <w:b/>
                <w:bCs/>
                <w:kern w:val="0"/>
                <w:sz w:val="18"/>
                <w:szCs w:val="18"/>
              </w:rPr>
            </w:pPr>
          </w:p>
        </w:tc>
        <w:tc>
          <w:tcPr>
            <w:tcW w:w="1536" w:type="dxa"/>
            <w:tcBorders>
              <w:top w:val="nil"/>
              <w:left w:val="nil"/>
              <w:bottom w:val="single" w:color="auto" w:sz="4" w:space="0"/>
              <w:right w:val="single" w:color="auto" w:sz="4" w:space="0"/>
            </w:tcBorders>
            <w:noWrap w:val="0"/>
            <w:vAlign w:val="center"/>
          </w:tcPr>
          <w:p w14:paraId="48E3490C">
            <w:pPr>
              <w:widowControl/>
              <w:jc w:val="left"/>
              <w:rPr>
                <w:rFonts w:hint="eastAsia" w:ascii="宋体" w:hAnsi="宋体" w:cs="宋体"/>
                <w:kern w:val="0"/>
                <w:sz w:val="18"/>
                <w:szCs w:val="18"/>
              </w:rPr>
            </w:pPr>
            <w:r>
              <w:rPr>
                <w:rFonts w:hint="eastAsia" w:ascii="宋体" w:hAnsi="宋体" w:cs="宋体"/>
                <w:kern w:val="0"/>
                <w:sz w:val="18"/>
                <w:szCs w:val="18"/>
              </w:rPr>
              <w:t>资产总额（Z）</w:t>
            </w:r>
          </w:p>
        </w:tc>
        <w:tc>
          <w:tcPr>
            <w:tcW w:w="1013" w:type="dxa"/>
            <w:tcBorders>
              <w:top w:val="nil"/>
              <w:left w:val="nil"/>
              <w:bottom w:val="single" w:color="auto" w:sz="4" w:space="0"/>
              <w:right w:val="single" w:color="auto" w:sz="4" w:space="0"/>
            </w:tcBorders>
            <w:noWrap w:val="0"/>
            <w:vAlign w:val="center"/>
          </w:tcPr>
          <w:p w14:paraId="2B71B3E6">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797" w:type="dxa"/>
            <w:tcBorders>
              <w:top w:val="nil"/>
              <w:left w:val="nil"/>
              <w:bottom w:val="single" w:color="auto" w:sz="4" w:space="0"/>
              <w:right w:val="single" w:color="auto" w:sz="4" w:space="0"/>
            </w:tcBorders>
            <w:noWrap w:val="0"/>
            <w:vAlign w:val="center"/>
          </w:tcPr>
          <w:p w14:paraId="065FB5E9">
            <w:pPr>
              <w:widowControl/>
              <w:jc w:val="left"/>
              <w:rPr>
                <w:rFonts w:hint="eastAsia" w:ascii="宋体" w:hAnsi="宋体" w:cs="宋体"/>
                <w:kern w:val="0"/>
                <w:sz w:val="18"/>
                <w:szCs w:val="18"/>
              </w:rPr>
            </w:pPr>
            <w:r>
              <w:rPr>
                <w:rFonts w:hint="eastAsia" w:ascii="宋体" w:hAnsi="宋体" w:cs="宋体"/>
                <w:kern w:val="0"/>
                <w:sz w:val="18"/>
                <w:szCs w:val="18"/>
              </w:rPr>
              <w:t>8000≤Z＜120000</w:t>
            </w:r>
          </w:p>
        </w:tc>
        <w:tc>
          <w:tcPr>
            <w:tcW w:w="1597" w:type="dxa"/>
            <w:tcBorders>
              <w:top w:val="nil"/>
              <w:left w:val="nil"/>
              <w:bottom w:val="single" w:color="auto" w:sz="4" w:space="0"/>
              <w:right w:val="single" w:color="auto" w:sz="4" w:space="0"/>
            </w:tcBorders>
            <w:noWrap w:val="0"/>
            <w:vAlign w:val="center"/>
          </w:tcPr>
          <w:p w14:paraId="45C51191">
            <w:pPr>
              <w:widowControl/>
              <w:jc w:val="left"/>
              <w:rPr>
                <w:rFonts w:hint="eastAsia" w:ascii="宋体" w:hAnsi="宋体" w:cs="宋体"/>
                <w:kern w:val="0"/>
                <w:sz w:val="18"/>
                <w:szCs w:val="18"/>
              </w:rPr>
            </w:pPr>
            <w:r>
              <w:rPr>
                <w:rFonts w:hint="eastAsia" w:ascii="宋体" w:hAnsi="宋体" w:cs="宋体"/>
                <w:kern w:val="0"/>
                <w:sz w:val="18"/>
                <w:szCs w:val="18"/>
              </w:rPr>
              <w:t>100≤Z＜8000</w:t>
            </w:r>
          </w:p>
        </w:tc>
        <w:tc>
          <w:tcPr>
            <w:tcW w:w="1027" w:type="dxa"/>
            <w:tcBorders>
              <w:top w:val="nil"/>
              <w:left w:val="nil"/>
              <w:bottom w:val="single" w:color="auto" w:sz="4" w:space="0"/>
              <w:right w:val="single" w:color="auto" w:sz="4" w:space="0"/>
            </w:tcBorders>
            <w:noWrap w:val="0"/>
            <w:vAlign w:val="center"/>
          </w:tcPr>
          <w:p w14:paraId="22B5D626">
            <w:pPr>
              <w:widowControl/>
              <w:jc w:val="left"/>
              <w:rPr>
                <w:rFonts w:hint="eastAsia" w:ascii="宋体" w:hAnsi="宋体" w:cs="宋体"/>
                <w:kern w:val="0"/>
                <w:sz w:val="18"/>
                <w:szCs w:val="18"/>
              </w:rPr>
            </w:pPr>
            <w:r>
              <w:rPr>
                <w:rFonts w:hint="eastAsia" w:ascii="宋体" w:hAnsi="宋体" w:cs="宋体"/>
                <w:kern w:val="0"/>
                <w:sz w:val="18"/>
                <w:szCs w:val="18"/>
              </w:rPr>
              <w:t>Y＜100</w:t>
            </w:r>
          </w:p>
        </w:tc>
      </w:tr>
      <w:tr w14:paraId="13089947">
        <w:tblPrEx>
          <w:tblCellMar>
            <w:top w:w="0" w:type="dxa"/>
            <w:left w:w="108" w:type="dxa"/>
            <w:bottom w:w="0" w:type="dxa"/>
            <w:right w:w="108" w:type="dxa"/>
          </w:tblCellMar>
        </w:tblPrEx>
        <w:trPr>
          <w:trHeight w:val="394" w:hRule="atLeast"/>
        </w:trPr>
        <w:tc>
          <w:tcPr>
            <w:tcW w:w="1887" w:type="dxa"/>
            <w:tcBorders>
              <w:top w:val="nil"/>
              <w:left w:val="single" w:color="auto" w:sz="4" w:space="0"/>
              <w:bottom w:val="single" w:color="auto" w:sz="4" w:space="0"/>
              <w:right w:val="single" w:color="auto" w:sz="4" w:space="0"/>
            </w:tcBorders>
            <w:noWrap w:val="0"/>
            <w:vAlign w:val="center"/>
          </w:tcPr>
          <w:p w14:paraId="5284BE6E">
            <w:pPr>
              <w:widowControl/>
              <w:jc w:val="center"/>
              <w:rPr>
                <w:rFonts w:hint="eastAsia" w:ascii="宋体" w:hAnsi="宋体" w:cs="宋体"/>
                <w:b/>
                <w:bCs/>
                <w:kern w:val="0"/>
                <w:sz w:val="18"/>
                <w:szCs w:val="18"/>
              </w:rPr>
            </w:pPr>
            <w:r>
              <w:rPr>
                <w:rFonts w:hint="eastAsia" w:ascii="宋体" w:hAnsi="宋体" w:cs="宋体"/>
                <w:b/>
                <w:bCs/>
                <w:kern w:val="0"/>
                <w:sz w:val="18"/>
                <w:szCs w:val="18"/>
              </w:rPr>
              <w:t>其他未列明行业</w:t>
            </w:r>
          </w:p>
        </w:tc>
        <w:tc>
          <w:tcPr>
            <w:tcW w:w="1536" w:type="dxa"/>
            <w:tcBorders>
              <w:top w:val="nil"/>
              <w:left w:val="nil"/>
              <w:bottom w:val="single" w:color="auto" w:sz="4" w:space="0"/>
              <w:right w:val="single" w:color="auto" w:sz="4" w:space="0"/>
            </w:tcBorders>
            <w:noWrap w:val="0"/>
            <w:vAlign w:val="center"/>
          </w:tcPr>
          <w:p w14:paraId="77087A88">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1013" w:type="dxa"/>
            <w:tcBorders>
              <w:top w:val="nil"/>
              <w:left w:val="nil"/>
              <w:bottom w:val="single" w:color="auto" w:sz="4" w:space="0"/>
              <w:right w:val="single" w:color="auto" w:sz="4" w:space="0"/>
            </w:tcBorders>
            <w:noWrap w:val="0"/>
            <w:vAlign w:val="center"/>
          </w:tcPr>
          <w:p w14:paraId="43819F7F">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797" w:type="dxa"/>
            <w:tcBorders>
              <w:top w:val="nil"/>
              <w:left w:val="nil"/>
              <w:bottom w:val="single" w:color="auto" w:sz="4" w:space="0"/>
              <w:right w:val="single" w:color="auto" w:sz="4" w:space="0"/>
            </w:tcBorders>
            <w:noWrap w:val="0"/>
            <w:vAlign w:val="center"/>
          </w:tcPr>
          <w:p w14:paraId="52DF43EE">
            <w:pPr>
              <w:widowControl/>
              <w:jc w:val="left"/>
              <w:rPr>
                <w:rFonts w:hint="eastAsia" w:ascii="宋体" w:hAnsi="宋体" w:cs="宋体"/>
                <w:kern w:val="0"/>
                <w:sz w:val="18"/>
                <w:szCs w:val="18"/>
              </w:rPr>
            </w:pPr>
            <w:r>
              <w:rPr>
                <w:rFonts w:hint="eastAsia" w:ascii="宋体" w:hAnsi="宋体" w:cs="宋体"/>
                <w:kern w:val="0"/>
                <w:sz w:val="18"/>
                <w:szCs w:val="18"/>
              </w:rPr>
              <w:t>100≤X＜300</w:t>
            </w:r>
          </w:p>
        </w:tc>
        <w:tc>
          <w:tcPr>
            <w:tcW w:w="1597" w:type="dxa"/>
            <w:tcBorders>
              <w:top w:val="nil"/>
              <w:left w:val="nil"/>
              <w:bottom w:val="single" w:color="auto" w:sz="4" w:space="0"/>
              <w:right w:val="single" w:color="auto" w:sz="4" w:space="0"/>
            </w:tcBorders>
            <w:noWrap w:val="0"/>
            <w:vAlign w:val="center"/>
          </w:tcPr>
          <w:p w14:paraId="7F43666E">
            <w:pPr>
              <w:widowControl/>
              <w:jc w:val="left"/>
              <w:rPr>
                <w:rFonts w:hint="eastAsia" w:ascii="宋体" w:hAnsi="宋体" w:cs="宋体"/>
                <w:kern w:val="0"/>
                <w:sz w:val="18"/>
                <w:szCs w:val="18"/>
              </w:rPr>
            </w:pPr>
            <w:r>
              <w:rPr>
                <w:rFonts w:hint="eastAsia" w:ascii="宋体" w:hAnsi="宋体" w:cs="宋体"/>
                <w:kern w:val="0"/>
                <w:sz w:val="18"/>
                <w:szCs w:val="18"/>
              </w:rPr>
              <w:t>10≤X＜100</w:t>
            </w:r>
          </w:p>
        </w:tc>
        <w:tc>
          <w:tcPr>
            <w:tcW w:w="1027" w:type="dxa"/>
            <w:tcBorders>
              <w:top w:val="nil"/>
              <w:left w:val="nil"/>
              <w:bottom w:val="single" w:color="auto" w:sz="4" w:space="0"/>
              <w:right w:val="single" w:color="auto" w:sz="4" w:space="0"/>
            </w:tcBorders>
            <w:noWrap w:val="0"/>
            <w:vAlign w:val="center"/>
          </w:tcPr>
          <w:p w14:paraId="21316D60">
            <w:pPr>
              <w:widowControl/>
              <w:jc w:val="left"/>
              <w:rPr>
                <w:rFonts w:hint="eastAsia" w:ascii="宋体" w:hAnsi="宋体" w:cs="宋体"/>
                <w:kern w:val="0"/>
                <w:sz w:val="18"/>
                <w:szCs w:val="18"/>
              </w:rPr>
            </w:pPr>
            <w:r>
              <w:rPr>
                <w:rFonts w:hint="eastAsia" w:ascii="宋体" w:hAnsi="宋体" w:cs="宋体"/>
                <w:kern w:val="0"/>
                <w:sz w:val="18"/>
                <w:szCs w:val="18"/>
              </w:rPr>
              <w:t>X＜10</w:t>
            </w:r>
          </w:p>
        </w:tc>
      </w:tr>
    </w:tbl>
    <w:p w14:paraId="6EDEA069">
      <w:pPr>
        <w:snapToGrid w:val="0"/>
        <w:spacing w:line="380" w:lineRule="exact"/>
        <w:ind w:firstLine="411" w:firstLineChars="196"/>
        <w:jc w:val="left"/>
        <w:rPr>
          <w:rFonts w:hint="eastAsia" w:ascii="宋体" w:hAnsi="宋体"/>
          <w:szCs w:val="21"/>
        </w:rPr>
      </w:pPr>
      <w:r>
        <w:rPr>
          <w:rFonts w:hint="eastAsia" w:ascii="宋体" w:hAnsi="宋体"/>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526F5810">
      <w:pPr>
        <w:rPr>
          <w:rFonts w:hint="eastAsia" w:ascii="宋体" w:hAnsi="Times New Roman" w:eastAsia="宋体" w:cs="Times New Roman"/>
          <w:szCs w:val="21"/>
          <w:lang w:eastAsia="zh-CN"/>
        </w:rPr>
      </w:pPr>
      <w:r>
        <w:rPr>
          <w:rFonts w:hint="eastAsia" w:ascii="宋体" w:hAnsi="Times New Roman" w:eastAsia="宋体" w:cs="Times New Roman"/>
          <w:szCs w:val="21"/>
          <w:lang w:eastAsia="zh-CN"/>
        </w:rPr>
        <w:br w:type="page"/>
      </w:r>
    </w:p>
    <w:p w14:paraId="342F5193">
      <w:pPr>
        <w:snapToGrid w:val="0"/>
        <w:spacing w:line="370" w:lineRule="exact"/>
        <w:ind w:firstLine="411" w:firstLineChars="196"/>
        <w:jc w:val="left"/>
        <w:rPr>
          <w:rFonts w:hint="eastAsia" w:ascii="宋体" w:hAnsi="Times New Roman" w:eastAsia="宋体" w:cs="Times New Roman"/>
          <w:szCs w:val="21"/>
          <w:lang w:eastAsia="zh-CN"/>
        </w:rPr>
      </w:pPr>
      <w:r>
        <w:rPr>
          <w:rFonts w:hint="eastAsia" w:ascii="宋体" w:hAnsi="Times New Roman" w:eastAsia="宋体" w:cs="Times New Roman"/>
          <w:szCs w:val="21"/>
          <w:lang w:eastAsia="zh-CN"/>
        </w:rPr>
        <w:t>（</w:t>
      </w:r>
      <w:r>
        <w:rPr>
          <w:rFonts w:hint="eastAsia" w:ascii="宋体" w:hAnsi="Times New Roman" w:eastAsia="宋体" w:cs="Times New Roman"/>
          <w:szCs w:val="21"/>
          <w:lang w:val="en-US" w:eastAsia="zh-CN"/>
        </w:rPr>
        <w:t>15</w:t>
      </w:r>
      <w:r>
        <w:rPr>
          <w:rFonts w:hint="eastAsia" w:ascii="宋体" w:hAnsi="Times New Roman" w:eastAsia="宋体" w:cs="Times New Roman"/>
          <w:szCs w:val="21"/>
          <w:lang w:eastAsia="zh-CN"/>
        </w:rPr>
        <w:t>）</w:t>
      </w:r>
      <w:r>
        <w:rPr>
          <w:rFonts w:hint="eastAsia" w:ascii="宋体" w:hAnsi="Times New Roman" w:eastAsia="宋体" w:cs="Times New Roman"/>
          <w:color w:val="auto"/>
          <w:szCs w:val="21"/>
          <w:highlight w:val="none"/>
          <w:lang w:eastAsia="zh-CN"/>
        </w:rPr>
        <w:t>本国产品适用政府采购政策相关资料</w:t>
      </w:r>
    </w:p>
    <w:p w14:paraId="790955C1">
      <w:pPr>
        <w:rPr>
          <w:rFonts w:hint="eastAsia" w:ascii="宋体" w:hAnsi="宋体"/>
          <w:szCs w:val="21"/>
        </w:rPr>
      </w:pPr>
    </w:p>
    <w:p w14:paraId="68FE3292">
      <w:pPr>
        <w:numPr>
          <w:ilvl w:val="0"/>
          <w:numId w:val="0"/>
        </w:numPr>
        <w:spacing w:line="72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关于符合本国产品标准的声明函</w:t>
      </w:r>
    </w:p>
    <w:p w14:paraId="02E0B0F7">
      <w:pPr>
        <w:pStyle w:val="45"/>
        <w:shd w:val="clear" w:color="auto" w:fill="FFFFFF"/>
        <w:spacing w:before="0" w:beforeAutospacing="0" w:after="0" w:afterAutospacing="0" w:line="480" w:lineRule="exact"/>
        <w:ind w:firstLine="420" w:firstLineChars="200"/>
        <w:rPr>
          <w:rFonts w:hint="eastAsia" w:hAnsi="宋体" w:cs="宋体"/>
          <w:color w:val="auto"/>
          <w:sz w:val="21"/>
          <w:szCs w:val="21"/>
        </w:rPr>
      </w:pPr>
      <w:r>
        <w:rPr>
          <w:rFonts w:hint="eastAsia" w:hAnsi="宋体" w:cs="宋体"/>
          <w:color w:val="auto"/>
          <w:sz w:val="21"/>
          <w:szCs w:val="21"/>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23ECD4F8">
      <w:pPr>
        <w:pStyle w:val="45"/>
        <w:shd w:val="clear" w:color="auto" w:fill="FFFFFF"/>
        <w:spacing w:before="0" w:beforeAutospacing="0" w:after="0" w:afterAutospacing="0" w:line="480" w:lineRule="exact"/>
        <w:ind w:firstLine="420" w:firstLineChars="200"/>
        <w:rPr>
          <w:rFonts w:hint="eastAsia" w:hAnsi="宋体" w:cs="宋体"/>
          <w:color w:val="auto"/>
          <w:sz w:val="21"/>
          <w:szCs w:val="21"/>
        </w:rPr>
      </w:pPr>
      <w:r>
        <w:rPr>
          <w:rFonts w:hint="eastAsia" w:hAnsi="宋体" w:cs="宋体"/>
          <w:color w:val="auto"/>
          <w:sz w:val="21"/>
          <w:szCs w:val="21"/>
          <w:shd w:val="clear" w:color="auto" w:fill="FFFFFF"/>
        </w:rPr>
        <w:t>1.</w:t>
      </w:r>
      <w:r>
        <w:rPr>
          <w:rStyle w:val="58"/>
          <w:rFonts w:hint="eastAsia" w:hAnsi="宋体" w:cs="宋体"/>
          <w:color w:val="auto"/>
          <w:sz w:val="21"/>
          <w:szCs w:val="21"/>
          <w:shd w:val="clear" w:color="auto" w:fill="FFFFFF"/>
        </w:rPr>
        <w:t>（产品名称1）</w:t>
      </w:r>
      <w:r>
        <w:rPr>
          <w:rStyle w:val="58"/>
          <w:rFonts w:hint="eastAsia" w:hAnsi="宋体" w:cs="宋体"/>
          <w:color w:val="auto"/>
          <w:sz w:val="21"/>
          <w:szCs w:val="21"/>
          <w:shd w:val="clear" w:color="auto" w:fill="FFFFFF"/>
          <w:vertAlign w:val="superscript"/>
        </w:rPr>
        <w:t>1</w:t>
      </w:r>
      <w:r>
        <w:rPr>
          <w:rFonts w:hint="eastAsia" w:hAnsi="宋体" w:cs="宋体"/>
          <w:color w:val="auto"/>
          <w:sz w:val="21"/>
          <w:szCs w:val="21"/>
          <w:shd w:val="clear" w:color="auto" w:fill="FFFFFF"/>
        </w:rPr>
        <w:t>，生产厂为</w:t>
      </w:r>
      <w:r>
        <w:rPr>
          <w:rStyle w:val="58"/>
          <w:rFonts w:hint="eastAsia" w:hAnsi="宋体" w:cs="宋体"/>
          <w:color w:val="auto"/>
          <w:sz w:val="21"/>
          <w:szCs w:val="21"/>
          <w:shd w:val="clear" w:color="auto" w:fill="FFFFFF"/>
        </w:rPr>
        <w:t>（厂名）</w:t>
      </w:r>
      <w:r>
        <w:rPr>
          <w:rStyle w:val="58"/>
          <w:rFonts w:hint="eastAsia" w:hAnsi="宋体" w:cs="宋体"/>
          <w:color w:val="auto"/>
          <w:sz w:val="21"/>
          <w:szCs w:val="21"/>
          <w:shd w:val="clear" w:color="auto" w:fill="FFFFFF"/>
          <w:vertAlign w:val="superscript"/>
        </w:rPr>
        <w:t>2</w:t>
      </w:r>
      <w:r>
        <w:rPr>
          <w:rFonts w:hint="eastAsia" w:hAnsi="宋体" w:cs="宋体"/>
          <w:color w:val="auto"/>
          <w:sz w:val="21"/>
          <w:szCs w:val="21"/>
          <w:shd w:val="clear" w:color="auto" w:fill="FFFFFF"/>
        </w:rPr>
        <w:t>，厂址为</w:t>
      </w:r>
      <w:r>
        <w:rPr>
          <w:rStyle w:val="58"/>
          <w:rFonts w:hint="eastAsia" w:hAnsi="宋体" w:cs="宋体"/>
          <w:color w:val="auto"/>
          <w:sz w:val="21"/>
          <w:szCs w:val="21"/>
          <w:shd w:val="clear" w:color="auto" w:fill="FFFFFF"/>
        </w:rPr>
        <w:t>（生产厂址）</w:t>
      </w:r>
      <w:r>
        <w:rPr>
          <w:rFonts w:hint="eastAsia" w:hAnsi="宋体" w:cs="宋体"/>
          <w:color w:val="auto"/>
          <w:sz w:val="21"/>
          <w:szCs w:val="21"/>
          <w:shd w:val="clear" w:color="auto" w:fill="FFFFFF"/>
        </w:rPr>
        <w:t>。</w:t>
      </w:r>
      <w:r>
        <w:rPr>
          <w:rStyle w:val="58"/>
          <w:rFonts w:hint="eastAsia" w:hAnsi="宋体" w:cs="宋体"/>
          <w:color w:val="auto"/>
          <w:sz w:val="21"/>
          <w:szCs w:val="21"/>
          <w:shd w:val="clear" w:color="auto" w:fill="FFFFFF"/>
        </w:rPr>
        <w:t>（产品名称1）</w:t>
      </w:r>
      <w:r>
        <w:rPr>
          <w:rFonts w:hint="eastAsia" w:hAnsi="宋体" w:cs="宋体"/>
          <w:color w:val="auto"/>
          <w:sz w:val="21"/>
          <w:szCs w:val="21"/>
          <w:shd w:val="clear" w:color="auto" w:fill="FFFFFF"/>
        </w:rPr>
        <w:t>的中国境内生产的组件成本占比≥</w:t>
      </w:r>
      <w:r>
        <w:rPr>
          <w:rStyle w:val="58"/>
          <w:rFonts w:hint="eastAsia" w:hAnsi="宋体" w:cs="宋体"/>
          <w:color w:val="auto"/>
          <w:sz w:val="21"/>
          <w:szCs w:val="21"/>
          <w:shd w:val="clear" w:color="auto" w:fill="FFFFFF"/>
        </w:rPr>
        <w:t>（规定比例）</w:t>
      </w:r>
      <w:r>
        <w:rPr>
          <w:rStyle w:val="58"/>
          <w:rFonts w:hint="eastAsia" w:hAnsi="宋体" w:cs="宋体"/>
          <w:color w:val="auto"/>
          <w:sz w:val="21"/>
          <w:szCs w:val="21"/>
          <w:shd w:val="clear" w:color="auto" w:fill="FFFFFF"/>
          <w:vertAlign w:val="superscript"/>
        </w:rPr>
        <w:t>3</w:t>
      </w:r>
      <w:r>
        <w:rPr>
          <w:rFonts w:hint="eastAsia" w:hAnsi="宋体" w:cs="宋体"/>
          <w:color w:val="auto"/>
          <w:sz w:val="21"/>
          <w:szCs w:val="21"/>
          <w:shd w:val="clear" w:color="auto" w:fill="FFFFFF"/>
        </w:rPr>
        <w:t>。</w:t>
      </w:r>
      <w:r>
        <w:rPr>
          <w:rStyle w:val="58"/>
          <w:rFonts w:hint="eastAsia" w:hAnsi="宋体" w:cs="宋体"/>
          <w:color w:val="auto"/>
          <w:sz w:val="21"/>
          <w:szCs w:val="21"/>
          <w:shd w:val="clear" w:color="auto" w:fill="FFFFFF"/>
        </w:rPr>
        <w:t>（产品名称1）</w:t>
      </w:r>
      <w:r>
        <w:rPr>
          <w:rFonts w:hint="eastAsia" w:hAnsi="宋体" w:cs="宋体"/>
          <w:color w:val="auto"/>
          <w:sz w:val="21"/>
          <w:szCs w:val="21"/>
          <w:shd w:val="clear" w:color="auto" w:fill="FFFFFF"/>
        </w:rPr>
        <w:t>的</w:t>
      </w:r>
      <w:r>
        <w:rPr>
          <w:rStyle w:val="58"/>
          <w:rFonts w:hint="eastAsia" w:hAnsi="宋体" w:cs="宋体"/>
          <w:color w:val="auto"/>
          <w:sz w:val="21"/>
          <w:szCs w:val="21"/>
          <w:shd w:val="clear" w:color="auto" w:fill="FFFFFF"/>
        </w:rPr>
        <w:t>（关键组件）</w:t>
      </w:r>
      <w:r>
        <w:rPr>
          <w:rStyle w:val="58"/>
          <w:rFonts w:hint="eastAsia" w:hAnsi="宋体" w:cs="宋体"/>
          <w:color w:val="auto"/>
          <w:sz w:val="21"/>
          <w:szCs w:val="21"/>
          <w:shd w:val="clear" w:color="auto" w:fill="FFFFFF"/>
          <w:vertAlign w:val="superscript"/>
        </w:rPr>
        <w:t>4</w:t>
      </w:r>
      <w:r>
        <w:rPr>
          <w:rFonts w:hint="eastAsia" w:hAnsi="宋体" w:cs="宋体"/>
          <w:color w:val="auto"/>
          <w:sz w:val="21"/>
          <w:szCs w:val="21"/>
          <w:shd w:val="clear" w:color="auto" w:fill="FFFFFF"/>
        </w:rPr>
        <w:t>在中国境内生产。</w:t>
      </w:r>
      <w:r>
        <w:rPr>
          <w:rStyle w:val="58"/>
          <w:rFonts w:hint="eastAsia" w:hAnsi="宋体" w:cs="宋体"/>
          <w:color w:val="auto"/>
          <w:sz w:val="21"/>
          <w:szCs w:val="21"/>
          <w:shd w:val="clear" w:color="auto" w:fill="FFFFFF"/>
        </w:rPr>
        <w:t>（产品名称1）</w:t>
      </w:r>
      <w:r>
        <w:rPr>
          <w:rFonts w:hint="eastAsia" w:hAnsi="宋体" w:cs="宋体"/>
          <w:color w:val="auto"/>
          <w:sz w:val="21"/>
          <w:szCs w:val="21"/>
          <w:shd w:val="clear" w:color="auto" w:fill="FFFFFF"/>
        </w:rPr>
        <w:t>的</w:t>
      </w:r>
      <w:r>
        <w:rPr>
          <w:rStyle w:val="58"/>
          <w:rFonts w:hint="eastAsia" w:hAnsi="宋体" w:cs="宋体"/>
          <w:color w:val="auto"/>
          <w:sz w:val="21"/>
          <w:szCs w:val="21"/>
          <w:shd w:val="clear" w:color="auto" w:fill="FFFFFF"/>
        </w:rPr>
        <w:t>（关键工序）</w:t>
      </w:r>
      <w:r>
        <w:rPr>
          <w:rStyle w:val="58"/>
          <w:rFonts w:hint="eastAsia" w:hAnsi="宋体" w:cs="宋体"/>
          <w:color w:val="auto"/>
          <w:sz w:val="21"/>
          <w:szCs w:val="21"/>
          <w:shd w:val="clear" w:color="auto" w:fill="FFFFFF"/>
          <w:vertAlign w:val="superscript"/>
        </w:rPr>
        <w:t>5</w:t>
      </w:r>
      <w:r>
        <w:rPr>
          <w:rFonts w:hint="eastAsia" w:hAnsi="宋体" w:cs="宋体"/>
          <w:color w:val="auto"/>
          <w:sz w:val="21"/>
          <w:szCs w:val="21"/>
          <w:shd w:val="clear" w:color="auto" w:fill="FFFFFF"/>
        </w:rPr>
        <w:t>在中国境内完成。</w:t>
      </w:r>
    </w:p>
    <w:p w14:paraId="40C2F4C7">
      <w:pPr>
        <w:pStyle w:val="45"/>
        <w:shd w:val="clear" w:color="auto" w:fill="FFFFFF"/>
        <w:spacing w:before="0" w:beforeAutospacing="0" w:after="0" w:afterAutospacing="0" w:line="480" w:lineRule="exact"/>
        <w:ind w:firstLine="420" w:firstLineChars="200"/>
        <w:rPr>
          <w:rFonts w:hint="eastAsia" w:hAnsi="宋体" w:cs="宋体"/>
          <w:color w:val="auto"/>
          <w:sz w:val="21"/>
          <w:szCs w:val="21"/>
        </w:rPr>
      </w:pPr>
      <w:r>
        <w:rPr>
          <w:rFonts w:hint="eastAsia" w:hAnsi="宋体" w:cs="宋体"/>
          <w:color w:val="auto"/>
          <w:sz w:val="21"/>
          <w:szCs w:val="21"/>
          <w:shd w:val="clear" w:color="auto" w:fill="FFFFFF"/>
        </w:rPr>
        <w:t>2.</w:t>
      </w:r>
      <w:r>
        <w:rPr>
          <w:rStyle w:val="58"/>
          <w:rFonts w:hint="eastAsia" w:hAnsi="宋体" w:cs="宋体"/>
          <w:color w:val="auto"/>
          <w:sz w:val="21"/>
          <w:szCs w:val="21"/>
          <w:shd w:val="clear" w:color="auto" w:fill="FFFFFF"/>
        </w:rPr>
        <w:t>（产品名称2）</w:t>
      </w:r>
      <w:r>
        <w:rPr>
          <w:rFonts w:hint="eastAsia" w:hAnsi="宋体" w:cs="宋体"/>
          <w:color w:val="auto"/>
          <w:sz w:val="21"/>
          <w:szCs w:val="21"/>
          <w:shd w:val="clear" w:color="auto" w:fill="FFFFFF"/>
        </w:rPr>
        <w:t>，生产厂为</w:t>
      </w:r>
      <w:r>
        <w:rPr>
          <w:rStyle w:val="58"/>
          <w:rFonts w:hint="eastAsia" w:hAnsi="宋体" w:cs="宋体"/>
          <w:color w:val="auto"/>
          <w:sz w:val="21"/>
          <w:szCs w:val="21"/>
          <w:shd w:val="clear" w:color="auto" w:fill="FFFFFF"/>
        </w:rPr>
        <w:t>（厂名）</w:t>
      </w:r>
      <w:r>
        <w:rPr>
          <w:rFonts w:hint="eastAsia" w:hAnsi="宋体" w:cs="宋体"/>
          <w:color w:val="auto"/>
          <w:sz w:val="21"/>
          <w:szCs w:val="21"/>
          <w:shd w:val="clear" w:color="auto" w:fill="FFFFFF"/>
        </w:rPr>
        <w:t>，厂址为</w:t>
      </w:r>
      <w:r>
        <w:rPr>
          <w:rStyle w:val="58"/>
          <w:rFonts w:hint="eastAsia" w:hAnsi="宋体" w:cs="宋体"/>
          <w:color w:val="auto"/>
          <w:sz w:val="21"/>
          <w:szCs w:val="21"/>
          <w:shd w:val="clear" w:color="auto" w:fill="FFFFFF"/>
        </w:rPr>
        <w:t>（生产厂址）</w:t>
      </w:r>
      <w:r>
        <w:rPr>
          <w:rFonts w:hint="eastAsia" w:hAnsi="宋体" w:cs="宋体"/>
          <w:color w:val="auto"/>
          <w:sz w:val="21"/>
          <w:szCs w:val="21"/>
          <w:shd w:val="clear" w:color="auto" w:fill="FFFFFF"/>
        </w:rPr>
        <w:t>。</w:t>
      </w:r>
      <w:r>
        <w:rPr>
          <w:rStyle w:val="58"/>
          <w:rFonts w:hint="eastAsia" w:hAnsi="宋体" w:cs="宋体"/>
          <w:color w:val="auto"/>
          <w:sz w:val="21"/>
          <w:szCs w:val="21"/>
          <w:shd w:val="clear" w:color="auto" w:fill="FFFFFF"/>
        </w:rPr>
        <w:t>（产品名称2）</w:t>
      </w:r>
      <w:r>
        <w:rPr>
          <w:rFonts w:hint="eastAsia" w:hAnsi="宋体" w:cs="宋体"/>
          <w:color w:val="auto"/>
          <w:sz w:val="21"/>
          <w:szCs w:val="21"/>
          <w:shd w:val="clear" w:color="auto" w:fill="FFFFFF"/>
        </w:rPr>
        <w:t>的中国境内生产的组件成本占比≥</w:t>
      </w:r>
      <w:r>
        <w:rPr>
          <w:rStyle w:val="58"/>
          <w:rFonts w:hint="eastAsia" w:hAnsi="宋体" w:cs="宋体"/>
          <w:color w:val="auto"/>
          <w:sz w:val="21"/>
          <w:szCs w:val="21"/>
          <w:shd w:val="clear" w:color="auto" w:fill="FFFFFF"/>
        </w:rPr>
        <w:t>（规定比例）</w:t>
      </w:r>
      <w:r>
        <w:rPr>
          <w:rFonts w:hint="eastAsia" w:hAnsi="宋体" w:cs="宋体"/>
          <w:color w:val="auto"/>
          <w:sz w:val="21"/>
          <w:szCs w:val="21"/>
          <w:shd w:val="clear" w:color="auto" w:fill="FFFFFF"/>
        </w:rPr>
        <w:t>。</w:t>
      </w:r>
      <w:r>
        <w:rPr>
          <w:rStyle w:val="58"/>
          <w:rFonts w:hint="eastAsia" w:hAnsi="宋体" w:cs="宋体"/>
          <w:color w:val="auto"/>
          <w:sz w:val="21"/>
          <w:szCs w:val="21"/>
          <w:shd w:val="clear" w:color="auto" w:fill="FFFFFF"/>
        </w:rPr>
        <w:t>（产品名称2）</w:t>
      </w:r>
      <w:r>
        <w:rPr>
          <w:rFonts w:hint="eastAsia" w:hAnsi="宋体" w:cs="宋体"/>
          <w:color w:val="auto"/>
          <w:sz w:val="21"/>
          <w:szCs w:val="21"/>
          <w:shd w:val="clear" w:color="auto" w:fill="FFFFFF"/>
        </w:rPr>
        <w:t>的</w:t>
      </w:r>
      <w:r>
        <w:rPr>
          <w:rStyle w:val="58"/>
          <w:rFonts w:hint="eastAsia" w:hAnsi="宋体" w:cs="宋体"/>
          <w:color w:val="auto"/>
          <w:sz w:val="21"/>
          <w:szCs w:val="21"/>
          <w:shd w:val="clear" w:color="auto" w:fill="FFFFFF"/>
        </w:rPr>
        <w:t>（关键组件）</w:t>
      </w:r>
      <w:r>
        <w:rPr>
          <w:rFonts w:hint="eastAsia" w:hAnsi="宋体" w:cs="宋体"/>
          <w:color w:val="auto"/>
          <w:sz w:val="21"/>
          <w:szCs w:val="21"/>
          <w:shd w:val="clear" w:color="auto" w:fill="FFFFFF"/>
        </w:rPr>
        <w:t>在中国境内生产。</w:t>
      </w:r>
      <w:r>
        <w:rPr>
          <w:rStyle w:val="58"/>
          <w:rFonts w:hint="eastAsia" w:hAnsi="宋体" w:cs="宋体"/>
          <w:color w:val="auto"/>
          <w:sz w:val="21"/>
          <w:szCs w:val="21"/>
          <w:shd w:val="clear" w:color="auto" w:fill="FFFFFF"/>
        </w:rPr>
        <w:t>（产品名称2）</w:t>
      </w:r>
      <w:r>
        <w:rPr>
          <w:rFonts w:hint="eastAsia" w:hAnsi="宋体" w:cs="宋体"/>
          <w:color w:val="auto"/>
          <w:sz w:val="21"/>
          <w:szCs w:val="21"/>
          <w:shd w:val="clear" w:color="auto" w:fill="FFFFFF"/>
        </w:rPr>
        <w:t>的</w:t>
      </w:r>
      <w:r>
        <w:rPr>
          <w:rStyle w:val="58"/>
          <w:rFonts w:hint="eastAsia" w:hAnsi="宋体" w:cs="宋体"/>
          <w:color w:val="auto"/>
          <w:sz w:val="21"/>
          <w:szCs w:val="21"/>
          <w:shd w:val="clear" w:color="auto" w:fill="FFFFFF"/>
        </w:rPr>
        <w:t>（关键工序）</w:t>
      </w:r>
      <w:r>
        <w:rPr>
          <w:rFonts w:hint="eastAsia" w:hAnsi="宋体" w:cs="宋体"/>
          <w:color w:val="auto"/>
          <w:sz w:val="21"/>
          <w:szCs w:val="21"/>
          <w:shd w:val="clear" w:color="auto" w:fill="FFFFFF"/>
        </w:rPr>
        <w:t>在中国境内完成。</w:t>
      </w:r>
    </w:p>
    <w:p w14:paraId="68D26EC8">
      <w:pPr>
        <w:pStyle w:val="45"/>
        <w:shd w:val="clear" w:color="auto" w:fill="FFFFFF"/>
        <w:spacing w:before="0" w:beforeAutospacing="0" w:after="0" w:afterAutospacing="0" w:line="480" w:lineRule="exact"/>
        <w:ind w:firstLine="420" w:firstLineChars="200"/>
        <w:rPr>
          <w:rFonts w:hint="eastAsia" w:hAnsi="宋体" w:cs="宋体"/>
          <w:color w:val="auto"/>
          <w:sz w:val="21"/>
          <w:szCs w:val="21"/>
        </w:rPr>
      </w:pPr>
      <w:r>
        <w:rPr>
          <w:rFonts w:hint="eastAsia" w:hAnsi="宋体" w:cs="宋体"/>
          <w:color w:val="auto"/>
          <w:sz w:val="21"/>
          <w:szCs w:val="21"/>
          <w:shd w:val="clear" w:color="auto" w:fill="FFFFFF"/>
        </w:rPr>
        <w:t>……</w:t>
      </w:r>
    </w:p>
    <w:p w14:paraId="25F19FA9">
      <w:pPr>
        <w:pStyle w:val="45"/>
        <w:shd w:val="clear" w:color="auto" w:fill="FFFFFF"/>
        <w:spacing w:before="0" w:beforeAutospacing="0" w:after="0" w:afterAutospacing="0" w:line="480" w:lineRule="exact"/>
        <w:ind w:firstLine="420" w:firstLineChars="200"/>
        <w:rPr>
          <w:rFonts w:hint="eastAsia" w:hAnsi="宋体" w:cs="宋体"/>
          <w:color w:val="auto"/>
          <w:sz w:val="21"/>
          <w:szCs w:val="21"/>
        </w:rPr>
      </w:pPr>
      <w:r>
        <w:rPr>
          <w:rFonts w:hint="eastAsia" w:hAnsi="宋体" w:cs="宋体"/>
          <w:color w:val="auto"/>
          <w:sz w:val="21"/>
          <w:szCs w:val="21"/>
          <w:shd w:val="clear" w:color="auto" w:fill="FFFFFF"/>
        </w:rPr>
        <w:t>本公司（单位）对上述声明内容的真实性负责。如有虚假，愿承担相应法律责任。</w:t>
      </w:r>
    </w:p>
    <w:p w14:paraId="4078D053">
      <w:pPr>
        <w:pStyle w:val="45"/>
        <w:shd w:val="clear" w:color="auto" w:fill="FFFFFF"/>
        <w:spacing w:before="0" w:beforeAutospacing="0" w:after="0" w:afterAutospacing="0" w:line="480" w:lineRule="exact"/>
        <w:ind w:firstLine="420" w:firstLineChars="200"/>
        <w:rPr>
          <w:rFonts w:hint="eastAsia" w:hAnsi="宋体" w:cs="宋体"/>
          <w:color w:val="auto"/>
          <w:sz w:val="21"/>
          <w:szCs w:val="21"/>
          <w:shd w:val="clear" w:color="auto" w:fill="FFFFFF"/>
        </w:rPr>
      </w:pPr>
    </w:p>
    <w:p w14:paraId="4BF669FF">
      <w:pPr>
        <w:pStyle w:val="4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420" w:firstLineChars="20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auto" w:fill="FFFFFF"/>
        </w:rPr>
        <w:t>公司（单位）名称（盖章）：      </w:t>
      </w:r>
    </w:p>
    <w:p w14:paraId="28ECC98A">
      <w:pPr>
        <w:spacing w:line="400" w:lineRule="exact"/>
        <w:ind w:firstLine="420" w:firstLineChars="200"/>
        <w:jc w:val="left"/>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日期：　　　年　　月　日   </w:t>
      </w:r>
    </w:p>
    <w:p w14:paraId="28367BCD">
      <w:pPr>
        <w:spacing w:line="400" w:lineRule="exact"/>
        <w:ind w:firstLine="420" w:firstLineChars="200"/>
        <w:jc w:val="left"/>
        <w:rPr>
          <w:rFonts w:hint="eastAsia" w:ascii="宋体" w:hAnsi="宋体" w:eastAsia="宋体" w:cs="宋体"/>
          <w:i w:val="0"/>
          <w:iCs w:val="0"/>
          <w:caps w:val="0"/>
          <w:color w:val="333333"/>
          <w:spacing w:val="0"/>
          <w:sz w:val="21"/>
          <w:szCs w:val="21"/>
          <w:shd w:val="clear" w:color="auto" w:fill="FFFFFF"/>
        </w:rPr>
      </w:pPr>
    </w:p>
    <w:p w14:paraId="56BFF1E9">
      <w:pPr>
        <w:spacing w:line="400" w:lineRule="exact"/>
        <w:ind w:firstLine="420" w:firstLineChars="200"/>
        <w:jc w:val="left"/>
        <w:rPr>
          <w:rFonts w:hint="eastAsia" w:ascii="宋体" w:hAnsi="宋体" w:cs="宋体"/>
          <w:color w:val="auto"/>
          <w:szCs w:val="21"/>
        </w:rPr>
      </w:pPr>
    </w:p>
    <w:p w14:paraId="3A454B44">
      <w:pPr>
        <w:spacing w:line="480" w:lineRule="exact"/>
        <w:ind w:firstLine="420" w:firstLineChars="200"/>
        <w:jc w:val="left"/>
        <w:rPr>
          <w:rFonts w:hint="eastAsia" w:ascii="宋体" w:hAnsi="宋体" w:cs="宋体"/>
          <w:color w:val="auto"/>
          <w:szCs w:val="21"/>
        </w:rPr>
      </w:pPr>
      <w:r>
        <w:rPr>
          <w:rFonts w:hint="eastAsia" w:ascii="宋体" w:hAnsi="宋体" w:cs="宋体"/>
          <w:color w:val="auto"/>
          <w:szCs w:val="21"/>
        </w:rPr>
        <w:t xml:space="preserve">关于符合本国产品标准的声明函说明： </w:t>
      </w:r>
    </w:p>
    <w:p w14:paraId="74DB89EA">
      <w:pPr>
        <w:pStyle w:val="45"/>
        <w:shd w:val="clear" w:color="auto" w:fill="FFFFFF"/>
        <w:spacing w:before="0" w:beforeAutospacing="0" w:after="0" w:afterAutospacing="0" w:line="480" w:lineRule="exact"/>
        <w:ind w:firstLine="420"/>
        <w:rPr>
          <w:rFonts w:hint="eastAsia" w:hAnsi="宋体" w:cs="宋体"/>
          <w:color w:val="auto"/>
          <w:sz w:val="21"/>
          <w:szCs w:val="21"/>
        </w:rPr>
      </w:pPr>
      <w:r>
        <w:rPr>
          <w:rFonts w:hint="eastAsia" w:hAnsi="宋体" w:cs="宋体"/>
          <w:color w:val="auto"/>
          <w:sz w:val="21"/>
          <w:szCs w:val="21"/>
          <w:shd w:val="clear" w:color="auto" w:fill="FFFFFF"/>
        </w:rPr>
        <w:t>1.产品如有型号，请在“产品名称”栏一并填写。</w:t>
      </w:r>
    </w:p>
    <w:p w14:paraId="409B57DA">
      <w:pPr>
        <w:pStyle w:val="45"/>
        <w:shd w:val="clear" w:color="auto" w:fill="FFFFFF"/>
        <w:spacing w:before="0" w:beforeAutospacing="0" w:after="0" w:afterAutospacing="0" w:line="480" w:lineRule="exact"/>
        <w:ind w:firstLine="420"/>
        <w:rPr>
          <w:rFonts w:hint="eastAsia" w:hAnsi="宋体" w:cs="宋体"/>
          <w:color w:val="auto"/>
          <w:sz w:val="21"/>
          <w:szCs w:val="21"/>
        </w:rPr>
      </w:pPr>
      <w:r>
        <w:rPr>
          <w:rFonts w:hint="eastAsia" w:hAnsi="宋体" w:cs="宋体"/>
          <w:color w:val="auto"/>
          <w:sz w:val="21"/>
          <w:szCs w:val="21"/>
          <w:shd w:val="clear" w:color="auto" w:fill="FFFFFF"/>
        </w:rPr>
        <w:t>2.生产厂名与厂址应与生产厂营业执照载明的相关信息保持一致。</w:t>
      </w:r>
    </w:p>
    <w:p w14:paraId="6A82C797">
      <w:pPr>
        <w:pStyle w:val="45"/>
        <w:shd w:val="clear" w:color="auto" w:fill="FFFFFF"/>
        <w:spacing w:before="0" w:beforeAutospacing="0" w:after="0" w:afterAutospacing="0" w:line="480" w:lineRule="exact"/>
        <w:ind w:firstLine="420"/>
        <w:rPr>
          <w:rFonts w:hint="eastAsia" w:hAnsi="宋体" w:cs="宋体"/>
          <w:color w:val="auto"/>
          <w:sz w:val="21"/>
          <w:szCs w:val="21"/>
        </w:rPr>
      </w:pPr>
      <w:r>
        <w:rPr>
          <w:rFonts w:hint="eastAsia" w:hAnsi="宋体" w:cs="宋体"/>
          <w:color w:val="auto"/>
          <w:sz w:val="21"/>
          <w:szCs w:val="21"/>
          <w:shd w:val="clear" w:color="auto" w:fill="FFFFFF"/>
        </w:rPr>
        <w:t>3.该产品的中国境内生产的组件成本占比相关要求实施前，“规定比例”栏可不填，下同。</w:t>
      </w:r>
    </w:p>
    <w:p w14:paraId="40F118E5">
      <w:pPr>
        <w:pStyle w:val="45"/>
        <w:shd w:val="clear" w:color="auto" w:fill="FFFFFF"/>
        <w:spacing w:before="0" w:beforeAutospacing="0" w:after="0" w:afterAutospacing="0" w:line="480" w:lineRule="exact"/>
        <w:ind w:firstLine="420"/>
        <w:rPr>
          <w:rFonts w:hint="eastAsia" w:hAnsi="宋体" w:cs="宋体"/>
          <w:color w:val="auto"/>
          <w:sz w:val="21"/>
          <w:szCs w:val="21"/>
        </w:rPr>
      </w:pPr>
      <w:r>
        <w:rPr>
          <w:rFonts w:hint="eastAsia" w:hAnsi="宋体" w:cs="宋体"/>
          <w:color w:val="auto"/>
          <w:sz w:val="21"/>
          <w:szCs w:val="21"/>
          <w:shd w:val="clear" w:color="auto" w:fill="FFFFFF"/>
        </w:rPr>
        <w:t>4.该产品的关键组件要求实施前，“关键组件”栏可不填，下同。</w:t>
      </w:r>
    </w:p>
    <w:p w14:paraId="3FD8A6AD">
      <w:pPr>
        <w:pStyle w:val="45"/>
        <w:shd w:val="clear" w:color="auto" w:fill="FFFFFF"/>
        <w:spacing w:before="0" w:beforeAutospacing="0" w:after="0" w:afterAutospacing="0" w:line="480" w:lineRule="exact"/>
        <w:ind w:firstLine="420"/>
        <w:rPr>
          <w:rFonts w:hint="eastAsia" w:hAnsi="宋体" w:cs="宋体"/>
          <w:color w:val="auto"/>
          <w:sz w:val="21"/>
          <w:szCs w:val="21"/>
        </w:rPr>
      </w:pPr>
      <w:r>
        <w:rPr>
          <w:rFonts w:hint="eastAsia" w:hAnsi="宋体" w:cs="宋体"/>
          <w:color w:val="auto"/>
          <w:sz w:val="21"/>
          <w:szCs w:val="21"/>
          <w:shd w:val="clear" w:color="auto" w:fill="FFFFFF"/>
        </w:rPr>
        <w:t>5.该产品的关键工序要求实施前，“关键工序”栏可不填，下同。</w:t>
      </w:r>
    </w:p>
    <w:p w14:paraId="4B2B635C">
      <w:pPr>
        <w:spacing w:line="720" w:lineRule="auto"/>
        <w:jc w:val="center"/>
        <w:rPr>
          <w:rFonts w:ascii="宋体" w:hAnsi="宋体" w:cs="宋体"/>
          <w:b/>
          <w:bCs/>
          <w:color w:val="auto"/>
          <w:sz w:val="28"/>
          <w:szCs w:val="28"/>
        </w:rPr>
      </w:pPr>
      <w:r>
        <w:rPr>
          <w:color w:val="auto"/>
        </w:rPr>
        <w:br w:type="page"/>
      </w:r>
      <w:r>
        <w:rPr>
          <w:rFonts w:hint="eastAsia" w:ascii="宋体" w:hAnsi="宋体" w:cs="宋体"/>
          <w:b/>
          <w:bCs/>
          <w:color w:val="auto"/>
          <w:sz w:val="28"/>
          <w:szCs w:val="28"/>
        </w:rPr>
        <w:t>2）</w:t>
      </w:r>
      <w:r>
        <w:rPr>
          <w:rFonts w:ascii="宋体" w:hAnsi="宋体" w:cs="宋体"/>
          <w:b/>
          <w:bCs/>
          <w:color w:val="auto"/>
          <w:sz w:val="28"/>
          <w:szCs w:val="28"/>
        </w:rPr>
        <w:t>关于本国产品比例的承诺函（如适用）</w:t>
      </w:r>
    </w:p>
    <w:p w14:paraId="00D911D3">
      <w:pPr>
        <w:spacing w:line="400" w:lineRule="exact"/>
        <w:ind w:firstLine="420" w:firstLineChars="200"/>
        <w:jc w:val="left"/>
        <w:rPr>
          <w:rFonts w:hint="eastAsia" w:ascii="宋体" w:hAnsi="宋体" w:cs="宋体"/>
          <w:color w:val="auto"/>
          <w:kern w:val="0"/>
          <w:sz w:val="21"/>
          <w:szCs w:val="21"/>
          <w:shd w:val="clear" w:color="auto" w:fill="FFFFFF"/>
        </w:rPr>
      </w:pPr>
      <w:r>
        <w:rPr>
          <w:rFonts w:hint="eastAsia" w:ascii="宋体" w:hAnsi="宋体" w:cs="宋体"/>
          <w:color w:val="auto"/>
          <w:kern w:val="0"/>
          <w:sz w:val="21"/>
          <w:szCs w:val="21"/>
          <w:shd w:val="clear" w:color="auto" w:fill="FFFFFF"/>
        </w:rPr>
        <w:t>本公司(单位)郑重声明，根据《国务院办公厅关于在政府采购中实施本国产品标准及相关政策的通知》(国办发(2025)34号)的规定，本公司(单位)提供的符合本国产品标准的产品成本之和占提供的全部产品成本之和的比例达到 80%以上。</w:t>
      </w:r>
    </w:p>
    <w:p w14:paraId="4925E043">
      <w:pPr>
        <w:spacing w:line="400" w:lineRule="exact"/>
        <w:ind w:firstLine="420" w:firstLineChars="200"/>
        <w:jc w:val="left"/>
        <w:rPr>
          <w:rFonts w:hint="eastAsia" w:ascii="宋体" w:hAnsi="宋体" w:cs="宋体"/>
          <w:color w:val="auto"/>
          <w:kern w:val="0"/>
          <w:sz w:val="21"/>
          <w:szCs w:val="21"/>
          <w:shd w:val="clear" w:color="auto" w:fill="FFFFFF"/>
        </w:rPr>
      </w:pPr>
      <w:r>
        <w:rPr>
          <w:rFonts w:hint="eastAsia" w:ascii="宋体" w:hAnsi="宋体" w:cs="宋体"/>
          <w:color w:val="auto"/>
          <w:kern w:val="0"/>
          <w:sz w:val="21"/>
          <w:szCs w:val="21"/>
          <w:shd w:val="clear" w:color="auto" w:fill="FFFFFF"/>
        </w:rPr>
        <w:t>本公司(单位)对上述承诺内容的真实性负责。如有虚假，愿承担相应法律责任。</w:t>
      </w:r>
    </w:p>
    <w:p w14:paraId="6CF5EB52">
      <w:pPr>
        <w:pStyle w:val="45"/>
        <w:shd w:val="clear" w:color="auto" w:fill="FFFFFF"/>
        <w:spacing w:before="0" w:beforeAutospacing="0" w:after="0" w:afterAutospacing="0" w:line="480" w:lineRule="exact"/>
        <w:rPr>
          <w:rFonts w:hint="eastAsia" w:hAnsi="宋体" w:cs="宋体"/>
          <w:color w:val="auto"/>
          <w:sz w:val="21"/>
          <w:szCs w:val="21"/>
          <w:shd w:val="clear" w:color="auto" w:fill="FFFFFF"/>
        </w:rPr>
      </w:pPr>
    </w:p>
    <w:p w14:paraId="6928D390">
      <w:pPr>
        <w:pStyle w:val="4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210" w:firstLineChars="10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auto" w:fill="FFFFFF"/>
        </w:rPr>
        <w:t>公司（单位）名称（盖章）：      </w:t>
      </w:r>
    </w:p>
    <w:p w14:paraId="7D885B83">
      <w:pPr>
        <w:numPr>
          <w:ilvl w:val="0"/>
          <w:numId w:val="0"/>
        </w:numPr>
        <w:spacing w:line="720" w:lineRule="auto"/>
        <w:ind w:firstLine="210" w:firstLineChars="100"/>
        <w:jc w:val="both"/>
        <w:rPr>
          <w:rFonts w:hint="eastAsia" w:ascii="宋体" w:hAnsi="宋体" w:eastAsia="宋体" w:cs="宋体"/>
          <w:b w:val="0"/>
          <w:bCs w:val="0"/>
          <w:color w:val="000000"/>
          <w:sz w:val="24"/>
          <w:szCs w:val="24"/>
          <w:lang w:val="en-US" w:eastAsia="zh-CN"/>
        </w:rPr>
      </w:pPr>
      <w:r>
        <w:rPr>
          <w:rFonts w:hint="eastAsia" w:ascii="宋体" w:hAnsi="宋体" w:eastAsia="宋体" w:cs="宋体"/>
          <w:i w:val="0"/>
          <w:iCs w:val="0"/>
          <w:caps w:val="0"/>
          <w:color w:val="333333"/>
          <w:spacing w:val="0"/>
          <w:sz w:val="21"/>
          <w:szCs w:val="21"/>
          <w:shd w:val="clear" w:color="auto" w:fill="FFFFFF"/>
        </w:rPr>
        <w:t>日期：　　　年　　</w:t>
      </w:r>
      <w:r>
        <w:rPr>
          <w:rFonts w:hint="eastAsia" w:ascii="宋体" w:hAnsi="宋体" w:eastAsia="宋体" w:cs="宋体"/>
          <w:i w:val="0"/>
          <w:iCs w:val="0"/>
          <w:caps w:val="0"/>
          <w:color w:val="333333"/>
          <w:spacing w:val="0"/>
          <w:sz w:val="21"/>
          <w:szCs w:val="21"/>
          <w:shd w:val="clear" w:color="auto" w:fill="FFFFFF"/>
          <w:lang w:val="en-US" w:eastAsia="zh-CN"/>
        </w:rPr>
        <w:t xml:space="preserve"> </w:t>
      </w:r>
      <w:r>
        <w:rPr>
          <w:rFonts w:hint="eastAsia" w:ascii="宋体" w:hAnsi="宋体" w:eastAsia="宋体" w:cs="宋体"/>
          <w:i w:val="0"/>
          <w:iCs w:val="0"/>
          <w:caps w:val="0"/>
          <w:color w:val="333333"/>
          <w:spacing w:val="0"/>
          <w:sz w:val="21"/>
          <w:szCs w:val="21"/>
          <w:shd w:val="clear" w:color="auto" w:fill="FFFFFF"/>
        </w:rPr>
        <w:t>月</w:t>
      </w:r>
      <w:r>
        <w:rPr>
          <w:rFonts w:hint="eastAsia" w:ascii="宋体" w:hAnsi="宋体" w:eastAsia="宋体" w:cs="宋体"/>
          <w:i w:val="0"/>
          <w:iCs w:val="0"/>
          <w:caps w:val="0"/>
          <w:color w:val="333333"/>
          <w:spacing w:val="0"/>
          <w:sz w:val="21"/>
          <w:szCs w:val="21"/>
          <w:shd w:val="clear" w:color="auto" w:fill="FFFFFF"/>
          <w:lang w:val="en-US" w:eastAsia="zh-CN"/>
        </w:rPr>
        <w:t xml:space="preserve"> </w:t>
      </w:r>
      <w:r>
        <w:rPr>
          <w:rFonts w:hint="eastAsia" w:ascii="宋体" w:hAnsi="宋体" w:eastAsia="宋体" w:cs="宋体"/>
          <w:i w:val="0"/>
          <w:iCs w:val="0"/>
          <w:caps w:val="0"/>
          <w:color w:val="333333"/>
          <w:spacing w:val="0"/>
          <w:sz w:val="21"/>
          <w:szCs w:val="21"/>
          <w:shd w:val="clear" w:color="auto" w:fill="FFFFFF"/>
        </w:rPr>
        <w:t>　日   </w:t>
      </w:r>
    </w:p>
    <w:p w14:paraId="39952BB2">
      <w:pPr>
        <w:spacing w:line="720" w:lineRule="auto"/>
        <w:ind w:firstLine="210" w:firstLineChars="100"/>
        <w:rPr>
          <w:rFonts w:hint="eastAsia" w:ascii="宋体" w:hAnsi="宋体" w:cs="宋体"/>
          <w:color w:val="auto"/>
          <w:sz w:val="21"/>
          <w:szCs w:val="21"/>
        </w:rPr>
      </w:pPr>
      <w:r>
        <w:rPr>
          <w:rFonts w:hint="eastAsia" w:ascii="宋体" w:hAnsi="宋体" w:cs="宋体"/>
          <w:color w:val="auto"/>
          <w:sz w:val="21"/>
          <w:szCs w:val="21"/>
          <w:shd w:val="clear" w:color="auto" w:fill="FFFFFF"/>
        </w:rPr>
        <w:t>  </w:t>
      </w:r>
    </w:p>
    <w:p w14:paraId="1658AA06">
      <w:pPr>
        <w:pStyle w:val="49"/>
        <w:rPr>
          <w:rFonts w:hint="eastAsia" w:ascii="宋体" w:hAnsi="宋体" w:cs="宋体"/>
          <w:color w:val="auto"/>
          <w:kern w:val="0"/>
          <w:sz w:val="21"/>
          <w:szCs w:val="21"/>
          <w:shd w:val="clear" w:color="auto" w:fill="FFFFFF"/>
        </w:rPr>
      </w:pPr>
      <w:r>
        <w:rPr>
          <w:rFonts w:hint="eastAsia" w:ascii="宋体" w:hAnsi="宋体" w:cs="宋体"/>
          <w:color w:val="auto"/>
          <w:kern w:val="0"/>
          <w:sz w:val="21"/>
          <w:szCs w:val="21"/>
          <w:shd w:val="clear" w:color="auto" w:fill="FFFFFF"/>
        </w:rPr>
        <w:t>注：当采购项目或采购包中含有多种产品，符合有关政策的，供应商还应当提供本承诺函。</w:t>
      </w:r>
    </w:p>
    <w:p w14:paraId="4147402C">
      <w:pPr>
        <w:rPr>
          <w:rFonts w:hint="eastAsia"/>
        </w:rPr>
      </w:pPr>
    </w:p>
    <w:p w14:paraId="7FDCCEEB"/>
    <w:p w14:paraId="273BE014">
      <w:pPr>
        <w:rPr>
          <w:rFonts w:hint="eastAsia"/>
        </w:rPr>
      </w:pPr>
    </w:p>
    <w:p w14:paraId="4E1BEF2A">
      <w:pPr>
        <w:snapToGrid w:val="0"/>
        <w:spacing w:line="370" w:lineRule="exact"/>
        <w:ind w:firstLine="411" w:firstLineChars="196"/>
        <w:jc w:val="left"/>
        <w:rPr>
          <w:rFonts w:hint="eastAsia" w:ascii="宋体" w:hAnsi="宋体" w:eastAsia="宋体" w:cs="Times New Roman"/>
          <w:color w:val="FF0000"/>
          <w:szCs w:val="21"/>
          <w:lang w:eastAsia="zh-CN"/>
        </w:rPr>
      </w:pPr>
      <w:r>
        <w:rPr>
          <w:rFonts w:hint="eastAsia" w:ascii="宋体"/>
          <w:szCs w:val="21"/>
        </w:rPr>
        <w:t>（1</w:t>
      </w:r>
      <w:r>
        <w:rPr>
          <w:rFonts w:hint="eastAsia" w:ascii="宋体"/>
          <w:szCs w:val="21"/>
          <w:lang w:val="en-US" w:eastAsia="zh-CN"/>
        </w:rPr>
        <w:t>6</w:t>
      </w:r>
      <w:r>
        <w:rPr>
          <w:rFonts w:hint="eastAsia" w:ascii="宋体"/>
          <w:szCs w:val="21"/>
        </w:rPr>
        <w:t>）投标人认为需要提供的其他材料。</w:t>
      </w:r>
    </w:p>
    <w:p w14:paraId="2C2BC13B">
      <w:pPr>
        <w:pStyle w:val="3"/>
        <w:rPr>
          <w:rFonts w:hint="eastAsia"/>
        </w:rPr>
      </w:pPr>
    </w:p>
    <w:p w14:paraId="6E714854">
      <w:pPr>
        <w:spacing w:line="720" w:lineRule="auto"/>
        <w:rPr>
          <w:rFonts w:hint="eastAsia"/>
          <w:b/>
        </w:rPr>
      </w:pPr>
      <w:r>
        <w:br w:type="page"/>
      </w:r>
      <w:r>
        <w:rPr>
          <w:rFonts w:hint="eastAsia"/>
          <w:b/>
        </w:rPr>
        <w:t>2.技术文件部分（格式）</w:t>
      </w:r>
    </w:p>
    <w:p w14:paraId="72CEC393">
      <w:pPr>
        <w:spacing w:line="360" w:lineRule="exact"/>
        <w:rPr>
          <w:rFonts w:hint="eastAsia"/>
        </w:rPr>
      </w:pPr>
      <w:r>
        <w:rPr>
          <w:rFonts w:hint="eastAsia"/>
        </w:rPr>
        <w:t xml:space="preserve">    （1）服务响应表格式： </w:t>
      </w:r>
    </w:p>
    <w:tbl>
      <w:tblPr>
        <w:tblStyle w:val="51"/>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3600"/>
        <w:gridCol w:w="3600"/>
        <w:gridCol w:w="1573"/>
      </w:tblGrid>
      <w:tr w14:paraId="55975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01" w:type="dxa"/>
            <w:tcBorders>
              <w:top w:val="single" w:color="auto" w:sz="4" w:space="0"/>
              <w:left w:val="single" w:color="auto" w:sz="4" w:space="0"/>
              <w:bottom w:val="single" w:color="auto" w:sz="4" w:space="0"/>
              <w:right w:val="single" w:color="auto" w:sz="4" w:space="0"/>
            </w:tcBorders>
            <w:noWrap w:val="0"/>
            <w:vAlign w:val="center"/>
          </w:tcPr>
          <w:p w14:paraId="5283BC20">
            <w:pPr>
              <w:pStyle w:val="28"/>
              <w:spacing w:line="400" w:lineRule="exact"/>
              <w:jc w:val="center"/>
              <w:rPr>
                <w:rFonts w:hint="eastAsia" w:cs="Courier New"/>
                <w:lang w:val="en-US" w:eastAsia="zh-CN"/>
              </w:rPr>
            </w:pPr>
            <w:r>
              <w:rPr>
                <w:rFonts w:hint="eastAsia" w:cs="Courier New"/>
                <w:lang w:val="en-US" w:eastAsia="zh-CN"/>
              </w:rPr>
              <w:t>项号</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0939ECA8">
            <w:pPr>
              <w:pStyle w:val="28"/>
              <w:spacing w:line="400" w:lineRule="exact"/>
              <w:jc w:val="center"/>
              <w:rPr>
                <w:rFonts w:ascii="Times New Roman" w:cs="Courier New"/>
                <w:lang w:val="en-US" w:eastAsia="zh-CN"/>
              </w:rPr>
            </w:pPr>
            <w:r>
              <w:rPr>
                <w:rFonts w:ascii="Times New Roman" w:cs="Courier New"/>
                <w:lang w:val="en-US" w:eastAsia="zh-CN"/>
              </w:rPr>
              <w:t>招标要求</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64F47AE2">
            <w:pPr>
              <w:pStyle w:val="28"/>
              <w:spacing w:line="400" w:lineRule="exact"/>
              <w:jc w:val="center"/>
              <w:rPr>
                <w:rFonts w:ascii="Times New Roman" w:cs="Courier New"/>
                <w:lang w:val="en-US" w:eastAsia="zh-CN"/>
              </w:rPr>
            </w:pPr>
            <w:r>
              <w:rPr>
                <w:rFonts w:hAnsi="宋体" w:cs="Courier New"/>
                <w:lang w:val="en-US" w:eastAsia="zh-CN"/>
              </w:rPr>
              <w:t>应标情况</w:t>
            </w:r>
          </w:p>
        </w:tc>
        <w:tc>
          <w:tcPr>
            <w:tcW w:w="1573" w:type="dxa"/>
            <w:tcBorders>
              <w:top w:val="single" w:color="auto" w:sz="4" w:space="0"/>
              <w:left w:val="single" w:color="auto" w:sz="4" w:space="0"/>
              <w:bottom w:val="single" w:color="auto" w:sz="4" w:space="0"/>
              <w:right w:val="single" w:color="auto" w:sz="4" w:space="0"/>
            </w:tcBorders>
            <w:noWrap w:val="0"/>
            <w:vAlign w:val="center"/>
          </w:tcPr>
          <w:p w14:paraId="1179FC2D">
            <w:pPr>
              <w:pStyle w:val="28"/>
              <w:spacing w:line="400" w:lineRule="exact"/>
              <w:jc w:val="center"/>
              <w:rPr>
                <w:rFonts w:ascii="Times New Roman" w:cs="Courier New"/>
                <w:lang w:val="en-US" w:eastAsia="zh-CN"/>
              </w:rPr>
            </w:pPr>
            <w:r>
              <w:rPr>
                <w:rFonts w:ascii="Times New Roman" w:cs="Courier New"/>
                <w:lang w:val="en-US" w:eastAsia="zh-CN"/>
              </w:rPr>
              <w:t>偏离说明</w:t>
            </w:r>
          </w:p>
        </w:tc>
      </w:tr>
      <w:tr w14:paraId="5D0A9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top"/>
          </w:tcPr>
          <w:p w14:paraId="3FB67CA1">
            <w:pPr>
              <w:pStyle w:val="28"/>
              <w:spacing w:line="600" w:lineRule="exact"/>
              <w:ind w:left="5250"/>
              <w:jc w:val="center"/>
              <w:rPr>
                <w:rFonts w:ascii="Times New Roman" w:cs="Courier New"/>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14:paraId="0860893E">
            <w:pPr>
              <w:pStyle w:val="28"/>
              <w:spacing w:line="600" w:lineRule="exact"/>
              <w:ind w:left="5250"/>
              <w:jc w:val="center"/>
              <w:rPr>
                <w:rFonts w:ascii="Times New Roman" w:cs="Courier New"/>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14:paraId="02811B4E">
            <w:pPr>
              <w:pStyle w:val="28"/>
              <w:spacing w:line="600" w:lineRule="exact"/>
              <w:ind w:left="5250"/>
              <w:jc w:val="center"/>
              <w:rPr>
                <w:rFonts w:ascii="Times New Roman" w:cs="Courier New"/>
                <w:lang w:val="en-US" w:eastAsia="zh-CN"/>
              </w:rPr>
            </w:pPr>
          </w:p>
        </w:tc>
        <w:tc>
          <w:tcPr>
            <w:tcW w:w="1573" w:type="dxa"/>
            <w:tcBorders>
              <w:top w:val="single" w:color="auto" w:sz="4" w:space="0"/>
              <w:left w:val="single" w:color="auto" w:sz="4" w:space="0"/>
              <w:bottom w:val="single" w:color="auto" w:sz="4" w:space="0"/>
              <w:right w:val="single" w:color="auto" w:sz="4" w:space="0"/>
            </w:tcBorders>
            <w:noWrap w:val="0"/>
            <w:vAlign w:val="center"/>
          </w:tcPr>
          <w:p w14:paraId="7AA9A146">
            <w:pPr>
              <w:pStyle w:val="28"/>
              <w:spacing w:line="600" w:lineRule="exact"/>
              <w:ind w:left="5250"/>
              <w:jc w:val="center"/>
              <w:rPr>
                <w:rFonts w:ascii="Times New Roman" w:cs="Courier New"/>
                <w:lang w:val="en-US" w:eastAsia="zh-CN"/>
              </w:rPr>
            </w:pPr>
          </w:p>
        </w:tc>
      </w:tr>
      <w:tr w14:paraId="46981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top"/>
          </w:tcPr>
          <w:p w14:paraId="3FBBCDCD">
            <w:pPr>
              <w:pStyle w:val="28"/>
              <w:spacing w:line="600" w:lineRule="exact"/>
              <w:ind w:left="5250"/>
              <w:jc w:val="center"/>
              <w:rPr>
                <w:rFonts w:ascii="Times New Roman" w:cs="Courier New"/>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14:paraId="273C9427">
            <w:pPr>
              <w:pStyle w:val="28"/>
              <w:spacing w:line="600" w:lineRule="exact"/>
              <w:ind w:left="5250"/>
              <w:jc w:val="center"/>
              <w:rPr>
                <w:rFonts w:ascii="Times New Roman" w:cs="Courier New"/>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14:paraId="451EEA4D">
            <w:pPr>
              <w:pStyle w:val="28"/>
              <w:spacing w:line="600" w:lineRule="exact"/>
              <w:ind w:left="5250"/>
              <w:jc w:val="center"/>
              <w:rPr>
                <w:rFonts w:ascii="Times New Roman" w:cs="Courier New"/>
                <w:lang w:val="en-US" w:eastAsia="zh-CN"/>
              </w:rPr>
            </w:pPr>
          </w:p>
        </w:tc>
        <w:tc>
          <w:tcPr>
            <w:tcW w:w="1573" w:type="dxa"/>
            <w:tcBorders>
              <w:top w:val="single" w:color="auto" w:sz="4" w:space="0"/>
              <w:left w:val="single" w:color="auto" w:sz="4" w:space="0"/>
              <w:bottom w:val="single" w:color="auto" w:sz="4" w:space="0"/>
              <w:right w:val="single" w:color="auto" w:sz="4" w:space="0"/>
            </w:tcBorders>
            <w:noWrap w:val="0"/>
            <w:vAlign w:val="center"/>
          </w:tcPr>
          <w:p w14:paraId="18900767">
            <w:pPr>
              <w:pStyle w:val="28"/>
              <w:spacing w:line="600" w:lineRule="exact"/>
              <w:ind w:left="5250"/>
              <w:jc w:val="center"/>
              <w:rPr>
                <w:rFonts w:ascii="Times New Roman" w:cs="Courier New"/>
                <w:lang w:val="en-US" w:eastAsia="zh-CN"/>
              </w:rPr>
            </w:pPr>
          </w:p>
        </w:tc>
      </w:tr>
      <w:tr w14:paraId="34F9C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top"/>
          </w:tcPr>
          <w:p w14:paraId="016E9DD1">
            <w:pPr>
              <w:pStyle w:val="28"/>
              <w:spacing w:line="600" w:lineRule="exact"/>
              <w:ind w:left="5250"/>
              <w:rPr>
                <w:rFonts w:ascii="Times New Roman" w:cs="Courier New"/>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25709594">
            <w:pPr>
              <w:pStyle w:val="28"/>
              <w:spacing w:line="600" w:lineRule="exact"/>
              <w:ind w:left="5250"/>
              <w:rPr>
                <w:rFonts w:ascii="Times New Roman" w:cs="Courier New"/>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710E44F9">
            <w:pPr>
              <w:pStyle w:val="28"/>
              <w:spacing w:line="600" w:lineRule="exact"/>
              <w:ind w:left="5250"/>
              <w:rPr>
                <w:rFonts w:ascii="Times New Roman" w:cs="Courier New"/>
                <w:lang w:val="en-US" w:eastAsia="zh-CN"/>
              </w:rPr>
            </w:pPr>
          </w:p>
        </w:tc>
        <w:tc>
          <w:tcPr>
            <w:tcW w:w="1573" w:type="dxa"/>
            <w:tcBorders>
              <w:top w:val="single" w:color="auto" w:sz="4" w:space="0"/>
              <w:left w:val="single" w:color="auto" w:sz="4" w:space="0"/>
              <w:bottom w:val="single" w:color="auto" w:sz="4" w:space="0"/>
              <w:right w:val="single" w:color="auto" w:sz="4" w:space="0"/>
            </w:tcBorders>
            <w:noWrap w:val="0"/>
            <w:vAlign w:val="top"/>
          </w:tcPr>
          <w:p w14:paraId="2BBBD729">
            <w:pPr>
              <w:pStyle w:val="28"/>
              <w:spacing w:line="600" w:lineRule="exact"/>
              <w:ind w:left="5250"/>
              <w:rPr>
                <w:rFonts w:ascii="Times New Roman" w:cs="Courier New"/>
                <w:lang w:val="en-US" w:eastAsia="zh-CN"/>
              </w:rPr>
            </w:pPr>
          </w:p>
        </w:tc>
      </w:tr>
      <w:tr w14:paraId="7DE37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top"/>
          </w:tcPr>
          <w:p w14:paraId="042F65E3">
            <w:pPr>
              <w:pStyle w:val="28"/>
              <w:spacing w:line="600" w:lineRule="exact"/>
              <w:ind w:left="5250"/>
              <w:rPr>
                <w:rFonts w:ascii="Times New Roman" w:cs="Courier New"/>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09ABE94F">
            <w:pPr>
              <w:pStyle w:val="28"/>
              <w:spacing w:line="600" w:lineRule="exact"/>
              <w:ind w:left="5250"/>
              <w:rPr>
                <w:rFonts w:ascii="Times New Roman" w:cs="Courier New"/>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4B2E8682">
            <w:pPr>
              <w:pStyle w:val="28"/>
              <w:spacing w:line="600" w:lineRule="exact"/>
              <w:ind w:left="5250"/>
              <w:rPr>
                <w:rFonts w:ascii="Times New Roman" w:cs="Courier New"/>
                <w:lang w:val="en-US" w:eastAsia="zh-CN"/>
              </w:rPr>
            </w:pPr>
          </w:p>
        </w:tc>
        <w:tc>
          <w:tcPr>
            <w:tcW w:w="1573" w:type="dxa"/>
            <w:tcBorders>
              <w:top w:val="single" w:color="auto" w:sz="4" w:space="0"/>
              <w:left w:val="single" w:color="auto" w:sz="4" w:space="0"/>
              <w:bottom w:val="single" w:color="auto" w:sz="4" w:space="0"/>
              <w:right w:val="single" w:color="auto" w:sz="4" w:space="0"/>
            </w:tcBorders>
            <w:noWrap w:val="0"/>
            <w:vAlign w:val="top"/>
          </w:tcPr>
          <w:p w14:paraId="4A1BF256">
            <w:pPr>
              <w:pStyle w:val="28"/>
              <w:spacing w:line="600" w:lineRule="exact"/>
              <w:ind w:left="5250"/>
              <w:rPr>
                <w:rFonts w:ascii="Times New Roman" w:cs="Courier New"/>
                <w:lang w:val="en-US" w:eastAsia="zh-CN"/>
              </w:rPr>
            </w:pPr>
          </w:p>
        </w:tc>
      </w:tr>
      <w:tr w14:paraId="739A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top"/>
          </w:tcPr>
          <w:p w14:paraId="24CB714D">
            <w:pPr>
              <w:pStyle w:val="28"/>
              <w:spacing w:line="600" w:lineRule="exact"/>
              <w:ind w:left="5250"/>
              <w:rPr>
                <w:rFonts w:ascii="Times New Roman" w:cs="Courier New"/>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25059461">
            <w:pPr>
              <w:pStyle w:val="28"/>
              <w:spacing w:line="600" w:lineRule="exact"/>
              <w:ind w:left="5250"/>
              <w:rPr>
                <w:rFonts w:ascii="Times New Roman" w:cs="Courier New"/>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04B83CF7">
            <w:pPr>
              <w:pStyle w:val="28"/>
              <w:spacing w:line="600" w:lineRule="exact"/>
              <w:ind w:left="5250"/>
              <w:rPr>
                <w:rFonts w:ascii="Times New Roman" w:cs="Courier New"/>
                <w:lang w:val="en-US" w:eastAsia="zh-CN"/>
              </w:rPr>
            </w:pPr>
          </w:p>
        </w:tc>
        <w:tc>
          <w:tcPr>
            <w:tcW w:w="1573" w:type="dxa"/>
            <w:tcBorders>
              <w:top w:val="single" w:color="auto" w:sz="4" w:space="0"/>
              <w:left w:val="single" w:color="auto" w:sz="4" w:space="0"/>
              <w:bottom w:val="single" w:color="auto" w:sz="4" w:space="0"/>
              <w:right w:val="single" w:color="auto" w:sz="4" w:space="0"/>
            </w:tcBorders>
            <w:noWrap w:val="0"/>
            <w:vAlign w:val="top"/>
          </w:tcPr>
          <w:p w14:paraId="0BE03C79">
            <w:pPr>
              <w:pStyle w:val="28"/>
              <w:spacing w:line="600" w:lineRule="exact"/>
              <w:ind w:left="5250"/>
              <w:rPr>
                <w:rFonts w:ascii="Times New Roman" w:cs="Courier New"/>
                <w:lang w:val="en-US" w:eastAsia="zh-CN"/>
              </w:rPr>
            </w:pPr>
          </w:p>
        </w:tc>
      </w:tr>
      <w:tr w14:paraId="62C3C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top"/>
          </w:tcPr>
          <w:p w14:paraId="52EBDB8B">
            <w:pPr>
              <w:pStyle w:val="28"/>
              <w:spacing w:line="600" w:lineRule="exact"/>
              <w:ind w:left="5250"/>
              <w:rPr>
                <w:rFonts w:ascii="Times New Roman" w:cs="Courier New"/>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5A0532DF">
            <w:pPr>
              <w:pStyle w:val="28"/>
              <w:spacing w:line="600" w:lineRule="exact"/>
              <w:ind w:left="5250"/>
              <w:rPr>
                <w:rFonts w:ascii="Times New Roman" w:cs="Courier New"/>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68DA3446">
            <w:pPr>
              <w:pStyle w:val="28"/>
              <w:spacing w:line="600" w:lineRule="exact"/>
              <w:ind w:left="5250"/>
              <w:rPr>
                <w:rFonts w:ascii="Times New Roman" w:cs="Courier New"/>
                <w:lang w:val="en-US" w:eastAsia="zh-CN"/>
              </w:rPr>
            </w:pPr>
          </w:p>
        </w:tc>
        <w:tc>
          <w:tcPr>
            <w:tcW w:w="1573" w:type="dxa"/>
            <w:tcBorders>
              <w:top w:val="single" w:color="auto" w:sz="4" w:space="0"/>
              <w:left w:val="single" w:color="auto" w:sz="4" w:space="0"/>
              <w:bottom w:val="single" w:color="auto" w:sz="4" w:space="0"/>
              <w:right w:val="single" w:color="auto" w:sz="4" w:space="0"/>
            </w:tcBorders>
            <w:noWrap w:val="0"/>
            <w:vAlign w:val="top"/>
          </w:tcPr>
          <w:p w14:paraId="5A0B1F11">
            <w:pPr>
              <w:pStyle w:val="28"/>
              <w:spacing w:line="600" w:lineRule="exact"/>
              <w:ind w:left="5250"/>
              <w:rPr>
                <w:rFonts w:ascii="Times New Roman" w:cs="Courier New"/>
                <w:lang w:val="en-US" w:eastAsia="zh-CN"/>
              </w:rPr>
            </w:pPr>
          </w:p>
        </w:tc>
      </w:tr>
    </w:tbl>
    <w:p w14:paraId="003E51D8">
      <w:pPr>
        <w:spacing w:line="400" w:lineRule="exact"/>
        <w:rPr>
          <w:rFonts w:hint="eastAsia"/>
        </w:rPr>
      </w:pPr>
      <w:r>
        <w:rPr>
          <w:rFonts w:hint="eastAsia"/>
        </w:rPr>
        <w:t xml:space="preserve">   </w:t>
      </w:r>
    </w:p>
    <w:p w14:paraId="0BE3D183">
      <w:pPr>
        <w:spacing w:line="360" w:lineRule="exact"/>
        <w:rPr>
          <w:rFonts w:hint="eastAsia"/>
          <w:b/>
        </w:rPr>
      </w:pPr>
      <w:r>
        <w:rPr>
          <w:rFonts w:hint="eastAsia"/>
          <w:b/>
        </w:rPr>
        <w:t>注：投标人应根据提供的服务、对照招标文件要求在服务响应表中详细列明招标要求及投标提供的服务的响应情况，并填写“</w:t>
      </w:r>
      <w:r>
        <w:rPr>
          <w:b/>
          <w:sz w:val="24"/>
        </w:rPr>
        <w:t>偏离说明</w:t>
      </w:r>
      <w:r>
        <w:rPr>
          <w:rFonts w:hint="eastAsia"/>
          <w:b/>
          <w:sz w:val="24"/>
        </w:rPr>
        <w:t>”</w:t>
      </w:r>
      <w:r>
        <w:rPr>
          <w:rFonts w:hint="eastAsia"/>
          <w:b/>
        </w:rPr>
        <w:t>。“</w:t>
      </w:r>
      <w:r>
        <w:rPr>
          <w:rFonts w:hint="eastAsia"/>
          <w:b/>
          <w:sz w:val="24"/>
        </w:rPr>
        <w:t>偏离</w:t>
      </w:r>
      <w:r>
        <w:rPr>
          <w:b/>
          <w:sz w:val="24"/>
        </w:rPr>
        <w:t>说明</w:t>
      </w:r>
      <w:r>
        <w:rPr>
          <w:rFonts w:hint="eastAsia"/>
          <w:b/>
        </w:rPr>
        <w:t>”栏注明“正偏离”、“负偏离”或“无偏离”。投标所提供的服务与招标要求相同的为无偏离，投标所提供的服务高于招标要求的为正偏离，低于招标要求的为负偏离。</w:t>
      </w:r>
    </w:p>
    <w:p w14:paraId="23D2A31C">
      <w:pPr>
        <w:rPr>
          <w:rFonts w:hint="eastAsia"/>
        </w:rPr>
      </w:pPr>
    </w:p>
    <w:p w14:paraId="26329BE7">
      <w:pPr>
        <w:spacing w:line="400" w:lineRule="exact"/>
        <w:rPr>
          <w:rFonts w:hint="eastAsia"/>
          <w:u w:val="single"/>
        </w:rPr>
      </w:pPr>
      <w:r>
        <w:rPr>
          <w:rFonts w:hint="eastAsia"/>
        </w:rPr>
        <w:t>法定代表人（负责人）或委托代理人签字或盖章：</w:t>
      </w:r>
      <w:r>
        <w:rPr>
          <w:rFonts w:hint="eastAsia"/>
          <w:u w:val="single"/>
        </w:rPr>
        <w:t xml:space="preserve">                 </w:t>
      </w:r>
    </w:p>
    <w:p w14:paraId="1448CF1C">
      <w:pPr>
        <w:spacing w:line="400" w:lineRule="exact"/>
        <w:rPr>
          <w:rFonts w:hint="eastAsia"/>
        </w:rPr>
      </w:pPr>
      <w:r>
        <w:rPr>
          <w:rFonts w:hint="eastAsia"/>
        </w:rPr>
        <w:t>投标人名称（</w:t>
      </w:r>
      <w:r>
        <w:rPr>
          <w:rFonts w:hint="eastAsia" w:ascii="宋体"/>
          <w:szCs w:val="21"/>
        </w:rPr>
        <w:t>盖章</w:t>
      </w:r>
      <w:r>
        <w:rPr>
          <w:rFonts w:hint="eastAsia"/>
        </w:rPr>
        <w:t>）：</w:t>
      </w:r>
      <w:r>
        <w:rPr>
          <w:rFonts w:hint="eastAsia"/>
          <w:u w:val="single"/>
        </w:rPr>
        <w:t xml:space="preserve">                </w:t>
      </w:r>
      <w:r>
        <w:rPr>
          <w:rFonts w:hint="eastAsia"/>
        </w:rPr>
        <w:t xml:space="preserve">          日 期：</w:t>
      </w:r>
      <w:r>
        <w:rPr>
          <w:rFonts w:hint="eastAsia"/>
          <w:u w:val="single"/>
        </w:rPr>
        <w:t xml:space="preserve">              </w:t>
      </w:r>
    </w:p>
    <w:p w14:paraId="00A7C00E">
      <w:pPr>
        <w:rPr>
          <w:rFonts w:hint="eastAsia"/>
        </w:rPr>
      </w:pPr>
    </w:p>
    <w:p w14:paraId="71E274BF">
      <w:pPr>
        <w:spacing w:line="400" w:lineRule="exact"/>
        <w:rPr>
          <w:rFonts w:hint="eastAsia" w:ascii="宋体"/>
          <w:spacing w:val="20"/>
          <w:szCs w:val="21"/>
          <w:u w:val="single"/>
        </w:rPr>
      </w:pPr>
      <w:r>
        <w:rPr>
          <w:rFonts w:hint="eastAsia"/>
        </w:rPr>
        <w:t xml:space="preserve">    </w:t>
      </w:r>
    </w:p>
    <w:p w14:paraId="60C03053">
      <w:pPr>
        <w:numPr>
          <w:ilvl w:val="0"/>
          <w:numId w:val="0"/>
        </w:numPr>
        <w:spacing w:line="360" w:lineRule="exact"/>
        <w:ind w:firstLine="420" w:firstLineChars="200"/>
        <w:rPr>
          <w:rFonts w:hint="eastAsia" w:ascii="宋体" w:hAnsi="宋体"/>
          <w:b/>
          <w:szCs w:val="21"/>
        </w:rPr>
      </w:pPr>
      <w:r>
        <w:rPr>
          <w:rFonts w:hint="eastAsia" w:ascii="宋体" w:hAnsi="宋体"/>
          <w:b w:val="0"/>
          <w:bCs/>
          <w:kern w:val="2"/>
          <w:sz w:val="21"/>
          <w:szCs w:val="21"/>
          <w:lang w:val="en-US" w:eastAsia="zh-CN" w:bidi="ar-SA"/>
        </w:rPr>
        <w:t>（2）</w:t>
      </w:r>
      <w:r>
        <w:rPr>
          <w:rFonts w:hint="eastAsia"/>
          <w:b w:val="0"/>
          <w:bCs/>
        </w:rPr>
        <w:t>服</w:t>
      </w:r>
      <w:r>
        <w:rPr>
          <w:rFonts w:hint="eastAsia"/>
        </w:rPr>
        <w:t>务方案</w:t>
      </w:r>
      <w:r>
        <w:rPr>
          <w:rFonts w:hint="eastAsia" w:ascii="宋体" w:hAnsi="宋体"/>
          <w:lang w:eastAsia="zh-CN"/>
        </w:rPr>
        <w:t>（</w:t>
      </w:r>
      <w:r>
        <w:rPr>
          <w:rFonts w:hint="eastAsia" w:ascii="宋体" w:hAnsi="宋体"/>
        </w:rPr>
        <w:t>如：项目</w:t>
      </w:r>
      <w:r>
        <w:rPr>
          <w:rFonts w:hint="eastAsia" w:ascii="宋体" w:hAnsi="宋体"/>
          <w:lang w:val="en-US" w:eastAsia="zh-CN"/>
        </w:rPr>
        <w:t>理解分析</w:t>
      </w:r>
      <w:r>
        <w:rPr>
          <w:rFonts w:hint="eastAsia" w:ascii="宋体" w:hAnsi="宋体"/>
        </w:rPr>
        <w:t>、</w:t>
      </w:r>
      <w:r>
        <w:rPr>
          <w:rFonts w:hint="eastAsia" w:ascii="宋体" w:hAnsi="宋体"/>
          <w:lang w:val="en-US" w:eastAsia="zh-CN"/>
        </w:rPr>
        <w:t>技术设计方案</w:t>
      </w:r>
      <w:r>
        <w:rPr>
          <w:rFonts w:hint="eastAsia" w:ascii="宋体" w:hAnsi="宋体"/>
        </w:rPr>
        <w:t>、</w:t>
      </w:r>
      <w:r>
        <w:rPr>
          <w:rFonts w:hint="eastAsia" w:ascii="宋体" w:hAnsi="宋体"/>
          <w:lang w:val="en-US" w:eastAsia="zh-CN"/>
        </w:rPr>
        <w:t>项目实施方案</w:t>
      </w:r>
      <w:r>
        <w:rPr>
          <w:rFonts w:hint="eastAsia" w:ascii="宋体" w:hAnsi="宋体"/>
        </w:rPr>
        <w:t>、运维及售后服务方案</w:t>
      </w:r>
      <w:r>
        <w:rPr>
          <w:rFonts w:hint="eastAsia" w:ascii="宋体" w:hAnsi="宋体"/>
          <w:lang w:eastAsia="zh-CN"/>
        </w:rPr>
        <w:t>、</w:t>
      </w:r>
      <w:r>
        <w:rPr>
          <w:rFonts w:hint="eastAsia" w:ascii="宋体" w:hAnsi="宋体"/>
          <w:lang w:val="en-US" w:eastAsia="zh-CN"/>
        </w:rPr>
        <w:t>培训方案</w:t>
      </w:r>
      <w:r>
        <w:rPr>
          <w:rFonts w:hint="eastAsia" w:ascii="宋体" w:hAnsi="宋体"/>
        </w:rPr>
        <w:t>等</w:t>
      </w:r>
      <w:r>
        <w:rPr>
          <w:rFonts w:hint="eastAsia" w:ascii="宋体" w:hAnsi="宋体"/>
          <w:lang w:eastAsia="zh-CN"/>
        </w:rPr>
        <w:t>）</w:t>
      </w:r>
      <w:r>
        <w:rPr>
          <w:rFonts w:hint="eastAsia" w:ascii="宋体" w:hAnsi="宋体"/>
          <w:szCs w:val="21"/>
        </w:rPr>
        <w:t>；</w:t>
      </w:r>
      <w:r>
        <w:rPr>
          <w:rFonts w:hint="eastAsia" w:ascii="宋体" w:hAnsi="宋体"/>
          <w:b/>
          <w:szCs w:val="21"/>
        </w:rPr>
        <w:t>（格式自拟，</w:t>
      </w:r>
      <w:r>
        <w:rPr>
          <w:rFonts w:hint="eastAsia" w:ascii="宋体"/>
          <w:b/>
          <w:color w:val="000000"/>
          <w:szCs w:val="21"/>
        </w:rPr>
        <w:t>必须提供</w:t>
      </w:r>
      <w:r>
        <w:rPr>
          <w:rFonts w:hint="eastAsia" w:ascii="宋体" w:hAnsi="宋体"/>
          <w:b/>
          <w:szCs w:val="21"/>
        </w:rPr>
        <w:t>）</w:t>
      </w:r>
    </w:p>
    <w:p w14:paraId="5E58A6BD">
      <w:pPr>
        <w:snapToGrid w:val="0"/>
        <w:spacing w:line="360" w:lineRule="auto"/>
        <w:ind w:firstLine="5640" w:firstLineChars="2350"/>
        <w:rPr>
          <w:rFonts w:hint="eastAsia" w:ascii="仿宋_GB2312" w:hAnsi="仿宋" w:eastAsia="仿宋_GB2312" w:cs="仿宋_GB2312"/>
          <w:color w:val="auto"/>
          <w:kern w:val="0"/>
          <w:sz w:val="24"/>
          <w:highlight w:val="none"/>
          <w:lang w:val="zh-CN"/>
        </w:rPr>
      </w:pPr>
    </w:p>
    <w:p w14:paraId="0A86CCD5">
      <w:pPr>
        <w:spacing w:line="360" w:lineRule="exact"/>
        <w:rPr>
          <w:rFonts w:hint="eastAsia"/>
        </w:rPr>
      </w:pPr>
      <w:r>
        <w:rPr>
          <w:rFonts w:hint="eastAsia"/>
        </w:rPr>
        <w:t xml:space="preserve">    （3）投标人拥有主要服务设施的情况和现状（格式自拟）及项目实施人员一览表</w:t>
      </w:r>
    </w:p>
    <w:p w14:paraId="42B31534">
      <w:pPr>
        <w:spacing w:line="360" w:lineRule="exact"/>
        <w:jc w:val="center"/>
        <w:rPr>
          <w:rFonts w:hint="eastAsia"/>
          <w:b/>
        </w:rPr>
      </w:pPr>
      <w:r>
        <w:rPr>
          <w:rFonts w:hint="eastAsia"/>
          <w:b/>
        </w:rPr>
        <w:t>项目实施人员（主要从业人员及其技术资格）一览表</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1"/>
        <w:gridCol w:w="900"/>
        <w:gridCol w:w="2160"/>
        <w:gridCol w:w="1516"/>
        <w:gridCol w:w="2084"/>
        <w:gridCol w:w="1980"/>
      </w:tblGrid>
      <w:tr w14:paraId="653677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1" w:type="dxa"/>
            <w:tcBorders>
              <w:top w:val="single" w:color="auto" w:sz="4" w:space="0"/>
              <w:left w:val="single" w:color="auto" w:sz="4" w:space="0"/>
              <w:bottom w:val="single" w:color="auto" w:sz="4" w:space="0"/>
              <w:right w:val="single" w:color="auto" w:sz="4" w:space="0"/>
            </w:tcBorders>
            <w:noWrap w:val="0"/>
            <w:vAlign w:val="center"/>
          </w:tcPr>
          <w:p w14:paraId="4B1F705B">
            <w:pPr>
              <w:snapToGrid w:val="0"/>
              <w:spacing w:before="156" w:beforeLines="50" w:after="50" w:line="360" w:lineRule="exact"/>
              <w:jc w:val="center"/>
              <w:rPr>
                <w:rFonts w:hint="eastAsia" w:ascii="宋体"/>
                <w:szCs w:val="21"/>
              </w:rPr>
            </w:pPr>
            <w:r>
              <w:rPr>
                <w:rFonts w:hint="eastAsia" w:ascii="宋体"/>
                <w:szCs w:val="21"/>
              </w:rPr>
              <w:t>姓名</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0FB3A949">
            <w:pPr>
              <w:snapToGrid w:val="0"/>
              <w:spacing w:before="156" w:beforeLines="50" w:after="50" w:line="360" w:lineRule="exact"/>
              <w:jc w:val="center"/>
              <w:rPr>
                <w:rFonts w:hint="eastAsia" w:ascii="宋体"/>
                <w:szCs w:val="21"/>
              </w:rPr>
            </w:pPr>
            <w:r>
              <w:rPr>
                <w:rFonts w:hint="eastAsia" w:ascii="宋体"/>
                <w:szCs w:val="21"/>
              </w:rPr>
              <w:t>职务</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4CBCE70C">
            <w:pPr>
              <w:snapToGrid w:val="0"/>
              <w:spacing w:before="156" w:beforeLines="50" w:after="50" w:line="360" w:lineRule="exact"/>
              <w:jc w:val="center"/>
              <w:rPr>
                <w:rFonts w:hint="eastAsia" w:ascii="宋体"/>
                <w:szCs w:val="21"/>
              </w:rPr>
            </w:pPr>
            <w:r>
              <w:rPr>
                <w:rFonts w:hint="eastAsia" w:ascii="宋体"/>
                <w:szCs w:val="21"/>
              </w:rPr>
              <w:t>专业技术资格</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1AFF743">
            <w:pPr>
              <w:snapToGrid w:val="0"/>
              <w:spacing w:before="156" w:beforeLines="50" w:after="50" w:line="360" w:lineRule="exact"/>
              <w:jc w:val="center"/>
              <w:rPr>
                <w:rFonts w:hint="eastAsia" w:ascii="宋体"/>
                <w:szCs w:val="21"/>
              </w:rPr>
            </w:pPr>
            <w:r>
              <w:rPr>
                <w:rFonts w:hint="eastAsia" w:ascii="宋体"/>
                <w:szCs w:val="21"/>
              </w:rPr>
              <w:t>证书编号</w:t>
            </w:r>
          </w:p>
        </w:tc>
        <w:tc>
          <w:tcPr>
            <w:tcW w:w="2084" w:type="dxa"/>
            <w:tcBorders>
              <w:top w:val="single" w:color="auto" w:sz="4" w:space="0"/>
              <w:left w:val="single" w:color="auto" w:sz="4" w:space="0"/>
              <w:bottom w:val="single" w:color="auto" w:sz="4" w:space="0"/>
              <w:right w:val="single" w:color="auto" w:sz="4" w:space="0"/>
            </w:tcBorders>
            <w:noWrap w:val="0"/>
            <w:vAlign w:val="center"/>
          </w:tcPr>
          <w:p w14:paraId="0F3E8CE5">
            <w:pPr>
              <w:snapToGrid w:val="0"/>
              <w:spacing w:before="156" w:beforeLines="50" w:after="50" w:line="200" w:lineRule="exact"/>
              <w:jc w:val="center"/>
              <w:rPr>
                <w:rFonts w:hint="eastAsia" w:ascii="宋体"/>
                <w:bCs/>
                <w:szCs w:val="21"/>
              </w:rPr>
            </w:pPr>
            <w:r>
              <w:rPr>
                <w:rFonts w:hint="eastAsia" w:ascii="宋体"/>
                <w:bCs/>
                <w:szCs w:val="21"/>
              </w:rPr>
              <w:t>参加本单位</w:t>
            </w:r>
          </w:p>
          <w:p w14:paraId="33E56D49">
            <w:pPr>
              <w:snapToGrid w:val="0"/>
              <w:spacing w:before="156" w:beforeLines="50" w:after="50" w:line="200" w:lineRule="exact"/>
              <w:jc w:val="center"/>
              <w:rPr>
                <w:rFonts w:hint="eastAsia" w:ascii="宋体"/>
                <w:bCs/>
                <w:szCs w:val="21"/>
              </w:rPr>
            </w:pPr>
            <w:r>
              <w:rPr>
                <w:rFonts w:hint="eastAsia" w:ascii="宋体"/>
                <w:bCs/>
                <w:szCs w:val="21"/>
              </w:rPr>
              <w:t>工作时间</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25724A8E">
            <w:pPr>
              <w:snapToGrid w:val="0"/>
              <w:spacing w:before="156" w:beforeLines="50" w:after="50" w:line="360" w:lineRule="exact"/>
              <w:jc w:val="center"/>
              <w:rPr>
                <w:rFonts w:hint="eastAsia" w:ascii="宋体"/>
                <w:bCs/>
                <w:szCs w:val="21"/>
              </w:rPr>
            </w:pPr>
            <w:r>
              <w:rPr>
                <w:rFonts w:hint="eastAsia" w:ascii="宋体"/>
                <w:bCs/>
                <w:szCs w:val="21"/>
              </w:rPr>
              <w:t>劳动合同编号</w:t>
            </w:r>
          </w:p>
        </w:tc>
      </w:tr>
      <w:tr w14:paraId="673975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1" w:type="dxa"/>
            <w:tcBorders>
              <w:top w:val="single" w:color="auto" w:sz="4" w:space="0"/>
              <w:left w:val="single" w:color="auto" w:sz="4" w:space="0"/>
              <w:bottom w:val="single" w:color="auto" w:sz="4" w:space="0"/>
              <w:right w:val="single" w:color="auto" w:sz="4" w:space="0"/>
            </w:tcBorders>
            <w:noWrap w:val="0"/>
            <w:vAlign w:val="top"/>
          </w:tcPr>
          <w:p w14:paraId="215B749C">
            <w:pPr>
              <w:snapToGrid w:val="0"/>
              <w:spacing w:before="156" w:beforeLines="50" w:after="50" w:line="360" w:lineRule="exact"/>
              <w:rPr>
                <w:rFonts w:hint="eastAsia" w:ascii="宋体"/>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1E7D37EA">
            <w:pPr>
              <w:snapToGrid w:val="0"/>
              <w:spacing w:before="156" w:beforeLines="50" w:after="50" w:line="360" w:lineRule="exact"/>
              <w:rPr>
                <w:rFonts w:hint="eastAsia" w:ascii="宋体"/>
                <w:szCs w:val="21"/>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67CDB17E">
            <w:pPr>
              <w:snapToGrid w:val="0"/>
              <w:spacing w:before="156" w:beforeLines="50" w:after="50" w:line="360" w:lineRule="exact"/>
              <w:rPr>
                <w:rFonts w:hint="eastAsia" w:ascii="宋体"/>
                <w:szCs w:val="21"/>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1AB351E0">
            <w:pPr>
              <w:snapToGrid w:val="0"/>
              <w:spacing w:before="156" w:beforeLines="50" w:after="50" w:line="360" w:lineRule="exact"/>
              <w:rPr>
                <w:rFonts w:hint="eastAsia" w:ascii="宋体"/>
                <w:szCs w:val="21"/>
              </w:rPr>
            </w:pPr>
          </w:p>
        </w:tc>
        <w:tc>
          <w:tcPr>
            <w:tcW w:w="2084" w:type="dxa"/>
            <w:tcBorders>
              <w:top w:val="single" w:color="auto" w:sz="4" w:space="0"/>
              <w:left w:val="single" w:color="auto" w:sz="4" w:space="0"/>
              <w:bottom w:val="single" w:color="auto" w:sz="4" w:space="0"/>
              <w:right w:val="single" w:color="auto" w:sz="4" w:space="0"/>
            </w:tcBorders>
            <w:noWrap w:val="0"/>
            <w:vAlign w:val="top"/>
          </w:tcPr>
          <w:p w14:paraId="516EA8BC">
            <w:pPr>
              <w:snapToGrid w:val="0"/>
              <w:spacing w:before="156" w:beforeLines="50" w:after="50" w:line="360" w:lineRule="exact"/>
              <w:rPr>
                <w:rFonts w:hint="eastAsia" w:ascii="宋体"/>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72A32601">
            <w:pPr>
              <w:snapToGrid w:val="0"/>
              <w:spacing w:before="156" w:beforeLines="50" w:after="50" w:line="360" w:lineRule="exact"/>
              <w:rPr>
                <w:rFonts w:hint="eastAsia" w:ascii="宋体"/>
                <w:szCs w:val="21"/>
              </w:rPr>
            </w:pPr>
          </w:p>
        </w:tc>
      </w:tr>
      <w:tr w14:paraId="3E1840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1" w:type="dxa"/>
            <w:tcBorders>
              <w:top w:val="single" w:color="auto" w:sz="4" w:space="0"/>
              <w:left w:val="single" w:color="auto" w:sz="4" w:space="0"/>
              <w:bottom w:val="single" w:color="auto" w:sz="4" w:space="0"/>
              <w:right w:val="single" w:color="auto" w:sz="4" w:space="0"/>
            </w:tcBorders>
            <w:noWrap w:val="0"/>
            <w:vAlign w:val="top"/>
          </w:tcPr>
          <w:p w14:paraId="52BB5153">
            <w:pPr>
              <w:snapToGrid w:val="0"/>
              <w:spacing w:before="156" w:beforeLines="50" w:after="50" w:line="360" w:lineRule="exact"/>
              <w:rPr>
                <w:rFonts w:hint="eastAsia" w:ascii="宋体"/>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49368FA1">
            <w:pPr>
              <w:snapToGrid w:val="0"/>
              <w:spacing w:before="156" w:beforeLines="50" w:after="50" w:line="360" w:lineRule="exact"/>
              <w:rPr>
                <w:rFonts w:hint="eastAsia" w:ascii="宋体"/>
                <w:szCs w:val="21"/>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7AE47B6B">
            <w:pPr>
              <w:snapToGrid w:val="0"/>
              <w:spacing w:before="156" w:beforeLines="50" w:after="50" w:line="360" w:lineRule="exact"/>
              <w:rPr>
                <w:rFonts w:hint="eastAsia" w:ascii="宋体"/>
                <w:szCs w:val="21"/>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2C19C4F7">
            <w:pPr>
              <w:snapToGrid w:val="0"/>
              <w:spacing w:before="156" w:beforeLines="50" w:after="50" w:line="360" w:lineRule="exact"/>
              <w:rPr>
                <w:rFonts w:hint="eastAsia" w:ascii="宋体"/>
                <w:szCs w:val="21"/>
              </w:rPr>
            </w:pPr>
          </w:p>
        </w:tc>
        <w:tc>
          <w:tcPr>
            <w:tcW w:w="2084" w:type="dxa"/>
            <w:tcBorders>
              <w:top w:val="single" w:color="auto" w:sz="4" w:space="0"/>
              <w:left w:val="single" w:color="auto" w:sz="4" w:space="0"/>
              <w:bottom w:val="single" w:color="auto" w:sz="4" w:space="0"/>
              <w:right w:val="single" w:color="auto" w:sz="4" w:space="0"/>
            </w:tcBorders>
            <w:noWrap w:val="0"/>
            <w:vAlign w:val="top"/>
          </w:tcPr>
          <w:p w14:paraId="43B4B3AD">
            <w:pPr>
              <w:snapToGrid w:val="0"/>
              <w:spacing w:before="156" w:beforeLines="50" w:after="50" w:line="360" w:lineRule="exact"/>
              <w:rPr>
                <w:rFonts w:hint="eastAsia" w:ascii="宋体"/>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72913207">
            <w:pPr>
              <w:snapToGrid w:val="0"/>
              <w:spacing w:before="156" w:beforeLines="50" w:after="50" w:line="360" w:lineRule="exact"/>
              <w:rPr>
                <w:rFonts w:hint="eastAsia" w:ascii="宋体"/>
                <w:szCs w:val="21"/>
              </w:rPr>
            </w:pPr>
          </w:p>
        </w:tc>
      </w:tr>
      <w:tr w14:paraId="2FB2BA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1" w:type="dxa"/>
            <w:tcBorders>
              <w:top w:val="single" w:color="auto" w:sz="4" w:space="0"/>
              <w:left w:val="single" w:color="auto" w:sz="4" w:space="0"/>
              <w:bottom w:val="single" w:color="auto" w:sz="4" w:space="0"/>
              <w:right w:val="single" w:color="auto" w:sz="4" w:space="0"/>
            </w:tcBorders>
            <w:noWrap w:val="0"/>
            <w:vAlign w:val="top"/>
          </w:tcPr>
          <w:p w14:paraId="68CEB86B">
            <w:pPr>
              <w:snapToGrid w:val="0"/>
              <w:spacing w:before="156" w:beforeLines="50" w:after="50" w:line="360" w:lineRule="exact"/>
              <w:rPr>
                <w:rFonts w:hint="eastAsia" w:ascii="宋体"/>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AEBFFA9">
            <w:pPr>
              <w:snapToGrid w:val="0"/>
              <w:spacing w:before="156" w:beforeLines="50" w:after="50" w:line="360" w:lineRule="exact"/>
              <w:rPr>
                <w:rFonts w:hint="eastAsia" w:ascii="宋体"/>
                <w:szCs w:val="21"/>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360D0A96">
            <w:pPr>
              <w:pStyle w:val="30"/>
              <w:snapToGrid w:val="0"/>
              <w:spacing w:before="156" w:beforeLines="50" w:after="50" w:line="360" w:lineRule="exact"/>
              <w:ind w:left="5250"/>
              <w:rPr>
                <w:rFonts w:hint="eastAsia"/>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2A3C9FFB">
            <w:pPr>
              <w:snapToGrid w:val="0"/>
              <w:spacing w:before="156" w:beforeLines="50" w:after="50" w:line="360" w:lineRule="exact"/>
              <w:rPr>
                <w:rFonts w:hint="eastAsia" w:ascii="宋体"/>
                <w:szCs w:val="21"/>
              </w:rPr>
            </w:pPr>
          </w:p>
        </w:tc>
        <w:tc>
          <w:tcPr>
            <w:tcW w:w="2084" w:type="dxa"/>
            <w:tcBorders>
              <w:top w:val="single" w:color="auto" w:sz="4" w:space="0"/>
              <w:left w:val="single" w:color="auto" w:sz="4" w:space="0"/>
              <w:bottom w:val="single" w:color="auto" w:sz="4" w:space="0"/>
              <w:right w:val="single" w:color="auto" w:sz="4" w:space="0"/>
            </w:tcBorders>
            <w:noWrap w:val="0"/>
            <w:vAlign w:val="top"/>
          </w:tcPr>
          <w:p w14:paraId="77297235">
            <w:pPr>
              <w:snapToGrid w:val="0"/>
              <w:spacing w:before="156" w:beforeLines="50" w:after="50" w:line="360" w:lineRule="exact"/>
              <w:rPr>
                <w:rFonts w:hint="eastAsia" w:ascii="宋体"/>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06F1D8D5">
            <w:pPr>
              <w:snapToGrid w:val="0"/>
              <w:spacing w:before="156" w:beforeLines="50" w:after="50" w:line="360" w:lineRule="exact"/>
              <w:rPr>
                <w:rFonts w:hint="eastAsia" w:ascii="宋体"/>
                <w:szCs w:val="21"/>
              </w:rPr>
            </w:pPr>
          </w:p>
        </w:tc>
      </w:tr>
    </w:tbl>
    <w:p w14:paraId="3658399F">
      <w:pPr>
        <w:snapToGrid w:val="0"/>
        <w:spacing w:line="360" w:lineRule="auto"/>
        <w:ind w:firstLine="5640" w:firstLineChars="2350"/>
        <w:rPr>
          <w:rFonts w:hint="eastAsia" w:ascii="仿宋_GB2312" w:hAnsi="仿宋" w:eastAsia="仿宋_GB2312" w:cs="仿宋_GB2312"/>
          <w:color w:val="auto"/>
          <w:kern w:val="0"/>
          <w:sz w:val="24"/>
          <w:highlight w:val="none"/>
          <w:lang w:val="zh-CN"/>
        </w:rPr>
      </w:pPr>
    </w:p>
    <w:p w14:paraId="33836C1E">
      <w:pPr>
        <w:snapToGrid w:val="0"/>
        <w:spacing w:before="50" w:after="50" w:line="360" w:lineRule="exact"/>
        <w:rPr>
          <w:rFonts w:hint="eastAsia" w:ascii="宋体"/>
          <w:spacing w:val="20"/>
          <w:szCs w:val="21"/>
          <w:u w:val="single"/>
        </w:rPr>
      </w:pPr>
      <w:r>
        <w:rPr>
          <w:rFonts w:hint="eastAsia" w:ascii="宋体"/>
          <w:szCs w:val="21"/>
        </w:rPr>
        <w:t>法定代表人（负责人）或委托代理人签字或盖章</w:t>
      </w:r>
      <w:r>
        <w:rPr>
          <w:rFonts w:hint="eastAsia" w:ascii="宋体"/>
          <w:spacing w:val="20"/>
          <w:szCs w:val="21"/>
        </w:rPr>
        <w:t>：</w:t>
      </w:r>
      <w:r>
        <w:rPr>
          <w:rFonts w:hint="eastAsia" w:ascii="宋体"/>
          <w:spacing w:val="20"/>
          <w:szCs w:val="21"/>
          <w:u w:val="single"/>
        </w:rPr>
        <w:t xml:space="preserve">        </w:t>
      </w:r>
    </w:p>
    <w:p w14:paraId="008A53EA">
      <w:pPr>
        <w:snapToGrid w:val="0"/>
        <w:spacing w:before="50" w:after="50" w:line="360" w:lineRule="exact"/>
        <w:rPr>
          <w:rFonts w:hint="eastAsia" w:ascii="宋体"/>
          <w:szCs w:val="21"/>
        </w:rPr>
      </w:pPr>
      <w:r>
        <w:rPr>
          <w:rFonts w:hint="eastAsia"/>
        </w:rPr>
        <w:t>投标人名称（</w:t>
      </w:r>
      <w:r>
        <w:rPr>
          <w:rFonts w:hint="eastAsia" w:ascii="宋体"/>
          <w:szCs w:val="21"/>
        </w:rPr>
        <w:t>盖章</w:t>
      </w:r>
      <w:r>
        <w:rPr>
          <w:rFonts w:hint="eastAsia"/>
        </w:rPr>
        <w:t>）</w:t>
      </w:r>
      <w:r>
        <w:rPr>
          <w:rFonts w:hint="eastAsia" w:ascii="宋体"/>
          <w:spacing w:val="20"/>
          <w:szCs w:val="21"/>
        </w:rPr>
        <w:t>：</w:t>
      </w:r>
      <w:r>
        <w:rPr>
          <w:rFonts w:hint="eastAsia" w:ascii="宋体"/>
          <w:spacing w:val="20"/>
          <w:szCs w:val="21"/>
          <w:u w:val="single"/>
        </w:rPr>
        <w:t xml:space="preserve">            </w:t>
      </w:r>
      <w:r>
        <w:rPr>
          <w:rFonts w:hint="eastAsia" w:ascii="宋体"/>
          <w:spacing w:val="20"/>
          <w:szCs w:val="21"/>
        </w:rPr>
        <w:t xml:space="preserve">            日 期：</w:t>
      </w:r>
      <w:r>
        <w:rPr>
          <w:rFonts w:hint="eastAsia" w:ascii="宋体"/>
          <w:spacing w:val="20"/>
          <w:szCs w:val="21"/>
          <w:u w:val="single"/>
        </w:rPr>
        <w:t xml:space="preserve">            </w:t>
      </w:r>
    </w:p>
    <w:p w14:paraId="48FD1300">
      <w:pPr>
        <w:rPr>
          <w:rFonts w:hint="eastAsia"/>
        </w:rPr>
      </w:pPr>
    </w:p>
    <w:p w14:paraId="1A820262">
      <w:pPr>
        <w:rPr>
          <w:rFonts w:hint="eastAsia"/>
        </w:rPr>
      </w:pPr>
    </w:p>
    <w:p w14:paraId="41C771F5">
      <w:pPr>
        <w:numPr>
          <w:ilvl w:val="0"/>
          <w:numId w:val="0"/>
        </w:numPr>
        <w:spacing w:line="360" w:lineRule="exact"/>
        <w:ind w:left="420" w:leftChars="0" w:firstLine="0" w:firstLineChars="0"/>
        <w:rPr>
          <w:rFonts w:hint="eastAsia"/>
        </w:rPr>
      </w:pPr>
      <w:r>
        <w:rPr>
          <w:rFonts w:hint="eastAsia"/>
          <w:kern w:val="2"/>
          <w:sz w:val="21"/>
          <w:szCs w:val="24"/>
          <w:lang w:val="en-US" w:eastAsia="zh-CN" w:bidi="ar-SA"/>
        </w:rPr>
        <w:t>（4）</w:t>
      </w:r>
      <w:r>
        <w:rPr>
          <w:rFonts w:hint="eastAsia"/>
        </w:rPr>
        <w:t>优惠条件：投标人承诺给予招标人的各种优惠条件</w:t>
      </w:r>
    </w:p>
    <w:p w14:paraId="6E77AE2D">
      <w:pPr>
        <w:rPr>
          <w:rFonts w:hint="eastAsia"/>
        </w:rPr>
      </w:pPr>
    </w:p>
    <w:p w14:paraId="63F83A4F">
      <w:pPr>
        <w:rPr>
          <w:rFonts w:hint="eastAsia"/>
        </w:rPr>
      </w:pPr>
      <w:r>
        <w:rPr>
          <w:rFonts w:hint="eastAsia"/>
        </w:rPr>
        <w:t xml:space="preserve">   </w:t>
      </w:r>
    </w:p>
    <w:p w14:paraId="55A79474">
      <w:pPr>
        <w:ind w:firstLine="420" w:firstLineChars="200"/>
        <w:rPr>
          <w:rFonts w:hint="eastAsia"/>
        </w:rPr>
      </w:pPr>
      <w:r>
        <w:rPr>
          <w:rFonts w:hint="eastAsia"/>
        </w:rPr>
        <w:t xml:space="preserve"> （5）投标人对本项目的合理化建议和改进措施（格式自拟）</w:t>
      </w:r>
    </w:p>
    <w:p w14:paraId="5441C080">
      <w:pPr>
        <w:snapToGrid w:val="0"/>
        <w:spacing w:line="360" w:lineRule="auto"/>
        <w:ind w:firstLine="5640" w:firstLineChars="2350"/>
        <w:rPr>
          <w:rFonts w:hint="eastAsia" w:ascii="仿宋_GB2312" w:hAnsi="仿宋" w:eastAsia="仿宋_GB2312" w:cs="仿宋_GB2312"/>
          <w:color w:val="auto"/>
          <w:kern w:val="0"/>
          <w:sz w:val="24"/>
          <w:highlight w:val="none"/>
          <w:lang w:val="zh-CN"/>
        </w:rPr>
      </w:pPr>
    </w:p>
    <w:p w14:paraId="3E7580A2">
      <w:pPr>
        <w:rPr>
          <w:rFonts w:hint="eastAsia"/>
        </w:rPr>
      </w:pPr>
      <w:r>
        <w:rPr>
          <w:rFonts w:hint="eastAsia"/>
        </w:rPr>
        <w:t xml:space="preserve">    （6）投标人认为需要提供的其他材料（格式自拟）</w:t>
      </w:r>
    </w:p>
    <w:p w14:paraId="41DD9CBD">
      <w:pPr>
        <w:rPr>
          <w:rFonts w:hint="eastAsia"/>
        </w:rPr>
      </w:pPr>
    </w:p>
    <w:p w14:paraId="2EB5D557">
      <w:pPr>
        <w:spacing w:line="360" w:lineRule="exact"/>
      </w:pPr>
      <w:r>
        <w:rPr>
          <w:rFonts w:hint="eastAsia"/>
        </w:rPr>
        <w:t xml:space="preserve">    （7）招标项目采购需求中要求必须提供的材料（招标项目采购需求中要求必须提供的材料，据实提供）</w:t>
      </w:r>
    </w:p>
    <w:p w14:paraId="1CB70CA6">
      <w:pPr>
        <w:snapToGrid w:val="0"/>
        <w:spacing w:line="360" w:lineRule="auto"/>
        <w:ind w:firstLine="5640" w:firstLineChars="2350"/>
        <w:rPr>
          <w:rFonts w:hint="eastAsia" w:ascii="仿宋_GB2312" w:hAnsi="仿宋" w:eastAsia="仿宋_GB2312" w:cs="仿宋_GB2312"/>
          <w:color w:val="auto"/>
          <w:kern w:val="0"/>
          <w:sz w:val="24"/>
          <w:highlight w:val="none"/>
          <w:lang w:val="zh-CN"/>
        </w:rPr>
      </w:pPr>
    </w:p>
    <w:p w14:paraId="0ADD35C3">
      <w:pPr>
        <w:snapToGrid w:val="0"/>
        <w:spacing w:line="360" w:lineRule="auto"/>
        <w:rPr>
          <w:rFonts w:hint="eastAsia"/>
          <w:b/>
        </w:rPr>
      </w:pPr>
      <w:r>
        <w:rPr>
          <w:rFonts w:hint="eastAsia"/>
          <w:b/>
        </w:rPr>
        <w:br w:type="page"/>
      </w:r>
      <w:r>
        <w:rPr>
          <w:rFonts w:hint="eastAsia"/>
          <w:b/>
        </w:rPr>
        <w:t>三）报价文件部分 （格式）</w:t>
      </w:r>
    </w:p>
    <w:p w14:paraId="12B221D2">
      <w:pPr>
        <w:rPr>
          <w:rFonts w:hint="eastAsia"/>
        </w:rPr>
      </w:pPr>
      <w:r>
        <w:rPr>
          <w:rFonts w:hint="eastAsia"/>
        </w:rPr>
        <w:t xml:space="preserve">    （1）投标函格式</w:t>
      </w:r>
    </w:p>
    <w:p w14:paraId="328C47AD">
      <w:pPr>
        <w:snapToGrid w:val="0"/>
        <w:spacing w:before="156" w:beforeLines="50" w:after="50" w:line="360" w:lineRule="exact"/>
        <w:jc w:val="center"/>
        <w:rPr>
          <w:rFonts w:hint="eastAsia" w:ascii="宋体"/>
          <w:b/>
          <w:szCs w:val="21"/>
        </w:rPr>
      </w:pPr>
      <w:r>
        <w:rPr>
          <w:rFonts w:hint="eastAsia" w:ascii="宋体"/>
          <w:b/>
          <w:szCs w:val="21"/>
        </w:rPr>
        <w:t>投 标 函</w:t>
      </w:r>
    </w:p>
    <w:p w14:paraId="58019B99">
      <w:pPr>
        <w:snapToGrid w:val="0"/>
        <w:spacing w:line="400" w:lineRule="exact"/>
        <w:rPr>
          <w:rFonts w:hint="eastAsia" w:ascii="宋体"/>
          <w:szCs w:val="21"/>
        </w:rPr>
      </w:pPr>
      <w:r>
        <w:rPr>
          <w:rFonts w:hint="eastAsia" w:ascii="宋体"/>
          <w:szCs w:val="21"/>
        </w:rPr>
        <w:t>致：</w:t>
      </w:r>
      <w:r>
        <w:rPr>
          <w:rFonts w:hint="eastAsia" w:ascii="宋体"/>
          <w:szCs w:val="21"/>
          <w:u w:val="single"/>
        </w:rPr>
        <w:t xml:space="preserve"> </w:t>
      </w:r>
      <w:r>
        <w:rPr>
          <w:rFonts w:hint="eastAsia"/>
          <w:u w:val="single"/>
          <w:lang w:eastAsia="zh-CN"/>
        </w:rPr>
        <w:t>广西中吉银工程项目管理有限公司</w:t>
      </w:r>
      <w:r>
        <w:rPr>
          <w:rFonts w:hint="eastAsia"/>
          <w:u w:val="single"/>
        </w:rPr>
        <w:t xml:space="preserve"> </w:t>
      </w:r>
    </w:p>
    <w:p w14:paraId="0E1398BA">
      <w:pPr>
        <w:snapToGrid w:val="0"/>
        <w:spacing w:line="400" w:lineRule="exact"/>
        <w:rPr>
          <w:rFonts w:hint="eastAsia" w:ascii="宋体"/>
          <w:szCs w:val="21"/>
        </w:rPr>
      </w:pPr>
      <w:r>
        <w:rPr>
          <w:rFonts w:hint="eastAsia" w:ascii="宋体"/>
          <w:szCs w:val="21"/>
        </w:rPr>
        <w:t xml:space="preserve">    根据贵方为</w:t>
      </w:r>
      <w:r>
        <w:rPr>
          <w:rFonts w:hint="eastAsia" w:ascii="宋体"/>
          <w:szCs w:val="21"/>
          <w:u w:val="single"/>
        </w:rPr>
        <w:t xml:space="preserve">               </w:t>
      </w:r>
      <w:r>
        <w:rPr>
          <w:rFonts w:hint="eastAsia" w:ascii="宋体"/>
          <w:szCs w:val="21"/>
        </w:rPr>
        <w:t>项目的招标公告（项目编号：</w:t>
      </w:r>
      <w:r>
        <w:rPr>
          <w:rFonts w:hint="eastAsia" w:ascii="宋体"/>
          <w:szCs w:val="21"/>
          <w:u w:val="single"/>
        </w:rPr>
        <w:t xml:space="preserve">            </w:t>
      </w:r>
      <w:r>
        <w:rPr>
          <w:rFonts w:hint="eastAsia" w:ascii="宋体"/>
          <w:szCs w:val="21"/>
        </w:rPr>
        <w:t>），签字代表</w:t>
      </w:r>
      <w:r>
        <w:rPr>
          <w:rFonts w:hint="eastAsia" w:ascii="宋体"/>
          <w:szCs w:val="21"/>
          <w:u w:val="single"/>
        </w:rPr>
        <w:t xml:space="preserve">        </w:t>
      </w:r>
      <w:r>
        <w:rPr>
          <w:rFonts w:hint="eastAsia" w:ascii="宋体"/>
          <w:szCs w:val="21"/>
        </w:rPr>
        <w:t>（全名）经正式授权并代表投标人</w:t>
      </w:r>
      <w:r>
        <w:rPr>
          <w:rFonts w:hint="eastAsia" w:ascii="宋体"/>
          <w:szCs w:val="21"/>
          <w:u w:val="single"/>
        </w:rPr>
        <w:t xml:space="preserve">                      </w:t>
      </w:r>
      <w:r>
        <w:rPr>
          <w:rFonts w:hint="eastAsia" w:ascii="宋体"/>
          <w:szCs w:val="21"/>
        </w:rPr>
        <w:t>（投标人名称）</w:t>
      </w:r>
      <w:r>
        <w:rPr>
          <w:rFonts w:hint="eastAsia" w:ascii="宋体" w:hAnsi="宋体"/>
          <w:szCs w:val="21"/>
        </w:rPr>
        <w:t>上传并提交加密的电子投标文件一份。</w:t>
      </w:r>
    </w:p>
    <w:p w14:paraId="4113AC2E">
      <w:pPr>
        <w:snapToGrid w:val="0"/>
        <w:spacing w:line="400" w:lineRule="exact"/>
        <w:rPr>
          <w:rFonts w:hint="eastAsia" w:ascii="宋体"/>
          <w:szCs w:val="21"/>
        </w:rPr>
      </w:pPr>
      <w:r>
        <w:rPr>
          <w:rFonts w:hint="eastAsia" w:ascii="宋体"/>
          <w:szCs w:val="21"/>
        </w:rPr>
        <w:t xml:space="preserve">    据此函，签字代表宣布同意如下：</w:t>
      </w:r>
    </w:p>
    <w:p w14:paraId="720BC3F6">
      <w:pPr>
        <w:snapToGrid w:val="0"/>
        <w:spacing w:line="400" w:lineRule="exact"/>
        <w:rPr>
          <w:rFonts w:hint="eastAsia" w:ascii="宋体"/>
          <w:szCs w:val="21"/>
        </w:rPr>
      </w:pPr>
      <w:r>
        <w:rPr>
          <w:rFonts w:hint="eastAsia" w:ascii="宋体"/>
          <w:szCs w:val="21"/>
        </w:rPr>
        <w:t xml:space="preserve">    1.投标人已详细审查全部“招标文件”，包括修改文件（如有的话）以及全部参考资料和有关附件，已经了解我方对于招标文件、采购过程、采购结果有依法进行询问、质疑、投诉的权利及相关渠道和要求。</w:t>
      </w:r>
    </w:p>
    <w:p w14:paraId="50BB7CB4">
      <w:pPr>
        <w:snapToGrid w:val="0"/>
        <w:spacing w:line="400" w:lineRule="exact"/>
        <w:rPr>
          <w:rFonts w:hint="eastAsia" w:ascii="宋体"/>
          <w:szCs w:val="21"/>
        </w:rPr>
      </w:pPr>
      <w:r>
        <w:rPr>
          <w:rFonts w:hint="eastAsia" w:ascii="宋体"/>
          <w:szCs w:val="21"/>
        </w:rPr>
        <w:t xml:space="preserve">    2.投标人在投标之前已经与贵方进行了充分的沟通，完全理解并接受招标文件的各项规定和要求，对招标文件的合理性、合法性不再有异议。</w:t>
      </w:r>
    </w:p>
    <w:p w14:paraId="5BBE493C">
      <w:pPr>
        <w:snapToGrid w:val="0"/>
        <w:spacing w:line="400" w:lineRule="exact"/>
        <w:rPr>
          <w:rFonts w:hint="eastAsia" w:ascii="宋体"/>
          <w:szCs w:val="21"/>
        </w:rPr>
      </w:pPr>
      <w:r>
        <w:rPr>
          <w:rFonts w:hint="eastAsia" w:ascii="宋体"/>
          <w:szCs w:val="21"/>
        </w:rPr>
        <w:t xml:space="preserve">    3.本投标有效期自提交投标文件截止之日起</w:t>
      </w:r>
      <w:r>
        <w:rPr>
          <w:rFonts w:hint="eastAsia" w:ascii="宋体"/>
          <w:szCs w:val="21"/>
          <w:u w:val="single"/>
        </w:rPr>
        <w:t xml:space="preserve">         </w:t>
      </w:r>
      <w:r>
        <w:rPr>
          <w:rFonts w:hint="eastAsia" w:ascii="宋体"/>
          <w:szCs w:val="21"/>
        </w:rPr>
        <w:t>天。</w:t>
      </w:r>
    </w:p>
    <w:p w14:paraId="395238C1">
      <w:pPr>
        <w:snapToGrid w:val="0"/>
        <w:spacing w:line="400" w:lineRule="exact"/>
        <w:rPr>
          <w:rFonts w:hint="eastAsia" w:ascii="宋体"/>
          <w:szCs w:val="21"/>
        </w:rPr>
      </w:pPr>
      <w:r>
        <w:rPr>
          <w:rFonts w:hint="eastAsia" w:ascii="宋体"/>
          <w:szCs w:val="21"/>
        </w:rPr>
        <w:t xml:space="preserve">    4.如中标，本投标文件至本项目合同履行完毕止均保持有效，本投标人将按“招标文件”及政府采购法律、法规的规定履行合同责任和义务。</w:t>
      </w:r>
    </w:p>
    <w:p w14:paraId="794C21B6">
      <w:pPr>
        <w:snapToGrid w:val="0"/>
        <w:spacing w:line="400" w:lineRule="exact"/>
        <w:rPr>
          <w:rFonts w:hint="eastAsia" w:ascii="宋体"/>
          <w:szCs w:val="21"/>
        </w:rPr>
      </w:pPr>
      <w:r>
        <w:rPr>
          <w:rFonts w:hint="eastAsia" w:ascii="宋体"/>
          <w:szCs w:val="21"/>
        </w:rPr>
        <w:t xml:space="preserve">    5.投标人同意按照贵方要求提供与投标有关的一切数据或资料。</w:t>
      </w:r>
    </w:p>
    <w:p w14:paraId="16E375C0">
      <w:pPr>
        <w:snapToGrid w:val="0"/>
        <w:spacing w:line="400" w:lineRule="exact"/>
        <w:rPr>
          <w:rFonts w:hint="eastAsia" w:ascii="宋体"/>
          <w:szCs w:val="21"/>
        </w:rPr>
      </w:pPr>
      <w:r>
        <w:rPr>
          <w:rFonts w:hint="eastAsia" w:ascii="宋体"/>
          <w:szCs w:val="21"/>
        </w:rPr>
        <w:t xml:space="preserve">    6.与本投标有关的一切正式往来信函请寄：</w:t>
      </w:r>
    </w:p>
    <w:p w14:paraId="21DD7F1A">
      <w:pPr>
        <w:snapToGrid w:val="0"/>
        <w:spacing w:line="400" w:lineRule="exact"/>
        <w:rPr>
          <w:rFonts w:hint="eastAsia" w:ascii="宋体"/>
          <w:szCs w:val="21"/>
        </w:rPr>
      </w:pPr>
    </w:p>
    <w:p w14:paraId="3CB7F5AB">
      <w:pPr>
        <w:snapToGrid w:val="0"/>
        <w:spacing w:line="400" w:lineRule="exact"/>
        <w:rPr>
          <w:rFonts w:hint="eastAsia" w:ascii="宋体"/>
          <w:szCs w:val="21"/>
          <w:u w:val="single"/>
        </w:rPr>
      </w:pPr>
      <w:r>
        <w:rPr>
          <w:rFonts w:hint="eastAsia" w:ascii="宋体"/>
          <w:szCs w:val="21"/>
        </w:rPr>
        <w:t>地址：</w:t>
      </w:r>
      <w:r>
        <w:rPr>
          <w:rFonts w:hint="eastAsia" w:ascii="宋体"/>
          <w:szCs w:val="21"/>
          <w:u w:val="single"/>
        </w:rPr>
        <w:t xml:space="preserve">                         </w:t>
      </w:r>
      <w:r>
        <w:rPr>
          <w:rFonts w:hint="eastAsia" w:ascii="宋体"/>
          <w:szCs w:val="21"/>
        </w:rPr>
        <w:t>邮编：</w:t>
      </w:r>
      <w:r>
        <w:rPr>
          <w:rFonts w:hint="eastAsia" w:ascii="宋体"/>
          <w:szCs w:val="21"/>
          <w:u w:val="single"/>
        </w:rPr>
        <w:t xml:space="preserve">            </w:t>
      </w:r>
      <w:r>
        <w:rPr>
          <w:rFonts w:hint="eastAsia" w:ascii="宋体"/>
          <w:szCs w:val="21"/>
        </w:rPr>
        <w:t xml:space="preserve">   电话：</w:t>
      </w:r>
      <w:r>
        <w:rPr>
          <w:rFonts w:hint="eastAsia" w:ascii="宋体"/>
          <w:szCs w:val="21"/>
          <w:u w:val="single"/>
        </w:rPr>
        <w:t xml:space="preserve">               </w:t>
      </w:r>
    </w:p>
    <w:p w14:paraId="04E8CB42">
      <w:pPr>
        <w:snapToGrid w:val="0"/>
        <w:spacing w:line="400" w:lineRule="exact"/>
        <w:rPr>
          <w:rFonts w:hint="eastAsia" w:ascii="宋体"/>
          <w:szCs w:val="21"/>
          <w:u w:val="single"/>
        </w:rPr>
      </w:pPr>
      <w:r>
        <w:rPr>
          <w:rFonts w:hint="eastAsia" w:ascii="宋体"/>
          <w:szCs w:val="21"/>
        </w:rPr>
        <w:t>传真：</w:t>
      </w:r>
      <w:r>
        <w:rPr>
          <w:rFonts w:hint="eastAsia" w:ascii="宋体"/>
          <w:szCs w:val="21"/>
          <w:u w:val="single"/>
        </w:rPr>
        <w:t xml:space="preserve">               </w:t>
      </w:r>
      <w:r>
        <w:rPr>
          <w:rFonts w:hint="eastAsia" w:ascii="宋体"/>
          <w:szCs w:val="21"/>
        </w:rPr>
        <w:t>投标人代表姓名：</w:t>
      </w:r>
      <w:r>
        <w:rPr>
          <w:rFonts w:hint="eastAsia" w:ascii="宋体"/>
          <w:szCs w:val="21"/>
          <w:u w:val="single"/>
        </w:rPr>
        <w:t xml:space="preserve">            </w:t>
      </w:r>
      <w:r>
        <w:rPr>
          <w:rFonts w:hint="eastAsia" w:ascii="宋体"/>
          <w:szCs w:val="21"/>
        </w:rPr>
        <w:t xml:space="preserve">  职务：</w:t>
      </w:r>
      <w:r>
        <w:rPr>
          <w:rFonts w:hint="eastAsia" w:ascii="宋体"/>
          <w:szCs w:val="21"/>
          <w:u w:val="single"/>
        </w:rPr>
        <w:t xml:space="preserve">               </w:t>
      </w:r>
    </w:p>
    <w:p w14:paraId="3292C0DF">
      <w:pPr>
        <w:snapToGrid w:val="0"/>
        <w:spacing w:line="400" w:lineRule="exact"/>
        <w:rPr>
          <w:rFonts w:hint="eastAsia" w:ascii="宋体"/>
          <w:szCs w:val="21"/>
        </w:rPr>
      </w:pPr>
      <w:r>
        <w:rPr>
          <w:rFonts w:hint="eastAsia" w:ascii="宋体"/>
          <w:szCs w:val="21"/>
        </w:rPr>
        <w:t>开户银行：</w:t>
      </w:r>
      <w:r>
        <w:rPr>
          <w:rFonts w:hint="eastAsia" w:ascii="宋体"/>
          <w:szCs w:val="21"/>
          <w:u w:val="single"/>
        </w:rPr>
        <w:t xml:space="preserve">                      </w:t>
      </w:r>
      <w:r>
        <w:rPr>
          <w:rFonts w:hint="eastAsia" w:ascii="宋体"/>
          <w:szCs w:val="21"/>
        </w:rPr>
        <w:t xml:space="preserve">   银行账号：</w:t>
      </w:r>
      <w:r>
        <w:rPr>
          <w:rFonts w:hint="eastAsia" w:ascii="宋体"/>
          <w:szCs w:val="21"/>
          <w:u w:val="single"/>
        </w:rPr>
        <w:t xml:space="preserve">                    </w:t>
      </w:r>
      <w:r>
        <w:rPr>
          <w:rFonts w:hint="eastAsia" w:ascii="宋体"/>
          <w:szCs w:val="21"/>
        </w:rPr>
        <w:t xml:space="preserve"> </w:t>
      </w:r>
    </w:p>
    <w:p w14:paraId="6AF417CB">
      <w:pPr>
        <w:snapToGrid w:val="0"/>
        <w:spacing w:line="400" w:lineRule="exact"/>
        <w:rPr>
          <w:rFonts w:hint="eastAsia" w:ascii="宋体"/>
          <w:szCs w:val="21"/>
        </w:rPr>
      </w:pPr>
    </w:p>
    <w:p w14:paraId="6F6C2EC2">
      <w:pPr>
        <w:snapToGrid w:val="0"/>
        <w:spacing w:line="400" w:lineRule="exact"/>
        <w:rPr>
          <w:rFonts w:hint="eastAsia" w:ascii="宋体"/>
          <w:szCs w:val="21"/>
        </w:rPr>
      </w:pPr>
      <w:r>
        <w:rPr>
          <w:rFonts w:hint="eastAsia" w:ascii="宋体"/>
          <w:szCs w:val="21"/>
        </w:rPr>
        <w:t>法定代表人（负责人）或委托代理人签字或盖章</w:t>
      </w:r>
      <w:r>
        <w:rPr>
          <w:rFonts w:hint="eastAsia" w:ascii="宋体"/>
          <w:szCs w:val="21"/>
          <w:lang w:eastAsia="zh-CN"/>
        </w:rPr>
        <w:t>：</w:t>
      </w:r>
      <w:r>
        <w:rPr>
          <w:rFonts w:hint="eastAsia" w:ascii="宋体"/>
          <w:szCs w:val="21"/>
          <w:u w:val="single"/>
        </w:rPr>
        <w:t xml:space="preserve">                </w:t>
      </w:r>
      <w:r>
        <w:rPr>
          <w:rFonts w:hint="eastAsia" w:ascii="宋体"/>
          <w:szCs w:val="21"/>
        </w:rPr>
        <w:t xml:space="preserve">      </w:t>
      </w:r>
    </w:p>
    <w:p w14:paraId="75B49D1F">
      <w:pPr>
        <w:snapToGrid w:val="0"/>
        <w:spacing w:line="400" w:lineRule="exact"/>
        <w:rPr>
          <w:rFonts w:hint="eastAsia" w:ascii="宋体"/>
          <w:szCs w:val="21"/>
        </w:rPr>
      </w:pPr>
      <w:r>
        <w:rPr>
          <w:rFonts w:hint="eastAsia"/>
        </w:rPr>
        <w:t>投标人名称（</w:t>
      </w:r>
      <w:r>
        <w:rPr>
          <w:rFonts w:hint="eastAsia" w:ascii="宋体"/>
          <w:szCs w:val="21"/>
        </w:rPr>
        <w:t>盖章</w:t>
      </w:r>
      <w:r>
        <w:rPr>
          <w:rFonts w:hint="eastAsia"/>
        </w:rPr>
        <w:t>）</w:t>
      </w:r>
      <w:r>
        <w:rPr>
          <w:rFonts w:hint="eastAsia"/>
          <w:lang w:eastAsia="zh-CN"/>
        </w:rPr>
        <w:t>：</w:t>
      </w:r>
      <w:r>
        <w:rPr>
          <w:rFonts w:hint="eastAsia" w:ascii="宋体"/>
          <w:szCs w:val="21"/>
          <w:u w:val="single"/>
        </w:rPr>
        <w:t xml:space="preserve">              </w:t>
      </w:r>
    </w:p>
    <w:p w14:paraId="310F05CD">
      <w:pPr>
        <w:snapToGrid w:val="0"/>
        <w:spacing w:line="400" w:lineRule="exact"/>
        <w:jc w:val="left"/>
        <w:rPr>
          <w:rFonts w:hint="eastAsia" w:ascii="宋体"/>
          <w:szCs w:val="21"/>
        </w:rPr>
      </w:pPr>
      <w:r>
        <w:rPr>
          <w:rFonts w:hint="eastAsia" w:ascii="宋体"/>
          <w:szCs w:val="21"/>
        </w:rPr>
        <w:t>日期:</w:t>
      </w:r>
      <w:r>
        <w:rPr>
          <w:rFonts w:hint="eastAsia" w:ascii="宋体"/>
          <w:szCs w:val="21"/>
          <w:u w:val="single"/>
        </w:rPr>
        <w:t xml:space="preserve">       </w:t>
      </w:r>
      <w:r>
        <w:rPr>
          <w:rFonts w:hint="eastAsia" w:ascii="宋体"/>
          <w:szCs w:val="21"/>
        </w:rPr>
        <w:t>年</w:t>
      </w:r>
      <w:r>
        <w:rPr>
          <w:rFonts w:hint="eastAsia" w:ascii="宋体"/>
          <w:szCs w:val="21"/>
          <w:u w:val="single"/>
        </w:rPr>
        <w:t xml:space="preserve">    </w:t>
      </w:r>
      <w:r>
        <w:rPr>
          <w:rFonts w:hint="eastAsia" w:ascii="宋体"/>
          <w:szCs w:val="21"/>
        </w:rPr>
        <w:t>月</w:t>
      </w:r>
      <w:r>
        <w:rPr>
          <w:rFonts w:hint="eastAsia" w:ascii="宋体"/>
          <w:szCs w:val="21"/>
          <w:u w:val="single"/>
        </w:rPr>
        <w:t xml:space="preserve">    </w:t>
      </w:r>
      <w:r>
        <w:rPr>
          <w:rFonts w:hint="eastAsia" w:ascii="宋体"/>
          <w:szCs w:val="21"/>
        </w:rPr>
        <w:t>日</w:t>
      </w:r>
    </w:p>
    <w:p w14:paraId="78870B58">
      <w:pPr>
        <w:rPr>
          <w:rFonts w:hint="eastAsia"/>
        </w:rPr>
      </w:pPr>
    </w:p>
    <w:p w14:paraId="72A84958">
      <w:pPr>
        <w:rPr>
          <w:rFonts w:hint="eastAsia"/>
        </w:rPr>
      </w:pPr>
    </w:p>
    <w:p w14:paraId="0724C529">
      <w:pPr>
        <w:rPr>
          <w:rFonts w:hint="eastAsia"/>
        </w:rPr>
      </w:pPr>
    </w:p>
    <w:p w14:paraId="7FE81578">
      <w:pPr>
        <w:spacing w:line="720" w:lineRule="auto"/>
        <w:rPr>
          <w:rFonts w:hint="eastAsia"/>
        </w:rPr>
      </w:pPr>
      <w:r>
        <w:br w:type="page"/>
      </w:r>
      <w:r>
        <w:rPr>
          <w:rFonts w:hint="eastAsia"/>
        </w:rPr>
        <w:t xml:space="preserve"> （2）投标报价明细表格式</w:t>
      </w:r>
    </w:p>
    <w:p w14:paraId="52C2BC95">
      <w:pPr>
        <w:spacing w:line="360" w:lineRule="exact"/>
        <w:jc w:val="center"/>
        <w:rPr>
          <w:rFonts w:hint="eastAsia"/>
          <w:b/>
        </w:rPr>
      </w:pPr>
      <w:r>
        <w:rPr>
          <w:rFonts w:hint="eastAsia"/>
          <w:b/>
        </w:rPr>
        <w:t>投标报价明细表</w:t>
      </w:r>
    </w:p>
    <w:p w14:paraId="516663EC">
      <w:pPr>
        <w:ind w:firstLine="420" w:firstLineChars="200"/>
        <w:rPr>
          <w:rFonts w:hint="eastAsia"/>
        </w:rPr>
      </w:pPr>
      <w:r>
        <w:rPr>
          <w:rFonts w:hint="eastAsia"/>
        </w:rPr>
        <w:t xml:space="preserve">    分标号（如有）：                                               金额单位：人民币（元）</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0"/>
        <w:gridCol w:w="1509"/>
        <w:gridCol w:w="1530"/>
        <w:gridCol w:w="2525"/>
        <w:gridCol w:w="2041"/>
        <w:gridCol w:w="1244"/>
      </w:tblGrid>
      <w:tr w14:paraId="2506C3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14:paraId="076CEF2F">
            <w:pPr>
              <w:snapToGrid w:val="0"/>
              <w:spacing w:before="50" w:after="50" w:line="360" w:lineRule="exact"/>
              <w:rPr>
                <w:rFonts w:hint="eastAsia" w:ascii="宋体" w:hAnsi="宋体"/>
                <w:szCs w:val="21"/>
              </w:rPr>
            </w:pPr>
            <w:r>
              <w:rPr>
                <w:rFonts w:hint="eastAsia" w:ascii="宋体" w:hAnsi="宋体"/>
                <w:szCs w:val="21"/>
              </w:rPr>
              <w:t>序号</w:t>
            </w:r>
          </w:p>
        </w:tc>
        <w:tc>
          <w:tcPr>
            <w:tcW w:w="1509" w:type="dxa"/>
            <w:tcBorders>
              <w:top w:val="single" w:color="auto" w:sz="4" w:space="0"/>
              <w:left w:val="single" w:color="auto" w:sz="4" w:space="0"/>
              <w:bottom w:val="single" w:color="auto" w:sz="4" w:space="0"/>
              <w:right w:val="single" w:color="auto" w:sz="4" w:space="0"/>
            </w:tcBorders>
            <w:noWrap w:val="0"/>
            <w:vAlign w:val="center"/>
          </w:tcPr>
          <w:p w14:paraId="1308C34A">
            <w:pPr>
              <w:snapToGrid w:val="0"/>
              <w:spacing w:before="50" w:after="50" w:line="360" w:lineRule="exact"/>
              <w:jc w:val="center"/>
              <w:rPr>
                <w:rFonts w:hint="eastAsia" w:ascii="宋体" w:hAnsi="宋体"/>
                <w:szCs w:val="21"/>
              </w:rPr>
            </w:pPr>
            <w:r>
              <w:rPr>
                <w:rFonts w:hint="eastAsia" w:ascii="宋体" w:hAnsi="宋体"/>
                <w:szCs w:val="21"/>
              </w:rPr>
              <w:t>服务项目名称</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3E282E13">
            <w:pPr>
              <w:snapToGrid w:val="0"/>
              <w:spacing w:before="50" w:after="50" w:line="360" w:lineRule="exact"/>
              <w:jc w:val="center"/>
              <w:rPr>
                <w:rFonts w:hint="default" w:ascii="宋体" w:hAnsi="宋体" w:eastAsia="宋体"/>
                <w:szCs w:val="21"/>
                <w:lang w:val="en-US" w:eastAsia="zh-CN"/>
              </w:rPr>
            </w:pPr>
            <w:r>
              <w:rPr>
                <w:rFonts w:hint="eastAsia" w:ascii="宋体" w:hAnsi="宋体"/>
                <w:szCs w:val="21"/>
                <w:lang w:val="en-US" w:eastAsia="zh-CN"/>
              </w:rPr>
              <w:t>数量及单位</w:t>
            </w:r>
          </w:p>
        </w:tc>
        <w:tc>
          <w:tcPr>
            <w:tcW w:w="2525" w:type="dxa"/>
            <w:tcBorders>
              <w:top w:val="single" w:color="auto" w:sz="4" w:space="0"/>
              <w:left w:val="single" w:color="auto" w:sz="4" w:space="0"/>
              <w:bottom w:val="single" w:color="auto" w:sz="4" w:space="0"/>
              <w:right w:val="single" w:color="auto" w:sz="4" w:space="0"/>
            </w:tcBorders>
            <w:noWrap w:val="0"/>
            <w:vAlign w:val="center"/>
          </w:tcPr>
          <w:p w14:paraId="28ACEA0E">
            <w:pPr>
              <w:snapToGrid w:val="0"/>
              <w:spacing w:before="50" w:after="50" w:line="360" w:lineRule="exact"/>
              <w:jc w:val="center"/>
              <w:rPr>
                <w:rFonts w:hint="default" w:ascii="宋体" w:hAnsi="宋体" w:eastAsia="宋体"/>
                <w:szCs w:val="21"/>
                <w:lang w:val="en-US" w:eastAsia="zh-CN"/>
              </w:rPr>
            </w:pPr>
            <w:r>
              <w:rPr>
                <w:rFonts w:hint="eastAsia" w:ascii="宋体" w:hAnsi="宋体"/>
                <w:szCs w:val="21"/>
                <w:lang w:val="en-US" w:eastAsia="zh-CN"/>
              </w:rPr>
              <w:t>服务内容</w:t>
            </w:r>
          </w:p>
        </w:tc>
        <w:tc>
          <w:tcPr>
            <w:tcW w:w="2041" w:type="dxa"/>
            <w:tcBorders>
              <w:top w:val="single" w:color="auto" w:sz="4" w:space="0"/>
              <w:left w:val="single" w:color="auto" w:sz="4" w:space="0"/>
              <w:bottom w:val="single" w:color="auto" w:sz="4" w:space="0"/>
              <w:right w:val="single" w:color="auto" w:sz="4" w:space="0"/>
            </w:tcBorders>
            <w:noWrap w:val="0"/>
            <w:vAlign w:val="center"/>
          </w:tcPr>
          <w:p w14:paraId="6DB1C716">
            <w:pPr>
              <w:snapToGrid w:val="0"/>
              <w:spacing w:before="50" w:after="50" w:line="360" w:lineRule="exact"/>
              <w:jc w:val="center"/>
              <w:rPr>
                <w:rFonts w:hint="eastAsia" w:ascii="宋体" w:hAnsi="宋体"/>
                <w:szCs w:val="21"/>
              </w:rPr>
            </w:pPr>
            <w:r>
              <w:rPr>
                <w:rFonts w:hint="eastAsia" w:ascii="宋体" w:hAnsi="宋体"/>
                <w:szCs w:val="21"/>
              </w:rPr>
              <w:t>投标报价（元）</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044C516A">
            <w:pPr>
              <w:snapToGrid w:val="0"/>
              <w:spacing w:before="50" w:after="50" w:line="360" w:lineRule="exact"/>
              <w:jc w:val="center"/>
              <w:rPr>
                <w:rFonts w:hint="eastAsia" w:ascii="宋体" w:hAnsi="宋体"/>
                <w:szCs w:val="21"/>
              </w:rPr>
            </w:pPr>
            <w:r>
              <w:rPr>
                <w:rFonts w:hint="eastAsia" w:ascii="宋体" w:hAnsi="宋体"/>
                <w:szCs w:val="21"/>
              </w:rPr>
              <w:t>备注</w:t>
            </w:r>
          </w:p>
        </w:tc>
      </w:tr>
      <w:tr w14:paraId="2FAADA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14:paraId="18D36EC4">
            <w:pPr>
              <w:jc w:val="center"/>
              <w:rPr>
                <w:rFonts w:hint="eastAsia"/>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14:paraId="4FCEF490">
            <w:pPr>
              <w:jc w:val="center"/>
              <w:rPr>
                <w:rFonts w:hint="eastAsia"/>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14:paraId="6027D91E">
            <w:pPr>
              <w:jc w:val="center"/>
              <w:rPr>
                <w:rFonts w:hint="eastAsia"/>
              </w:rPr>
            </w:pPr>
          </w:p>
        </w:tc>
        <w:tc>
          <w:tcPr>
            <w:tcW w:w="2525" w:type="dxa"/>
            <w:tcBorders>
              <w:top w:val="single" w:color="auto" w:sz="4" w:space="0"/>
              <w:left w:val="single" w:color="auto" w:sz="4" w:space="0"/>
              <w:bottom w:val="single" w:color="auto" w:sz="4" w:space="0"/>
              <w:right w:val="single" w:color="auto" w:sz="4" w:space="0"/>
            </w:tcBorders>
            <w:noWrap w:val="0"/>
            <w:vAlign w:val="center"/>
          </w:tcPr>
          <w:p w14:paraId="6BD4D978">
            <w:pPr>
              <w:jc w:val="center"/>
              <w:rPr>
                <w:rFonts w:hint="eastAsia"/>
              </w:rPr>
            </w:pPr>
          </w:p>
        </w:tc>
        <w:tc>
          <w:tcPr>
            <w:tcW w:w="2041" w:type="dxa"/>
            <w:tcBorders>
              <w:top w:val="single" w:color="auto" w:sz="4" w:space="0"/>
              <w:left w:val="single" w:color="auto" w:sz="4" w:space="0"/>
              <w:bottom w:val="single" w:color="auto" w:sz="4" w:space="0"/>
              <w:right w:val="single" w:color="auto" w:sz="4" w:space="0"/>
            </w:tcBorders>
            <w:noWrap w:val="0"/>
            <w:vAlign w:val="center"/>
          </w:tcPr>
          <w:p w14:paraId="0EA5AE62">
            <w:pPr>
              <w:jc w:val="center"/>
              <w:rPr>
                <w:rFonts w:hint="eastAsia"/>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07A2751D">
            <w:pPr>
              <w:jc w:val="center"/>
              <w:rPr>
                <w:rFonts w:hint="eastAsia"/>
              </w:rPr>
            </w:pPr>
          </w:p>
        </w:tc>
      </w:tr>
      <w:tr w14:paraId="7E7B17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14:paraId="683EFD42">
            <w:pPr>
              <w:jc w:val="center"/>
              <w:rPr>
                <w:rFonts w:hint="eastAsia"/>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14:paraId="02DF7171">
            <w:pPr>
              <w:jc w:val="center"/>
              <w:rPr>
                <w:rFonts w:hint="eastAsia"/>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14:paraId="1CAEDFE7">
            <w:pPr>
              <w:jc w:val="center"/>
              <w:rPr>
                <w:rFonts w:hint="eastAsia"/>
              </w:rPr>
            </w:pPr>
          </w:p>
        </w:tc>
        <w:tc>
          <w:tcPr>
            <w:tcW w:w="2525" w:type="dxa"/>
            <w:tcBorders>
              <w:top w:val="single" w:color="auto" w:sz="4" w:space="0"/>
              <w:left w:val="single" w:color="auto" w:sz="4" w:space="0"/>
              <w:bottom w:val="single" w:color="auto" w:sz="4" w:space="0"/>
              <w:right w:val="single" w:color="auto" w:sz="4" w:space="0"/>
            </w:tcBorders>
            <w:noWrap w:val="0"/>
            <w:vAlign w:val="center"/>
          </w:tcPr>
          <w:p w14:paraId="30CB78DE">
            <w:pPr>
              <w:jc w:val="center"/>
              <w:rPr>
                <w:rFonts w:hint="eastAsia"/>
              </w:rPr>
            </w:pPr>
          </w:p>
        </w:tc>
        <w:tc>
          <w:tcPr>
            <w:tcW w:w="2041" w:type="dxa"/>
            <w:tcBorders>
              <w:top w:val="single" w:color="auto" w:sz="4" w:space="0"/>
              <w:left w:val="single" w:color="auto" w:sz="4" w:space="0"/>
              <w:bottom w:val="single" w:color="auto" w:sz="4" w:space="0"/>
              <w:right w:val="single" w:color="auto" w:sz="4" w:space="0"/>
            </w:tcBorders>
            <w:noWrap w:val="0"/>
            <w:vAlign w:val="center"/>
          </w:tcPr>
          <w:p w14:paraId="04750A10">
            <w:pPr>
              <w:jc w:val="center"/>
              <w:rPr>
                <w:rFonts w:hint="eastAsia"/>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77436AA0">
            <w:pPr>
              <w:jc w:val="center"/>
              <w:rPr>
                <w:rFonts w:hint="eastAsia"/>
              </w:rPr>
            </w:pPr>
          </w:p>
        </w:tc>
      </w:tr>
      <w:tr w14:paraId="78137D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14:paraId="39B53945">
            <w:pPr>
              <w:jc w:val="center"/>
              <w:rPr>
                <w:rFonts w:hint="eastAsia"/>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14:paraId="366729ED">
            <w:pPr>
              <w:jc w:val="center"/>
              <w:rPr>
                <w:rFonts w:hint="eastAsia"/>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14:paraId="3C65F0C6">
            <w:pPr>
              <w:jc w:val="center"/>
              <w:rPr>
                <w:rFonts w:hint="eastAsia"/>
              </w:rPr>
            </w:pPr>
          </w:p>
        </w:tc>
        <w:tc>
          <w:tcPr>
            <w:tcW w:w="2525" w:type="dxa"/>
            <w:tcBorders>
              <w:top w:val="single" w:color="auto" w:sz="4" w:space="0"/>
              <w:left w:val="single" w:color="auto" w:sz="4" w:space="0"/>
              <w:bottom w:val="single" w:color="auto" w:sz="4" w:space="0"/>
              <w:right w:val="single" w:color="auto" w:sz="4" w:space="0"/>
            </w:tcBorders>
            <w:noWrap w:val="0"/>
            <w:vAlign w:val="center"/>
          </w:tcPr>
          <w:p w14:paraId="1A1EE0EE">
            <w:pPr>
              <w:jc w:val="center"/>
              <w:rPr>
                <w:rFonts w:hint="eastAsia"/>
              </w:rPr>
            </w:pPr>
          </w:p>
        </w:tc>
        <w:tc>
          <w:tcPr>
            <w:tcW w:w="2041" w:type="dxa"/>
            <w:tcBorders>
              <w:top w:val="single" w:color="auto" w:sz="4" w:space="0"/>
              <w:left w:val="single" w:color="auto" w:sz="4" w:space="0"/>
              <w:bottom w:val="single" w:color="auto" w:sz="4" w:space="0"/>
              <w:right w:val="single" w:color="auto" w:sz="4" w:space="0"/>
            </w:tcBorders>
            <w:noWrap w:val="0"/>
            <w:vAlign w:val="center"/>
          </w:tcPr>
          <w:p w14:paraId="3B5E639C">
            <w:pPr>
              <w:jc w:val="center"/>
              <w:rPr>
                <w:rFonts w:hint="eastAsia"/>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128734F1">
            <w:pPr>
              <w:jc w:val="center"/>
              <w:rPr>
                <w:rFonts w:hint="eastAsia"/>
              </w:rPr>
            </w:pPr>
          </w:p>
        </w:tc>
      </w:tr>
      <w:tr w14:paraId="7B79BA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9579" w:type="dxa"/>
            <w:gridSpan w:val="6"/>
            <w:tcBorders>
              <w:top w:val="single" w:color="auto" w:sz="4" w:space="0"/>
              <w:left w:val="single" w:color="auto" w:sz="4" w:space="0"/>
              <w:bottom w:val="single" w:color="auto" w:sz="4" w:space="0"/>
              <w:right w:val="single" w:color="auto" w:sz="4" w:space="0"/>
            </w:tcBorders>
            <w:noWrap w:val="0"/>
            <w:vAlign w:val="center"/>
          </w:tcPr>
          <w:p w14:paraId="4B662B1A">
            <w:pPr>
              <w:snapToGrid w:val="0"/>
              <w:spacing w:before="50" w:after="50" w:line="360" w:lineRule="exact"/>
              <w:rPr>
                <w:rFonts w:hint="eastAsia" w:ascii="宋体" w:hAnsi="宋体"/>
                <w:szCs w:val="21"/>
                <w:u w:val="single"/>
              </w:rPr>
            </w:pPr>
            <w:r>
              <w:rPr>
                <w:rFonts w:hint="eastAsia" w:hAnsi="宋体"/>
              </w:rPr>
              <w:t>投标总价（</w:t>
            </w:r>
            <w:r>
              <w:rPr>
                <w:rFonts w:hint="eastAsia" w:ascii="宋体" w:hAnsi="宋体"/>
                <w:szCs w:val="21"/>
              </w:rPr>
              <w:t>合计金额大写）：                               ¥</w:t>
            </w:r>
            <w:r>
              <w:rPr>
                <w:rFonts w:hint="eastAsia" w:ascii="宋体" w:hAnsi="宋体"/>
                <w:szCs w:val="21"/>
                <w:u w:val="single"/>
              </w:rPr>
              <w:t xml:space="preserve">            </w:t>
            </w:r>
          </w:p>
        </w:tc>
      </w:tr>
    </w:tbl>
    <w:p w14:paraId="12FF9315">
      <w:pPr>
        <w:rPr>
          <w:rFonts w:hint="eastAsia"/>
        </w:rPr>
      </w:pPr>
    </w:p>
    <w:p w14:paraId="6F94BAE9">
      <w:pPr>
        <w:snapToGrid w:val="0"/>
        <w:spacing w:before="50" w:after="50" w:line="360" w:lineRule="exact"/>
        <w:rPr>
          <w:rFonts w:hint="eastAsia" w:ascii="宋体"/>
          <w:spacing w:val="20"/>
          <w:szCs w:val="21"/>
          <w:u w:val="single"/>
        </w:rPr>
      </w:pPr>
      <w:r>
        <w:rPr>
          <w:rFonts w:hint="eastAsia" w:ascii="宋体"/>
          <w:szCs w:val="21"/>
        </w:rPr>
        <w:t>法定代表人（负责人）或委托代理人签字或盖章</w:t>
      </w:r>
      <w:r>
        <w:rPr>
          <w:rFonts w:hint="eastAsia" w:ascii="宋体"/>
          <w:spacing w:val="20"/>
          <w:szCs w:val="21"/>
        </w:rPr>
        <w:t>：</w:t>
      </w:r>
      <w:r>
        <w:rPr>
          <w:rFonts w:hint="eastAsia" w:ascii="宋体"/>
          <w:spacing w:val="20"/>
          <w:szCs w:val="21"/>
          <w:u w:val="single"/>
        </w:rPr>
        <w:t xml:space="preserve">            </w:t>
      </w:r>
    </w:p>
    <w:p w14:paraId="73911595">
      <w:pPr>
        <w:rPr>
          <w:rFonts w:hint="eastAsia"/>
        </w:rPr>
      </w:pPr>
      <w:r>
        <w:rPr>
          <w:rFonts w:hint="eastAsia"/>
        </w:rPr>
        <w:t>投标人名称（</w:t>
      </w:r>
      <w:r>
        <w:rPr>
          <w:rFonts w:hint="eastAsia" w:ascii="宋体"/>
          <w:szCs w:val="21"/>
        </w:rPr>
        <w:t>盖章</w:t>
      </w:r>
      <w:r>
        <w:rPr>
          <w:rFonts w:hint="eastAsia"/>
        </w:rPr>
        <w:t>）：</w:t>
      </w:r>
      <w:r>
        <w:rPr>
          <w:rFonts w:hint="eastAsia"/>
          <w:u w:val="single"/>
        </w:rPr>
        <w:t xml:space="preserve">                        </w:t>
      </w:r>
      <w:r>
        <w:rPr>
          <w:rFonts w:hint="eastAsia"/>
        </w:rPr>
        <w:t xml:space="preserve">           日  期：</w:t>
      </w:r>
      <w:r>
        <w:rPr>
          <w:rFonts w:hint="eastAsia"/>
          <w:u w:val="single"/>
        </w:rPr>
        <w:t xml:space="preserve">                    </w:t>
      </w:r>
    </w:p>
    <w:p w14:paraId="043F1DFD">
      <w:pPr>
        <w:rPr>
          <w:rFonts w:hint="eastAsia"/>
        </w:rPr>
      </w:pPr>
    </w:p>
    <w:p w14:paraId="4AE59B2C"/>
    <w:p w14:paraId="2EEA7A1B"/>
    <w:p w14:paraId="5E805070"/>
    <w:p w14:paraId="25479FEC"/>
    <w:p w14:paraId="518BFB7E"/>
    <w:p w14:paraId="02037581"/>
    <w:p w14:paraId="37C9C7CA"/>
    <w:p w14:paraId="09110533">
      <w:pPr>
        <w:rPr>
          <w:rFonts w:hint="eastAsia"/>
        </w:rPr>
      </w:pPr>
    </w:p>
    <w:p w14:paraId="72883DC5">
      <w:pPr>
        <w:rPr>
          <w:rFonts w:hint="eastAsia"/>
        </w:rPr>
      </w:pPr>
      <w:r>
        <w:rPr>
          <w:rFonts w:hint="eastAsia"/>
        </w:rPr>
        <w:t xml:space="preserve">    （3）投标人针对报价需要说明的其他文件和说明（格式自拟）</w:t>
      </w:r>
    </w:p>
    <w:p w14:paraId="5BD37863">
      <w:pPr>
        <w:spacing w:line="720" w:lineRule="auto"/>
      </w:pPr>
      <w:r>
        <w:rPr>
          <w:rFonts w:hint="eastAsia"/>
        </w:rPr>
        <w:t xml:space="preserve">    </w:t>
      </w:r>
    </w:p>
    <w:p w14:paraId="63A7DDDA">
      <w:pPr>
        <w:spacing w:line="720" w:lineRule="auto"/>
        <w:rPr>
          <w:rFonts w:hint="eastAsia"/>
          <w:b/>
        </w:rPr>
      </w:pPr>
      <w:r>
        <w:br w:type="page"/>
      </w:r>
      <w:r>
        <w:rPr>
          <w:rFonts w:hint="eastAsia"/>
          <w:b/>
        </w:rPr>
        <w:t>（4）开标一览表</w:t>
      </w:r>
    </w:p>
    <w:p w14:paraId="015B481C">
      <w:pPr>
        <w:spacing w:line="720" w:lineRule="auto"/>
        <w:jc w:val="center"/>
        <w:rPr>
          <w:rFonts w:hint="eastAsia"/>
          <w:b/>
        </w:rPr>
      </w:pPr>
      <w:r>
        <w:rPr>
          <w:rFonts w:hint="eastAsia"/>
          <w:b/>
        </w:rPr>
        <w:t>开标一览表</w:t>
      </w:r>
    </w:p>
    <w:p w14:paraId="20649AC5">
      <w:pPr>
        <w:spacing w:line="360" w:lineRule="exact"/>
        <w:rPr>
          <w:rFonts w:hint="eastAsia"/>
        </w:rPr>
      </w:pPr>
      <w:r>
        <w:rPr>
          <w:rFonts w:hint="eastAsia"/>
        </w:rPr>
        <w:t>采购项目名称：</w:t>
      </w:r>
    </w:p>
    <w:p w14:paraId="241DDDAE">
      <w:pPr>
        <w:spacing w:line="360" w:lineRule="exact"/>
        <w:rPr>
          <w:rFonts w:hint="eastAsia"/>
        </w:rPr>
      </w:pPr>
      <w:r>
        <w:rPr>
          <w:rFonts w:hint="eastAsia"/>
        </w:rPr>
        <w:t>采购项目编号：</w:t>
      </w:r>
    </w:p>
    <w:p w14:paraId="2E099447">
      <w:pPr>
        <w:spacing w:line="360" w:lineRule="exact"/>
        <w:rPr>
          <w:rFonts w:hint="eastAsia"/>
        </w:rPr>
      </w:pPr>
      <w:r>
        <w:rPr>
          <w:rFonts w:hint="eastAsia"/>
        </w:rPr>
        <w:t>分标号（如有）：                                                    金额单位：人民币（元）</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0"/>
        <w:gridCol w:w="3707"/>
        <w:gridCol w:w="1617"/>
        <w:gridCol w:w="2380"/>
        <w:gridCol w:w="1256"/>
      </w:tblGrid>
      <w:tr w14:paraId="7A0BE0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6E5ECA4A">
            <w:pPr>
              <w:snapToGrid w:val="0"/>
              <w:spacing w:before="50" w:after="50" w:line="360" w:lineRule="exact"/>
              <w:rPr>
                <w:rFonts w:hint="eastAsia" w:ascii="宋体" w:hAnsi="宋体"/>
                <w:szCs w:val="21"/>
              </w:rPr>
            </w:pPr>
            <w:r>
              <w:rPr>
                <w:rFonts w:hint="eastAsia" w:ascii="宋体" w:hAnsi="宋体"/>
                <w:szCs w:val="21"/>
              </w:rPr>
              <w:t>序号</w:t>
            </w:r>
          </w:p>
        </w:tc>
        <w:tc>
          <w:tcPr>
            <w:tcW w:w="3707" w:type="dxa"/>
            <w:tcBorders>
              <w:top w:val="single" w:color="auto" w:sz="4" w:space="0"/>
              <w:left w:val="single" w:color="auto" w:sz="4" w:space="0"/>
              <w:bottom w:val="single" w:color="auto" w:sz="4" w:space="0"/>
              <w:right w:val="single" w:color="auto" w:sz="4" w:space="0"/>
            </w:tcBorders>
            <w:noWrap w:val="0"/>
            <w:vAlign w:val="center"/>
          </w:tcPr>
          <w:p w14:paraId="16C20007">
            <w:pPr>
              <w:snapToGrid w:val="0"/>
              <w:spacing w:before="50" w:after="50" w:line="360" w:lineRule="exact"/>
              <w:jc w:val="center"/>
              <w:rPr>
                <w:rFonts w:hint="eastAsia" w:ascii="宋体" w:hAnsi="宋体"/>
                <w:szCs w:val="21"/>
              </w:rPr>
            </w:pPr>
            <w:r>
              <w:rPr>
                <w:rFonts w:hint="eastAsia" w:ascii="宋体" w:hAnsi="宋体"/>
                <w:szCs w:val="21"/>
              </w:rPr>
              <w:t>服务项目名称</w:t>
            </w:r>
          </w:p>
        </w:tc>
        <w:tc>
          <w:tcPr>
            <w:tcW w:w="1617" w:type="dxa"/>
            <w:tcBorders>
              <w:top w:val="single" w:color="auto" w:sz="4" w:space="0"/>
              <w:left w:val="single" w:color="auto" w:sz="4" w:space="0"/>
              <w:bottom w:val="single" w:color="auto" w:sz="4" w:space="0"/>
              <w:right w:val="single" w:color="auto" w:sz="4" w:space="0"/>
            </w:tcBorders>
            <w:noWrap w:val="0"/>
            <w:vAlign w:val="center"/>
          </w:tcPr>
          <w:p w14:paraId="7E9A9DB2">
            <w:pPr>
              <w:snapToGrid w:val="0"/>
              <w:spacing w:before="50" w:after="50" w:line="360" w:lineRule="exact"/>
              <w:jc w:val="center"/>
              <w:rPr>
                <w:rFonts w:hint="eastAsia" w:ascii="宋体" w:hAnsi="宋体"/>
                <w:szCs w:val="21"/>
              </w:rPr>
            </w:pPr>
            <w:r>
              <w:rPr>
                <w:rFonts w:hint="eastAsia" w:ascii="宋体" w:hAnsi="宋体"/>
                <w:szCs w:val="21"/>
                <w:lang w:val="en-US" w:eastAsia="zh-CN"/>
              </w:rPr>
              <w:t>数量及单位</w:t>
            </w:r>
          </w:p>
        </w:tc>
        <w:tc>
          <w:tcPr>
            <w:tcW w:w="2380" w:type="dxa"/>
            <w:tcBorders>
              <w:top w:val="single" w:color="auto" w:sz="4" w:space="0"/>
              <w:left w:val="single" w:color="auto" w:sz="4" w:space="0"/>
              <w:bottom w:val="single" w:color="auto" w:sz="4" w:space="0"/>
              <w:right w:val="single" w:color="auto" w:sz="4" w:space="0"/>
            </w:tcBorders>
            <w:noWrap w:val="0"/>
            <w:vAlign w:val="center"/>
          </w:tcPr>
          <w:p w14:paraId="369FF237">
            <w:pPr>
              <w:snapToGrid w:val="0"/>
              <w:spacing w:before="50" w:after="50" w:line="360" w:lineRule="exact"/>
              <w:jc w:val="center"/>
              <w:rPr>
                <w:rFonts w:hint="eastAsia" w:ascii="宋体" w:hAnsi="宋体"/>
                <w:szCs w:val="21"/>
              </w:rPr>
            </w:pPr>
            <w:r>
              <w:rPr>
                <w:rFonts w:hint="eastAsia" w:ascii="宋体" w:hAnsi="宋体"/>
                <w:szCs w:val="21"/>
              </w:rPr>
              <w:t>投标报价（元）</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547E2C3D">
            <w:pPr>
              <w:snapToGrid w:val="0"/>
              <w:spacing w:before="50" w:after="50" w:line="360" w:lineRule="exact"/>
              <w:jc w:val="center"/>
              <w:rPr>
                <w:rFonts w:hint="eastAsia" w:ascii="宋体" w:hAnsi="宋体"/>
                <w:szCs w:val="21"/>
              </w:rPr>
            </w:pPr>
            <w:r>
              <w:rPr>
                <w:rFonts w:hint="eastAsia" w:ascii="宋体" w:hAnsi="宋体"/>
                <w:szCs w:val="21"/>
              </w:rPr>
              <w:t>备注</w:t>
            </w:r>
          </w:p>
        </w:tc>
      </w:tr>
      <w:tr w14:paraId="6761AC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121"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40FADD05">
            <w:pPr>
              <w:jc w:val="center"/>
              <w:rPr>
                <w:rFonts w:hint="eastAsia" w:eastAsia="宋体"/>
                <w:lang w:val="en-US" w:eastAsia="zh-CN"/>
              </w:rPr>
            </w:pPr>
            <w:r>
              <w:rPr>
                <w:rFonts w:hint="eastAsia"/>
                <w:lang w:val="en-US" w:eastAsia="zh-CN"/>
              </w:rPr>
              <w:t>1</w:t>
            </w:r>
          </w:p>
        </w:tc>
        <w:tc>
          <w:tcPr>
            <w:tcW w:w="3707" w:type="dxa"/>
            <w:tcBorders>
              <w:top w:val="single" w:color="auto" w:sz="4" w:space="0"/>
              <w:left w:val="single" w:color="auto" w:sz="4" w:space="0"/>
              <w:bottom w:val="single" w:color="auto" w:sz="4" w:space="0"/>
              <w:right w:val="single" w:color="auto" w:sz="4" w:space="0"/>
            </w:tcBorders>
            <w:noWrap w:val="0"/>
            <w:vAlign w:val="center"/>
          </w:tcPr>
          <w:p w14:paraId="394CD58B">
            <w:pPr>
              <w:jc w:val="center"/>
              <w:rPr>
                <w:rFonts w:hint="eastAsia" w:eastAsia="宋体"/>
                <w:lang w:eastAsia="zh-CN"/>
              </w:rPr>
            </w:pPr>
            <w:r>
              <w:rPr>
                <w:rFonts w:hint="eastAsia" w:eastAsia="宋体"/>
                <w:lang w:eastAsia="zh-CN"/>
              </w:rPr>
              <w:t>广西骨伤医院智慧医院建设（一期）项目</w:t>
            </w:r>
          </w:p>
        </w:tc>
        <w:tc>
          <w:tcPr>
            <w:tcW w:w="1617" w:type="dxa"/>
            <w:tcBorders>
              <w:top w:val="single" w:color="auto" w:sz="4" w:space="0"/>
              <w:left w:val="single" w:color="auto" w:sz="4" w:space="0"/>
              <w:bottom w:val="single" w:color="auto" w:sz="4" w:space="0"/>
              <w:right w:val="single" w:color="auto" w:sz="4" w:space="0"/>
            </w:tcBorders>
            <w:noWrap w:val="0"/>
            <w:vAlign w:val="center"/>
          </w:tcPr>
          <w:p w14:paraId="0EEA8420">
            <w:pPr>
              <w:jc w:val="center"/>
              <w:rPr>
                <w:rFonts w:hint="eastAsia" w:eastAsia="宋体"/>
                <w:lang w:val="en-US" w:eastAsia="zh-CN"/>
              </w:rPr>
            </w:pPr>
            <w:r>
              <w:rPr>
                <w:rFonts w:hint="eastAsia"/>
              </w:rPr>
              <w:t>1</w:t>
            </w:r>
            <w:r>
              <w:rPr>
                <w:rFonts w:hint="eastAsia"/>
                <w:lang w:val="en-US" w:eastAsia="zh-CN"/>
              </w:rPr>
              <w:t>套</w:t>
            </w:r>
          </w:p>
        </w:tc>
        <w:tc>
          <w:tcPr>
            <w:tcW w:w="2380" w:type="dxa"/>
            <w:tcBorders>
              <w:top w:val="single" w:color="auto" w:sz="4" w:space="0"/>
              <w:left w:val="single" w:color="auto" w:sz="4" w:space="0"/>
              <w:bottom w:val="single" w:color="auto" w:sz="4" w:space="0"/>
              <w:right w:val="single" w:color="auto" w:sz="4" w:space="0"/>
            </w:tcBorders>
            <w:noWrap w:val="0"/>
            <w:vAlign w:val="center"/>
          </w:tcPr>
          <w:p w14:paraId="4083CBF2">
            <w:pPr>
              <w:jc w:val="center"/>
              <w:rPr>
                <w:rFonts w:hint="eastAsia"/>
              </w:rPr>
            </w:pPr>
          </w:p>
        </w:tc>
        <w:tc>
          <w:tcPr>
            <w:tcW w:w="1256" w:type="dxa"/>
            <w:tcBorders>
              <w:top w:val="single" w:color="auto" w:sz="4" w:space="0"/>
              <w:left w:val="single" w:color="auto" w:sz="4" w:space="0"/>
              <w:bottom w:val="single" w:color="auto" w:sz="4" w:space="0"/>
              <w:right w:val="single" w:color="auto" w:sz="4" w:space="0"/>
            </w:tcBorders>
            <w:noWrap w:val="0"/>
            <w:vAlign w:val="center"/>
          </w:tcPr>
          <w:p w14:paraId="6EFD5436">
            <w:pPr>
              <w:jc w:val="center"/>
              <w:rPr>
                <w:rFonts w:hint="eastAsia"/>
              </w:rPr>
            </w:pPr>
          </w:p>
        </w:tc>
      </w:tr>
      <w:tr w14:paraId="49DC6D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noWrap w:val="0"/>
            <w:vAlign w:val="center"/>
          </w:tcPr>
          <w:p w14:paraId="4F2A7418">
            <w:pPr>
              <w:snapToGrid w:val="0"/>
              <w:spacing w:before="50" w:after="50" w:line="360" w:lineRule="exact"/>
              <w:rPr>
                <w:rFonts w:hint="eastAsia" w:ascii="宋体" w:hAnsi="宋体"/>
                <w:szCs w:val="21"/>
                <w:u w:val="single"/>
              </w:rPr>
            </w:pPr>
            <w:r>
              <w:rPr>
                <w:rFonts w:hint="eastAsia" w:hAnsi="宋体"/>
              </w:rPr>
              <w:t>投标总价（</w:t>
            </w:r>
            <w:r>
              <w:rPr>
                <w:rFonts w:hint="eastAsia" w:ascii="宋体" w:hAnsi="宋体"/>
                <w:szCs w:val="21"/>
              </w:rPr>
              <w:t>合计金额大写）：                               ¥</w:t>
            </w:r>
            <w:r>
              <w:rPr>
                <w:rFonts w:hint="eastAsia" w:ascii="宋体" w:hAnsi="宋体"/>
                <w:szCs w:val="21"/>
                <w:u w:val="single"/>
              </w:rPr>
              <w:t xml:space="preserve">            </w:t>
            </w:r>
          </w:p>
        </w:tc>
      </w:tr>
    </w:tbl>
    <w:p w14:paraId="6EFD1E11">
      <w:pPr>
        <w:snapToGrid w:val="0"/>
        <w:spacing w:before="50" w:after="50" w:line="360" w:lineRule="auto"/>
        <w:ind w:firstLine="420" w:firstLineChars="200"/>
        <w:jc w:val="left"/>
        <w:rPr>
          <w:rFonts w:hint="eastAsia" w:ascii="宋体" w:hAnsi="宋体" w:cs="宋体"/>
          <w:color w:val="auto"/>
          <w:kern w:val="0"/>
          <w:szCs w:val="21"/>
          <w:lang w:val="zh-CN"/>
        </w:rPr>
      </w:pPr>
    </w:p>
    <w:p w14:paraId="6F1A6D20">
      <w:pPr>
        <w:spacing w:line="360" w:lineRule="exact"/>
        <w:rPr>
          <w:rFonts w:hint="eastAsia"/>
        </w:rPr>
      </w:pPr>
      <w:r>
        <w:rPr>
          <w:rFonts w:hint="eastAsia" w:ascii="宋体" w:hAnsi="宋体" w:cs="宋体"/>
          <w:color w:val="auto"/>
          <w:kern w:val="0"/>
          <w:szCs w:val="21"/>
          <w:lang w:val="zh-CN"/>
        </w:rPr>
        <w:t xml:space="preserve">注： </w:t>
      </w:r>
      <w:r>
        <w:rPr>
          <w:rFonts w:hint="eastAsia"/>
        </w:rPr>
        <w:t>1.报价一经涂改，应在涂改处加盖单位公章或者由法定代表人（负责人）或授权委托人签字或盖章，否则其投标作无效标处理。</w:t>
      </w:r>
    </w:p>
    <w:p w14:paraId="69B16792">
      <w:pPr>
        <w:spacing w:line="360" w:lineRule="exact"/>
        <w:ind w:firstLine="420" w:firstLineChars="200"/>
        <w:rPr>
          <w:rFonts w:hint="eastAsia"/>
        </w:rPr>
      </w:pPr>
      <w:r>
        <w:rPr>
          <w:rFonts w:hint="eastAsia"/>
        </w:rPr>
        <w:t>2.开标一览表中的“服务项目名称”、“投标报价”必须填写。</w:t>
      </w:r>
    </w:p>
    <w:p w14:paraId="14675981">
      <w:pPr>
        <w:spacing w:line="360" w:lineRule="exact"/>
        <w:rPr>
          <w:rFonts w:hint="eastAsia"/>
        </w:rPr>
      </w:pPr>
      <w:r>
        <w:rPr>
          <w:rFonts w:hint="eastAsia"/>
        </w:rPr>
        <w:t xml:space="preserve">    3.投标费用包括项目实施所需的人工费、服务费、运输费、安装调试费、获取及制作标书费、税费及其他一切费用。</w:t>
      </w:r>
    </w:p>
    <w:p w14:paraId="0200069F">
      <w:pPr>
        <w:spacing w:line="360" w:lineRule="exact"/>
        <w:rPr>
          <w:rFonts w:hint="eastAsia"/>
        </w:rPr>
      </w:pPr>
      <w:r>
        <w:rPr>
          <w:rFonts w:hint="eastAsia"/>
        </w:rPr>
        <w:t xml:space="preserve">    4.以上报价应与“投标报价明细表”中的“投标总价”相一致。</w:t>
      </w:r>
    </w:p>
    <w:p w14:paraId="7B9AE1FC">
      <w:pPr>
        <w:spacing w:line="360" w:lineRule="exact"/>
        <w:rPr>
          <w:rFonts w:hint="eastAsia"/>
        </w:rPr>
      </w:pPr>
      <w:r>
        <w:rPr>
          <w:rFonts w:hint="eastAsia"/>
        </w:rPr>
        <w:t xml:space="preserve">    5.联合体投标时，开标一览表中投标人名称必须注明联合体并加盖联合体各方公章，同时须提供联合协议。</w:t>
      </w:r>
    </w:p>
    <w:p w14:paraId="1FF2D178">
      <w:pPr>
        <w:spacing w:line="360" w:lineRule="exact"/>
        <w:rPr>
          <w:rFonts w:hint="eastAsia"/>
        </w:rPr>
      </w:pPr>
      <w:r>
        <w:rPr>
          <w:rFonts w:hint="eastAsia"/>
        </w:rPr>
        <w:t xml:space="preserve">    6.项目中有多个分标的，每一分标的开标一览表必须分别按格式要求填写并签字、盖章。</w:t>
      </w:r>
    </w:p>
    <w:p w14:paraId="7B889F5E">
      <w:pPr>
        <w:snapToGrid w:val="0"/>
        <w:spacing w:line="360" w:lineRule="auto"/>
        <w:ind w:firstLine="420" w:firstLineChars="200"/>
        <w:jc w:val="left"/>
        <w:rPr>
          <w:rFonts w:hint="eastAsia" w:ascii="宋体" w:hAnsi="宋体" w:cs="宋体"/>
          <w:color w:val="auto"/>
          <w:kern w:val="0"/>
          <w:szCs w:val="21"/>
          <w:lang w:val="zh-CN"/>
        </w:rPr>
      </w:pPr>
    </w:p>
    <w:p w14:paraId="00AE8BC6">
      <w:pPr>
        <w:spacing w:line="360" w:lineRule="exact"/>
        <w:rPr>
          <w:rFonts w:hint="eastAsia"/>
        </w:rPr>
      </w:pPr>
    </w:p>
    <w:p w14:paraId="74CF863D">
      <w:pPr>
        <w:snapToGrid w:val="0"/>
        <w:spacing w:before="50" w:after="50" w:line="360" w:lineRule="exact"/>
        <w:ind w:left="-2" w:leftChars="-1" w:right="-817" w:rightChars="-389" w:firstLine="420" w:firstLineChars="200"/>
        <w:rPr>
          <w:rFonts w:hint="eastAsia" w:ascii="宋体" w:hAnsi="宋体"/>
          <w:szCs w:val="21"/>
        </w:rPr>
      </w:pPr>
      <w:r>
        <w:rPr>
          <w:rFonts w:hint="eastAsia" w:ascii="宋体" w:hAnsi="宋体"/>
          <w:szCs w:val="21"/>
        </w:rPr>
        <w:t>法定代表人(负责人)或委托代理人（签字或盖章）：</w:t>
      </w:r>
      <w:r>
        <w:rPr>
          <w:rFonts w:hint="eastAsia" w:ascii="宋体" w:hAnsi="宋体"/>
          <w:szCs w:val="21"/>
          <w:u w:val="single"/>
        </w:rPr>
        <w:t xml:space="preserve">                   </w:t>
      </w:r>
    </w:p>
    <w:p w14:paraId="513B1A2B">
      <w:pPr>
        <w:snapToGrid w:val="0"/>
        <w:spacing w:before="50" w:after="50" w:line="360" w:lineRule="exact"/>
        <w:ind w:right="-817" w:rightChars="-389" w:firstLine="420" w:firstLineChars="200"/>
        <w:rPr>
          <w:rFonts w:hint="eastAsia" w:ascii="宋体" w:hAnsi="宋体"/>
          <w:szCs w:val="21"/>
        </w:rPr>
      </w:pPr>
      <w:r>
        <w:rPr>
          <w:rFonts w:hint="eastAsia" w:ascii="宋体" w:hAnsi="宋体"/>
          <w:szCs w:val="21"/>
        </w:rPr>
        <w:t>投标人名称（盖章）：</w:t>
      </w:r>
      <w:r>
        <w:rPr>
          <w:rFonts w:hint="eastAsia" w:ascii="宋体" w:hAnsi="宋体"/>
          <w:szCs w:val="21"/>
          <w:u w:val="single"/>
        </w:rPr>
        <w:t xml:space="preserve">                               </w:t>
      </w:r>
    </w:p>
    <w:p w14:paraId="57E05F0C">
      <w:pPr>
        <w:snapToGrid w:val="0"/>
        <w:spacing w:before="50" w:after="50" w:line="360" w:lineRule="exact"/>
        <w:ind w:right="-817" w:rightChars="-389" w:firstLine="420"/>
        <w:rPr>
          <w:rFonts w:hint="eastAsia" w:ascii="宋体" w:hAnsi="宋体"/>
          <w:szCs w:val="21"/>
        </w:rPr>
      </w:pPr>
      <w:r>
        <w:rPr>
          <w:rFonts w:hint="eastAsia" w:ascii="宋体" w:hAnsi="宋体"/>
          <w:szCs w:val="21"/>
        </w:rPr>
        <w:t>日期：    年    月    日</w:t>
      </w:r>
    </w:p>
    <w:p w14:paraId="0C508400"/>
    <w:p w14:paraId="55EEF40B"/>
    <w:p w14:paraId="0EEEEE89"/>
    <w:p w14:paraId="24BF27E4"/>
    <w:p w14:paraId="6EE10206"/>
    <w:p w14:paraId="4CEC410E">
      <w:pPr>
        <w:snapToGrid w:val="0"/>
        <w:spacing w:line="380" w:lineRule="exact"/>
        <w:ind w:firstLine="422" w:firstLineChars="200"/>
        <w:jc w:val="left"/>
        <w:rPr>
          <w:rFonts w:hint="eastAsia" w:ascii="宋体"/>
          <w:b/>
          <w:szCs w:val="21"/>
        </w:rPr>
      </w:pPr>
      <w:r>
        <w:rPr>
          <w:b/>
          <w:highlight w:val="green"/>
        </w:rPr>
        <w:br w:type="page"/>
      </w:r>
      <w:r>
        <w:rPr>
          <w:rFonts w:hint="eastAsia"/>
          <w:b/>
        </w:rPr>
        <w:t>五</w:t>
      </w:r>
      <w:r>
        <w:rPr>
          <w:rFonts w:hint="eastAsia" w:ascii="宋体"/>
          <w:b/>
          <w:szCs w:val="21"/>
        </w:rPr>
        <w:t>）其他文书、文件格式</w:t>
      </w:r>
    </w:p>
    <w:p w14:paraId="01770C81">
      <w:pPr>
        <w:snapToGrid w:val="0"/>
        <w:spacing w:before="120" w:beforeLines="50" w:after="50"/>
        <w:jc w:val="left"/>
        <w:rPr>
          <w:rFonts w:hint="eastAsia" w:ascii="宋体" w:hAnsi="宋体" w:cs="宋体"/>
          <w:b/>
          <w:color w:val="auto"/>
          <w:sz w:val="24"/>
        </w:rPr>
      </w:pPr>
      <w:r>
        <w:rPr>
          <w:rFonts w:hint="eastAsia" w:ascii="宋体" w:hAnsi="宋体" w:cs="宋体"/>
          <w:b/>
          <w:color w:val="auto"/>
          <w:sz w:val="24"/>
          <w:lang w:val="en-US" w:eastAsia="zh-CN"/>
        </w:rPr>
        <w:t>1</w:t>
      </w:r>
      <w:r>
        <w:rPr>
          <w:rFonts w:hint="eastAsia" w:ascii="宋体" w:hAnsi="宋体" w:cs="宋体"/>
          <w:b/>
          <w:color w:val="auto"/>
          <w:sz w:val="24"/>
        </w:rPr>
        <w:t>.残疾人福利性单位声明函格式</w:t>
      </w:r>
    </w:p>
    <w:p w14:paraId="102217F0">
      <w:pPr>
        <w:spacing w:line="588" w:lineRule="exact"/>
        <w:jc w:val="center"/>
        <w:rPr>
          <w:rFonts w:hint="eastAsia" w:ascii="宋体" w:hAnsi="宋体" w:cs="宋体"/>
          <w:b/>
          <w:color w:val="auto"/>
          <w:spacing w:val="6"/>
          <w:sz w:val="32"/>
          <w:szCs w:val="32"/>
        </w:rPr>
      </w:pPr>
    </w:p>
    <w:p w14:paraId="0096C850">
      <w:pPr>
        <w:spacing w:line="588" w:lineRule="exact"/>
        <w:jc w:val="center"/>
        <w:rPr>
          <w:rFonts w:hint="eastAsia" w:ascii="宋体" w:hAnsi="宋体" w:cs="宋体"/>
          <w:b/>
          <w:color w:val="auto"/>
          <w:spacing w:val="6"/>
          <w:sz w:val="32"/>
          <w:szCs w:val="32"/>
        </w:rPr>
      </w:pPr>
      <w:r>
        <w:rPr>
          <w:rFonts w:hint="eastAsia" w:ascii="宋体" w:hAnsi="宋体" w:cs="宋体"/>
          <w:b/>
          <w:color w:val="auto"/>
          <w:spacing w:val="6"/>
          <w:sz w:val="32"/>
          <w:szCs w:val="32"/>
        </w:rPr>
        <w:t>残疾人福利性单位声明函</w:t>
      </w:r>
    </w:p>
    <w:p w14:paraId="69878F89">
      <w:pPr>
        <w:spacing w:line="360" w:lineRule="auto"/>
        <w:contextualSpacing/>
        <w:rPr>
          <w:rFonts w:hint="eastAsia" w:ascii="宋体" w:hAnsi="宋体" w:cs="宋体"/>
          <w:b/>
          <w:color w:val="auto"/>
          <w:spacing w:val="6"/>
          <w:sz w:val="30"/>
          <w:szCs w:val="30"/>
        </w:rPr>
      </w:pPr>
    </w:p>
    <w:p w14:paraId="4392DD10">
      <w:pPr>
        <w:spacing w:line="360" w:lineRule="auto"/>
        <w:ind w:firstLine="504" w:firstLineChars="200"/>
        <w:contextualSpacing/>
        <w:rPr>
          <w:rFonts w:hint="eastAsia" w:ascii="宋体" w:hAnsi="宋体" w:cs="宋体"/>
          <w:color w:val="auto"/>
          <w:spacing w:val="6"/>
          <w:sz w:val="24"/>
        </w:rPr>
      </w:pPr>
      <w:r>
        <w:rPr>
          <w:rFonts w:hint="eastAsia" w:ascii="宋体" w:hAnsi="宋体" w:cs="宋体"/>
          <w:color w:val="auto"/>
          <w:spacing w:val="6"/>
          <w:sz w:val="24"/>
        </w:rPr>
        <w:t>本单位郑重声明，根据《财政部 民政部 中国残疾人联合会关于促进残疾人就业政府采购政策的通知》（财库</w:t>
      </w:r>
      <w:r>
        <w:rPr>
          <w:rFonts w:hint="eastAsia" w:ascii="宋体" w:hAnsi="宋体" w:cs="宋体"/>
          <w:color w:val="auto"/>
          <w:sz w:val="24"/>
        </w:rPr>
        <w:t>〔2017〕 141</w:t>
      </w:r>
      <w:r>
        <w:rPr>
          <w:rFonts w:hint="eastAsia" w:ascii="宋体" w:hAnsi="宋体" w:cs="宋体"/>
          <w:color w:val="auto"/>
          <w:spacing w:val="6"/>
          <w:sz w:val="24"/>
        </w:rPr>
        <w:t>号）的规定，本单位为符合条件的残疾人福利性单位，且本单位参加______单位的______项目采购活动提供本单位制造的货物（由本单位承担工程/提供服务），或者提供其他残</w:t>
      </w:r>
      <w:r>
        <w:rPr>
          <w:rFonts w:hint="eastAsia" w:ascii="宋体" w:hAnsi="宋体" w:cs="宋体"/>
          <w:color w:val="auto"/>
          <w:spacing w:val="-6"/>
          <w:sz w:val="24"/>
        </w:rPr>
        <w:t>疾人福利性单位制造的货物（不包括使用非残疾人福利性单位注册商标的货物）。</w:t>
      </w:r>
    </w:p>
    <w:p w14:paraId="6AC9FA24">
      <w:pPr>
        <w:spacing w:line="360" w:lineRule="auto"/>
        <w:ind w:firstLine="504" w:firstLineChars="200"/>
        <w:contextualSpacing/>
        <w:rPr>
          <w:rFonts w:hint="eastAsia" w:ascii="宋体" w:hAnsi="宋体" w:cs="宋体"/>
          <w:color w:val="auto"/>
          <w:spacing w:val="6"/>
          <w:sz w:val="24"/>
        </w:rPr>
      </w:pPr>
      <w:r>
        <w:rPr>
          <w:rFonts w:hint="eastAsia" w:ascii="宋体" w:hAnsi="宋体" w:cs="宋体"/>
          <w:color w:val="auto"/>
          <w:spacing w:val="6"/>
          <w:sz w:val="24"/>
        </w:rPr>
        <w:t>本单位对上述声明的真实性负责。如有虚假，将依法承担相应责任。</w:t>
      </w:r>
    </w:p>
    <w:p w14:paraId="7F6B3818">
      <w:pPr>
        <w:spacing w:line="360" w:lineRule="auto"/>
        <w:ind w:firstLine="504" w:firstLineChars="200"/>
        <w:contextualSpacing/>
        <w:rPr>
          <w:rFonts w:hint="eastAsia" w:ascii="宋体" w:hAnsi="宋体" w:cs="宋体"/>
          <w:color w:val="auto"/>
          <w:spacing w:val="6"/>
          <w:sz w:val="24"/>
        </w:rPr>
      </w:pPr>
    </w:p>
    <w:p w14:paraId="28B2C136">
      <w:pPr>
        <w:spacing w:line="360" w:lineRule="auto"/>
        <w:ind w:firstLine="504" w:firstLineChars="200"/>
        <w:contextualSpacing/>
        <w:rPr>
          <w:rFonts w:hint="eastAsia" w:ascii="宋体" w:hAnsi="宋体" w:cs="宋体"/>
          <w:color w:val="auto"/>
          <w:spacing w:val="6"/>
          <w:sz w:val="24"/>
        </w:rPr>
      </w:pPr>
    </w:p>
    <w:p w14:paraId="3E909DE2">
      <w:pPr>
        <w:tabs>
          <w:tab w:val="left" w:pos="4860"/>
        </w:tabs>
        <w:spacing w:line="360" w:lineRule="auto"/>
        <w:ind w:right="1560" w:firstLine="504" w:firstLineChars="200"/>
        <w:contextualSpacing/>
        <w:jc w:val="center"/>
        <w:rPr>
          <w:rFonts w:hint="eastAsia" w:ascii="宋体" w:hAnsi="宋体" w:cs="宋体"/>
          <w:color w:val="auto"/>
          <w:spacing w:val="6"/>
          <w:sz w:val="24"/>
        </w:rPr>
      </w:pPr>
      <w:r>
        <w:rPr>
          <w:rFonts w:hint="eastAsia" w:ascii="宋体" w:hAnsi="宋体" w:cs="宋体"/>
          <w:color w:val="auto"/>
          <w:spacing w:val="6"/>
          <w:sz w:val="24"/>
        </w:rPr>
        <w:t>单位名称（电子公章）：</w:t>
      </w:r>
    </w:p>
    <w:p w14:paraId="50EAF8F1">
      <w:pPr>
        <w:tabs>
          <w:tab w:val="left" w:pos="4860"/>
        </w:tabs>
        <w:spacing w:line="360" w:lineRule="auto"/>
        <w:ind w:right="1560" w:firstLine="504" w:firstLineChars="200"/>
        <w:contextualSpacing/>
        <w:jc w:val="center"/>
        <w:rPr>
          <w:rFonts w:hint="eastAsia" w:ascii="宋体" w:hAnsi="宋体" w:cs="宋体"/>
          <w:color w:val="auto"/>
          <w:spacing w:val="6"/>
          <w:sz w:val="24"/>
        </w:rPr>
      </w:pPr>
      <w:r>
        <w:rPr>
          <w:rFonts w:hint="eastAsia" w:ascii="宋体" w:hAnsi="宋体" w:cs="宋体"/>
          <w:color w:val="auto"/>
          <w:spacing w:val="6"/>
          <w:sz w:val="24"/>
        </w:rPr>
        <w:t>日  期：</w:t>
      </w:r>
    </w:p>
    <w:p w14:paraId="26B903DE">
      <w:pPr>
        <w:spacing w:line="360" w:lineRule="auto"/>
        <w:contextualSpacing/>
        <w:rPr>
          <w:rFonts w:hint="eastAsia" w:ascii="宋体" w:hAnsi="宋体" w:cs="宋体"/>
          <w:color w:val="auto"/>
          <w:sz w:val="24"/>
        </w:rPr>
      </w:pPr>
    </w:p>
    <w:p w14:paraId="45D823DD">
      <w:pPr>
        <w:spacing w:line="360" w:lineRule="auto"/>
        <w:contextualSpacing/>
        <w:rPr>
          <w:rFonts w:hint="eastAsia" w:ascii="宋体" w:hAnsi="宋体" w:cs="宋体"/>
          <w:color w:val="auto"/>
          <w:sz w:val="24"/>
        </w:rPr>
      </w:pPr>
    </w:p>
    <w:p w14:paraId="53FAF186">
      <w:pPr>
        <w:spacing w:line="360" w:lineRule="auto"/>
        <w:contextualSpacing/>
        <w:rPr>
          <w:rFonts w:hint="eastAsia" w:ascii="宋体" w:hAnsi="宋体" w:cs="宋体"/>
          <w:color w:val="auto"/>
          <w:sz w:val="24"/>
        </w:rPr>
      </w:pPr>
    </w:p>
    <w:p w14:paraId="7F3FDC8B">
      <w:pPr>
        <w:spacing w:line="360" w:lineRule="auto"/>
        <w:contextualSpacing/>
        <w:rPr>
          <w:rFonts w:hint="eastAsia" w:ascii="宋体" w:hAnsi="宋体" w:cs="宋体"/>
          <w:color w:val="auto"/>
          <w:sz w:val="24"/>
        </w:rPr>
      </w:pPr>
      <w:r>
        <w:rPr>
          <w:rFonts w:hint="eastAsia" w:ascii="宋体" w:hAnsi="宋体" w:cs="宋体"/>
          <w:color w:val="auto"/>
          <w:sz w:val="24"/>
        </w:rPr>
        <w:t>注：请根据自己的真实情况出具《残疾人福利性单位声明函》。依法享受中小企业优惠政策的，采购人或者采购代理机构在公告中标结果时，同时公告其《残疾人福利性单位声明函》，接受社会监督。</w:t>
      </w:r>
    </w:p>
    <w:p w14:paraId="3B6F4F1A">
      <w:pPr>
        <w:pStyle w:val="3"/>
        <w:rPr>
          <w:rFonts w:hint="eastAsia" w:ascii="宋体" w:hAnsi="宋体" w:cs="宋体"/>
          <w:color w:val="auto"/>
          <w:sz w:val="24"/>
        </w:rPr>
      </w:pPr>
    </w:p>
    <w:p w14:paraId="26FCB21D">
      <w:pPr>
        <w:rPr>
          <w:rFonts w:hint="eastAsia" w:ascii="宋体" w:hAnsi="宋体" w:cs="宋体"/>
          <w:color w:val="auto"/>
          <w:sz w:val="24"/>
        </w:rPr>
      </w:pPr>
    </w:p>
    <w:p w14:paraId="31FAD2B8">
      <w:pPr>
        <w:pStyle w:val="3"/>
        <w:rPr>
          <w:rFonts w:hint="eastAsia" w:ascii="宋体" w:hAnsi="宋体" w:cs="宋体"/>
          <w:color w:val="auto"/>
          <w:sz w:val="24"/>
        </w:rPr>
      </w:pPr>
    </w:p>
    <w:p w14:paraId="37B51E0A">
      <w:pPr>
        <w:spacing w:line="360" w:lineRule="auto"/>
        <w:jc w:val="left"/>
        <w:rPr>
          <w:rFonts w:hint="eastAsia" w:ascii="宋体" w:hAnsi="宋体" w:cs="宋体"/>
          <w:color w:val="auto"/>
          <w:sz w:val="24"/>
        </w:rPr>
      </w:pPr>
      <w:r>
        <w:rPr>
          <w:rFonts w:hint="eastAsia" w:ascii="宋体" w:hAnsi="宋体" w:cs="宋体"/>
          <w:color w:val="auto"/>
          <w:sz w:val="24"/>
        </w:rPr>
        <w:br w:type="page"/>
      </w:r>
      <w:r>
        <w:rPr>
          <w:rFonts w:hint="eastAsia" w:ascii="宋体" w:hAnsi="宋体" w:cs="宋体"/>
          <w:b/>
          <w:color w:val="auto"/>
          <w:sz w:val="24"/>
          <w:lang w:val="en-US" w:eastAsia="zh-CN"/>
        </w:rPr>
        <w:t>2.</w:t>
      </w:r>
      <w:r>
        <w:rPr>
          <w:rFonts w:hint="eastAsia" w:ascii="宋体" w:hAnsi="宋体" w:cs="宋体"/>
          <w:b/>
          <w:color w:val="auto"/>
          <w:sz w:val="24"/>
        </w:rPr>
        <w:t>质疑函（格式）</w:t>
      </w:r>
    </w:p>
    <w:p w14:paraId="02AB4FA8">
      <w:pPr>
        <w:spacing w:line="360" w:lineRule="auto"/>
        <w:jc w:val="center"/>
        <w:rPr>
          <w:rFonts w:hint="eastAsia" w:ascii="宋体" w:hAnsi="宋体" w:cs="宋体"/>
          <w:b/>
          <w:bCs/>
          <w:color w:val="auto"/>
          <w:sz w:val="32"/>
          <w:szCs w:val="32"/>
        </w:rPr>
      </w:pPr>
      <w:r>
        <w:rPr>
          <w:rFonts w:hint="eastAsia" w:ascii="宋体" w:hAnsi="宋体" w:cs="宋体"/>
          <w:b/>
          <w:bCs/>
          <w:color w:val="auto"/>
          <w:sz w:val="32"/>
          <w:szCs w:val="32"/>
        </w:rPr>
        <w:t>质疑函（格式）</w:t>
      </w:r>
    </w:p>
    <w:p w14:paraId="1E00B6BD">
      <w:pPr>
        <w:pStyle w:val="28"/>
        <w:snapToGrid w:val="0"/>
        <w:spacing w:line="360" w:lineRule="auto"/>
        <w:ind w:firstLine="482" w:firstLineChars="200"/>
        <w:rPr>
          <w:rFonts w:hint="eastAsia" w:hAnsi="宋体" w:cs="宋体"/>
          <w:b/>
          <w:bCs/>
          <w:color w:val="auto"/>
          <w:sz w:val="24"/>
          <w:szCs w:val="24"/>
        </w:rPr>
      </w:pPr>
      <w:r>
        <w:rPr>
          <w:rFonts w:hint="eastAsia" w:hAnsi="宋体" w:cs="宋体"/>
          <w:b/>
          <w:bCs/>
          <w:color w:val="auto"/>
          <w:sz w:val="24"/>
          <w:szCs w:val="24"/>
        </w:rPr>
        <w:t>一、质疑供应商基本信息：</w:t>
      </w:r>
    </w:p>
    <w:p w14:paraId="180A4159">
      <w:pPr>
        <w:pStyle w:val="28"/>
        <w:snapToGrid w:val="0"/>
        <w:spacing w:line="360" w:lineRule="auto"/>
        <w:ind w:firstLine="480" w:firstLineChars="200"/>
        <w:rPr>
          <w:rFonts w:hint="eastAsia" w:hAnsi="宋体" w:cs="宋体"/>
          <w:bCs/>
          <w:color w:val="auto"/>
          <w:sz w:val="24"/>
          <w:szCs w:val="24"/>
          <w:u w:val="single"/>
        </w:rPr>
      </w:pPr>
      <w:r>
        <w:rPr>
          <w:rFonts w:hint="eastAsia" w:hAnsi="宋体" w:cs="宋体"/>
          <w:bCs/>
          <w:color w:val="auto"/>
          <w:sz w:val="24"/>
          <w:szCs w:val="24"/>
        </w:rPr>
        <w:t>质疑供应商：</w:t>
      </w:r>
      <w:r>
        <w:rPr>
          <w:rFonts w:hint="eastAsia" w:hAnsi="宋体" w:cs="宋体"/>
          <w:bCs/>
          <w:color w:val="auto"/>
          <w:sz w:val="24"/>
          <w:szCs w:val="24"/>
          <w:u w:val="single"/>
        </w:rPr>
        <w:t xml:space="preserve">                                       </w:t>
      </w:r>
      <w:r>
        <w:rPr>
          <w:rFonts w:hint="eastAsia" w:hAnsi="宋体" w:cs="宋体"/>
          <w:bCs/>
          <w:color w:val="auto"/>
          <w:sz w:val="24"/>
          <w:szCs w:val="24"/>
        </w:rPr>
        <w:t xml:space="preserve">                 </w:t>
      </w:r>
    </w:p>
    <w:p w14:paraId="37422868">
      <w:pPr>
        <w:pStyle w:val="28"/>
        <w:snapToGrid w:val="0"/>
        <w:spacing w:line="360" w:lineRule="auto"/>
        <w:ind w:firstLine="480" w:firstLineChars="200"/>
        <w:rPr>
          <w:rFonts w:hint="eastAsia" w:hAnsi="宋体" w:cs="宋体"/>
          <w:bCs/>
          <w:color w:val="auto"/>
          <w:sz w:val="24"/>
          <w:szCs w:val="24"/>
        </w:rPr>
      </w:pPr>
      <w:r>
        <w:rPr>
          <w:rFonts w:hint="eastAsia" w:hAnsi="宋体" w:cs="宋体"/>
          <w:bCs/>
          <w:color w:val="auto"/>
          <w:sz w:val="24"/>
          <w:szCs w:val="24"/>
        </w:rPr>
        <w:t>地址：</w:t>
      </w:r>
      <w:r>
        <w:rPr>
          <w:rFonts w:hint="eastAsia" w:hAnsi="宋体" w:cs="宋体"/>
          <w:bCs/>
          <w:color w:val="auto"/>
          <w:sz w:val="24"/>
          <w:szCs w:val="24"/>
          <w:u w:val="single"/>
        </w:rPr>
        <w:t xml:space="preserve">                                          </w:t>
      </w:r>
      <w:r>
        <w:rPr>
          <w:rFonts w:hint="eastAsia" w:hAnsi="宋体" w:cs="宋体"/>
          <w:bCs/>
          <w:color w:val="auto"/>
          <w:sz w:val="24"/>
          <w:szCs w:val="24"/>
        </w:rPr>
        <w:t>邮编：</w:t>
      </w:r>
      <w:r>
        <w:rPr>
          <w:rFonts w:hint="eastAsia" w:hAnsi="宋体" w:cs="宋体"/>
          <w:bCs/>
          <w:color w:val="auto"/>
          <w:sz w:val="24"/>
          <w:szCs w:val="24"/>
          <w:u w:val="single"/>
        </w:rPr>
        <w:t xml:space="preserve">                  </w:t>
      </w:r>
      <w:r>
        <w:rPr>
          <w:rFonts w:hint="eastAsia" w:hAnsi="宋体" w:cs="宋体"/>
          <w:bCs/>
          <w:color w:val="auto"/>
          <w:sz w:val="24"/>
          <w:szCs w:val="24"/>
        </w:rPr>
        <w:t xml:space="preserve">                 </w:t>
      </w:r>
    </w:p>
    <w:p w14:paraId="35FA23EC">
      <w:pPr>
        <w:pStyle w:val="28"/>
        <w:snapToGrid w:val="0"/>
        <w:spacing w:line="360" w:lineRule="auto"/>
        <w:ind w:firstLine="480" w:firstLineChars="200"/>
        <w:rPr>
          <w:rFonts w:hint="eastAsia" w:hAnsi="宋体" w:cs="宋体"/>
          <w:bCs/>
          <w:color w:val="auto"/>
          <w:sz w:val="24"/>
          <w:szCs w:val="24"/>
        </w:rPr>
      </w:pPr>
      <w:r>
        <w:rPr>
          <w:rFonts w:hint="eastAsia" w:hAnsi="宋体" w:cs="宋体"/>
          <w:bCs/>
          <w:color w:val="auto"/>
          <w:sz w:val="24"/>
          <w:szCs w:val="24"/>
        </w:rPr>
        <w:t>联系人：</w:t>
      </w:r>
      <w:r>
        <w:rPr>
          <w:rFonts w:hint="eastAsia" w:hAnsi="宋体" w:cs="宋体"/>
          <w:bCs/>
          <w:color w:val="auto"/>
          <w:sz w:val="24"/>
          <w:szCs w:val="24"/>
          <w:u w:val="single"/>
        </w:rPr>
        <w:t xml:space="preserve">                     </w:t>
      </w:r>
      <w:r>
        <w:rPr>
          <w:rFonts w:hint="eastAsia" w:hAnsi="宋体" w:cs="宋体"/>
          <w:bCs/>
          <w:color w:val="auto"/>
          <w:sz w:val="24"/>
          <w:szCs w:val="24"/>
        </w:rPr>
        <w:t>联系电话：</w:t>
      </w:r>
      <w:r>
        <w:rPr>
          <w:rFonts w:hint="eastAsia" w:hAnsi="宋体" w:cs="宋体"/>
          <w:bCs/>
          <w:color w:val="auto"/>
          <w:sz w:val="24"/>
          <w:szCs w:val="24"/>
          <w:u w:val="single"/>
        </w:rPr>
        <w:t xml:space="preserve">                 </w:t>
      </w:r>
    </w:p>
    <w:p w14:paraId="5D760D51">
      <w:pPr>
        <w:pStyle w:val="28"/>
        <w:snapToGrid w:val="0"/>
        <w:spacing w:line="360" w:lineRule="auto"/>
        <w:ind w:firstLine="480" w:firstLineChars="200"/>
        <w:rPr>
          <w:rFonts w:hint="eastAsia" w:hAnsi="宋体" w:cs="宋体"/>
          <w:bCs/>
          <w:color w:val="auto"/>
          <w:sz w:val="24"/>
          <w:szCs w:val="24"/>
        </w:rPr>
      </w:pPr>
      <w:r>
        <w:rPr>
          <w:rFonts w:hint="eastAsia" w:hAnsi="宋体" w:cs="宋体"/>
          <w:bCs/>
          <w:color w:val="auto"/>
          <w:sz w:val="24"/>
          <w:szCs w:val="24"/>
        </w:rPr>
        <w:t>授权代表：</w:t>
      </w:r>
      <w:r>
        <w:rPr>
          <w:rFonts w:hint="eastAsia" w:hAnsi="宋体" w:cs="宋体"/>
          <w:bCs/>
          <w:color w:val="auto"/>
          <w:sz w:val="24"/>
          <w:szCs w:val="24"/>
          <w:u w:val="single"/>
        </w:rPr>
        <w:t xml:space="preserve">                      </w:t>
      </w:r>
    </w:p>
    <w:p w14:paraId="4A02608D">
      <w:pPr>
        <w:pStyle w:val="28"/>
        <w:snapToGrid w:val="0"/>
        <w:spacing w:line="360" w:lineRule="auto"/>
        <w:ind w:firstLine="480" w:firstLineChars="200"/>
        <w:rPr>
          <w:rFonts w:hint="eastAsia" w:hAnsi="宋体" w:cs="宋体"/>
          <w:bCs/>
          <w:color w:val="auto"/>
          <w:sz w:val="24"/>
          <w:szCs w:val="24"/>
          <w:u w:val="single"/>
        </w:rPr>
      </w:pPr>
      <w:r>
        <w:rPr>
          <w:rFonts w:hint="eastAsia" w:hAnsi="宋体" w:cs="宋体"/>
          <w:bCs/>
          <w:color w:val="auto"/>
          <w:sz w:val="24"/>
          <w:szCs w:val="24"/>
        </w:rPr>
        <w:t>联系电话：</w:t>
      </w:r>
      <w:r>
        <w:rPr>
          <w:rFonts w:hint="eastAsia" w:hAnsi="宋体" w:cs="宋体"/>
          <w:bCs/>
          <w:color w:val="auto"/>
          <w:sz w:val="24"/>
          <w:szCs w:val="24"/>
          <w:u w:val="single"/>
        </w:rPr>
        <w:t xml:space="preserve">                      </w:t>
      </w:r>
    </w:p>
    <w:p w14:paraId="125EFD94">
      <w:pPr>
        <w:pStyle w:val="28"/>
        <w:snapToGrid w:val="0"/>
        <w:spacing w:line="360" w:lineRule="auto"/>
        <w:ind w:firstLine="480" w:firstLineChars="200"/>
        <w:rPr>
          <w:rFonts w:hint="eastAsia" w:hAnsi="宋体" w:cs="宋体"/>
          <w:bCs/>
          <w:color w:val="auto"/>
          <w:sz w:val="24"/>
          <w:szCs w:val="24"/>
        </w:rPr>
      </w:pPr>
      <w:r>
        <w:rPr>
          <w:rFonts w:hint="eastAsia" w:hAnsi="宋体" w:cs="宋体"/>
          <w:bCs/>
          <w:color w:val="auto"/>
          <w:sz w:val="24"/>
          <w:szCs w:val="24"/>
        </w:rPr>
        <w:t>地址：</w:t>
      </w:r>
      <w:r>
        <w:rPr>
          <w:rFonts w:hint="eastAsia" w:hAnsi="宋体" w:cs="宋体"/>
          <w:bCs/>
          <w:color w:val="auto"/>
          <w:sz w:val="24"/>
          <w:szCs w:val="24"/>
          <w:u w:val="single"/>
        </w:rPr>
        <w:t xml:space="preserve">                 </w:t>
      </w:r>
      <w:r>
        <w:rPr>
          <w:rFonts w:hint="eastAsia" w:hAnsi="宋体" w:cs="宋体"/>
          <w:bCs/>
          <w:color w:val="auto"/>
          <w:sz w:val="24"/>
          <w:szCs w:val="24"/>
        </w:rPr>
        <w:t>邮编：</w:t>
      </w:r>
      <w:r>
        <w:rPr>
          <w:rFonts w:hint="eastAsia" w:hAnsi="宋体" w:cs="宋体"/>
          <w:bCs/>
          <w:color w:val="auto"/>
          <w:sz w:val="24"/>
          <w:szCs w:val="24"/>
          <w:u w:val="single"/>
        </w:rPr>
        <w:t xml:space="preserve">                  </w:t>
      </w:r>
      <w:r>
        <w:rPr>
          <w:rFonts w:hint="eastAsia" w:hAnsi="宋体" w:cs="宋体"/>
          <w:bCs/>
          <w:color w:val="auto"/>
          <w:sz w:val="24"/>
          <w:szCs w:val="24"/>
        </w:rPr>
        <w:t xml:space="preserve">     </w:t>
      </w:r>
    </w:p>
    <w:p w14:paraId="717EE28D">
      <w:pPr>
        <w:pStyle w:val="28"/>
        <w:snapToGrid w:val="0"/>
        <w:spacing w:line="360" w:lineRule="auto"/>
        <w:ind w:firstLine="482" w:firstLineChars="200"/>
        <w:rPr>
          <w:rFonts w:hint="eastAsia" w:hAnsi="宋体" w:cs="宋体"/>
          <w:b/>
          <w:bCs/>
          <w:color w:val="auto"/>
          <w:sz w:val="24"/>
          <w:szCs w:val="24"/>
        </w:rPr>
      </w:pPr>
      <w:r>
        <w:rPr>
          <w:rFonts w:hint="eastAsia" w:hAnsi="宋体" w:cs="宋体"/>
          <w:b/>
          <w:bCs/>
          <w:color w:val="auto"/>
          <w:sz w:val="24"/>
          <w:szCs w:val="24"/>
        </w:rPr>
        <w:t>二、质疑项目基本情况：</w:t>
      </w:r>
    </w:p>
    <w:p w14:paraId="03A3CFD2">
      <w:pPr>
        <w:pStyle w:val="28"/>
        <w:spacing w:line="360" w:lineRule="auto"/>
        <w:ind w:left="25" w:leftChars="12" w:firstLine="472" w:firstLineChars="197"/>
        <w:rPr>
          <w:rFonts w:hint="eastAsia" w:hAnsi="宋体" w:cs="宋体"/>
          <w:color w:val="auto"/>
          <w:sz w:val="24"/>
          <w:szCs w:val="24"/>
        </w:rPr>
      </w:pPr>
      <w:r>
        <w:rPr>
          <w:rFonts w:hint="eastAsia" w:hAnsi="宋体" w:cs="宋体"/>
          <w:bCs/>
          <w:color w:val="auto"/>
          <w:sz w:val="24"/>
          <w:szCs w:val="24"/>
        </w:rPr>
        <w:t>质疑</w:t>
      </w:r>
      <w:r>
        <w:rPr>
          <w:rFonts w:hint="eastAsia" w:hAnsi="宋体" w:cs="宋体"/>
          <w:color w:val="auto"/>
          <w:sz w:val="24"/>
          <w:szCs w:val="24"/>
        </w:rPr>
        <w:t>项目的名称：</w:t>
      </w:r>
      <w:r>
        <w:rPr>
          <w:rFonts w:hint="eastAsia" w:hAnsi="宋体" w:cs="宋体"/>
          <w:bCs/>
          <w:color w:val="auto"/>
          <w:sz w:val="24"/>
          <w:szCs w:val="24"/>
          <w:u w:val="single"/>
        </w:rPr>
        <w:t xml:space="preserve">                                     </w:t>
      </w:r>
    </w:p>
    <w:p w14:paraId="0F3E979B">
      <w:pPr>
        <w:pStyle w:val="28"/>
        <w:spacing w:line="360" w:lineRule="auto"/>
        <w:ind w:left="25" w:leftChars="12" w:firstLine="472" w:firstLineChars="197"/>
        <w:rPr>
          <w:rFonts w:hint="eastAsia" w:hAnsi="宋体" w:cs="宋体"/>
          <w:color w:val="auto"/>
          <w:sz w:val="24"/>
          <w:szCs w:val="24"/>
        </w:rPr>
      </w:pPr>
      <w:r>
        <w:rPr>
          <w:rFonts w:hint="eastAsia" w:hAnsi="宋体" w:cs="宋体"/>
          <w:bCs/>
          <w:color w:val="auto"/>
          <w:sz w:val="24"/>
          <w:szCs w:val="24"/>
        </w:rPr>
        <w:t>质疑</w:t>
      </w:r>
      <w:r>
        <w:rPr>
          <w:rFonts w:hint="eastAsia" w:hAnsi="宋体" w:cs="宋体"/>
          <w:color w:val="auto"/>
          <w:sz w:val="24"/>
          <w:szCs w:val="24"/>
        </w:rPr>
        <w:t>项目的编号：</w:t>
      </w:r>
      <w:r>
        <w:rPr>
          <w:rFonts w:hint="eastAsia" w:hAnsi="宋体" w:cs="宋体"/>
          <w:bCs/>
          <w:color w:val="auto"/>
          <w:sz w:val="24"/>
          <w:szCs w:val="24"/>
          <w:u w:val="single"/>
        </w:rPr>
        <w:t xml:space="preserve">                                     </w:t>
      </w:r>
    </w:p>
    <w:p w14:paraId="41EF0E4A">
      <w:pPr>
        <w:pStyle w:val="28"/>
        <w:spacing w:line="360" w:lineRule="auto"/>
        <w:ind w:left="25" w:leftChars="12" w:firstLine="472" w:firstLineChars="197"/>
        <w:rPr>
          <w:rFonts w:hint="eastAsia" w:hAnsi="宋体" w:cs="宋体"/>
          <w:color w:val="auto"/>
          <w:sz w:val="24"/>
          <w:szCs w:val="24"/>
        </w:rPr>
      </w:pPr>
      <w:r>
        <w:rPr>
          <w:rFonts w:hint="eastAsia" w:hAnsi="宋体" w:cs="宋体"/>
          <w:color w:val="auto"/>
          <w:sz w:val="24"/>
          <w:szCs w:val="24"/>
        </w:rPr>
        <w:t>采购人名称：</w:t>
      </w:r>
      <w:r>
        <w:rPr>
          <w:rFonts w:hint="eastAsia" w:hAnsi="宋体" w:cs="宋体"/>
          <w:bCs/>
          <w:color w:val="auto"/>
          <w:sz w:val="24"/>
          <w:szCs w:val="24"/>
          <w:u w:val="single"/>
        </w:rPr>
        <w:t xml:space="preserve">                                         </w:t>
      </w:r>
    </w:p>
    <w:p w14:paraId="6563AA62">
      <w:pPr>
        <w:pStyle w:val="28"/>
        <w:spacing w:line="360" w:lineRule="auto"/>
        <w:ind w:left="25" w:leftChars="12" w:firstLine="472" w:firstLineChars="197"/>
        <w:rPr>
          <w:rFonts w:hint="eastAsia" w:hAnsi="宋体" w:cs="宋体"/>
          <w:color w:val="auto"/>
          <w:sz w:val="24"/>
          <w:szCs w:val="24"/>
        </w:rPr>
      </w:pPr>
      <w:r>
        <w:rPr>
          <w:rFonts w:hint="eastAsia" w:hAnsi="宋体" w:cs="宋体"/>
          <w:color w:val="auto"/>
          <w:sz w:val="24"/>
          <w:szCs w:val="24"/>
        </w:rPr>
        <w:t>质疑事项：</w:t>
      </w:r>
    </w:p>
    <w:p w14:paraId="6F3E8FD7">
      <w:pPr>
        <w:pStyle w:val="28"/>
        <w:spacing w:line="360" w:lineRule="auto"/>
        <w:ind w:left="25" w:leftChars="12" w:firstLine="352" w:firstLineChars="147"/>
        <w:rPr>
          <w:rFonts w:hint="eastAsia" w:hAnsi="宋体" w:cs="宋体"/>
          <w:color w:val="auto"/>
          <w:sz w:val="24"/>
          <w:szCs w:val="24"/>
        </w:rPr>
      </w:pPr>
      <w:r>
        <w:rPr>
          <w:rFonts w:hint="eastAsia" w:hAnsi="宋体" w:cs="宋体"/>
          <w:color w:val="auto"/>
          <w:sz w:val="24"/>
          <w:szCs w:val="24"/>
        </w:rPr>
        <w:t>□招标文件   招标文件获取日期：</w:t>
      </w:r>
      <w:r>
        <w:rPr>
          <w:rFonts w:hint="eastAsia" w:hAnsi="宋体" w:cs="宋体"/>
          <w:bCs/>
          <w:color w:val="auto"/>
          <w:sz w:val="24"/>
          <w:szCs w:val="24"/>
          <w:u w:val="single"/>
        </w:rPr>
        <w:t xml:space="preserve">                                   </w:t>
      </w:r>
    </w:p>
    <w:p w14:paraId="16313C24">
      <w:pPr>
        <w:pStyle w:val="28"/>
        <w:spacing w:line="360" w:lineRule="auto"/>
        <w:ind w:left="25" w:leftChars="12" w:firstLine="352" w:firstLineChars="147"/>
        <w:rPr>
          <w:rFonts w:hint="eastAsia" w:hAnsi="宋体" w:cs="宋体"/>
          <w:color w:val="auto"/>
          <w:sz w:val="24"/>
          <w:szCs w:val="24"/>
        </w:rPr>
      </w:pPr>
      <w:r>
        <w:rPr>
          <w:rFonts w:hint="eastAsia" w:hAnsi="宋体" w:cs="宋体"/>
          <w:color w:val="auto"/>
          <w:sz w:val="24"/>
          <w:szCs w:val="24"/>
        </w:rPr>
        <w:t xml:space="preserve">□采购过程   </w:t>
      </w:r>
    </w:p>
    <w:p w14:paraId="31B127ED">
      <w:pPr>
        <w:pStyle w:val="28"/>
        <w:spacing w:line="360" w:lineRule="auto"/>
        <w:ind w:left="25" w:leftChars="12" w:firstLine="352" w:firstLineChars="147"/>
        <w:rPr>
          <w:rFonts w:hint="eastAsia" w:hAnsi="宋体" w:cs="宋体"/>
          <w:bCs/>
          <w:color w:val="auto"/>
          <w:sz w:val="24"/>
          <w:szCs w:val="24"/>
          <w:u w:val="single"/>
        </w:rPr>
      </w:pPr>
      <w:r>
        <w:rPr>
          <w:rFonts w:hint="eastAsia" w:hAnsi="宋体" w:cs="宋体"/>
          <w:color w:val="auto"/>
          <w:sz w:val="24"/>
          <w:szCs w:val="24"/>
        </w:rPr>
        <w:t xml:space="preserve">□中标结果   </w:t>
      </w:r>
    </w:p>
    <w:p w14:paraId="30A8B920">
      <w:pPr>
        <w:pStyle w:val="28"/>
        <w:spacing w:line="360" w:lineRule="auto"/>
        <w:ind w:left="25" w:leftChars="12" w:firstLine="472" w:firstLineChars="196"/>
        <w:rPr>
          <w:rFonts w:hint="eastAsia" w:hAnsi="宋体" w:cs="宋体"/>
          <w:b/>
          <w:color w:val="auto"/>
          <w:sz w:val="24"/>
          <w:szCs w:val="24"/>
        </w:rPr>
      </w:pPr>
      <w:r>
        <w:rPr>
          <w:rFonts w:hint="eastAsia" w:hAnsi="宋体" w:cs="宋体"/>
          <w:b/>
          <w:color w:val="auto"/>
          <w:sz w:val="24"/>
          <w:szCs w:val="24"/>
        </w:rPr>
        <w:t>三、质疑事项具体内容</w:t>
      </w:r>
    </w:p>
    <w:p w14:paraId="2A480217">
      <w:pPr>
        <w:pStyle w:val="28"/>
        <w:spacing w:line="360" w:lineRule="auto"/>
        <w:ind w:left="25" w:leftChars="12" w:firstLine="472" w:firstLineChars="197"/>
        <w:rPr>
          <w:rFonts w:hint="eastAsia" w:hAnsi="宋体" w:cs="宋体"/>
          <w:color w:val="auto"/>
          <w:sz w:val="24"/>
          <w:szCs w:val="24"/>
        </w:rPr>
      </w:pPr>
      <w:r>
        <w:rPr>
          <w:rFonts w:hint="eastAsia" w:hAnsi="宋体" w:cs="宋体"/>
          <w:color w:val="auto"/>
          <w:sz w:val="24"/>
          <w:szCs w:val="24"/>
        </w:rPr>
        <w:t>质疑事项1：</w:t>
      </w:r>
      <w:r>
        <w:rPr>
          <w:rFonts w:hint="eastAsia" w:hAnsi="宋体" w:cs="宋体"/>
          <w:bCs/>
          <w:color w:val="auto"/>
          <w:sz w:val="24"/>
          <w:szCs w:val="24"/>
          <w:u w:val="single"/>
        </w:rPr>
        <w:t xml:space="preserve">                                                                    </w:t>
      </w:r>
    </w:p>
    <w:p w14:paraId="245068B9">
      <w:pPr>
        <w:pStyle w:val="28"/>
        <w:spacing w:line="360" w:lineRule="auto"/>
        <w:ind w:left="25" w:leftChars="12" w:firstLine="472" w:firstLineChars="197"/>
        <w:rPr>
          <w:rFonts w:hint="eastAsia" w:hAnsi="宋体" w:cs="宋体"/>
          <w:color w:val="auto"/>
          <w:sz w:val="24"/>
          <w:szCs w:val="24"/>
        </w:rPr>
      </w:pPr>
      <w:r>
        <w:rPr>
          <w:rFonts w:hint="eastAsia" w:hAnsi="宋体" w:cs="宋体"/>
          <w:color w:val="auto"/>
          <w:sz w:val="24"/>
          <w:szCs w:val="24"/>
        </w:rPr>
        <w:t>事实依据：</w:t>
      </w:r>
      <w:r>
        <w:rPr>
          <w:rFonts w:hint="eastAsia" w:hAnsi="宋体" w:cs="宋体"/>
          <w:bCs/>
          <w:color w:val="auto"/>
          <w:sz w:val="24"/>
          <w:szCs w:val="24"/>
          <w:u w:val="single"/>
        </w:rPr>
        <w:t xml:space="preserve">                                                                      </w:t>
      </w:r>
    </w:p>
    <w:p w14:paraId="31029978">
      <w:pPr>
        <w:pStyle w:val="28"/>
        <w:spacing w:line="360" w:lineRule="auto"/>
        <w:ind w:left="25" w:leftChars="12" w:firstLine="472" w:firstLineChars="197"/>
        <w:rPr>
          <w:rFonts w:hint="eastAsia" w:hAnsi="宋体" w:cs="宋体"/>
          <w:color w:val="auto"/>
          <w:sz w:val="24"/>
          <w:szCs w:val="24"/>
        </w:rPr>
      </w:pPr>
      <w:r>
        <w:rPr>
          <w:rFonts w:hint="eastAsia" w:hAnsi="宋体" w:cs="宋体"/>
          <w:color w:val="auto"/>
          <w:sz w:val="24"/>
          <w:szCs w:val="24"/>
        </w:rPr>
        <w:t>法律依据：</w:t>
      </w:r>
      <w:r>
        <w:rPr>
          <w:rFonts w:hint="eastAsia" w:hAnsi="宋体" w:cs="宋体"/>
          <w:color w:val="auto"/>
          <w:sz w:val="24"/>
          <w:szCs w:val="24"/>
          <w:u w:val="single"/>
        </w:rPr>
        <w:t xml:space="preserve">                                                        </w:t>
      </w:r>
      <w:r>
        <w:rPr>
          <w:rFonts w:hint="eastAsia" w:hAnsi="宋体" w:cs="宋体"/>
          <w:bCs/>
          <w:color w:val="auto"/>
          <w:sz w:val="24"/>
          <w:szCs w:val="24"/>
          <w:u w:val="single"/>
        </w:rPr>
        <w:t xml:space="preserve">               </w:t>
      </w:r>
    </w:p>
    <w:p w14:paraId="3E40F0FF">
      <w:pPr>
        <w:pStyle w:val="28"/>
        <w:spacing w:line="360" w:lineRule="auto"/>
        <w:ind w:left="25" w:leftChars="12" w:firstLine="472" w:firstLineChars="197"/>
        <w:rPr>
          <w:rFonts w:hint="eastAsia" w:hAnsi="宋体" w:cs="宋体"/>
          <w:color w:val="auto"/>
          <w:sz w:val="24"/>
          <w:szCs w:val="24"/>
        </w:rPr>
      </w:pPr>
      <w:r>
        <w:rPr>
          <w:rFonts w:hint="eastAsia" w:hAnsi="宋体" w:cs="宋体"/>
          <w:color w:val="auto"/>
          <w:sz w:val="24"/>
          <w:szCs w:val="24"/>
        </w:rPr>
        <w:t>质疑事项2</w:t>
      </w:r>
    </w:p>
    <w:p w14:paraId="70F40A7C">
      <w:pPr>
        <w:pStyle w:val="28"/>
        <w:spacing w:line="360" w:lineRule="auto"/>
        <w:ind w:left="25" w:leftChars="12" w:firstLine="472" w:firstLineChars="197"/>
        <w:rPr>
          <w:rFonts w:hint="eastAsia" w:hAnsi="宋体" w:cs="宋体"/>
          <w:color w:val="auto"/>
          <w:sz w:val="24"/>
          <w:szCs w:val="24"/>
        </w:rPr>
      </w:pPr>
      <w:r>
        <w:rPr>
          <w:rFonts w:hint="eastAsia" w:hAnsi="宋体" w:cs="宋体"/>
          <w:color w:val="auto"/>
          <w:sz w:val="24"/>
          <w:szCs w:val="24"/>
        </w:rPr>
        <w:t>……</w:t>
      </w:r>
    </w:p>
    <w:p w14:paraId="26AA5D03">
      <w:pPr>
        <w:pStyle w:val="28"/>
        <w:spacing w:line="360" w:lineRule="auto"/>
        <w:ind w:left="25" w:leftChars="12" w:firstLine="472" w:firstLineChars="197"/>
        <w:rPr>
          <w:rFonts w:hint="eastAsia" w:hAnsi="宋体" w:cs="宋体"/>
          <w:color w:val="auto"/>
          <w:sz w:val="24"/>
          <w:szCs w:val="24"/>
        </w:rPr>
      </w:pPr>
      <w:r>
        <w:rPr>
          <w:rFonts w:hint="eastAsia" w:hAnsi="宋体" w:cs="宋体"/>
          <w:color w:val="auto"/>
          <w:sz w:val="24"/>
          <w:szCs w:val="24"/>
        </w:rPr>
        <w:t>四、与质疑事项相关的质疑请求：</w:t>
      </w:r>
    </w:p>
    <w:p w14:paraId="152BE884">
      <w:pPr>
        <w:pStyle w:val="28"/>
        <w:spacing w:line="360" w:lineRule="auto"/>
        <w:ind w:left="25" w:leftChars="12" w:firstLine="472" w:firstLineChars="197"/>
        <w:rPr>
          <w:rFonts w:hint="eastAsia" w:hAnsi="宋体" w:cs="宋体"/>
          <w:color w:val="auto"/>
          <w:sz w:val="24"/>
          <w:szCs w:val="24"/>
        </w:rPr>
      </w:pPr>
      <w:r>
        <w:rPr>
          <w:rFonts w:hint="eastAsia" w:hAnsi="宋体" w:cs="宋体"/>
          <w:color w:val="auto"/>
          <w:sz w:val="24"/>
          <w:szCs w:val="24"/>
        </w:rPr>
        <w:t>请求：</w:t>
      </w:r>
      <w:r>
        <w:rPr>
          <w:rFonts w:hint="eastAsia" w:hAnsi="宋体" w:cs="宋体"/>
          <w:bCs/>
          <w:color w:val="auto"/>
          <w:sz w:val="24"/>
          <w:szCs w:val="24"/>
          <w:u w:val="single"/>
        </w:rPr>
        <w:t xml:space="preserve">                                                                </w:t>
      </w:r>
    </w:p>
    <w:p w14:paraId="2662BFFE">
      <w:pPr>
        <w:pStyle w:val="28"/>
        <w:spacing w:line="360" w:lineRule="auto"/>
        <w:ind w:left="25" w:leftChars="12" w:firstLine="352" w:firstLineChars="147"/>
        <w:rPr>
          <w:rFonts w:hint="eastAsia" w:hAnsi="宋体" w:cs="宋体"/>
          <w:color w:val="auto"/>
          <w:sz w:val="24"/>
          <w:szCs w:val="24"/>
        </w:rPr>
      </w:pPr>
    </w:p>
    <w:p w14:paraId="0201F1D9">
      <w:pPr>
        <w:pStyle w:val="28"/>
        <w:spacing w:line="360" w:lineRule="auto"/>
        <w:ind w:left="25" w:leftChars="12" w:firstLine="472" w:firstLineChars="197"/>
        <w:rPr>
          <w:rFonts w:hint="eastAsia" w:hAnsi="宋体" w:cs="宋体"/>
          <w:color w:val="auto"/>
          <w:sz w:val="24"/>
          <w:szCs w:val="24"/>
        </w:rPr>
      </w:pPr>
      <w:r>
        <w:rPr>
          <w:rFonts w:hint="eastAsia" w:hAnsi="宋体" w:cs="宋体"/>
          <w:color w:val="auto"/>
          <w:sz w:val="24"/>
          <w:szCs w:val="24"/>
        </w:rPr>
        <w:t>签字（签章）：                                       公章：</w:t>
      </w:r>
    </w:p>
    <w:p w14:paraId="50E165FD">
      <w:pPr>
        <w:pStyle w:val="28"/>
        <w:spacing w:line="360" w:lineRule="auto"/>
        <w:ind w:left="25" w:leftChars="12" w:firstLine="352" w:firstLineChars="147"/>
        <w:rPr>
          <w:rFonts w:hint="eastAsia" w:hAnsi="宋体" w:cs="宋体"/>
          <w:color w:val="auto"/>
          <w:sz w:val="24"/>
          <w:szCs w:val="24"/>
        </w:rPr>
      </w:pPr>
    </w:p>
    <w:p w14:paraId="6A87774E">
      <w:pPr>
        <w:pStyle w:val="28"/>
        <w:spacing w:line="360" w:lineRule="auto"/>
        <w:ind w:left="25" w:leftChars="12" w:firstLine="472" w:firstLineChars="197"/>
        <w:rPr>
          <w:rFonts w:hint="eastAsia" w:hAnsi="宋体" w:cs="宋体"/>
          <w:color w:val="auto"/>
          <w:sz w:val="24"/>
          <w:szCs w:val="24"/>
        </w:rPr>
      </w:pPr>
      <w:r>
        <w:rPr>
          <w:rFonts w:hint="eastAsia" w:hAnsi="宋体" w:cs="宋体"/>
          <w:color w:val="auto"/>
          <w:sz w:val="24"/>
          <w:szCs w:val="24"/>
        </w:rPr>
        <w:t>日期：</w:t>
      </w:r>
    </w:p>
    <w:p w14:paraId="3C4DAEC1">
      <w:pPr>
        <w:pStyle w:val="28"/>
        <w:snapToGrid w:val="0"/>
        <w:spacing w:line="360" w:lineRule="auto"/>
        <w:rPr>
          <w:rFonts w:hint="eastAsia" w:hAnsi="宋体" w:cs="宋体"/>
          <w:b/>
          <w:color w:val="auto"/>
          <w:sz w:val="24"/>
          <w:szCs w:val="24"/>
        </w:rPr>
      </w:pPr>
    </w:p>
    <w:p w14:paraId="178BAE79">
      <w:pPr>
        <w:pStyle w:val="28"/>
        <w:snapToGrid w:val="0"/>
        <w:spacing w:line="360" w:lineRule="auto"/>
        <w:rPr>
          <w:rFonts w:hint="eastAsia" w:hAnsi="宋体" w:cs="宋体"/>
          <w:b/>
          <w:color w:val="auto"/>
          <w:sz w:val="21"/>
        </w:rPr>
      </w:pPr>
      <w:r>
        <w:rPr>
          <w:rFonts w:hint="eastAsia" w:hAnsi="宋体" w:cs="宋体"/>
          <w:b/>
          <w:color w:val="auto"/>
          <w:sz w:val="21"/>
        </w:rPr>
        <w:t>说明：</w:t>
      </w:r>
    </w:p>
    <w:p w14:paraId="6E60B621">
      <w:pPr>
        <w:pStyle w:val="28"/>
        <w:spacing w:line="360" w:lineRule="auto"/>
        <w:ind w:left="25" w:leftChars="12" w:firstLine="310" w:firstLineChars="147"/>
        <w:rPr>
          <w:rFonts w:hint="eastAsia" w:hAnsi="宋体" w:cs="宋体"/>
          <w:b/>
          <w:bCs/>
          <w:color w:val="auto"/>
          <w:sz w:val="21"/>
        </w:rPr>
      </w:pPr>
      <w:r>
        <w:rPr>
          <w:rFonts w:hint="eastAsia" w:hAnsi="宋体" w:cs="宋体"/>
          <w:b/>
          <w:color w:val="auto"/>
          <w:sz w:val="21"/>
        </w:rPr>
        <w:t>1.供应商提出质疑时，应提交质疑函和必要的证明材料</w:t>
      </w:r>
      <w:r>
        <w:rPr>
          <w:rFonts w:hint="eastAsia" w:hAnsi="宋体" w:cs="宋体"/>
          <w:b/>
          <w:bCs/>
          <w:color w:val="auto"/>
          <w:sz w:val="21"/>
        </w:rPr>
        <w:t>。</w:t>
      </w:r>
    </w:p>
    <w:p w14:paraId="3DA92316">
      <w:pPr>
        <w:pStyle w:val="28"/>
        <w:spacing w:line="360" w:lineRule="auto"/>
        <w:ind w:left="25" w:leftChars="12" w:firstLine="310" w:firstLineChars="147"/>
        <w:rPr>
          <w:rFonts w:hint="eastAsia" w:hAnsi="宋体" w:cs="宋体"/>
          <w:b/>
          <w:color w:val="auto"/>
          <w:sz w:val="21"/>
        </w:rPr>
      </w:pPr>
      <w:r>
        <w:rPr>
          <w:rFonts w:hint="eastAsia" w:hAnsi="宋体" w:cs="宋体"/>
          <w:b/>
          <w:color w:val="auto"/>
          <w:sz w:val="21"/>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694A7F3">
      <w:pPr>
        <w:pStyle w:val="28"/>
        <w:spacing w:line="360" w:lineRule="auto"/>
        <w:ind w:left="25" w:leftChars="12" w:firstLine="310" w:firstLineChars="147"/>
        <w:rPr>
          <w:rFonts w:hint="eastAsia" w:hAnsi="宋体" w:cs="宋体"/>
          <w:b/>
          <w:color w:val="auto"/>
          <w:sz w:val="21"/>
        </w:rPr>
      </w:pPr>
      <w:r>
        <w:rPr>
          <w:rFonts w:hint="eastAsia" w:hAnsi="宋体" w:cs="宋体"/>
          <w:b/>
          <w:color w:val="auto"/>
          <w:sz w:val="21"/>
        </w:rPr>
        <w:t>3.质疑函的质疑事项应具体、明确，并有必要的事实依据和法律依据。</w:t>
      </w:r>
    </w:p>
    <w:p w14:paraId="0A4B027D">
      <w:pPr>
        <w:pStyle w:val="28"/>
        <w:spacing w:line="360" w:lineRule="auto"/>
        <w:ind w:left="25" w:leftChars="12" w:firstLine="310" w:firstLineChars="147"/>
        <w:rPr>
          <w:rFonts w:hint="eastAsia" w:hAnsi="宋体" w:cs="宋体"/>
          <w:b/>
          <w:color w:val="auto"/>
          <w:sz w:val="21"/>
        </w:rPr>
      </w:pPr>
      <w:r>
        <w:rPr>
          <w:rFonts w:hint="eastAsia" w:hAnsi="宋体" w:cs="宋体"/>
          <w:b/>
          <w:color w:val="auto"/>
          <w:sz w:val="21"/>
        </w:rPr>
        <w:t>4.质疑函的质疑请求应与质疑事项相关。</w:t>
      </w:r>
    </w:p>
    <w:p w14:paraId="482ED89B">
      <w:pPr>
        <w:pStyle w:val="28"/>
        <w:spacing w:line="360" w:lineRule="auto"/>
        <w:ind w:left="25" w:leftChars="12" w:firstLine="310" w:firstLineChars="147"/>
        <w:rPr>
          <w:rFonts w:hint="eastAsia" w:hAnsi="宋体" w:cs="宋体"/>
          <w:b/>
          <w:color w:val="auto"/>
        </w:rPr>
      </w:pPr>
      <w:r>
        <w:rPr>
          <w:rFonts w:hint="eastAsia" w:hAnsi="宋体" w:cs="宋体"/>
          <w:b/>
          <w:color w:val="auto"/>
          <w:sz w:val="21"/>
        </w:rPr>
        <w:t>5.质疑供应商为法人或者其他组织的，质疑函应由法定代表人、主要负责人，或者其授权代表签字或者盖章，并加盖公章。</w:t>
      </w:r>
    </w:p>
    <w:p w14:paraId="36BBD2ED">
      <w:pPr>
        <w:pStyle w:val="28"/>
        <w:snapToGrid w:val="0"/>
        <w:rPr>
          <w:rFonts w:hint="eastAsia" w:hAnsi="宋体" w:cs="宋体"/>
          <w:b/>
          <w:color w:val="auto"/>
          <w:sz w:val="24"/>
          <w:szCs w:val="24"/>
        </w:rPr>
      </w:pPr>
    </w:p>
    <w:p w14:paraId="7F87A896">
      <w:pPr>
        <w:spacing w:line="360" w:lineRule="auto"/>
        <w:jc w:val="left"/>
        <w:rPr>
          <w:rFonts w:hint="eastAsia" w:ascii="宋体" w:hAnsi="宋体" w:cs="宋体"/>
          <w:b/>
          <w:bCs/>
          <w:color w:val="auto"/>
          <w:sz w:val="32"/>
          <w:szCs w:val="32"/>
        </w:rPr>
      </w:pPr>
      <w:r>
        <w:rPr>
          <w:rFonts w:hint="eastAsia" w:ascii="宋体" w:hAnsi="宋体" w:cs="宋体"/>
          <w:color w:val="auto"/>
          <w:sz w:val="44"/>
        </w:rPr>
        <w:br w:type="page"/>
      </w:r>
      <w:r>
        <w:rPr>
          <w:rFonts w:hint="eastAsia" w:ascii="宋体" w:hAnsi="宋体" w:cs="宋体"/>
          <w:b/>
          <w:color w:val="auto"/>
          <w:sz w:val="24"/>
          <w:lang w:val="en-US" w:eastAsia="zh-CN"/>
        </w:rPr>
        <w:t>3</w:t>
      </w:r>
      <w:r>
        <w:rPr>
          <w:rFonts w:hint="eastAsia" w:ascii="宋体" w:hAnsi="宋体" w:cs="宋体"/>
          <w:b/>
          <w:color w:val="auto"/>
          <w:sz w:val="24"/>
        </w:rPr>
        <w:t>.投诉书（格式）</w:t>
      </w:r>
    </w:p>
    <w:p w14:paraId="7B046E16">
      <w:pPr>
        <w:spacing w:line="360" w:lineRule="auto"/>
        <w:jc w:val="center"/>
        <w:rPr>
          <w:rFonts w:hint="eastAsia" w:ascii="宋体" w:hAnsi="宋体" w:cs="宋体"/>
          <w:b/>
          <w:bCs/>
          <w:color w:val="auto"/>
          <w:sz w:val="32"/>
          <w:szCs w:val="32"/>
        </w:rPr>
      </w:pPr>
      <w:r>
        <w:rPr>
          <w:rFonts w:hint="eastAsia" w:ascii="宋体" w:hAnsi="宋体" w:cs="宋体"/>
          <w:b/>
          <w:bCs/>
          <w:color w:val="auto"/>
          <w:sz w:val="32"/>
          <w:szCs w:val="32"/>
        </w:rPr>
        <w:t>投诉书（格式）</w:t>
      </w:r>
    </w:p>
    <w:p w14:paraId="4BE58D29">
      <w:pPr>
        <w:pStyle w:val="28"/>
        <w:snapToGrid w:val="0"/>
        <w:spacing w:line="360" w:lineRule="auto"/>
        <w:ind w:firstLine="482" w:firstLineChars="200"/>
        <w:rPr>
          <w:rFonts w:hint="eastAsia" w:hAnsi="宋体" w:cs="宋体"/>
          <w:b/>
          <w:bCs/>
          <w:color w:val="auto"/>
          <w:sz w:val="24"/>
          <w:szCs w:val="24"/>
        </w:rPr>
      </w:pPr>
      <w:r>
        <w:rPr>
          <w:rFonts w:hint="eastAsia" w:hAnsi="宋体" w:cs="宋体"/>
          <w:b/>
          <w:bCs/>
          <w:color w:val="auto"/>
          <w:sz w:val="24"/>
          <w:szCs w:val="24"/>
        </w:rPr>
        <w:t>一、投诉相关主体基本情况：</w:t>
      </w:r>
    </w:p>
    <w:p w14:paraId="5C24981F">
      <w:pPr>
        <w:pStyle w:val="28"/>
        <w:snapToGrid w:val="0"/>
        <w:spacing w:line="360" w:lineRule="auto"/>
        <w:ind w:firstLine="480" w:firstLineChars="200"/>
        <w:jc w:val="left"/>
        <w:rPr>
          <w:rFonts w:hint="eastAsia" w:hAnsi="宋体" w:cs="宋体"/>
          <w:bCs/>
          <w:color w:val="auto"/>
          <w:sz w:val="24"/>
          <w:szCs w:val="24"/>
          <w:u w:val="single"/>
        </w:rPr>
      </w:pPr>
      <w:r>
        <w:rPr>
          <w:rFonts w:hint="eastAsia" w:hAnsi="宋体" w:cs="宋体"/>
          <w:bCs/>
          <w:color w:val="auto"/>
          <w:sz w:val="24"/>
          <w:szCs w:val="24"/>
        </w:rPr>
        <w:t>投标人：</w:t>
      </w:r>
      <w:r>
        <w:rPr>
          <w:rFonts w:hint="eastAsia" w:hAnsi="宋体" w:cs="宋体"/>
          <w:bCs/>
          <w:color w:val="auto"/>
          <w:sz w:val="24"/>
          <w:szCs w:val="24"/>
          <w:u w:val="single"/>
        </w:rPr>
        <w:t xml:space="preserve">                                                                        </w:t>
      </w:r>
      <w:r>
        <w:rPr>
          <w:rFonts w:hint="eastAsia" w:hAnsi="宋体" w:cs="宋体"/>
          <w:bCs/>
          <w:color w:val="auto"/>
          <w:sz w:val="24"/>
          <w:szCs w:val="24"/>
        </w:rPr>
        <w:t xml:space="preserve">                 </w:t>
      </w:r>
    </w:p>
    <w:p w14:paraId="36041E9B">
      <w:pPr>
        <w:pStyle w:val="28"/>
        <w:snapToGrid w:val="0"/>
        <w:spacing w:line="360" w:lineRule="auto"/>
        <w:ind w:firstLine="480" w:firstLineChars="200"/>
        <w:jc w:val="left"/>
        <w:rPr>
          <w:rFonts w:hint="eastAsia" w:hAnsi="宋体" w:cs="宋体"/>
          <w:bCs/>
          <w:color w:val="auto"/>
          <w:sz w:val="24"/>
          <w:szCs w:val="24"/>
        </w:rPr>
      </w:pPr>
      <w:r>
        <w:rPr>
          <w:rFonts w:hint="eastAsia" w:hAnsi="宋体" w:cs="宋体"/>
          <w:bCs/>
          <w:color w:val="auto"/>
          <w:sz w:val="24"/>
          <w:szCs w:val="24"/>
        </w:rPr>
        <w:t>地址：</w:t>
      </w:r>
      <w:r>
        <w:rPr>
          <w:rFonts w:hint="eastAsia" w:hAnsi="宋体" w:cs="宋体"/>
          <w:bCs/>
          <w:color w:val="auto"/>
          <w:sz w:val="24"/>
          <w:szCs w:val="24"/>
          <w:u w:val="single"/>
        </w:rPr>
        <w:t xml:space="preserve">                                          </w:t>
      </w:r>
      <w:r>
        <w:rPr>
          <w:rFonts w:hint="eastAsia" w:hAnsi="宋体" w:cs="宋体"/>
          <w:bCs/>
          <w:color w:val="auto"/>
          <w:sz w:val="24"/>
          <w:szCs w:val="24"/>
        </w:rPr>
        <w:t>邮编：</w:t>
      </w:r>
      <w:r>
        <w:rPr>
          <w:rFonts w:hint="eastAsia" w:hAnsi="宋体" w:cs="宋体"/>
          <w:bCs/>
          <w:color w:val="auto"/>
          <w:sz w:val="24"/>
          <w:szCs w:val="24"/>
          <w:u w:val="single"/>
        </w:rPr>
        <w:t xml:space="preserve">                          </w:t>
      </w:r>
      <w:r>
        <w:rPr>
          <w:rFonts w:hint="eastAsia" w:hAnsi="宋体" w:cs="宋体"/>
          <w:bCs/>
          <w:color w:val="auto"/>
          <w:sz w:val="24"/>
          <w:szCs w:val="24"/>
        </w:rPr>
        <w:t xml:space="preserve">                 </w:t>
      </w:r>
    </w:p>
    <w:p w14:paraId="20EE5EC3">
      <w:pPr>
        <w:pStyle w:val="28"/>
        <w:snapToGrid w:val="0"/>
        <w:spacing w:line="360" w:lineRule="auto"/>
        <w:ind w:firstLine="480" w:firstLineChars="200"/>
        <w:jc w:val="left"/>
        <w:rPr>
          <w:rFonts w:hint="eastAsia" w:hAnsi="宋体" w:cs="宋体"/>
          <w:bCs/>
          <w:color w:val="auto"/>
          <w:sz w:val="24"/>
          <w:szCs w:val="24"/>
          <w:u w:val="single"/>
        </w:rPr>
      </w:pPr>
      <w:r>
        <w:rPr>
          <w:rFonts w:hint="eastAsia" w:hAnsi="宋体" w:cs="宋体"/>
          <w:bCs/>
          <w:color w:val="auto"/>
          <w:sz w:val="24"/>
          <w:szCs w:val="24"/>
        </w:rPr>
        <w:t>法定代表人/主要负责人：</w:t>
      </w:r>
      <w:r>
        <w:rPr>
          <w:rFonts w:hint="eastAsia" w:hAnsi="宋体" w:cs="宋体"/>
          <w:bCs/>
          <w:color w:val="auto"/>
          <w:sz w:val="24"/>
          <w:szCs w:val="24"/>
          <w:u w:val="single"/>
        </w:rPr>
        <w:t xml:space="preserve">                                                         </w:t>
      </w:r>
    </w:p>
    <w:p w14:paraId="738E32F4">
      <w:pPr>
        <w:pStyle w:val="28"/>
        <w:snapToGrid w:val="0"/>
        <w:spacing w:line="360" w:lineRule="auto"/>
        <w:ind w:firstLine="480" w:firstLineChars="200"/>
        <w:jc w:val="left"/>
        <w:rPr>
          <w:rFonts w:hint="eastAsia" w:hAnsi="宋体" w:cs="宋体"/>
          <w:bCs/>
          <w:color w:val="auto"/>
          <w:sz w:val="24"/>
          <w:szCs w:val="24"/>
        </w:rPr>
      </w:pPr>
      <w:r>
        <w:rPr>
          <w:rFonts w:hint="eastAsia" w:hAnsi="宋体" w:cs="宋体"/>
          <w:bCs/>
          <w:color w:val="auto"/>
          <w:sz w:val="24"/>
          <w:szCs w:val="24"/>
        </w:rPr>
        <w:t>联系电话：</w:t>
      </w:r>
      <w:r>
        <w:rPr>
          <w:rFonts w:hint="eastAsia" w:hAnsi="宋体" w:cs="宋体"/>
          <w:bCs/>
          <w:color w:val="auto"/>
          <w:sz w:val="24"/>
          <w:szCs w:val="24"/>
          <w:u w:val="single"/>
        </w:rPr>
        <w:t xml:space="preserve">                                         </w:t>
      </w:r>
    </w:p>
    <w:p w14:paraId="00AD6DC3">
      <w:pPr>
        <w:pStyle w:val="28"/>
        <w:snapToGrid w:val="0"/>
        <w:spacing w:line="360" w:lineRule="auto"/>
        <w:ind w:firstLine="480" w:firstLineChars="200"/>
        <w:jc w:val="left"/>
        <w:rPr>
          <w:rFonts w:hint="eastAsia" w:hAnsi="宋体" w:cs="宋体"/>
          <w:bCs/>
          <w:color w:val="auto"/>
          <w:sz w:val="24"/>
          <w:szCs w:val="24"/>
          <w:u w:val="single"/>
        </w:rPr>
      </w:pPr>
      <w:r>
        <w:rPr>
          <w:rFonts w:hint="eastAsia" w:hAnsi="宋体" w:cs="宋体"/>
          <w:bCs/>
          <w:color w:val="auto"/>
          <w:sz w:val="24"/>
          <w:szCs w:val="24"/>
        </w:rPr>
        <w:t>授权代表：</w:t>
      </w:r>
      <w:r>
        <w:rPr>
          <w:rFonts w:hint="eastAsia" w:hAnsi="宋体" w:cs="宋体"/>
          <w:bCs/>
          <w:color w:val="auto"/>
          <w:sz w:val="24"/>
          <w:szCs w:val="24"/>
          <w:u w:val="single"/>
        </w:rPr>
        <w:t xml:space="preserve">                                         </w:t>
      </w:r>
      <w:r>
        <w:rPr>
          <w:rFonts w:hint="eastAsia" w:hAnsi="宋体" w:cs="宋体"/>
          <w:bCs/>
          <w:color w:val="auto"/>
          <w:sz w:val="24"/>
          <w:szCs w:val="24"/>
        </w:rPr>
        <w:t>联系电话：</w:t>
      </w:r>
      <w:r>
        <w:rPr>
          <w:rFonts w:hint="eastAsia" w:hAnsi="宋体" w:cs="宋体"/>
          <w:bCs/>
          <w:color w:val="auto"/>
          <w:sz w:val="24"/>
          <w:szCs w:val="24"/>
          <w:u w:val="single"/>
        </w:rPr>
        <w:t xml:space="preserve">                   </w:t>
      </w:r>
    </w:p>
    <w:p w14:paraId="50ABEA77">
      <w:pPr>
        <w:pStyle w:val="28"/>
        <w:snapToGrid w:val="0"/>
        <w:spacing w:line="360" w:lineRule="auto"/>
        <w:ind w:firstLine="480" w:firstLineChars="200"/>
        <w:jc w:val="left"/>
        <w:rPr>
          <w:rFonts w:hint="eastAsia" w:hAnsi="宋体" w:cs="宋体"/>
          <w:bCs/>
          <w:color w:val="auto"/>
          <w:sz w:val="24"/>
          <w:szCs w:val="24"/>
          <w:u w:val="single"/>
        </w:rPr>
      </w:pPr>
      <w:r>
        <w:rPr>
          <w:rFonts w:hint="eastAsia" w:hAnsi="宋体" w:cs="宋体"/>
          <w:bCs/>
          <w:color w:val="auto"/>
          <w:sz w:val="24"/>
          <w:szCs w:val="24"/>
        </w:rPr>
        <w:t>地址：</w:t>
      </w:r>
      <w:r>
        <w:rPr>
          <w:rFonts w:hint="eastAsia" w:hAnsi="宋体" w:cs="宋体"/>
          <w:bCs/>
          <w:color w:val="auto"/>
          <w:sz w:val="24"/>
          <w:szCs w:val="24"/>
          <w:u w:val="single"/>
        </w:rPr>
        <w:t xml:space="preserve">                                                            </w:t>
      </w:r>
    </w:p>
    <w:p w14:paraId="2C956C2D">
      <w:pPr>
        <w:pStyle w:val="28"/>
        <w:snapToGrid w:val="0"/>
        <w:spacing w:line="360" w:lineRule="auto"/>
        <w:ind w:firstLine="480" w:firstLineChars="200"/>
        <w:jc w:val="left"/>
        <w:rPr>
          <w:rFonts w:hint="eastAsia" w:hAnsi="宋体" w:cs="宋体"/>
          <w:bCs/>
          <w:color w:val="auto"/>
          <w:sz w:val="24"/>
          <w:szCs w:val="24"/>
        </w:rPr>
      </w:pPr>
      <w:r>
        <w:rPr>
          <w:rFonts w:hint="eastAsia" w:hAnsi="宋体" w:cs="宋体"/>
          <w:bCs/>
          <w:color w:val="auto"/>
          <w:sz w:val="24"/>
          <w:szCs w:val="24"/>
        </w:rPr>
        <w:t>邮编：</w:t>
      </w:r>
      <w:r>
        <w:rPr>
          <w:rFonts w:hint="eastAsia" w:hAnsi="宋体" w:cs="宋体"/>
          <w:bCs/>
          <w:color w:val="auto"/>
          <w:sz w:val="24"/>
          <w:szCs w:val="24"/>
          <w:u w:val="single"/>
        </w:rPr>
        <w:t xml:space="preserve">         </w:t>
      </w:r>
      <w:r>
        <w:rPr>
          <w:rFonts w:hint="eastAsia" w:hAnsi="宋体" w:cs="宋体"/>
          <w:bCs/>
          <w:color w:val="auto"/>
          <w:sz w:val="24"/>
          <w:szCs w:val="24"/>
        </w:rPr>
        <w:t xml:space="preserve">   </w:t>
      </w:r>
    </w:p>
    <w:p w14:paraId="2C1003AC">
      <w:pPr>
        <w:pStyle w:val="28"/>
        <w:snapToGrid w:val="0"/>
        <w:spacing w:line="360" w:lineRule="auto"/>
        <w:ind w:firstLine="480" w:firstLineChars="200"/>
        <w:jc w:val="left"/>
        <w:rPr>
          <w:rFonts w:hint="eastAsia" w:hAnsi="宋体" w:cs="宋体"/>
          <w:bCs/>
          <w:color w:val="auto"/>
          <w:sz w:val="24"/>
          <w:szCs w:val="24"/>
        </w:rPr>
      </w:pPr>
      <w:r>
        <w:rPr>
          <w:rFonts w:hint="eastAsia" w:hAnsi="宋体" w:cs="宋体"/>
          <w:bCs/>
          <w:color w:val="auto"/>
          <w:sz w:val="24"/>
          <w:szCs w:val="24"/>
        </w:rPr>
        <w:t>被投诉人1：</w:t>
      </w:r>
    </w:p>
    <w:p w14:paraId="70F27499">
      <w:pPr>
        <w:pStyle w:val="28"/>
        <w:snapToGrid w:val="0"/>
        <w:spacing w:line="360" w:lineRule="auto"/>
        <w:ind w:firstLine="480" w:firstLineChars="200"/>
        <w:jc w:val="left"/>
        <w:rPr>
          <w:rFonts w:hint="eastAsia" w:hAnsi="宋体" w:cs="宋体"/>
          <w:bCs/>
          <w:color w:val="auto"/>
          <w:sz w:val="24"/>
          <w:szCs w:val="24"/>
          <w:u w:val="single"/>
        </w:rPr>
      </w:pPr>
      <w:r>
        <w:rPr>
          <w:rFonts w:hint="eastAsia" w:hAnsi="宋体" w:cs="宋体"/>
          <w:bCs/>
          <w:color w:val="auto"/>
          <w:sz w:val="24"/>
          <w:szCs w:val="24"/>
        </w:rPr>
        <w:t>地址：</w:t>
      </w:r>
      <w:r>
        <w:rPr>
          <w:rFonts w:hint="eastAsia" w:hAnsi="宋体" w:cs="宋体"/>
          <w:bCs/>
          <w:color w:val="auto"/>
          <w:sz w:val="24"/>
          <w:szCs w:val="24"/>
          <w:u w:val="single"/>
        </w:rPr>
        <w:t xml:space="preserve">                                                            </w:t>
      </w:r>
    </w:p>
    <w:p w14:paraId="004F7BF7">
      <w:pPr>
        <w:pStyle w:val="28"/>
        <w:snapToGrid w:val="0"/>
        <w:spacing w:line="360" w:lineRule="auto"/>
        <w:ind w:firstLine="480" w:firstLineChars="200"/>
        <w:jc w:val="left"/>
        <w:rPr>
          <w:rFonts w:hint="eastAsia" w:hAnsi="宋体" w:cs="宋体"/>
          <w:bCs/>
          <w:color w:val="auto"/>
          <w:sz w:val="24"/>
          <w:szCs w:val="24"/>
        </w:rPr>
      </w:pPr>
      <w:r>
        <w:rPr>
          <w:rFonts w:hint="eastAsia" w:hAnsi="宋体" w:cs="宋体"/>
          <w:bCs/>
          <w:color w:val="auto"/>
          <w:sz w:val="24"/>
          <w:szCs w:val="24"/>
        </w:rPr>
        <w:t>邮编：</w:t>
      </w:r>
      <w:r>
        <w:rPr>
          <w:rFonts w:hint="eastAsia" w:hAnsi="宋体" w:cs="宋体"/>
          <w:bCs/>
          <w:color w:val="auto"/>
          <w:sz w:val="24"/>
          <w:szCs w:val="24"/>
          <w:u w:val="single"/>
        </w:rPr>
        <w:t xml:space="preserve">         </w:t>
      </w:r>
      <w:r>
        <w:rPr>
          <w:rFonts w:hint="eastAsia" w:hAnsi="宋体" w:cs="宋体"/>
          <w:bCs/>
          <w:color w:val="auto"/>
          <w:sz w:val="24"/>
          <w:szCs w:val="24"/>
        </w:rPr>
        <w:t xml:space="preserve">  </w:t>
      </w:r>
    </w:p>
    <w:p w14:paraId="68920EC0">
      <w:pPr>
        <w:pStyle w:val="28"/>
        <w:snapToGrid w:val="0"/>
        <w:spacing w:line="360" w:lineRule="auto"/>
        <w:ind w:firstLine="480" w:firstLineChars="200"/>
        <w:jc w:val="left"/>
        <w:rPr>
          <w:rFonts w:hint="eastAsia" w:hAnsi="宋体" w:cs="宋体"/>
          <w:bCs/>
          <w:color w:val="auto"/>
          <w:sz w:val="24"/>
          <w:szCs w:val="24"/>
          <w:u w:val="single"/>
        </w:rPr>
      </w:pPr>
      <w:r>
        <w:rPr>
          <w:rFonts w:hint="eastAsia" w:hAnsi="宋体" w:cs="宋体"/>
          <w:bCs/>
          <w:color w:val="auto"/>
          <w:sz w:val="24"/>
          <w:szCs w:val="24"/>
        </w:rPr>
        <w:t>联系人：</w:t>
      </w:r>
      <w:r>
        <w:rPr>
          <w:rFonts w:hint="eastAsia" w:hAnsi="宋体" w:cs="宋体"/>
          <w:bCs/>
          <w:color w:val="auto"/>
          <w:sz w:val="24"/>
          <w:szCs w:val="24"/>
          <w:u w:val="single"/>
        </w:rPr>
        <w:t xml:space="preserve">                            </w:t>
      </w:r>
      <w:r>
        <w:rPr>
          <w:rFonts w:hint="eastAsia" w:hAnsi="宋体" w:cs="宋体"/>
          <w:bCs/>
          <w:color w:val="auto"/>
          <w:sz w:val="24"/>
          <w:szCs w:val="24"/>
        </w:rPr>
        <w:t>联系电话：</w:t>
      </w:r>
      <w:r>
        <w:rPr>
          <w:rFonts w:hint="eastAsia" w:hAnsi="宋体" w:cs="宋体"/>
          <w:bCs/>
          <w:color w:val="auto"/>
          <w:sz w:val="24"/>
          <w:szCs w:val="24"/>
          <w:u w:val="single"/>
        </w:rPr>
        <w:t xml:space="preserve">                </w:t>
      </w:r>
    </w:p>
    <w:p w14:paraId="13CF9085">
      <w:pPr>
        <w:pStyle w:val="28"/>
        <w:snapToGrid w:val="0"/>
        <w:spacing w:line="360" w:lineRule="auto"/>
        <w:ind w:firstLine="480" w:firstLineChars="200"/>
        <w:jc w:val="left"/>
        <w:rPr>
          <w:rFonts w:hint="eastAsia" w:hAnsi="宋体" w:cs="宋体"/>
          <w:bCs/>
          <w:color w:val="auto"/>
          <w:sz w:val="24"/>
          <w:szCs w:val="24"/>
        </w:rPr>
      </w:pPr>
      <w:r>
        <w:rPr>
          <w:rFonts w:hint="eastAsia" w:hAnsi="宋体" w:cs="宋体"/>
          <w:bCs/>
          <w:color w:val="auto"/>
          <w:sz w:val="24"/>
          <w:szCs w:val="24"/>
        </w:rPr>
        <w:t>被投诉人2：</w:t>
      </w:r>
    </w:p>
    <w:p w14:paraId="5286F5C7">
      <w:pPr>
        <w:pStyle w:val="28"/>
        <w:snapToGrid w:val="0"/>
        <w:spacing w:line="360" w:lineRule="auto"/>
        <w:ind w:firstLine="480" w:firstLineChars="200"/>
        <w:jc w:val="left"/>
        <w:rPr>
          <w:rFonts w:hint="eastAsia" w:hAnsi="宋体" w:cs="宋体"/>
          <w:bCs/>
          <w:color w:val="auto"/>
          <w:sz w:val="24"/>
          <w:szCs w:val="24"/>
        </w:rPr>
      </w:pPr>
      <w:r>
        <w:rPr>
          <w:rFonts w:hint="eastAsia" w:hAnsi="宋体" w:cs="宋体"/>
          <w:bCs/>
          <w:color w:val="auto"/>
          <w:sz w:val="24"/>
          <w:szCs w:val="24"/>
        </w:rPr>
        <w:t>……</w:t>
      </w:r>
    </w:p>
    <w:p w14:paraId="5D73521C">
      <w:pPr>
        <w:pStyle w:val="28"/>
        <w:snapToGrid w:val="0"/>
        <w:spacing w:line="360" w:lineRule="auto"/>
        <w:ind w:firstLine="480" w:firstLineChars="200"/>
        <w:jc w:val="left"/>
        <w:rPr>
          <w:rFonts w:hint="eastAsia" w:hAnsi="宋体" w:cs="宋体"/>
          <w:bCs/>
          <w:color w:val="auto"/>
          <w:sz w:val="24"/>
          <w:szCs w:val="24"/>
          <w:u w:val="single"/>
        </w:rPr>
      </w:pPr>
      <w:r>
        <w:rPr>
          <w:rFonts w:hint="eastAsia" w:hAnsi="宋体" w:cs="宋体"/>
          <w:bCs/>
          <w:color w:val="auto"/>
          <w:sz w:val="24"/>
          <w:szCs w:val="24"/>
        </w:rPr>
        <w:t>相关供应商：</w:t>
      </w:r>
      <w:r>
        <w:rPr>
          <w:rFonts w:hint="eastAsia" w:hAnsi="宋体" w:cs="宋体"/>
          <w:bCs/>
          <w:color w:val="auto"/>
          <w:sz w:val="24"/>
          <w:szCs w:val="24"/>
          <w:u w:val="single"/>
        </w:rPr>
        <w:t xml:space="preserve">                                                                       </w:t>
      </w:r>
    </w:p>
    <w:p w14:paraId="318024D8">
      <w:pPr>
        <w:pStyle w:val="28"/>
        <w:snapToGrid w:val="0"/>
        <w:spacing w:line="360" w:lineRule="auto"/>
        <w:ind w:firstLine="480" w:firstLineChars="200"/>
        <w:jc w:val="left"/>
        <w:rPr>
          <w:rFonts w:hint="eastAsia" w:hAnsi="宋体" w:cs="宋体"/>
          <w:bCs/>
          <w:color w:val="auto"/>
          <w:sz w:val="24"/>
          <w:szCs w:val="24"/>
          <w:u w:val="single"/>
        </w:rPr>
      </w:pPr>
      <w:r>
        <w:rPr>
          <w:rFonts w:hint="eastAsia" w:hAnsi="宋体" w:cs="宋体"/>
          <w:bCs/>
          <w:color w:val="auto"/>
          <w:sz w:val="24"/>
          <w:szCs w:val="24"/>
        </w:rPr>
        <w:t>地址：</w:t>
      </w:r>
      <w:r>
        <w:rPr>
          <w:rFonts w:hint="eastAsia" w:hAnsi="宋体" w:cs="宋体"/>
          <w:bCs/>
          <w:color w:val="auto"/>
          <w:sz w:val="24"/>
          <w:szCs w:val="24"/>
          <w:u w:val="single"/>
        </w:rPr>
        <w:t xml:space="preserve">                                              </w:t>
      </w:r>
      <w:r>
        <w:rPr>
          <w:rFonts w:hint="eastAsia" w:hAnsi="宋体" w:cs="宋体"/>
          <w:bCs/>
          <w:color w:val="auto"/>
          <w:sz w:val="24"/>
          <w:szCs w:val="24"/>
        </w:rPr>
        <w:t>邮编：</w:t>
      </w:r>
      <w:r>
        <w:rPr>
          <w:rFonts w:hint="eastAsia" w:hAnsi="宋体" w:cs="宋体"/>
          <w:bCs/>
          <w:color w:val="auto"/>
          <w:sz w:val="24"/>
          <w:szCs w:val="24"/>
          <w:u w:val="single"/>
        </w:rPr>
        <w:t xml:space="preserve">                         </w:t>
      </w:r>
    </w:p>
    <w:p w14:paraId="2A760247">
      <w:pPr>
        <w:pStyle w:val="28"/>
        <w:snapToGrid w:val="0"/>
        <w:spacing w:line="360" w:lineRule="auto"/>
        <w:ind w:firstLine="480" w:firstLineChars="200"/>
        <w:jc w:val="left"/>
        <w:rPr>
          <w:rFonts w:hint="eastAsia" w:hAnsi="宋体" w:cs="宋体"/>
          <w:bCs/>
          <w:color w:val="auto"/>
          <w:sz w:val="24"/>
          <w:szCs w:val="24"/>
        </w:rPr>
      </w:pPr>
      <w:r>
        <w:rPr>
          <w:rFonts w:hint="eastAsia" w:hAnsi="宋体" w:cs="宋体"/>
          <w:bCs/>
          <w:color w:val="auto"/>
          <w:sz w:val="24"/>
          <w:szCs w:val="24"/>
        </w:rPr>
        <w:t>联系人：</w:t>
      </w:r>
      <w:r>
        <w:rPr>
          <w:rFonts w:hint="eastAsia" w:hAnsi="宋体" w:cs="宋体"/>
          <w:bCs/>
          <w:color w:val="auto"/>
          <w:sz w:val="24"/>
          <w:szCs w:val="24"/>
          <w:u w:val="single"/>
        </w:rPr>
        <w:t xml:space="preserve">                                            </w:t>
      </w:r>
      <w:r>
        <w:rPr>
          <w:rFonts w:hint="eastAsia" w:hAnsi="宋体" w:cs="宋体"/>
          <w:bCs/>
          <w:color w:val="auto"/>
          <w:sz w:val="24"/>
          <w:szCs w:val="24"/>
        </w:rPr>
        <w:t>联系电话：</w:t>
      </w:r>
      <w:r>
        <w:rPr>
          <w:rFonts w:hint="eastAsia" w:hAnsi="宋体" w:cs="宋体"/>
          <w:bCs/>
          <w:color w:val="auto"/>
          <w:sz w:val="24"/>
          <w:szCs w:val="24"/>
          <w:u w:val="single"/>
        </w:rPr>
        <w:t xml:space="preserve">                     </w:t>
      </w:r>
      <w:r>
        <w:rPr>
          <w:rFonts w:hint="eastAsia" w:hAnsi="宋体" w:cs="宋体"/>
          <w:bCs/>
          <w:color w:val="auto"/>
          <w:sz w:val="24"/>
          <w:szCs w:val="24"/>
        </w:rPr>
        <w:t xml:space="preserve">                </w:t>
      </w:r>
    </w:p>
    <w:p w14:paraId="2DD9DCF7">
      <w:pPr>
        <w:pStyle w:val="28"/>
        <w:snapToGrid w:val="0"/>
        <w:spacing w:line="360" w:lineRule="auto"/>
        <w:ind w:firstLine="482" w:firstLineChars="200"/>
        <w:rPr>
          <w:rFonts w:hint="eastAsia" w:hAnsi="宋体" w:cs="宋体"/>
          <w:b/>
          <w:bCs/>
          <w:color w:val="auto"/>
          <w:sz w:val="24"/>
          <w:szCs w:val="24"/>
        </w:rPr>
      </w:pPr>
      <w:r>
        <w:rPr>
          <w:rFonts w:hint="eastAsia" w:hAnsi="宋体" w:cs="宋体"/>
          <w:b/>
          <w:bCs/>
          <w:color w:val="auto"/>
          <w:sz w:val="24"/>
          <w:szCs w:val="24"/>
        </w:rPr>
        <w:t>二、投诉项目基本情况：</w:t>
      </w:r>
    </w:p>
    <w:p w14:paraId="54DD1762">
      <w:pPr>
        <w:pStyle w:val="28"/>
        <w:spacing w:line="360" w:lineRule="auto"/>
        <w:ind w:left="25" w:leftChars="12" w:firstLine="472" w:firstLineChars="197"/>
        <w:rPr>
          <w:rFonts w:hint="eastAsia" w:hAnsi="宋体" w:cs="宋体"/>
          <w:color w:val="auto"/>
          <w:sz w:val="24"/>
          <w:szCs w:val="24"/>
        </w:rPr>
      </w:pPr>
      <w:r>
        <w:rPr>
          <w:rFonts w:hint="eastAsia" w:hAnsi="宋体" w:cs="宋体"/>
          <w:bCs/>
          <w:color w:val="auto"/>
          <w:sz w:val="24"/>
          <w:szCs w:val="24"/>
        </w:rPr>
        <w:t>采购</w:t>
      </w:r>
      <w:r>
        <w:rPr>
          <w:rFonts w:hint="eastAsia" w:hAnsi="宋体" w:cs="宋体"/>
          <w:color w:val="auto"/>
          <w:sz w:val="24"/>
          <w:szCs w:val="24"/>
        </w:rPr>
        <w:t>项目的名称：</w:t>
      </w:r>
      <w:r>
        <w:rPr>
          <w:rFonts w:hint="eastAsia" w:hAnsi="宋体" w:cs="宋体"/>
          <w:bCs/>
          <w:color w:val="auto"/>
          <w:sz w:val="24"/>
          <w:szCs w:val="24"/>
          <w:u w:val="single"/>
        </w:rPr>
        <w:t xml:space="preserve">                                                                   </w:t>
      </w:r>
    </w:p>
    <w:p w14:paraId="4944226F">
      <w:pPr>
        <w:pStyle w:val="28"/>
        <w:spacing w:line="360" w:lineRule="auto"/>
        <w:ind w:left="25" w:leftChars="12" w:firstLine="472" w:firstLineChars="197"/>
        <w:rPr>
          <w:rFonts w:hint="eastAsia" w:hAnsi="宋体" w:cs="宋体"/>
          <w:color w:val="auto"/>
          <w:sz w:val="24"/>
          <w:szCs w:val="24"/>
        </w:rPr>
      </w:pPr>
      <w:r>
        <w:rPr>
          <w:rFonts w:hint="eastAsia" w:hAnsi="宋体" w:cs="宋体"/>
          <w:bCs/>
          <w:color w:val="auto"/>
          <w:sz w:val="24"/>
          <w:szCs w:val="24"/>
        </w:rPr>
        <w:t>采购</w:t>
      </w:r>
      <w:r>
        <w:rPr>
          <w:rFonts w:hint="eastAsia" w:hAnsi="宋体" w:cs="宋体"/>
          <w:color w:val="auto"/>
          <w:sz w:val="24"/>
          <w:szCs w:val="24"/>
        </w:rPr>
        <w:t>项目的编号：</w:t>
      </w:r>
      <w:r>
        <w:rPr>
          <w:rFonts w:hint="eastAsia" w:hAnsi="宋体" w:cs="宋体"/>
          <w:bCs/>
          <w:color w:val="auto"/>
          <w:sz w:val="24"/>
          <w:szCs w:val="24"/>
          <w:u w:val="single"/>
        </w:rPr>
        <w:t xml:space="preserve">                                          </w:t>
      </w:r>
    </w:p>
    <w:p w14:paraId="5CCF22A8">
      <w:pPr>
        <w:pStyle w:val="28"/>
        <w:spacing w:line="360" w:lineRule="auto"/>
        <w:ind w:left="25" w:leftChars="12" w:firstLine="472" w:firstLineChars="197"/>
        <w:rPr>
          <w:rFonts w:hint="eastAsia" w:hAnsi="宋体" w:cs="宋体"/>
          <w:bCs/>
          <w:color w:val="auto"/>
          <w:sz w:val="24"/>
          <w:szCs w:val="24"/>
          <w:u w:val="single"/>
        </w:rPr>
      </w:pPr>
      <w:r>
        <w:rPr>
          <w:rFonts w:hint="eastAsia" w:hAnsi="宋体" w:cs="宋体"/>
          <w:color w:val="auto"/>
          <w:sz w:val="24"/>
          <w:szCs w:val="24"/>
        </w:rPr>
        <w:t>采购人名称：</w:t>
      </w:r>
      <w:r>
        <w:rPr>
          <w:rFonts w:hint="eastAsia" w:hAnsi="宋体" w:cs="宋体"/>
          <w:bCs/>
          <w:color w:val="auto"/>
          <w:sz w:val="24"/>
          <w:szCs w:val="24"/>
          <w:u w:val="single"/>
        </w:rPr>
        <w:t xml:space="preserve">                                                                        </w:t>
      </w:r>
    </w:p>
    <w:p w14:paraId="700BB528">
      <w:pPr>
        <w:pStyle w:val="28"/>
        <w:spacing w:line="360" w:lineRule="auto"/>
        <w:ind w:left="25" w:leftChars="12" w:firstLine="472" w:firstLineChars="197"/>
        <w:rPr>
          <w:rFonts w:hint="eastAsia" w:hAnsi="宋体" w:cs="宋体"/>
          <w:bCs/>
          <w:color w:val="auto"/>
          <w:sz w:val="24"/>
          <w:szCs w:val="24"/>
          <w:u w:val="single"/>
        </w:rPr>
      </w:pPr>
      <w:r>
        <w:rPr>
          <w:rFonts w:hint="eastAsia" w:hAnsi="宋体" w:cs="宋体"/>
          <w:color w:val="auto"/>
          <w:sz w:val="24"/>
          <w:szCs w:val="24"/>
        </w:rPr>
        <w:t>代理机构名称：</w:t>
      </w:r>
      <w:r>
        <w:rPr>
          <w:rFonts w:hint="eastAsia" w:hAnsi="宋体" w:cs="宋体"/>
          <w:bCs/>
          <w:color w:val="auto"/>
          <w:sz w:val="24"/>
          <w:szCs w:val="24"/>
          <w:u w:val="single"/>
        </w:rPr>
        <w:t xml:space="preserve">                                                                      </w:t>
      </w:r>
    </w:p>
    <w:p w14:paraId="1BAEDDEE">
      <w:pPr>
        <w:pStyle w:val="28"/>
        <w:spacing w:line="360" w:lineRule="auto"/>
        <w:ind w:left="25" w:leftChars="12" w:firstLine="472" w:firstLineChars="197"/>
        <w:rPr>
          <w:rFonts w:hint="eastAsia" w:hAnsi="宋体" w:cs="宋体"/>
          <w:bCs/>
          <w:color w:val="auto"/>
          <w:sz w:val="24"/>
          <w:szCs w:val="24"/>
          <w:u w:val="single"/>
        </w:rPr>
      </w:pPr>
      <w:r>
        <w:rPr>
          <w:rFonts w:hint="eastAsia" w:hAnsi="宋体" w:cs="宋体"/>
          <w:bCs/>
          <w:color w:val="auto"/>
          <w:sz w:val="24"/>
          <w:szCs w:val="24"/>
        </w:rPr>
        <w:t>招标文件公告：</w:t>
      </w:r>
      <w:r>
        <w:rPr>
          <w:rFonts w:hint="eastAsia" w:hAnsi="宋体" w:cs="宋体"/>
          <w:bCs/>
          <w:color w:val="auto"/>
          <w:sz w:val="24"/>
          <w:szCs w:val="24"/>
          <w:u w:val="single"/>
        </w:rPr>
        <w:t>是/否</w:t>
      </w:r>
      <w:r>
        <w:rPr>
          <w:rFonts w:hint="eastAsia" w:hAnsi="宋体" w:cs="宋体"/>
          <w:bCs/>
          <w:color w:val="auto"/>
          <w:sz w:val="24"/>
          <w:szCs w:val="24"/>
        </w:rPr>
        <w:t>公告期限：</w:t>
      </w:r>
      <w:r>
        <w:rPr>
          <w:rFonts w:hint="eastAsia" w:hAnsi="宋体" w:cs="宋体"/>
          <w:bCs/>
          <w:color w:val="auto"/>
          <w:sz w:val="24"/>
          <w:szCs w:val="24"/>
          <w:u w:val="single"/>
        </w:rPr>
        <w:t xml:space="preserve">                                                       </w:t>
      </w:r>
    </w:p>
    <w:p w14:paraId="2760B4FB">
      <w:pPr>
        <w:pStyle w:val="28"/>
        <w:spacing w:line="360" w:lineRule="auto"/>
        <w:ind w:left="25" w:leftChars="12" w:firstLine="472" w:firstLineChars="197"/>
        <w:rPr>
          <w:rFonts w:hint="eastAsia" w:hAnsi="宋体" w:cs="宋体"/>
          <w:b/>
          <w:color w:val="auto"/>
          <w:sz w:val="24"/>
          <w:szCs w:val="24"/>
        </w:rPr>
      </w:pPr>
      <w:r>
        <w:rPr>
          <w:rFonts w:hint="eastAsia" w:hAnsi="宋体" w:cs="宋体"/>
          <w:bCs/>
          <w:color w:val="auto"/>
          <w:sz w:val="24"/>
          <w:szCs w:val="24"/>
        </w:rPr>
        <w:t>采购结果公告：</w:t>
      </w:r>
      <w:r>
        <w:rPr>
          <w:rFonts w:hint="eastAsia" w:hAnsi="宋体" w:cs="宋体"/>
          <w:bCs/>
          <w:color w:val="auto"/>
          <w:sz w:val="24"/>
          <w:szCs w:val="24"/>
          <w:u w:val="single"/>
        </w:rPr>
        <w:t>是/否</w:t>
      </w:r>
      <w:r>
        <w:rPr>
          <w:rFonts w:hint="eastAsia" w:hAnsi="宋体" w:cs="宋体"/>
          <w:bCs/>
          <w:color w:val="auto"/>
          <w:sz w:val="24"/>
          <w:szCs w:val="24"/>
        </w:rPr>
        <w:t>公告期限：</w:t>
      </w:r>
      <w:r>
        <w:rPr>
          <w:rFonts w:hint="eastAsia" w:hAnsi="宋体" w:cs="宋体"/>
          <w:bCs/>
          <w:color w:val="auto"/>
          <w:sz w:val="24"/>
          <w:szCs w:val="24"/>
          <w:u w:val="single"/>
        </w:rPr>
        <w:t xml:space="preserve">                                                       </w:t>
      </w:r>
    </w:p>
    <w:p w14:paraId="1D4F7FA1">
      <w:pPr>
        <w:pStyle w:val="28"/>
        <w:spacing w:line="360" w:lineRule="auto"/>
        <w:ind w:left="25" w:leftChars="12" w:firstLine="472" w:firstLineChars="196"/>
        <w:rPr>
          <w:rFonts w:hint="eastAsia" w:hAnsi="宋体" w:cs="宋体"/>
          <w:b/>
          <w:color w:val="auto"/>
          <w:sz w:val="24"/>
          <w:szCs w:val="24"/>
        </w:rPr>
      </w:pPr>
      <w:r>
        <w:rPr>
          <w:rFonts w:hint="eastAsia" w:hAnsi="宋体" w:cs="宋体"/>
          <w:b/>
          <w:color w:val="auto"/>
          <w:sz w:val="24"/>
          <w:szCs w:val="24"/>
        </w:rPr>
        <w:t>三、质疑基本情况</w:t>
      </w:r>
    </w:p>
    <w:p w14:paraId="22247AC0">
      <w:pPr>
        <w:pStyle w:val="28"/>
        <w:spacing w:line="360" w:lineRule="auto"/>
        <w:ind w:left="25" w:leftChars="12" w:firstLine="480" w:firstLineChars="200"/>
        <w:rPr>
          <w:rFonts w:hint="eastAsia" w:hAnsi="宋体" w:cs="宋体"/>
          <w:color w:val="auto"/>
          <w:sz w:val="24"/>
          <w:szCs w:val="24"/>
        </w:rPr>
      </w:pPr>
      <w:r>
        <w:rPr>
          <w:rFonts w:hint="eastAsia" w:hAnsi="宋体" w:cs="宋体"/>
          <w:color w:val="auto"/>
          <w:sz w:val="24"/>
          <w:szCs w:val="24"/>
        </w:rPr>
        <w:t>投诉人于</w:t>
      </w:r>
      <w:r>
        <w:rPr>
          <w:rFonts w:hint="eastAsia" w:hAnsi="宋体" w:cs="宋体"/>
          <w:color w:val="auto"/>
          <w:sz w:val="24"/>
          <w:szCs w:val="24"/>
          <w:u w:val="single"/>
        </w:rPr>
        <w:t xml:space="preserve">      </w:t>
      </w:r>
      <w:r>
        <w:rPr>
          <w:rFonts w:hint="eastAsia" w:hAnsi="宋体" w:cs="宋体"/>
          <w:color w:val="auto"/>
          <w:sz w:val="24"/>
          <w:szCs w:val="24"/>
        </w:rPr>
        <w:t>年</w:t>
      </w:r>
      <w:r>
        <w:rPr>
          <w:rFonts w:hint="eastAsia" w:hAnsi="宋体" w:cs="宋体"/>
          <w:color w:val="auto"/>
          <w:sz w:val="24"/>
          <w:szCs w:val="24"/>
          <w:u w:val="single"/>
        </w:rPr>
        <w:t xml:space="preserve">   </w:t>
      </w:r>
      <w:r>
        <w:rPr>
          <w:rFonts w:hint="eastAsia" w:hAnsi="宋体" w:cs="宋体"/>
          <w:color w:val="auto"/>
          <w:sz w:val="24"/>
          <w:szCs w:val="24"/>
        </w:rPr>
        <w:t>月</w:t>
      </w:r>
      <w:r>
        <w:rPr>
          <w:rFonts w:hint="eastAsia" w:hAnsi="宋体" w:cs="宋体"/>
          <w:color w:val="auto"/>
          <w:sz w:val="24"/>
          <w:szCs w:val="24"/>
          <w:u w:val="single"/>
        </w:rPr>
        <w:t xml:space="preserve">   </w:t>
      </w:r>
      <w:r>
        <w:rPr>
          <w:rFonts w:hint="eastAsia" w:hAnsi="宋体" w:cs="宋体"/>
          <w:color w:val="auto"/>
          <w:sz w:val="24"/>
          <w:szCs w:val="24"/>
        </w:rPr>
        <w:t>日，向</w:t>
      </w:r>
      <w:r>
        <w:rPr>
          <w:rFonts w:hint="eastAsia" w:hAnsi="宋体" w:cs="宋体"/>
          <w:color w:val="auto"/>
          <w:sz w:val="24"/>
          <w:szCs w:val="24"/>
          <w:u w:val="single"/>
        </w:rPr>
        <w:t xml:space="preserve">                                </w:t>
      </w:r>
      <w:r>
        <w:rPr>
          <w:rFonts w:hint="eastAsia" w:hAnsi="宋体" w:cs="宋体"/>
          <w:color w:val="auto"/>
          <w:sz w:val="24"/>
          <w:szCs w:val="24"/>
        </w:rPr>
        <w:t>提出质疑，质疑事项为：</w:t>
      </w:r>
    </w:p>
    <w:p w14:paraId="3D418305">
      <w:pPr>
        <w:pStyle w:val="28"/>
        <w:spacing w:line="360" w:lineRule="auto"/>
        <w:ind w:firstLine="241"/>
        <w:rPr>
          <w:rFonts w:hint="eastAsia" w:hAnsi="宋体" w:cs="宋体"/>
          <w:bCs/>
          <w:color w:val="auto"/>
          <w:sz w:val="24"/>
          <w:szCs w:val="24"/>
          <w:u w:val="single"/>
        </w:rPr>
      </w:pPr>
      <w:r>
        <w:rPr>
          <w:rFonts w:hint="eastAsia" w:hAnsi="宋体" w:cs="宋体"/>
          <w:color w:val="auto"/>
          <w:sz w:val="24"/>
          <w:szCs w:val="24"/>
        </w:rPr>
        <w:t xml:space="preserve">    </w:t>
      </w:r>
      <w:r>
        <w:rPr>
          <w:rFonts w:hint="eastAsia" w:hAnsi="宋体" w:cs="宋体"/>
          <w:bCs/>
          <w:color w:val="auto"/>
          <w:sz w:val="24"/>
          <w:szCs w:val="24"/>
          <w:u w:val="single"/>
        </w:rPr>
        <w:t xml:space="preserve">                                                                                      </w:t>
      </w:r>
    </w:p>
    <w:p w14:paraId="1055302D">
      <w:pPr>
        <w:pStyle w:val="28"/>
        <w:spacing w:line="360" w:lineRule="auto"/>
        <w:ind w:firstLine="241"/>
        <w:rPr>
          <w:rFonts w:hint="eastAsia" w:hAnsi="宋体" w:cs="宋体"/>
          <w:bCs/>
          <w:color w:val="auto"/>
          <w:sz w:val="24"/>
          <w:szCs w:val="24"/>
          <w:u w:val="single"/>
        </w:rPr>
      </w:pPr>
      <w:r>
        <w:rPr>
          <w:rFonts w:hint="eastAsia" w:hAnsi="宋体" w:cs="宋体"/>
          <w:bCs/>
          <w:color w:val="auto"/>
          <w:sz w:val="24"/>
          <w:szCs w:val="24"/>
        </w:rPr>
        <w:t xml:space="preserve">    </w:t>
      </w:r>
      <w:r>
        <w:rPr>
          <w:rFonts w:hint="eastAsia" w:hAnsi="宋体" w:cs="宋体"/>
          <w:bCs/>
          <w:color w:val="auto"/>
          <w:sz w:val="24"/>
          <w:szCs w:val="24"/>
          <w:u w:val="single"/>
        </w:rPr>
        <w:t xml:space="preserve">                                                                                      </w:t>
      </w:r>
    </w:p>
    <w:p w14:paraId="4C06C193">
      <w:pPr>
        <w:pStyle w:val="28"/>
        <w:spacing w:line="360" w:lineRule="auto"/>
        <w:ind w:firstLine="480" w:firstLineChars="200"/>
        <w:rPr>
          <w:rFonts w:hint="eastAsia" w:hAnsi="宋体" w:cs="宋体"/>
          <w:color w:val="auto"/>
          <w:sz w:val="24"/>
          <w:szCs w:val="24"/>
        </w:rPr>
      </w:pPr>
      <w:r>
        <w:rPr>
          <w:rFonts w:hint="eastAsia" w:hAnsi="宋体" w:cs="宋体"/>
          <w:bCs/>
          <w:color w:val="auto"/>
          <w:sz w:val="24"/>
          <w:szCs w:val="24"/>
          <w:u w:val="single"/>
        </w:rPr>
        <w:t>采购人/代理机构</w:t>
      </w:r>
      <w:r>
        <w:rPr>
          <w:rFonts w:hint="eastAsia" w:hAnsi="宋体" w:cs="宋体"/>
          <w:bCs/>
          <w:color w:val="auto"/>
          <w:sz w:val="24"/>
          <w:szCs w:val="24"/>
        </w:rPr>
        <w:t>于</w:t>
      </w:r>
      <w:r>
        <w:rPr>
          <w:rFonts w:hint="eastAsia" w:hAnsi="宋体" w:cs="宋体"/>
          <w:color w:val="auto"/>
          <w:sz w:val="24"/>
          <w:szCs w:val="24"/>
          <w:u w:val="single"/>
        </w:rPr>
        <w:t xml:space="preserve">      </w:t>
      </w:r>
      <w:r>
        <w:rPr>
          <w:rFonts w:hint="eastAsia" w:hAnsi="宋体" w:cs="宋体"/>
          <w:color w:val="auto"/>
          <w:sz w:val="24"/>
          <w:szCs w:val="24"/>
        </w:rPr>
        <w:t>年</w:t>
      </w:r>
      <w:r>
        <w:rPr>
          <w:rFonts w:hint="eastAsia" w:hAnsi="宋体" w:cs="宋体"/>
          <w:color w:val="auto"/>
          <w:sz w:val="24"/>
          <w:szCs w:val="24"/>
          <w:u w:val="single"/>
        </w:rPr>
        <w:t xml:space="preserve">   </w:t>
      </w:r>
      <w:r>
        <w:rPr>
          <w:rFonts w:hint="eastAsia" w:hAnsi="宋体" w:cs="宋体"/>
          <w:color w:val="auto"/>
          <w:sz w:val="24"/>
          <w:szCs w:val="24"/>
        </w:rPr>
        <w:t>月</w:t>
      </w:r>
      <w:r>
        <w:rPr>
          <w:rFonts w:hint="eastAsia" w:hAnsi="宋体" w:cs="宋体"/>
          <w:color w:val="auto"/>
          <w:sz w:val="24"/>
          <w:szCs w:val="24"/>
          <w:u w:val="single"/>
        </w:rPr>
        <w:t xml:space="preserve">   </w:t>
      </w:r>
      <w:r>
        <w:rPr>
          <w:rFonts w:hint="eastAsia" w:hAnsi="宋体" w:cs="宋体"/>
          <w:color w:val="auto"/>
          <w:sz w:val="24"/>
          <w:szCs w:val="24"/>
        </w:rPr>
        <w:t>日，</w:t>
      </w:r>
      <w:r>
        <w:rPr>
          <w:rFonts w:hint="eastAsia" w:hAnsi="宋体" w:cs="宋体"/>
          <w:bCs/>
          <w:color w:val="auto"/>
          <w:sz w:val="24"/>
          <w:szCs w:val="24"/>
        </w:rPr>
        <w:t xml:space="preserve">就质疑事项作出了答复/没有在法定期限内作出答复。                                                                                             </w:t>
      </w:r>
    </w:p>
    <w:p w14:paraId="75A51586">
      <w:pPr>
        <w:pStyle w:val="28"/>
        <w:spacing w:line="360" w:lineRule="auto"/>
        <w:ind w:left="25" w:leftChars="12" w:firstLine="472" w:firstLineChars="196"/>
        <w:rPr>
          <w:rFonts w:hint="eastAsia" w:hAnsi="宋体" w:cs="宋体"/>
          <w:b/>
          <w:color w:val="auto"/>
          <w:sz w:val="24"/>
          <w:szCs w:val="24"/>
        </w:rPr>
      </w:pPr>
      <w:r>
        <w:rPr>
          <w:rFonts w:hint="eastAsia" w:hAnsi="宋体" w:cs="宋体"/>
          <w:b/>
          <w:color w:val="auto"/>
          <w:sz w:val="24"/>
          <w:szCs w:val="24"/>
        </w:rPr>
        <w:t>四、投诉事项具体内容</w:t>
      </w:r>
    </w:p>
    <w:p w14:paraId="38FB6036">
      <w:pPr>
        <w:pStyle w:val="28"/>
        <w:spacing w:line="360" w:lineRule="auto"/>
        <w:ind w:left="25" w:leftChars="12" w:firstLine="472" w:firstLineChars="197"/>
        <w:rPr>
          <w:rFonts w:hint="eastAsia" w:hAnsi="宋体" w:cs="宋体"/>
          <w:bCs/>
          <w:color w:val="auto"/>
          <w:sz w:val="24"/>
          <w:szCs w:val="24"/>
          <w:u w:val="single"/>
        </w:rPr>
      </w:pPr>
      <w:r>
        <w:rPr>
          <w:rFonts w:hint="eastAsia" w:hAnsi="宋体" w:cs="宋体"/>
          <w:color w:val="auto"/>
          <w:sz w:val="24"/>
          <w:szCs w:val="24"/>
        </w:rPr>
        <w:t>投诉事项1：</w:t>
      </w:r>
      <w:r>
        <w:rPr>
          <w:rFonts w:hint="eastAsia" w:hAnsi="宋体" w:cs="宋体"/>
          <w:bCs/>
          <w:color w:val="auto"/>
          <w:sz w:val="24"/>
          <w:szCs w:val="24"/>
          <w:u w:val="single"/>
        </w:rPr>
        <w:t xml:space="preserve">                                                                           </w:t>
      </w:r>
    </w:p>
    <w:p w14:paraId="0EEEF777">
      <w:pPr>
        <w:pStyle w:val="28"/>
        <w:spacing w:line="360" w:lineRule="auto"/>
        <w:ind w:firstLine="480" w:firstLineChars="200"/>
        <w:rPr>
          <w:rFonts w:hint="eastAsia" w:hAnsi="宋体" w:cs="宋体"/>
          <w:bCs/>
          <w:color w:val="auto"/>
          <w:sz w:val="24"/>
          <w:szCs w:val="24"/>
          <w:u w:val="single"/>
        </w:rPr>
      </w:pPr>
      <w:r>
        <w:rPr>
          <w:rFonts w:hint="eastAsia" w:hAnsi="宋体" w:cs="宋体"/>
          <w:bCs/>
          <w:color w:val="auto"/>
          <w:sz w:val="24"/>
          <w:szCs w:val="24"/>
        </w:rPr>
        <w:t>事实依据：</w:t>
      </w:r>
      <w:r>
        <w:rPr>
          <w:rFonts w:hint="eastAsia" w:hAnsi="宋体" w:cs="宋体"/>
          <w:color w:val="auto"/>
          <w:sz w:val="24"/>
          <w:szCs w:val="24"/>
        </w:rPr>
        <w:t xml:space="preserve"> </w:t>
      </w:r>
      <w:r>
        <w:rPr>
          <w:rFonts w:hint="eastAsia" w:hAnsi="宋体" w:cs="宋体"/>
          <w:bCs/>
          <w:color w:val="auto"/>
          <w:sz w:val="24"/>
          <w:szCs w:val="24"/>
          <w:u w:val="single"/>
        </w:rPr>
        <w:t xml:space="preserve">                                                                                      </w:t>
      </w:r>
    </w:p>
    <w:p w14:paraId="0ED4A9B3">
      <w:pPr>
        <w:pStyle w:val="28"/>
        <w:spacing w:line="360" w:lineRule="auto"/>
        <w:ind w:left="25" w:leftChars="12" w:firstLine="472" w:firstLineChars="197"/>
        <w:rPr>
          <w:rFonts w:hint="eastAsia" w:hAnsi="宋体" w:cs="宋体"/>
          <w:color w:val="auto"/>
          <w:sz w:val="24"/>
          <w:szCs w:val="24"/>
        </w:rPr>
      </w:pPr>
      <w:r>
        <w:rPr>
          <w:rFonts w:hint="eastAsia" w:hAnsi="宋体" w:cs="宋体"/>
          <w:bCs/>
          <w:color w:val="auto"/>
          <w:sz w:val="24"/>
          <w:szCs w:val="24"/>
          <w:u w:val="single"/>
        </w:rPr>
        <w:t xml:space="preserve">                                                                                        </w:t>
      </w:r>
    </w:p>
    <w:p w14:paraId="5E30957F">
      <w:pPr>
        <w:pStyle w:val="28"/>
        <w:spacing w:line="360" w:lineRule="auto"/>
        <w:ind w:firstLine="480" w:firstLineChars="200"/>
        <w:rPr>
          <w:rFonts w:hint="eastAsia" w:hAnsi="宋体" w:cs="宋体"/>
          <w:bCs/>
          <w:color w:val="auto"/>
          <w:sz w:val="24"/>
          <w:szCs w:val="24"/>
          <w:u w:val="single"/>
        </w:rPr>
      </w:pPr>
      <w:r>
        <w:rPr>
          <w:rFonts w:hint="eastAsia" w:hAnsi="宋体" w:cs="宋体"/>
          <w:bCs/>
          <w:color w:val="auto"/>
          <w:sz w:val="24"/>
          <w:szCs w:val="24"/>
        </w:rPr>
        <w:t>法律依据：</w:t>
      </w:r>
      <w:r>
        <w:rPr>
          <w:rFonts w:hint="eastAsia" w:hAnsi="宋体" w:cs="宋体"/>
          <w:color w:val="auto"/>
          <w:sz w:val="24"/>
          <w:szCs w:val="24"/>
        </w:rPr>
        <w:t xml:space="preserve"> </w:t>
      </w:r>
      <w:r>
        <w:rPr>
          <w:rFonts w:hint="eastAsia" w:hAnsi="宋体" w:cs="宋体"/>
          <w:bCs/>
          <w:color w:val="auto"/>
          <w:sz w:val="24"/>
          <w:szCs w:val="24"/>
          <w:u w:val="single"/>
        </w:rPr>
        <w:t xml:space="preserve">                                                                                      </w:t>
      </w:r>
    </w:p>
    <w:p w14:paraId="43B0C108">
      <w:pPr>
        <w:pStyle w:val="28"/>
        <w:spacing w:line="360" w:lineRule="auto"/>
        <w:ind w:left="25" w:leftChars="12" w:firstLine="352" w:firstLineChars="147"/>
        <w:rPr>
          <w:rFonts w:hint="eastAsia" w:hAnsi="宋体" w:cs="宋体"/>
          <w:bCs/>
          <w:color w:val="auto"/>
          <w:sz w:val="24"/>
          <w:szCs w:val="24"/>
          <w:u w:val="single"/>
        </w:rPr>
      </w:pPr>
      <w:r>
        <w:rPr>
          <w:rFonts w:hint="eastAsia" w:hAnsi="宋体" w:cs="宋体"/>
          <w:bCs/>
          <w:color w:val="auto"/>
          <w:sz w:val="24"/>
          <w:szCs w:val="24"/>
        </w:rPr>
        <w:t xml:space="preserve"> </w:t>
      </w:r>
      <w:r>
        <w:rPr>
          <w:rFonts w:hint="eastAsia" w:hAnsi="宋体" w:cs="宋体"/>
          <w:bCs/>
          <w:color w:val="auto"/>
          <w:sz w:val="24"/>
          <w:szCs w:val="24"/>
          <w:u w:val="single"/>
        </w:rPr>
        <w:t xml:space="preserve">                                                                                        </w:t>
      </w:r>
    </w:p>
    <w:p w14:paraId="4C9CA1E7">
      <w:pPr>
        <w:pStyle w:val="28"/>
        <w:spacing w:line="360" w:lineRule="auto"/>
        <w:ind w:left="25" w:leftChars="12" w:firstLine="472" w:firstLineChars="197"/>
        <w:rPr>
          <w:rFonts w:hint="eastAsia" w:hAnsi="宋体" w:cs="宋体"/>
          <w:bCs/>
          <w:color w:val="auto"/>
          <w:sz w:val="24"/>
          <w:szCs w:val="24"/>
        </w:rPr>
      </w:pPr>
      <w:r>
        <w:rPr>
          <w:rFonts w:hint="eastAsia" w:hAnsi="宋体" w:cs="宋体"/>
          <w:color w:val="auto"/>
          <w:sz w:val="24"/>
          <w:szCs w:val="24"/>
        </w:rPr>
        <w:t xml:space="preserve">投诉事项2  </w:t>
      </w:r>
      <w:r>
        <w:rPr>
          <w:rFonts w:hint="eastAsia" w:hAnsi="宋体" w:cs="宋体"/>
          <w:bCs/>
          <w:color w:val="auto"/>
          <w:sz w:val="24"/>
          <w:szCs w:val="24"/>
        </w:rPr>
        <w:t xml:space="preserve">   </w:t>
      </w:r>
    </w:p>
    <w:p w14:paraId="54C6EECC">
      <w:pPr>
        <w:pStyle w:val="28"/>
        <w:spacing w:line="360" w:lineRule="auto"/>
        <w:ind w:left="25" w:leftChars="12" w:firstLine="472" w:firstLineChars="197"/>
        <w:rPr>
          <w:rFonts w:hint="eastAsia" w:hAnsi="宋体" w:cs="宋体"/>
          <w:bCs/>
          <w:color w:val="auto"/>
          <w:sz w:val="24"/>
          <w:szCs w:val="24"/>
        </w:rPr>
      </w:pPr>
      <w:r>
        <w:rPr>
          <w:rFonts w:hint="eastAsia" w:hAnsi="宋体" w:cs="宋体"/>
          <w:bCs/>
          <w:color w:val="auto"/>
          <w:sz w:val="24"/>
          <w:szCs w:val="24"/>
        </w:rPr>
        <w:t>……</w:t>
      </w:r>
    </w:p>
    <w:p w14:paraId="34674F6B">
      <w:pPr>
        <w:pStyle w:val="28"/>
        <w:spacing w:line="360" w:lineRule="auto"/>
        <w:ind w:left="25" w:leftChars="12" w:firstLine="472" w:firstLineChars="196"/>
        <w:rPr>
          <w:rFonts w:hint="eastAsia" w:hAnsi="宋体" w:cs="宋体"/>
          <w:b/>
          <w:color w:val="auto"/>
          <w:sz w:val="24"/>
          <w:szCs w:val="24"/>
        </w:rPr>
      </w:pPr>
      <w:r>
        <w:rPr>
          <w:rFonts w:hint="eastAsia" w:hAnsi="宋体" w:cs="宋体"/>
          <w:b/>
          <w:color w:val="auto"/>
          <w:sz w:val="24"/>
          <w:szCs w:val="24"/>
        </w:rPr>
        <w:t>五、与投诉事项相关的投诉请求：</w:t>
      </w:r>
    </w:p>
    <w:p w14:paraId="10A1D8CC">
      <w:pPr>
        <w:pStyle w:val="28"/>
        <w:spacing w:line="360" w:lineRule="auto"/>
        <w:ind w:left="25" w:leftChars="12" w:firstLine="472" w:firstLineChars="197"/>
        <w:rPr>
          <w:rFonts w:hint="eastAsia" w:hAnsi="宋体" w:cs="宋体"/>
          <w:color w:val="auto"/>
          <w:sz w:val="24"/>
          <w:szCs w:val="24"/>
        </w:rPr>
      </w:pPr>
      <w:r>
        <w:rPr>
          <w:rFonts w:hint="eastAsia" w:hAnsi="宋体" w:cs="宋体"/>
          <w:color w:val="auto"/>
          <w:sz w:val="24"/>
          <w:szCs w:val="24"/>
        </w:rPr>
        <w:t>请求：</w:t>
      </w:r>
      <w:r>
        <w:rPr>
          <w:rFonts w:hint="eastAsia" w:hAnsi="宋体" w:cs="宋体"/>
          <w:bCs/>
          <w:color w:val="auto"/>
          <w:sz w:val="24"/>
          <w:szCs w:val="24"/>
          <w:u w:val="single"/>
        </w:rPr>
        <w:t xml:space="preserve">                                                                                 </w:t>
      </w:r>
    </w:p>
    <w:p w14:paraId="5AC184AA">
      <w:pPr>
        <w:pStyle w:val="28"/>
        <w:spacing w:line="360" w:lineRule="auto"/>
        <w:ind w:left="25" w:leftChars="12" w:firstLine="352" w:firstLineChars="147"/>
        <w:rPr>
          <w:rFonts w:hint="eastAsia" w:hAnsi="宋体" w:cs="宋体"/>
          <w:color w:val="auto"/>
          <w:sz w:val="24"/>
          <w:szCs w:val="24"/>
        </w:rPr>
      </w:pPr>
    </w:p>
    <w:p w14:paraId="7A725B16">
      <w:pPr>
        <w:pStyle w:val="28"/>
        <w:spacing w:line="360" w:lineRule="auto"/>
        <w:ind w:left="25" w:leftChars="12" w:firstLine="472" w:firstLineChars="197"/>
        <w:rPr>
          <w:rFonts w:hint="eastAsia" w:hAnsi="宋体" w:cs="宋体"/>
          <w:color w:val="auto"/>
          <w:sz w:val="24"/>
          <w:szCs w:val="24"/>
        </w:rPr>
      </w:pPr>
      <w:r>
        <w:rPr>
          <w:rFonts w:hint="eastAsia" w:hAnsi="宋体" w:cs="宋体"/>
          <w:color w:val="auto"/>
          <w:sz w:val="24"/>
          <w:szCs w:val="24"/>
        </w:rPr>
        <w:t>签字（签章）：                                       公章：</w:t>
      </w:r>
    </w:p>
    <w:p w14:paraId="573FFC8F">
      <w:pPr>
        <w:pStyle w:val="28"/>
        <w:spacing w:line="360" w:lineRule="auto"/>
        <w:ind w:left="25" w:leftChars="12" w:firstLine="352" w:firstLineChars="147"/>
        <w:rPr>
          <w:rFonts w:hint="eastAsia" w:hAnsi="宋体" w:cs="宋体"/>
          <w:color w:val="auto"/>
          <w:sz w:val="24"/>
          <w:szCs w:val="24"/>
        </w:rPr>
      </w:pPr>
    </w:p>
    <w:p w14:paraId="7FFF6A7F">
      <w:pPr>
        <w:pStyle w:val="28"/>
        <w:spacing w:line="360" w:lineRule="auto"/>
        <w:ind w:left="25" w:leftChars="12" w:firstLine="472" w:firstLineChars="197"/>
        <w:rPr>
          <w:rFonts w:hint="eastAsia" w:hAnsi="宋体" w:cs="宋体"/>
          <w:color w:val="auto"/>
          <w:sz w:val="24"/>
          <w:szCs w:val="24"/>
        </w:rPr>
      </w:pPr>
      <w:r>
        <w:rPr>
          <w:rFonts w:hint="eastAsia" w:hAnsi="宋体" w:cs="宋体"/>
          <w:color w:val="auto"/>
          <w:sz w:val="24"/>
          <w:szCs w:val="24"/>
        </w:rPr>
        <w:t>日期：</w:t>
      </w:r>
    </w:p>
    <w:p w14:paraId="763E83D0">
      <w:pPr>
        <w:pStyle w:val="28"/>
        <w:spacing w:line="360" w:lineRule="auto"/>
        <w:ind w:left="25" w:leftChars="12" w:firstLine="472" w:firstLineChars="197"/>
        <w:rPr>
          <w:rFonts w:hint="eastAsia" w:hAnsi="宋体" w:cs="宋体"/>
          <w:color w:val="auto"/>
          <w:sz w:val="24"/>
          <w:szCs w:val="24"/>
        </w:rPr>
      </w:pPr>
      <w:r>
        <w:rPr>
          <w:rFonts w:hint="eastAsia" w:hAnsi="宋体" w:cs="宋体"/>
          <w:bCs/>
          <w:color w:val="auto"/>
          <w:sz w:val="24"/>
          <w:szCs w:val="24"/>
        </w:rPr>
        <w:t xml:space="preserve">                                                                              </w:t>
      </w:r>
    </w:p>
    <w:p w14:paraId="2E1D1ED2">
      <w:pPr>
        <w:pStyle w:val="28"/>
        <w:snapToGrid w:val="0"/>
        <w:spacing w:line="360" w:lineRule="auto"/>
        <w:rPr>
          <w:rFonts w:hint="eastAsia" w:hAnsi="宋体" w:cs="宋体"/>
          <w:b/>
          <w:color w:val="auto"/>
          <w:sz w:val="21"/>
        </w:rPr>
      </w:pPr>
      <w:r>
        <w:rPr>
          <w:rFonts w:hint="eastAsia" w:hAnsi="宋体" w:cs="宋体"/>
          <w:b/>
          <w:color w:val="auto"/>
          <w:sz w:val="21"/>
        </w:rPr>
        <w:t>说明：</w:t>
      </w:r>
    </w:p>
    <w:p w14:paraId="031B6043">
      <w:pPr>
        <w:pStyle w:val="28"/>
        <w:spacing w:line="360" w:lineRule="auto"/>
        <w:ind w:left="25" w:leftChars="12" w:firstLine="310" w:firstLineChars="147"/>
        <w:rPr>
          <w:rFonts w:hint="eastAsia" w:hAnsi="宋体" w:cs="宋体"/>
          <w:b/>
          <w:bCs/>
          <w:color w:val="auto"/>
          <w:sz w:val="21"/>
        </w:rPr>
      </w:pPr>
      <w:r>
        <w:rPr>
          <w:rFonts w:hint="eastAsia" w:hAnsi="宋体" w:cs="宋体"/>
          <w:b/>
          <w:color w:val="auto"/>
          <w:sz w:val="21"/>
        </w:rPr>
        <w:t>1.投诉人提起投诉时，应当提交投诉书和必要的证明材料，并按照被投诉人和与投诉事项有关的供应商数量提供投诉书副本</w:t>
      </w:r>
      <w:r>
        <w:rPr>
          <w:rFonts w:hint="eastAsia" w:hAnsi="宋体" w:cs="宋体"/>
          <w:b/>
          <w:bCs/>
          <w:color w:val="auto"/>
          <w:sz w:val="21"/>
        </w:rPr>
        <w:t>。</w:t>
      </w:r>
    </w:p>
    <w:p w14:paraId="0B7C8C15">
      <w:pPr>
        <w:pStyle w:val="28"/>
        <w:spacing w:line="360" w:lineRule="auto"/>
        <w:ind w:left="25" w:leftChars="12" w:firstLine="310" w:firstLineChars="147"/>
        <w:rPr>
          <w:rFonts w:hint="eastAsia" w:hAnsi="宋体" w:cs="宋体"/>
          <w:b/>
          <w:color w:val="auto"/>
          <w:sz w:val="21"/>
        </w:rPr>
      </w:pPr>
      <w:r>
        <w:rPr>
          <w:rFonts w:hint="eastAsia" w:hAnsi="宋体" w:cs="宋体"/>
          <w:b/>
          <w:color w:val="auto"/>
          <w:sz w:val="21"/>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C74D285">
      <w:pPr>
        <w:pStyle w:val="28"/>
        <w:spacing w:line="360" w:lineRule="auto"/>
        <w:ind w:left="25" w:leftChars="12" w:firstLine="310" w:firstLineChars="147"/>
        <w:rPr>
          <w:rFonts w:hint="eastAsia" w:hAnsi="宋体" w:cs="宋体"/>
          <w:b/>
          <w:color w:val="auto"/>
          <w:sz w:val="21"/>
        </w:rPr>
      </w:pPr>
      <w:r>
        <w:rPr>
          <w:rFonts w:hint="eastAsia" w:hAnsi="宋体" w:cs="宋体"/>
          <w:b/>
          <w:color w:val="auto"/>
          <w:sz w:val="21"/>
        </w:rPr>
        <w:t>3.投诉书应简要列明质疑事项，质疑函、质疑答复等作为附件材料提供。</w:t>
      </w:r>
    </w:p>
    <w:p w14:paraId="0A00E08A">
      <w:pPr>
        <w:pStyle w:val="28"/>
        <w:spacing w:line="360" w:lineRule="auto"/>
        <w:ind w:left="25" w:leftChars="12" w:firstLine="310" w:firstLineChars="147"/>
        <w:rPr>
          <w:rFonts w:hint="eastAsia" w:hAnsi="宋体" w:cs="宋体"/>
          <w:b/>
          <w:color w:val="auto"/>
          <w:sz w:val="21"/>
        </w:rPr>
      </w:pPr>
      <w:r>
        <w:rPr>
          <w:rFonts w:hint="eastAsia" w:hAnsi="宋体" w:cs="宋体"/>
          <w:b/>
          <w:color w:val="auto"/>
          <w:sz w:val="21"/>
        </w:rPr>
        <w:t>4.投诉书的投诉事项应具体、明确，并有必要的事实依据和法律依据。</w:t>
      </w:r>
    </w:p>
    <w:p w14:paraId="2E9E7592">
      <w:pPr>
        <w:pStyle w:val="28"/>
        <w:spacing w:line="360" w:lineRule="auto"/>
        <w:ind w:left="25" w:leftChars="12" w:firstLine="310" w:firstLineChars="147"/>
        <w:rPr>
          <w:rFonts w:hint="eastAsia" w:hAnsi="宋体" w:cs="宋体"/>
          <w:b/>
          <w:color w:val="auto"/>
          <w:sz w:val="21"/>
        </w:rPr>
      </w:pPr>
      <w:r>
        <w:rPr>
          <w:rFonts w:hint="eastAsia" w:hAnsi="宋体" w:cs="宋体"/>
          <w:b/>
          <w:color w:val="auto"/>
          <w:sz w:val="21"/>
        </w:rPr>
        <w:t>5.投诉书的投诉请求应与投诉事项相关。</w:t>
      </w:r>
    </w:p>
    <w:p w14:paraId="43053C71">
      <w:pPr>
        <w:pStyle w:val="28"/>
        <w:spacing w:line="360" w:lineRule="auto"/>
        <w:ind w:left="25" w:leftChars="12" w:firstLine="310" w:firstLineChars="147"/>
        <w:rPr>
          <w:rFonts w:hint="eastAsia" w:hAnsi="宋体" w:cs="宋体"/>
          <w:b/>
          <w:color w:val="auto"/>
          <w:sz w:val="21"/>
        </w:rPr>
      </w:pPr>
      <w:r>
        <w:rPr>
          <w:rFonts w:hint="eastAsia" w:hAnsi="宋体" w:cs="宋体"/>
          <w:b/>
          <w:color w:val="auto"/>
          <w:sz w:val="21"/>
        </w:rPr>
        <w:t>6.投诉人为法人或者其他组织的，投诉书应由法定代表人、主要负责人，或者其授权代表签字或者盖章，并加盖公章。</w:t>
      </w:r>
    </w:p>
    <w:sectPr>
      <w:headerReference r:id="rId7" w:type="first"/>
      <w:footerReference r:id="rId10" w:type="first"/>
      <w:headerReference r:id="rId6" w:type="default"/>
      <w:footerReference r:id="rId8" w:type="default"/>
      <w:footerReference r:id="rId9" w:type="even"/>
      <w:pgSz w:w="11906" w:h="16838"/>
      <w:pgMar w:top="1134" w:right="1304" w:bottom="1134" w:left="1304" w:header="851" w:footer="992" w:gutter="0"/>
      <w:cols w:space="72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entury">
    <w:panose1 w:val="02040604050505020304"/>
    <w:charset w:val="00"/>
    <w:family w:val="roman"/>
    <w:pitch w:val="default"/>
    <w:sig w:usb0="00000287" w:usb1="00000000" w:usb2="00000000" w:usb3="00000000" w:csb0="2000009F" w:csb1="DFD70000"/>
  </w:font>
  <w:font w:name="新宋体">
    <w:panose1 w:val="02010609030101010101"/>
    <w:charset w:val="86"/>
    <w:family w:val="modern"/>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E5221">
    <w:pPr>
      <w:pStyle w:val="34"/>
      <w:framePr w:wrap="around" w:vAnchor="text" w:hAnchor="margin" w:xAlign="center" w:y="1"/>
      <w:rPr>
        <w:rStyle w:val="56"/>
      </w:rPr>
    </w:pPr>
    <w:r>
      <w:fldChar w:fldCharType="begin"/>
    </w:r>
    <w:r>
      <w:rPr>
        <w:rStyle w:val="56"/>
      </w:rPr>
      <w:instrText xml:space="preserve">PAGE  </w:instrText>
    </w:r>
    <w:r>
      <w:fldChar w:fldCharType="end"/>
    </w:r>
  </w:p>
  <w:p w14:paraId="60CDE24E">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74A69">
    <w:pPr>
      <w:pStyle w:val="34"/>
      <w:ind w:right="360"/>
      <w:jc w:val="both"/>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AE491">
    <w:pPr>
      <w:pStyle w:val="34"/>
      <w:jc w:val="center"/>
    </w:pPr>
    <w:r>
      <w:fldChar w:fldCharType="begin"/>
    </w:r>
    <w:r>
      <w:instrText xml:space="preserve"> PAGE   \* MERGEFORMAT </w:instrText>
    </w:r>
    <w:r>
      <w:fldChar w:fldCharType="separate"/>
    </w:r>
    <w:r>
      <w:rPr>
        <w:lang w:val="zh-CN"/>
      </w:rPr>
      <w:t>111</w:t>
    </w:r>
    <w:r>
      <w:fldChar w:fldCharType="end"/>
    </w:r>
  </w:p>
  <w:p w14:paraId="67E7FBA4">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2B2AB">
    <w:pPr>
      <w:pStyle w:val="34"/>
      <w:framePr w:wrap="around" w:vAnchor="text" w:hAnchor="margin" w:xAlign="center" w:y="1"/>
      <w:rPr>
        <w:rStyle w:val="56"/>
      </w:rPr>
    </w:pPr>
    <w:r>
      <w:fldChar w:fldCharType="begin"/>
    </w:r>
    <w:r>
      <w:rPr>
        <w:rStyle w:val="56"/>
      </w:rPr>
      <w:instrText xml:space="preserve">PAGE  </w:instrText>
    </w:r>
    <w:r>
      <w:fldChar w:fldCharType="end"/>
    </w:r>
  </w:p>
  <w:p w14:paraId="63896E39">
    <w:pPr>
      <w:pStyle w:val="3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C3FD1">
    <w:pPr>
      <w:pStyle w:val="34"/>
      <w:ind w:right="360"/>
      <w:jc w:val="both"/>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A6718">
    <w:pPr>
      <w:pStyle w:val="3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E3996">
    <w:pPr>
      <w:pStyle w:val="35"/>
    </w:pPr>
    <w:r>
      <w:rPr>
        <w:rFonts w:hint="eastAsia" w:ascii="宋体" w:hAnsi="宋体" w:cs="宋体"/>
        <w:szCs w:val="21"/>
      </w:rPr>
      <w:t>广西骨伤医院智慧医院建设（一期）项目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9211B">
    <w:pPr>
      <w:pStyle w:val="35"/>
      <w:rPr>
        <w:rFonts w:hint="eastAsia"/>
        <w:lang w:eastAsia="zh-CN"/>
      </w:rPr>
    </w:pPr>
    <w:r>
      <w:rPr>
        <w:rFonts w:hint="eastAsia" w:ascii="宋体" w:hAnsi="宋体" w:cs="宋体"/>
        <w:szCs w:val="21"/>
      </w:rPr>
      <w:t>广西骨伤医院智慧医院建设（一期）项目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25833E"/>
    <w:multiLevelType w:val="singleLevel"/>
    <w:tmpl w:val="9125833E"/>
    <w:lvl w:ilvl="0" w:tentative="0">
      <w:start w:val="10"/>
      <w:numFmt w:val="decimal"/>
      <w:suff w:val="nothing"/>
      <w:lvlText w:val="（%1）"/>
      <w:lvlJc w:val="left"/>
    </w:lvl>
  </w:abstractNum>
  <w:abstractNum w:abstractNumId="1">
    <w:nsid w:val="BE65AFD1"/>
    <w:multiLevelType w:val="singleLevel"/>
    <w:tmpl w:val="BE65AFD1"/>
    <w:lvl w:ilvl="0" w:tentative="0">
      <w:start w:val="1"/>
      <w:numFmt w:val="decimal"/>
      <w:suff w:val="nothing"/>
      <w:lvlText w:val="%1、"/>
      <w:lvlJc w:val="left"/>
      <w:pPr>
        <w:ind w:left="0" w:firstLine="0"/>
      </w:pPr>
    </w:lvl>
  </w:abstractNum>
  <w:abstractNum w:abstractNumId="2">
    <w:nsid w:val="D528D0C5"/>
    <w:multiLevelType w:val="singleLevel"/>
    <w:tmpl w:val="D528D0C5"/>
    <w:lvl w:ilvl="0" w:tentative="0">
      <w:start w:val="1"/>
      <w:numFmt w:val="chineseCounting"/>
      <w:suff w:val="nothing"/>
      <w:lvlText w:val="%1、"/>
      <w:lvlJc w:val="left"/>
      <w:rPr>
        <w:rFonts w:hint="eastAsia"/>
      </w:rPr>
    </w:lvl>
  </w:abstractNum>
  <w:abstractNum w:abstractNumId="3">
    <w:nsid w:val="DF976337"/>
    <w:multiLevelType w:val="singleLevel"/>
    <w:tmpl w:val="DF976337"/>
    <w:lvl w:ilvl="0" w:tentative="0">
      <w:start w:val="2"/>
      <w:numFmt w:val="decimal"/>
      <w:suff w:val="space"/>
      <w:lvlText w:val="%1."/>
      <w:lvlJc w:val="left"/>
    </w:lvl>
  </w:abstractNum>
  <w:abstractNum w:abstractNumId="4">
    <w:nsid w:val="FFFFFF7E"/>
    <w:multiLevelType w:val="singleLevel"/>
    <w:tmpl w:val="FFFFFF7E"/>
    <w:lvl w:ilvl="0" w:tentative="0">
      <w:start w:val="1"/>
      <w:numFmt w:val="decimal"/>
      <w:pStyle w:val="24"/>
      <w:lvlText w:val="%1."/>
      <w:lvlJc w:val="left"/>
      <w:pPr>
        <w:tabs>
          <w:tab w:val="left" w:pos="1200"/>
        </w:tabs>
        <w:ind w:left="1200" w:hanging="360"/>
      </w:pPr>
    </w:lvl>
  </w:abstractNum>
  <w:abstractNum w:abstractNumId="5">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6">
    <w:nsid w:val="497918E6"/>
    <w:multiLevelType w:val="singleLevel"/>
    <w:tmpl w:val="497918E6"/>
    <w:lvl w:ilvl="0" w:tentative="0">
      <w:start w:val="3"/>
      <w:numFmt w:val="decimal"/>
      <w:suff w:val="nothing"/>
      <w:lvlText w:val="（%1）"/>
      <w:lvlJc w:val="left"/>
    </w:lvl>
  </w:abstractNum>
  <w:abstractNum w:abstractNumId="7">
    <w:nsid w:val="6C59A8F2"/>
    <w:multiLevelType w:val="singleLevel"/>
    <w:tmpl w:val="6C59A8F2"/>
    <w:lvl w:ilvl="0" w:tentative="0">
      <w:start w:val="6"/>
      <w:numFmt w:val="decimal"/>
      <w:suff w:val="nothing"/>
      <w:lvlText w:val="（%1）"/>
      <w:lvlJc w:val="left"/>
    </w:lvl>
  </w:abstractNum>
  <w:abstractNum w:abstractNumId="8">
    <w:nsid w:val="711461B3"/>
    <w:multiLevelType w:val="multilevel"/>
    <w:tmpl w:val="711461B3"/>
    <w:lvl w:ilvl="0" w:tentative="0">
      <w:start w:val="1"/>
      <w:numFmt w:val="decimal"/>
      <w:suff w:val="nothing"/>
      <w:lvlText w:val="%1"/>
      <w:lvlJc w:val="center"/>
      <w:pPr>
        <w:tabs>
          <w:tab w:val="left" w:pos="0"/>
        </w:tabs>
        <w:ind w:left="0" w:firstLine="0"/>
      </w:pPr>
      <w:rPr>
        <w:rFonts w:hint="eastAsia"/>
      </w:rPr>
    </w:lvl>
    <w:lvl w:ilvl="1" w:tentative="0">
      <w:start w:val="1"/>
      <w:numFmt w:val="lowerLetter"/>
      <w:lvlText w:val="%2)"/>
      <w:lvlJc w:val="left"/>
      <w:pPr>
        <w:tabs>
          <w:tab w:val="left" w:pos="0"/>
        </w:tabs>
        <w:ind w:left="840" w:hanging="420"/>
      </w:pPr>
      <w:rPr>
        <w:rFonts w:hint="eastAsia"/>
      </w:rPr>
    </w:lvl>
    <w:lvl w:ilvl="2" w:tentative="0">
      <w:start w:val="1"/>
      <w:numFmt w:val="lowerRoman"/>
      <w:lvlText w:val="%3."/>
      <w:lvlJc w:val="right"/>
      <w:pPr>
        <w:tabs>
          <w:tab w:val="left" w:pos="0"/>
        </w:tabs>
        <w:ind w:left="1260" w:hanging="420"/>
      </w:pPr>
      <w:rPr>
        <w:rFonts w:hint="eastAsia"/>
      </w:rPr>
    </w:lvl>
    <w:lvl w:ilvl="3" w:tentative="0">
      <w:start w:val="1"/>
      <w:numFmt w:val="decimal"/>
      <w:lvlText w:val="%4."/>
      <w:lvlJc w:val="left"/>
      <w:pPr>
        <w:tabs>
          <w:tab w:val="left" w:pos="0"/>
        </w:tabs>
        <w:ind w:left="1680" w:hanging="420"/>
      </w:pPr>
      <w:rPr>
        <w:rFonts w:hint="eastAsia"/>
      </w:rPr>
    </w:lvl>
    <w:lvl w:ilvl="4" w:tentative="0">
      <w:start w:val="1"/>
      <w:numFmt w:val="lowerLetter"/>
      <w:lvlText w:val="%5)"/>
      <w:lvlJc w:val="left"/>
      <w:pPr>
        <w:tabs>
          <w:tab w:val="left" w:pos="0"/>
        </w:tabs>
        <w:ind w:left="2100" w:hanging="420"/>
      </w:pPr>
      <w:rPr>
        <w:rFonts w:hint="eastAsia"/>
      </w:rPr>
    </w:lvl>
    <w:lvl w:ilvl="5" w:tentative="0">
      <w:start w:val="1"/>
      <w:numFmt w:val="lowerRoman"/>
      <w:lvlText w:val="%6."/>
      <w:lvlJc w:val="right"/>
      <w:pPr>
        <w:tabs>
          <w:tab w:val="left" w:pos="0"/>
        </w:tabs>
        <w:ind w:left="2520" w:hanging="420"/>
      </w:pPr>
      <w:rPr>
        <w:rFonts w:hint="eastAsia"/>
      </w:rPr>
    </w:lvl>
    <w:lvl w:ilvl="6" w:tentative="0">
      <w:start w:val="1"/>
      <w:numFmt w:val="decimal"/>
      <w:lvlText w:val="%7."/>
      <w:lvlJc w:val="left"/>
      <w:pPr>
        <w:tabs>
          <w:tab w:val="left" w:pos="0"/>
        </w:tabs>
        <w:ind w:left="2940" w:hanging="420"/>
      </w:pPr>
      <w:rPr>
        <w:rFonts w:hint="eastAsia"/>
      </w:rPr>
    </w:lvl>
    <w:lvl w:ilvl="7" w:tentative="0">
      <w:start w:val="1"/>
      <w:numFmt w:val="lowerLetter"/>
      <w:lvlText w:val="%8)"/>
      <w:lvlJc w:val="left"/>
      <w:pPr>
        <w:tabs>
          <w:tab w:val="left" w:pos="0"/>
        </w:tabs>
        <w:ind w:left="3360" w:hanging="420"/>
      </w:pPr>
      <w:rPr>
        <w:rFonts w:hint="eastAsia"/>
      </w:rPr>
    </w:lvl>
    <w:lvl w:ilvl="8" w:tentative="0">
      <w:start w:val="1"/>
      <w:numFmt w:val="lowerRoman"/>
      <w:lvlText w:val="%9."/>
      <w:lvlJc w:val="right"/>
      <w:pPr>
        <w:tabs>
          <w:tab w:val="left" w:pos="0"/>
        </w:tabs>
        <w:ind w:left="3780" w:hanging="420"/>
      </w:pPr>
      <w:rPr>
        <w:rFonts w:hint="eastAsia"/>
      </w:rPr>
    </w:lvl>
  </w:abstractNum>
  <w:num w:numId="1">
    <w:abstractNumId w:val="5"/>
  </w:num>
  <w:num w:numId="2">
    <w:abstractNumId w:val="4"/>
  </w:num>
  <w:num w:numId="3">
    <w:abstractNumId w:val="3"/>
  </w:num>
  <w:num w:numId="4">
    <w:abstractNumId w:val="2"/>
  </w:num>
  <w:num w:numId="5">
    <w:abstractNumId w:val="1"/>
    <w:lvlOverride w:ilvl="0">
      <w:startOverride w:val="1"/>
    </w:lvlOverride>
  </w:num>
  <w:num w:numId="6">
    <w:abstractNumId w:val="8"/>
  </w:num>
  <w:num w:numId="7">
    <w:abstractNumId w:val="6"/>
  </w:num>
  <w:num w:numId="8">
    <w:abstractNumId w:val="7"/>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2">
    <w15:presenceInfo w15:providerId="WPS Office" w15:userId="38404284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3NGIyNmQ4ZTg0Y2ExNDk2MDQ2OGI3MDcyZTc3NTUifQ=="/>
  </w:docVars>
  <w:rsids>
    <w:rsidRoot w:val="00F9008B"/>
    <w:rsid w:val="0000010C"/>
    <w:rsid w:val="000004FE"/>
    <w:rsid w:val="00000FE0"/>
    <w:rsid w:val="00001068"/>
    <w:rsid w:val="0000114A"/>
    <w:rsid w:val="00001731"/>
    <w:rsid w:val="00001C2D"/>
    <w:rsid w:val="00001C55"/>
    <w:rsid w:val="00001CA8"/>
    <w:rsid w:val="00001FAE"/>
    <w:rsid w:val="00002291"/>
    <w:rsid w:val="00002DBF"/>
    <w:rsid w:val="00002EC0"/>
    <w:rsid w:val="00003224"/>
    <w:rsid w:val="000033F5"/>
    <w:rsid w:val="0000358C"/>
    <w:rsid w:val="00003BEF"/>
    <w:rsid w:val="00004130"/>
    <w:rsid w:val="0000431F"/>
    <w:rsid w:val="00004634"/>
    <w:rsid w:val="00004D8B"/>
    <w:rsid w:val="000059E2"/>
    <w:rsid w:val="000061EA"/>
    <w:rsid w:val="00006AE7"/>
    <w:rsid w:val="00006B9B"/>
    <w:rsid w:val="00006C35"/>
    <w:rsid w:val="000072B1"/>
    <w:rsid w:val="00007329"/>
    <w:rsid w:val="00007E28"/>
    <w:rsid w:val="00007E84"/>
    <w:rsid w:val="00010401"/>
    <w:rsid w:val="000105A1"/>
    <w:rsid w:val="000107AD"/>
    <w:rsid w:val="00010835"/>
    <w:rsid w:val="00011842"/>
    <w:rsid w:val="00012137"/>
    <w:rsid w:val="000121FF"/>
    <w:rsid w:val="00012456"/>
    <w:rsid w:val="000125B8"/>
    <w:rsid w:val="00012692"/>
    <w:rsid w:val="00013446"/>
    <w:rsid w:val="00013509"/>
    <w:rsid w:val="000135BC"/>
    <w:rsid w:val="000135DC"/>
    <w:rsid w:val="000136D6"/>
    <w:rsid w:val="00014085"/>
    <w:rsid w:val="00014DD9"/>
    <w:rsid w:val="00014EE0"/>
    <w:rsid w:val="000151E4"/>
    <w:rsid w:val="00015577"/>
    <w:rsid w:val="000156E4"/>
    <w:rsid w:val="000159A7"/>
    <w:rsid w:val="00015FB8"/>
    <w:rsid w:val="0001609F"/>
    <w:rsid w:val="0001635B"/>
    <w:rsid w:val="00016549"/>
    <w:rsid w:val="00016BF7"/>
    <w:rsid w:val="0001767E"/>
    <w:rsid w:val="0001776D"/>
    <w:rsid w:val="00017F31"/>
    <w:rsid w:val="00020607"/>
    <w:rsid w:val="0002103A"/>
    <w:rsid w:val="000217E4"/>
    <w:rsid w:val="00021852"/>
    <w:rsid w:val="00021A12"/>
    <w:rsid w:val="00022622"/>
    <w:rsid w:val="00023363"/>
    <w:rsid w:val="000235F3"/>
    <w:rsid w:val="00023644"/>
    <w:rsid w:val="00023712"/>
    <w:rsid w:val="00024E3C"/>
    <w:rsid w:val="00024EB0"/>
    <w:rsid w:val="0002646A"/>
    <w:rsid w:val="0002651D"/>
    <w:rsid w:val="00026CFD"/>
    <w:rsid w:val="00027C8B"/>
    <w:rsid w:val="00027CD9"/>
    <w:rsid w:val="00030242"/>
    <w:rsid w:val="00030B06"/>
    <w:rsid w:val="0003183A"/>
    <w:rsid w:val="00031CDC"/>
    <w:rsid w:val="0003263B"/>
    <w:rsid w:val="0003282C"/>
    <w:rsid w:val="00032F6D"/>
    <w:rsid w:val="0003304A"/>
    <w:rsid w:val="0003317E"/>
    <w:rsid w:val="00033413"/>
    <w:rsid w:val="000337F3"/>
    <w:rsid w:val="00034C27"/>
    <w:rsid w:val="00034E2A"/>
    <w:rsid w:val="0003577F"/>
    <w:rsid w:val="00036466"/>
    <w:rsid w:val="0003675E"/>
    <w:rsid w:val="00037F87"/>
    <w:rsid w:val="00037FA2"/>
    <w:rsid w:val="000400D0"/>
    <w:rsid w:val="000425AC"/>
    <w:rsid w:val="00042F4A"/>
    <w:rsid w:val="00043BE5"/>
    <w:rsid w:val="00044003"/>
    <w:rsid w:val="00044527"/>
    <w:rsid w:val="00044897"/>
    <w:rsid w:val="00044ACF"/>
    <w:rsid w:val="00044EF2"/>
    <w:rsid w:val="000454F4"/>
    <w:rsid w:val="00045D1E"/>
    <w:rsid w:val="00045E69"/>
    <w:rsid w:val="00045EF4"/>
    <w:rsid w:val="00046547"/>
    <w:rsid w:val="000466D7"/>
    <w:rsid w:val="00046753"/>
    <w:rsid w:val="00047254"/>
    <w:rsid w:val="00047E41"/>
    <w:rsid w:val="0005022B"/>
    <w:rsid w:val="00050771"/>
    <w:rsid w:val="000513F3"/>
    <w:rsid w:val="00052287"/>
    <w:rsid w:val="000522E0"/>
    <w:rsid w:val="000532F4"/>
    <w:rsid w:val="000536AE"/>
    <w:rsid w:val="00054CD5"/>
    <w:rsid w:val="00054D03"/>
    <w:rsid w:val="000550AC"/>
    <w:rsid w:val="0005584D"/>
    <w:rsid w:val="00055CC3"/>
    <w:rsid w:val="00055CEE"/>
    <w:rsid w:val="000566FA"/>
    <w:rsid w:val="00056A2B"/>
    <w:rsid w:val="00056DA8"/>
    <w:rsid w:val="00056E37"/>
    <w:rsid w:val="00056EE2"/>
    <w:rsid w:val="00056FE2"/>
    <w:rsid w:val="000570FB"/>
    <w:rsid w:val="000575B8"/>
    <w:rsid w:val="00060131"/>
    <w:rsid w:val="0006026B"/>
    <w:rsid w:val="00060293"/>
    <w:rsid w:val="00061BDA"/>
    <w:rsid w:val="000621FE"/>
    <w:rsid w:val="00062B90"/>
    <w:rsid w:val="00062C70"/>
    <w:rsid w:val="00062DD0"/>
    <w:rsid w:val="00062E6F"/>
    <w:rsid w:val="000630C7"/>
    <w:rsid w:val="0006400F"/>
    <w:rsid w:val="000645DD"/>
    <w:rsid w:val="00064D7E"/>
    <w:rsid w:val="00064F65"/>
    <w:rsid w:val="00064FD0"/>
    <w:rsid w:val="0006534A"/>
    <w:rsid w:val="00065A5D"/>
    <w:rsid w:val="00065BA2"/>
    <w:rsid w:val="000661CA"/>
    <w:rsid w:val="0006668D"/>
    <w:rsid w:val="00066896"/>
    <w:rsid w:val="00067002"/>
    <w:rsid w:val="00067993"/>
    <w:rsid w:val="00067B1C"/>
    <w:rsid w:val="00067CED"/>
    <w:rsid w:val="00067F66"/>
    <w:rsid w:val="0007041A"/>
    <w:rsid w:val="00070634"/>
    <w:rsid w:val="00070883"/>
    <w:rsid w:val="00070C3F"/>
    <w:rsid w:val="0007102C"/>
    <w:rsid w:val="00071D68"/>
    <w:rsid w:val="00071FCE"/>
    <w:rsid w:val="00072661"/>
    <w:rsid w:val="00072CCC"/>
    <w:rsid w:val="0007315D"/>
    <w:rsid w:val="00073549"/>
    <w:rsid w:val="0007483E"/>
    <w:rsid w:val="000751DB"/>
    <w:rsid w:val="0007542D"/>
    <w:rsid w:val="0007578F"/>
    <w:rsid w:val="00075E43"/>
    <w:rsid w:val="00076791"/>
    <w:rsid w:val="00077706"/>
    <w:rsid w:val="00077878"/>
    <w:rsid w:val="000804EF"/>
    <w:rsid w:val="00080558"/>
    <w:rsid w:val="00081230"/>
    <w:rsid w:val="000814E2"/>
    <w:rsid w:val="000818C9"/>
    <w:rsid w:val="00081CBB"/>
    <w:rsid w:val="00081D42"/>
    <w:rsid w:val="000822EF"/>
    <w:rsid w:val="0008241E"/>
    <w:rsid w:val="000826F5"/>
    <w:rsid w:val="000829B1"/>
    <w:rsid w:val="00082AAB"/>
    <w:rsid w:val="0008307D"/>
    <w:rsid w:val="000831E9"/>
    <w:rsid w:val="000833BB"/>
    <w:rsid w:val="0008452D"/>
    <w:rsid w:val="0008467B"/>
    <w:rsid w:val="000850FA"/>
    <w:rsid w:val="000857A6"/>
    <w:rsid w:val="00085C12"/>
    <w:rsid w:val="00085DA0"/>
    <w:rsid w:val="00085F82"/>
    <w:rsid w:val="00086506"/>
    <w:rsid w:val="00086B6E"/>
    <w:rsid w:val="00086C64"/>
    <w:rsid w:val="0008781A"/>
    <w:rsid w:val="00090951"/>
    <w:rsid w:val="00090A61"/>
    <w:rsid w:val="000918F5"/>
    <w:rsid w:val="000919B5"/>
    <w:rsid w:val="00091C1D"/>
    <w:rsid w:val="00091E08"/>
    <w:rsid w:val="000922D8"/>
    <w:rsid w:val="000932E7"/>
    <w:rsid w:val="0009333A"/>
    <w:rsid w:val="000933C3"/>
    <w:rsid w:val="00093459"/>
    <w:rsid w:val="00093B8B"/>
    <w:rsid w:val="000951E7"/>
    <w:rsid w:val="00095B82"/>
    <w:rsid w:val="00096098"/>
    <w:rsid w:val="000969D9"/>
    <w:rsid w:val="00096F37"/>
    <w:rsid w:val="00097FE5"/>
    <w:rsid w:val="000A0354"/>
    <w:rsid w:val="000A091F"/>
    <w:rsid w:val="000A0958"/>
    <w:rsid w:val="000A0FCC"/>
    <w:rsid w:val="000A1033"/>
    <w:rsid w:val="000A2712"/>
    <w:rsid w:val="000A2877"/>
    <w:rsid w:val="000A355D"/>
    <w:rsid w:val="000A35DA"/>
    <w:rsid w:val="000A371E"/>
    <w:rsid w:val="000A3DE5"/>
    <w:rsid w:val="000A4011"/>
    <w:rsid w:val="000A45D5"/>
    <w:rsid w:val="000A490E"/>
    <w:rsid w:val="000A5B49"/>
    <w:rsid w:val="000A5FE5"/>
    <w:rsid w:val="000A6684"/>
    <w:rsid w:val="000A7194"/>
    <w:rsid w:val="000A7218"/>
    <w:rsid w:val="000A740A"/>
    <w:rsid w:val="000A7446"/>
    <w:rsid w:val="000A7E7F"/>
    <w:rsid w:val="000A7ECD"/>
    <w:rsid w:val="000B04DD"/>
    <w:rsid w:val="000B0F01"/>
    <w:rsid w:val="000B1346"/>
    <w:rsid w:val="000B1914"/>
    <w:rsid w:val="000B19DC"/>
    <w:rsid w:val="000B1CA2"/>
    <w:rsid w:val="000B202E"/>
    <w:rsid w:val="000B2293"/>
    <w:rsid w:val="000B24A4"/>
    <w:rsid w:val="000B255C"/>
    <w:rsid w:val="000B395E"/>
    <w:rsid w:val="000B39C3"/>
    <w:rsid w:val="000B3A00"/>
    <w:rsid w:val="000B4840"/>
    <w:rsid w:val="000B4D79"/>
    <w:rsid w:val="000B5627"/>
    <w:rsid w:val="000B5671"/>
    <w:rsid w:val="000B6BF0"/>
    <w:rsid w:val="000B6CE8"/>
    <w:rsid w:val="000B7DAF"/>
    <w:rsid w:val="000C071C"/>
    <w:rsid w:val="000C0BB4"/>
    <w:rsid w:val="000C0BEE"/>
    <w:rsid w:val="000C1CB9"/>
    <w:rsid w:val="000C2159"/>
    <w:rsid w:val="000C21BB"/>
    <w:rsid w:val="000C289B"/>
    <w:rsid w:val="000C3F01"/>
    <w:rsid w:val="000C410D"/>
    <w:rsid w:val="000C420D"/>
    <w:rsid w:val="000C4773"/>
    <w:rsid w:val="000C4944"/>
    <w:rsid w:val="000C4E24"/>
    <w:rsid w:val="000C5C4A"/>
    <w:rsid w:val="000C5F01"/>
    <w:rsid w:val="000C63C4"/>
    <w:rsid w:val="000C66C1"/>
    <w:rsid w:val="000C6F0B"/>
    <w:rsid w:val="000C6F32"/>
    <w:rsid w:val="000C6FEF"/>
    <w:rsid w:val="000C778C"/>
    <w:rsid w:val="000C7833"/>
    <w:rsid w:val="000C7E1B"/>
    <w:rsid w:val="000C7E73"/>
    <w:rsid w:val="000D001B"/>
    <w:rsid w:val="000D0A45"/>
    <w:rsid w:val="000D136E"/>
    <w:rsid w:val="000D14AC"/>
    <w:rsid w:val="000D15BA"/>
    <w:rsid w:val="000D15BE"/>
    <w:rsid w:val="000D2C9B"/>
    <w:rsid w:val="000D35FD"/>
    <w:rsid w:val="000D3D2D"/>
    <w:rsid w:val="000D3D99"/>
    <w:rsid w:val="000D4653"/>
    <w:rsid w:val="000D4696"/>
    <w:rsid w:val="000D4817"/>
    <w:rsid w:val="000D4D0C"/>
    <w:rsid w:val="000D4FB9"/>
    <w:rsid w:val="000D54B4"/>
    <w:rsid w:val="000D584B"/>
    <w:rsid w:val="000D5F55"/>
    <w:rsid w:val="000D6372"/>
    <w:rsid w:val="000D6979"/>
    <w:rsid w:val="000D6CE7"/>
    <w:rsid w:val="000D6E38"/>
    <w:rsid w:val="000D6E63"/>
    <w:rsid w:val="000D711C"/>
    <w:rsid w:val="000D7B6E"/>
    <w:rsid w:val="000E0644"/>
    <w:rsid w:val="000E076D"/>
    <w:rsid w:val="000E087C"/>
    <w:rsid w:val="000E187C"/>
    <w:rsid w:val="000E1B28"/>
    <w:rsid w:val="000E1E8D"/>
    <w:rsid w:val="000E1EBC"/>
    <w:rsid w:val="000E2173"/>
    <w:rsid w:val="000E220B"/>
    <w:rsid w:val="000E2266"/>
    <w:rsid w:val="000E2A50"/>
    <w:rsid w:val="000E30F2"/>
    <w:rsid w:val="000E316B"/>
    <w:rsid w:val="000E3D08"/>
    <w:rsid w:val="000E4728"/>
    <w:rsid w:val="000E4D1F"/>
    <w:rsid w:val="000E53F6"/>
    <w:rsid w:val="000E5658"/>
    <w:rsid w:val="000E5698"/>
    <w:rsid w:val="000E5723"/>
    <w:rsid w:val="000E581B"/>
    <w:rsid w:val="000E64B2"/>
    <w:rsid w:val="000E65D2"/>
    <w:rsid w:val="000E6919"/>
    <w:rsid w:val="000E6B1B"/>
    <w:rsid w:val="000E6F0C"/>
    <w:rsid w:val="000E732D"/>
    <w:rsid w:val="000F07ED"/>
    <w:rsid w:val="000F0CF2"/>
    <w:rsid w:val="000F1A32"/>
    <w:rsid w:val="000F1CC2"/>
    <w:rsid w:val="000F1D15"/>
    <w:rsid w:val="000F270A"/>
    <w:rsid w:val="000F34C8"/>
    <w:rsid w:val="000F38BC"/>
    <w:rsid w:val="000F3E2A"/>
    <w:rsid w:val="000F4D26"/>
    <w:rsid w:val="000F5639"/>
    <w:rsid w:val="000F58A4"/>
    <w:rsid w:val="000F5D43"/>
    <w:rsid w:val="000F6833"/>
    <w:rsid w:val="000F6A24"/>
    <w:rsid w:val="000F7616"/>
    <w:rsid w:val="000F7DE9"/>
    <w:rsid w:val="000F7F7A"/>
    <w:rsid w:val="001002F4"/>
    <w:rsid w:val="001011FC"/>
    <w:rsid w:val="0010165F"/>
    <w:rsid w:val="00101E7C"/>
    <w:rsid w:val="001023DC"/>
    <w:rsid w:val="00102572"/>
    <w:rsid w:val="00102946"/>
    <w:rsid w:val="00102FBF"/>
    <w:rsid w:val="0010333D"/>
    <w:rsid w:val="0010372A"/>
    <w:rsid w:val="00103F41"/>
    <w:rsid w:val="0010415C"/>
    <w:rsid w:val="00104662"/>
    <w:rsid w:val="00104F34"/>
    <w:rsid w:val="001053C5"/>
    <w:rsid w:val="001055AD"/>
    <w:rsid w:val="00105C14"/>
    <w:rsid w:val="001065A3"/>
    <w:rsid w:val="00106610"/>
    <w:rsid w:val="00106831"/>
    <w:rsid w:val="0010691D"/>
    <w:rsid w:val="00106B33"/>
    <w:rsid w:val="00106E69"/>
    <w:rsid w:val="00110AC5"/>
    <w:rsid w:val="00110F0B"/>
    <w:rsid w:val="0011108B"/>
    <w:rsid w:val="00111136"/>
    <w:rsid w:val="00111164"/>
    <w:rsid w:val="00111761"/>
    <w:rsid w:val="00112164"/>
    <w:rsid w:val="0011241F"/>
    <w:rsid w:val="001128BF"/>
    <w:rsid w:val="00112D09"/>
    <w:rsid w:val="00112F03"/>
    <w:rsid w:val="00112F38"/>
    <w:rsid w:val="00113821"/>
    <w:rsid w:val="00114058"/>
    <w:rsid w:val="0011449E"/>
    <w:rsid w:val="001153EF"/>
    <w:rsid w:val="00115D55"/>
    <w:rsid w:val="00115E45"/>
    <w:rsid w:val="00115F85"/>
    <w:rsid w:val="0011688E"/>
    <w:rsid w:val="00116ACD"/>
    <w:rsid w:val="0011718F"/>
    <w:rsid w:val="00117B7D"/>
    <w:rsid w:val="001205A8"/>
    <w:rsid w:val="00122A64"/>
    <w:rsid w:val="0012388A"/>
    <w:rsid w:val="0012388C"/>
    <w:rsid w:val="00123AFA"/>
    <w:rsid w:val="00123C8C"/>
    <w:rsid w:val="00123E8B"/>
    <w:rsid w:val="00124B43"/>
    <w:rsid w:val="00124DF8"/>
    <w:rsid w:val="001253EA"/>
    <w:rsid w:val="00125B99"/>
    <w:rsid w:val="00126160"/>
    <w:rsid w:val="00126DB5"/>
    <w:rsid w:val="00127178"/>
    <w:rsid w:val="00127F09"/>
    <w:rsid w:val="0013002A"/>
    <w:rsid w:val="0013085D"/>
    <w:rsid w:val="0013089C"/>
    <w:rsid w:val="00130A2D"/>
    <w:rsid w:val="00130F54"/>
    <w:rsid w:val="00131888"/>
    <w:rsid w:val="00131F17"/>
    <w:rsid w:val="0013212F"/>
    <w:rsid w:val="001323F9"/>
    <w:rsid w:val="0013251F"/>
    <w:rsid w:val="00133088"/>
    <w:rsid w:val="00133346"/>
    <w:rsid w:val="001335B1"/>
    <w:rsid w:val="00133B4E"/>
    <w:rsid w:val="0013410F"/>
    <w:rsid w:val="001346AF"/>
    <w:rsid w:val="00134990"/>
    <w:rsid w:val="001354D1"/>
    <w:rsid w:val="00135A0A"/>
    <w:rsid w:val="00135BB9"/>
    <w:rsid w:val="0013621D"/>
    <w:rsid w:val="00136354"/>
    <w:rsid w:val="00136674"/>
    <w:rsid w:val="00136B0E"/>
    <w:rsid w:val="00136C3B"/>
    <w:rsid w:val="001376AB"/>
    <w:rsid w:val="0013777C"/>
    <w:rsid w:val="00137D5F"/>
    <w:rsid w:val="00140082"/>
    <w:rsid w:val="00140175"/>
    <w:rsid w:val="00140757"/>
    <w:rsid w:val="00140D07"/>
    <w:rsid w:val="00141A3A"/>
    <w:rsid w:val="001423FA"/>
    <w:rsid w:val="001427B5"/>
    <w:rsid w:val="001428CF"/>
    <w:rsid w:val="00142D0C"/>
    <w:rsid w:val="00142E3C"/>
    <w:rsid w:val="00143387"/>
    <w:rsid w:val="00144013"/>
    <w:rsid w:val="001455C3"/>
    <w:rsid w:val="00145A17"/>
    <w:rsid w:val="00145BBE"/>
    <w:rsid w:val="001460B5"/>
    <w:rsid w:val="0014641F"/>
    <w:rsid w:val="001464A8"/>
    <w:rsid w:val="001467BB"/>
    <w:rsid w:val="00146CA8"/>
    <w:rsid w:val="00147884"/>
    <w:rsid w:val="00150827"/>
    <w:rsid w:val="00150B0D"/>
    <w:rsid w:val="00151E31"/>
    <w:rsid w:val="00151F9B"/>
    <w:rsid w:val="00152289"/>
    <w:rsid w:val="00152425"/>
    <w:rsid w:val="00152BAD"/>
    <w:rsid w:val="00152CE3"/>
    <w:rsid w:val="00153652"/>
    <w:rsid w:val="00153697"/>
    <w:rsid w:val="00153956"/>
    <w:rsid w:val="00153B95"/>
    <w:rsid w:val="00154146"/>
    <w:rsid w:val="00154190"/>
    <w:rsid w:val="001545EA"/>
    <w:rsid w:val="001549BA"/>
    <w:rsid w:val="00154BBF"/>
    <w:rsid w:val="00155099"/>
    <w:rsid w:val="00155C85"/>
    <w:rsid w:val="00156A6C"/>
    <w:rsid w:val="00156B10"/>
    <w:rsid w:val="001576FE"/>
    <w:rsid w:val="00157823"/>
    <w:rsid w:val="0015790D"/>
    <w:rsid w:val="00157C5E"/>
    <w:rsid w:val="0016015A"/>
    <w:rsid w:val="0016020E"/>
    <w:rsid w:val="00160503"/>
    <w:rsid w:val="00160D7C"/>
    <w:rsid w:val="00160E30"/>
    <w:rsid w:val="0016106D"/>
    <w:rsid w:val="001612E1"/>
    <w:rsid w:val="001614DB"/>
    <w:rsid w:val="0016194E"/>
    <w:rsid w:val="0016236C"/>
    <w:rsid w:val="00162625"/>
    <w:rsid w:val="001630A8"/>
    <w:rsid w:val="00163826"/>
    <w:rsid w:val="00163943"/>
    <w:rsid w:val="00163BA1"/>
    <w:rsid w:val="00163CCC"/>
    <w:rsid w:val="00163F22"/>
    <w:rsid w:val="0016417B"/>
    <w:rsid w:val="0016470E"/>
    <w:rsid w:val="001649D3"/>
    <w:rsid w:val="00164E0A"/>
    <w:rsid w:val="001652D7"/>
    <w:rsid w:val="00165A5F"/>
    <w:rsid w:val="00166223"/>
    <w:rsid w:val="0016793E"/>
    <w:rsid w:val="00167D4D"/>
    <w:rsid w:val="0017054C"/>
    <w:rsid w:val="00170635"/>
    <w:rsid w:val="0017070D"/>
    <w:rsid w:val="00170837"/>
    <w:rsid w:val="00171035"/>
    <w:rsid w:val="001713B7"/>
    <w:rsid w:val="00171ADB"/>
    <w:rsid w:val="00171E2C"/>
    <w:rsid w:val="00172029"/>
    <w:rsid w:val="001733A4"/>
    <w:rsid w:val="00173AB9"/>
    <w:rsid w:val="00173EED"/>
    <w:rsid w:val="00174368"/>
    <w:rsid w:val="001744EA"/>
    <w:rsid w:val="00174D82"/>
    <w:rsid w:val="00174E44"/>
    <w:rsid w:val="00175053"/>
    <w:rsid w:val="001753B7"/>
    <w:rsid w:val="001757E7"/>
    <w:rsid w:val="00175873"/>
    <w:rsid w:val="00175C59"/>
    <w:rsid w:val="001760BC"/>
    <w:rsid w:val="00176674"/>
    <w:rsid w:val="00176818"/>
    <w:rsid w:val="00176B82"/>
    <w:rsid w:val="00176E3B"/>
    <w:rsid w:val="00176ECB"/>
    <w:rsid w:val="0017752D"/>
    <w:rsid w:val="0017759F"/>
    <w:rsid w:val="00177832"/>
    <w:rsid w:val="00181178"/>
    <w:rsid w:val="0018119E"/>
    <w:rsid w:val="00181EEF"/>
    <w:rsid w:val="00181F3E"/>
    <w:rsid w:val="00182FE0"/>
    <w:rsid w:val="00183911"/>
    <w:rsid w:val="001845FB"/>
    <w:rsid w:val="00185DA6"/>
    <w:rsid w:val="00185F64"/>
    <w:rsid w:val="00186096"/>
    <w:rsid w:val="0018772E"/>
    <w:rsid w:val="00187A94"/>
    <w:rsid w:val="0019029E"/>
    <w:rsid w:val="00190804"/>
    <w:rsid w:val="0019088F"/>
    <w:rsid w:val="00190C51"/>
    <w:rsid w:val="00193ACC"/>
    <w:rsid w:val="00193BFE"/>
    <w:rsid w:val="00195322"/>
    <w:rsid w:val="0019560E"/>
    <w:rsid w:val="001958E3"/>
    <w:rsid w:val="0019601B"/>
    <w:rsid w:val="00196048"/>
    <w:rsid w:val="00196A82"/>
    <w:rsid w:val="0019769B"/>
    <w:rsid w:val="001979F9"/>
    <w:rsid w:val="00197FFE"/>
    <w:rsid w:val="001A0D25"/>
    <w:rsid w:val="001A0E14"/>
    <w:rsid w:val="001A1570"/>
    <w:rsid w:val="001A1917"/>
    <w:rsid w:val="001A1C64"/>
    <w:rsid w:val="001A1E7F"/>
    <w:rsid w:val="001A2918"/>
    <w:rsid w:val="001A2D02"/>
    <w:rsid w:val="001A3076"/>
    <w:rsid w:val="001A31A5"/>
    <w:rsid w:val="001A389C"/>
    <w:rsid w:val="001A3B75"/>
    <w:rsid w:val="001A46FB"/>
    <w:rsid w:val="001A5944"/>
    <w:rsid w:val="001A5FB1"/>
    <w:rsid w:val="001A698A"/>
    <w:rsid w:val="001A6CCC"/>
    <w:rsid w:val="001A6E3B"/>
    <w:rsid w:val="001A70C8"/>
    <w:rsid w:val="001A71C9"/>
    <w:rsid w:val="001A7429"/>
    <w:rsid w:val="001A760C"/>
    <w:rsid w:val="001A799B"/>
    <w:rsid w:val="001A7AC7"/>
    <w:rsid w:val="001A7C38"/>
    <w:rsid w:val="001B02F8"/>
    <w:rsid w:val="001B2104"/>
    <w:rsid w:val="001B2279"/>
    <w:rsid w:val="001B2729"/>
    <w:rsid w:val="001B2866"/>
    <w:rsid w:val="001B2881"/>
    <w:rsid w:val="001B2B73"/>
    <w:rsid w:val="001B3675"/>
    <w:rsid w:val="001B37C8"/>
    <w:rsid w:val="001B4B2C"/>
    <w:rsid w:val="001B4F10"/>
    <w:rsid w:val="001B5154"/>
    <w:rsid w:val="001B6E30"/>
    <w:rsid w:val="001B7C83"/>
    <w:rsid w:val="001B7F9E"/>
    <w:rsid w:val="001C0206"/>
    <w:rsid w:val="001C0246"/>
    <w:rsid w:val="001C04D4"/>
    <w:rsid w:val="001C0B34"/>
    <w:rsid w:val="001C12A3"/>
    <w:rsid w:val="001C17BB"/>
    <w:rsid w:val="001C187E"/>
    <w:rsid w:val="001C1A37"/>
    <w:rsid w:val="001C1C49"/>
    <w:rsid w:val="001C286F"/>
    <w:rsid w:val="001C2B86"/>
    <w:rsid w:val="001C2F54"/>
    <w:rsid w:val="001C3308"/>
    <w:rsid w:val="001C3BBB"/>
    <w:rsid w:val="001C40D1"/>
    <w:rsid w:val="001C468A"/>
    <w:rsid w:val="001C4A38"/>
    <w:rsid w:val="001C4A9E"/>
    <w:rsid w:val="001C5001"/>
    <w:rsid w:val="001C5103"/>
    <w:rsid w:val="001C52A8"/>
    <w:rsid w:val="001C5ADF"/>
    <w:rsid w:val="001C5E8E"/>
    <w:rsid w:val="001C6120"/>
    <w:rsid w:val="001C6516"/>
    <w:rsid w:val="001C6B5C"/>
    <w:rsid w:val="001C7155"/>
    <w:rsid w:val="001C7E48"/>
    <w:rsid w:val="001D039B"/>
    <w:rsid w:val="001D1258"/>
    <w:rsid w:val="001D1AB8"/>
    <w:rsid w:val="001D2069"/>
    <w:rsid w:val="001D286F"/>
    <w:rsid w:val="001D2C94"/>
    <w:rsid w:val="001D33D9"/>
    <w:rsid w:val="001D36F6"/>
    <w:rsid w:val="001D4303"/>
    <w:rsid w:val="001D45E5"/>
    <w:rsid w:val="001D461A"/>
    <w:rsid w:val="001D4A9D"/>
    <w:rsid w:val="001D4AAD"/>
    <w:rsid w:val="001D5AFA"/>
    <w:rsid w:val="001D784A"/>
    <w:rsid w:val="001E04A4"/>
    <w:rsid w:val="001E07C5"/>
    <w:rsid w:val="001E176D"/>
    <w:rsid w:val="001E1BCE"/>
    <w:rsid w:val="001E1E05"/>
    <w:rsid w:val="001E2086"/>
    <w:rsid w:val="001E339F"/>
    <w:rsid w:val="001E3629"/>
    <w:rsid w:val="001E3806"/>
    <w:rsid w:val="001E3E7D"/>
    <w:rsid w:val="001E40F0"/>
    <w:rsid w:val="001E4172"/>
    <w:rsid w:val="001E4F08"/>
    <w:rsid w:val="001E5490"/>
    <w:rsid w:val="001E5730"/>
    <w:rsid w:val="001E5E2E"/>
    <w:rsid w:val="001E6352"/>
    <w:rsid w:val="001E70AD"/>
    <w:rsid w:val="001E7237"/>
    <w:rsid w:val="001E7AF6"/>
    <w:rsid w:val="001F01B8"/>
    <w:rsid w:val="001F0FC3"/>
    <w:rsid w:val="001F1188"/>
    <w:rsid w:val="001F1B8D"/>
    <w:rsid w:val="001F274F"/>
    <w:rsid w:val="001F289C"/>
    <w:rsid w:val="001F2BF9"/>
    <w:rsid w:val="001F392C"/>
    <w:rsid w:val="001F3AF2"/>
    <w:rsid w:val="001F6008"/>
    <w:rsid w:val="001F604B"/>
    <w:rsid w:val="001F641B"/>
    <w:rsid w:val="001F6D4D"/>
    <w:rsid w:val="0020130D"/>
    <w:rsid w:val="00201916"/>
    <w:rsid w:val="00201D06"/>
    <w:rsid w:val="00201E9F"/>
    <w:rsid w:val="00202F25"/>
    <w:rsid w:val="002035B3"/>
    <w:rsid w:val="00203929"/>
    <w:rsid w:val="00203CD6"/>
    <w:rsid w:val="00204460"/>
    <w:rsid w:val="002051EA"/>
    <w:rsid w:val="00205CBC"/>
    <w:rsid w:val="00206259"/>
    <w:rsid w:val="002074B7"/>
    <w:rsid w:val="0020758D"/>
    <w:rsid w:val="00207C7B"/>
    <w:rsid w:val="00211470"/>
    <w:rsid w:val="00211922"/>
    <w:rsid w:val="0021213A"/>
    <w:rsid w:val="0021265F"/>
    <w:rsid w:val="00213817"/>
    <w:rsid w:val="00214428"/>
    <w:rsid w:val="002145EB"/>
    <w:rsid w:val="0021474D"/>
    <w:rsid w:val="00214F82"/>
    <w:rsid w:val="00215033"/>
    <w:rsid w:val="00215834"/>
    <w:rsid w:val="00215AA4"/>
    <w:rsid w:val="00215CC2"/>
    <w:rsid w:val="00215ED8"/>
    <w:rsid w:val="00217700"/>
    <w:rsid w:val="002177E2"/>
    <w:rsid w:val="002205F3"/>
    <w:rsid w:val="0022085B"/>
    <w:rsid w:val="00220E53"/>
    <w:rsid w:val="0022176C"/>
    <w:rsid w:val="002225D1"/>
    <w:rsid w:val="002230FA"/>
    <w:rsid w:val="00223DF2"/>
    <w:rsid w:val="00224C0C"/>
    <w:rsid w:val="002256C2"/>
    <w:rsid w:val="002256D0"/>
    <w:rsid w:val="00225C8E"/>
    <w:rsid w:val="00226428"/>
    <w:rsid w:val="002265A9"/>
    <w:rsid w:val="002266CB"/>
    <w:rsid w:val="00227052"/>
    <w:rsid w:val="002272D5"/>
    <w:rsid w:val="0022738E"/>
    <w:rsid w:val="00227906"/>
    <w:rsid w:val="00227934"/>
    <w:rsid w:val="00227E21"/>
    <w:rsid w:val="00231D05"/>
    <w:rsid w:val="0023256A"/>
    <w:rsid w:val="002336E2"/>
    <w:rsid w:val="00233AC2"/>
    <w:rsid w:val="00233BAF"/>
    <w:rsid w:val="00235420"/>
    <w:rsid w:val="00235700"/>
    <w:rsid w:val="0024065B"/>
    <w:rsid w:val="002409A6"/>
    <w:rsid w:val="00240C63"/>
    <w:rsid w:val="00240EA5"/>
    <w:rsid w:val="00241132"/>
    <w:rsid w:val="00241205"/>
    <w:rsid w:val="002418C5"/>
    <w:rsid w:val="0024261D"/>
    <w:rsid w:val="00242712"/>
    <w:rsid w:val="00242DFB"/>
    <w:rsid w:val="002434B2"/>
    <w:rsid w:val="00243807"/>
    <w:rsid w:val="002440AC"/>
    <w:rsid w:val="00244365"/>
    <w:rsid w:val="0024459A"/>
    <w:rsid w:val="00244771"/>
    <w:rsid w:val="00244903"/>
    <w:rsid w:val="00244AFB"/>
    <w:rsid w:val="002453DF"/>
    <w:rsid w:val="00245A81"/>
    <w:rsid w:val="002462A5"/>
    <w:rsid w:val="00246B86"/>
    <w:rsid w:val="00247335"/>
    <w:rsid w:val="002473EF"/>
    <w:rsid w:val="002477B9"/>
    <w:rsid w:val="00247CBE"/>
    <w:rsid w:val="00250A1F"/>
    <w:rsid w:val="00250ADA"/>
    <w:rsid w:val="00250F1D"/>
    <w:rsid w:val="00251FF1"/>
    <w:rsid w:val="002520BA"/>
    <w:rsid w:val="00252234"/>
    <w:rsid w:val="002528E3"/>
    <w:rsid w:val="00252944"/>
    <w:rsid w:val="00252D55"/>
    <w:rsid w:val="00252D82"/>
    <w:rsid w:val="00253006"/>
    <w:rsid w:val="002533F5"/>
    <w:rsid w:val="00253C60"/>
    <w:rsid w:val="00253F21"/>
    <w:rsid w:val="0025429D"/>
    <w:rsid w:val="002549E9"/>
    <w:rsid w:val="00254FF6"/>
    <w:rsid w:val="00255099"/>
    <w:rsid w:val="002555C6"/>
    <w:rsid w:val="00255E14"/>
    <w:rsid w:val="00257059"/>
    <w:rsid w:val="0025712F"/>
    <w:rsid w:val="00257395"/>
    <w:rsid w:val="00257857"/>
    <w:rsid w:val="002578DA"/>
    <w:rsid w:val="00257CBC"/>
    <w:rsid w:val="002602C2"/>
    <w:rsid w:val="002602DA"/>
    <w:rsid w:val="0026040B"/>
    <w:rsid w:val="002604F2"/>
    <w:rsid w:val="00260802"/>
    <w:rsid w:val="002609E3"/>
    <w:rsid w:val="00261223"/>
    <w:rsid w:val="002617AB"/>
    <w:rsid w:val="00261D08"/>
    <w:rsid w:val="00261DCC"/>
    <w:rsid w:val="002624D0"/>
    <w:rsid w:val="00263EC7"/>
    <w:rsid w:val="0026491B"/>
    <w:rsid w:val="00264A36"/>
    <w:rsid w:val="00264B06"/>
    <w:rsid w:val="00264C1B"/>
    <w:rsid w:val="00265D10"/>
    <w:rsid w:val="00265E2E"/>
    <w:rsid w:val="002661AB"/>
    <w:rsid w:val="0026742B"/>
    <w:rsid w:val="002674FE"/>
    <w:rsid w:val="002702F6"/>
    <w:rsid w:val="00270748"/>
    <w:rsid w:val="0027117F"/>
    <w:rsid w:val="002712DC"/>
    <w:rsid w:val="00271875"/>
    <w:rsid w:val="002718FF"/>
    <w:rsid w:val="00271955"/>
    <w:rsid w:val="00272278"/>
    <w:rsid w:val="00272432"/>
    <w:rsid w:val="00272633"/>
    <w:rsid w:val="00272E48"/>
    <w:rsid w:val="00272FBF"/>
    <w:rsid w:val="00273A10"/>
    <w:rsid w:val="00273A58"/>
    <w:rsid w:val="00274CAB"/>
    <w:rsid w:val="00274E8A"/>
    <w:rsid w:val="00275FCE"/>
    <w:rsid w:val="002766B8"/>
    <w:rsid w:val="0027680F"/>
    <w:rsid w:val="002777C0"/>
    <w:rsid w:val="00281006"/>
    <w:rsid w:val="002815B1"/>
    <w:rsid w:val="00281893"/>
    <w:rsid w:val="00281C1F"/>
    <w:rsid w:val="00281EEA"/>
    <w:rsid w:val="00281F88"/>
    <w:rsid w:val="0028288D"/>
    <w:rsid w:val="002829B7"/>
    <w:rsid w:val="00282B82"/>
    <w:rsid w:val="00282C74"/>
    <w:rsid w:val="00282E5B"/>
    <w:rsid w:val="00283995"/>
    <w:rsid w:val="00283B11"/>
    <w:rsid w:val="002841A9"/>
    <w:rsid w:val="00284313"/>
    <w:rsid w:val="00284554"/>
    <w:rsid w:val="002848AD"/>
    <w:rsid w:val="00285154"/>
    <w:rsid w:val="00285BF2"/>
    <w:rsid w:val="00285C78"/>
    <w:rsid w:val="002863CE"/>
    <w:rsid w:val="00287E20"/>
    <w:rsid w:val="00291492"/>
    <w:rsid w:val="00291527"/>
    <w:rsid w:val="0029199A"/>
    <w:rsid w:val="00291BBE"/>
    <w:rsid w:val="00291FEB"/>
    <w:rsid w:val="00293146"/>
    <w:rsid w:val="0029361E"/>
    <w:rsid w:val="00293D68"/>
    <w:rsid w:val="0029408A"/>
    <w:rsid w:val="00294352"/>
    <w:rsid w:val="002944A0"/>
    <w:rsid w:val="002946E4"/>
    <w:rsid w:val="0029495C"/>
    <w:rsid w:val="002957D9"/>
    <w:rsid w:val="00295B52"/>
    <w:rsid w:val="00296024"/>
    <w:rsid w:val="00296293"/>
    <w:rsid w:val="00296AF7"/>
    <w:rsid w:val="002972F9"/>
    <w:rsid w:val="002977CA"/>
    <w:rsid w:val="00297ED7"/>
    <w:rsid w:val="002A0007"/>
    <w:rsid w:val="002A03AA"/>
    <w:rsid w:val="002A056D"/>
    <w:rsid w:val="002A07FE"/>
    <w:rsid w:val="002A094D"/>
    <w:rsid w:val="002A0CAF"/>
    <w:rsid w:val="002A0DDB"/>
    <w:rsid w:val="002A1565"/>
    <w:rsid w:val="002A16A9"/>
    <w:rsid w:val="002A171F"/>
    <w:rsid w:val="002A2941"/>
    <w:rsid w:val="002A2DC4"/>
    <w:rsid w:val="002A3E69"/>
    <w:rsid w:val="002A44F9"/>
    <w:rsid w:val="002A49EF"/>
    <w:rsid w:val="002A4B8B"/>
    <w:rsid w:val="002A5107"/>
    <w:rsid w:val="002A535E"/>
    <w:rsid w:val="002A6406"/>
    <w:rsid w:val="002A6432"/>
    <w:rsid w:val="002A6CF0"/>
    <w:rsid w:val="002A6FFC"/>
    <w:rsid w:val="002A7010"/>
    <w:rsid w:val="002A70BA"/>
    <w:rsid w:val="002A7A57"/>
    <w:rsid w:val="002A7BB2"/>
    <w:rsid w:val="002A7DCB"/>
    <w:rsid w:val="002B0685"/>
    <w:rsid w:val="002B0B53"/>
    <w:rsid w:val="002B1617"/>
    <w:rsid w:val="002B1D11"/>
    <w:rsid w:val="002B273B"/>
    <w:rsid w:val="002B29AA"/>
    <w:rsid w:val="002B2A7E"/>
    <w:rsid w:val="002B2F1B"/>
    <w:rsid w:val="002B5AFB"/>
    <w:rsid w:val="002B6320"/>
    <w:rsid w:val="002B66AC"/>
    <w:rsid w:val="002B6852"/>
    <w:rsid w:val="002B77E1"/>
    <w:rsid w:val="002C0714"/>
    <w:rsid w:val="002C0A96"/>
    <w:rsid w:val="002C1BF4"/>
    <w:rsid w:val="002C1E0D"/>
    <w:rsid w:val="002C2266"/>
    <w:rsid w:val="002C28EB"/>
    <w:rsid w:val="002C3265"/>
    <w:rsid w:val="002C3AED"/>
    <w:rsid w:val="002C3E56"/>
    <w:rsid w:val="002C414C"/>
    <w:rsid w:val="002C4C2F"/>
    <w:rsid w:val="002C5776"/>
    <w:rsid w:val="002C5EED"/>
    <w:rsid w:val="002C66DE"/>
    <w:rsid w:val="002C7193"/>
    <w:rsid w:val="002C7699"/>
    <w:rsid w:val="002C7A49"/>
    <w:rsid w:val="002D0128"/>
    <w:rsid w:val="002D0E85"/>
    <w:rsid w:val="002D0FA7"/>
    <w:rsid w:val="002D12FB"/>
    <w:rsid w:val="002D19D1"/>
    <w:rsid w:val="002D1F35"/>
    <w:rsid w:val="002D1FA3"/>
    <w:rsid w:val="002D20CD"/>
    <w:rsid w:val="002D23C6"/>
    <w:rsid w:val="002D24F0"/>
    <w:rsid w:val="002D25EB"/>
    <w:rsid w:val="002D269B"/>
    <w:rsid w:val="002D29F3"/>
    <w:rsid w:val="002D3126"/>
    <w:rsid w:val="002D3529"/>
    <w:rsid w:val="002D3D0A"/>
    <w:rsid w:val="002D3EF0"/>
    <w:rsid w:val="002D478E"/>
    <w:rsid w:val="002D47AE"/>
    <w:rsid w:val="002D4A94"/>
    <w:rsid w:val="002D65FF"/>
    <w:rsid w:val="002D6D10"/>
    <w:rsid w:val="002D71E2"/>
    <w:rsid w:val="002D7B6A"/>
    <w:rsid w:val="002E0026"/>
    <w:rsid w:val="002E08E8"/>
    <w:rsid w:val="002E0918"/>
    <w:rsid w:val="002E0BAA"/>
    <w:rsid w:val="002E0D96"/>
    <w:rsid w:val="002E0EA5"/>
    <w:rsid w:val="002E0F1C"/>
    <w:rsid w:val="002E1E19"/>
    <w:rsid w:val="002E1FAC"/>
    <w:rsid w:val="002E283F"/>
    <w:rsid w:val="002E2854"/>
    <w:rsid w:val="002E2E74"/>
    <w:rsid w:val="002E32D2"/>
    <w:rsid w:val="002E361B"/>
    <w:rsid w:val="002E37AB"/>
    <w:rsid w:val="002E3A80"/>
    <w:rsid w:val="002E41C7"/>
    <w:rsid w:val="002E51DF"/>
    <w:rsid w:val="002E57B9"/>
    <w:rsid w:val="002E6127"/>
    <w:rsid w:val="002E6885"/>
    <w:rsid w:val="002E72E4"/>
    <w:rsid w:val="002E739D"/>
    <w:rsid w:val="002F0F36"/>
    <w:rsid w:val="002F1276"/>
    <w:rsid w:val="002F1986"/>
    <w:rsid w:val="002F1E5F"/>
    <w:rsid w:val="002F2A49"/>
    <w:rsid w:val="002F3550"/>
    <w:rsid w:val="002F3B63"/>
    <w:rsid w:val="002F3C56"/>
    <w:rsid w:val="002F46B0"/>
    <w:rsid w:val="002F4B17"/>
    <w:rsid w:val="002F5150"/>
    <w:rsid w:val="002F5463"/>
    <w:rsid w:val="002F58C2"/>
    <w:rsid w:val="002F5932"/>
    <w:rsid w:val="002F5C85"/>
    <w:rsid w:val="002F603B"/>
    <w:rsid w:val="002F6201"/>
    <w:rsid w:val="002F6493"/>
    <w:rsid w:val="002F724B"/>
    <w:rsid w:val="002F72BA"/>
    <w:rsid w:val="00300267"/>
    <w:rsid w:val="003004D2"/>
    <w:rsid w:val="00300D6B"/>
    <w:rsid w:val="00301380"/>
    <w:rsid w:val="00301E89"/>
    <w:rsid w:val="00302052"/>
    <w:rsid w:val="00302142"/>
    <w:rsid w:val="00302169"/>
    <w:rsid w:val="00302612"/>
    <w:rsid w:val="00303254"/>
    <w:rsid w:val="003044D9"/>
    <w:rsid w:val="00304D8A"/>
    <w:rsid w:val="00305216"/>
    <w:rsid w:val="0030555B"/>
    <w:rsid w:val="003061F5"/>
    <w:rsid w:val="00306A49"/>
    <w:rsid w:val="00306D27"/>
    <w:rsid w:val="0030739C"/>
    <w:rsid w:val="00310D51"/>
    <w:rsid w:val="00311B36"/>
    <w:rsid w:val="00311C92"/>
    <w:rsid w:val="00313321"/>
    <w:rsid w:val="003133AE"/>
    <w:rsid w:val="0031371B"/>
    <w:rsid w:val="00314156"/>
    <w:rsid w:val="0031535B"/>
    <w:rsid w:val="003154DD"/>
    <w:rsid w:val="00316F76"/>
    <w:rsid w:val="003170F4"/>
    <w:rsid w:val="0032035D"/>
    <w:rsid w:val="003205E9"/>
    <w:rsid w:val="00320B28"/>
    <w:rsid w:val="0032123E"/>
    <w:rsid w:val="003216D5"/>
    <w:rsid w:val="003216FF"/>
    <w:rsid w:val="00321866"/>
    <w:rsid w:val="00321A83"/>
    <w:rsid w:val="00321C1A"/>
    <w:rsid w:val="00321F6B"/>
    <w:rsid w:val="00322389"/>
    <w:rsid w:val="00322BE5"/>
    <w:rsid w:val="00322E87"/>
    <w:rsid w:val="0032312D"/>
    <w:rsid w:val="00323AA5"/>
    <w:rsid w:val="003242E4"/>
    <w:rsid w:val="0032468D"/>
    <w:rsid w:val="00324926"/>
    <w:rsid w:val="00324B25"/>
    <w:rsid w:val="0032522F"/>
    <w:rsid w:val="003253C4"/>
    <w:rsid w:val="0032550F"/>
    <w:rsid w:val="00325992"/>
    <w:rsid w:val="00325B74"/>
    <w:rsid w:val="0032638F"/>
    <w:rsid w:val="00326B59"/>
    <w:rsid w:val="00326BD4"/>
    <w:rsid w:val="003272C6"/>
    <w:rsid w:val="00327752"/>
    <w:rsid w:val="00327C7C"/>
    <w:rsid w:val="00330009"/>
    <w:rsid w:val="003301E6"/>
    <w:rsid w:val="00330740"/>
    <w:rsid w:val="003310AB"/>
    <w:rsid w:val="003314D2"/>
    <w:rsid w:val="00331712"/>
    <w:rsid w:val="00331A3F"/>
    <w:rsid w:val="00332191"/>
    <w:rsid w:val="00332720"/>
    <w:rsid w:val="00332EED"/>
    <w:rsid w:val="003334A7"/>
    <w:rsid w:val="003337E8"/>
    <w:rsid w:val="00333A14"/>
    <w:rsid w:val="00333B2A"/>
    <w:rsid w:val="00333FD5"/>
    <w:rsid w:val="003350E9"/>
    <w:rsid w:val="003351BA"/>
    <w:rsid w:val="0033520F"/>
    <w:rsid w:val="0033596B"/>
    <w:rsid w:val="00335A93"/>
    <w:rsid w:val="0033650E"/>
    <w:rsid w:val="00336907"/>
    <w:rsid w:val="003369DF"/>
    <w:rsid w:val="00336AD1"/>
    <w:rsid w:val="00336C71"/>
    <w:rsid w:val="00336D96"/>
    <w:rsid w:val="00336DFC"/>
    <w:rsid w:val="00337230"/>
    <w:rsid w:val="003377D0"/>
    <w:rsid w:val="00337D75"/>
    <w:rsid w:val="00340020"/>
    <w:rsid w:val="00340AFD"/>
    <w:rsid w:val="00341162"/>
    <w:rsid w:val="00341866"/>
    <w:rsid w:val="00341DAF"/>
    <w:rsid w:val="00342181"/>
    <w:rsid w:val="00343560"/>
    <w:rsid w:val="00343A20"/>
    <w:rsid w:val="0034402B"/>
    <w:rsid w:val="0034449E"/>
    <w:rsid w:val="00344D46"/>
    <w:rsid w:val="003465A5"/>
    <w:rsid w:val="00346817"/>
    <w:rsid w:val="003471D7"/>
    <w:rsid w:val="00347440"/>
    <w:rsid w:val="003475EA"/>
    <w:rsid w:val="00347A27"/>
    <w:rsid w:val="00347CD4"/>
    <w:rsid w:val="00347E2E"/>
    <w:rsid w:val="00350A55"/>
    <w:rsid w:val="00350DF8"/>
    <w:rsid w:val="00351A8A"/>
    <w:rsid w:val="0035266A"/>
    <w:rsid w:val="0035279C"/>
    <w:rsid w:val="003535D2"/>
    <w:rsid w:val="0035384D"/>
    <w:rsid w:val="00353C0B"/>
    <w:rsid w:val="00354AE4"/>
    <w:rsid w:val="00354B0A"/>
    <w:rsid w:val="0035551B"/>
    <w:rsid w:val="003555ED"/>
    <w:rsid w:val="00355911"/>
    <w:rsid w:val="0035636B"/>
    <w:rsid w:val="00357424"/>
    <w:rsid w:val="00357BE9"/>
    <w:rsid w:val="003601A2"/>
    <w:rsid w:val="00361789"/>
    <w:rsid w:val="0036196D"/>
    <w:rsid w:val="00361A59"/>
    <w:rsid w:val="003627BD"/>
    <w:rsid w:val="00362997"/>
    <w:rsid w:val="00362C59"/>
    <w:rsid w:val="00363040"/>
    <w:rsid w:val="003630B7"/>
    <w:rsid w:val="00363786"/>
    <w:rsid w:val="003638A4"/>
    <w:rsid w:val="003639BF"/>
    <w:rsid w:val="00363E41"/>
    <w:rsid w:val="00363FD2"/>
    <w:rsid w:val="0036572E"/>
    <w:rsid w:val="00366168"/>
    <w:rsid w:val="003663D9"/>
    <w:rsid w:val="003666BF"/>
    <w:rsid w:val="00366707"/>
    <w:rsid w:val="00366FA9"/>
    <w:rsid w:val="00367E49"/>
    <w:rsid w:val="003700E6"/>
    <w:rsid w:val="00371C86"/>
    <w:rsid w:val="0037236C"/>
    <w:rsid w:val="003729DE"/>
    <w:rsid w:val="003735D3"/>
    <w:rsid w:val="0037386D"/>
    <w:rsid w:val="00373956"/>
    <w:rsid w:val="00374153"/>
    <w:rsid w:val="003750E0"/>
    <w:rsid w:val="00375AF1"/>
    <w:rsid w:val="00375C2F"/>
    <w:rsid w:val="00375FC5"/>
    <w:rsid w:val="003769BA"/>
    <w:rsid w:val="00377871"/>
    <w:rsid w:val="003778B2"/>
    <w:rsid w:val="00377E58"/>
    <w:rsid w:val="003805E3"/>
    <w:rsid w:val="00380618"/>
    <w:rsid w:val="0038062E"/>
    <w:rsid w:val="003806D7"/>
    <w:rsid w:val="003807F7"/>
    <w:rsid w:val="00381610"/>
    <w:rsid w:val="00382106"/>
    <w:rsid w:val="00382657"/>
    <w:rsid w:val="00382708"/>
    <w:rsid w:val="00382B82"/>
    <w:rsid w:val="003844BF"/>
    <w:rsid w:val="003854D5"/>
    <w:rsid w:val="0038552A"/>
    <w:rsid w:val="003859EA"/>
    <w:rsid w:val="0038709E"/>
    <w:rsid w:val="00387D30"/>
    <w:rsid w:val="00391753"/>
    <w:rsid w:val="00391C7F"/>
    <w:rsid w:val="00392454"/>
    <w:rsid w:val="00392C85"/>
    <w:rsid w:val="00392FD8"/>
    <w:rsid w:val="00393E11"/>
    <w:rsid w:val="00394475"/>
    <w:rsid w:val="0039517A"/>
    <w:rsid w:val="00395B51"/>
    <w:rsid w:val="00396796"/>
    <w:rsid w:val="00396EC6"/>
    <w:rsid w:val="003970BA"/>
    <w:rsid w:val="0039746C"/>
    <w:rsid w:val="00397DC6"/>
    <w:rsid w:val="003A0E82"/>
    <w:rsid w:val="003A0FAC"/>
    <w:rsid w:val="003A184D"/>
    <w:rsid w:val="003A1FB7"/>
    <w:rsid w:val="003A371E"/>
    <w:rsid w:val="003A3957"/>
    <w:rsid w:val="003A462A"/>
    <w:rsid w:val="003A595F"/>
    <w:rsid w:val="003A5EEC"/>
    <w:rsid w:val="003A6B7A"/>
    <w:rsid w:val="003A79AE"/>
    <w:rsid w:val="003A7CA3"/>
    <w:rsid w:val="003B00B6"/>
    <w:rsid w:val="003B01C4"/>
    <w:rsid w:val="003B0BB0"/>
    <w:rsid w:val="003B11EE"/>
    <w:rsid w:val="003B15F8"/>
    <w:rsid w:val="003B230B"/>
    <w:rsid w:val="003B23BC"/>
    <w:rsid w:val="003B28BA"/>
    <w:rsid w:val="003B2DB5"/>
    <w:rsid w:val="003B2F05"/>
    <w:rsid w:val="003B3966"/>
    <w:rsid w:val="003B39B7"/>
    <w:rsid w:val="003B4EB0"/>
    <w:rsid w:val="003B5094"/>
    <w:rsid w:val="003B5F6A"/>
    <w:rsid w:val="003B6B7F"/>
    <w:rsid w:val="003B7820"/>
    <w:rsid w:val="003C01A4"/>
    <w:rsid w:val="003C0219"/>
    <w:rsid w:val="003C0C12"/>
    <w:rsid w:val="003C16EE"/>
    <w:rsid w:val="003C1C87"/>
    <w:rsid w:val="003C2C85"/>
    <w:rsid w:val="003C2F61"/>
    <w:rsid w:val="003C345E"/>
    <w:rsid w:val="003C4409"/>
    <w:rsid w:val="003C4997"/>
    <w:rsid w:val="003C4DA5"/>
    <w:rsid w:val="003C5666"/>
    <w:rsid w:val="003C60CC"/>
    <w:rsid w:val="003C64F4"/>
    <w:rsid w:val="003C724B"/>
    <w:rsid w:val="003C73DB"/>
    <w:rsid w:val="003D0185"/>
    <w:rsid w:val="003D02CB"/>
    <w:rsid w:val="003D0382"/>
    <w:rsid w:val="003D069C"/>
    <w:rsid w:val="003D191E"/>
    <w:rsid w:val="003D22A5"/>
    <w:rsid w:val="003D23A4"/>
    <w:rsid w:val="003D3414"/>
    <w:rsid w:val="003D3426"/>
    <w:rsid w:val="003D3654"/>
    <w:rsid w:val="003D3721"/>
    <w:rsid w:val="003D413A"/>
    <w:rsid w:val="003D6722"/>
    <w:rsid w:val="003D7428"/>
    <w:rsid w:val="003D77F2"/>
    <w:rsid w:val="003D78CC"/>
    <w:rsid w:val="003D7D01"/>
    <w:rsid w:val="003D7ED8"/>
    <w:rsid w:val="003E0003"/>
    <w:rsid w:val="003E0099"/>
    <w:rsid w:val="003E08C7"/>
    <w:rsid w:val="003E1A72"/>
    <w:rsid w:val="003E2880"/>
    <w:rsid w:val="003E28FB"/>
    <w:rsid w:val="003E2A00"/>
    <w:rsid w:val="003E382C"/>
    <w:rsid w:val="003E3D00"/>
    <w:rsid w:val="003E4531"/>
    <w:rsid w:val="003E4771"/>
    <w:rsid w:val="003E54A8"/>
    <w:rsid w:val="003E5833"/>
    <w:rsid w:val="003E5DA8"/>
    <w:rsid w:val="003E7109"/>
    <w:rsid w:val="003E77DC"/>
    <w:rsid w:val="003E7BC1"/>
    <w:rsid w:val="003F0453"/>
    <w:rsid w:val="003F0C9F"/>
    <w:rsid w:val="003F144A"/>
    <w:rsid w:val="003F1B02"/>
    <w:rsid w:val="003F1EFE"/>
    <w:rsid w:val="003F2240"/>
    <w:rsid w:val="003F2460"/>
    <w:rsid w:val="003F2E7B"/>
    <w:rsid w:val="003F3CD5"/>
    <w:rsid w:val="003F4473"/>
    <w:rsid w:val="003F4CF5"/>
    <w:rsid w:val="003F4E31"/>
    <w:rsid w:val="003F51EE"/>
    <w:rsid w:val="003F574E"/>
    <w:rsid w:val="003F60D6"/>
    <w:rsid w:val="003F68E9"/>
    <w:rsid w:val="003F7E15"/>
    <w:rsid w:val="003F7FDA"/>
    <w:rsid w:val="00400E65"/>
    <w:rsid w:val="004013AD"/>
    <w:rsid w:val="00401E20"/>
    <w:rsid w:val="004021C0"/>
    <w:rsid w:val="004028CE"/>
    <w:rsid w:val="0040313D"/>
    <w:rsid w:val="004043FA"/>
    <w:rsid w:val="00404970"/>
    <w:rsid w:val="00405181"/>
    <w:rsid w:val="0040567F"/>
    <w:rsid w:val="00405873"/>
    <w:rsid w:val="00405F09"/>
    <w:rsid w:val="004066F4"/>
    <w:rsid w:val="00406A32"/>
    <w:rsid w:val="0040760B"/>
    <w:rsid w:val="00410117"/>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D68"/>
    <w:rsid w:val="00414FD9"/>
    <w:rsid w:val="00415773"/>
    <w:rsid w:val="00415CAE"/>
    <w:rsid w:val="00415EE7"/>
    <w:rsid w:val="004160FA"/>
    <w:rsid w:val="0041669E"/>
    <w:rsid w:val="00416ACA"/>
    <w:rsid w:val="00416C56"/>
    <w:rsid w:val="00417294"/>
    <w:rsid w:val="004176B8"/>
    <w:rsid w:val="00417B99"/>
    <w:rsid w:val="00417CE0"/>
    <w:rsid w:val="004209D5"/>
    <w:rsid w:val="00420FAF"/>
    <w:rsid w:val="00421184"/>
    <w:rsid w:val="004212C1"/>
    <w:rsid w:val="004214B7"/>
    <w:rsid w:val="00421FB5"/>
    <w:rsid w:val="004226ED"/>
    <w:rsid w:val="00422AF4"/>
    <w:rsid w:val="004235F4"/>
    <w:rsid w:val="004236C9"/>
    <w:rsid w:val="00423CF3"/>
    <w:rsid w:val="00423E18"/>
    <w:rsid w:val="004245E4"/>
    <w:rsid w:val="00424B7C"/>
    <w:rsid w:val="0042500C"/>
    <w:rsid w:val="00425514"/>
    <w:rsid w:val="004256BD"/>
    <w:rsid w:val="00425863"/>
    <w:rsid w:val="00425D02"/>
    <w:rsid w:val="00425EDC"/>
    <w:rsid w:val="00426C3E"/>
    <w:rsid w:val="004275CD"/>
    <w:rsid w:val="00427E74"/>
    <w:rsid w:val="00427FEB"/>
    <w:rsid w:val="00427FF2"/>
    <w:rsid w:val="004305C0"/>
    <w:rsid w:val="00430B20"/>
    <w:rsid w:val="00430B6C"/>
    <w:rsid w:val="0043227C"/>
    <w:rsid w:val="004335C0"/>
    <w:rsid w:val="00435121"/>
    <w:rsid w:val="00435715"/>
    <w:rsid w:val="0043571B"/>
    <w:rsid w:val="00435EE0"/>
    <w:rsid w:val="00435F29"/>
    <w:rsid w:val="0043610C"/>
    <w:rsid w:val="004366FF"/>
    <w:rsid w:val="00437D83"/>
    <w:rsid w:val="004401DD"/>
    <w:rsid w:val="00440344"/>
    <w:rsid w:val="00441264"/>
    <w:rsid w:val="00441B0F"/>
    <w:rsid w:val="004425C6"/>
    <w:rsid w:val="00443D5D"/>
    <w:rsid w:val="00445CBA"/>
    <w:rsid w:val="004463CB"/>
    <w:rsid w:val="004466F7"/>
    <w:rsid w:val="00446858"/>
    <w:rsid w:val="00447304"/>
    <w:rsid w:val="00447CDD"/>
    <w:rsid w:val="00450127"/>
    <w:rsid w:val="0045075F"/>
    <w:rsid w:val="004516AD"/>
    <w:rsid w:val="00451E84"/>
    <w:rsid w:val="00451EA3"/>
    <w:rsid w:val="00451F01"/>
    <w:rsid w:val="004546A7"/>
    <w:rsid w:val="00454831"/>
    <w:rsid w:val="004548DF"/>
    <w:rsid w:val="00456CC0"/>
    <w:rsid w:val="00457933"/>
    <w:rsid w:val="00457C78"/>
    <w:rsid w:val="00460735"/>
    <w:rsid w:val="00460AD5"/>
    <w:rsid w:val="00460EB8"/>
    <w:rsid w:val="00461090"/>
    <w:rsid w:val="00461991"/>
    <w:rsid w:val="00461C43"/>
    <w:rsid w:val="00462125"/>
    <w:rsid w:val="00463216"/>
    <w:rsid w:val="0046334D"/>
    <w:rsid w:val="00463C95"/>
    <w:rsid w:val="00463E1C"/>
    <w:rsid w:val="00464052"/>
    <w:rsid w:val="00465153"/>
    <w:rsid w:val="00465602"/>
    <w:rsid w:val="004656A4"/>
    <w:rsid w:val="00466AFD"/>
    <w:rsid w:val="00470696"/>
    <w:rsid w:val="00472177"/>
    <w:rsid w:val="00472234"/>
    <w:rsid w:val="004724C9"/>
    <w:rsid w:val="00472585"/>
    <w:rsid w:val="00474130"/>
    <w:rsid w:val="00474EDD"/>
    <w:rsid w:val="00475A6C"/>
    <w:rsid w:val="004764AF"/>
    <w:rsid w:val="00476D04"/>
    <w:rsid w:val="00476F58"/>
    <w:rsid w:val="0047775E"/>
    <w:rsid w:val="00477AAE"/>
    <w:rsid w:val="00477AF6"/>
    <w:rsid w:val="00477B3B"/>
    <w:rsid w:val="00477BCB"/>
    <w:rsid w:val="004801A7"/>
    <w:rsid w:val="00480E47"/>
    <w:rsid w:val="00481666"/>
    <w:rsid w:val="0048181B"/>
    <w:rsid w:val="00481F2B"/>
    <w:rsid w:val="004820C5"/>
    <w:rsid w:val="00482198"/>
    <w:rsid w:val="004823D8"/>
    <w:rsid w:val="00482F20"/>
    <w:rsid w:val="00483196"/>
    <w:rsid w:val="0048340F"/>
    <w:rsid w:val="0048423C"/>
    <w:rsid w:val="00484449"/>
    <w:rsid w:val="004852CE"/>
    <w:rsid w:val="0048540C"/>
    <w:rsid w:val="00485F92"/>
    <w:rsid w:val="004860BD"/>
    <w:rsid w:val="004866E1"/>
    <w:rsid w:val="00486C72"/>
    <w:rsid w:val="00490954"/>
    <w:rsid w:val="0049102F"/>
    <w:rsid w:val="0049277A"/>
    <w:rsid w:val="00492B38"/>
    <w:rsid w:val="00492FE4"/>
    <w:rsid w:val="00493035"/>
    <w:rsid w:val="00493321"/>
    <w:rsid w:val="004936DE"/>
    <w:rsid w:val="0049544E"/>
    <w:rsid w:val="00495670"/>
    <w:rsid w:val="0049567B"/>
    <w:rsid w:val="0049604B"/>
    <w:rsid w:val="00496AC9"/>
    <w:rsid w:val="004A040E"/>
    <w:rsid w:val="004A042D"/>
    <w:rsid w:val="004A11E0"/>
    <w:rsid w:val="004A1FC5"/>
    <w:rsid w:val="004A2158"/>
    <w:rsid w:val="004A29A5"/>
    <w:rsid w:val="004A3225"/>
    <w:rsid w:val="004A374A"/>
    <w:rsid w:val="004A395B"/>
    <w:rsid w:val="004A3C59"/>
    <w:rsid w:val="004A3FE2"/>
    <w:rsid w:val="004A4195"/>
    <w:rsid w:val="004A480D"/>
    <w:rsid w:val="004A4D76"/>
    <w:rsid w:val="004A5851"/>
    <w:rsid w:val="004A5A91"/>
    <w:rsid w:val="004A5B0F"/>
    <w:rsid w:val="004A5CF1"/>
    <w:rsid w:val="004A66E0"/>
    <w:rsid w:val="004A7AAE"/>
    <w:rsid w:val="004A7D49"/>
    <w:rsid w:val="004A7F21"/>
    <w:rsid w:val="004B08DB"/>
    <w:rsid w:val="004B1422"/>
    <w:rsid w:val="004B15DD"/>
    <w:rsid w:val="004B24EB"/>
    <w:rsid w:val="004B29AC"/>
    <w:rsid w:val="004B3C8B"/>
    <w:rsid w:val="004B44A9"/>
    <w:rsid w:val="004B4509"/>
    <w:rsid w:val="004B452A"/>
    <w:rsid w:val="004B4871"/>
    <w:rsid w:val="004B4ADF"/>
    <w:rsid w:val="004B4C00"/>
    <w:rsid w:val="004B4E06"/>
    <w:rsid w:val="004B5493"/>
    <w:rsid w:val="004B5914"/>
    <w:rsid w:val="004B6C77"/>
    <w:rsid w:val="004B6D0A"/>
    <w:rsid w:val="004B794C"/>
    <w:rsid w:val="004B7995"/>
    <w:rsid w:val="004C02B3"/>
    <w:rsid w:val="004C098E"/>
    <w:rsid w:val="004C0BBE"/>
    <w:rsid w:val="004C0E2F"/>
    <w:rsid w:val="004C222E"/>
    <w:rsid w:val="004C2561"/>
    <w:rsid w:val="004C2806"/>
    <w:rsid w:val="004C3ADD"/>
    <w:rsid w:val="004C428E"/>
    <w:rsid w:val="004C441A"/>
    <w:rsid w:val="004C4775"/>
    <w:rsid w:val="004C483D"/>
    <w:rsid w:val="004C48A9"/>
    <w:rsid w:val="004C4D05"/>
    <w:rsid w:val="004C590B"/>
    <w:rsid w:val="004C6017"/>
    <w:rsid w:val="004C63C7"/>
    <w:rsid w:val="004C6D39"/>
    <w:rsid w:val="004C6D98"/>
    <w:rsid w:val="004C7217"/>
    <w:rsid w:val="004C7743"/>
    <w:rsid w:val="004C77A7"/>
    <w:rsid w:val="004D039E"/>
    <w:rsid w:val="004D04A3"/>
    <w:rsid w:val="004D0C9F"/>
    <w:rsid w:val="004D15FD"/>
    <w:rsid w:val="004D1A0A"/>
    <w:rsid w:val="004D2369"/>
    <w:rsid w:val="004D2485"/>
    <w:rsid w:val="004D3A57"/>
    <w:rsid w:val="004D47FF"/>
    <w:rsid w:val="004D4D35"/>
    <w:rsid w:val="004D518F"/>
    <w:rsid w:val="004D54D7"/>
    <w:rsid w:val="004D5BB7"/>
    <w:rsid w:val="004D6053"/>
    <w:rsid w:val="004D6FA4"/>
    <w:rsid w:val="004D7C23"/>
    <w:rsid w:val="004E01C6"/>
    <w:rsid w:val="004E0212"/>
    <w:rsid w:val="004E0ADC"/>
    <w:rsid w:val="004E0FB1"/>
    <w:rsid w:val="004E1043"/>
    <w:rsid w:val="004E1DCA"/>
    <w:rsid w:val="004E21B4"/>
    <w:rsid w:val="004E252B"/>
    <w:rsid w:val="004E2861"/>
    <w:rsid w:val="004E2A85"/>
    <w:rsid w:val="004E3F72"/>
    <w:rsid w:val="004E4A78"/>
    <w:rsid w:val="004E551E"/>
    <w:rsid w:val="004E584D"/>
    <w:rsid w:val="004E58F6"/>
    <w:rsid w:val="004E5E37"/>
    <w:rsid w:val="004E5E4C"/>
    <w:rsid w:val="004E623E"/>
    <w:rsid w:val="004E6589"/>
    <w:rsid w:val="004E6CF9"/>
    <w:rsid w:val="004E734E"/>
    <w:rsid w:val="004E7EC0"/>
    <w:rsid w:val="004E7F48"/>
    <w:rsid w:val="004F014E"/>
    <w:rsid w:val="004F023B"/>
    <w:rsid w:val="004F0BC6"/>
    <w:rsid w:val="004F1123"/>
    <w:rsid w:val="004F1715"/>
    <w:rsid w:val="004F17DA"/>
    <w:rsid w:val="004F3BD2"/>
    <w:rsid w:val="004F4372"/>
    <w:rsid w:val="004F43E0"/>
    <w:rsid w:val="004F45EB"/>
    <w:rsid w:val="004F521B"/>
    <w:rsid w:val="004F52BB"/>
    <w:rsid w:val="004F5582"/>
    <w:rsid w:val="004F59B8"/>
    <w:rsid w:val="004F62A7"/>
    <w:rsid w:val="004F62F9"/>
    <w:rsid w:val="004F66B3"/>
    <w:rsid w:val="004F7352"/>
    <w:rsid w:val="004F7889"/>
    <w:rsid w:val="0050015C"/>
    <w:rsid w:val="00500418"/>
    <w:rsid w:val="005009EB"/>
    <w:rsid w:val="00500CCF"/>
    <w:rsid w:val="00500E62"/>
    <w:rsid w:val="005010DE"/>
    <w:rsid w:val="005011FD"/>
    <w:rsid w:val="0050164B"/>
    <w:rsid w:val="00502958"/>
    <w:rsid w:val="00502BD2"/>
    <w:rsid w:val="00502DA4"/>
    <w:rsid w:val="00503F83"/>
    <w:rsid w:val="0050421C"/>
    <w:rsid w:val="00504A9B"/>
    <w:rsid w:val="00504E9A"/>
    <w:rsid w:val="00504F83"/>
    <w:rsid w:val="005059B9"/>
    <w:rsid w:val="00505F64"/>
    <w:rsid w:val="00506DCD"/>
    <w:rsid w:val="00507325"/>
    <w:rsid w:val="00507C56"/>
    <w:rsid w:val="00507F13"/>
    <w:rsid w:val="005109D4"/>
    <w:rsid w:val="00510CF4"/>
    <w:rsid w:val="0051160A"/>
    <w:rsid w:val="005118BA"/>
    <w:rsid w:val="00512D87"/>
    <w:rsid w:val="005130DA"/>
    <w:rsid w:val="00513DDA"/>
    <w:rsid w:val="00513E19"/>
    <w:rsid w:val="005148B4"/>
    <w:rsid w:val="00514B29"/>
    <w:rsid w:val="005152B1"/>
    <w:rsid w:val="005152F0"/>
    <w:rsid w:val="00515856"/>
    <w:rsid w:val="005163E6"/>
    <w:rsid w:val="005172EC"/>
    <w:rsid w:val="0051740D"/>
    <w:rsid w:val="005178CE"/>
    <w:rsid w:val="00521356"/>
    <w:rsid w:val="00521CAB"/>
    <w:rsid w:val="005224EF"/>
    <w:rsid w:val="00522654"/>
    <w:rsid w:val="00522835"/>
    <w:rsid w:val="0052293D"/>
    <w:rsid w:val="00522AF4"/>
    <w:rsid w:val="00523499"/>
    <w:rsid w:val="00523BC7"/>
    <w:rsid w:val="00523C08"/>
    <w:rsid w:val="00523C10"/>
    <w:rsid w:val="00523E23"/>
    <w:rsid w:val="005245D5"/>
    <w:rsid w:val="005247FE"/>
    <w:rsid w:val="00524889"/>
    <w:rsid w:val="0052575D"/>
    <w:rsid w:val="00525A53"/>
    <w:rsid w:val="00526569"/>
    <w:rsid w:val="00526726"/>
    <w:rsid w:val="00526F91"/>
    <w:rsid w:val="00527256"/>
    <w:rsid w:val="00527B57"/>
    <w:rsid w:val="00527C8D"/>
    <w:rsid w:val="00527C9C"/>
    <w:rsid w:val="00530AC4"/>
    <w:rsid w:val="00531F7B"/>
    <w:rsid w:val="0053309E"/>
    <w:rsid w:val="00533169"/>
    <w:rsid w:val="00533194"/>
    <w:rsid w:val="005332C8"/>
    <w:rsid w:val="0053464E"/>
    <w:rsid w:val="005352C8"/>
    <w:rsid w:val="005354C1"/>
    <w:rsid w:val="00535E7A"/>
    <w:rsid w:val="00535F99"/>
    <w:rsid w:val="00536356"/>
    <w:rsid w:val="00536CBB"/>
    <w:rsid w:val="00536DDD"/>
    <w:rsid w:val="00537033"/>
    <w:rsid w:val="00540A37"/>
    <w:rsid w:val="00540B49"/>
    <w:rsid w:val="005418DB"/>
    <w:rsid w:val="005434EA"/>
    <w:rsid w:val="00545D55"/>
    <w:rsid w:val="005461AB"/>
    <w:rsid w:val="00546C6A"/>
    <w:rsid w:val="00546FBA"/>
    <w:rsid w:val="00547F04"/>
    <w:rsid w:val="00550924"/>
    <w:rsid w:val="00550D63"/>
    <w:rsid w:val="00550EF1"/>
    <w:rsid w:val="00551075"/>
    <w:rsid w:val="005513C8"/>
    <w:rsid w:val="005521D2"/>
    <w:rsid w:val="0055236E"/>
    <w:rsid w:val="0055352C"/>
    <w:rsid w:val="005538A6"/>
    <w:rsid w:val="005539A0"/>
    <w:rsid w:val="00554F94"/>
    <w:rsid w:val="00555161"/>
    <w:rsid w:val="00555DE6"/>
    <w:rsid w:val="00555EB3"/>
    <w:rsid w:val="005567F6"/>
    <w:rsid w:val="00556E29"/>
    <w:rsid w:val="00557474"/>
    <w:rsid w:val="00557DAA"/>
    <w:rsid w:val="00557DAD"/>
    <w:rsid w:val="00561138"/>
    <w:rsid w:val="00561699"/>
    <w:rsid w:val="0056194F"/>
    <w:rsid w:val="005619E1"/>
    <w:rsid w:val="00562629"/>
    <w:rsid w:val="005628FE"/>
    <w:rsid w:val="0056364B"/>
    <w:rsid w:val="00564191"/>
    <w:rsid w:val="00564557"/>
    <w:rsid w:val="0056458C"/>
    <w:rsid w:val="00564628"/>
    <w:rsid w:val="005648B9"/>
    <w:rsid w:val="00564A3C"/>
    <w:rsid w:val="00564F82"/>
    <w:rsid w:val="005653AF"/>
    <w:rsid w:val="00565501"/>
    <w:rsid w:val="00565755"/>
    <w:rsid w:val="0056601E"/>
    <w:rsid w:val="00566406"/>
    <w:rsid w:val="00566538"/>
    <w:rsid w:val="0056725A"/>
    <w:rsid w:val="0056741F"/>
    <w:rsid w:val="00567647"/>
    <w:rsid w:val="0056781B"/>
    <w:rsid w:val="00567BE2"/>
    <w:rsid w:val="00570102"/>
    <w:rsid w:val="00570505"/>
    <w:rsid w:val="005712E6"/>
    <w:rsid w:val="00572942"/>
    <w:rsid w:val="005730DB"/>
    <w:rsid w:val="00573251"/>
    <w:rsid w:val="005733A8"/>
    <w:rsid w:val="00573B5B"/>
    <w:rsid w:val="00573F55"/>
    <w:rsid w:val="0057540E"/>
    <w:rsid w:val="005757B6"/>
    <w:rsid w:val="0058000F"/>
    <w:rsid w:val="00580557"/>
    <w:rsid w:val="0058074F"/>
    <w:rsid w:val="00580A76"/>
    <w:rsid w:val="00581042"/>
    <w:rsid w:val="00581703"/>
    <w:rsid w:val="00581B15"/>
    <w:rsid w:val="005821DD"/>
    <w:rsid w:val="00583908"/>
    <w:rsid w:val="00584757"/>
    <w:rsid w:val="00584E21"/>
    <w:rsid w:val="0058608B"/>
    <w:rsid w:val="005863C1"/>
    <w:rsid w:val="0058654D"/>
    <w:rsid w:val="00586786"/>
    <w:rsid w:val="00587729"/>
    <w:rsid w:val="00587886"/>
    <w:rsid w:val="00587A66"/>
    <w:rsid w:val="00590147"/>
    <w:rsid w:val="00590BD1"/>
    <w:rsid w:val="00590D26"/>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B8A"/>
    <w:rsid w:val="00595009"/>
    <w:rsid w:val="005954B7"/>
    <w:rsid w:val="00595A05"/>
    <w:rsid w:val="00595F17"/>
    <w:rsid w:val="00595F3D"/>
    <w:rsid w:val="00595F89"/>
    <w:rsid w:val="00596873"/>
    <w:rsid w:val="00596BB3"/>
    <w:rsid w:val="00596BD4"/>
    <w:rsid w:val="00596FA8"/>
    <w:rsid w:val="005971A7"/>
    <w:rsid w:val="00597310"/>
    <w:rsid w:val="005977AB"/>
    <w:rsid w:val="005A01C5"/>
    <w:rsid w:val="005A0532"/>
    <w:rsid w:val="005A07E7"/>
    <w:rsid w:val="005A0A57"/>
    <w:rsid w:val="005A0B9F"/>
    <w:rsid w:val="005A0DBB"/>
    <w:rsid w:val="005A0EBD"/>
    <w:rsid w:val="005A1270"/>
    <w:rsid w:val="005A1295"/>
    <w:rsid w:val="005A1FBF"/>
    <w:rsid w:val="005A29B1"/>
    <w:rsid w:val="005A2EBF"/>
    <w:rsid w:val="005A380B"/>
    <w:rsid w:val="005A4890"/>
    <w:rsid w:val="005A49D4"/>
    <w:rsid w:val="005A4D7C"/>
    <w:rsid w:val="005A51C9"/>
    <w:rsid w:val="005A5A96"/>
    <w:rsid w:val="005A5DC0"/>
    <w:rsid w:val="005A6B6D"/>
    <w:rsid w:val="005A6ED5"/>
    <w:rsid w:val="005A6F0E"/>
    <w:rsid w:val="005A6F57"/>
    <w:rsid w:val="005A7235"/>
    <w:rsid w:val="005A795B"/>
    <w:rsid w:val="005A7BAF"/>
    <w:rsid w:val="005B05FA"/>
    <w:rsid w:val="005B0652"/>
    <w:rsid w:val="005B1213"/>
    <w:rsid w:val="005B1B55"/>
    <w:rsid w:val="005B1DBD"/>
    <w:rsid w:val="005B26B0"/>
    <w:rsid w:val="005B3EBD"/>
    <w:rsid w:val="005B48E8"/>
    <w:rsid w:val="005B56D9"/>
    <w:rsid w:val="005B5BA3"/>
    <w:rsid w:val="005B5E62"/>
    <w:rsid w:val="005B7E97"/>
    <w:rsid w:val="005B7F46"/>
    <w:rsid w:val="005C09A7"/>
    <w:rsid w:val="005C102D"/>
    <w:rsid w:val="005C132C"/>
    <w:rsid w:val="005C17FB"/>
    <w:rsid w:val="005C1833"/>
    <w:rsid w:val="005C1838"/>
    <w:rsid w:val="005C18C2"/>
    <w:rsid w:val="005C2063"/>
    <w:rsid w:val="005C244F"/>
    <w:rsid w:val="005C2767"/>
    <w:rsid w:val="005C2922"/>
    <w:rsid w:val="005C2F60"/>
    <w:rsid w:val="005C323D"/>
    <w:rsid w:val="005C3772"/>
    <w:rsid w:val="005C39C3"/>
    <w:rsid w:val="005C4229"/>
    <w:rsid w:val="005C4580"/>
    <w:rsid w:val="005C5065"/>
    <w:rsid w:val="005C52F3"/>
    <w:rsid w:val="005C564C"/>
    <w:rsid w:val="005C6234"/>
    <w:rsid w:val="005C6605"/>
    <w:rsid w:val="005C71A0"/>
    <w:rsid w:val="005C7802"/>
    <w:rsid w:val="005C7B50"/>
    <w:rsid w:val="005D029E"/>
    <w:rsid w:val="005D0427"/>
    <w:rsid w:val="005D0776"/>
    <w:rsid w:val="005D07AE"/>
    <w:rsid w:val="005D0C83"/>
    <w:rsid w:val="005D113B"/>
    <w:rsid w:val="005D1732"/>
    <w:rsid w:val="005D2D9A"/>
    <w:rsid w:val="005D3A6E"/>
    <w:rsid w:val="005D3B21"/>
    <w:rsid w:val="005D4019"/>
    <w:rsid w:val="005D41DC"/>
    <w:rsid w:val="005D460F"/>
    <w:rsid w:val="005D4DC5"/>
    <w:rsid w:val="005D5442"/>
    <w:rsid w:val="005D5C22"/>
    <w:rsid w:val="005D5E6C"/>
    <w:rsid w:val="005D63A9"/>
    <w:rsid w:val="005D65D5"/>
    <w:rsid w:val="005D6C56"/>
    <w:rsid w:val="005D6F49"/>
    <w:rsid w:val="005D7E8A"/>
    <w:rsid w:val="005E06FA"/>
    <w:rsid w:val="005E11A5"/>
    <w:rsid w:val="005E13D4"/>
    <w:rsid w:val="005E1435"/>
    <w:rsid w:val="005E21F3"/>
    <w:rsid w:val="005E235C"/>
    <w:rsid w:val="005E3078"/>
    <w:rsid w:val="005E34C0"/>
    <w:rsid w:val="005E45F3"/>
    <w:rsid w:val="005E49CA"/>
    <w:rsid w:val="005E5384"/>
    <w:rsid w:val="005E5427"/>
    <w:rsid w:val="005E5428"/>
    <w:rsid w:val="005E5A7C"/>
    <w:rsid w:val="005E5C33"/>
    <w:rsid w:val="005E6976"/>
    <w:rsid w:val="005E703B"/>
    <w:rsid w:val="005E721A"/>
    <w:rsid w:val="005E74EC"/>
    <w:rsid w:val="005E7AB6"/>
    <w:rsid w:val="005E7B1E"/>
    <w:rsid w:val="005E7CBC"/>
    <w:rsid w:val="005F0A62"/>
    <w:rsid w:val="005F0FA8"/>
    <w:rsid w:val="005F1C5D"/>
    <w:rsid w:val="005F2317"/>
    <w:rsid w:val="005F2550"/>
    <w:rsid w:val="005F2B2D"/>
    <w:rsid w:val="005F2FD5"/>
    <w:rsid w:val="005F340A"/>
    <w:rsid w:val="005F3AE8"/>
    <w:rsid w:val="005F3B09"/>
    <w:rsid w:val="005F3B47"/>
    <w:rsid w:val="005F47C1"/>
    <w:rsid w:val="005F4926"/>
    <w:rsid w:val="005F4B6F"/>
    <w:rsid w:val="005F5009"/>
    <w:rsid w:val="005F5054"/>
    <w:rsid w:val="005F530F"/>
    <w:rsid w:val="005F65D9"/>
    <w:rsid w:val="005F6768"/>
    <w:rsid w:val="005F69CF"/>
    <w:rsid w:val="005F6E39"/>
    <w:rsid w:val="005F6E58"/>
    <w:rsid w:val="005F704C"/>
    <w:rsid w:val="005F7A22"/>
    <w:rsid w:val="005F7B9D"/>
    <w:rsid w:val="00600501"/>
    <w:rsid w:val="00600B0C"/>
    <w:rsid w:val="00602DFA"/>
    <w:rsid w:val="006031D1"/>
    <w:rsid w:val="006033BF"/>
    <w:rsid w:val="00603702"/>
    <w:rsid w:val="00603B4B"/>
    <w:rsid w:val="00603F20"/>
    <w:rsid w:val="00604F37"/>
    <w:rsid w:val="0060508A"/>
    <w:rsid w:val="006055AF"/>
    <w:rsid w:val="00605942"/>
    <w:rsid w:val="00605C9F"/>
    <w:rsid w:val="006068E8"/>
    <w:rsid w:val="00606ADB"/>
    <w:rsid w:val="006072DE"/>
    <w:rsid w:val="006075F4"/>
    <w:rsid w:val="006078A8"/>
    <w:rsid w:val="00607BAD"/>
    <w:rsid w:val="00607EC7"/>
    <w:rsid w:val="0061048A"/>
    <w:rsid w:val="00610AE7"/>
    <w:rsid w:val="00611178"/>
    <w:rsid w:val="0061148D"/>
    <w:rsid w:val="00611D01"/>
    <w:rsid w:val="006122EC"/>
    <w:rsid w:val="006124B3"/>
    <w:rsid w:val="00612611"/>
    <w:rsid w:val="0061279A"/>
    <w:rsid w:val="00613009"/>
    <w:rsid w:val="006132EA"/>
    <w:rsid w:val="00613CA5"/>
    <w:rsid w:val="0061401C"/>
    <w:rsid w:val="0061420B"/>
    <w:rsid w:val="00614D33"/>
    <w:rsid w:val="0061537D"/>
    <w:rsid w:val="0061537F"/>
    <w:rsid w:val="006156D7"/>
    <w:rsid w:val="00615DEA"/>
    <w:rsid w:val="00616A60"/>
    <w:rsid w:val="00616EE6"/>
    <w:rsid w:val="006171FB"/>
    <w:rsid w:val="00617A2A"/>
    <w:rsid w:val="006207F4"/>
    <w:rsid w:val="00620C67"/>
    <w:rsid w:val="00621646"/>
    <w:rsid w:val="00621803"/>
    <w:rsid w:val="006220F1"/>
    <w:rsid w:val="00623E46"/>
    <w:rsid w:val="00624604"/>
    <w:rsid w:val="00624D2C"/>
    <w:rsid w:val="00624F7F"/>
    <w:rsid w:val="00625145"/>
    <w:rsid w:val="00626768"/>
    <w:rsid w:val="00627402"/>
    <w:rsid w:val="00627474"/>
    <w:rsid w:val="00630480"/>
    <w:rsid w:val="0063058E"/>
    <w:rsid w:val="006305F8"/>
    <w:rsid w:val="0063197B"/>
    <w:rsid w:val="00631DA7"/>
    <w:rsid w:val="006327BB"/>
    <w:rsid w:val="00632B9C"/>
    <w:rsid w:val="00632F18"/>
    <w:rsid w:val="006332D7"/>
    <w:rsid w:val="0063333D"/>
    <w:rsid w:val="00634225"/>
    <w:rsid w:val="00635003"/>
    <w:rsid w:val="006351CE"/>
    <w:rsid w:val="006352FD"/>
    <w:rsid w:val="00635B15"/>
    <w:rsid w:val="00636037"/>
    <w:rsid w:val="006362E1"/>
    <w:rsid w:val="006367DA"/>
    <w:rsid w:val="006370E1"/>
    <w:rsid w:val="00637382"/>
    <w:rsid w:val="006375B2"/>
    <w:rsid w:val="006375BB"/>
    <w:rsid w:val="006409EE"/>
    <w:rsid w:val="00640BF7"/>
    <w:rsid w:val="00640FFF"/>
    <w:rsid w:val="00641761"/>
    <w:rsid w:val="006425FC"/>
    <w:rsid w:val="00642631"/>
    <w:rsid w:val="00642DF5"/>
    <w:rsid w:val="0064304A"/>
    <w:rsid w:val="0064380B"/>
    <w:rsid w:val="00643A4F"/>
    <w:rsid w:val="00643FF5"/>
    <w:rsid w:val="006441FD"/>
    <w:rsid w:val="00644E5A"/>
    <w:rsid w:val="00644F2C"/>
    <w:rsid w:val="00645141"/>
    <w:rsid w:val="00645AEE"/>
    <w:rsid w:val="00646428"/>
    <w:rsid w:val="0064707F"/>
    <w:rsid w:val="006471E8"/>
    <w:rsid w:val="00647E90"/>
    <w:rsid w:val="00647FA3"/>
    <w:rsid w:val="006500F7"/>
    <w:rsid w:val="00650769"/>
    <w:rsid w:val="006516B7"/>
    <w:rsid w:val="006518E4"/>
    <w:rsid w:val="00651FB8"/>
    <w:rsid w:val="0065239B"/>
    <w:rsid w:val="00652BA0"/>
    <w:rsid w:val="00653045"/>
    <w:rsid w:val="00653A25"/>
    <w:rsid w:val="00653D93"/>
    <w:rsid w:val="00653FDA"/>
    <w:rsid w:val="006541A0"/>
    <w:rsid w:val="00654E99"/>
    <w:rsid w:val="00655104"/>
    <w:rsid w:val="0065548F"/>
    <w:rsid w:val="00655633"/>
    <w:rsid w:val="006559BB"/>
    <w:rsid w:val="00655D93"/>
    <w:rsid w:val="00655E86"/>
    <w:rsid w:val="00656614"/>
    <w:rsid w:val="00656C4D"/>
    <w:rsid w:val="006577CD"/>
    <w:rsid w:val="00657CCC"/>
    <w:rsid w:val="00660162"/>
    <w:rsid w:val="0066036D"/>
    <w:rsid w:val="006604FA"/>
    <w:rsid w:val="00660879"/>
    <w:rsid w:val="00660B3F"/>
    <w:rsid w:val="00661639"/>
    <w:rsid w:val="00661655"/>
    <w:rsid w:val="0066174D"/>
    <w:rsid w:val="00661E36"/>
    <w:rsid w:val="006631D3"/>
    <w:rsid w:val="00663D0F"/>
    <w:rsid w:val="00664525"/>
    <w:rsid w:val="0066465B"/>
    <w:rsid w:val="00664C81"/>
    <w:rsid w:val="0066504B"/>
    <w:rsid w:val="0066521A"/>
    <w:rsid w:val="0066540C"/>
    <w:rsid w:val="00665EAE"/>
    <w:rsid w:val="006661EA"/>
    <w:rsid w:val="00666909"/>
    <w:rsid w:val="00666EBC"/>
    <w:rsid w:val="00667189"/>
    <w:rsid w:val="0066749E"/>
    <w:rsid w:val="00667CCB"/>
    <w:rsid w:val="00667EFD"/>
    <w:rsid w:val="00670475"/>
    <w:rsid w:val="00670B8C"/>
    <w:rsid w:val="00670C4A"/>
    <w:rsid w:val="00671F3E"/>
    <w:rsid w:val="00672482"/>
    <w:rsid w:val="00672A18"/>
    <w:rsid w:val="006735D0"/>
    <w:rsid w:val="006739E9"/>
    <w:rsid w:val="00674D52"/>
    <w:rsid w:val="00674F93"/>
    <w:rsid w:val="0067546F"/>
    <w:rsid w:val="00676CE4"/>
    <w:rsid w:val="00676EC2"/>
    <w:rsid w:val="00676FA5"/>
    <w:rsid w:val="006771A4"/>
    <w:rsid w:val="006771AD"/>
    <w:rsid w:val="006774A8"/>
    <w:rsid w:val="00677572"/>
    <w:rsid w:val="00681229"/>
    <w:rsid w:val="0068185E"/>
    <w:rsid w:val="00681BE5"/>
    <w:rsid w:val="00681E30"/>
    <w:rsid w:val="0068379B"/>
    <w:rsid w:val="00683D98"/>
    <w:rsid w:val="00683D99"/>
    <w:rsid w:val="00684079"/>
    <w:rsid w:val="006848EE"/>
    <w:rsid w:val="0068629B"/>
    <w:rsid w:val="00686425"/>
    <w:rsid w:val="00686C12"/>
    <w:rsid w:val="00686D75"/>
    <w:rsid w:val="0068736A"/>
    <w:rsid w:val="00687D17"/>
    <w:rsid w:val="00690024"/>
    <w:rsid w:val="006903A4"/>
    <w:rsid w:val="00690CAA"/>
    <w:rsid w:val="00690EFB"/>
    <w:rsid w:val="0069137B"/>
    <w:rsid w:val="006913EC"/>
    <w:rsid w:val="006914B7"/>
    <w:rsid w:val="00691742"/>
    <w:rsid w:val="00691DEE"/>
    <w:rsid w:val="00692242"/>
    <w:rsid w:val="0069236E"/>
    <w:rsid w:val="00692704"/>
    <w:rsid w:val="00692E67"/>
    <w:rsid w:val="00693ACF"/>
    <w:rsid w:val="00693EE5"/>
    <w:rsid w:val="006944C5"/>
    <w:rsid w:val="00694B8D"/>
    <w:rsid w:val="0069561C"/>
    <w:rsid w:val="00695634"/>
    <w:rsid w:val="0069600D"/>
    <w:rsid w:val="006963AE"/>
    <w:rsid w:val="00697053"/>
    <w:rsid w:val="006A066A"/>
    <w:rsid w:val="006A06CA"/>
    <w:rsid w:val="006A083E"/>
    <w:rsid w:val="006A0FFD"/>
    <w:rsid w:val="006A1170"/>
    <w:rsid w:val="006A14A3"/>
    <w:rsid w:val="006A159D"/>
    <w:rsid w:val="006A18BF"/>
    <w:rsid w:val="006A1F58"/>
    <w:rsid w:val="006A242E"/>
    <w:rsid w:val="006A26AB"/>
    <w:rsid w:val="006A298D"/>
    <w:rsid w:val="006A2F80"/>
    <w:rsid w:val="006A3FD6"/>
    <w:rsid w:val="006A4076"/>
    <w:rsid w:val="006A436F"/>
    <w:rsid w:val="006A4E5B"/>
    <w:rsid w:val="006A59D8"/>
    <w:rsid w:val="006A6B7B"/>
    <w:rsid w:val="006A78F8"/>
    <w:rsid w:val="006A7C26"/>
    <w:rsid w:val="006A7E27"/>
    <w:rsid w:val="006B010E"/>
    <w:rsid w:val="006B091F"/>
    <w:rsid w:val="006B0CAF"/>
    <w:rsid w:val="006B0ED0"/>
    <w:rsid w:val="006B0EED"/>
    <w:rsid w:val="006B147E"/>
    <w:rsid w:val="006B1DF6"/>
    <w:rsid w:val="006B233F"/>
    <w:rsid w:val="006B275E"/>
    <w:rsid w:val="006B28EA"/>
    <w:rsid w:val="006B2DA3"/>
    <w:rsid w:val="006B2FBB"/>
    <w:rsid w:val="006B378A"/>
    <w:rsid w:val="006B3BD5"/>
    <w:rsid w:val="006B4185"/>
    <w:rsid w:val="006B4224"/>
    <w:rsid w:val="006B4493"/>
    <w:rsid w:val="006B4B62"/>
    <w:rsid w:val="006B53DC"/>
    <w:rsid w:val="006B5423"/>
    <w:rsid w:val="006B5855"/>
    <w:rsid w:val="006B5AB2"/>
    <w:rsid w:val="006B5C67"/>
    <w:rsid w:val="006B6B5D"/>
    <w:rsid w:val="006B6C0D"/>
    <w:rsid w:val="006C1818"/>
    <w:rsid w:val="006C1F8B"/>
    <w:rsid w:val="006C2721"/>
    <w:rsid w:val="006C3868"/>
    <w:rsid w:val="006C38FF"/>
    <w:rsid w:val="006C3E6E"/>
    <w:rsid w:val="006C3EEA"/>
    <w:rsid w:val="006C3F92"/>
    <w:rsid w:val="006C43A6"/>
    <w:rsid w:val="006C4A4A"/>
    <w:rsid w:val="006C53EB"/>
    <w:rsid w:val="006C5434"/>
    <w:rsid w:val="006C5D29"/>
    <w:rsid w:val="006C650D"/>
    <w:rsid w:val="006C69A5"/>
    <w:rsid w:val="006C7740"/>
    <w:rsid w:val="006D0389"/>
    <w:rsid w:val="006D0848"/>
    <w:rsid w:val="006D0BA5"/>
    <w:rsid w:val="006D0C15"/>
    <w:rsid w:val="006D0D8B"/>
    <w:rsid w:val="006D0FBF"/>
    <w:rsid w:val="006D10DC"/>
    <w:rsid w:val="006D1586"/>
    <w:rsid w:val="006D19C1"/>
    <w:rsid w:val="006D2827"/>
    <w:rsid w:val="006D2848"/>
    <w:rsid w:val="006D2B19"/>
    <w:rsid w:val="006D2EC9"/>
    <w:rsid w:val="006D3A05"/>
    <w:rsid w:val="006D3B62"/>
    <w:rsid w:val="006D3FDF"/>
    <w:rsid w:val="006D4527"/>
    <w:rsid w:val="006D4B05"/>
    <w:rsid w:val="006D4F86"/>
    <w:rsid w:val="006D5F98"/>
    <w:rsid w:val="006D6665"/>
    <w:rsid w:val="006D7098"/>
    <w:rsid w:val="006D740E"/>
    <w:rsid w:val="006D7F72"/>
    <w:rsid w:val="006E00B7"/>
    <w:rsid w:val="006E0E5B"/>
    <w:rsid w:val="006E3023"/>
    <w:rsid w:val="006E3369"/>
    <w:rsid w:val="006E3D12"/>
    <w:rsid w:val="006E449C"/>
    <w:rsid w:val="006E4726"/>
    <w:rsid w:val="006E4E72"/>
    <w:rsid w:val="006E50D0"/>
    <w:rsid w:val="006E663E"/>
    <w:rsid w:val="006E6EDF"/>
    <w:rsid w:val="006E7BA5"/>
    <w:rsid w:val="006F01E8"/>
    <w:rsid w:val="006F02D7"/>
    <w:rsid w:val="006F0EBB"/>
    <w:rsid w:val="006F1E96"/>
    <w:rsid w:val="006F2D24"/>
    <w:rsid w:val="006F37F7"/>
    <w:rsid w:val="006F3909"/>
    <w:rsid w:val="006F4036"/>
    <w:rsid w:val="006F428E"/>
    <w:rsid w:val="006F48E1"/>
    <w:rsid w:val="006F4FA0"/>
    <w:rsid w:val="006F5160"/>
    <w:rsid w:val="006F5374"/>
    <w:rsid w:val="006F60DF"/>
    <w:rsid w:val="006F6766"/>
    <w:rsid w:val="006F68C1"/>
    <w:rsid w:val="006F6CE2"/>
    <w:rsid w:val="006F6E10"/>
    <w:rsid w:val="007014F8"/>
    <w:rsid w:val="0070150D"/>
    <w:rsid w:val="007016D2"/>
    <w:rsid w:val="007018D8"/>
    <w:rsid w:val="00701979"/>
    <w:rsid w:val="007029E8"/>
    <w:rsid w:val="00703107"/>
    <w:rsid w:val="00703138"/>
    <w:rsid w:val="00703277"/>
    <w:rsid w:val="0070356D"/>
    <w:rsid w:val="00703981"/>
    <w:rsid w:val="00703CDF"/>
    <w:rsid w:val="00703D7E"/>
    <w:rsid w:val="0070495F"/>
    <w:rsid w:val="00704B6E"/>
    <w:rsid w:val="00704F73"/>
    <w:rsid w:val="0070508D"/>
    <w:rsid w:val="0070542E"/>
    <w:rsid w:val="00705E73"/>
    <w:rsid w:val="007060D4"/>
    <w:rsid w:val="0070624C"/>
    <w:rsid w:val="00706451"/>
    <w:rsid w:val="00707E0F"/>
    <w:rsid w:val="0071068A"/>
    <w:rsid w:val="00710E19"/>
    <w:rsid w:val="00710E52"/>
    <w:rsid w:val="0071154B"/>
    <w:rsid w:val="0071174F"/>
    <w:rsid w:val="0071196A"/>
    <w:rsid w:val="007131CF"/>
    <w:rsid w:val="007133C0"/>
    <w:rsid w:val="00713613"/>
    <w:rsid w:val="007137C6"/>
    <w:rsid w:val="007138FC"/>
    <w:rsid w:val="0071393D"/>
    <w:rsid w:val="00713E79"/>
    <w:rsid w:val="00714245"/>
    <w:rsid w:val="00715441"/>
    <w:rsid w:val="00715739"/>
    <w:rsid w:val="0071576C"/>
    <w:rsid w:val="00715C94"/>
    <w:rsid w:val="007165F0"/>
    <w:rsid w:val="00716A09"/>
    <w:rsid w:val="007170DB"/>
    <w:rsid w:val="00717880"/>
    <w:rsid w:val="00717CA8"/>
    <w:rsid w:val="007205E7"/>
    <w:rsid w:val="007209C4"/>
    <w:rsid w:val="00721E9E"/>
    <w:rsid w:val="007227FE"/>
    <w:rsid w:val="007233C3"/>
    <w:rsid w:val="00723C95"/>
    <w:rsid w:val="007244E7"/>
    <w:rsid w:val="0072505F"/>
    <w:rsid w:val="00725B00"/>
    <w:rsid w:val="0072680C"/>
    <w:rsid w:val="00726B3D"/>
    <w:rsid w:val="00726C64"/>
    <w:rsid w:val="007310B7"/>
    <w:rsid w:val="00731237"/>
    <w:rsid w:val="0073207E"/>
    <w:rsid w:val="00732523"/>
    <w:rsid w:val="00732664"/>
    <w:rsid w:val="00732BA7"/>
    <w:rsid w:val="00733184"/>
    <w:rsid w:val="007333EA"/>
    <w:rsid w:val="00733601"/>
    <w:rsid w:val="00733A57"/>
    <w:rsid w:val="00733F36"/>
    <w:rsid w:val="007340CE"/>
    <w:rsid w:val="00734781"/>
    <w:rsid w:val="007349FC"/>
    <w:rsid w:val="00734B6F"/>
    <w:rsid w:val="00735293"/>
    <w:rsid w:val="00735376"/>
    <w:rsid w:val="007363EA"/>
    <w:rsid w:val="00736A02"/>
    <w:rsid w:val="00736E06"/>
    <w:rsid w:val="00736E37"/>
    <w:rsid w:val="00737286"/>
    <w:rsid w:val="007373DB"/>
    <w:rsid w:val="00737F27"/>
    <w:rsid w:val="00737FD3"/>
    <w:rsid w:val="007407DB"/>
    <w:rsid w:val="00740BFC"/>
    <w:rsid w:val="00740F76"/>
    <w:rsid w:val="00741037"/>
    <w:rsid w:val="007422B3"/>
    <w:rsid w:val="007424BF"/>
    <w:rsid w:val="007435F1"/>
    <w:rsid w:val="00743DDD"/>
    <w:rsid w:val="00744625"/>
    <w:rsid w:val="007446BB"/>
    <w:rsid w:val="00745882"/>
    <w:rsid w:val="00745A04"/>
    <w:rsid w:val="00745A0F"/>
    <w:rsid w:val="00745DFD"/>
    <w:rsid w:val="00746197"/>
    <w:rsid w:val="0074689C"/>
    <w:rsid w:val="00746B3F"/>
    <w:rsid w:val="00747117"/>
    <w:rsid w:val="007479C2"/>
    <w:rsid w:val="00747B0D"/>
    <w:rsid w:val="00751452"/>
    <w:rsid w:val="007521A5"/>
    <w:rsid w:val="00753959"/>
    <w:rsid w:val="00753DD6"/>
    <w:rsid w:val="00754A4A"/>
    <w:rsid w:val="007566FB"/>
    <w:rsid w:val="007567A8"/>
    <w:rsid w:val="00756D6A"/>
    <w:rsid w:val="0076043F"/>
    <w:rsid w:val="00760F66"/>
    <w:rsid w:val="007611F8"/>
    <w:rsid w:val="00761200"/>
    <w:rsid w:val="00761931"/>
    <w:rsid w:val="00761BD1"/>
    <w:rsid w:val="007627BA"/>
    <w:rsid w:val="0076291E"/>
    <w:rsid w:val="00762D81"/>
    <w:rsid w:val="0076317B"/>
    <w:rsid w:val="007643D5"/>
    <w:rsid w:val="00765366"/>
    <w:rsid w:val="00765914"/>
    <w:rsid w:val="0076614D"/>
    <w:rsid w:val="0076624C"/>
    <w:rsid w:val="0076627D"/>
    <w:rsid w:val="00766304"/>
    <w:rsid w:val="00767A28"/>
    <w:rsid w:val="00767DD2"/>
    <w:rsid w:val="0077082B"/>
    <w:rsid w:val="00770E60"/>
    <w:rsid w:val="00771C8F"/>
    <w:rsid w:val="0077266E"/>
    <w:rsid w:val="0077292E"/>
    <w:rsid w:val="007737D4"/>
    <w:rsid w:val="007737D8"/>
    <w:rsid w:val="0077391C"/>
    <w:rsid w:val="00773D24"/>
    <w:rsid w:val="00774576"/>
    <w:rsid w:val="007745DA"/>
    <w:rsid w:val="0077508A"/>
    <w:rsid w:val="00775475"/>
    <w:rsid w:val="00775567"/>
    <w:rsid w:val="00775E0D"/>
    <w:rsid w:val="00776343"/>
    <w:rsid w:val="00776416"/>
    <w:rsid w:val="00776C7B"/>
    <w:rsid w:val="00776CEF"/>
    <w:rsid w:val="00777E7E"/>
    <w:rsid w:val="007804DD"/>
    <w:rsid w:val="00780F3B"/>
    <w:rsid w:val="0078115B"/>
    <w:rsid w:val="007816EE"/>
    <w:rsid w:val="00782071"/>
    <w:rsid w:val="00782946"/>
    <w:rsid w:val="00782ECD"/>
    <w:rsid w:val="0078363B"/>
    <w:rsid w:val="00783CCF"/>
    <w:rsid w:val="00783F5B"/>
    <w:rsid w:val="00784609"/>
    <w:rsid w:val="00784720"/>
    <w:rsid w:val="0078481D"/>
    <w:rsid w:val="007859FC"/>
    <w:rsid w:val="00785F4C"/>
    <w:rsid w:val="0078609C"/>
    <w:rsid w:val="00786355"/>
    <w:rsid w:val="00787370"/>
    <w:rsid w:val="007874AE"/>
    <w:rsid w:val="0078750B"/>
    <w:rsid w:val="0078768E"/>
    <w:rsid w:val="00787F5E"/>
    <w:rsid w:val="0079024D"/>
    <w:rsid w:val="007911B8"/>
    <w:rsid w:val="00791DAE"/>
    <w:rsid w:val="007930E8"/>
    <w:rsid w:val="00793A57"/>
    <w:rsid w:val="00793A9C"/>
    <w:rsid w:val="00793F28"/>
    <w:rsid w:val="007944D2"/>
    <w:rsid w:val="00794B19"/>
    <w:rsid w:val="00794FFA"/>
    <w:rsid w:val="00795B8D"/>
    <w:rsid w:val="00795F0E"/>
    <w:rsid w:val="00797D8F"/>
    <w:rsid w:val="007A0C00"/>
    <w:rsid w:val="007A0E15"/>
    <w:rsid w:val="007A176E"/>
    <w:rsid w:val="007A19BF"/>
    <w:rsid w:val="007A2A69"/>
    <w:rsid w:val="007A2CF1"/>
    <w:rsid w:val="007A384E"/>
    <w:rsid w:val="007A41B5"/>
    <w:rsid w:val="007A4486"/>
    <w:rsid w:val="007A4682"/>
    <w:rsid w:val="007A5879"/>
    <w:rsid w:val="007A58A8"/>
    <w:rsid w:val="007A5BDC"/>
    <w:rsid w:val="007A629D"/>
    <w:rsid w:val="007A6610"/>
    <w:rsid w:val="007A6DD3"/>
    <w:rsid w:val="007A6FF3"/>
    <w:rsid w:val="007A7169"/>
    <w:rsid w:val="007A71DC"/>
    <w:rsid w:val="007A7A04"/>
    <w:rsid w:val="007B04FF"/>
    <w:rsid w:val="007B0976"/>
    <w:rsid w:val="007B0CAC"/>
    <w:rsid w:val="007B15F3"/>
    <w:rsid w:val="007B1701"/>
    <w:rsid w:val="007B1C32"/>
    <w:rsid w:val="007B1DBB"/>
    <w:rsid w:val="007B2319"/>
    <w:rsid w:val="007B2FBF"/>
    <w:rsid w:val="007B3E13"/>
    <w:rsid w:val="007B4046"/>
    <w:rsid w:val="007B4300"/>
    <w:rsid w:val="007B565C"/>
    <w:rsid w:val="007B595F"/>
    <w:rsid w:val="007B5D75"/>
    <w:rsid w:val="007B5E0C"/>
    <w:rsid w:val="007B6D5E"/>
    <w:rsid w:val="007B7115"/>
    <w:rsid w:val="007B736B"/>
    <w:rsid w:val="007C0853"/>
    <w:rsid w:val="007C0C90"/>
    <w:rsid w:val="007C0E07"/>
    <w:rsid w:val="007C0E86"/>
    <w:rsid w:val="007C249E"/>
    <w:rsid w:val="007C26CF"/>
    <w:rsid w:val="007C271B"/>
    <w:rsid w:val="007C2C14"/>
    <w:rsid w:val="007C3A55"/>
    <w:rsid w:val="007C4166"/>
    <w:rsid w:val="007C44E1"/>
    <w:rsid w:val="007C4670"/>
    <w:rsid w:val="007C48DD"/>
    <w:rsid w:val="007C4A05"/>
    <w:rsid w:val="007C5711"/>
    <w:rsid w:val="007C57B9"/>
    <w:rsid w:val="007C6325"/>
    <w:rsid w:val="007C73A3"/>
    <w:rsid w:val="007C7975"/>
    <w:rsid w:val="007C7EF5"/>
    <w:rsid w:val="007D06AC"/>
    <w:rsid w:val="007D0741"/>
    <w:rsid w:val="007D0A53"/>
    <w:rsid w:val="007D0FFC"/>
    <w:rsid w:val="007D1013"/>
    <w:rsid w:val="007D19EC"/>
    <w:rsid w:val="007D2608"/>
    <w:rsid w:val="007D30C3"/>
    <w:rsid w:val="007D35AC"/>
    <w:rsid w:val="007D36B1"/>
    <w:rsid w:val="007D36D7"/>
    <w:rsid w:val="007D3BA1"/>
    <w:rsid w:val="007D3EC8"/>
    <w:rsid w:val="007D40AC"/>
    <w:rsid w:val="007D4317"/>
    <w:rsid w:val="007D4C12"/>
    <w:rsid w:val="007D57E0"/>
    <w:rsid w:val="007D5962"/>
    <w:rsid w:val="007D63B2"/>
    <w:rsid w:val="007D651D"/>
    <w:rsid w:val="007D71B7"/>
    <w:rsid w:val="007D7C66"/>
    <w:rsid w:val="007D7CF3"/>
    <w:rsid w:val="007E0274"/>
    <w:rsid w:val="007E02A7"/>
    <w:rsid w:val="007E0415"/>
    <w:rsid w:val="007E0991"/>
    <w:rsid w:val="007E0B2C"/>
    <w:rsid w:val="007E0BD1"/>
    <w:rsid w:val="007E107F"/>
    <w:rsid w:val="007E2FD7"/>
    <w:rsid w:val="007E310B"/>
    <w:rsid w:val="007E38DA"/>
    <w:rsid w:val="007E3D65"/>
    <w:rsid w:val="007E3EE2"/>
    <w:rsid w:val="007E47E7"/>
    <w:rsid w:val="007E4A98"/>
    <w:rsid w:val="007E4EB6"/>
    <w:rsid w:val="007E5DD7"/>
    <w:rsid w:val="007E6FB9"/>
    <w:rsid w:val="007E7139"/>
    <w:rsid w:val="007E7366"/>
    <w:rsid w:val="007E7EA1"/>
    <w:rsid w:val="007E7EA4"/>
    <w:rsid w:val="007F03CE"/>
    <w:rsid w:val="007F04D3"/>
    <w:rsid w:val="007F137D"/>
    <w:rsid w:val="007F17B5"/>
    <w:rsid w:val="007F2D8D"/>
    <w:rsid w:val="007F2EBF"/>
    <w:rsid w:val="007F3044"/>
    <w:rsid w:val="007F3249"/>
    <w:rsid w:val="007F4657"/>
    <w:rsid w:val="007F5609"/>
    <w:rsid w:val="007F5625"/>
    <w:rsid w:val="007F568A"/>
    <w:rsid w:val="007F59F7"/>
    <w:rsid w:val="007F5E21"/>
    <w:rsid w:val="007F6413"/>
    <w:rsid w:val="007F676E"/>
    <w:rsid w:val="007F6B11"/>
    <w:rsid w:val="007F6E2B"/>
    <w:rsid w:val="007F7D12"/>
    <w:rsid w:val="007F7F02"/>
    <w:rsid w:val="00800258"/>
    <w:rsid w:val="00800C97"/>
    <w:rsid w:val="0080220F"/>
    <w:rsid w:val="008026A7"/>
    <w:rsid w:val="00802735"/>
    <w:rsid w:val="008028C2"/>
    <w:rsid w:val="00802DDB"/>
    <w:rsid w:val="008037D8"/>
    <w:rsid w:val="00803B7E"/>
    <w:rsid w:val="00803DA6"/>
    <w:rsid w:val="008040D9"/>
    <w:rsid w:val="0080436E"/>
    <w:rsid w:val="00804937"/>
    <w:rsid w:val="00804E1E"/>
    <w:rsid w:val="00804E43"/>
    <w:rsid w:val="008050F5"/>
    <w:rsid w:val="0080519C"/>
    <w:rsid w:val="0080553F"/>
    <w:rsid w:val="00810BC2"/>
    <w:rsid w:val="00811683"/>
    <w:rsid w:val="00811AFF"/>
    <w:rsid w:val="00812373"/>
    <w:rsid w:val="00813F3A"/>
    <w:rsid w:val="008140E8"/>
    <w:rsid w:val="00814795"/>
    <w:rsid w:val="0081491F"/>
    <w:rsid w:val="00814941"/>
    <w:rsid w:val="00814A65"/>
    <w:rsid w:val="00814BD9"/>
    <w:rsid w:val="008158AC"/>
    <w:rsid w:val="00816805"/>
    <w:rsid w:val="00816BE8"/>
    <w:rsid w:val="00816CD5"/>
    <w:rsid w:val="00816DBD"/>
    <w:rsid w:val="00816FE2"/>
    <w:rsid w:val="00817062"/>
    <w:rsid w:val="00817991"/>
    <w:rsid w:val="00817F58"/>
    <w:rsid w:val="008203C5"/>
    <w:rsid w:val="00820B84"/>
    <w:rsid w:val="0082199B"/>
    <w:rsid w:val="00821C2A"/>
    <w:rsid w:val="008227B7"/>
    <w:rsid w:val="008243A8"/>
    <w:rsid w:val="00824925"/>
    <w:rsid w:val="00824C8B"/>
    <w:rsid w:val="008252E8"/>
    <w:rsid w:val="00825BA8"/>
    <w:rsid w:val="00825C14"/>
    <w:rsid w:val="0082641D"/>
    <w:rsid w:val="008267CA"/>
    <w:rsid w:val="0082722B"/>
    <w:rsid w:val="00827C1B"/>
    <w:rsid w:val="0083016B"/>
    <w:rsid w:val="008301F1"/>
    <w:rsid w:val="00830C0E"/>
    <w:rsid w:val="008313E0"/>
    <w:rsid w:val="008317EC"/>
    <w:rsid w:val="0083195D"/>
    <w:rsid w:val="00831B7B"/>
    <w:rsid w:val="00831D90"/>
    <w:rsid w:val="008324F3"/>
    <w:rsid w:val="00832691"/>
    <w:rsid w:val="0083296B"/>
    <w:rsid w:val="00833547"/>
    <w:rsid w:val="00833852"/>
    <w:rsid w:val="00833AB9"/>
    <w:rsid w:val="00833B62"/>
    <w:rsid w:val="00834820"/>
    <w:rsid w:val="00834C82"/>
    <w:rsid w:val="00834DB6"/>
    <w:rsid w:val="00834F93"/>
    <w:rsid w:val="00840C4A"/>
    <w:rsid w:val="008411B9"/>
    <w:rsid w:val="0084122F"/>
    <w:rsid w:val="00841573"/>
    <w:rsid w:val="00841D08"/>
    <w:rsid w:val="00842D43"/>
    <w:rsid w:val="0084323E"/>
    <w:rsid w:val="00843D50"/>
    <w:rsid w:val="0084464E"/>
    <w:rsid w:val="008458BF"/>
    <w:rsid w:val="00846262"/>
    <w:rsid w:val="00846370"/>
    <w:rsid w:val="008463E8"/>
    <w:rsid w:val="00847665"/>
    <w:rsid w:val="00847BC5"/>
    <w:rsid w:val="00847F11"/>
    <w:rsid w:val="00850010"/>
    <w:rsid w:val="008503F4"/>
    <w:rsid w:val="008504A0"/>
    <w:rsid w:val="00850AC1"/>
    <w:rsid w:val="00850C2A"/>
    <w:rsid w:val="00850DFA"/>
    <w:rsid w:val="00851331"/>
    <w:rsid w:val="008516D1"/>
    <w:rsid w:val="00852003"/>
    <w:rsid w:val="0085212C"/>
    <w:rsid w:val="00852F9E"/>
    <w:rsid w:val="00854053"/>
    <w:rsid w:val="008543AC"/>
    <w:rsid w:val="008548B8"/>
    <w:rsid w:val="00854965"/>
    <w:rsid w:val="008554D1"/>
    <w:rsid w:val="008558E0"/>
    <w:rsid w:val="00857AF7"/>
    <w:rsid w:val="00857BE5"/>
    <w:rsid w:val="00860109"/>
    <w:rsid w:val="008601BD"/>
    <w:rsid w:val="00860359"/>
    <w:rsid w:val="00860E43"/>
    <w:rsid w:val="00861252"/>
    <w:rsid w:val="0086171A"/>
    <w:rsid w:val="0086226C"/>
    <w:rsid w:val="00863C07"/>
    <w:rsid w:val="008644A4"/>
    <w:rsid w:val="00864A6C"/>
    <w:rsid w:val="00864BB1"/>
    <w:rsid w:val="00864DF7"/>
    <w:rsid w:val="00865278"/>
    <w:rsid w:val="008654F9"/>
    <w:rsid w:val="008658C0"/>
    <w:rsid w:val="00866388"/>
    <w:rsid w:val="00866FE3"/>
    <w:rsid w:val="0086722D"/>
    <w:rsid w:val="00867D56"/>
    <w:rsid w:val="00870646"/>
    <w:rsid w:val="008706C3"/>
    <w:rsid w:val="00870BAA"/>
    <w:rsid w:val="00870D91"/>
    <w:rsid w:val="008716D1"/>
    <w:rsid w:val="008716ED"/>
    <w:rsid w:val="008718AD"/>
    <w:rsid w:val="0087193F"/>
    <w:rsid w:val="008724E6"/>
    <w:rsid w:val="008728C8"/>
    <w:rsid w:val="00873205"/>
    <w:rsid w:val="008735E8"/>
    <w:rsid w:val="0087377E"/>
    <w:rsid w:val="00874594"/>
    <w:rsid w:val="00874776"/>
    <w:rsid w:val="0087487C"/>
    <w:rsid w:val="00874A07"/>
    <w:rsid w:val="00874B75"/>
    <w:rsid w:val="00875007"/>
    <w:rsid w:val="008750DB"/>
    <w:rsid w:val="008751B4"/>
    <w:rsid w:val="0087527F"/>
    <w:rsid w:val="008754B5"/>
    <w:rsid w:val="00875AF3"/>
    <w:rsid w:val="008765E9"/>
    <w:rsid w:val="00876605"/>
    <w:rsid w:val="00876B13"/>
    <w:rsid w:val="00880017"/>
    <w:rsid w:val="00880305"/>
    <w:rsid w:val="0088088A"/>
    <w:rsid w:val="00880A3F"/>
    <w:rsid w:val="00880EE2"/>
    <w:rsid w:val="00881732"/>
    <w:rsid w:val="008818A2"/>
    <w:rsid w:val="00881FF9"/>
    <w:rsid w:val="0088213D"/>
    <w:rsid w:val="008821C6"/>
    <w:rsid w:val="0088243D"/>
    <w:rsid w:val="0088251A"/>
    <w:rsid w:val="00882D28"/>
    <w:rsid w:val="00883A67"/>
    <w:rsid w:val="008848E9"/>
    <w:rsid w:val="00884FD8"/>
    <w:rsid w:val="00885231"/>
    <w:rsid w:val="00885244"/>
    <w:rsid w:val="008857C7"/>
    <w:rsid w:val="008858B3"/>
    <w:rsid w:val="00885BF6"/>
    <w:rsid w:val="008866CF"/>
    <w:rsid w:val="00886782"/>
    <w:rsid w:val="008869A1"/>
    <w:rsid w:val="00886B3F"/>
    <w:rsid w:val="0089015D"/>
    <w:rsid w:val="0089021A"/>
    <w:rsid w:val="0089022E"/>
    <w:rsid w:val="00890475"/>
    <w:rsid w:val="00890A7C"/>
    <w:rsid w:val="00890D11"/>
    <w:rsid w:val="008910EE"/>
    <w:rsid w:val="00891A26"/>
    <w:rsid w:val="008923F8"/>
    <w:rsid w:val="008928F1"/>
    <w:rsid w:val="00892BBF"/>
    <w:rsid w:val="00892DB5"/>
    <w:rsid w:val="008942BD"/>
    <w:rsid w:val="0089478A"/>
    <w:rsid w:val="0089480A"/>
    <w:rsid w:val="00894FE5"/>
    <w:rsid w:val="00895658"/>
    <w:rsid w:val="008956DA"/>
    <w:rsid w:val="00895BA9"/>
    <w:rsid w:val="00895D79"/>
    <w:rsid w:val="0089601B"/>
    <w:rsid w:val="0089655D"/>
    <w:rsid w:val="00896784"/>
    <w:rsid w:val="00897824"/>
    <w:rsid w:val="00897BCB"/>
    <w:rsid w:val="00897C07"/>
    <w:rsid w:val="00897DBA"/>
    <w:rsid w:val="008A02FA"/>
    <w:rsid w:val="008A06A8"/>
    <w:rsid w:val="008A1AAC"/>
    <w:rsid w:val="008A20CA"/>
    <w:rsid w:val="008A239B"/>
    <w:rsid w:val="008A2956"/>
    <w:rsid w:val="008A2EA1"/>
    <w:rsid w:val="008A2EF6"/>
    <w:rsid w:val="008A3480"/>
    <w:rsid w:val="008A4F3C"/>
    <w:rsid w:val="008A51AD"/>
    <w:rsid w:val="008A53BA"/>
    <w:rsid w:val="008A551D"/>
    <w:rsid w:val="008A56BA"/>
    <w:rsid w:val="008A570A"/>
    <w:rsid w:val="008A58E4"/>
    <w:rsid w:val="008A58E7"/>
    <w:rsid w:val="008A5C1D"/>
    <w:rsid w:val="008A615A"/>
    <w:rsid w:val="008A6357"/>
    <w:rsid w:val="008A650C"/>
    <w:rsid w:val="008A6A36"/>
    <w:rsid w:val="008A6CB9"/>
    <w:rsid w:val="008A6DC1"/>
    <w:rsid w:val="008A7100"/>
    <w:rsid w:val="008A7139"/>
    <w:rsid w:val="008A776D"/>
    <w:rsid w:val="008A7C74"/>
    <w:rsid w:val="008B04C0"/>
    <w:rsid w:val="008B09E1"/>
    <w:rsid w:val="008B0A83"/>
    <w:rsid w:val="008B0E93"/>
    <w:rsid w:val="008B0F8D"/>
    <w:rsid w:val="008B198D"/>
    <w:rsid w:val="008B23A8"/>
    <w:rsid w:val="008B29A4"/>
    <w:rsid w:val="008B2BB4"/>
    <w:rsid w:val="008B2C30"/>
    <w:rsid w:val="008B3C2B"/>
    <w:rsid w:val="008B4679"/>
    <w:rsid w:val="008B4D00"/>
    <w:rsid w:val="008B4D13"/>
    <w:rsid w:val="008B4E78"/>
    <w:rsid w:val="008B4FE2"/>
    <w:rsid w:val="008B61A1"/>
    <w:rsid w:val="008B66EE"/>
    <w:rsid w:val="008B6793"/>
    <w:rsid w:val="008B6E87"/>
    <w:rsid w:val="008B75C2"/>
    <w:rsid w:val="008B787A"/>
    <w:rsid w:val="008C0A89"/>
    <w:rsid w:val="008C0E71"/>
    <w:rsid w:val="008C1852"/>
    <w:rsid w:val="008C2CFF"/>
    <w:rsid w:val="008C2E1E"/>
    <w:rsid w:val="008C2E22"/>
    <w:rsid w:val="008C2ED2"/>
    <w:rsid w:val="008C3D4D"/>
    <w:rsid w:val="008C4026"/>
    <w:rsid w:val="008C417E"/>
    <w:rsid w:val="008C5B51"/>
    <w:rsid w:val="008C5F0A"/>
    <w:rsid w:val="008C6105"/>
    <w:rsid w:val="008C6124"/>
    <w:rsid w:val="008C6334"/>
    <w:rsid w:val="008C66BD"/>
    <w:rsid w:val="008C6968"/>
    <w:rsid w:val="008C742A"/>
    <w:rsid w:val="008C74C7"/>
    <w:rsid w:val="008C7714"/>
    <w:rsid w:val="008C7F4F"/>
    <w:rsid w:val="008D00F3"/>
    <w:rsid w:val="008D0F27"/>
    <w:rsid w:val="008D11F0"/>
    <w:rsid w:val="008D13CB"/>
    <w:rsid w:val="008D15A2"/>
    <w:rsid w:val="008D18CD"/>
    <w:rsid w:val="008D1F86"/>
    <w:rsid w:val="008D20E0"/>
    <w:rsid w:val="008D2B6E"/>
    <w:rsid w:val="008D335C"/>
    <w:rsid w:val="008D35B7"/>
    <w:rsid w:val="008D4007"/>
    <w:rsid w:val="008D436A"/>
    <w:rsid w:val="008D4C72"/>
    <w:rsid w:val="008D5368"/>
    <w:rsid w:val="008D561B"/>
    <w:rsid w:val="008D582B"/>
    <w:rsid w:val="008D5CF9"/>
    <w:rsid w:val="008D5D0A"/>
    <w:rsid w:val="008D6794"/>
    <w:rsid w:val="008D7F65"/>
    <w:rsid w:val="008E0178"/>
    <w:rsid w:val="008E02F8"/>
    <w:rsid w:val="008E12AF"/>
    <w:rsid w:val="008E1DC9"/>
    <w:rsid w:val="008E211C"/>
    <w:rsid w:val="008E28EC"/>
    <w:rsid w:val="008E2BB3"/>
    <w:rsid w:val="008E2BC5"/>
    <w:rsid w:val="008E2C79"/>
    <w:rsid w:val="008E2DEA"/>
    <w:rsid w:val="008E3176"/>
    <w:rsid w:val="008E3564"/>
    <w:rsid w:val="008E3A0B"/>
    <w:rsid w:val="008E3A90"/>
    <w:rsid w:val="008E3AAB"/>
    <w:rsid w:val="008E4043"/>
    <w:rsid w:val="008E4520"/>
    <w:rsid w:val="008E54E8"/>
    <w:rsid w:val="008E5740"/>
    <w:rsid w:val="008E5868"/>
    <w:rsid w:val="008E5DC8"/>
    <w:rsid w:val="008E6465"/>
    <w:rsid w:val="008E6C57"/>
    <w:rsid w:val="008E7082"/>
    <w:rsid w:val="008E72AF"/>
    <w:rsid w:val="008F0952"/>
    <w:rsid w:val="008F1154"/>
    <w:rsid w:val="008F1B84"/>
    <w:rsid w:val="008F1B9D"/>
    <w:rsid w:val="008F1DB6"/>
    <w:rsid w:val="008F39C0"/>
    <w:rsid w:val="008F39E4"/>
    <w:rsid w:val="008F57CD"/>
    <w:rsid w:val="008F5960"/>
    <w:rsid w:val="008F5CD0"/>
    <w:rsid w:val="008F629A"/>
    <w:rsid w:val="008F6A9B"/>
    <w:rsid w:val="008F6F03"/>
    <w:rsid w:val="008F7603"/>
    <w:rsid w:val="008F769D"/>
    <w:rsid w:val="008F76DC"/>
    <w:rsid w:val="008F7D2F"/>
    <w:rsid w:val="009013C5"/>
    <w:rsid w:val="0090147B"/>
    <w:rsid w:val="00901649"/>
    <w:rsid w:val="00901CBA"/>
    <w:rsid w:val="00901DC6"/>
    <w:rsid w:val="009021DC"/>
    <w:rsid w:val="00903026"/>
    <w:rsid w:val="0090357B"/>
    <w:rsid w:val="00903832"/>
    <w:rsid w:val="009044BE"/>
    <w:rsid w:val="009048EB"/>
    <w:rsid w:val="00904913"/>
    <w:rsid w:val="009050B3"/>
    <w:rsid w:val="00905298"/>
    <w:rsid w:val="00905945"/>
    <w:rsid w:val="00905FEB"/>
    <w:rsid w:val="00906252"/>
    <w:rsid w:val="0090672E"/>
    <w:rsid w:val="00906A4F"/>
    <w:rsid w:val="00906BD6"/>
    <w:rsid w:val="00907074"/>
    <w:rsid w:val="009073C7"/>
    <w:rsid w:val="009078BA"/>
    <w:rsid w:val="009079C7"/>
    <w:rsid w:val="009079F7"/>
    <w:rsid w:val="00907B44"/>
    <w:rsid w:val="00907C33"/>
    <w:rsid w:val="009108D2"/>
    <w:rsid w:val="00910C20"/>
    <w:rsid w:val="00910FE1"/>
    <w:rsid w:val="0091106A"/>
    <w:rsid w:val="00911D1C"/>
    <w:rsid w:val="00912F38"/>
    <w:rsid w:val="0091340D"/>
    <w:rsid w:val="00913C58"/>
    <w:rsid w:val="009140B4"/>
    <w:rsid w:val="00914174"/>
    <w:rsid w:val="0091428A"/>
    <w:rsid w:val="00914733"/>
    <w:rsid w:val="0091495E"/>
    <w:rsid w:val="00914AA5"/>
    <w:rsid w:val="009162DD"/>
    <w:rsid w:val="009163E7"/>
    <w:rsid w:val="0091671A"/>
    <w:rsid w:val="009169F6"/>
    <w:rsid w:val="0091719D"/>
    <w:rsid w:val="00917903"/>
    <w:rsid w:val="00920189"/>
    <w:rsid w:val="00920203"/>
    <w:rsid w:val="00920997"/>
    <w:rsid w:val="00920B1E"/>
    <w:rsid w:val="00920DD5"/>
    <w:rsid w:val="00921161"/>
    <w:rsid w:val="00922492"/>
    <w:rsid w:val="009224EB"/>
    <w:rsid w:val="0092272F"/>
    <w:rsid w:val="00922BE2"/>
    <w:rsid w:val="00922EDE"/>
    <w:rsid w:val="009237D9"/>
    <w:rsid w:val="0092406C"/>
    <w:rsid w:val="00924096"/>
    <w:rsid w:val="009243BC"/>
    <w:rsid w:val="009244D5"/>
    <w:rsid w:val="0092523A"/>
    <w:rsid w:val="009252F1"/>
    <w:rsid w:val="00925588"/>
    <w:rsid w:val="00925AF5"/>
    <w:rsid w:val="00926268"/>
    <w:rsid w:val="009264A2"/>
    <w:rsid w:val="0092715D"/>
    <w:rsid w:val="00927299"/>
    <w:rsid w:val="00930632"/>
    <w:rsid w:val="009310BC"/>
    <w:rsid w:val="00931D3F"/>
    <w:rsid w:val="009324C4"/>
    <w:rsid w:val="00932671"/>
    <w:rsid w:val="00932A7A"/>
    <w:rsid w:val="00932D26"/>
    <w:rsid w:val="009330BF"/>
    <w:rsid w:val="00933817"/>
    <w:rsid w:val="00934510"/>
    <w:rsid w:val="0093476C"/>
    <w:rsid w:val="00935A1E"/>
    <w:rsid w:val="00935AA3"/>
    <w:rsid w:val="00935B7C"/>
    <w:rsid w:val="00935E3A"/>
    <w:rsid w:val="00936005"/>
    <w:rsid w:val="0093607C"/>
    <w:rsid w:val="00940008"/>
    <w:rsid w:val="00940FFA"/>
    <w:rsid w:val="00941503"/>
    <w:rsid w:val="0094187D"/>
    <w:rsid w:val="009423ED"/>
    <w:rsid w:val="00942C90"/>
    <w:rsid w:val="00942F29"/>
    <w:rsid w:val="00942FB6"/>
    <w:rsid w:val="009434EB"/>
    <w:rsid w:val="00943EA6"/>
    <w:rsid w:val="009443F2"/>
    <w:rsid w:val="009448F2"/>
    <w:rsid w:val="0094524B"/>
    <w:rsid w:val="009456E3"/>
    <w:rsid w:val="00945759"/>
    <w:rsid w:val="009466E9"/>
    <w:rsid w:val="00946CB3"/>
    <w:rsid w:val="00946D20"/>
    <w:rsid w:val="00946E51"/>
    <w:rsid w:val="009473F4"/>
    <w:rsid w:val="0094767D"/>
    <w:rsid w:val="00950231"/>
    <w:rsid w:val="00950794"/>
    <w:rsid w:val="009507AA"/>
    <w:rsid w:val="009509EF"/>
    <w:rsid w:val="009515CA"/>
    <w:rsid w:val="00951691"/>
    <w:rsid w:val="00951FCE"/>
    <w:rsid w:val="009521CC"/>
    <w:rsid w:val="0095226C"/>
    <w:rsid w:val="00952C05"/>
    <w:rsid w:val="00952D52"/>
    <w:rsid w:val="009540B7"/>
    <w:rsid w:val="009543D0"/>
    <w:rsid w:val="00954AF9"/>
    <w:rsid w:val="00954DAE"/>
    <w:rsid w:val="00955410"/>
    <w:rsid w:val="009558EE"/>
    <w:rsid w:val="009559D5"/>
    <w:rsid w:val="00955C17"/>
    <w:rsid w:val="00955FFA"/>
    <w:rsid w:val="00956170"/>
    <w:rsid w:val="00956BA1"/>
    <w:rsid w:val="00956D42"/>
    <w:rsid w:val="00956F0F"/>
    <w:rsid w:val="0095727F"/>
    <w:rsid w:val="009572AF"/>
    <w:rsid w:val="00957E41"/>
    <w:rsid w:val="0096023A"/>
    <w:rsid w:val="009607AB"/>
    <w:rsid w:val="009615DB"/>
    <w:rsid w:val="00962683"/>
    <w:rsid w:val="00962E23"/>
    <w:rsid w:val="0096487C"/>
    <w:rsid w:val="00964BC2"/>
    <w:rsid w:val="00964D4A"/>
    <w:rsid w:val="00964EAE"/>
    <w:rsid w:val="00965023"/>
    <w:rsid w:val="009650B7"/>
    <w:rsid w:val="0096515D"/>
    <w:rsid w:val="00965841"/>
    <w:rsid w:val="00966623"/>
    <w:rsid w:val="009678DB"/>
    <w:rsid w:val="00970728"/>
    <w:rsid w:val="009707C9"/>
    <w:rsid w:val="00971E0B"/>
    <w:rsid w:val="00972101"/>
    <w:rsid w:val="00972FB5"/>
    <w:rsid w:val="009736FE"/>
    <w:rsid w:val="00973B96"/>
    <w:rsid w:val="00973E3C"/>
    <w:rsid w:val="00974763"/>
    <w:rsid w:val="009757CA"/>
    <w:rsid w:val="00976E76"/>
    <w:rsid w:val="00977A14"/>
    <w:rsid w:val="00977E9B"/>
    <w:rsid w:val="009807BF"/>
    <w:rsid w:val="009809CE"/>
    <w:rsid w:val="0098131F"/>
    <w:rsid w:val="00981479"/>
    <w:rsid w:val="00981F74"/>
    <w:rsid w:val="0098237C"/>
    <w:rsid w:val="009829B3"/>
    <w:rsid w:val="00982C31"/>
    <w:rsid w:val="00982D45"/>
    <w:rsid w:val="00983165"/>
    <w:rsid w:val="00983343"/>
    <w:rsid w:val="009833C4"/>
    <w:rsid w:val="009834E0"/>
    <w:rsid w:val="009838FF"/>
    <w:rsid w:val="00984149"/>
    <w:rsid w:val="00984788"/>
    <w:rsid w:val="00984909"/>
    <w:rsid w:val="00984FF3"/>
    <w:rsid w:val="00984FF9"/>
    <w:rsid w:val="009850C5"/>
    <w:rsid w:val="00986326"/>
    <w:rsid w:val="00986849"/>
    <w:rsid w:val="00986BB7"/>
    <w:rsid w:val="00986D4B"/>
    <w:rsid w:val="00986F6D"/>
    <w:rsid w:val="0098727C"/>
    <w:rsid w:val="00987708"/>
    <w:rsid w:val="00987DF0"/>
    <w:rsid w:val="00987E2E"/>
    <w:rsid w:val="0099008B"/>
    <w:rsid w:val="0099177B"/>
    <w:rsid w:val="00991B8C"/>
    <w:rsid w:val="0099367E"/>
    <w:rsid w:val="00993FE4"/>
    <w:rsid w:val="0099425E"/>
    <w:rsid w:val="00994CDC"/>
    <w:rsid w:val="009969CD"/>
    <w:rsid w:val="0099770A"/>
    <w:rsid w:val="00997769"/>
    <w:rsid w:val="00997A2E"/>
    <w:rsid w:val="009A02E6"/>
    <w:rsid w:val="009A048E"/>
    <w:rsid w:val="009A119F"/>
    <w:rsid w:val="009A1609"/>
    <w:rsid w:val="009A16A3"/>
    <w:rsid w:val="009A1A7E"/>
    <w:rsid w:val="009A3480"/>
    <w:rsid w:val="009A3DB8"/>
    <w:rsid w:val="009A43B3"/>
    <w:rsid w:val="009A464D"/>
    <w:rsid w:val="009A496F"/>
    <w:rsid w:val="009A4B78"/>
    <w:rsid w:val="009A4D73"/>
    <w:rsid w:val="009A4E41"/>
    <w:rsid w:val="009A5297"/>
    <w:rsid w:val="009A5851"/>
    <w:rsid w:val="009A5D40"/>
    <w:rsid w:val="009A5E10"/>
    <w:rsid w:val="009A6665"/>
    <w:rsid w:val="009A743F"/>
    <w:rsid w:val="009A74F7"/>
    <w:rsid w:val="009B00F2"/>
    <w:rsid w:val="009B0FB2"/>
    <w:rsid w:val="009B1113"/>
    <w:rsid w:val="009B1C34"/>
    <w:rsid w:val="009B1D22"/>
    <w:rsid w:val="009B1E86"/>
    <w:rsid w:val="009B27C4"/>
    <w:rsid w:val="009B2BE6"/>
    <w:rsid w:val="009B2D92"/>
    <w:rsid w:val="009B31DE"/>
    <w:rsid w:val="009B3250"/>
    <w:rsid w:val="009B42D2"/>
    <w:rsid w:val="009B4A06"/>
    <w:rsid w:val="009B60EA"/>
    <w:rsid w:val="009B70C8"/>
    <w:rsid w:val="009B737C"/>
    <w:rsid w:val="009B742E"/>
    <w:rsid w:val="009C0AC6"/>
    <w:rsid w:val="009C11B2"/>
    <w:rsid w:val="009C1456"/>
    <w:rsid w:val="009C164F"/>
    <w:rsid w:val="009C1C30"/>
    <w:rsid w:val="009C22DD"/>
    <w:rsid w:val="009C29D5"/>
    <w:rsid w:val="009C30A0"/>
    <w:rsid w:val="009C359E"/>
    <w:rsid w:val="009C37FE"/>
    <w:rsid w:val="009C4082"/>
    <w:rsid w:val="009C4A38"/>
    <w:rsid w:val="009C4A72"/>
    <w:rsid w:val="009C4AD8"/>
    <w:rsid w:val="009C4D3D"/>
    <w:rsid w:val="009C55E2"/>
    <w:rsid w:val="009C5A4E"/>
    <w:rsid w:val="009C5EE5"/>
    <w:rsid w:val="009C61E3"/>
    <w:rsid w:val="009C6B56"/>
    <w:rsid w:val="009C7DB8"/>
    <w:rsid w:val="009C7FF0"/>
    <w:rsid w:val="009D010D"/>
    <w:rsid w:val="009D0244"/>
    <w:rsid w:val="009D0F71"/>
    <w:rsid w:val="009D111C"/>
    <w:rsid w:val="009D17A0"/>
    <w:rsid w:val="009D1F7A"/>
    <w:rsid w:val="009D2873"/>
    <w:rsid w:val="009D2942"/>
    <w:rsid w:val="009D3A1A"/>
    <w:rsid w:val="009D426A"/>
    <w:rsid w:val="009D5BDB"/>
    <w:rsid w:val="009D6B03"/>
    <w:rsid w:val="009D6B3D"/>
    <w:rsid w:val="009D7422"/>
    <w:rsid w:val="009D78E7"/>
    <w:rsid w:val="009E0742"/>
    <w:rsid w:val="009E1291"/>
    <w:rsid w:val="009E12BC"/>
    <w:rsid w:val="009E224D"/>
    <w:rsid w:val="009E26D5"/>
    <w:rsid w:val="009E2A07"/>
    <w:rsid w:val="009E3398"/>
    <w:rsid w:val="009E3577"/>
    <w:rsid w:val="009E37A5"/>
    <w:rsid w:val="009E395B"/>
    <w:rsid w:val="009E3D2B"/>
    <w:rsid w:val="009E3E84"/>
    <w:rsid w:val="009E4097"/>
    <w:rsid w:val="009E4664"/>
    <w:rsid w:val="009E4D8E"/>
    <w:rsid w:val="009E4E90"/>
    <w:rsid w:val="009E4EB7"/>
    <w:rsid w:val="009E57C1"/>
    <w:rsid w:val="009E624A"/>
    <w:rsid w:val="009E6B32"/>
    <w:rsid w:val="009E70F3"/>
    <w:rsid w:val="009E7534"/>
    <w:rsid w:val="009E7E98"/>
    <w:rsid w:val="009F00EE"/>
    <w:rsid w:val="009F0827"/>
    <w:rsid w:val="009F0BED"/>
    <w:rsid w:val="009F1673"/>
    <w:rsid w:val="009F3255"/>
    <w:rsid w:val="009F34AA"/>
    <w:rsid w:val="009F3DCE"/>
    <w:rsid w:val="009F44FF"/>
    <w:rsid w:val="009F46E8"/>
    <w:rsid w:val="009F472D"/>
    <w:rsid w:val="009F4CF0"/>
    <w:rsid w:val="009F4E88"/>
    <w:rsid w:val="009F50D1"/>
    <w:rsid w:val="009F573B"/>
    <w:rsid w:val="009F5918"/>
    <w:rsid w:val="009F596D"/>
    <w:rsid w:val="009F6A91"/>
    <w:rsid w:val="009F71A6"/>
    <w:rsid w:val="009F71AA"/>
    <w:rsid w:val="009F754A"/>
    <w:rsid w:val="009F791F"/>
    <w:rsid w:val="009F7F86"/>
    <w:rsid w:val="00A0034D"/>
    <w:rsid w:val="00A00BFB"/>
    <w:rsid w:val="00A00DCF"/>
    <w:rsid w:val="00A010BF"/>
    <w:rsid w:val="00A0126C"/>
    <w:rsid w:val="00A012DA"/>
    <w:rsid w:val="00A0187E"/>
    <w:rsid w:val="00A026F0"/>
    <w:rsid w:val="00A02F2D"/>
    <w:rsid w:val="00A02F61"/>
    <w:rsid w:val="00A03E0E"/>
    <w:rsid w:val="00A040D1"/>
    <w:rsid w:val="00A04A0A"/>
    <w:rsid w:val="00A050A8"/>
    <w:rsid w:val="00A056A3"/>
    <w:rsid w:val="00A05B51"/>
    <w:rsid w:val="00A06286"/>
    <w:rsid w:val="00A06318"/>
    <w:rsid w:val="00A063BC"/>
    <w:rsid w:val="00A068E1"/>
    <w:rsid w:val="00A06A80"/>
    <w:rsid w:val="00A06D8A"/>
    <w:rsid w:val="00A0711F"/>
    <w:rsid w:val="00A07B0B"/>
    <w:rsid w:val="00A102A0"/>
    <w:rsid w:val="00A10860"/>
    <w:rsid w:val="00A114FA"/>
    <w:rsid w:val="00A11AF3"/>
    <w:rsid w:val="00A12C09"/>
    <w:rsid w:val="00A13084"/>
    <w:rsid w:val="00A1327F"/>
    <w:rsid w:val="00A13817"/>
    <w:rsid w:val="00A138D3"/>
    <w:rsid w:val="00A13E0F"/>
    <w:rsid w:val="00A144B7"/>
    <w:rsid w:val="00A149B4"/>
    <w:rsid w:val="00A14BDC"/>
    <w:rsid w:val="00A152D3"/>
    <w:rsid w:val="00A15F4F"/>
    <w:rsid w:val="00A160AB"/>
    <w:rsid w:val="00A16745"/>
    <w:rsid w:val="00A16747"/>
    <w:rsid w:val="00A17E93"/>
    <w:rsid w:val="00A20013"/>
    <w:rsid w:val="00A2056F"/>
    <w:rsid w:val="00A20582"/>
    <w:rsid w:val="00A20C65"/>
    <w:rsid w:val="00A21767"/>
    <w:rsid w:val="00A21FD5"/>
    <w:rsid w:val="00A22751"/>
    <w:rsid w:val="00A22940"/>
    <w:rsid w:val="00A23102"/>
    <w:rsid w:val="00A233D8"/>
    <w:rsid w:val="00A2343F"/>
    <w:rsid w:val="00A23505"/>
    <w:rsid w:val="00A2428B"/>
    <w:rsid w:val="00A247E5"/>
    <w:rsid w:val="00A248BD"/>
    <w:rsid w:val="00A24D81"/>
    <w:rsid w:val="00A24EA5"/>
    <w:rsid w:val="00A25173"/>
    <w:rsid w:val="00A252F0"/>
    <w:rsid w:val="00A259F2"/>
    <w:rsid w:val="00A26463"/>
    <w:rsid w:val="00A2660E"/>
    <w:rsid w:val="00A26916"/>
    <w:rsid w:val="00A26B47"/>
    <w:rsid w:val="00A26FF1"/>
    <w:rsid w:val="00A27806"/>
    <w:rsid w:val="00A3068C"/>
    <w:rsid w:val="00A3127F"/>
    <w:rsid w:val="00A31922"/>
    <w:rsid w:val="00A31BCC"/>
    <w:rsid w:val="00A31C70"/>
    <w:rsid w:val="00A325BB"/>
    <w:rsid w:val="00A3297A"/>
    <w:rsid w:val="00A32A58"/>
    <w:rsid w:val="00A32EEC"/>
    <w:rsid w:val="00A336C5"/>
    <w:rsid w:val="00A339D9"/>
    <w:rsid w:val="00A3510A"/>
    <w:rsid w:val="00A3515F"/>
    <w:rsid w:val="00A35751"/>
    <w:rsid w:val="00A3577F"/>
    <w:rsid w:val="00A35BBC"/>
    <w:rsid w:val="00A35DAB"/>
    <w:rsid w:val="00A36724"/>
    <w:rsid w:val="00A367AF"/>
    <w:rsid w:val="00A36C13"/>
    <w:rsid w:val="00A377C2"/>
    <w:rsid w:val="00A37A31"/>
    <w:rsid w:val="00A40B1F"/>
    <w:rsid w:val="00A40B4D"/>
    <w:rsid w:val="00A411E2"/>
    <w:rsid w:val="00A41373"/>
    <w:rsid w:val="00A41638"/>
    <w:rsid w:val="00A41B15"/>
    <w:rsid w:val="00A4224E"/>
    <w:rsid w:val="00A4229F"/>
    <w:rsid w:val="00A428A9"/>
    <w:rsid w:val="00A42ACA"/>
    <w:rsid w:val="00A43AAB"/>
    <w:rsid w:val="00A43AFE"/>
    <w:rsid w:val="00A447E3"/>
    <w:rsid w:val="00A44AAD"/>
    <w:rsid w:val="00A44D3B"/>
    <w:rsid w:val="00A45241"/>
    <w:rsid w:val="00A45280"/>
    <w:rsid w:val="00A45BF7"/>
    <w:rsid w:val="00A463B5"/>
    <w:rsid w:val="00A463BA"/>
    <w:rsid w:val="00A46675"/>
    <w:rsid w:val="00A471A3"/>
    <w:rsid w:val="00A47597"/>
    <w:rsid w:val="00A47E44"/>
    <w:rsid w:val="00A47F91"/>
    <w:rsid w:val="00A507D7"/>
    <w:rsid w:val="00A50A5C"/>
    <w:rsid w:val="00A50BE2"/>
    <w:rsid w:val="00A50CC6"/>
    <w:rsid w:val="00A50E40"/>
    <w:rsid w:val="00A51462"/>
    <w:rsid w:val="00A51946"/>
    <w:rsid w:val="00A51FF7"/>
    <w:rsid w:val="00A52079"/>
    <w:rsid w:val="00A52143"/>
    <w:rsid w:val="00A521E9"/>
    <w:rsid w:val="00A5298E"/>
    <w:rsid w:val="00A52B3E"/>
    <w:rsid w:val="00A5313B"/>
    <w:rsid w:val="00A5320E"/>
    <w:rsid w:val="00A53F7B"/>
    <w:rsid w:val="00A54090"/>
    <w:rsid w:val="00A54282"/>
    <w:rsid w:val="00A549D3"/>
    <w:rsid w:val="00A54DF0"/>
    <w:rsid w:val="00A57E98"/>
    <w:rsid w:val="00A60849"/>
    <w:rsid w:val="00A6105B"/>
    <w:rsid w:val="00A61355"/>
    <w:rsid w:val="00A61668"/>
    <w:rsid w:val="00A621D3"/>
    <w:rsid w:val="00A628F8"/>
    <w:rsid w:val="00A62B7A"/>
    <w:rsid w:val="00A632EA"/>
    <w:rsid w:val="00A6339D"/>
    <w:rsid w:val="00A634BE"/>
    <w:rsid w:val="00A63AD7"/>
    <w:rsid w:val="00A63BFD"/>
    <w:rsid w:val="00A6491F"/>
    <w:rsid w:val="00A64C72"/>
    <w:rsid w:val="00A64D1A"/>
    <w:rsid w:val="00A65320"/>
    <w:rsid w:val="00A65BA5"/>
    <w:rsid w:val="00A66354"/>
    <w:rsid w:val="00A66E37"/>
    <w:rsid w:val="00A66ECF"/>
    <w:rsid w:val="00A67E38"/>
    <w:rsid w:val="00A703E4"/>
    <w:rsid w:val="00A704C9"/>
    <w:rsid w:val="00A70DC6"/>
    <w:rsid w:val="00A71080"/>
    <w:rsid w:val="00A71986"/>
    <w:rsid w:val="00A71E73"/>
    <w:rsid w:val="00A72740"/>
    <w:rsid w:val="00A73A64"/>
    <w:rsid w:val="00A742AD"/>
    <w:rsid w:val="00A746D7"/>
    <w:rsid w:val="00A74AB2"/>
    <w:rsid w:val="00A75A27"/>
    <w:rsid w:val="00A75A46"/>
    <w:rsid w:val="00A75B36"/>
    <w:rsid w:val="00A7663A"/>
    <w:rsid w:val="00A7696B"/>
    <w:rsid w:val="00A769D4"/>
    <w:rsid w:val="00A804C7"/>
    <w:rsid w:val="00A80857"/>
    <w:rsid w:val="00A80A39"/>
    <w:rsid w:val="00A80DF0"/>
    <w:rsid w:val="00A80E64"/>
    <w:rsid w:val="00A81A16"/>
    <w:rsid w:val="00A823A7"/>
    <w:rsid w:val="00A825C8"/>
    <w:rsid w:val="00A82742"/>
    <w:rsid w:val="00A82A29"/>
    <w:rsid w:val="00A83984"/>
    <w:rsid w:val="00A83A1E"/>
    <w:rsid w:val="00A84198"/>
    <w:rsid w:val="00A841AB"/>
    <w:rsid w:val="00A84FFD"/>
    <w:rsid w:val="00A86104"/>
    <w:rsid w:val="00A8655A"/>
    <w:rsid w:val="00A87203"/>
    <w:rsid w:val="00A87744"/>
    <w:rsid w:val="00A87AE6"/>
    <w:rsid w:val="00A87B09"/>
    <w:rsid w:val="00A87C22"/>
    <w:rsid w:val="00A90590"/>
    <w:rsid w:val="00A90A97"/>
    <w:rsid w:val="00A90CB4"/>
    <w:rsid w:val="00A910DA"/>
    <w:rsid w:val="00A920E1"/>
    <w:rsid w:val="00A933AE"/>
    <w:rsid w:val="00A93863"/>
    <w:rsid w:val="00A93928"/>
    <w:rsid w:val="00A9415E"/>
    <w:rsid w:val="00A9423F"/>
    <w:rsid w:val="00A94EBD"/>
    <w:rsid w:val="00A9510D"/>
    <w:rsid w:val="00A956AC"/>
    <w:rsid w:val="00A95D2A"/>
    <w:rsid w:val="00A96214"/>
    <w:rsid w:val="00A967E8"/>
    <w:rsid w:val="00A97F4B"/>
    <w:rsid w:val="00AA04C5"/>
    <w:rsid w:val="00AA10B1"/>
    <w:rsid w:val="00AA2803"/>
    <w:rsid w:val="00AA2BF2"/>
    <w:rsid w:val="00AA2D68"/>
    <w:rsid w:val="00AA2D6F"/>
    <w:rsid w:val="00AA3987"/>
    <w:rsid w:val="00AA3B68"/>
    <w:rsid w:val="00AA3E79"/>
    <w:rsid w:val="00AA4FB4"/>
    <w:rsid w:val="00AA5C0B"/>
    <w:rsid w:val="00AA5E3B"/>
    <w:rsid w:val="00AA63AD"/>
    <w:rsid w:val="00AA65B4"/>
    <w:rsid w:val="00AA6A75"/>
    <w:rsid w:val="00AA745E"/>
    <w:rsid w:val="00AB04AB"/>
    <w:rsid w:val="00AB0733"/>
    <w:rsid w:val="00AB09D2"/>
    <w:rsid w:val="00AB0B64"/>
    <w:rsid w:val="00AB0C30"/>
    <w:rsid w:val="00AB176B"/>
    <w:rsid w:val="00AB37E6"/>
    <w:rsid w:val="00AB3DBA"/>
    <w:rsid w:val="00AB431C"/>
    <w:rsid w:val="00AB470E"/>
    <w:rsid w:val="00AB5A7E"/>
    <w:rsid w:val="00AB7538"/>
    <w:rsid w:val="00AB77F3"/>
    <w:rsid w:val="00AC0256"/>
    <w:rsid w:val="00AC0AAD"/>
    <w:rsid w:val="00AC1231"/>
    <w:rsid w:val="00AC1992"/>
    <w:rsid w:val="00AC1E14"/>
    <w:rsid w:val="00AC2CFA"/>
    <w:rsid w:val="00AC3263"/>
    <w:rsid w:val="00AC3E12"/>
    <w:rsid w:val="00AC406E"/>
    <w:rsid w:val="00AC430C"/>
    <w:rsid w:val="00AC4951"/>
    <w:rsid w:val="00AC4A6B"/>
    <w:rsid w:val="00AC5C19"/>
    <w:rsid w:val="00AC60F0"/>
    <w:rsid w:val="00AC6657"/>
    <w:rsid w:val="00AC6D7A"/>
    <w:rsid w:val="00AC7363"/>
    <w:rsid w:val="00AC7401"/>
    <w:rsid w:val="00AC7901"/>
    <w:rsid w:val="00AC79F3"/>
    <w:rsid w:val="00AC7FDD"/>
    <w:rsid w:val="00AD0085"/>
    <w:rsid w:val="00AD0949"/>
    <w:rsid w:val="00AD0F1D"/>
    <w:rsid w:val="00AD1179"/>
    <w:rsid w:val="00AD1359"/>
    <w:rsid w:val="00AD19F0"/>
    <w:rsid w:val="00AD1FCE"/>
    <w:rsid w:val="00AD26E1"/>
    <w:rsid w:val="00AD29CC"/>
    <w:rsid w:val="00AD3268"/>
    <w:rsid w:val="00AD3652"/>
    <w:rsid w:val="00AD3DE2"/>
    <w:rsid w:val="00AD4261"/>
    <w:rsid w:val="00AD46F5"/>
    <w:rsid w:val="00AD51A3"/>
    <w:rsid w:val="00AD598B"/>
    <w:rsid w:val="00AD7154"/>
    <w:rsid w:val="00AD797D"/>
    <w:rsid w:val="00AD7E02"/>
    <w:rsid w:val="00AE0034"/>
    <w:rsid w:val="00AE0483"/>
    <w:rsid w:val="00AE08DD"/>
    <w:rsid w:val="00AE13BD"/>
    <w:rsid w:val="00AE1AF9"/>
    <w:rsid w:val="00AE1E60"/>
    <w:rsid w:val="00AE2068"/>
    <w:rsid w:val="00AE2258"/>
    <w:rsid w:val="00AE277E"/>
    <w:rsid w:val="00AE2A36"/>
    <w:rsid w:val="00AE2BC6"/>
    <w:rsid w:val="00AE3251"/>
    <w:rsid w:val="00AE3FE0"/>
    <w:rsid w:val="00AE5058"/>
    <w:rsid w:val="00AE51CD"/>
    <w:rsid w:val="00AE5471"/>
    <w:rsid w:val="00AE54AA"/>
    <w:rsid w:val="00AE60E4"/>
    <w:rsid w:val="00AE6872"/>
    <w:rsid w:val="00AE6C58"/>
    <w:rsid w:val="00AE72C4"/>
    <w:rsid w:val="00AE7F05"/>
    <w:rsid w:val="00AE7F38"/>
    <w:rsid w:val="00AF054D"/>
    <w:rsid w:val="00AF0939"/>
    <w:rsid w:val="00AF0981"/>
    <w:rsid w:val="00AF10F0"/>
    <w:rsid w:val="00AF24E7"/>
    <w:rsid w:val="00AF272B"/>
    <w:rsid w:val="00AF291B"/>
    <w:rsid w:val="00AF2DAA"/>
    <w:rsid w:val="00AF2EBD"/>
    <w:rsid w:val="00AF33AE"/>
    <w:rsid w:val="00AF44B1"/>
    <w:rsid w:val="00AF5800"/>
    <w:rsid w:val="00AF6986"/>
    <w:rsid w:val="00AF69FE"/>
    <w:rsid w:val="00AF6D1B"/>
    <w:rsid w:val="00AF73ED"/>
    <w:rsid w:val="00AF7D69"/>
    <w:rsid w:val="00AF7ED2"/>
    <w:rsid w:val="00B004D8"/>
    <w:rsid w:val="00B00830"/>
    <w:rsid w:val="00B00CC5"/>
    <w:rsid w:val="00B016D2"/>
    <w:rsid w:val="00B02091"/>
    <w:rsid w:val="00B02B43"/>
    <w:rsid w:val="00B03D36"/>
    <w:rsid w:val="00B04540"/>
    <w:rsid w:val="00B05116"/>
    <w:rsid w:val="00B051A7"/>
    <w:rsid w:val="00B05F1A"/>
    <w:rsid w:val="00B07B33"/>
    <w:rsid w:val="00B07FA2"/>
    <w:rsid w:val="00B100CF"/>
    <w:rsid w:val="00B10E82"/>
    <w:rsid w:val="00B111A6"/>
    <w:rsid w:val="00B115E5"/>
    <w:rsid w:val="00B118EE"/>
    <w:rsid w:val="00B11B03"/>
    <w:rsid w:val="00B11C5B"/>
    <w:rsid w:val="00B121CD"/>
    <w:rsid w:val="00B12343"/>
    <w:rsid w:val="00B12529"/>
    <w:rsid w:val="00B128C5"/>
    <w:rsid w:val="00B12B11"/>
    <w:rsid w:val="00B12C94"/>
    <w:rsid w:val="00B135AB"/>
    <w:rsid w:val="00B137BF"/>
    <w:rsid w:val="00B13A1B"/>
    <w:rsid w:val="00B13A76"/>
    <w:rsid w:val="00B142D9"/>
    <w:rsid w:val="00B14BC4"/>
    <w:rsid w:val="00B158A3"/>
    <w:rsid w:val="00B15B25"/>
    <w:rsid w:val="00B15C36"/>
    <w:rsid w:val="00B15EA0"/>
    <w:rsid w:val="00B17A4E"/>
    <w:rsid w:val="00B17B30"/>
    <w:rsid w:val="00B17C2F"/>
    <w:rsid w:val="00B2153E"/>
    <w:rsid w:val="00B21FA7"/>
    <w:rsid w:val="00B22022"/>
    <w:rsid w:val="00B225E4"/>
    <w:rsid w:val="00B23F7A"/>
    <w:rsid w:val="00B240B1"/>
    <w:rsid w:val="00B24208"/>
    <w:rsid w:val="00B24728"/>
    <w:rsid w:val="00B248A9"/>
    <w:rsid w:val="00B24D28"/>
    <w:rsid w:val="00B24F1C"/>
    <w:rsid w:val="00B25D76"/>
    <w:rsid w:val="00B27032"/>
    <w:rsid w:val="00B30003"/>
    <w:rsid w:val="00B31201"/>
    <w:rsid w:val="00B31B4B"/>
    <w:rsid w:val="00B31E36"/>
    <w:rsid w:val="00B32E26"/>
    <w:rsid w:val="00B338B7"/>
    <w:rsid w:val="00B34061"/>
    <w:rsid w:val="00B34376"/>
    <w:rsid w:val="00B3440A"/>
    <w:rsid w:val="00B34441"/>
    <w:rsid w:val="00B35534"/>
    <w:rsid w:val="00B35A87"/>
    <w:rsid w:val="00B35AFD"/>
    <w:rsid w:val="00B35F9A"/>
    <w:rsid w:val="00B36236"/>
    <w:rsid w:val="00B3662E"/>
    <w:rsid w:val="00B366D2"/>
    <w:rsid w:val="00B366FA"/>
    <w:rsid w:val="00B36E86"/>
    <w:rsid w:val="00B379BA"/>
    <w:rsid w:val="00B412FD"/>
    <w:rsid w:val="00B422BE"/>
    <w:rsid w:val="00B4241D"/>
    <w:rsid w:val="00B426BB"/>
    <w:rsid w:val="00B42EB9"/>
    <w:rsid w:val="00B436F0"/>
    <w:rsid w:val="00B441FE"/>
    <w:rsid w:val="00B44821"/>
    <w:rsid w:val="00B44AD3"/>
    <w:rsid w:val="00B450EB"/>
    <w:rsid w:val="00B45152"/>
    <w:rsid w:val="00B45E54"/>
    <w:rsid w:val="00B464E4"/>
    <w:rsid w:val="00B4689A"/>
    <w:rsid w:val="00B46D5F"/>
    <w:rsid w:val="00B46E7B"/>
    <w:rsid w:val="00B47DC5"/>
    <w:rsid w:val="00B505B3"/>
    <w:rsid w:val="00B50882"/>
    <w:rsid w:val="00B50A74"/>
    <w:rsid w:val="00B520A0"/>
    <w:rsid w:val="00B5257E"/>
    <w:rsid w:val="00B525CE"/>
    <w:rsid w:val="00B52CFD"/>
    <w:rsid w:val="00B545A8"/>
    <w:rsid w:val="00B56527"/>
    <w:rsid w:val="00B5703E"/>
    <w:rsid w:val="00B576DA"/>
    <w:rsid w:val="00B57710"/>
    <w:rsid w:val="00B601C9"/>
    <w:rsid w:val="00B60D04"/>
    <w:rsid w:val="00B6158F"/>
    <w:rsid w:val="00B61EE8"/>
    <w:rsid w:val="00B633A3"/>
    <w:rsid w:val="00B63533"/>
    <w:rsid w:val="00B63BDB"/>
    <w:rsid w:val="00B64A0E"/>
    <w:rsid w:val="00B64DDF"/>
    <w:rsid w:val="00B6601E"/>
    <w:rsid w:val="00B663AA"/>
    <w:rsid w:val="00B66DD5"/>
    <w:rsid w:val="00B67722"/>
    <w:rsid w:val="00B67B97"/>
    <w:rsid w:val="00B67F01"/>
    <w:rsid w:val="00B711AB"/>
    <w:rsid w:val="00B714F0"/>
    <w:rsid w:val="00B71A40"/>
    <w:rsid w:val="00B71C8C"/>
    <w:rsid w:val="00B71CB4"/>
    <w:rsid w:val="00B71FD7"/>
    <w:rsid w:val="00B725E7"/>
    <w:rsid w:val="00B72C07"/>
    <w:rsid w:val="00B72DF7"/>
    <w:rsid w:val="00B72F42"/>
    <w:rsid w:val="00B73E44"/>
    <w:rsid w:val="00B74290"/>
    <w:rsid w:val="00B74510"/>
    <w:rsid w:val="00B74BD4"/>
    <w:rsid w:val="00B74BF7"/>
    <w:rsid w:val="00B76185"/>
    <w:rsid w:val="00B76BCD"/>
    <w:rsid w:val="00B779E6"/>
    <w:rsid w:val="00B804E2"/>
    <w:rsid w:val="00B811B2"/>
    <w:rsid w:val="00B82213"/>
    <w:rsid w:val="00B8276E"/>
    <w:rsid w:val="00B83A62"/>
    <w:rsid w:val="00B83B59"/>
    <w:rsid w:val="00B84252"/>
    <w:rsid w:val="00B8468F"/>
    <w:rsid w:val="00B84FC6"/>
    <w:rsid w:val="00B857F5"/>
    <w:rsid w:val="00B86D6C"/>
    <w:rsid w:val="00B86F47"/>
    <w:rsid w:val="00B874B4"/>
    <w:rsid w:val="00B8787A"/>
    <w:rsid w:val="00B87887"/>
    <w:rsid w:val="00B90123"/>
    <w:rsid w:val="00B90196"/>
    <w:rsid w:val="00B911C1"/>
    <w:rsid w:val="00B922C3"/>
    <w:rsid w:val="00B9272E"/>
    <w:rsid w:val="00B927A7"/>
    <w:rsid w:val="00B92B9E"/>
    <w:rsid w:val="00B93315"/>
    <w:rsid w:val="00B93519"/>
    <w:rsid w:val="00B9372A"/>
    <w:rsid w:val="00B9425C"/>
    <w:rsid w:val="00B94AAF"/>
    <w:rsid w:val="00B953FF"/>
    <w:rsid w:val="00B9622D"/>
    <w:rsid w:val="00B96263"/>
    <w:rsid w:val="00B968A5"/>
    <w:rsid w:val="00B972CD"/>
    <w:rsid w:val="00B97D02"/>
    <w:rsid w:val="00BA0304"/>
    <w:rsid w:val="00BA0557"/>
    <w:rsid w:val="00BA19C4"/>
    <w:rsid w:val="00BA3038"/>
    <w:rsid w:val="00BA370A"/>
    <w:rsid w:val="00BA48BC"/>
    <w:rsid w:val="00BA4A29"/>
    <w:rsid w:val="00BA4BE7"/>
    <w:rsid w:val="00BA5F20"/>
    <w:rsid w:val="00BA68D9"/>
    <w:rsid w:val="00BA7172"/>
    <w:rsid w:val="00BA7B01"/>
    <w:rsid w:val="00BB02D7"/>
    <w:rsid w:val="00BB0D9F"/>
    <w:rsid w:val="00BB0DEE"/>
    <w:rsid w:val="00BB1031"/>
    <w:rsid w:val="00BB1B33"/>
    <w:rsid w:val="00BB2480"/>
    <w:rsid w:val="00BB2C4E"/>
    <w:rsid w:val="00BB2E29"/>
    <w:rsid w:val="00BB2F74"/>
    <w:rsid w:val="00BB3206"/>
    <w:rsid w:val="00BB32C2"/>
    <w:rsid w:val="00BB3B0D"/>
    <w:rsid w:val="00BB524C"/>
    <w:rsid w:val="00BB5DAB"/>
    <w:rsid w:val="00BB6195"/>
    <w:rsid w:val="00BB61A3"/>
    <w:rsid w:val="00BB67EA"/>
    <w:rsid w:val="00BB707E"/>
    <w:rsid w:val="00BB7568"/>
    <w:rsid w:val="00BC007C"/>
    <w:rsid w:val="00BC0986"/>
    <w:rsid w:val="00BC0AB2"/>
    <w:rsid w:val="00BC1308"/>
    <w:rsid w:val="00BC1BF4"/>
    <w:rsid w:val="00BC2600"/>
    <w:rsid w:val="00BC2F24"/>
    <w:rsid w:val="00BC33BE"/>
    <w:rsid w:val="00BC3A47"/>
    <w:rsid w:val="00BC3EEB"/>
    <w:rsid w:val="00BC4780"/>
    <w:rsid w:val="00BC52C8"/>
    <w:rsid w:val="00BC5485"/>
    <w:rsid w:val="00BC549C"/>
    <w:rsid w:val="00BC570E"/>
    <w:rsid w:val="00BC5A6C"/>
    <w:rsid w:val="00BC5AF6"/>
    <w:rsid w:val="00BC5B4B"/>
    <w:rsid w:val="00BC5EDB"/>
    <w:rsid w:val="00BC69A2"/>
    <w:rsid w:val="00BC6ED6"/>
    <w:rsid w:val="00BC6F03"/>
    <w:rsid w:val="00BC6FA1"/>
    <w:rsid w:val="00BC7487"/>
    <w:rsid w:val="00BD0570"/>
    <w:rsid w:val="00BD0853"/>
    <w:rsid w:val="00BD112D"/>
    <w:rsid w:val="00BD214E"/>
    <w:rsid w:val="00BD2395"/>
    <w:rsid w:val="00BD25B8"/>
    <w:rsid w:val="00BD2842"/>
    <w:rsid w:val="00BD3120"/>
    <w:rsid w:val="00BD3354"/>
    <w:rsid w:val="00BD384E"/>
    <w:rsid w:val="00BD3E76"/>
    <w:rsid w:val="00BD3EE2"/>
    <w:rsid w:val="00BD3FCF"/>
    <w:rsid w:val="00BD42D2"/>
    <w:rsid w:val="00BD47D7"/>
    <w:rsid w:val="00BD4EFB"/>
    <w:rsid w:val="00BD5076"/>
    <w:rsid w:val="00BD5551"/>
    <w:rsid w:val="00BD6D43"/>
    <w:rsid w:val="00BD7090"/>
    <w:rsid w:val="00BD7490"/>
    <w:rsid w:val="00BD767F"/>
    <w:rsid w:val="00BE096B"/>
    <w:rsid w:val="00BE09C3"/>
    <w:rsid w:val="00BE0C27"/>
    <w:rsid w:val="00BE15BB"/>
    <w:rsid w:val="00BE198F"/>
    <w:rsid w:val="00BE5682"/>
    <w:rsid w:val="00BE5964"/>
    <w:rsid w:val="00BE660B"/>
    <w:rsid w:val="00BE6AFE"/>
    <w:rsid w:val="00BE6BBE"/>
    <w:rsid w:val="00BE7021"/>
    <w:rsid w:val="00BE7300"/>
    <w:rsid w:val="00BE76F7"/>
    <w:rsid w:val="00BE784F"/>
    <w:rsid w:val="00BF0238"/>
    <w:rsid w:val="00BF0717"/>
    <w:rsid w:val="00BF1750"/>
    <w:rsid w:val="00BF178E"/>
    <w:rsid w:val="00BF189F"/>
    <w:rsid w:val="00BF1B44"/>
    <w:rsid w:val="00BF1F01"/>
    <w:rsid w:val="00BF23CC"/>
    <w:rsid w:val="00BF243F"/>
    <w:rsid w:val="00BF4C2B"/>
    <w:rsid w:val="00BF507A"/>
    <w:rsid w:val="00BF53F1"/>
    <w:rsid w:val="00BF5717"/>
    <w:rsid w:val="00BF5B9D"/>
    <w:rsid w:val="00BF5C45"/>
    <w:rsid w:val="00BF5FA3"/>
    <w:rsid w:val="00BF62F2"/>
    <w:rsid w:val="00BF63A5"/>
    <w:rsid w:val="00BF72A7"/>
    <w:rsid w:val="00BF7558"/>
    <w:rsid w:val="00C0111E"/>
    <w:rsid w:val="00C02676"/>
    <w:rsid w:val="00C029AB"/>
    <w:rsid w:val="00C03BD5"/>
    <w:rsid w:val="00C03C8B"/>
    <w:rsid w:val="00C03F3C"/>
    <w:rsid w:val="00C049BE"/>
    <w:rsid w:val="00C04A71"/>
    <w:rsid w:val="00C04DF0"/>
    <w:rsid w:val="00C05A4C"/>
    <w:rsid w:val="00C05A67"/>
    <w:rsid w:val="00C075DB"/>
    <w:rsid w:val="00C07FBC"/>
    <w:rsid w:val="00C11113"/>
    <w:rsid w:val="00C11687"/>
    <w:rsid w:val="00C11E28"/>
    <w:rsid w:val="00C1225B"/>
    <w:rsid w:val="00C122F9"/>
    <w:rsid w:val="00C1253A"/>
    <w:rsid w:val="00C128C9"/>
    <w:rsid w:val="00C12CF3"/>
    <w:rsid w:val="00C12F88"/>
    <w:rsid w:val="00C131A8"/>
    <w:rsid w:val="00C1322D"/>
    <w:rsid w:val="00C135A3"/>
    <w:rsid w:val="00C1477A"/>
    <w:rsid w:val="00C14A62"/>
    <w:rsid w:val="00C158EB"/>
    <w:rsid w:val="00C159B1"/>
    <w:rsid w:val="00C15D51"/>
    <w:rsid w:val="00C161F5"/>
    <w:rsid w:val="00C16C92"/>
    <w:rsid w:val="00C1706B"/>
    <w:rsid w:val="00C17DB7"/>
    <w:rsid w:val="00C17E48"/>
    <w:rsid w:val="00C17F0B"/>
    <w:rsid w:val="00C201E7"/>
    <w:rsid w:val="00C20AA2"/>
    <w:rsid w:val="00C20B91"/>
    <w:rsid w:val="00C21155"/>
    <w:rsid w:val="00C2146C"/>
    <w:rsid w:val="00C214D7"/>
    <w:rsid w:val="00C21561"/>
    <w:rsid w:val="00C217EE"/>
    <w:rsid w:val="00C22784"/>
    <w:rsid w:val="00C23A4C"/>
    <w:rsid w:val="00C2419D"/>
    <w:rsid w:val="00C243A4"/>
    <w:rsid w:val="00C24416"/>
    <w:rsid w:val="00C248DB"/>
    <w:rsid w:val="00C26170"/>
    <w:rsid w:val="00C26B5A"/>
    <w:rsid w:val="00C26D52"/>
    <w:rsid w:val="00C303E4"/>
    <w:rsid w:val="00C30775"/>
    <w:rsid w:val="00C30B8D"/>
    <w:rsid w:val="00C3134E"/>
    <w:rsid w:val="00C315D8"/>
    <w:rsid w:val="00C31C4A"/>
    <w:rsid w:val="00C31D2D"/>
    <w:rsid w:val="00C32639"/>
    <w:rsid w:val="00C32808"/>
    <w:rsid w:val="00C32AD2"/>
    <w:rsid w:val="00C33114"/>
    <w:rsid w:val="00C34193"/>
    <w:rsid w:val="00C347FD"/>
    <w:rsid w:val="00C34DAE"/>
    <w:rsid w:val="00C34E1E"/>
    <w:rsid w:val="00C34E5A"/>
    <w:rsid w:val="00C36219"/>
    <w:rsid w:val="00C3698E"/>
    <w:rsid w:val="00C36CCA"/>
    <w:rsid w:val="00C36E1C"/>
    <w:rsid w:val="00C36F42"/>
    <w:rsid w:val="00C3718A"/>
    <w:rsid w:val="00C379C5"/>
    <w:rsid w:val="00C37EEE"/>
    <w:rsid w:val="00C40453"/>
    <w:rsid w:val="00C40E71"/>
    <w:rsid w:val="00C41879"/>
    <w:rsid w:val="00C41A7C"/>
    <w:rsid w:val="00C42CEF"/>
    <w:rsid w:val="00C42D55"/>
    <w:rsid w:val="00C43080"/>
    <w:rsid w:val="00C4370E"/>
    <w:rsid w:val="00C43823"/>
    <w:rsid w:val="00C4384B"/>
    <w:rsid w:val="00C4393C"/>
    <w:rsid w:val="00C43F2D"/>
    <w:rsid w:val="00C44068"/>
    <w:rsid w:val="00C442AE"/>
    <w:rsid w:val="00C4518B"/>
    <w:rsid w:val="00C45780"/>
    <w:rsid w:val="00C458D6"/>
    <w:rsid w:val="00C45A5F"/>
    <w:rsid w:val="00C4655A"/>
    <w:rsid w:val="00C466BF"/>
    <w:rsid w:val="00C47385"/>
    <w:rsid w:val="00C47555"/>
    <w:rsid w:val="00C476AC"/>
    <w:rsid w:val="00C47E67"/>
    <w:rsid w:val="00C47FD9"/>
    <w:rsid w:val="00C50C1A"/>
    <w:rsid w:val="00C50E1E"/>
    <w:rsid w:val="00C51508"/>
    <w:rsid w:val="00C51D73"/>
    <w:rsid w:val="00C52A05"/>
    <w:rsid w:val="00C52E97"/>
    <w:rsid w:val="00C52EAF"/>
    <w:rsid w:val="00C53189"/>
    <w:rsid w:val="00C534E5"/>
    <w:rsid w:val="00C534F4"/>
    <w:rsid w:val="00C5375B"/>
    <w:rsid w:val="00C53B15"/>
    <w:rsid w:val="00C53DA9"/>
    <w:rsid w:val="00C53EF7"/>
    <w:rsid w:val="00C54280"/>
    <w:rsid w:val="00C54929"/>
    <w:rsid w:val="00C556B1"/>
    <w:rsid w:val="00C55A05"/>
    <w:rsid w:val="00C56101"/>
    <w:rsid w:val="00C565F2"/>
    <w:rsid w:val="00C567E3"/>
    <w:rsid w:val="00C56C45"/>
    <w:rsid w:val="00C573CC"/>
    <w:rsid w:val="00C57B81"/>
    <w:rsid w:val="00C57FB9"/>
    <w:rsid w:val="00C6077B"/>
    <w:rsid w:val="00C60950"/>
    <w:rsid w:val="00C60DD1"/>
    <w:rsid w:val="00C61565"/>
    <w:rsid w:val="00C61574"/>
    <w:rsid w:val="00C615B4"/>
    <w:rsid w:val="00C61ACF"/>
    <w:rsid w:val="00C6211D"/>
    <w:rsid w:val="00C62B32"/>
    <w:rsid w:val="00C63DED"/>
    <w:rsid w:val="00C63E88"/>
    <w:rsid w:val="00C64F97"/>
    <w:rsid w:val="00C65585"/>
    <w:rsid w:val="00C656EB"/>
    <w:rsid w:val="00C65DF4"/>
    <w:rsid w:val="00C67B49"/>
    <w:rsid w:val="00C711F5"/>
    <w:rsid w:val="00C713A1"/>
    <w:rsid w:val="00C71828"/>
    <w:rsid w:val="00C72105"/>
    <w:rsid w:val="00C74520"/>
    <w:rsid w:val="00C74954"/>
    <w:rsid w:val="00C76028"/>
    <w:rsid w:val="00C76184"/>
    <w:rsid w:val="00C7673D"/>
    <w:rsid w:val="00C76A80"/>
    <w:rsid w:val="00C76C27"/>
    <w:rsid w:val="00C76F07"/>
    <w:rsid w:val="00C77EF6"/>
    <w:rsid w:val="00C80B4B"/>
    <w:rsid w:val="00C80D63"/>
    <w:rsid w:val="00C812D5"/>
    <w:rsid w:val="00C81BEA"/>
    <w:rsid w:val="00C81DF5"/>
    <w:rsid w:val="00C82188"/>
    <w:rsid w:val="00C8242B"/>
    <w:rsid w:val="00C82A50"/>
    <w:rsid w:val="00C82AED"/>
    <w:rsid w:val="00C83240"/>
    <w:rsid w:val="00C83381"/>
    <w:rsid w:val="00C83607"/>
    <w:rsid w:val="00C83768"/>
    <w:rsid w:val="00C83B18"/>
    <w:rsid w:val="00C840C3"/>
    <w:rsid w:val="00C841B4"/>
    <w:rsid w:val="00C84266"/>
    <w:rsid w:val="00C849E0"/>
    <w:rsid w:val="00C84B74"/>
    <w:rsid w:val="00C8512A"/>
    <w:rsid w:val="00C85378"/>
    <w:rsid w:val="00C85970"/>
    <w:rsid w:val="00C85E9B"/>
    <w:rsid w:val="00C874C8"/>
    <w:rsid w:val="00C90165"/>
    <w:rsid w:val="00C902DA"/>
    <w:rsid w:val="00C90733"/>
    <w:rsid w:val="00C921C4"/>
    <w:rsid w:val="00C9235F"/>
    <w:rsid w:val="00C9257F"/>
    <w:rsid w:val="00C9319C"/>
    <w:rsid w:val="00C934F6"/>
    <w:rsid w:val="00C93874"/>
    <w:rsid w:val="00C93A4C"/>
    <w:rsid w:val="00C944EB"/>
    <w:rsid w:val="00C94FD2"/>
    <w:rsid w:val="00C95341"/>
    <w:rsid w:val="00C95B76"/>
    <w:rsid w:val="00C964C3"/>
    <w:rsid w:val="00C96635"/>
    <w:rsid w:val="00C966B7"/>
    <w:rsid w:val="00C969DB"/>
    <w:rsid w:val="00C97A4A"/>
    <w:rsid w:val="00C97DC9"/>
    <w:rsid w:val="00C97EE3"/>
    <w:rsid w:val="00CA042A"/>
    <w:rsid w:val="00CA12BA"/>
    <w:rsid w:val="00CA165C"/>
    <w:rsid w:val="00CA1C0D"/>
    <w:rsid w:val="00CA1DAE"/>
    <w:rsid w:val="00CA2267"/>
    <w:rsid w:val="00CA38AD"/>
    <w:rsid w:val="00CA3EEE"/>
    <w:rsid w:val="00CA5098"/>
    <w:rsid w:val="00CA5503"/>
    <w:rsid w:val="00CA66C3"/>
    <w:rsid w:val="00CA6CAD"/>
    <w:rsid w:val="00CA70A8"/>
    <w:rsid w:val="00CA70D0"/>
    <w:rsid w:val="00CA74A4"/>
    <w:rsid w:val="00CA7683"/>
    <w:rsid w:val="00CA7EA1"/>
    <w:rsid w:val="00CA7EEB"/>
    <w:rsid w:val="00CB009B"/>
    <w:rsid w:val="00CB0231"/>
    <w:rsid w:val="00CB0838"/>
    <w:rsid w:val="00CB092E"/>
    <w:rsid w:val="00CB1AFD"/>
    <w:rsid w:val="00CB1EB3"/>
    <w:rsid w:val="00CB2126"/>
    <w:rsid w:val="00CB24AD"/>
    <w:rsid w:val="00CB2C59"/>
    <w:rsid w:val="00CB2D9C"/>
    <w:rsid w:val="00CB34AB"/>
    <w:rsid w:val="00CB3529"/>
    <w:rsid w:val="00CB38A9"/>
    <w:rsid w:val="00CB4728"/>
    <w:rsid w:val="00CB5402"/>
    <w:rsid w:val="00CB59E7"/>
    <w:rsid w:val="00CB5D27"/>
    <w:rsid w:val="00CB5E4A"/>
    <w:rsid w:val="00CB6FCA"/>
    <w:rsid w:val="00CB724D"/>
    <w:rsid w:val="00CB73EA"/>
    <w:rsid w:val="00CB76E3"/>
    <w:rsid w:val="00CB7D4E"/>
    <w:rsid w:val="00CC002B"/>
    <w:rsid w:val="00CC07E5"/>
    <w:rsid w:val="00CC09F0"/>
    <w:rsid w:val="00CC0C11"/>
    <w:rsid w:val="00CC1F52"/>
    <w:rsid w:val="00CC233F"/>
    <w:rsid w:val="00CC27FD"/>
    <w:rsid w:val="00CC31E8"/>
    <w:rsid w:val="00CC3AB9"/>
    <w:rsid w:val="00CC3C9E"/>
    <w:rsid w:val="00CC45E0"/>
    <w:rsid w:val="00CC4BBE"/>
    <w:rsid w:val="00CC4BC3"/>
    <w:rsid w:val="00CC50C7"/>
    <w:rsid w:val="00CC55AC"/>
    <w:rsid w:val="00CC5859"/>
    <w:rsid w:val="00CC6D1C"/>
    <w:rsid w:val="00CC71DD"/>
    <w:rsid w:val="00CC71F3"/>
    <w:rsid w:val="00CC72C0"/>
    <w:rsid w:val="00CC757D"/>
    <w:rsid w:val="00CC7C74"/>
    <w:rsid w:val="00CD00DB"/>
    <w:rsid w:val="00CD0119"/>
    <w:rsid w:val="00CD07FD"/>
    <w:rsid w:val="00CD0866"/>
    <w:rsid w:val="00CD1169"/>
    <w:rsid w:val="00CD15F1"/>
    <w:rsid w:val="00CD16C7"/>
    <w:rsid w:val="00CD1A40"/>
    <w:rsid w:val="00CD1B33"/>
    <w:rsid w:val="00CD25F3"/>
    <w:rsid w:val="00CD27FF"/>
    <w:rsid w:val="00CD2DF3"/>
    <w:rsid w:val="00CD305C"/>
    <w:rsid w:val="00CD3A6D"/>
    <w:rsid w:val="00CD3E5A"/>
    <w:rsid w:val="00CD3E63"/>
    <w:rsid w:val="00CD40A3"/>
    <w:rsid w:val="00CD4CD3"/>
    <w:rsid w:val="00CD589F"/>
    <w:rsid w:val="00CD60C9"/>
    <w:rsid w:val="00CD6345"/>
    <w:rsid w:val="00CD6BBB"/>
    <w:rsid w:val="00CD7482"/>
    <w:rsid w:val="00CE07C1"/>
    <w:rsid w:val="00CE1567"/>
    <w:rsid w:val="00CE186F"/>
    <w:rsid w:val="00CE20E3"/>
    <w:rsid w:val="00CE273A"/>
    <w:rsid w:val="00CE321C"/>
    <w:rsid w:val="00CE32E8"/>
    <w:rsid w:val="00CE3700"/>
    <w:rsid w:val="00CE3B69"/>
    <w:rsid w:val="00CE4559"/>
    <w:rsid w:val="00CE5118"/>
    <w:rsid w:val="00CE5487"/>
    <w:rsid w:val="00CE59B5"/>
    <w:rsid w:val="00CE59DB"/>
    <w:rsid w:val="00CE5D3A"/>
    <w:rsid w:val="00CE67D8"/>
    <w:rsid w:val="00CE7381"/>
    <w:rsid w:val="00CE7447"/>
    <w:rsid w:val="00CE74CE"/>
    <w:rsid w:val="00CF0829"/>
    <w:rsid w:val="00CF0E74"/>
    <w:rsid w:val="00CF1833"/>
    <w:rsid w:val="00CF1AEA"/>
    <w:rsid w:val="00CF2091"/>
    <w:rsid w:val="00CF21F6"/>
    <w:rsid w:val="00CF2278"/>
    <w:rsid w:val="00CF2C62"/>
    <w:rsid w:val="00CF2F66"/>
    <w:rsid w:val="00CF337B"/>
    <w:rsid w:val="00CF3FE7"/>
    <w:rsid w:val="00CF4416"/>
    <w:rsid w:val="00CF5762"/>
    <w:rsid w:val="00CF65B4"/>
    <w:rsid w:val="00CF69B0"/>
    <w:rsid w:val="00CF6C05"/>
    <w:rsid w:val="00CF7485"/>
    <w:rsid w:val="00CF7E56"/>
    <w:rsid w:val="00D01744"/>
    <w:rsid w:val="00D01C03"/>
    <w:rsid w:val="00D025CE"/>
    <w:rsid w:val="00D02A0F"/>
    <w:rsid w:val="00D02CA6"/>
    <w:rsid w:val="00D02DF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A9C"/>
    <w:rsid w:val="00D10076"/>
    <w:rsid w:val="00D1033B"/>
    <w:rsid w:val="00D10477"/>
    <w:rsid w:val="00D107E2"/>
    <w:rsid w:val="00D11D76"/>
    <w:rsid w:val="00D121F5"/>
    <w:rsid w:val="00D126E4"/>
    <w:rsid w:val="00D131BF"/>
    <w:rsid w:val="00D13A90"/>
    <w:rsid w:val="00D140E6"/>
    <w:rsid w:val="00D158EF"/>
    <w:rsid w:val="00D15C14"/>
    <w:rsid w:val="00D15E74"/>
    <w:rsid w:val="00D15FAA"/>
    <w:rsid w:val="00D16ECB"/>
    <w:rsid w:val="00D16EEE"/>
    <w:rsid w:val="00D17167"/>
    <w:rsid w:val="00D17BA5"/>
    <w:rsid w:val="00D2058D"/>
    <w:rsid w:val="00D2176E"/>
    <w:rsid w:val="00D2182A"/>
    <w:rsid w:val="00D2193D"/>
    <w:rsid w:val="00D22105"/>
    <w:rsid w:val="00D2211C"/>
    <w:rsid w:val="00D22B55"/>
    <w:rsid w:val="00D23055"/>
    <w:rsid w:val="00D230AD"/>
    <w:rsid w:val="00D2320E"/>
    <w:rsid w:val="00D251AB"/>
    <w:rsid w:val="00D25240"/>
    <w:rsid w:val="00D25AC6"/>
    <w:rsid w:val="00D261D3"/>
    <w:rsid w:val="00D319DF"/>
    <w:rsid w:val="00D31C02"/>
    <w:rsid w:val="00D3225E"/>
    <w:rsid w:val="00D324BC"/>
    <w:rsid w:val="00D33565"/>
    <w:rsid w:val="00D33761"/>
    <w:rsid w:val="00D33762"/>
    <w:rsid w:val="00D34BD1"/>
    <w:rsid w:val="00D35177"/>
    <w:rsid w:val="00D356C0"/>
    <w:rsid w:val="00D356E1"/>
    <w:rsid w:val="00D40609"/>
    <w:rsid w:val="00D40983"/>
    <w:rsid w:val="00D41188"/>
    <w:rsid w:val="00D417D3"/>
    <w:rsid w:val="00D418D5"/>
    <w:rsid w:val="00D41DB1"/>
    <w:rsid w:val="00D4276D"/>
    <w:rsid w:val="00D42798"/>
    <w:rsid w:val="00D42970"/>
    <w:rsid w:val="00D43AED"/>
    <w:rsid w:val="00D44916"/>
    <w:rsid w:val="00D45AE4"/>
    <w:rsid w:val="00D45CA4"/>
    <w:rsid w:val="00D45EA7"/>
    <w:rsid w:val="00D45F22"/>
    <w:rsid w:val="00D47178"/>
    <w:rsid w:val="00D4752E"/>
    <w:rsid w:val="00D47842"/>
    <w:rsid w:val="00D47BEF"/>
    <w:rsid w:val="00D50826"/>
    <w:rsid w:val="00D51675"/>
    <w:rsid w:val="00D51F73"/>
    <w:rsid w:val="00D52827"/>
    <w:rsid w:val="00D529BE"/>
    <w:rsid w:val="00D52CF6"/>
    <w:rsid w:val="00D53D3E"/>
    <w:rsid w:val="00D547E0"/>
    <w:rsid w:val="00D54992"/>
    <w:rsid w:val="00D55291"/>
    <w:rsid w:val="00D55C48"/>
    <w:rsid w:val="00D55E47"/>
    <w:rsid w:val="00D56392"/>
    <w:rsid w:val="00D56997"/>
    <w:rsid w:val="00D570E6"/>
    <w:rsid w:val="00D5730F"/>
    <w:rsid w:val="00D5774F"/>
    <w:rsid w:val="00D60809"/>
    <w:rsid w:val="00D60D7F"/>
    <w:rsid w:val="00D61C9C"/>
    <w:rsid w:val="00D62111"/>
    <w:rsid w:val="00D62229"/>
    <w:rsid w:val="00D625B8"/>
    <w:rsid w:val="00D626F8"/>
    <w:rsid w:val="00D636DC"/>
    <w:rsid w:val="00D63F4C"/>
    <w:rsid w:val="00D64613"/>
    <w:rsid w:val="00D64702"/>
    <w:rsid w:val="00D66BFD"/>
    <w:rsid w:val="00D66C91"/>
    <w:rsid w:val="00D674EE"/>
    <w:rsid w:val="00D67535"/>
    <w:rsid w:val="00D67BC9"/>
    <w:rsid w:val="00D67DBC"/>
    <w:rsid w:val="00D704D9"/>
    <w:rsid w:val="00D70BD2"/>
    <w:rsid w:val="00D713F2"/>
    <w:rsid w:val="00D72705"/>
    <w:rsid w:val="00D738BF"/>
    <w:rsid w:val="00D73B93"/>
    <w:rsid w:val="00D73C95"/>
    <w:rsid w:val="00D745C1"/>
    <w:rsid w:val="00D756F6"/>
    <w:rsid w:val="00D75731"/>
    <w:rsid w:val="00D75B45"/>
    <w:rsid w:val="00D75B5C"/>
    <w:rsid w:val="00D75F8C"/>
    <w:rsid w:val="00D76050"/>
    <w:rsid w:val="00D76309"/>
    <w:rsid w:val="00D76423"/>
    <w:rsid w:val="00D767BF"/>
    <w:rsid w:val="00D77278"/>
    <w:rsid w:val="00D775B5"/>
    <w:rsid w:val="00D77961"/>
    <w:rsid w:val="00D77B20"/>
    <w:rsid w:val="00D77B3B"/>
    <w:rsid w:val="00D8007C"/>
    <w:rsid w:val="00D8079F"/>
    <w:rsid w:val="00D8103B"/>
    <w:rsid w:val="00D8111B"/>
    <w:rsid w:val="00D81242"/>
    <w:rsid w:val="00D812D2"/>
    <w:rsid w:val="00D82D02"/>
    <w:rsid w:val="00D82D0F"/>
    <w:rsid w:val="00D83A5A"/>
    <w:rsid w:val="00D84157"/>
    <w:rsid w:val="00D84BD7"/>
    <w:rsid w:val="00D84DCA"/>
    <w:rsid w:val="00D85114"/>
    <w:rsid w:val="00D857BC"/>
    <w:rsid w:val="00D85CC6"/>
    <w:rsid w:val="00D86A92"/>
    <w:rsid w:val="00D871B6"/>
    <w:rsid w:val="00D875E1"/>
    <w:rsid w:val="00D90275"/>
    <w:rsid w:val="00D902F5"/>
    <w:rsid w:val="00D9075D"/>
    <w:rsid w:val="00D90959"/>
    <w:rsid w:val="00D91410"/>
    <w:rsid w:val="00D91438"/>
    <w:rsid w:val="00D91594"/>
    <w:rsid w:val="00D91ABE"/>
    <w:rsid w:val="00D91DFB"/>
    <w:rsid w:val="00D921DA"/>
    <w:rsid w:val="00D92C2F"/>
    <w:rsid w:val="00D92F7F"/>
    <w:rsid w:val="00D930AC"/>
    <w:rsid w:val="00D9459D"/>
    <w:rsid w:val="00D94730"/>
    <w:rsid w:val="00D94858"/>
    <w:rsid w:val="00D94972"/>
    <w:rsid w:val="00D954A1"/>
    <w:rsid w:val="00D95519"/>
    <w:rsid w:val="00D95744"/>
    <w:rsid w:val="00D958FC"/>
    <w:rsid w:val="00D959AE"/>
    <w:rsid w:val="00D95DC2"/>
    <w:rsid w:val="00D96678"/>
    <w:rsid w:val="00D96C73"/>
    <w:rsid w:val="00D96D46"/>
    <w:rsid w:val="00D97C27"/>
    <w:rsid w:val="00DA032C"/>
    <w:rsid w:val="00DA0526"/>
    <w:rsid w:val="00DA0639"/>
    <w:rsid w:val="00DA0B8C"/>
    <w:rsid w:val="00DA0CF7"/>
    <w:rsid w:val="00DA0E96"/>
    <w:rsid w:val="00DA1203"/>
    <w:rsid w:val="00DA18DA"/>
    <w:rsid w:val="00DA1F0C"/>
    <w:rsid w:val="00DA3565"/>
    <w:rsid w:val="00DA3A5B"/>
    <w:rsid w:val="00DA3D0B"/>
    <w:rsid w:val="00DA3F51"/>
    <w:rsid w:val="00DA45DB"/>
    <w:rsid w:val="00DA48D9"/>
    <w:rsid w:val="00DA49F8"/>
    <w:rsid w:val="00DA4AAE"/>
    <w:rsid w:val="00DA5572"/>
    <w:rsid w:val="00DA6A15"/>
    <w:rsid w:val="00DA6CC2"/>
    <w:rsid w:val="00DA7029"/>
    <w:rsid w:val="00DA77A0"/>
    <w:rsid w:val="00DB09A2"/>
    <w:rsid w:val="00DB103D"/>
    <w:rsid w:val="00DB1448"/>
    <w:rsid w:val="00DB1907"/>
    <w:rsid w:val="00DB1998"/>
    <w:rsid w:val="00DB1FC4"/>
    <w:rsid w:val="00DB21F0"/>
    <w:rsid w:val="00DB2C5F"/>
    <w:rsid w:val="00DB3A58"/>
    <w:rsid w:val="00DB3BDF"/>
    <w:rsid w:val="00DB3C58"/>
    <w:rsid w:val="00DB3D46"/>
    <w:rsid w:val="00DB401C"/>
    <w:rsid w:val="00DB46C8"/>
    <w:rsid w:val="00DB540E"/>
    <w:rsid w:val="00DB5A63"/>
    <w:rsid w:val="00DB6166"/>
    <w:rsid w:val="00DB656B"/>
    <w:rsid w:val="00DB691E"/>
    <w:rsid w:val="00DB75A3"/>
    <w:rsid w:val="00DC0574"/>
    <w:rsid w:val="00DC0C65"/>
    <w:rsid w:val="00DC0F69"/>
    <w:rsid w:val="00DC16BF"/>
    <w:rsid w:val="00DC16E1"/>
    <w:rsid w:val="00DC16FC"/>
    <w:rsid w:val="00DC1881"/>
    <w:rsid w:val="00DC1ED7"/>
    <w:rsid w:val="00DC3A6F"/>
    <w:rsid w:val="00DC3D1C"/>
    <w:rsid w:val="00DC43E1"/>
    <w:rsid w:val="00DC5199"/>
    <w:rsid w:val="00DC5A32"/>
    <w:rsid w:val="00DC5E4E"/>
    <w:rsid w:val="00DC651B"/>
    <w:rsid w:val="00DC662F"/>
    <w:rsid w:val="00DC6E78"/>
    <w:rsid w:val="00DC729A"/>
    <w:rsid w:val="00DC73B1"/>
    <w:rsid w:val="00DC7519"/>
    <w:rsid w:val="00DC7630"/>
    <w:rsid w:val="00DC7EB5"/>
    <w:rsid w:val="00DD04AC"/>
    <w:rsid w:val="00DD04DD"/>
    <w:rsid w:val="00DD0891"/>
    <w:rsid w:val="00DD0B35"/>
    <w:rsid w:val="00DD0C4D"/>
    <w:rsid w:val="00DD0F9F"/>
    <w:rsid w:val="00DD11A7"/>
    <w:rsid w:val="00DD1298"/>
    <w:rsid w:val="00DD2300"/>
    <w:rsid w:val="00DD2309"/>
    <w:rsid w:val="00DD28B3"/>
    <w:rsid w:val="00DD2DE3"/>
    <w:rsid w:val="00DD2DE8"/>
    <w:rsid w:val="00DD316F"/>
    <w:rsid w:val="00DD357C"/>
    <w:rsid w:val="00DD37CA"/>
    <w:rsid w:val="00DD3D55"/>
    <w:rsid w:val="00DD3DF7"/>
    <w:rsid w:val="00DD4AE2"/>
    <w:rsid w:val="00DD4BFA"/>
    <w:rsid w:val="00DD51F8"/>
    <w:rsid w:val="00DD6388"/>
    <w:rsid w:val="00DD6C53"/>
    <w:rsid w:val="00DD7198"/>
    <w:rsid w:val="00DD7CB6"/>
    <w:rsid w:val="00DE0077"/>
    <w:rsid w:val="00DE0137"/>
    <w:rsid w:val="00DE01BA"/>
    <w:rsid w:val="00DE0DCF"/>
    <w:rsid w:val="00DE137B"/>
    <w:rsid w:val="00DE19D9"/>
    <w:rsid w:val="00DE1DC6"/>
    <w:rsid w:val="00DE1F77"/>
    <w:rsid w:val="00DE21C6"/>
    <w:rsid w:val="00DE22AA"/>
    <w:rsid w:val="00DE288F"/>
    <w:rsid w:val="00DE2D49"/>
    <w:rsid w:val="00DE3E66"/>
    <w:rsid w:val="00DE3F75"/>
    <w:rsid w:val="00DE41FC"/>
    <w:rsid w:val="00DE45F5"/>
    <w:rsid w:val="00DE4AAD"/>
    <w:rsid w:val="00DE4C0C"/>
    <w:rsid w:val="00DE4FC8"/>
    <w:rsid w:val="00DE53B5"/>
    <w:rsid w:val="00DE5A50"/>
    <w:rsid w:val="00DE60C5"/>
    <w:rsid w:val="00DE7323"/>
    <w:rsid w:val="00DE75F0"/>
    <w:rsid w:val="00DE77CB"/>
    <w:rsid w:val="00DE7EBA"/>
    <w:rsid w:val="00DF04BD"/>
    <w:rsid w:val="00DF068D"/>
    <w:rsid w:val="00DF0D3A"/>
    <w:rsid w:val="00DF140A"/>
    <w:rsid w:val="00DF1A9A"/>
    <w:rsid w:val="00DF1C2D"/>
    <w:rsid w:val="00DF1F8A"/>
    <w:rsid w:val="00DF248E"/>
    <w:rsid w:val="00DF3577"/>
    <w:rsid w:val="00DF4063"/>
    <w:rsid w:val="00DF5F13"/>
    <w:rsid w:val="00DF63DD"/>
    <w:rsid w:val="00DF6B62"/>
    <w:rsid w:val="00DF7BD0"/>
    <w:rsid w:val="00DF7BDF"/>
    <w:rsid w:val="00E0005F"/>
    <w:rsid w:val="00E00303"/>
    <w:rsid w:val="00E00A62"/>
    <w:rsid w:val="00E010A0"/>
    <w:rsid w:val="00E0125E"/>
    <w:rsid w:val="00E01668"/>
    <w:rsid w:val="00E0173A"/>
    <w:rsid w:val="00E01849"/>
    <w:rsid w:val="00E020D1"/>
    <w:rsid w:val="00E02B64"/>
    <w:rsid w:val="00E02EAD"/>
    <w:rsid w:val="00E03D3F"/>
    <w:rsid w:val="00E03DED"/>
    <w:rsid w:val="00E0437C"/>
    <w:rsid w:val="00E0452C"/>
    <w:rsid w:val="00E04D61"/>
    <w:rsid w:val="00E0504C"/>
    <w:rsid w:val="00E05074"/>
    <w:rsid w:val="00E05489"/>
    <w:rsid w:val="00E05741"/>
    <w:rsid w:val="00E05F7F"/>
    <w:rsid w:val="00E06549"/>
    <w:rsid w:val="00E06930"/>
    <w:rsid w:val="00E06971"/>
    <w:rsid w:val="00E105B3"/>
    <w:rsid w:val="00E10846"/>
    <w:rsid w:val="00E108F4"/>
    <w:rsid w:val="00E10D4E"/>
    <w:rsid w:val="00E1100C"/>
    <w:rsid w:val="00E11489"/>
    <w:rsid w:val="00E11711"/>
    <w:rsid w:val="00E11E63"/>
    <w:rsid w:val="00E12696"/>
    <w:rsid w:val="00E1310D"/>
    <w:rsid w:val="00E13359"/>
    <w:rsid w:val="00E138BF"/>
    <w:rsid w:val="00E14EFA"/>
    <w:rsid w:val="00E151B9"/>
    <w:rsid w:val="00E158C4"/>
    <w:rsid w:val="00E161E6"/>
    <w:rsid w:val="00E167C9"/>
    <w:rsid w:val="00E1698C"/>
    <w:rsid w:val="00E16BDB"/>
    <w:rsid w:val="00E172BE"/>
    <w:rsid w:val="00E17CF7"/>
    <w:rsid w:val="00E205D6"/>
    <w:rsid w:val="00E216EC"/>
    <w:rsid w:val="00E2189A"/>
    <w:rsid w:val="00E21A60"/>
    <w:rsid w:val="00E22B5A"/>
    <w:rsid w:val="00E22B68"/>
    <w:rsid w:val="00E231C9"/>
    <w:rsid w:val="00E23EBF"/>
    <w:rsid w:val="00E23FD5"/>
    <w:rsid w:val="00E24669"/>
    <w:rsid w:val="00E24C48"/>
    <w:rsid w:val="00E25981"/>
    <w:rsid w:val="00E26141"/>
    <w:rsid w:val="00E266F5"/>
    <w:rsid w:val="00E270D3"/>
    <w:rsid w:val="00E27FC7"/>
    <w:rsid w:val="00E30700"/>
    <w:rsid w:val="00E31360"/>
    <w:rsid w:val="00E31D28"/>
    <w:rsid w:val="00E325FF"/>
    <w:rsid w:val="00E32CB8"/>
    <w:rsid w:val="00E3440F"/>
    <w:rsid w:val="00E34F3A"/>
    <w:rsid w:val="00E35F99"/>
    <w:rsid w:val="00E35F9A"/>
    <w:rsid w:val="00E3637F"/>
    <w:rsid w:val="00E364B6"/>
    <w:rsid w:val="00E36723"/>
    <w:rsid w:val="00E3713C"/>
    <w:rsid w:val="00E3767B"/>
    <w:rsid w:val="00E37E1C"/>
    <w:rsid w:val="00E40126"/>
    <w:rsid w:val="00E40CBF"/>
    <w:rsid w:val="00E40E7D"/>
    <w:rsid w:val="00E40EE4"/>
    <w:rsid w:val="00E413C6"/>
    <w:rsid w:val="00E420D5"/>
    <w:rsid w:val="00E42517"/>
    <w:rsid w:val="00E42948"/>
    <w:rsid w:val="00E42D55"/>
    <w:rsid w:val="00E42FFE"/>
    <w:rsid w:val="00E4316E"/>
    <w:rsid w:val="00E435AB"/>
    <w:rsid w:val="00E44275"/>
    <w:rsid w:val="00E44705"/>
    <w:rsid w:val="00E44777"/>
    <w:rsid w:val="00E4535F"/>
    <w:rsid w:val="00E466BC"/>
    <w:rsid w:val="00E4686A"/>
    <w:rsid w:val="00E47732"/>
    <w:rsid w:val="00E479FD"/>
    <w:rsid w:val="00E504D6"/>
    <w:rsid w:val="00E50B6F"/>
    <w:rsid w:val="00E50EBE"/>
    <w:rsid w:val="00E50F69"/>
    <w:rsid w:val="00E50FC6"/>
    <w:rsid w:val="00E52372"/>
    <w:rsid w:val="00E52786"/>
    <w:rsid w:val="00E52F05"/>
    <w:rsid w:val="00E540CA"/>
    <w:rsid w:val="00E55B28"/>
    <w:rsid w:val="00E56D4A"/>
    <w:rsid w:val="00E57119"/>
    <w:rsid w:val="00E5719E"/>
    <w:rsid w:val="00E57D7B"/>
    <w:rsid w:val="00E57F4B"/>
    <w:rsid w:val="00E602E5"/>
    <w:rsid w:val="00E602F8"/>
    <w:rsid w:val="00E6085B"/>
    <w:rsid w:val="00E60FBA"/>
    <w:rsid w:val="00E60FBF"/>
    <w:rsid w:val="00E611AE"/>
    <w:rsid w:val="00E616F9"/>
    <w:rsid w:val="00E61852"/>
    <w:rsid w:val="00E61A0C"/>
    <w:rsid w:val="00E61D22"/>
    <w:rsid w:val="00E61D96"/>
    <w:rsid w:val="00E61E4B"/>
    <w:rsid w:val="00E63DA2"/>
    <w:rsid w:val="00E642AF"/>
    <w:rsid w:val="00E644C6"/>
    <w:rsid w:val="00E64555"/>
    <w:rsid w:val="00E64595"/>
    <w:rsid w:val="00E646BB"/>
    <w:rsid w:val="00E64D24"/>
    <w:rsid w:val="00E64FAF"/>
    <w:rsid w:val="00E653A6"/>
    <w:rsid w:val="00E6549C"/>
    <w:rsid w:val="00E654B9"/>
    <w:rsid w:val="00E6589D"/>
    <w:rsid w:val="00E65E8C"/>
    <w:rsid w:val="00E665E7"/>
    <w:rsid w:val="00E668DB"/>
    <w:rsid w:val="00E66C96"/>
    <w:rsid w:val="00E70130"/>
    <w:rsid w:val="00E71063"/>
    <w:rsid w:val="00E715FC"/>
    <w:rsid w:val="00E71A45"/>
    <w:rsid w:val="00E71C21"/>
    <w:rsid w:val="00E72F23"/>
    <w:rsid w:val="00E730FC"/>
    <w:rsid w:val="00E73481"/>
    <w:rsid w:val="00E7385A"/>
    <w:rsid w:val="00E73CE6"/>
    <w:rsid w:val="00E74780"/>
    <w:rsid w:val="00E74956"/>
    <w:rsid w:val="00E752F7"/>
    <w:rsid w:val="00E75848"/>
    <w:rsid w:val="00E759D4"/>
    <w:rsid w:val="00E76A3C"/>
    <w:rsid w:val="00E76F9B"/>
    <w:rsid w:val="00E771FC"/>
    <w:rsid w:val="00E773E5"/>
    <w:rsid w:val="00E77BDD"/>
    <w:rsid w:val="00E806D3"/>
    <w:rsid w:val="00E81C34"/>
    <w:rsid w:val="00E81D83"/>
    <w:rsid w:val="00E821BB"/>
    <w:rsid w:val="00E822E9"/>
    <w:rsid w:val="00E826FE"/>
    <w:rsid w:val="00E8275E"/>
    <w:rsid w:val="00E827AF"/>
    <w:rsid w:val="00E82DE9"/>
    <w:rsid w:val="00E83253"/>
    <w:rsid w:val="00E83831"/>
    <w:rsid w:val="00E844AB"/>
    <w:rsid w:val="00E84C97"/>
    <w:rsid w:val="00E85005"/>
    <w:rsid w:val="00E85296"/>
    <w:rsid w:val="00E8533B"/>
    <w:rsid w:val="00E85E4E"/>
    <w:rsid w:val="00E86327"/>
    <w:rsid w:val="00E86DF0"/>
    <w:rsid w:val="00E87BD2"/>
    <w:rsid w:val="00E87CDC"/>
    <w:rsid w:val="00E90B33"/>
    <w:rsid w:val="00E911E0"/>
    <w:rsid w:val="00E93407"/>
    <w:rsid w:val="00E940A8"/>
    <w:rsid w:val="00E947E8"/>
    <w:rsid w:val="00E94B0F"/>
    <w:rsid w:val="00E9503F"/>
    <w:rsid w:val="00E956F3"/>
    <w:rsid w:val="00E96E68"/>
    <w:rsid w:val="00E97013"/>
    <w:rsid w:val="00E97EA1"/>
    <w:rsid w:val="00EA0BBE"/>
    <w:rsid w:val="00EA1FBC"/>
    <w:rsid w:val="00EA20A1"/>
    <w:rsid w:val="00EA212B"/>
    <w:rsid w:val="00EA2D44"/>
    <w:rsid w:val="00EA3A1D"/>
    <w:rsid w:val="00EA3CD7"/>
    <w:rsid w:val="00EA3E2D"/>
    <w:rsid w:val="00EA429D"/>
    <w:rsid w:val="00EA43AF"/>
    <w:rsid w:val="00EA4676"/>
    <w:rsid w:val="00EA47FB"/>
    <w:rsid w:val="00EA4C7C"/>
    <w:rsid w:val="00EA4D4C"/>
    <w:rsid w:val="00EA554F"/>
    <w:rsid w:val="00EA6250"/>
    <w:rsid w:val="00EA66A4"/>
    <w:rsid w:val="00EA6819"/>
    <w:rsid w:val="00EA6A1E"/>
    <w:rsid w:val="00EA75BD"/>
    <w:rsid w:val="00EA7C47"/>
    <w:rsid w:val="00EB0B15"/>
    <w:rsid w:val="00EB0F0F"/>
    <w:rsid w:val="00EB12A5"/>
    <w:rsid w:val="00EB24D8"/>
    <w:rsid w:val="00EB277B"/>
    <w:rsid w:val="00EB2F20"/>
    <w:rsid w:val="00EB2F35"/>
    <w:rsid w:val="00EB31DB"/>
    <w:rsid w:val="00EB3422"/>
    <w:rsid w:val="00EB3A31"/>
    <w:rsid w:val="00EB4EAF"/>
    <w:rsid w:val="00EB548E"/>
    <w:rsid w:val="00EB5C41"/>
    <w:rsid w:val="00EB5F5A"/>
    <w:rsid w:val="00EB657E"/>
    <w:rsid w:val="00EB695E"/>
    <w:rsid w:val="00EB69D1"/>
    <w:rsid w:val="00EB69D4"/>
    <w:rsid w:val="00EB6FE9"/>
    <w:rsid w:val="00EB72FF"/>
    <w:rsid w:val="00EB756F"/>
    <w:rsid w:val="00EB79C8"/>
    <w:rsid w:val="00EB7E78"/>
    <w:rsid w:val="00EC0301"/>
    <w:rsid w:val="00EC09C6"/>
    <w:rsid w:val="00EC0EA5"/>
    <w:rsid w:val="00EC1056"/>
    <w:rsid w:val="00EC1470"/>
    <w:rsid w:val="00EC222E"/>
    <w:rsid w:val="00EC2716"/>
    <w:rsid w:val="00EC2DBB"/>
    <w:rsid w:val="00EC358E"/>
    <w:rsid w:val="00EC3FD2"/>
    <w:rsid w:val="00EC4095"/>
    <w:rsid w:val="00EC43B5"/>
    <w:rsid w:val="00EC4537"/>
    <w:rsid w:val="00EC4960"/>
    <w:rsid w:val="00EC4AE3"/>
    <w:rsid w:val="00EC54EE"/>
    <w:rsid w:val="00EC59B2"/>
    <w:rsid w:val="00EC5A3B"/>
    <w:rsid w:val="00EC786C"/>
    <w:rsid w:val="00EC7ADD"/>
    <w:rsid w:val="00ED04FE"/>
    <w:rsid w:val="00ED0DD0"/>
    <w:rsid w:val="00ED1989"/>
    <w:rsid w:val="00ED28F2"/>
    <w:rsid w:val="00ED3145"/>
    <w:rsid w:val="00ED3309"/>
    <w:rsid w:val="00ED356E"/>
    <w:rsid w:val="00ED3BDA"/>
    <w:rsid w:val="00ED5A3B"/>
    <w:rsid w:val="00ED5C30"/>
    <w:rsid w:val="00ED5E02"/>
    <w:rsid w:val="00ED5EED"/>
    <w:rsid w:val="00ED612A"/>
    <w:rsid w:val="00ED6B1C"/>
    <w:rsid w:val="00ED6CF7"/>
    <w:rsid w:val="00ED6F33"/>
    <w:rsid w:val="00ED7716"/>
    <w:rsid w:val="00ED7737"/>
    <w:rsid w:val="00ED7747"/>
    <w:rsid w:val="00ED7CF4"/>
    <w:rsid w:val="00EE0786"/>
    <w:rsid w:val="00EE1B0E"/>
    <w:rsid w:val="00EE22FB"/>
    <w:rsid w:val="00EE2407"/>
    <w:rsid w:val="00EE26AE"/>
    <w:rsid w:val="00EE29C8"/>
    <w:rsid w:val="00EE2A54"/>
    <w:rsid w:val="00EE2FC2"/>
    <w:rsid w:val="00EE3B88"/>
    <w:rsid w:val="00EE4B75"/>
    <w:rsid w:val="00EE4DBD"/>
    <w:rsid w:val="00EE6AC6"/>
    <w:rsid w:val="00EE6E26"/>
    <w:rsid w:val="00EE784F"/>
    <w:rsid w:val="00EE7A1D"/>
    <w:rsid w:val="00EF0500"/>
    <w:rsid w:val="00EF1002"/>
    <w:rsid w:val="00EF143F"/>
    <w:rsid w:val="00EF1D3B"/>
    <w:rsid w:val="00EF23D8"/>
    <w:rsid w:val="00EF2A5A"/>
    <w:rsid w:val="00EF2A87"/>
    <w:rsid w:val="00EF3A74"/>
    <w:rsid w:val="00EF3AE9"/>
    <w:rsid w:val="00EF3EA5"/>
    <w:rsid w:val="00EF49FB"/>
    <w:rsid w:val="00EF55D6"/>
    <w:rsid w:val="00EF644D"/>
    <w:rsid w:val="00EF6D29"/>
    <w:rsid w:val="00EF7138"/>
    <w:rsid w:val="00EF7E0B"/>
    <w:rsid w:val="00F00881"/>
    <w:rsid w:val="00F00917"/>
    <w:rsid w:val="00F010BB"/>
    <w:rsid w:val="00F012C1"/>
    <w:rsid w:val="00F0175F"/>
    <w:rsid w:val="00F01A41"/>
    <w:rsid w:val="00F03280"/>
    <w:rsid w:val="00F0362A"/>
    <w:rsid w:val="00F0385C"/>
    <w:rsid w:val="00F03ABE"/>
    <w:rsid w:val="00F03B69"/>
    <w:rsid w:val="00F04345"/>
    <w:rsid w:val="00F047A4"/>
    <w:rsid w:val="00F04F52"/>
    <w:rsid w:val="00F0510F"/>
    <w:rsid w:val="00F0563F"/>
    <w:rsid w:val="00F064EF"/>
    <w:rsid w:val="00F06558"/>
    <w:rsid w:val="00F06F42"/>
    <w:rsid w:val="00F07122"/>
    <w:rsid w:val="00F074C9"/>
    <w:rsid w:val="00F07C82"/>
    <w:rsid w:val="00F07F5E"/>
    <w:rsid w:val="00F1001E"/>
    <w:rsid w:val="00F106BB"/>
    <w:rsid w:val="00F11027"/>
    <w:rsid w:val="00F111BA"/>
    <w:rsid w:val="00F116DD"/>
    <w:rsid w:val="00F11D9F"/>
    <w:rsid w:val="00F11E31"/>
    <w:rsid w:val="00F12C53"/>
    <w:rsid w:val="00F13AA1"/>
    <w:rsid w:val="00F13F2A"/>
    <w:rsid w:val="00F15097"/>
    <w:rsid w:val="00F153F8"/>
    <w:rsid w:val="00F15671"/>
    <w:rsid w:val="00F16695"/>
    <w:rsid w:val="00F202E3"/>
    <w:rsid w:val="00F20C6E"/>
    <w:rsid w:val="00F20D6C"/>
    <w:rsid w:val="00F2255F"/>
    <w:rsid w:val="00F225CF"/>
    <w:rsid w:val="00F22882"/>
    <w:rsid w:val="00F22985"/>
    <w:rsid w:val="00F22AEF"/>
    <w:rsid w:val="00F22F7A"/>
    <w:rsid w:val="00F2343C"/>
    <w:rsid w:val="00F23CFC"/>
    <w:rsid w:val="00F24076"/>
    <w:rsid w:val="00F240CB"/>
    <w:rsid w:val="00F2492F"/>
    <w:rsid w:val="00F2500D"/>
    <w:rsid w:val="00F2596D"/>
    <w:rsid w:val="00F25CAA"/>
    <w:rsid w:val="00F26AD6"/>
    <w:rsid w:val="00F2711C"/>
    <w:rsid w:val="00F27253"/>
    <w:rsid w:val="00F277E8"/>
    <w:rsid w:val="00F27B04"/>
    <w:rsid w:val="00F27E3D"/>
    <w:rsid w:val="00F301D0"/>
    <w:rsid w:val="00F3069F"/>
    <w:rsid w:val="00F30C3F"/>
    <w:rsid w:val="00F30C60"/>
    <w:rsid w:val="00F30F38"/>
    <w:rsid w:val="00F311D1"/>
    <w:rsid w:val="00F3158A"/>
    <w:rsid w:val="00F318DB"/>
    <w:rsid w:val="00F3199C"/>
    <w:rsid w:val="00F31F7D"/>
    <w:rsid w:val="00F31FB9"/>
    <w:rsid w:val="00F326F6"/>
    <w:rsid w:val="00F32AFF"/>
    <w:rsid w:val="00F33825"/>
    <w:rsid w:val="00F33A8B"/>
    <w:rsid w:val="00F33D3B"/>
    <w:rsid w:val="00F34A96"/>
    <w:rsid w:val="00F34EBF"/>
    <w:rsid w:val="00F34F05"/>
    <w:rsid w:val="00F356D5"/>
    <w:rsid w:val="00F361AE"/>
    <w:rsid w:val="00F36240"/>
    <w:rsid w:val="00F363EB"/>
    <w:rsid w:val="00F365DE"/>
    <w:rsid w:val="00F366DA"/>
    <w:rsid w:val="00F367CF"/>
    <w:rsid w:val="00F36D37"/>
    <w:rsid w:val="00F3719A"/>
    <w:rsid w:val="00F379BF"/>
    <w:rsid w:val="00F37EA7"/>
    <w:rsid w:val="00F40805"/>
    <w:rsid w:val="00F40B93"/>
    <w:rsid w:val="00F40C5E"/>
    <w:rsid w:val="00F40E3E"/>
    <w:rsid w:val="00F4163A"/>
    <w:rsid w:val="00F41873"/>
    <w:rsid w:val="00F419C3"/>
    <w:rsid w:val="00F41D91"/>
    <w:rsid w:val="00F41E2B"/>
    <w:rsid w:val="00F423BE"/>
    <w:rsid w:val="00F424A5"/>
    <w:rsid w:val="00F425EF"/>
    <w:rsid w:val="00F428AC"/>
    <w:rsid w:val="00F42EE3"/>
    <w:rsid w:val="00F43149"/>
    <w:rsid w:val="00F43660"/>
    <w:rsid w:val="00F43B91"/>
    <w:rsid w:val="00F44542"/>
    <w:rsid w:val="00F448DD"/>
    <w:rsid w:val="00F44D6A"/>
    <w:rsid w:val="00F44DB8"/>
    <w:rsid w:val="00F45760"/>
    <w:rsid w:val="00F45925"/>
    <w:rsid w:val="00F46BA6"/>
    <w:rsid w:val="00F46C97"/>
    <w:rsid w:val="00F4703E"/>
    <w:rsid w:val="00F50781"/>
    <w:rsid w:val="00F50CA3"/>
    <w:rsid w:val="00F517ED"/>
    <w:rsid w:val="00F519AA"/>
    <w:rsid w:val="00F51F3F"/>
    <w:rsid w:val="00F528B5"/>
    <w:rsid w:val="00F528E7"/>
    <w:rsid w:val="00F52C8A"/>
    <w:rsid w:val="00F5352D"/>
    <w:rsid w:val="00F53615"/>
    <w:rsid w:val="00F53A91"/>
    <w:rsid w:val="00F54783"/>
    <w:rsid w:val="00F547E9"/>
    <w:rsid w:val="00F5494E"/>
    <w:rsid w:val="00F54ABE"/>
    <w:rsid w:val="00F55804"/>
    <w:rsid w:val="00F55F1A"/>
    <w:rsid w:val="00F56310"/>
    <w:rsid w:val="00F5684C"/>
    <w:rsid w:val="00F57210"/>
    <w:rsid w:val="00F577FC"/>
    <w:rsid w:val="00F602F0"/>
    <w:rsid w:val="00F60C90"/>
    <w:rsid w:val="00F619EE"/>
    <w:rsid w:val="00F61CF5"/>
    <w:rsid w:val="00F61FF9"/>
    <w:rsid w:val="00F62069"/>
    <w:rsid w:val="00F62159"/>
    <w:rsid w:val="00F62A7C"/>
    <w:rsid w:val="00F62B93"/>
    <w:rsid w:val="00F633E5"/>
    <w:rsid w:val="00F63C89"/>
    <w:rsid w:val="00F647EC"/>
    <w:rsid w:val="00F64FAB"/>
    <w:rsid w:val="00F65CEA"/>
    <w:rsid w:val="00F65F15"/>
    <w:rsid w:val="00F66443"/>
    <w:rsid w:val="00F675EA"/>
    <w:rsid w:val="00F7074A"/>
    <w:rsid w:val="00F70AD6"/>
    <w:rsid w:val="00F71687"/>
    <w:rsid w:val="00F71708"/>
    <w:rsid w:val="00F717C1"/>
    <w:rsid w:val="00F71CDB"/>
    <w:rsid w:val="00F725D3"/>
    <w:rsid w:val="00F7281E"/>
    <w:rsid w:val="00F72C1A"/>
    <w:rsid w:val="00F72C3D"/>
    <w:rsid w:val="00F737AB"/>
    <w:rsid w:val="00F74216"/>
    <w:rsid w:val="00F74F0F"/>
    <w:rsid w:val="00F75731"/>
    <w:rsid w:val="00F75841"/>
    <w:rsid w:val="00F76333"/>
    <w:rsid w:val="00F77100"/>
    <w:rsid w:val="00F8090F"/>
    <w:rsid w:val="00F8139A"/>
    <w:rsid w:val="00F82AAE"/>
    <w:rsid w:val="00F834BE"/>
    <w:rsid w:val="00F838A9"/>
    <w:rsid w:val="00F849E3"/>
    <w:rsid w:val="00F84B4E"/>
    <w:rsid w:val="00F84C44"/>
    <w:rsid w:val="00F851B7"/>
    <w:rsid w:val="00F8566C"/>
    <w:rsid w:val="00F858D4"/>
    <w:rsid w:val="00F85C65"/>
    <w:rsid w:val="00F860EB"/>
    <w:rsid w:val="00F868B6"/>
    <w:rsid w:val="00F86968"/>
    <w:rsid w:val="00F86E42"/>
    <w:rsid w:val="00F876E6"/>
    <w:rsid w:val="00F87825"/>
    <w:rsid w:val="00F87838"/>
    <w:rsid w:val="00F879E8"/>
    <w:rsid w:val="00F87FCE"/>
    <w:rsid w:val="00F9008B"/>
    <w:rsid w:val="00F91669"/>
    <w:rsid w:val="00F916DE"/>
    <w:rsid w:val="00F9184F"/>
    <w:rsid w:val="00F91943"/>
    <w:rsid w:val="00F9231D"/>
    <w:rsid w:val="00F92A66"/>
    <w:rsid w:val="00F931CF"/>
    <w:rsid w:val="00F93A31"/>
    <w:rsid w:val="00F93D6E"/>
    <w:rsid w:val="00F9423D"/>
    <w:rsid w:val="00F94609"/>
    <w:rsid w:val="00F95182"/>
    <w:rsid w:val="00F957D2"/>
    <w:rsid w:val="00F95D94"/>
    <w:rsid w:val="00F96F86"/>
    <w:rsid w:val="00FA02B8"/>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7D1"/>
    <w:rsid w:val="00FA67E3"/>
    <w:rsid w:val="00FA7157"/>
    <w:rsid w:val="00FA73A6"/>
    <w:rsid w:val="00FA7698"/>
    <w:rsid w:val="00FA78C2"/>
    <w:rsid w:val="00FA7A2D"/>
    <w:rsid w:val="00FA7B4F"/>
    <w:rsid w:val="00FA7DA6"/>
    <w:rsid w:val="00FB06E7"/>
    <w:rsid w:val="00FB0822"/>
    <w:rsid w:val="00FB1093"/>
    <w:rsid w:val="00FB13A0"/>
    <w:rsid w:val="00FB227E"/>
    <w:rsid w:val="00FB267D"/>
    <w:rsid w:val="00FB2A18"/>
    <w:rsid w:val="00FB2BF4"/>
    <w:rsid w:val="00FB2C8D"/>
    <w:rsid w:val="00FB2DC6"/>
    <w:rsid w:val="00FB59D4"/>
    <w:rsid w:val="00FB5E81"/>
    <w:rsid w:val="00FB6E6C"/>
    <w:rsid w:val="00FB71B0"/>
    <w:rsid w:val="00FB7ABA"/>
    <w:rsid w:val="00FB7C21"/>
    <w:rsid w:val="00FB7C46"/>
    <w:rsid w:val="00FC04E0"/>
    <w:rsid w:val="00FC0D98"/>
    <w:rsid w:val="00FC0E2F"/>
    <w:rsid w:val="00FC1042"/>
    <w:rsid w:val="00FC11C6"/>
    <w:rsid w:val="00FC17D8"/>
    <w:rsid w:val="00FC279A"/>
    <w:rsid w:val="00FC324D"/>
    <w:rsid w:val="00FC39A1"/>
    <w:rsid w:val="00FC3BC3"/>
    <w:rsid w:val="00FC3E47"/>
    <w:rsid w:val="00FC4B53"/>
    <w:rsid w:val="00FC4BAE"/>
    <w:rsid w:val="00FC5160"/>
    <w:rsid w:val="00FC5A36"/>
    <w:rsid w:val="00FC69CF"/>
    <w:rsid w:val="00FC6B0B"/>
    <w:rsid w:val="00FC713B"/>
    <w:rsid w:val="00FC7862"/>
    <w:rsid w:val="00FC79D5"/>
    <w:rsid w:val="00FC7B35"/>
    <w:rsid w:val="00FC7B53"/>
    <w:rsid w:val="00FD0177"/>
    <w:rsid w:val="00FD0AE7"/>
    <w:rsid w:val="00FD0B44"/>
    <w:rsid w:val="00FD0F70"/>
    <w:rsid w:val="00FD2315"/>
    <w:rsid w:val="00FD29A7"/>
    <w:rsid w:val="00FD2B15"/>
    <w:rsid w:val="00FD3092"/>
    <w:rsid w:val="00FD412E"/>
    <w:rsid w:val="00FD420F"/>
    <w:rsid w:val="00FD4339"/>
    <w:rsid w:val="00FD4B0C"/>
    <w:rsid w:val="00FD4F2F"/>
    <w:rsid w:val="00FD51F7"/>
    <w:rsid w:val="00FD5258"/>
    <w:rsid w:val="00FD5602"/>
    <w:rsid w:val="00FD5661"/>
    <w:rsid w:val="00FD5A2A"/>
    <w:rsid w:val="00FD5AE2"/>
    <w:rsid w:val="00FD62B4"/>
    <w:rsid w:val="00FD7142"/>
    <w:rsid w:val="00FD750F"/>
    <w:rsid w:val="00FE011C"/>
    <w:rsid w:val="00FE07DC"/>
    <w:rsid w:val="00FE08FB"/>
    <w:rsid w:val="00FE1116"/>
    <w:rsid w:val="00FE2075"/>
    <w:rsid w:val="00FE2080"/>
    <w:rsid w:val="00FE27B9"/>
    <w:rsid w:val="00FE2E37"/>
    <w:rsid w:val="00FE3640"/>
    <w:rsid w:val="00FE3780"/>
    <w:rsid w:val="00FE3954"/>
    <w:rsid w:val="00FE3CF7"/>
    <w:rsid w:val="00FE4071"/>
    <w:rsid w:val="00FE42E3"/>
    <w:rsid w:val="00FE4ECD"/>
    <w:rsid w:val="00FE52B7"/>
    <w:rsid w:val="00FE53C5"/>
    <w:rsid w:val="00FE56A8"/>
    <w:rsid w:val="00FE5807"/>
    <w:rsid w:val="00FE5C39"/>
    <w:rsid w:val="00FE5C57"/>
    <w:rsid w:val="00FE624E"/>
    <w:rsid w:val="00FE6415"/>
    <w:rsid w:val="00FE69E7"/>
    <w:rsid w:val="00FE6BB8"/>
    <w:rsid w:val="00FE6E76"/>
    <w:rsid w:val="00FE76E2"/>
    <w:rsid w:val="00FF027B"/>
    <w:rsid w:val="00FF1174"/>
    <w:rsid w:val="00FF165A"/>
    <w:rsid w:val="00FF1B72"/>
    <w:rsid w:val="00FF1CF1"/>
    <w:rsid w:val="00FF1F4C"/>
    <w:rsid w:val="00FF35DC"/>
    <w:rsid w:val="00FF3A6A"/>
    <w:rsid w:val="00FF3C7A"/>
    <w:rsid w:val="00FF3E09"/>
    <w:rsid w:val="00FF411C"/>
    <w:rsid w:val="00FF44C6"/>
    <w:rsid w:val="00FF4B2E"/>
    <w:rsid w:val="00FF4E4B"/>
    <w:rsid w:val="00FF4E4E"/>
    <w:rsid w:val="00FF5049"/>
    <w:rsid w:val="00FF5D1F"/>
    <w:rsid w:val="00FF5F95"/>
    <w:rsid w:val="00FF6126"/>
    <w:rsid w:val="00FF61F5"/>
    <w:rsid w:val="00FF62AA"/>
    <w:rsid w:val="00FF64D7"/>
    <w:rsid w:val="00FF6B6C"/>
    <w:rsid w:val="00FF6DD4"/>
    <w:rsid w:val="011C626C"/>
    <w:rsid w:val="013637D1"/>
    <w:rsid w:val="018A7C3B"/>
    <w:rsid w:val="01AA2C10"/>
    <w:rsid w:val="01C963F3"/>
    <w:rsid w:val="01CF660A"/>
    <w:rsid w:val="01DD1E9F"/>
    <w:rsid w:val="01E50D53"/>
    <w:rsid w:val="01F62F61"/>
    <w:rsid w:val="021D673F"/>
    <w:rsid w:val="02511F45"/>
    <w:rsid w:val="026B46C2"/>
    <w:rsid w:val="02AD7AC3"/>
    <w:rsid w:val="02BF3353"/>
    <w:rsid w:val="02CD7145"/>
    <w:rsid w:val="02DC3F04"/>
    <w:rsid w:val="035C6DF3"/>
    <w:rsid w:val="037738D8"/>
    <w:rsid w:val="037D56E7"/>
    <w:rsid w:val="03A013D6"/>
    <w:rsid w:val="03AF33C7"/>
    <w:rsid w:val="03B15391"/>
    <w:rsid w:val="03C52BEB"/>
    <w:rsid w:val="03D60954"/>
    <w:rsid w:val="03DD3466"/>
    <w:rsid w:val="03E45920"/>
    <w:rsid w:val="04277401"/>
    <w:rsid w:val="044C664D"/>
    <w:rsid w:val="04820ADC"/>
    <w:rsid w:val="04900210"/>
    <w:rsid w:val="04EF43C3"/>
    <w:rsid w:val="04FE4606"/>
    <w:rsid w:val="04FF037E"/>
    <w:rsid w:val="05047743"/>
    <w:rsid w:val="053B5ED5"/>
    <w:rsid w:val="05465FAD"/>
    <w:rsid w:val="05597A8E"/>
    <w:rsid w:val="05740424"/>
    <w:rsid w:val="0576184E"/>
    <w:rsid w:val="05C814D1"/>
    <w:rsid w:val="05E019A3"/>
    <w:rsid w:val="05E03F92"/>
    <w:rsid w:val="05F751A4"/>
    <w:rsid w:val="05FB28F4"/>
    <w:rsid w:val="06071298"/>
    <w:rsid w:val="06457587"/>
    <w:rsid w:val="066F5090"/>
    <w:rsid w:val="06734B80"/>
    <w:rsid w:val="067508F8"/>
    <w:rsid w:val="06B036DE"/>
    <w:rsid w:val="06C4362D"/>
    <w:rsid w:val="06F753B6"/>
    <w:rsid w:val="070103DE"/>
    <w:rsid w:val="072034F0"/>
    <w:rsid w:val="073C1416"/>
    <w:rsid w:val="073C7668"/>
    <w:rsid w:val="074D717F"/>
    <w:rsid w:val="075F0692"/>
    <w:rsid w:val="076A5F83"/>
    <w:rsid w:val="077948BA"/>
    <w:rsid w:val="07894D94"/>
    <w:rsid w:val="079052BE"/>
    <w:rsid w:val="079B25E0"/>
    <w:rsid w:val="07B40FAC"/>
    <w:rsid w:val="07B62F76"/>
    <w:rsid w:val="07BA233A"/>
    <w:rsid w:val="07DB054A"/>
    <w:rsid w:val="07F910B5"/>
    <w:rsid w:val="081E0B1B"/>
    <w:rsid w:val="08236132"/>
    <w:rsid w:val="085B58CB"/>
    <w:rsid w:val="08A90D2D"/>
    <w:rsid w:val="08AC6809"/>
    <w:rsid w:val="08B01A1D"/>
    <w:rsid w:val="08E73603"/>
    <w:rsid w:val="08F53B23"/>
    <w:rsid w:val="09906519"/>
    <w:rsid w:val="099C619C"/>
    <w:rsid w:val="09A11A04"/>
    <w:rsid w:val="09EB0ED1"/>
    <w:rsid w:val="0A053C89"/>
    <w:rsid w:val="0A070656"/>
    <w:rsid w:val="0A081A83"/>
    <w:rsid w:val="0A2F0DBE"/>
    <w:rsid w:val="0A302F08"/>
    <w:rsid w:val="0A6B75FC"/>
    <w:rsid w:val="0A6F565E"/>
    <w:rsid w:val="0A913ED8"/>
    <w:rsid w:val="0AAF4A50"/>
    <w:rsid w:val="0ACC2AB1"/>
    <w:rsid w:val="0AE778EA"/>
    <w:rsid w:val="0AEC4F01"/>
    <w:rsid w:val="0B24171E"/>
    <w:rsid w:val="0B5C3243"/>
    <w:rsid w:val="0B642CE9"/>
    <w:rsid w:val="0B8D2240"/>
    <w:rsid w:val="0BA92CB9"/>
    <w:rsid w:val="0BC32D2D"/>
    <w:rsid w:val="0BC77F22"/>
    <w:rsid w:val="0BD75BB1"/>
    <w:rsid w:val="0BDF05C2"/>
    <w:rsid w:val="0C193AD3"/>
    <w:rsid w:val="0C211621"/>
    <w:rsid w:val="0C466B45"/>
    <w:rsid w:val="0C4F3999"/>
    <w:rsid w:val="0C564D28"/>
    <w:rsid w:val="0C6F5DE9"/>
    <w:rsid w:val="0C807FF6"/>
    <w:rsid w:val="0C8353F1"/>
    <w:rsid w:val="0C9B6BDE"/>
    <w:rsid w:val="0CAE02B5"/>
    <w:rsid w:val="0CBE28CD"/>
    <w:rsid w:val="0CD10852"/>
    <w:rsid w:val="0CDB6FDB"/>
    <w:rsid w:val="0CDE52DC"/>
    <w:rsid w:val="0D3F4828"/>
    <w:rsid w:val="0D4B4161"/>
    <w:rsid w:val="0D4E59FF"/>
    <w:rsid w:val="0D4F4BB8"/>
    <w:rsid w:val="0D584403"/>
    <w:rsid w:val="0D5D3E94"/>
    <w:rsid w:val="0D613984"/>
    <w:rsid w:val="0D9A50E8"/>
    <w:rsid w:val="0DB859E5"/>
    <w:rsid w:val="0DCF4D92"/>
    <w:rsid w:val="0DE637E0"/>
    <w:rsid w:val="0DEE2D3E"/>
    <w:rsid w:val="0DEE7765"/>
    <w:rsid w:val="0DF30354"/>
    <w:rsid w:val="0DF76096"/>
    <w:rsid w:val="0DFA7935"/>
    <w:rsid w:val="0DFC36AD"/>
    <w:rsid w:val="0E1704E7"/>
    <w:rsid w:val="0E1D083B"/>
    <w:rsid w:val="0E415563"/>
    <w:rsid w:val="0E5B5064"/>
    <w:rsid w:val="0E7E0566"/>
    <w:rsid w:val="0EB3626A"/>
    <w:rsid w:val="0EE228A3"/>
    <w:rsid w:val="0F0547E3"/>
    <w:rsid w:val="0F24110D"/>
    <w:rsid w:val="0F4C6A04"/>
    <w:rsid w:val="0F730BD4"/>
    <w:rsid w:val="0FA4224E"/>
    <w:rsid w:val="0FDC5544"/>
    <w:rsid w:val="0FF10BD9"/>
    <w:rsid w:val="101C0A97"/>
    <w:rsid w:val="101F1965"/>
    <w:rsid w:val="10260EB5"/>
    <w:rsid w:val="102869DB"/>
    <w:rsid w:val="104D4694"/>
    <w:rsid w:val="104E74EA"/>
    <w:rsid w:val="10526AE6"/>
    <w:rsid w:val="106043C7"/>
    <w:rsid w:val="106B1D32"/>
    <w:rsid w:val="10AA73F0"/>
    <w:rsid w:val="10AF4A06"/>
    <w:rsid w:val="10DC4D6D"/>
    <w:rsid w:val="10F67974"/>
    <w:rsid w:val="10F845FF"/>
    <w:rsid w:val="113450FE"/>
    <w:rsid w:val="11380EA0"/>
    <w:rsid w:val="113B273E"/>
    <w:rsid w:val="1147290C"/>
    <w:rsid w:val="114E06C3"/>
    <w:rsid w:val="11561326"/>
    <w:rsid w:val="116F4196"/>
    <w:rsid w:val="11AB1672"/>
    <w:rsid w:val="11BF5650"/>
    <w:rsid w:val="11D16BFE"/>
    <w:rsid w:val="11D47897"/>
    <w:rsid w:val="11D706B9"/>
    <w:rsid w:val="11D84431"/>
    <w:rsid w:val="120C61BC"/>
    <w:rsid w:val="121A67F7"/>
    <w:rsid w:val="124318AA"/>
    <w:rsid w:val="1247062C"/>
    <w:rsid w:val="12685FCD"/>
    <w:rsid w:val="126B6810"/>
    <w:rsid w:val="12940358"/>
    <w:rsid w:val="12A6008B"/>
    <w:rsid w:val="12A63F9E"/>
    <w:rsid w:val="12CA1FCB"/>
    <w:rsid w:val="12E12E71"/>
    <w:rsid w:val="130A23C8"/>
    <w:rsid w:val="132F28D0"/>
    <w:rsid w:val="133E02C4"/>
    <w:rsid w:val="13743CE5"/>
    <w:rsid w:val="13A912A7"/>
    <w:rsid w:val="13B05373"/>
    <w:rsid w:val="13B62041"/>
    <w:rsid w:val="13BD568C"/>
    <w:rsid w:val="13E7095B"/>
    <w:rsid w:val="13F84916"/>
    <w:rsid w:val="141F65E1"/>
    <w:rsid w:val="14446EDD"/>
    <w:rsid w:val="146F2C7A"/>
    <w:rsid w:val="14845EDE"/>
    <w:rsid w:val="148B12E6"/>
    <w:rsid w:val="148D32B1"/>
    <w:rsid w:val="149E4992"/>
    <w:rsid w:val="149F4D92"/>
    <w:rsid w:val="14CD5DA3"/>
    <w:rsid w:val="14FE41AE"/>
    <w:rsid w:val="152D05F0"/>
    <w:rsid w:val="15596CB3"/>
    <w:rsid w:val="15610299"/>
    <w:rsid w:val="158305A9"/>
    <w:rsid w:val="15B14D7D"/>
    <w:rsid w:val="15E20E8C"/>
    <w:rsid w:val="160F7CF5"/>
    <w:rsid w:val="164D5520"/>
    <w:rsid w:val="165F2A2B"/>
    <w:rsid w:val="166041CE"/>
    <w:rsid w:val="16610551"/>
    <w:rsid w:val="167B536C"/>
    <w:rsid w:val="16AF2E86"/>
    <w:rsid w:val="16B60684"/>
    <w:rsid w:val="16B7304C"/>
    <w:rsid w:val="16D105F3"/>
    <w:rsid w:val="16D90A2F"/>
    <w:rsid w:val="170E5D26"/>
    <w:rsid w:val="171F61B2"/>
    <w:rsid w:val="176D73C9"/>
    <w:rsid w:val="176E561B"/>
    <w:rsid w:val="17BB6387"/>
    <w:rsid w:val="17BD3EAD"/>
    <w:rsid w:val="17BE59A2"/>
    <w:rsid w:val="17C2355C"/>
    <w:rsid w:val="17C57205"/>
    <w:rsid w:val="17CD0B5B"/>
    <w:rsid w:val="17FB49D5"/>
    <w:rsid w:val="18075128"/>
    <w:rsid w:val="180C6BE2"/>
    <w:rsid w:val="181A30AD"/>
    <w:rsid w:val="182836DA"/>
    <w:rsid w:val="18482637"/>
    <w:rsid w:val="185C1918"/>
    <w:rsid w:val="188B3FAB"/>
    <w:rsid w:val="189A7199"/>
    <w:rsid w:val="18AB01A9"/>
    <w:rsid w:val="18B84674"/>
    <w:rsid w:val="18CE58F5"/>
    <w:rsid w:val="18EE0096"/>
    <w:rsid w:val="18F558C8"/>
    <w:rsid w:val="191E4E1F"/>
    <w:rsid w:val="193948C5"/>
    <w:rsid w:val="194523AC"/>
    <w:rsid w:val="1950171A"/>
    <w:rsid w:val="19622F5E"/>
    <w:rsid w:val="19632832"/>
    <w:rsid w:val="19A60865"/>
    <w:rsid w:val="19E219A9"/>
    <w:rsid w:val="19F45BB5"/>
    <w:rsid w:val="1A442DE9"/>
    <w:rsid w:val="1A484105"/>
    <w:rsid w:val="1A495ECC"/>
    <w:rsid w:val="1A9133CF"/>
    <w:rsid w:val="1ADE294C"/>
    <w:rsid w:val="1B205547"/>
    <w:rsid w:val="1B300E3A"/>
    <w:rsid w:val="1B574618"/>
    <w:rsid w:val="1B813443"/>
    <w:rsid w:val="1BCD48DA"/>
    <w:rsid w:val="1BEF4851"/>
    <w:rsid w:val="1BF105C9"/>
    <w:rsid w:val="1BFB31F6"/>
    <w:rsid w:val="1C252021"/>
    <w:rsid w:val="1C281B11"/>
    <w:rsid w:val="1C33298F"/>
    <w:rsid w:val="1C3564ED"/>
    <w:rsid w:val="1C3B1844"/>
    <w:rsid w:val="1C4F0B8B"/>
    <w:rsid w:val="1C6E1C1A"/>
    <w:rsid w:val="1C6F14EE"/>
    <w:rsid w:val="1CB735C0"/>
    <w:rsid w:val="1CD203FA"/>
    <w:rsid w:val="1CD55680"/>
    <w:rsid w:val="1CEE2F53"/>
    <w:rsid w:val="1CF73B37"/>
    <w:rsid w:val="1CFE2A48"/>
    <w:rsid w:val="1D321E13"/>
    <w:rsid w:val="1D440BCC"/>
    <w:rsid w:val="1D5C7CC4"/>
    <w:rsid w:val="1D813BCE"/>
    <w:rsid w:val="1D954F84"/>
    <w:rsid w:val="1DB1174F"/>
    <w:rsid w:val="1DBA49EB"/>
    <w:rsid w:val="1DBC044E"/>
    <w:rsid w:val="1DFA0158"/>
    <w:rsid w:val="1E1C7453"/>
    <w:rsid w:val="1E757B3D"/>
    <w:rsid w:val="1E890F8D"/>
    <w:rsid w:val="1EC024D4"/>
    <w:rsid w:val="1EDF2B6B"/>
    <w:rsid w:val="1EF9256C"/>
    <w:rsid w:val="1F1C0DD2"/>
    <w:rsid w:val="1F3B03AF"/>
    <w:rsid w:val="1F4849CA"/>
    <w:rsid w:val="1F75782B"/>
    <w:rsid w:val="1F873477"/>
    <w:rsid w:val="1F882FF2"/>
    <w:rsid w:val="1F8A4FBC"/>
    <w:rsid w:val="1F950A93"/>
    <w:rsid w:val="1FC906EB"/>
    <w:rsid w:val="1FF163E5"/>
    <w:rsid w:val="1FFB1A16"/>
    <w:rsid w:val="20337402"/>
    <w:rsid w:val="203B6335"/>
    <w:rsid w:val="204D5FEA"/>
    <w:rsid w:val="20605D1D"/>
    <w:rsid w:val="208337BA"/>
    <w:rsid w:val="20887022"/>
    <w:rsid w:val="2095099D"/>
    <w:rsid w:val="20D109C9"/>
    <w:rsid w:val="20D83B05"/>
    <w:rsid w:val="20DA787E"/>
    <w:rsid w:val="20E83230"/>
    <w:rsid w:val="20F621DE"/>
    <w:rsid w:val="211803A6"/>
    <w:rsid w:val="21455F84"/>
    <w:rsid w:val="21A12149"/>
    <w:rsid w:val="21B26104"/>
    <w:rsid w:val="21C66F9D"/>
    <w:rsid w:val="21D12E2C"/>
    <w:rsid w:val="21DD5D6E"/>
    <w:rsid w:val="21E32762"/>
    <w:rsid w:val="21F52495"/>
    <w:rsid w:val="21FF3314"/>
    <w:rsid w:val="22230DB0"/>
    <w:rsid w:val="22231FC3"/>
    <w:rsid w:val="222F59A7"/>
    <w:rsid w:val="225E74E7"/>
    <w:rsid w:val="229677D4"/>
    <w:rsid w:val="22995516"/>
    <w:rsid w:val="22B660C8"/>
    <w:rsid w:val="22B91715"/>
    <w:rsid w:val="22BB36DF"/>
    <w:rsid w:val="22DE18DF"/>
    <w:rsid w:val="22FA21AD"/>
    <w:rsid w:val="230B6414"/>
    <w:rsid w:val="231D1499"/>
    <w:rsid w:val="23294AEC"/>
    <w:rsid w:val="233F60BE"/>
    <w:rsid w:val="2376721E"/>
    <w:rsid w:val="23775858"/>
    <w:rsid w:val="2383244E"/>
    <w:rsid w:val="238E494F"/>
    <w:rsid w:val="23C465C3"/>
    <w:rsid w:val="24084702"/>
    <w:rsid w:val="24311EAA"/>
    <w:rsid w:val="24412260"/>
    <w:rsid w:val="244B54ED"/>
    <w:rsid w:val="24572F93"/>
    <w:rsid w:val="24977600"/>
    <w:rsid w:val="24A81A41"/>
    <w:rsid w:val="24B831E2"/>
    <w:rsid w:val="24CF521F"/>
    <w:rsid w:val="250B120F"/>
    <w:rsid w:val="25276E09"/>
    <w:rsid w:val="25290DD3"/>
    <w:rsid w:val="257A518B"/>
    <w:rsid w:val="258B7398"/>
    <w:rsid w:val="25950217"/>
    <w:rsid w:val="25F018F1"/>
    <w:rsid w:val="25F74973"/>
    <w:rsid w:val="260577F6"/>
    <w:rsid w:val="260F65E4"/>
    <w:rsid w:val="26382437"/>
    <w:rsid w:val="264834DB"/>
    <w:rsid w:val="265E685B"/>
    <w:rsid w:val="266D2F42"/>
    <w:rsid w:val="26A50560"/>
    <w:rsid w:val="26C30DB4"/>
    <w:rsid w:val="27042DFE"/>
    <w:rsid w:val="27076EF2"/>
    <w:rsid w:val="27082493"/>
    <w:rsid w:val="270F55EE"/>
    <w:rsid w:val="27174F2F"/>
    <w:rsid w:val="271F53A2"/>
    <w:rsid w:val="272F1A96"/>
    <w:rsid w:val="273B3040"/>
    <w:rsid w:val="274243CE"/>
    <w:rsid w:val="275F0ADD"/>
    <w:rsid w:val="27606603"/>
    <w:rsid w:val="27750300"/>
    <w:rsid w:val="279A440F"/>
    <w:rsid w:val="27AF30E6"/>
    <w:rsid w:val="27B64475"/>
    <w:rsid w:val="27D330A9"/>
    <w:rsid w:val="27F52753"/>
    <w:rsid w:val="27F54F9D"/>
    <w:rsid w:val="28110526"/>
    <w:rsid w:val="28125B4F"/>
    <w:rsid w:val="283261F1"/>
    <w:rsid w:val="283C7070"/>
    <w:rsid w:val="28517ABB"/>
    <w:rsid w:val="2865609B"/>
    <w:rsid w:val="28681C13"/>
    <w:rsid w:val="28697739"/>
    <w:rsid w:val="28940C5A"/>
    <w:rsid w:val="289947F7"/>
    <w:rsid w:val="28AD3BB3"/>
    <w:rsid w:val="28C20B7D"/>
    <w:rsid w:val="28C826B1"/>
    <w:rsid w:val="28D64DCE"/>
    <w:rsid w:val="28D9666D"/>
    <w:rsid w:val="2916166F"/>
    <w:rsid w:val="29181BE3"/>
    <w:rsid w:val="291E6775"/>
    <w:rsid w:val="29235312"/>
    <w:rsid w:val="293555BC"/>
    <w:rsid w:val="294100A6"/>
    <w:rsid w:val="294A57BC"/>
    <w:rsid w:val="29564161"/>
    <w:rsid w:val="29752839"/>
    <w:rsid w:val="297B0CF7"/>
    <w:rsid w:val="29817476"/>
    <w:rsid w:val="298F1421"/>
    <w:rsid w:val="29A7676B"/>
    <w:rsid w:val="29BC27DC"/>
    <w:rsid w:val="29CA4207"/>
    <w:rsid w:val="29E105BB"/>
    <w:rsid w:val="2A0B0AA8"/>
    <w:rsid w:val="2A164599"/>
    <w:rsid w:val="2A2658E2"/>
    <w:rsid w:val="2A9F7243"/>
    <w:rsid w:val="2ABA24CE"/>
    <w:rsid w:val="2AD90BA6"/>
    <w:rsid w:val="2AE80DE9"/>
    <w:rsid w:val="2AE9690F"/>
    <w:rsid w:val="2B603075"/>
    <w:rsid w:val="2B7E34FB"/>
    <w:rsid w:val="2B822DA1"/>
    <w:rsid w:val="2BD80E5D"/>
    <w:rsid w:val="2BF05AF4"/>
    <w:rsid w:val="2C0B1233"/>
    <w:rsid w:val="2C4E2ECE"/>
    <w:rsid w:val="2C5C1A8E"/>
    <w:rsid w:val="2C626979"/>
    <w:rsid w:val="2C7C3EDF"/>
    <w:rsid w:val="2C994A91"/>
    <w:rsid w:val="2CB74F17"/>
    <w:rsid w:val="2CBB6EF5"/>
    <w:rsid w:val="2D1A7254"/>
    <w:rsid w:val="2D577A9F"/>
    <w:rsid w:val="2D5D3336"/>
    <w:rsid w:val="2D656721"/>
    <w:rsid w:val="2D8079FF"/>
    <w:rsid w:val="2D8D5C78"/>
    <w:rsid w:val="2DDA25AC"/>
    <w:rsid w:val="2E141BF0"/>
    <w:rsid w:val="2E2959A0"/>
    <w:rsid w:val="2E666BF4"/>
    <w:rsid w:val="2E884DBD"/>
    <w:rsid w:val="2EA133AF"/>
    <w:rsid w:val="2EDD2DD9"/>
    <w:rsid w:val="2F1A178D"/>
    <w:rsid w:val="2F453233"/>
    <w:rsid w:val="2F4800A8"/>
    <w:rsid w:val="2F594063"/>
    <w:rsid w:val="2F5E5B1E"/>
    <w:rsid w:val="2F713AA3"/>
    <w:rsid w:val="2F723467"/>
    <w:rsid w:val="2F7361D1"/>
    <w:rsid w:val="2FB63264"/>
    <w:rsid w:val="2FDB716E"/>
    <w:rsid w:val="30422FFB"/>
    <w:rsid w:val="30696528"/>
    <w:rsid w:val="308275EA"/>
    <w:rsid w:val="30850E88"/>
    <w:rsid w:val="30A9726C"/>
    <w:rsid w:val="30BC0795"/>
    <w:rsid w:val="30CD50D9"/>
    <w:rsid w:val="31305298"/>
    <w:rsid w:val="3138414C"/>
    <w:rsid w:val="313A1C72"/>
    <w:rsid w:val="31434FCB"/>
    <w:rsid w:val="31A22367"/>
    <w:rsid w:val="31F2254D"/>
    <w:rsid w:val="32717916"/>
    <w:rsid w:val="32951856"/>
    <w:rsid w:val="32A0292F"/>
    <w:rsid w:val="32A02B99"/>
    <w:rsid w:val="32C37246"/>
    <w:rsid w:val="32CE7DD0"/>
    <w:rsid w:val="32F95E6C"/>
    <w:rsid w:val="32FF15C5"/>
    <w:rsid w:val="330578E0"/>
    <w:rsid w:val="3306047F"/>
    <w:rsid w:val="330B1B18"/>
    <w:rsid w:val="331C1F78"/>
    <w:rsid w:val="332B21BB"/>
    <w:rsid w:val="332B5D17"/>
    <w:rsid w:val="33310A59"/>
    <w:rsid w:val="33364265"/>
    <w:rsid w:val="337C33C6"/>
    <w:rsid w:val="337C341A"/>
    <w:rsid w:val="33AE06F6"/>
    <w:rsid w:val="33BA709B"/>
    <w:rsid w:val="33D414D0"/>
    <w:rsid w:val="33E505BB"/>
    <w:rsid w:val="33EB36F8"/>
    <w:rsid w:val="33F14847"/>
    <w:rsid w:val="34086433"/>
    <w:rsid w:val="34125129"/>
    <w:rsid w:val="34256C0A"/>
    <w:rsid w:val="34876910"/>
    <w:rsid w:val="34A55F9D"/>
    <w:rsid w:val="34C71A6F"/>
    <w:rsid w:val="34E56399"/>
    <w:rsid w:val="350E769E"/>
    <w:rsid w:val="35156C7E"/>
    <w:rsid w:val="35613C72"/>
    <w:rsid w:val="35727436"/>
    <w:rsid w:val="35887450"/>
    <w:rsid w:val="35A324DC"/>
    <w:rsid w:val="35B00AA5"/>
    <w:rsid w:val="35B87CB9"/>
    <w:rsid w:val="35CD358A"/>
    <w:rsid w:val="35E13004"/>
    <w:rsid w:val="360867E3"/>
    <w:rsid w:val="360C62D3"/>
    <w:rsid w:val="36156BBB"/>
    <w:rsid w:val="36486BE0"/>
    <w:rsid w:val="364A2958"/>
    <w:rsid w:val="3659703F"/>
    <w:rsid w:val="3676199F"/>
    <w:rsid w:val="36857E34"/>
    <w:rsid w:val="368E1A09"/>
    <w:rsid w:val="36903B99"/>
    <w:rsid w:val="36DD37CC"/>
    <w:rsid w:val="36EB68C6"/>
    <w:rsid w:val="36FC3260"/>
    <w:rsid w:val="37006181"/>
    <w:rsid w:val="37863E63"/>
    <w:rsid w:val="378B3228"/>
    <w:rsid w:val="378F4DA2"/>
    <w:rsid w:val="37A24CCF"/>
    <w:rsid w:val="37A91900"/>
    <w:rsid w:val="37AB1075"/>
    <w:rsid w:val="37C329C2"/>
    <w:rsid w:val="37CB1876"/>
    <w:rsid w:val="37E172EC"/>
    <w:rsid w:val="37F92887"/>
    <w:rsid w:val="382F44FB"/>
    <w:rsid w:val="383D6F9E"/>
    <w:rsid w:val="38526424"/>
    <w:rsid w:val="385F359C"/>
    <w:rsid w:val="38767A34"/>
    <w:rsid w:val="38926838"/>
    <w:rsid w:val="389B749B"/>
    <w:rsid w:val="389C00E6"/>
    <w:rsid w:val="38D94467"/>
    <w:rsid w:val="390E4110"/>
    <w:rsid w:val="39860B3F"/>
    <w:rsid w:val="39934616"/>
    <w:rsid w:val="39B8407C"/>
    <w:rsid w:val="3A080B60"/>
    <w:rsid w:val="3A1846C8"/>
    <w:rsid w:val="3A2B0CF2"/>
    <w:rsid w:val="3A323E2F"/>
    <w:rsid w:val="3A7C32FC"/>
    <w:rsid w:val="3AC53FE9"/>
    <w:rsid w:val="3B1672AC"/>
    <w:rsid w:val="3B2A2D58"/>
    <w:rsid w:val="3B337E5E"/>
    <w:rsid w:val="3B5E642D"/>
    <w:rsid w:val="3B653D90"/>
    <w:rsid w:val="3B677E26"/>
    <w:rsid w:val="3B8C3A12"/>
    <w:rsid w:val="3B90705F"/>
    <w:rsid w:val="3B9A0687"/>
    <w:rsid w:val="3BA80B19"/>
    <w:rsid w:val="3BC27434"/>
    <w:rsid w:val="3BDD601C"/>
    <w:rsid w:val="3BE23F15"/>
    <w:rsid w:val="3BED44B1"/>
    <w:rsid w:val="3C3C71E7"/>
    <w:rsid w:val="3C3E4D0D"/>
    <w:rsid w:val="3C4240EC"/>
    <w:rsid w:val="3C48192B"/>
    <w:rsid w:val="3C5A58BF"/>
    <w:rsid w:val="3C6D114E"/>
    <w:rsid w:val="3CAF5C0A"/>
    <w:rsid w:val="3CB054DF"/>
    <w:rsid w:val="3CB9570A"/>
    <w:rsid w:val="3CC1149A"/>
    <w:rsid w:val="3CE138EA"/>
    <w:rsid w:val="3CF17FD1"/>
    <w:rsid w:val="3D404AB5"/>
    <w:rsid w:val="3D4E0F7F"/>
    <w:rsid w:val="3D711B40"/>
    <w:rsid w:val="3D910897"/>
    <w:rsid w:val="3DA74B34"/>
    <w:rsid w:val="3DC254CA"/>
    <w:rsid w:val="3DCF6982"/>
    <w:rsid w:val="3DF24001"/>
    <w:rsid w:val="3DFC6C2D"/>
    <w:rsid w:val="3E06185A"/>
    <w:rsid w:val="3E0E4BB3"/>
    <w:rsid w:val="3E374E7B"/>
    <w:rsid w:val="3E4608B4"/>
    <w:rsid w:val="3E7964D0"/>
    <w:rsid w:val="3E800AA6"/>
    <w:rsid w:val="3EA3354D"/>
    <w:rsid w:val="3EC86B10"/>
    <w:rsid w:val="3ECC2AA4"/>
    <w:rsid w:val="3ECE3ECC"/>
    <w:rsid w:val="3ED540C6"/>
    <w:rsid w:val="3F11495A"/>
    <w:rsid w:val="3F3A1FEB"/>
    <w:rsid w:val="3F406FEE"/>
    <w:rsid w:val="3F43263A"/>
    <w:rsid w:val="3F5605BF"/>
    <w:rsid w:val="3FC14255"/>
    <w:rsid w:val="3FC217B1"/>
    <w:rsid w:val="3FDD483D"/>
    <w:rsid w:val="40296848"/>
    <w:rsid w:val="40546E09"/>
    <w:rsid w:val="40890521"/>
    <w:rsid w:val="40A67243"/>
    <w:rsid w:val="40B03CFF"/>
    <w:rsid w:val="40B6725D"/>
    <w:rsid w:val="40F40C4B"/>
    <w:rsid w:val="40F5525D"/>
    <w:rsid w:val="413806B2"/>
    <w:rsid w:val="414803DC"/>
    <w:rsid w:val="416845DA"/>
    <w:rsid w:val="416A65A4"/>
    <w:rsid w:val="418A2B71"/>
    <w:rsid w:val="41BF33B6"/>
    <w:rsid w:val="41DD42A4"/>
    <w:rsid w:val="41EF2605"/>
    <w:rsid w:val="421A58D4"/>
    <w:rsid w:val="42253D73"/>
    <w:rsid w:val="425B7C9B"/>
    <w:rsid w:val="42680DF6"/>
    <w:rsid w:val="42784CF1"/>
    <w:rsid w:val="427A361C"/>
    <w:rsid w:val="42B27797"/>
    <w:rsid w:val="42DC527F"/>
    <w:rsid w:val="42DE4B54"/>
    <w:rsid w:val="42E5528F"/>
    <w:rsid w:val="430976F7"/>
    <w:rsid w:val="43340C18"/>
    <w:rsid w:val="43562321"/>
    <w:rsid w:val="438F40A0"/>
    <w:rsid w:val="43B34232"/>
    <w:rsid w:val="43BD6E5F"/>
    <w:rsid w:val="43C006FD"/>
    <w:rsid w:val="43CC52F4"/>
    <w:rsid w:val="43E91A02"/>
    <w:rsid w:val="44110F59"/>
    <w:rsid w:val="44134942"/>
    <w:rsid w:val="441647C1"/>
    <w:rsid w:val="442742D8"/>
    <w:rsid w:val="444E3F5B"/>
    <w:rsid w:val="44613C8E"/>
    <w:rsid w:val="44697081"/>
    <w:rsid w:val="44B07D93"/>
    <w:rsid w:val="44DD6235"/>
    <w:rsid w:val="44E4041B"/>
    <w:rsid w:val="44E4602A"/>
    <w:rsid w:val="44E9255A"/>
    <w:rsid w:val="451F76A5"/>
    <w:rsid w:val="456926CF"/>
    <w:rsid w:val="45753849"/>
    <w:rsid w:val="45A861F1"/>
    <w:rsid w:val="45B875F7"/>
    <w:rsid w:val="45BE2A1A"/>
    <w:rsid w:val="45C320C4"/>
    <w:rsid w:val="45C40201"/>
    <w:rsid w:val="45C73FC5"/>
    <w:rsid w:val="45CE5353"/>
    <w:rsid w:val="45DC10F2"/>
    <w:rsid w:val="45EA2E9B"/>
    <w:rsid w:val="45EA380F"/>
    <w:rsid w:val="46444DBA"/>
    <w:rsid w:val="46955E71"/>
    <w:rsid w:val="46EE10DD"/>
    <w:rsid w:val="46EE732F"/>
    <w:rsid w:val="46F661E4"/>
    <w:rsid w:val="470628CB"/>
    <w:rsid w:val="47080934"/>
    <w:rsid w:val="471746ED"/>
    <w:rsid w:val="474D04FA"/>
    <w:rsid w:val="47521F98"/>
    <w:rsid w:val="477C0DDF"/>
    <w:rsid w:val="47863A0C"/>
    <w:rsid w:val="478657BA"/>
    <w:rsid w:val="478D4D9A"/>
    <w:rsid w:val="47941C85"/>
    <w:rsid w:val="47A40C1E"/>
    <w:rsid w:val="47AF4143"/>
    <w:rsid w:val="47BC567F"/>
    <w:rsid w:val="47DF7A24"/>
    <w:rsid w:val="47E9061B"/>
    <w:rsid w:val="47ED3A8B"/>
    <w:rsid w:val="47F423C4"/>
    <w:rsid w:val="480908C5"/>
    <w:rsid w:val="48195C81"/>
    <w:rsid w:val="482C1C6D"/>
    <w:rsid w:val="485E04E5"/>
    <w:rsid w:val="486C49B0"/>
    <w:rsid w:val="48733F90"/>
    <w:rsid w:val="488C5052"/>
    <w:rsid w:val="48B60321"/>
    <w:rsid w:val="49080B7C"/>
    <w:rsid w:val="49247038"/>
    <w:rsid w:val="492E435B"/>
    <w:rsid w:val="49591C7C"/>
    <w:rsid w:val="49920446"/>
    <w:rsid w:val="49EA64D4"/>
    <w:rsid w:val="4A0C324A"/>
    <w:rsid w:val="4A121587"/>
    <w:rsid w:val="4A162E25"/>
    <w:rsid w:val="4A1B043B"/>
    <w:rsid w:val="4A280DAA"/>
    <w:rsid w:val="4A2C2648"/>
    <w:rsid w:val="4A437992"/>
    <w:rsid w:val="4A5676C5"/>
    <w:rsid w:val="4A6D4A0F"/>
    <w:rsid w:val="4A7B537E"/>
    <w:rsid w:val="4A7E6C1C"/>
    <w:rsid w:val="4A9106FD"/>
    <w:rsid w:val="4A9E3F3D"/>
    <w:rsid w:val="4AC565F9"/>
    <w:rsid w:val="4AD6546A"/>
    <w:rsid w:val="4ADC085D"/>
    <w:rsid w:val="4AED6BE2"/>
    <w:rsid w:val="4AF54187"/>
    <w:rsid w:val="4AF60EA8"/>
    <w:rsid w:val="4B103789"/>
    <w:rsid w:val="4B2C48CA"/>
    <w:rsid w:val="4B71624D"/>
    <w:rsid w:val="4B887D52"/>
    <w:rsid w:val="4BD4518C"/>
    <w:rsid w:val="4BF944CE"/>
    <w:rsid w:val="4BFC604B"/>
    <w:rsid w:val="4C03387D"/>
    <w:rsid w:val="4C0D364D"/>
    <w:rsid w:val="4C0E4354"/>
    <w:rsid w:val="4C115F9A"/>
    <w:rsid w:val="4C1727BB"/>
    <w:rsid w:val="4C2D54A9"/>
    <w:rsid w:val="4C87000A"/>
    <w:rsid w:val="4C8A7685"/>
    <w:rsid w:val="4CAA607A"/>
    <w:rsid w:val="4CBE1552"/>
    <w:rsid w:val="4D292E6F"/>
    <w:rsid w:val="4D4001B9"/>
    <w:rsid w:val="4D8C1650"/>
    <w:rsid w:val="4D97427D"/>
    <w:rsid w:val="4DAB7D28"/>
    <w:rsid w:val="4DC31516"/>
    <w:rsid w:val="4E2E1F87"/>
    <w:rsid w:val="4E571C5E"/>
    <w:rsid w:val="4E5D1019"/>
    <w:rsid w:val="4E6F0D56"/>
    <w:rsid w:val="4E7E71EB"/>
    <w:rsid w:val="4E9407BC"/>
    <w:rsid w:val="4EA84268"/>
    <w:rsid w:val="4EAC5711"/>
    <w:rsid w:val="4EC76DE4"/>
    <w:rsid w:val="4EE03A01"/>
    <w:rsid w:val="4F005E52"/>
    <w:rsid w:val="4F1B712F"/>
    <w:rsid w:val="4F2A2ECF"/>
    <w:rsid w:val="4F5D0CC6"/>
    <w:rsid w:val="4F6040FF"/>
    <w:rsid w:val="4F691C49"/>
    <w:rsid w:val="501A1195"/>
    <w:rsid w:val="504306EC"/>
    <w:rsid w:val="505A77E4"/>
    <w:rsid w:val="505C146F"/>
    <w:rsid w:val="5060129E"/>
    <w:rsid w:val="50720FD1"/>
    <w:rsid w:val="50A218B6"/>
    <w:rsid w:val="50A54F03"/>
    <w:rsid w:val="50AD025B"/>
    <w:rsid w:val="50CA6717"/>
    <w:rsid w:val="510F4A72"/>
    <w:rsid w:val="51646B6C"/>
    <w:rsid w:val="518A6D8A"/>
    <w:rsid w:val="51A451BA"/>
    <w:rsid w:val="51B2004B"/>
    <w:rsid w:val="51CD69B3"/>
    <w:rsid w:val="51E101BC"/>
    <w:rsid w:val="51ED79FD"/>
    <w:rsid w:val="5212481A"/>
    <w:rsid w:val="52320A18"/>
    <w:rsid w:val="52344790"/>
    <w:rsid w:val="524331A6"/>
    <w:rsid w:val="52524C16"/>
    <w:rsid w:val="526A0601"/>
    <w:rsid w:val="52772096"/>
    <w:rsid w:val="527F195C"/>
    <w:rsid w:val="52833022"/>
    <w:rsid w:val="52B4142D"/>
    <w:rsid w:val="52C5363A"/>
    <w:rsid w:val="53195734"/>
    <w:rsid w:val="532C36B9"/>
    <w:rsid w:val="532F6D06"/>
    <w:rsid w:val="53AC65A8"/>
    <w:rsid w:val="53B01EB6"/>
    <w:rsid w:val="53C2401E"/>
    <w:rsid w:val="53E143AE"/>
    <w:rsid w:val="53F3339E"/>
    <w:rsid w:val="541A6486"/>
    <w:rsid w:val="54224ABC"/>
    <w:rsid w:val="54556AEA"/>
    <w:rsid w:val="54AC113D"/>
    <w:rsid w:val="54BF40B9"/>
    <w:rsid w:val="54D23DEC"/>
    <w:rsid w:val="54EA0F6C"/>
    <w:rsid w:val="55083AC5"/>
    <w:rsid w:val="550A7A2A"/>
    <w:rsid w:val="55110DB9"/>
    <w:rsid w:val="55214D74"/>
    <w:rsid w:val="55494FB9"/>
    <w:rsid w:val="55583378"/>
    <w:rsid w:val="55622629"/>
    <w:rsid w:val="55770A92"/>
    <w:rsid w:val="55886BA1"/>
    <w:rsid w:val="559D089E"/>
    <w:rsid w:val="55A34211"/>
    <w:rsid w:val="55B55BE8"/>
    <w:rsid w:val="55C67DF5"/>
    <w:rsid w:val="55D10548"/>
    <w:rsid w:val="55EF09CE"/>
    <w:rsid w:val="55FF50B5"/>
    <w:rsid w:val="560501F2"/>
    <w:rsid w:val="56503B63"/>
    <w:rsid w:val="566B274A"/>
    <w:rsid w:val="56794E67"/>
    <w:rsid w:val="56870CAC"/>
    <w:rsid w:val="568A7075"/>
    <w:rsid w:val="569972B8"/>
    <w:rsid w:val="57087F99"/>
    <w:rsid w:val="571B337B"/>
    <w:rsid w:val="57222B83"/>
    <w:rsid w:val="573B609F"/>
    <w:rsid w:val="57462870"/>
    <w:rsid w:val="576D604E"/>
    <w:rsid w:val="577D71D5"/>
    <w:rsid w:val="579C48DF"/>
    <w:rsid w:val="57A471F5"/>
    <w:rsid w:val="57AC6B77"/>
    <w:rsid w:val="57AC70BC"/>
    <w:rsid w:val="57C8447E"/>
    <w:rsid w:val="57E91B79"/>
    <w:rsid w:val="57EE3633"/>
    <w:rsid w:val="57EF2F07"/>
    <w:rsid w:val="581A7F84"/>
    <w:rsid w:val="58514A77"/>
    <w:rsid w:val="5866663A"/>
    <w:rsid w:val="589216FF"/>
    <w:rsid w:val="589917F1"/>
    <w:rsid w:val="58BC728D"/>
    <w:rsid w:val="59347A5E"/>
    <w:rsid w:val="59A07D9A"/>
    <w:rsid w:val="59AA0910"/>
    <w:rsid w:val="59AD1771"/>
    <w:rsid w:val="59C156FF"/>
    <w:rsid w:val="59CD1026"/>
    <w:rsid w:val="59CD26F2"/>
    <w:rsid w:val="5A3A2DDD"/>
    <w:rsid w:val="5A461504"/>
    <w:rsid w:val="5A5359CF"/>
    <w:rsid w:val="5A8262B5"/>
    <w:rsid w:val="5A8B5169"/>
    <w:rsid w:val="5A8E4C59"/>
    <w:rsid w:val="5A981634"/>
    <w:rsid w:val="5AA93841"/>
    <w:rsid w:val="5AAE6DC3"/>
    <w:rsid w:val="5ABC17C7"/>
    <w:rsid w:val="5ACB37B8"/>
    <w:rsid w:val="5AF251E8"/>
    <w:rsid w:val="5AF52F61"/>
    <w:rsid w:val="5B5437AD"/>
    <w:rsid w:val="5B590DC3"/>
    <w:rsid w:val="5B5E462C"/>
    <w:rsid w:val="5B6645EE"/>
    <w:rsid w:val="5B6A1223"/>
    <w:rsid w:val="5B6A7475"/>
    <w:rsid w:val="5B6F05E7"/>
    <w:rsid w:val="5B767BC7"/>
    <w:rsid w:val="5BAE2B14"/>
    <w:rsid w:val="5BC85F49"/>
    <w:rsid w:val="5BC87CF7"/>
    <w:rsid w:val="5BDD22A7"/>
    <w:rsid w:val="5C0C767C"/>
    <w:rsid w:val="5C205D85"/>
    <w:rsid w:val="5C2313D1"/>
    <w:rsid w:val="5C5A1297"/>
    <w:rsid w:val="5C5B500F"/>
    <w:rsid w:val="5C6B22C5"/>
    <w:rsid w:val="5C7E485A"/>
    <w:rsid w:val="5CA12BD2"/>
    <w:rsid w:val="5CBA3AE4"/>
    <w:rsid w:val="5D221689"/>
    <w:rsid w:val="5D336228"/>
    <w:rsid w:val="5D3970FE"/>
    <w:rsid w:val="5D3F048D"/>
    <w:rsid w:val="5D431D2B"/>
    <w:rsid w:val="5D861B31"/>
    <w:rsid w:val="5D8A795A"/>
    <w:rsid w:val="5DD72473"/>
    <w:rsid w:val="5DDC3F2E"/>
    <w:rsid w:val="5DF179D9"/>
    <w:rsid w:val="5E1B2CA8"/>
    <w:rsid w:val="5E6A153A"/>
    <w:rsid w:val="5E9A1E1F"/>
    <w:rsid w:val="5EA467FA"/>
    <w:rsid w:val="5EBD6C77"/>
    <w:rsid w:val="5EC0115A"/>
    <w:rsid w:val="5EF534F9"/>
    <w:rsid w:val="5F0454EA"/>
    <w:rsid w:val="5F0D6EDA"/>
    <w:rsid w:val="5F1746B0"/>
    <w:rsid w:val="5F2E2567"/>
    <w:rsid w:val="5F5A335C"/>
    <w:rsid w:val="5F5D2E4C"/>
    <w:rsid w:val="5F666F20"/>
    <w:rsid w:val="5F7206A6"/>
    <w:rsid w:val="5F9C4986"/>
    <w:rsid w:val="5FBC4017"/>
    <w:rsid w:val="5FD0793B"/>
    <w:rsid w:val="5FEA46E0"/>
    <w:rsid w:val="5FFE6DFA"/>
    <w:rsid w:val="6008725C"/>
    <w:rsid w:val="600B3E06"/>
    <w:rsid w:val="6017749F"/>
    <w:rsid w:val="6051475F"/>
    <w:rsid w:val="606326E4"/>
    <w:rsid w:val="6089214B"/>
    <w:rsid w:val="60933C0D"/>
    <w:rsid w:val="60A463A0"/>
    <w:rsid w:val="60B66CA4"/>
    <w:rsid w:val="60BA67A8"/>
    <w:rsid w:val="60BF59C2"/>
    <w:rsid w:val="60C43183"/>
    <w:rsid w:val="60C90799"/>
    <w:rsid w:val="60CD748F"/>
    <w:rsid w:val="60CE4002"/>
    <w:rsid w:val="60CF1B28"/>
    <w:rsid w:val="60E23609"/>
    <w:rsid w:val="611C2FBF"/>
    <w:rsid w:val="61517B2E"/>
    <w:rsid w:val="615D7134"/>
    <w:rsid w:val="616109D2"/>
    <w:rsid w:val="61671D60"/>
    <w:rsid w:val="616E30EF"/>
    <w:rsid w:val="618648DC"/>
    <w:rsid w:val="618D5C6B"/>
    <w:rsid w:val="61C87393"/>
    <w:rsid w:val="62540537"/>
    <w:rsid w:val="62774225"/>
    <w:rsid w:val="62AF1C11"/>
    <w:rsid w:val="62B8336A"/>
    <w:rsid w:val="62C4120E"/>
    <w:rsid w:val="62E33669"/>
    <w:rsid w:val="631D6B7A"/>
    <w:rsid w:val="63424833"/>
    <w:rsid w:val="63520F1A"/>
    <w:rsid w:val="63536A40"/>
    <w:rsid w:val="63620A31"/>
    <w:rsid w:val="63864E3B"/>
    <w:rsid w:val="63AF53BD"/>
    <w:rsid w:val="63B23767"/>
    <w:rsid w:val="63D45C95"/>
    <w:rsid w:val="641066DF"/>
    <w:rsid w:val="642F3009"/>
    <w:rsid w:val="64405216"/>
    <w:rsid w:val="64441196"/>
    <w:rsid w:val="644A7E43"/>
    <w:rsid w:val="647832E7"/>
    <w:rsid w:val="648A0240"/>
    <w:rsid w:val="64CF321D"/>
    <w:rsid w:val="64D23995"/>
    <w:rsid w:val="64EC57AB"/>
    <w:rsid w:val="64FA3B1E"/>
    <w:rsid w:val="65091B75"/>
    <w:rsid w:val="652341F0"/>
    <w:rsid w:val="652C70D8"/>
    <w:rsid w:val="654523B9"/>
    <w:rsid w:val="655645C6"/>
    <w:rsid w:val="656C5B97"/>
    <w:rsid w:val="65890E41"/>
    <w:rsid w:val="65D21A26"/>
    <w:rsid w:val="6603588E"/>
    <w:rsid w:val="661F5A88"/>
    <w:rsid w:val="66486604"/>
    <w:rsid w:val="66756CCD"/>
    <w:rsid w:val="66763171"/>
    <w:rsid w:val="6692162D"/>
    <w:rsid w:val="669272D6"/>
    <w:rsid w:val="66963A9D"/>
    <w:rsid w:val="66974E96"/>
    <w:rsid w:val="669C06FE"/>
    <w:rsid w:val="66BC2B4E"/>
    <w:rsid w:val="66C33EDD"/>
    <w:rsid w:val="6707201B"/>
    <w:rsid w:val="672A0BC3"/>
    <w:rsid w:val="67346B89"/>
    <w:rsid w:val="674A1F08"/>
    <w:rsid w:val="67670D0C"/>
    <w:rsid w:val="67957627"/>
    <w:rsid w:val="67E660D5"/>
    <w:rsid w:val="67FD51CC"/>
    <w:rsid w:val="68103152"/>
    <w:rsid w:val="6817003C"/>
    <w:rsid w:val="684B418A"/>
    <w:rsid w:val="685C0145"/>
    <w:rsid w:val="686B482C"/>
    <w:rsid w:val="68945B31"/>
    <w:rsid w:val="689B6EBF"/>
    <w:rsid w:val="68AC5ACD"/>
    <w:rsid w:val="68BE7D5D"/>
    <w:rsid w:val="69110F2F"/>
    <w:rsid w:val="69252C2D"/>
    <w:rsid w:val="693370F8"/>
    <w:rsid w:val="693A0274"/>
    <w:rsid w:val="693E5A9D"/>
    <w:rsid w:val="694F1A58"/>
    <w:rsid w:val="696564AE"/>
    <w:rsid w:val="697414BE"/>
    <w:rsid w:val="69912070"/>
    <w:rsid w:val="69A41627"/>
    <w:rsid w:val="69AA5856"/>
    <w:rsid w:val="69D72179"/>
    <w:rsid w:val="69D87C9F"/>
    <w:rsid w:val="69EC54F9"/>
    <w:rsid w:val="6A1C3A5E"/>
    <w:rsid w:val="6A2829D5"/>
    <w:rsid w:val="6A611A43"/>
    <w:rsid w:val="6A647492"/>
    <w:rsid w:val="6A710359"/>
    <w:rsid w:val="6A7A48B2"/>
    <w:rsid w:val="6A892D47"/>
    <w:rsid w:val="6A9736B6"/>
    <w:rsid w:val="6AA3205B"/>
    <w:rsid w:val="6AA61B4B"/>
    <w:rsid w:val="6AD7428E"/>
    <w:rsid w:val="6AEF70AF"/>
    <w:rsid w:val="6B240C67"/>
    <w:rsid w:val="6B241A17"/>
    <w:rsid w:val="6B39476E"/>
    <w:rsid w:val="6B56531F"/>
    <w:rsid w:val="6B6C07CE"/>
    <w:rsid w:val="6BA07497"/>
    <w:rsid w:val="6BBC7CFC"/>
    <w:rsid w:val="6BBD0EFB"/>
    <w:rsid w:val="6BBF1117"/>
    <w:rsid w:val="6BC20F7D"/>
    <w:rsid w:val="6BFD1C3F"/>
    <w:rsid w:val="6C0A7EB8"/>
    <w:rsid w:val="6C3C2767"/>
    <w:rsid w:val="6C40575A"/>
    <w:rsid w:val="6C5001CC"/>
    <w:rsid w:val="6C554612"/>
    <w:rsid w:val="6C6121CE"/>
    <w:rsid w:val="6C68355C"/>
    <w:rsid w:val="6C77379F"/>
    <w:rsid w:val="6C9248A4"/>
    <w:rsid w:val="6CA976D1"/>
    <w:rsid w:val="6D11628A"/>
    <w:rsid w:val="6D2C27DC"/>
    <w:rsid w:val="6D4318D3"/>
    <w:rsid w:val="6D943EDD"/>
    <w:rsid w:val="6D9E4D5C"/>
    <w:rsid w:val="6DBB3B60"/>
    <w:rsid w:val="6DC36FA3"/>
    <w:rsid w:val="6DCD73EF"/>
    <w:rsid w:val="6DEF3809"/>
    <w:rsid w:val="6E0066B1"/>
    <w:rsid w:val="6E0A23F1"/>
    <w:rsid w:val="6E1148C4"/>
    <w:rsid w:val="6E3851B0"/>
    <w:rsid w:val="6E4753F3"/>
    <w:rsid w:val="6E492FEB"/>
    <w:rsid w:val="6E7543A1"/>
    <w:rsid w:val="6E8C5474"/>
    <w:rsid w:val="6E8E3022"/>
    <w:rsid w:val="6E914282"/>
    <w:rsid w:val="6E9360A4"/>
    <w:rsid w:val="6E9C0F6F"/>
    <w:rsid w:val="6EBC7B8F"/>
    <w:rsid w:val="6F1C23DC"/>
    <w:rsid w:val="6F2A129E"/>
    <w:rsid w:val="6FAA3E8C"/>
    <w:rsid w:val="6FE56C72"/>
    <w:rsid w:val="6FE6736D"/>
    <w:rsid w:val="6FEE22B5"/>
    <w:rsid w:val="70182BA3"/>
    <w:rsid w:val="701F2637"/>
    <w:rsid w:val="70375785"/>
    <w:rsid w:val="70AA23BB"/>
    <w:rsid w:val="70E92792"/>
    <w:rsid w:val="711D41EA"/>
    <w:rsid w:val="712F423E"/>
    <w:rsid w:val="714F5473"/>
    <w:rsid w:val="71614A1E"/>
    <w:rsid w:val="71793B16"/>
    <w:rsid w:val="71AD7318"/>
    <w:rsid w:val="71C065A8"/>
    <w:rsid w:val="71CD3E62"/>
    <w:rsid w:val="71DD22F7"/>
    <w:rsid w:val="71E7506F"/>
    <w:rsid w:val="720158B9"/>
    <w:rsid w:val="725458D4"/>
    <w:rsid w:val="7265675B"/>
    <w:rsid w:val="726D70E7"/>
    <w:rsid w:val="72730565"/>
    <w:rsid w:val="72874010"/>
    <w:rsid w:val="729055BB"/>
    <w:rsid w:val="72B232E3"/>
    <w:rsid w:val="72B56DCF"/>
    <w:rsid w:val="72C810AD"/>
    <w:rsid w:val="72DC1889"/>
    <w:rsid w:val="72E871A5"/>
    <w:rsid w:val="72EC6569"/>
    <w:rsid w:val="72FB055A"/>
    <w:rsid w:val="733F2B3D"/>
    <w:rsid w:val="736B1B84"/>
    <w:rsid w:val="738E4907"/>
    <w:rsid w:val="739C1D3D"/>
    <w:rsid w:val="739D2629"/>
    <w:rsid w:val="73B04E6C"/>
    <w:rsid w:val="74123DAE"/>
    <w:rsid w:val="741300E6"/>
    <w:rsid w:val="742C30C1"/>
    <w:rsid w:val="743C0E2B"/>
    <w:rsid w:val="74571501"/>
    <w:rsid w:val="74715F31"/>
    <w:rsid w:val="74911176"/>
    <w:rsid w:val="74AF10D9"/>
    <w:rsid w:val="750156D5"/>
    <w:rsid w:val="75175B20"/>
    <w:rsid w:val="751B0A84"/>
    <w:rsid w:val="752244C4"/>
    <w:rsid w:val="7535472E"/>
    <w:rsid w:val="75647617"/>
    <w:rsid w:val="758D5DE2"/>
    <w:rsid w:val="75942919"/>
    <w:rsid w:val="75E023B5"/>
    <w:rsid w:val="75E8797A"/>
    <w:rsid w:val="76085468"/>
    <w:rsid w:val="762A1882"/>
    <w:rsid w:val="763149BF"/>
    <w:rsid w:val="76402E54"/>
    <w:rsid w:val="76654669"/>
    <w:rsid w:val="769136B0"/>
    <w:rsid w:val="76DB2B7D"/>
    <w:rsid w:val="76E41A31"/>
    <w:rsid w:val="76F8372F"/>
    <w:rsid w:val="771340C5"/>
    <w:rsid w:val="7715598A"/>
    <w:rsid w:val="773710A5"/>
    <w:rsid w:val="774C5829"/>
    <w:rsid w:val="778A35E9"/>
    <w:rsid w:val="77AB69F3"/>
    <w:rsid w:val="77D71596"/>
    <w:rsid w:val="78175E36"/>
    <w:rsid w:val="78436C2C"/>
    <w:rsid w:val="784B5AE0"/>
    <w:rsid w:val="7860158C"/>
    <w:rsid w:val="7863089F"/>
    <w:rsid w:val="78B0501F"/>
    <w:rsid w:val="78C513CB"/>
    <w:rsid w:val="78D21D5D"/>
    <w:rsid w:val="78F722BA"/>
    <w:rsid w:val="79102FB2"/>
    <w:rsid w:val="79366578"/>
    <w:rsid w:val="79652BD2"/>
    <w:rsid w:val="79984A3B"/>
    <w:rsid w:val="799E6C98"/>
    <w:rsid w:val="79BF33E8"/>
    <w:rsid w:val="79C504F4"/>
    <w:rsid w:val="79D51B05"/>
    <w:rsid w:val="79E306C6"/>
    <w:rsid w:val="7A036672"/>
    <w:rsid w:val="7A146AD1"/>
    <w:rsid w:val="7A256189"/>
    <w:rsid w:val="7A260216"/>
    <w:rsid w:val="7A4606C0"/>
    <w:rsid w:val="7A5944E4"/>
    <w:rsid w:val="7A6E36DB"/>
    <w:rsid w:val="7A7C6425"/>
    <w:rsid w:val="7A8552D9"/>
    <w:rsid w:val="7A9E5A95"/>
    <w:rsid w:val="7AAA36FF"/>
    <w:rsid w:val="7ACA53E2"/>
    <w:rsid w:val="7AFA4803"/>
    <w:rsid w:val="7B3A6EEC"/>
    <w:rsid w:val="7B4707E1"/>
    <w:rsid w:val="7B4909FD"/>
    <w:rsid w:val="7B5A49B8"/>
    <w:rsid w:val="7B6704F4"/>
    <w:rsid w:val="7B7A6E08"/>
    <w:rsid w:val="7BCE0F02"/>
    <w:rsid w:val="7BE16C5B"/>
    <w:rsid w:val="7BF72207"/>
    <w:rsid w:val="7C1032C9"/>
    <w:rsid w:val="7C5238E1"/>
    <w:rsid w:val="7C72188D"/>
    <w:rsid w:val="7C7575D0"/>
    <w:rsid w:val="7C9C4E59"/>
    <w:rsid w:val="7CB63E70"/>
    <w:rsid w:val="7CDD764F"/>
    <w:rsid w:val="7CE87DA1"/>
    <w:rsid w:val="7CFC55FB"/>
    <w:rsid w:val="7D066D89"/>
    <w:rsid w:val="7D0D15B6"/>
    <w:rsid w:val="7D4278A5"/>
    <w:rsid w:val="7D5316BF"/>
    <w:rsid w:val="7D5F58C0"/>
    <w:rsid w:val="7D766E9F"/>
    <w:rsid w:val="7D891584"/>
    <w:rsid w:val="7DA0242A"/>
    <w:rsid w:val="7DBB7264"/>
    <w:rsid w:val="7DD02D0F"/>
    <w:rsid w:val="7DFF1847"/>
    <w:rsid w:val="7E2F1D63"/>
    <w:rsid w:val="7E5A4CCF"/>
    <w:rsid w:val="7E5E47BF"/>
    <w:rsid w:val="7E813828"/>
    <w:rsid w:val="7E8A5B44"/>
    <w:rsid w:val="7EBD2FB8"/>
    <w:rsid w:val="7ECD724F"/>
    <w:rsid w:val="7ECE7E36"/>
    <w:rsid w:val="7EDB1047"/>
    <w:rsid w:val="7F037115"/>
    <w:rsid w:val="7F065B02"/>
    <w:rsid w:val="7F14777D"/>
    <w:rsid w:val="7FC76394"/>
    <w:rsid w:val="7FF1341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qFormat="1" w:uiPriority="99" w:semiHidden="0"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3"/>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64"/>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paragraph" w:styleId="6">
    <w:name w:val="heading 5"/>
    <w:basedOn w:val="1"/>
    <w:next w:val="1"/>
    <w:link w:val="65"/>
    <w:qFormat/>
    <w:uiPriority w:val="0"/>
    <w:pPr>
      <w:keepNext/>
      <w:keepLines/>
      <w:numPr>
        <w:ilvl w:val="4"/>
        <w:numId w:val="1"/>
      </w:numPr>
      <w:spacing w:before="280" w:after="290" w:line="376" w:lineRule="auto"/>
      <w:outlineLvl w:val="4"/>
    </w:pPr>
    <w:rPr>
      <w:b/>
      <w:sz w:val="28"/>
    </w:rPr>
  </w:style>
  <w:style w:type="paragraph" w:styleId="7">
    <w:name w:val="heading 6"/>
    <w:basedOn w:val="1"/>
    <w:next w:val="1"/>
    <w:link w:val="66"/>
    <w:qFormat/>
    <w:uiPriority w:val="0"/>
    <w:pPr>
      <w:keepNext/>
      <w:keepLines/>
      <w:numPr>
        <w:ilvl w:val="5"/>
        <w:numId w:val="1"/>
      </w:numPr>
      <w:spacing w:before="240" w:after="64" w:line="320" w:lineRule="auto"/>
      <w:outlineLvl w:val="5"/>
    </w:pPr>
    <w:rPr>
      <w:rFonts w:ascii="Arial" w:hAnsi="Arial" w:eastAsia="黑体"/>
      <w:b/>
      <w:sz w:val="24"/>
    </w:rPr>
  </w:style>
  <w:style w:type="paragraph" w:styleId="8">
    <w:name w:val="heading 7"/>
    <w:basedOn w:val="1"/>
    <w:next w:val="1"/>
    <w:link w:val="67"/>
    <w:qFormat/>
    <w:uiPriority w:val="0"/>
    <w:pPr>
      <w:keepNext/>
      <w:keepLines/>
      <w:numPr>
        <w:ilvl w:val="6"/>
        <w:numId w:val="1"/>
      </w:numPr>
      <w:spacing w:before="240" w:after="64" w:line="320" w:lineRule="auto"/>
      <w:outlineLvl w:val="6"/>
    </w:pPr>
    <w:rPr>
      <w:b/>
      <w:sz w:val="24"/>
    </w:rPr>
  </w:style>
  <w:style w:type="paragraph" w:styleId="9">
    <w:name w:val="heading 8"/>
    <w:basedOn w:val="1"/>
    <w:next w:val="1"/>
    <w:link w:val="68"/>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1"/>
    <w:link w:val="69"/>
    <w:qFormat/>
    <w:uiPriority w:val="0"/>
    <w:pPr>
      <w:keepNext/>
      <w:keepLines/>
      <w:numPr>
        <w:ilvl w:val="8"/>
        <w:numId w:val="1"/>
      </w:numPr>
      <w:spacing w:before="240" w:after="64" w:line="320" w:lineRule="auto"/>
      <w:outlineLvl w:val="8"/>
    </w:pPr>
    <w:rPr>
      <w:rFonts w:ascii="Arial" w:hAnsi="Arial" w:eastAsia="黑体"/>
    </w:rPr>
  </w:style>
  <w:style w:type="character" w:default="1" w:styleId="53">
    <w:name w:val="Default Paragraph Font"/>
    <w:unhideWhenUsed/>
    <w:qFormat/>
    <w:uiPriority w:val="1"/>
  </w:style>
  <w:style w:type="table" w:default="1" w:styleId="51">
    <w:name w:val="Normal Table"/>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pPr>
    <w:rPr>
      <w:szCs w:val="20"/>
    </w:rPr>
  </w:style>
  <w:style w:type="paragraph" w:styleId="12">
    <w:name w:val="toc 7"/>
    <w:basedOn w:val="1"/>
    <w:next w:val="1"/>
    <w:unhideWhenUsed/>
    <w:qFormat/>
    <w:uiPriority w:val="39"/>
    <w:pPr>
      <w:ind w:left="2520" w:leftChars="1200"/>
    </w:pPr>
    <w:rPr>
      <w:rFonts w:ascii="Calibri" w:hAnsi="Calibri" w:eastAsia="宋体" w:cs="Times New Roman"/>
      <w:szCs w:val="22"/>
    </w:rPr>
  </w:style>
  <w:style w:type="paragraph" w:styleId="13">
    <w:name w:val="table of authorities"/>
    <w:basedOn w:val="1"/>
    <w:next w:val="1"/>
    <w:unhideWhenUsed/>
    <w:qFormat/>
    <w:uiPriority w:val="99"/>
    <w:pPr>
      <w:ind w:left="420" w:leftChars="200"/>
    </w:pPr>
  </w:style>
  <w:style w:type="paragraph" w:styleId="14">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70"/>
    <w:unhideWhenUsed/>
    <w:qFormat/>
    <w:uiPriority w:val="0"/>
    <w:pPr>
      <w:shd w:val="clear" w:color="auto" w:fill="000080"/>
    </w:pPr>
    <w:rPr>
      <w:rFonts w:hint="eastAsia" w:ascii="宋体" w:hAnsi="宋体"/>
      <w:kern w:val="0"/>
      <w:sz w:val="20"/>
      <w:szCs w:val="20"/>
    </w:rPr>
  </w:style>
  <w:style w:type="paragraph" w:styleId="17">
    <w:name w:val="annotation text"/>
    <w:basedOn w:val="1"/>
    <w:link w:val="71"/>
    <w:unhideWhenUsed/>
    <w:qFormat/>
    <w:uiPriority w:val="0"/>
    <w:pPr>
      <w:jc w:val="left"/>
    </w:pPr>
  </w:style>
  <w:style w:type="paragraph" w:styleId="18">
    <w:name w:val="Body Text 3"/>
    <w:basedOn w:val="1"/>
    <w:link w:val="72"/>
    <w:qFormat/>
    <w:uiPriority w:val="0"/>
    <w:pPr>
      <w:spacing w:line="500" w:lineRule="exact"/>
    </w:pPr>
    <w:rPr>
      <w:b/>
      <w:bCs/>
      <w:kern w:val="0"/>
      <w:sz w:val="24"/>
    </w:rPr>
  </w:style>
  <w:style w:type="paragraph" w:styleId="19">
    <w:name w:val="Body Text"/>
    <w:basedOn w:val="1"/>
    <w:next w:val="20"/>
    <w:link w:val="73"/>
    <w:qFormat/>
    <w:uiPriority w:val="99"/>
    <w:pPr>
      <w:spacing w:line="380" w:lineRule="exact"/>
    </w:pPr>
    <w:rPr>
      <w:kern w:val="0"/>
      <w:sz w:val="24"/>
    </w:rPr>
  </w:style>
  <w:style w:type="paragraph" w:customStyle="1" w:styleId="20">
    <w:name w:val="Default"/>
    <w:next w:val="2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Intense Quote"/>
    <w:basedOn w:val="1"/>
    <w:next w:val="1"/>
    <w:qFormat/>
    <w:uiPriority w:val="0"/>
    <w:pPr>
      <w:wordWrap w:val="0"/>
      <w:spacing w:before="360" w:after="360"/>
      <w:ind w:left="950" w:right="950"/>
      <w:jc w:val="center"/>
    </w:pPr>
    <w:rPr>
      <w:i/>
    </w:rPr>
  </w:style>
  <w:style w:type="paragraph" w:styleId="22">
    <w:name w:val="Body Text Indent"/>
    <w:basedOn w:val="1"/>
    <w:next w:val="23"/>
    <w:link w:val="74"/>
    <w:qFormat/>
    <w:uiPriority w:val="0"/>
    <w:pPr>
      <w:ind w:firstLine="830" w:firstLineChars="352"/>
    </w:pPr>
    <w:rPr>
      <w:rFonts w:ascii="仿宋_GB2312" w:eastAsia="仿宋_GB2312"/>
      <w:kern w:val="0"/>
      <w:sz w:val="32"/>
      <w:szCs w:val="20"/>
    </w:rPr>
  </w:style>
  <w:style w:type="paragraph" w:styleId="23">
    <w:name w:val="envelope return"/>
    <w:basedOn w:val="1"/>
    <w:qFormat/>
    <w:uiPriority w:val="0"/>
    <w:pPr>
      <w:snapToGrid w:val="0"/>
    </w:pPr>
    <w:rPr>
      <w:rFonts w:ascii="Arial" w:hAnsi="Arial"/>
    </w:rPr>
  </w:style>
  <w:style w:type="paragraph" w:styleId="24">
    <w:name w:val="List Number 3"/>
    <w:basedOn w:val="1"/>
    <w:qFormat/>
    <w:uiPriority w:val="0"/>
    <w:pPr>
      <w:numPr>
        <w:ilvl w:val="0"/>
        <w:numId w:val="2"/>
      </w:numPr>
    </w:pPr>
  </w:style>
  <w:style w:type="paragraph" w:styleId="25">
    <w:name w:val="List 2"/>
    <w:basedOn w:val="1"/>
    <w:qFormat/>
    <w:uiPriority w:val="0"/>
    <w:pPr>
      <w:ind w:left="100" w:leftChars="200" w:hanging="200" w:hangingChars="200"/>
    </w:pPr>
    <w:rPr>
      <w:sz w:val="28"/>
    </w:rPr>
  </w:style>
  <w:style w:type="paragraph" w:styleId="26">
    <w:name w:val="toc 5"/>
    <w:basedOn w:val="1"/>
    <w:next w:val="1"/>
    <w:unhideWhenUsed/>
    <w:qFormat/>
    <w:uiPriority w:val="39"/>
    <w:pPr>
      <w:ind w:left="1680" w:leftChars="800"/>
    </w:pPr>
    <w:rPr>
      <w:rFonts w:ascii="Calibri" w:hAnsi="Calibri" w:eastAsia="宋体" w:cs="Times New Roman"/>
      <w:szCs w:val="22"/>
    </w:rPr>
  </w:style>
  <w:style w:type="paragraph" w:styleId="27">
    <w:name w:val="toc 3"/>
    <w:basedOn w:val="1"/>
    <w:next w:val="1"/>
    <w:unhideWhenUsed/>
    <w:qFormat/>
    <w:uiPriority w:val="39"/>
    <w:pPr>
      <w:ind w:left="840" w:leftChars="400"/>
    </w:pPr>
    <w:rPr>
      <w:rFonts w:ascii="Calibri" w:hAnsi="Calibri" w:eastAsia="宋体" w:cs="Times New Roman"/>
      <w:szCs w:val="22"/>
    </w:rPr>
  </w:style>
  <w:style w:type="paragraph" w:styleId="28">
    <w:name w:val="Plain Text"/>
    <w:basedOn w:val="1"/>
    <w:next w:val="5"/>
    <w:link w:val="75"/>
    <w:qFormat/>
    <w:uiPriority w:val="0"/>
    <w:rPr>
      <w:rFonts w:ascii="宋体" w:hAnsi="Courier New"/>
      <w:kern w:val="0"/>
      <w:sz w:val="20"/>
      <w:szCs w:val="21"/>
    </w:rPr>
  </w:style>
  <w:style w:type="paragraph" w:styleId="29">
    <w:name w:val="toc 8"/>
    <w:basedOn w:val="1"/>
    <w:next w:val="1"/>
    <w:unhideWhenUsed/>
    <w:qFormat/>
    <w:uiPriority w:val="39"/>
    <w:pPr>
      <w:ind w:left="2940" w:leftChars="1400"/>
    </w:pPr>
    <w:rPr>
      <w:rFonts w:ascii="Calibri" w:hAnsi="Calibri" w:eastAsia="宋体" w:cs="Times New Roman"/>
      <w:szCs w:val="22"/>
    </w:rPr>
  </w:style>
  <w:style w:type="paragraph" w:styleId="30">
    <w:name w:val="Date"/>
    <w:basedOn w:val="1"/>
    <w:next w:val="1"/>
    <w:link w:val="76"/>
    <w:qFormat/>
    <w:uiPriority w:val="0"/>
    <w:pPr>
      <w:ind w:left="100" w:leftChars="2500"/>
    </w:pPr>
    <w:rPr>
      <w:rFonts w:ascii="宋体" w:hAnsi="Courier New"/>
      <w:kern w:val="0"/>
      <w:sz w:val="20"/>
      <w:szCs w:val="21"/>
    </w:rPr>
  </w:style>
  <w:style w:type="paragraph" w:styleId="31">
    <w:name w:val="Body Text Indent 2"/>
    <w:basedOn w:val="1"/>
    <w:link w:val="77"/>
    <w:qFormat/>
    <w:uiPriority w:val="0"/>
    <w:pPr>
      <w:ind w:firstLine="630"/>
    </w:pPr>
    <w:rPr>
      <w:kern w:val="0"/>
      <w:sz w:val="32"/>
      <w:szCs w:val="20"/>
    </w:rPr>
  </w:style>
  <w:style w:type="paragraph" w:styleId="32">
    <w:name w:val="endnote text"/>
    <w:basedOn w:val="1"/>
    <w:link w:val="78"/>
    <w:unhideWhenUsed/>
    <w:qFormat/>
    <w:uiPriority w:val="99"/>
    <w:pPr>
      <w:snapToGrid w:val="0"/>
      <w:jc w:val="left"/>
    </w:pPr>
  </w:style>
  <w:style w:type="paragraph" w:styleId="33">
    <w:name w:val="Balloon Text"/>
    <w:basedOn w:val="1"/>
    <w:link w:val="79"/>
    <w:semiHidden/>
    <w:qFormat/>
    <w:uiPriority w:val="0"/>
    <w:rPr>
      <w:kern w:val="0"/>
      <w:sz w:val="18"/>
      <w:szCs w:val="18"/>
    </w:rPr>
  </w:style>
  <w:style w:type="paragraph" w:styleId="34">
    <w:name w:val="footer"/>
    <w:basedOn w:val="1"/>
    <w:link w:val="80"/>
    <w:unhideWhenUsed/>
    <w:qFormat/>
    <w:uiPriority w:val="99"/>
    <w:pPr>
      <w:tabs>
        <w:tab w:val="center" w:pos="4153"/>
        <w:tab w:val="right" w:pos="8306"/>
      </w:tabs>
      <w:snapToGrid w:val="0"/>
      <w:jc w:val="left"/>
    </w:pPr>
    <w:rPr>
      <w:kern w:val="0"/>
      <w:sz w:val="18"/>
      <w:szCs w:val="18"/>
    </w:rPr>
  </w:style>
  <w:style w:type="paragraph" w:styleId="35">
    <w:name w:val="header"/>
    <w:basedOn w:val="1"/>
    <w:link w:val="81"/>
    <w:unhideWhenUsed/>
    <w:qFormat/>
    <w:uiPriority w:val="99"/>
    <w:pPr>
      <w:pBdr>
        <w:bottom w:val="single" w:color="auto" w:sz="6" w:space="1"/>
      </w:pBdr>
      <w:tabs>
        <w:tab w:val="center" w:pos="0"/>
        <w:tab w:val="left" w:pos="8306"/>
      </w:tabs>
      <w:snapToGrid w:val="0"/>
      <w:jc w:val="center"/>
    </w:pPr>
    <w:rPr>
      <w:sz w:val="18"/>
      <w:szCs w:val="18"/>
    </w:rPr>
  </w:style>
  <w:style w:type="paragraph" w:styleId="36">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7">
    <w:name w:val="toc 4"/>
    <w:basedOn w:val="1"/>
    <w:next w:val="1"/>
    <w:unhideWhenUsed/>
    <w:qFormat/>
    <w:uiPriority w:val="39"/>
    <w:pPr>
      <w:ind w:left="1260" w:leftChars="600"/>
    </w:pPr>
    <w:rPr>
      <w:rFonts w:ascii="Calibri" w:hAnsi="Calibri" w:eastAsia="宋体" w:cs="Times New Roman"/>
      <w:szCs w:val="22"/>
    </w:rPr>
  </w:style>
  <w:style w:type="paragraph" w:styleId="38">
    <w:name w:val="List"/>
    <w:basedOn w:val="1"/>
    <w:qFormat/>
    <w:uiPriority w:val="0"/>
    <w:pPr>
      <w:ind w:left="200" w:hanging="200" w:hangingChars="200"/>
    </w:pPr>
    <w:rPr>
      <w:sz w:val="28"/>
    </w:rPr>
  </w:style>
  <w:style w:type="paragraph" w:styleId="39">
    <w:name w:val="footnote text"/>
    <w:basedOn w:val="1"/>
    <w:link w:val="82"/>
    <w:unhideWhenUsed/>
    <w:qFormat/>
    <w:uiPriority w:val="99"/>
    <w:pPr>
      <w:snapToGrid w:val="0"/>
      <w:jc w:val="left"/>
    </w:pPr>
    <w:rPr>
      <w:sz w:val="18"/>
      <w:szCs w:val="18"/>
    </w:rPr>
  </w:style>
  <w:style w:type="paragraph" w:styleId="40">
    <w:name w:val="toc 6"/>
    <w:basedOn w:val="1"/>
    <w:next w:val="1"/>
    <w:unhideWhenUsed/>
    <w:qFormat/>
    <w:uiPriority w:val="39"/>
    <w:pPr>
      <w:ind w:left="2100" w:leftChars="1000"/>
    </w:pPr>
    <w:rPr>
      <w:rFonts w:ascii="Calibri" w:hAnsi="Calibri" w:eastAsia="宋体" w:cs="Times New Roman"/>
      <w:szCs w:val="22"/>
    </w:rPr>
  </w:style>
  <w:style w:type="paragraph" w:styleId="41">
    <w:name w:val="Body Text Indent 3"/>
    <w:basedOn w:val="1"/>
    <w:link w:val="83"/>
    <w:qFormat/>
    <w:uiPriority w:val="0"/>
    <w:pPr>
      <w:spacing w:after="120"/>
      <w:ind w:left="420" w:leftChars="200"/>
    </w:pPr>
    <w:rPr>
      <w:kern w:val="0"/>
      <w:sz w:val="16"/>
      <w:szCs w:val="16"/>
    </w:rPr>
  </w:style>
  <w:style w:type="paragraph" w:styleId="42">
    <w:name w:val="toc 2"/>
    <w:basedOn w:val="1"/>
    <w:next w:val="1"/>
    <w:unhideWhenUsed/>
    <w:qFormat/>
    <w:uiPriority w:val="39"/>
    <w:pPr>
      <w:ind w:left="420" w:leftChars="200"/>
    </w:pPr>
  </w:style>
  <w:style w:type="paragraph" w:styleId="43">
    <w:name w:val="toc 9"/>
    <w:basedOn w:val="1"/>
    <w:next w:val="1"/>
    <w:unhideWhenUsed/>
    <w:qFormat/>
    <w:uiPriority w:val="39"/>
    <w:pPr>
      <w:ind w:left="3360" w:leftChars="1600"/>
    </w:pPr>
    <w:rPr>
      <w:rFonts w:ascii="Calibri" w:hAnsi="Calibri" w:eastAsia="宋体" w:cs="Times New Roman"/>
      <w:szCs w:val="22"/>
    </w:rPr>
  </w:style>
  <w:style w:type="paragraph" w:styleId="44">
    <w:name w:val="Body Text 2"/>
    <w:basedOn w:val="1"/>
    <w:link w:val="84"/>
    <w:qFormat/>
    <w:uiPriority w:val="0"/>
    <w:pPr>
      <w:spacing w:after="120" w:line="480" w:lineRule="auto"/>
    </w:pPr>
    <w:rPr>
      <w:kern w:val="0"/>
      <w:sz w:val="20"/>
    </w:rPr>
  </w:style>
  <w:style w:type="paragraph" w:styleId="45">
    <w:name w:val="Normal (Web)"/>
    <w:basedOn w:val="1"/>
    <w:qFormat/>
    <w:uiPriority w:val="99"/>
    <w:pPr>
      <w:widowControl/>
      <w:spacing w:before="100" w:beforeAutospacing="1" w:after="100" w:afterAutospacing="1"/>
      <w:jc w:val="left"/>
    </w:pPr>
    <w:rPr>
      <w:rFonts w:ascii="宋体" w:hAnsi="宋体"/>
      <w:kern w:val="0"/>
      <w:sz w:val="24"/>
    </w:rPr>
  </w:style>
  <w:style w:type="paragraph" w:styleId="46">
    <w:name w:val="index 1"/>
    <w:basedOn w:val="1"/>
    <w:next w:val="1"/>
    <w:semiHidden/>
    <w:qFormat/>
    <w:uiPriority w:val="0"/>
    <w:pPr>
      <w:spacing w:line="400" w:lineRule="exact"/>
      <w:ind w:firstLine="420" w:firstLineChars="200"/>
    </w:pPr>
    <w:rPr>
      <w:rFonts w:ascii="宋体" w:hAnsi="Courier New"/>
      <w:b/>
      <w:szCs w:val="20"/>
    </w:rPr>
  </w:style>
  <w:style w:type="paragraph" w:styleId="47">
    <w:name w:val="Title"/>
    <w:basedOn w:val="1"/>
    <w:next w:val="1"/>
    <w:link w:val="85"/>
    <w:qFormat/>
    <w:uiPriority w:val="10"/>
    <w:pPr>
      <w:spacing w:before="240" w:after="60"/>
      <w:jc w:val="center"/>
      <w:outlineLvl w:val="0"/>
    </w:pPr>
    <w:rPr>
      <w:rFonts w:ascii="Cambria" w:hAnsi="Cambria"/>
      <w:b/>
      <w:bCs/>
      <w:sz w:val="32"/>
      <w:szCs w:val="32"/>
    </w:rPr>
  </w:style>
  <w:style w:type="paragraph" w:styleId="48">
    <w:name w:val="annotation subject"/>
    <w:basedOn w:val="17"/>
    <w:next w:val="17"/>
    <w:link w:val="86"/>
    <w:unhideWhenUsed/>
    <w:qFormat/>
    <w:uiPriority w:val="99"/>
    <w:rPr>
      <w:b/>
      <w:bCs/>
    </w:rPr>
  </w:style>
  <w:style w:type="paragraph" w:styleId="49">
    <w:name w:val="Body Text First Indent"/>
    <w:basedOn w:val="19"/>
    <w:next w:val="40"/>
    <w:unhideWhenUsed/>
    <w:qFormat/>
    <w:uiPriority w:val="99"/>
    <w:pPr>
      <w:adjustRightInd/>
      <w:spacing w:after="120" w:line="240" w:lineRule="auto"/>
      <w:ind w:firstLine="420" w:firstLineChars="100"/>
      <w:jc w:val="both"/>
    </w:pPr>
    <w:rPr>
      <w:rFonts w:ascii="Times New Roman"/>
      <w:kern w:val="2"/>
      <w:sz w:val="21"/>
      <w:szCs w:val="24"/>
    </w:rPr>
  </w:style>
  <w:style w:type="paragraph" w:styleId="50">
    <w:name w:val="Body Text First Indent 2"/>
    <w:basedOn w:val="22"/>
    <w:next w:val="1"/>
    <w:unhideWhenUsed/>
    <w:qFormat/>
    <w:uiPriority w:val="0"/>
    <w:pPr>
      <w:ind w:firstLine="420" w:firstLineChars="200"/>
    </w:pPr>
  </w:style>
  <w:style w:type="table" w:styleId="52">
    <w:name w:val="Table Grid"/>
    <w:basedOn w:val="51"/>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basedOn w:val="53"/>
    <w:qFormat/>
    <w:uiPriority w:val="22"/>
    <w:rPr>
      <w:b/>
    </w:rPr>
  </w:style>
  <w:style w:type="character" w:styleId="55">
    <w:name w:val="endnote reference"/>
    <w:unhideWhenUsed/>
    <w:qFormat/>
    <w:uiPriority w:val="99"/>
    <w:rPr>
      <w:vertAlign w:val="superscript"/>
    </w:rPr>
  </w:style>
  <w:style w:type="character" w:styleId="56">
    <w:name w:val="page number"/>
    <w:qFormat/>
    <w:uiPriority w:val="0"/>
  </w:style>
  <w:style w:type="character" w:styleId="57">
    <w:name w:val="FollowedHyperlink"/>
    <w:qFormat/>
    <w:uiPriority w:val="0"/>
    <w:rPr>
      <w:color w:val="800080"/>
      <w:u w:val="single"/>
    </w:rPr>
  </w:style>
  <w:style w:type="character" w:styleId="58">
    <w:name w:val="Emphasis"/>
    <w:qFormat/>
    <w:uiPriority w:val="0"/>
    <w:rPr>
      <w:i/>
    </w:rPr>
  </w:style>
  <w:style w:type="character" w:styleId="59">
    <w:name w:val="Hyperlink"/>
    <w:qFormat/>
    <w:uiPriority w:val="0"/>
    <w:rPr>
      <w:color w:val="0000FF"/>
      <w:u w:val="single"/>
    </w:rPr>
  </w:style>
  <w:style w:type="character" w:styleId="60">
    <w:name w:val="annotation reference"/>
    <w:basedOn w:val="53"/>
    <w:unhideWhenUsed/>
    <w:qFormat/>
    <w:uiPriority w:val="0"/>
    <w:rPr>
      <w:sz w:val="21"/>
      <w:szCs w:val="21"/>
    </w:rPr>
  </w:style>
  <w:style w:type="character" w:styleId="61">
    <w:name w:val="footnote reference"/>
    <w:unhideWhenUsed/>
    <w:qFormat/>
    <w:uiPriority w:val="99"/>
    <w:rPr>
      <w:vertAlign w:val="superscript"/>
    </w:rPr>
  </w:style>
  <w:style w:type="character" w:customStyle="1" w:styleId="62">
    <w:name w:val="标题 1 字符1"/>
    <w:link w:val="2"/>
    <w:qFormat/>
    <w:uiPriority w:val="0"/>
    <w:rPr>
      <w:rFonts w:ascii="Times New Roman" w:hAnsi="Times New Roman" w:eastAsia="宋体" w:cs="Times New Roman"/>
      <w:b/>
      <w:bCs/>
      <w:kern w:val="44"/>
      <w:sz w:val="44"/>
      <w:szCs w:val="44"/>
    </w:rPr>
  </w:style>
  <w:style w:type="character" w:customStyle="1" w:styleId="63">
    <w:name w:val="标题 2 字符"/>
    <w:link w:val="3"/>
    <w:qFormat/>
    <w:uiPriority w:val="0"/>
    <w:rPr>
      <w:rFonts w:ascii="Arial" w:hAnsi="Arial" w:eastAsia="黑体" w:cs="Times New Roman"/>
      <w:b/>
      <w:bCs/>
      <w:sz w:val="32"/>
      <w:szCs w:val="32"/>
    </w:rPr>
  </w:style>
  <w:style w:type="character" w:customStyle="1" w:styleId="64">
    <w:name w:val="标题 3 字符"/>
    <w:link w:val="4"/>
    <w:qFormat/>
    <w:uiPriority w:val="0"/>
    <w:rPr>
      <w:rFonts w:ascii="Times New Roman" w:hAnsi="Times New Roman" w:eastAsia="宋体" w:cs="Times New Roman"/>
      <w:b/>
      <w:bCs/>
      <w:sz w:val="32"/>
      <w:szCs w:val="32"/>
    </w:rPr>
  </w:style>
  <w:style w:type="character" w:customStyle="1" w:styleId="65">
    <w:name w:val="标题 5 字符"/>
    <w:link w:val="6"/>
    <w:qFormat/>
    <w:uiPriority w:val="0"/>
    <w:rPr>
      <w:b/>
      <w:kern w:val="2"/>
      <w:sz w:val="28"/>
      <w:szCs w:val="24"/>
    </w:rPr>
  </w:style>
  <w:style w:type="character" w:customStyle="1" w:styleId="66">
    <w:name w:val="标题 6 字符"/>
    <w:link w:val="7"/>
    <w:qFormat/>
    <w:uiPriority w:val="0"/>
    <w:rPr>
      <w:rFonts w:ascii="Arial" w:hAnsi="Arial" w:eastAsia="黑体"/>
      <w:b/>
      <w:kern w:val="2"/>
      <w:sz w:val="24"/>
      <w:szCs w:val="24"/>
    </w:rPr>
  </w:style>
  <w:style w:type="character" w:customStyle="1" w:styleId="67">
    <w:name w:val="标题 7 字符"/>
    <w:link w:val="8"/>
    <w:qFormat/>
    <w:uiPriority w:val="0"/>
    <w:rPr>
      <w:rFonts w:ascii="Times New Roman" w:hAnsi="Times New Roman"/>
      <w:b/>
      <w:kern w:val="2"/>
      <w:sz w:val="24"/>
      <w:szCs w:val="24"/>
    </w:rPr>
  </w:style>
  <w:style w:type="character" w:customStyle="1" w:styleId="68">
    <w:name w:val="标题 8 字符"/>
    <w:link w:val="9"/>
    <w:qFormat/>
    <w:uiPriority w:val="0"/>
    <w:rPr>
      <w:rFonts w:ascii="Arial" w:hAnsi="Arial" w:eastAsia="黑体"/>
      <w:kern w:val="2"/>
      <w:sz w:val="24"/>
      <w:szCs w:val="24"/>
    </w:rPr>
  </w:style>
  <w:style w:type="character" w:customStyle="1" w:styleId="69">
    <w:name w:val="标题 9 字符"/>
    <w:link w:val="10"/>
    <w:qFormat/>
    <w:uiPriority w:val="0"/>
    <w:rPr>
      <w:rFonts w:ascii="Arial" w:hAnsi="Arial" w:eastAsia="黑体"/>
      <w:kern w:val="2"/>
      <w:sz w:val="21"/>
      <w:szCs w:val="24"/>
    </w:rPr>
  </w:style>
  <w:style w:type="character" w:customStyle="1" w:styleId="70">
    <w:name w:val="文档结构图 字符"/>
    <w:link w:val="16"/>
    <w:qFormat/>
    <w:uiPriority w:val="0"/>
    <w:rPr>
      <w:rFonts w:hint="eastAsia" w:ascii="宋体" w:hAnsi="宋体" w:eastAsia="宋体" w:cs="宋体"/>
    </w:rPr>
  </w:style>
  <w:style w:type="character" w:customStyle="1" w:styleId="71">
    <w:name w:val="批注文字 字符2"/>
    <w:link w:val="17"/>
    <w:qFormat/>
    <w:uiPriority w:val="0"/>
    <w:rPr>
      <w:rFonts w:ascii="Times New Roman" w:hAnsi="Times New Roman"/>
      <w:kern w:val="2"/>
      <w:sz w:val="21"/>
      <w:szCs w:val="24"/>
    </w:rPr>
  </w:style>
  <w:style w:type="character" w:customStyle="1" w:styleId="72">
    <w:name w:val="正文文本 3 字符"/>
    <w:link w:val="18"/>
    <w:qFormat/>
    <w:uiPriority w:val="0"/>
    <w:rPr>
      <w:rFonts w:ascii="Times New Roman" w:hAnsi="Times New Roman" w:eastAsia="宋体" w:cs="Times New Roman"/>
      <w:b/>
      <w:bCs/>
      <w:sz w:val="24"/>
      <w:szCs w:val="24"/>
    </w:rPr>
  </w:style>
  <w:style w:type="character" w:customStyle="1" w:styleId="73">
    <w:name w:val="正文文本 字符"/>
    <w:link w:val="19"/>
    <w:qFormat/>
    <w:uiPriority w:val="99"/>
    <w:rPr>
      <w:rFonts w:ascii="Times New Roman" w:hAnsi="Times New Roman" w:eastAsia="宋体" w:cs="Times New Roman"/>
      <w:sz w:val="24"/>
      <w:szCs w:val="24"/>
    </w:rPr>
  </w:style>
  <w:style w:type="character" w:customStyle="1" w:styleId="74">
    <w:name w:val="正文文本缩进 字符1"/>
    <w:link w:val="22"/>
    <w:qFormat/>
    <w:uiPriority w:val="0"/>
    <w:rPr>
      <w:rFonts w:ascii="仿宋_GB2312" w:hAnsi="Times New Roman" w:eastAsia="仿宋_GB2312" w:cs="Times New Roman"/>
      <w:sz w:val="32"/>
      <w:szCs w:val="20"/>
    </w:rPr>
  </w:style>
  <w:style w:type="character" w:customStyle="1" w:styleId="75">
    <w:name w:val="纯文本 字符2"/>
    <w:link w:val="28"/>
    <w:qFormat/>
    <w:uiPriority w:val="0"/>
    <w:rPr>
      <w:rFonts w:ascii="宋体" w:hAnsi="Courier New" w:eastAsia="宋体" w:cs="Courier New"/>
      <w:szCs w:val="21"/>
    </w:rPr>
  </w:style>
  <w:style w:type="character" w:customStyle="1" w:styleId="76">
    <w:name w:val="日期 字符"/>
    <w:link w:val="30"/>
    <w:qFormat/>
    <w:uiPriority w:val="0"/>
    <w:rPr>
      <w:rFonts w:ascii="宋体" w:hAnsi="Courier New" w:eastAsia="宋体" w:cs="Courier New"/>
      <w:szCs w:val="21"/>
    </w:rPr>
  </w:style>
  <w:style w:type="character" w:customStyle="1" w:styleId="77">
    <w:name w:val="正文文本缩进 2 字符"/>
    <w:link w:val="31"/>
    <w:qFormat/>
    <w:uiPriority w:val="0"/>
    <w:rPr>
      <w:rFonts w:ascii="Times New Roman" w:hAnsi="Times New Roman" w:eastAsia="宋体" w:cs="Times New Roman"/>
      <w:sz w:val="32"/>
      <w:szCs w:val="20"/>
    </w:rPr>
  </w:style>
  <w:style w:type="character" w:customStyle="1" w:styleId="78">
    <w:name w:val="尾注文本 字符"/>
    <w:link w:val="32"/>
    <w:semiHidden/>
    <w:qFormat/>
    <w:uiPriority w:val="99"/>
    <w:rPr>
      <w:rFonts w:ascii="Times New Roman" w:hAnsi="Times New Roman"/>
      <w:kern w:val="2"/>
      <w:sz w:val="21"/>
      <w:szCs w:val="24"/>
    </w:rPr>
  </w:style>
  <w:style w:type="character" w:customStyle="1" w:styleId="79">
    <w:name w:val="批注框文本 字符"/>
    <w:link w:val="33"/>
    <w:semiHidden/>
    <w:qFormat/>
    <w:uiPriority w:val="0"/>
    <w:rPr>
      <w:rFonts w:ascii="Times New Roman" w:hAnsi="Times New Roman" w:eastAsia="宋体" w:cs="Times New Roman"/>
      <w:sz w:val="18"/>
      <w:szCs w:val="18"/>
    </w:rPr>
  </w:style>
  <w:style w:type="character" w:customStyle="1" w:styleId="80">
    <w:name w:val="页脚 字符1"/>
    <w:link w:val="34"/>
    <w:qFormat/>
    <w:uiPriority w:val="99"/>
    <w:rPr>
      <w:sz w:val="18"/>
      <w:szCs w:val="18"/>
    </w:rPr>
  </w:style>
  <w:style w:type="character" w:customStyle="1" w:styleId="81">
    <w:name w:val="页眉 字符"/>
    <w:link w:val="35"/>
    <w:qFormat/>
    <w:uiPriority w:val="99"/>
    <w:rPr>
      <w:rFonts w:ascii="Times New Roman" w:hAnsi="Times New Roman"/>
      <w:kern w:val="2"/>
      <w:sz w:val="18"/>
      <w:szCs w:val="18"/>
    </w:rPr>
  </w:style>
  <w:style w:type="character" w:customStyle="1" w:styleId="82">
    <w:name w:val="脚注文本 字符"/>
    <w:link w:val="39"/>
    <w:semiHidden/>
    <w:qFormat/>
    <w:uiPriority w:val="99"/>
    <w:rPr>
      <w:rFonts w:ascii="Times New Roman" w:hAnsi="Times New Roman"/>
      <w:kern w:val="2"/>
      <w:sz w:val="18"/>
      <w:szCs w:val="18"/>
    </w:rPr>
  </w:style>
  <w:style w:type="character" w:customStyle="1" w:styleId="83">
    <w:name w:val="正文文本缩进 3 字符"/>
    <w:link w:val="41"/>
    <w:qFormat/>
    <w:uiPriority w:val="0"/>
    <w:rPr>
      <w:rFonts w:ascii="Times New Roman" w:hAnsi="Times New Roman" w:eastAsia="宋体" w:cs="Times New Roman"/>
      <w:sz w:val="16"/>
      <w:szCs w:val="16"/>
    </w:rPr>
  </w:style>
  <w:style w:type="character" w:customStyle="1" w:styleId="84">
    <w:name w:val="正文文本 2 字符"/>
    <w:link w:val="44"/>
    <w:qFormat/>
    <w:uiPriority w:val="0"/>
    <w:rPr>
      <w:rFonts w:ascii="Times New Roman" w:hAnsi="Times New Roman" w:eastAsia="宋体" w:cs="Times New Roman"/>
      <w:szCs w:val="24"/>
    </w:rPr>
  </w:style>
  <w:style w:type="character" w:customStyle="1" w:styleId="85">
    <w:name w:val="标题 字符"/>
    <w:link w:val="47"/>
    <w:qFormat/>
    <w:uiPriority w:val="10"/>
    <w:rPr>
      <w:rFonts w:ascii="Cambria" w:hAnsi="Cambria" w:cs="Times New Roman"/>
      <w:b/>
      <w:bCs/>
      <w:kern w:val="2"/>
      <w:sz w:val="32"/>
      <w:szCs w:val="32"/>
    </w:rPr>
  </w:style>
  <w:style w:type="character" w:customStyle="1" w:styleId="86">
    <w:name w:val="批注主题 字符"/>
    <w:link w:val="48"/>
    <w:semiHidden/>
    <w:qFormat/>
    <w:uiPriority w:val="99"/>
    <w:rPr>
      <w:rFonts w:ascii="Times New Roman" w:hAnsi="Times New Roman"/>
      <w:b/>
      <w:bCs/>
      <w:kern w:val="2"/>
      <w:sz w:val="21"/>
      <w:szCs w:val="24"/>
    </w:rPr>
  </w:style>
  <w:style w:type="character" w:customStyle="1" w:styleId="87">
    <w:name w:val="标题 1 Char"/>
    <w:link w:val="2"/>
    <w:qFormat/>
    <w:uiPriority w:val="0"/>
    <w:rPr>
      <w:b/>
    </w:rPr>
  </w:style>
  <w:style w:type="character" w:customStyle="1" w:styleId="88">
    <w:name w:val="正文文本缩进 字符"/>
    <w:qFormat/>
    <w:uiPriority w:val="0"/>
    <w:rPr>
      <w:rFonts w:ascii="仿宋_GB2312" w:hAnsi="Times New Roman" w:eastAsia="仿宋_GB2312" w:cs="Times New Roman"/>
      <w:sz w:val="32"/>
      <w:szCs w:val="20"/>
    </w:rPr>
  </w:style>
  <w:style w:type="character" w:customStyle="1" w:styleId="89">
    <w:name w:val="textcontents"/>
    <w:qFormat/>
    <w:uiPriority w:val="0"/>
  </w:style>
  <w:style w:type="character" w:customStyle="1" w:styleId="90">
    <w:name w:val="批注文字 Char"/>
    <w:qFormat/>
    <w:uiPriority w:val="0"/>
    <w:rPr>
      <w:rFonts w:ascii="Times New Roman" w:hAnsi="Times New Roman"/>
      <w:kern w:val="2"/>
      <w:sz w:val="21"/>
      <w:szCs w:val="24"/>
    </w:rPr>
  </w:style>
  <w:style w:type="character" w:customStyle="1" w:styleId="91">
    <w:name w:val="纯文本 Char"/>
    <w:qFormat/>
    <w:uiPriority w:val="0"/>
    <w:rPr>
      <w:rFonts w:ascii="宋体" w:hAnsi="Courier New" w:eastAsia="宋体"/>
      <w:kern w:val="2"/>
      <w:sz w:val="21"/>
      <w:lang w:val="en-US" w:eastAsia="zh-CN" w:bidi="ar-SA"/>
    </w:rPr>
  </w:style>
  <w:style w:type="character" w:customStyle="1" w:styleId="92">
    <w:name w:val="NormalCharacter"/>
    <w:qFormat/>
    <w:uiPriority w:val="0"/>
  </w:style>
  <w:style w:type="character" w:customStyle="1" w:styleId="93">
    <w:name w:val="font01"/>
    <w:qFormat/>
    <w:uiPriority w:val="0"/>
    <w:rPr>
      <w:rFonts w:hint="eastAsia" w:ascii="宋体" w:hAnsi="宋体" w:eastAsia="宋体" w:cs="宋体"/>
      <w:color w:val="000000"/>
      <w:sz w:val="21"/>
      <w:szCs w:val="21"/>
      <w:u w:val="none"/>
    </w:rPr>
  </w:style>
  <w:style w:type="character" w:customStyle="1" w:styleId="94">
    <w:name w:val="批注文字 字符"/>
    <w:qFormat/>
    <w:uiPriority w:val="0"/>
    <w:rPr>
      <w:rFonts w:ascii="Times New Roman" w:hAnsi="Times New Roman"/>
      <w:kern w:val="2"/>
      <w:sz w:val="21"/>
      <w:szCs w:val="24"/>
    </w:rPr>
  </w:style>
  <w:style w:type="character" w:customStyle="1" w:styleId="95">
    <w:name w:val="标题 5 Char"/>
    <w:qFormat/>
    <w:uiPriority w:val="0"/>
    <w:rPr>
      <w:b/>
      <w:kern w:val="2"/>
      <w:sz w:val="28"/>
      <w:szCs w:val="24"/>
    </w:rPr>
  </w:style>
  <w:style w:type="character" w:customStyle="1" w:styleId="96">
    <w:name w:val="font61"/>
    <w:qFormat/>
    <w:uiPriority w:val="0"/>
    <w:rPr>
      <w:rFonts w:hint="default" w:ascii="Times New Roman" w:hAnsi="Times New Roman" w:cs="Times New Roman"/>
      <w:color w:val="000000"/>
      <w:sz w:val="21"/>
      <w:szCs w:val="21"/>
      <w:u w:val="none"/>
    </w:rPr>
  </w:style>
  <w:style w:type="character" w:customStyle="1" w:styleId="97">
    <w:name w:val="headline-content4"/>
    <w:qFormat/>
    <w:uiPriority w:val="0"/>
  </w:style>
  <w:style w:type="character" w:customStyle="1" w:styleId="98">
    <w:name w:val="批注文字 Char1"/>
    <w:semiHidden/>
    <w:qFormat/>
    <w:locked/>
    <w:uiPriority w:val="0"/>
    <w:rPr>
      <w:rFonts w:ascii="Times New Roman" w:hAnsi="Times New Roman"/>
      <w:kern w:val="2"/>
      <w:sz w:val="21"/>
      <w:szCs w:val="24"/>
    </w:rPr>
  </w:style>
  <w:style w:type="character" w:customStyle="1" w:styleId="99">
    <w:name w:val="普通文字 Char Char2"/>
    <w:qFormat/>
    <w:uiPriority w:val="0"/>
    <w:rPr>
      <w:rFonts w:ascii="宋体" w:hAnsi="Courier New" w:eastAsia="宋体"/>
      <w:kern w:val="2"/>
      <w:sz w:val="21"/>
      <w:lang w:val="en-US" w:eastAsia="zh-CN" w:bidi="ar-SA"/>
    </w:rPr>
  </w:style>
  <w:style w:type="character" w:customStyle="1" w:styleId="100">
    <w:name w:val="纯文本 字符"/>
    <w:qFormat/>
    <w:uiPriority w:val="0"/>
    <w:rPr>
      <w:rFonts w:ascii="宋体" w:hAnsi="Courier New" w:eastAsia="宋体" w:cs="Courier New"/>
      <w:szCs w:val="21"/>
    </w:rPr>
  </w:style>
  <w:style w:type="character" w:customStyle="1" w:styleId="101">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02">
    <w:name w:val="批注文字 字符1"/>
    <w:qFormat/>
    <w:uiPriority w:val="0"/>
    <w:rPr>
      <w:rFonts w:ascii="Times New Roman" w:hAnsi="Times New Roman"/>
      <w:kern w:val="2"/>
      <w:sz w:val="21"/>
      <w:szCs w:val="24"/>
    </w:rPr>
  </w:style>
  <w:style w:type="character" w:customStyle="1" w:styleId="103">
    <w:name w:val="apple-style-span"/>
    <w:qFormat/>
    <w:uiPriority w:val="0"/>
  </w:style>
  <w:style w:type="character" w:customStyle="1" w:styleId="104">
    <w:name w:val="font41"/>
    <w:qFormat/>
    <w:uiPriority w:val="0"/>
    <w:rPr>
      <w:rFonts w:hint="default" w:ascii="Times New Roman" w:hAnsi="Times New Roman" w:cs="Times New Roman"/>
      <w:color w:val="000000"/>
      <w:sz w:val="21"/>
      <w:szCs w:val="21"/>
      <w:u w:val="none"/>
    </w:rPr>
  </w:style>
  <w:style w:type="character" w:customStyle="1" w:styleId="105">
    <w:name w:val="font51"/>
    <w:qFormat/>
    <w:uiPriority w:val="0"/>
    <w:rPr>
      <w:rFonts w:hint="default" w:ascii="Times New Roman" w:hAnsi="Times New Roman" w:cs="Times New Roman"/>
      <w:color w:val="000000"/>
      <w:sz w:val="21"/>
      <w:szCs w:val="21"/>
      <w:u w:val="none"/>
    </w:rPr>
  </w:style>
  <w:style w:type="character" w:customStyle="1" w:styleId="106">
    <w:name w:val="正文文本 Char1"/>
    <w:semiHidden/>
    <w:qFormat/>
    <w:locked/>
    <w:uiPriority w:val="99"/>
    <w:rPr>
      <w:sz w:val="24"/>
      <w:szCs w:val="24"/>
    </w:rPr>
  </w:style>
  <w:style w:type="character" w:customStyle="1" w:styleId="107">
    <w:name w:val="页脚 字符"/>
    <w:qFormat/>
    <w:uiPriority w:val="99"/>
  </w:style>
  <w:style w:type="character" w:customStyle="1" w:styleId="108">
    <w:name w:val="case31"/>
    <w:qFormat/>
    <w:uiPriority w:val="0"/>
    <w:rPr>
      <w:rFonts w:hint="default" w:ascii="_x000B__x000C_" w:hAnsi="_x000B__x000C_"/>
      <w:sz w:val="21"/>
      <w:szCs w:val="21"/>
    </w:rPr>
  </w:style>
  <w:style w:type="character" w:customStyle="1" w:styleId="109">
    <w:name w:val="标题 1 字符"/>
    <w:qFormat/>
    <w:uiPriority w:val="9"/>
    <w:rPr>
      <w:rFonts w:ascii="Times New Roman" w:hAnsi="Times New Roman" w:eastAsia="宋体" w:cs="Times New Roman"/>
      <w:b/>
      <w:bCs/>
      <w:kern w:val="44"/>
      <w:sz w:val="44"/>
      <w:szCs w:val="44"/>
    </w:rPr>
  </w:style>
  <w:style w:type="character" w:customStyle="1" w:styleId="110">
    <w:name w:val="纯文本 字符1"/>
    <w:qFormat/>
    <w:uiPriority w:val="0"/>
    <w:rPr>
      <w:rFonts w:ascii="宋体" w:hAnsi="Courier New"/>
    </w:rPr>
  </w:style>
  <w:style w:type="paragraph" w:styleId="111">
    <w:name w:val="List Paragraph"/>
    <w:basedOn w:val="1"/>
    <w:qFormat/>
    <w:uiPriority w:val="34"/>
    <w:pPr>
      <w:ind w:firstLine="420" w:firstLineChars="200"/>
    </w:pPr>
  </w:style>
  <w:style w:type="paragraph" w:customStyle="1" w:styleId="112">
    <w:name w:val="Char1"/>
    <w:basedOn w:val="1"/>
    <w:qFormat/>
    <w:uiPriority w:val="0"/>
    <w:rPr>
      <w:szCs w:val="21"/>
    </w:rPr>
  </w:style>
  <w:style w:type="paragraph" w:customStyle="1" w:styleId="113">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1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15">
    <w:name w:val="正文首行缩进两字符"/>
    <w:basedOn w:val="1"/>
    <w:qFormat/>
    <w:uiPriority w:val="0"/>
    <w:pPr>
      <w:spacing w:line="360" w:lineRule="auto"/>
      <w:ind w:firstLine="200" w:firstLineChars="200"/>
    </w:pPr>
  </w:style>
  <w:style w:type="paragraph" w:customStyle="1" w:styleId="116">
    <w:name w:val="表格"/>
    <w:basedOn w:val="1"/>
    <w:qFormat/>
    <w:uiPriority w:val="0"/>
    <w:pPr>
      <w:spacing w:line="400" w:lineRule="exact"/>
    </w:pPr>
    <w:rPr>
      <w:sz w:val="24"/>
    </w:rPr>
  </w:style>
  <w:style w:type="paragraph" w:customStyle="1" w:styleId="117">
    <w:name w:val="正文段"/>
    <w:basedOn w:val="1"/>
    <w:qFormat/>
    <w:uiPriority w:val="0"/>
    <w:pPr>
      <w:widowControl/>
      <w:snapToGrid w:val="0"/>
      <w:spacing w:after="50" w:afterLines="50"/>
      <w:ind w:firstLine="200" w:firstLineChars="200"/>
    </w:pPr>
    <w:rPr>
      <w:kern w:val="0"/>
      <w:sz w:val="24"/>
      <w:szCs w:val="20"/>
    </w:rPr>
  </w:style>
  <w:style w:type="paragraph" w:customStyle="1" w:styleId="118">
    <w:name w:val="正文2"/>
    <w:basedOn w:val="1"/>
    <w:qFormat/>
    <w:uiPriority w:val="0"/>
    <w:pPr>
      <w:adjustRightInd w:val="0"/>
      <w:spacing w:before="156" w:line="360" w:lineRule="auto"/>
      <w:ind w:firstLine="510" w:firstLineChars="200"/>
    </w:pPr>
    <w:rPr>
      <w:rFonts w:cs="Times New Roman"/>
      <w:sz w:val="24"/>
      <w:szCs w:val="20"/>
    </w:rPr>
  </w:style>
  <w:style w:type="paragraph" w:customStyle="1" w:styleId="119">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20">
    <w:name w:val="默认段落字体 Para Char Char Char Char Char Char Char Char Char1 Char Char Char Char"/>
    <w:basedOn w:val="1"/>
    <w:qFormat/>
    <w:uiPriority w:val="0"/>
    <w:rPr>
      <w:rFonts w:ascii="Tahoma" w:hAnsi="Tahoma"/>
      <w:sz w:val="24"/>
      <w:szCs w:val="20"/>
    </w:rPr>
  </w:style>
  <w:style w:type="paragraph" w:customStyle="1" w:styleId="121">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22">
    <w:name w:val="Plain Text"/>
    <w:basedOn w:val="1"/>
    <w:qFormat/>
    <w:uiPriority w:val="0"/>
    <w:rPr>
      <w:rFonts w:ascii="宋体" w:hAnsi="Courier New" w:cs="Century"/>
      <w:szCs w:val="21"/>
    </w:rPr>
  </w:style>
  <w:style w:type="paragraph" w:customStyle="1" w:styleId="123">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24">
    <w:name w:val="样式 首行缩进:  2 字符"/>
    <w:basedOn w:val="1"/>
    <w:qFormat/>
    <w:uiPriority w:val="0"/>
    <w:pPr>
      <w:spacing w:line="400" w:lineRule="exact"/>
      <w:ind w:firstLine="200" w:firstLineChars="200"/>
    </w:pPr>
    <w:rPr>
      <w:rFonts w:cs="宋体"/>
      <w:sz w:val="24"/>
    </w:rPr>
  </w:style>
  <w:style w:type="paragraph" w:customStyle="1" w:styleId="125">
    <w:name w:val="Table Paragraph"/>
    <w:basedOn w:val="1"/>
    <w:qFormat/>
    <w:uiPriority w:val="1"/>
    <w:pPr>
      <w:jc w:val="left"/>
    </w:pPr>
    <w:rPr>
      <w:rFonts w:ascii="Calibri" w:hAnsi="Calibri" w:eastAsia="宋体" w:cs="Times New Roman"/>
      <w:kern w:val="0"/>
      <w:sz w:val="22"/>
      <w:szCs w:val="22"/>
      <w:lang w:eastAsia="en-US"/>
    </w:rPr>
  </w:style>
  <w:style w:type="paragraph" w:customStyle="1" w:styleId="126">
    <w:name w:val="_Style 125"/>
    <w:unhideWhenUsed/>
    <w:qFormat/>
    <w:uiPriority w:val="99"/>
    <w:rPr>
      <w:rFonts w:ascii="Times New Roman" w:hAnsi="Times New Roman" w:eastAsia="宋体" w:cs="Times New Roman"/>
      <w:kern w:val="2"/>
      <w:sz w:val="21"/>
      <w:szCs w:val="24"/>
      <w:lang w:val="en-US" w:eastAsia="zh-CN" w:bidi="ar-SA"/>
    </w:rPr>
  </w:style>
  <w:style w:type="table" w:customStyle="1" w:styleId="127">
    <w:name w:val="Table Normal"/>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style>
  <w:style w:type="character" w:customStyle="1" w:styleId="128">
    <w:name w:val="font11"/>
    <w:qFormat/>
    <w:uiPriority w:val="0"/>
    <w:rPr>
      <w:rFonts w:hint="eastAsia" w:ascii="宋体" w:hAnsi="宋体" w:eastAsia="宋体" w:cs="宋体"/>
      <w:color w:val="000000"/>
      <w:sz w:val="22"/>
      <w:szCs w:val="22"/>
      <w:u w:val="none"/>
    </w:rPr>
  </w:style>
  <w:style w:type="paragraph" w:customStyle="1" w:styleId="129">
    <w:name w:val="纯文本1"/>
    <w:basedOn w:val="1"/>
    <w:next w:val="1"/>
    <w:qFormat/>
    <w:uiPriority w:val="0"/>
    <w:rPr>
      <w:rFonts w:ascii="宋体" w:hAnsi="宋体"/>
      <w:sz w:val="20"/>
      <w:szCs w:val="21"/>
    </w:rPr>
  </w:style>
  <w:style w:type="paragraph" w:customStyle="1" w:styleId="130">
    <w:name w:val="首行缩进"/>
    <w:basedOn w:val="1"/>
    <w:qFormat/>
    <w:uiPriority w:val="0"/>
    <w:pPr>
      <w:ind w:firstLine="480" w:firstLineChars="200"/>
    </w:pPr>
    <w:rPr>
      <w:lang w:val="zh-CN"/>
    </w:rPr>
  </w:style>
  <w:style w:type="paragraph" w:customStyle="1" w:styleId="131">
    <w:name w:val="标准正文"/>
    <w:basedOn w:val="1"/>
    <w:qFormat/>
    <w:uiPriority w:val="0"/>
    <w:pPr>
      <w:ind w:firstLine="480"/>
    </w:pPr>
    <w:rPr>
      <w:szCs w:val="20"/>
    </w:rPr>
  </w:style>
  <w:style w:type="paragraph" w:customStyle="1" w:styleId="132">
    <w:name w:val="表格文字"/>
    <w:basedOn w:val="1"/>
    <w:next w:val="19"/>
    <w:qFormat/>
    <w:uiPriority w:val="0"/>
    <w:pPr>
      <w:adjustRightInd w:val="0"/>
      <w:spacing w:line="420" w:lineRule="atLeast"/>
      <w:jc w:val="left"/>
      <w:textAlignment w:val="baseline"/>
    </w:pPr>
    <w:rPr>
      <w:kern w:val="0"/>
    </w:rPr>
  </w:style>
  <w:style w:type="paragraph" w:customStyle="1" w:styleId="133">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WORKGROUP</Company>
  <Pages>158</Pages>
  <Words>235</Words>
  <Characters>304</Characters>
  <Lines>663</Lines>
  <Paragraphs>186</Paragraphs>
  <TotalTime>3</TotalTime>
  <ScaleCrop>false</ScaleCrop>
  <LinksUpToDate>false</LinksUpToDate>
  <CharactersWithSpaces>328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2022-12-07T03:30:00Z</dcterms:created>
  <dc:creator>番茄花园</dc:creator>
  <cp:lastModifiedBy>批注</cp:lastModifiedBy>
  <cp:lastPrinted>2025-04-22T03:23:00Z</cp:lastPrinted>
  <dcterms:modified xsi:type="dcterms:W3CDTF">2026-04-08T07:45:06Z</dcterms:modified>
  <dc:title>公开招标采购文件范本</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F7962AAB256641C994DD02512483F47C_13</vt:lpwstr>
  </property>
  <property fmtid="{D5CDD505-2E9C-101B-9397-08002B2CF9AE}" pid="4" name="KSOTemplateDocerSaveRecord">
    <vt:lpwstr>eyJoZGlkIjoiMWI0YzI0MzUwNzViMzI1NDA4NzdiOTNhNWI1YzY2ZGMiLCJ1c2VySWQiOiIxMjg1MDgzOTc4In0=</vt:lpwstr>
  </property>
</Properties>
</file>