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line="360" w:lineRule="auto"/>
        <w:jc w:val="center"/>
        <w:rPr>
          <w:rFonts w:asciiTheme="minorEastAsia" w:hAnsiTheme="minorEastAsia" w:eastAsiaTheme="minorEastAsia" w:cstheme="minorEastAsia"/>
          <w:color w:val="auto"/>
          <w:spacing w:val="30"/>
          <w:kern w:val="52"/>
          <w:sz w:val="64"/>
          <w:szCs w:val="64"/>
          <w:highlight w:val="none"/>
        </w:rPr>
      </w:pPr>
      <w:bookmarkStart w:id="181" w:name="_GoBack"/>
      <w:r>
        <w:rPr>
          <w:rFonts w:hint="eastAsia" w:asciiTheme="minorEastAsia" w:hAnsiTheme="minorEastAsia" w:eastAsiaTheme="minorEastAsia" w:cstheme="minorEastAsia"/>
          <w:color w:val="auto"/>
          <w:spacing w:val="30"/>
          <w:kern w:val="52"/>
          <w:sz w:val="64"/>
          <w:szCs w:val="64"/>
          <w:highlight w:val="none"/>
        </w:rPr>
        <w:t>广西科文招标有限公司</w:t>
      </w:r>
    </w:p>
    <w:p>
      <w:pPr>
        <w:pStyle w:val="27"/>
        <w:spacing w:line="360" w:lineRule="auto"/>
        <w:ind w:firstLine="1285"/>
        <w:jc w:val="center"/>
        <w:rPr>
          <w:rFonts w:asciiTheme="minorEastAsia" w:hAnsiTheme="minorEastAsia" w:eastAsiaTheme="minorEastAsia" w:cstheme="minorEastAsia"/>
          <w:color w:val="auto"/>
          <w:spacing w:val="28"/>
          <w:sz w:val="64"/>
          <w:szCs w:val="64"/>
          <w:highlight w:val="none"/>
        </w:rPr>
      </w:pPr>
      <w:r>
        <w:rPr>
          <w:rFonts w:asciiTheme="minorEastAsia" w:hAnsiTheme="minorEastAsia" w:eastAsiaTheme="minorEastAsia" w:cstheme="minorEastAsia"/>
          <w:b/>
          <w:color w:val="auto"/>
          <w:spacing w:val="-18"/>
          <w:sz w:val="64"/>
          <w:szCs w:val="64"/>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486400" cy="12700"/>
                <wp:effectExtent l="0" t="6350" r="0" b="9525"/>
                <wp:wrapNone/>
                <wp:docPr id="1" name="Line 2"/>
                <wp:cNvGraphicFramePr/>
                <a:graphic xmlns:a="http://schemas.openxmlformats.org/drawingml/2006/main">
                  <a:graphicData uri="http://schemas.microsoft.com/office/word/2010/wordprocessingShape">
                    <wps:wsp>
                      <wps:cNvCnPr/>
                      <wps:spPr>
                        <a:xfrm>
                          <a:off x="-57150" y="99060"/>
                          <a:ext cx="5486400" cy="12700"/>
                        </a:xfrm>
                        <a:prstGeom prst="line">
                          <a:avLst/>
                        </a:prstGeom>
                        <a:solidFill>
                          <a:prstClr val="white"/>
                        </a:solidFill>
                        <a:ln w="12700">
                          <a:solidFill>
                            <a:prstClr val="white"/>
                          </a:solidFill>
                        </a:ln>
                        <a:effectLst/>
                      </wps:spPr>
                      <wps:bodyPr/>
                    </wps:wsp>
                  </a:graphicData>
                </a:graphic>
              </wp:anchor>
            </w:drawing>
          </mc:Choice>
          <mc:Fallback>
            <w:pict>
              <v:line id="Line 2" o:spid="_x0000_s1026" o:spt="20" style="position:absolute;left:0pt;margin-left:0pt;margin-top:0pt;height:1pt;width:432pt;z-index:251659264;mso-width-relative:page;mso-height-relative:page;" fillcolor="#FFFFFF" filled="t" stroked="t" coordsize="21600,21600" o:gfxdata="UEsDBAoAAAAAAIdO4kAAAAAAAAAAAAAAAAAEAAAAZHJzL1BLAwQUAAAACACHTuJAmmHQWtMAAAAD&#10;AQAADwAAAGRycy9kb3ducmV2LnhtbE2PwU7DMBBE70j8g7VI3KjdCjVViNNDRQUcW5DK0Y23SVR7&#10;Hdlum/L1LFzgMtJoVjNvq+XonThjTH0gDdOJAoHUBNtTq+Hjff2wAJGyIWtcINRwxQTL+vamMqUN&#10;F9rgeZtbwSWUSqOhy3kopUxNh96kSRiQODuE6E1mG1tpo7lwuXdyptRcetMTL3RmwFWHzXF78hra&#10;5/WmMLv4dt29HAs/fn0WTr5qfX83VU8gMo757xh+8BkdambahxPZJJwGfiT/KmeL+SPbvYaZAllX&#10;8j97/Q1QSwMEFAAAAAgAh07iQDLCwQ6RAQAASgMAAA4AAABkcnMvZTJvRG9jLnhtbK1Ty27jMAy8&#10;L7D/IOjeyAmatDXi9NCieynaAN1+gCpTsQC9QKlx8vdLKe5r91bshSZNesgZ0uvrg7NsD5hM8B2f&#10;zxrOwKvQG7/r+PPvu7NLzlKWvpc2eOj4ERK/3vz8sR5jC4swBNsDMgLxqR1jx4ecYytEUgM4mWYh&#10;gqekDuhkphB3okc5ErqzYtE0KzEG7CMGBSnR29tTkm8qvtag8qPWCTKzHafZcrVY7UuxYrOW7Q5l&#10;HIyaxpDfmMJJ46npO9StzJK9ovkHyhmFIQWdZyo4EbQ2CioHYjNv/mLzNMgIlQuJk+K7TOn/waqH&#10;/RaZ6Wl3nHnpaEX3xgNbFGXGmFoquPFbnKIUt1hoHjS68iQC7NDxs+XFfEnyHjt+ddWsJlnhkJmi&#10;7PL8cnXeUFpRfr64IJfgxAdKxJR/QXCsOB23NEAVU+7vUz6VvpWUpilY098Za0tQEjcW2V7ShsfB&#10;ZJjAv1RZz8a33t+CoGmtL19CPappriLQSZLivYT+WJUSJaKFVZLTcZWL+ByT//kX2P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MAAFtDb250&#10;ZW50X1R5cGVzXS54bWxQSwECFAAKAAAAAACHTuJAAAAAAAAAAAAAAAAABgAAAAAAAAAAABAAAADf&#10;AgAAX3JlbHMvUEsBAhQAFAAAAAgAh07iQIoUZjzRAAAAlAEAAAsAAAAAAAAAAQAgAAAAAwMAAF9y&#10;ZWxzLy5yZWxzUEsBAhQACgAAAAAAh07iQAAAAAAAAAAAAAAAAAQAAAAAAAAAAAAQAAAAAAAAAGRy&#10;cy9QSwECFAAUAAAACACHTuJAmmHQWtMAAAADAQAADwAAAAAAAAABACAAAAAiAAAAZHJzL2Rvd25y&#10;ZXYueG1sUEsBAhQAFAAAAAgAh07iQDLCwQ6RAQAASgMAAA4AAAAAAAAAAQAgAAAAIgEAAGRycy9l&#10;Mm9Eb2MueG1sUEsFBgAAAAAGAAYAWQEAACUFAAAAAA==&#10;">
                <v:fill on="t" focussize="0,0"/>
                <v:stroke weight="1pt" color="#FFFFFF" joinstyle="round"/>
                <v:imagedata o:title=""/>
                <o:lock v:ext="edit" aspectratio="f"/>
              </v:line>
            </w:pict>
          </mc:Fallback>
        </mc:AlternateContent>
      </w:r>
    </w:p>
    <w:p>
      <w:pPr>
        <w:snapToGrid w:val="0"/>
        <w:spacing w:beforeLines="50" w:line="360" w:lineRule="auto"/>
        <w:jc w:val="center"/>
        <w:rPr>
          <w:rFonts w:asciiTheme="minorEastAsia" w:hAnsiTheme="minorEastAsia" w:eastAsiaTheme="minorEastAsia" w:cstheme="minorEastAsia"/>
          <w:color w:val="auto"/>
          <w:sz w:val="120"/>
          <w:szCs w:val="120"/>
          <w:highlight w:val="none"/>
        </w:rPr>
      </w:pPr>
      <w:r>
        <w:rPr>
          <w:rFonts w:hint="eastAsia" w:asciiTheme="minorEastAsia" w:hAnsiTheme="minorEastAsia" w:eastAsiaTheme="minorEastAsia" w:cstheme="minorEastAsia"/>
          <w:color w:val="auto"/>
          <w:sz w:val="120"/>
          <w:szCs w:val="120"/>
          <w:highlight w:val="none"/>
        </w:rPr>
        <w:t>招 标 文 件</w:t>
      </w:r>
    </w:p>
    <w:p>
      <w:pPr>
        <w:snapToGrid w:val="0"/>
        <w:spacing w:beforeLines="50" w:line="360" w:lineRule="auto"/>
        <w:jc w:val="center"/>
        <w:rPr>
          <w:rFonts w:asciiTheme="minorEastAsia" w:hAnsiTheme="minorEastAsia" w:eastAsiaTheme="minorEastAsia" w:cstheme="minorEastAsia"/>
          <w:b/>
          <w:color w:val="auto"/>
          <w:sz w:val="48"/>
          <w:szCs w:val="48"/>
          <w:highlight w:val="none"/>
        </w:rPr>
      </w:pPr>
      <w:r>
        <w:rPr>
          <w:rFonts w:hint="eastAsia" w:asciiTheme="minorEastAsia" w:hAnsiTheme="minorEastAsia" w:eastAsiaTheme="minorEastAsia" w:cstheme="minorEastAsia"/>
          <w:b/>
          <w:color w:val="auto"/>
          <w:sz w:val="48"/>
          <w:szCs w:val="48"/>
          <w:highlight w:val="none"/>
        </w:rPr>
        <w:t>（全流程电子化采购）</w:t>
      </w:r>
    </w:p>
    <w:p>
      <w:pPr>
        <w:pStyle w:val="27"/>
        <w:snapToGrid w:val="0"/>
        <w:spacing w:line="360" w:lineRule="auto"/>
        <w:rPr>
          <w:rFonts w:asciiTheme="minorEastAsia" w:hAnsiTheme="minorEastAsia" w:eastAsiaTheme="minorEastAsia" w:cstheme="minorEastAsia"/>
          <w:b/>
          <w:bCs/>
          <w:color w:val="auto"/>
          <w:w w:val="95"/>
          <w:sz w:val="30"/>
          <w:szCs w:val="30"/>
          <w:highlight w:val="none"/>
        </w:rPr>
      </w:pPr>
    </w:p>
    <w:p>
      <w:pPr>
        <w:pStyle w:val="27"/>
        <w:snapToGrid w:val="0"/>
        <w:spacing w:line="360" w:lineRule="auto"/>
        <w:ind w:left="840" w:firstLine="420"/>
        <w:rPr>
          <w:rFonts w:asciiTheme="minorEastAsia" w:hAnsiTheme="minorEastAsia" w:eastAsiaTheme="minorEastAsia" w:cstheme="minorEastAsia"/>
          <w:b/>
          <w:bCs/>
          <w:color w:val="auto"/>
          <w:w w:val="95"/>
          <w:sz w:val="30"/>
          <w:szCs w:val="30"/>
          <w:highlight w:val="none"/>
        </w:rPr>
      </w:pPr>
      <w:r>
        <w:rPr>
          <w:rFonts w:hint="eastAsia" w:asciiTheme="minorEastAsia" w:hAnsiTheme="minorEastAsia" w:eastAsiaTheme="minorEastAsia" w:cstheme="minorEastAsia"/>
          <w:b/>
          <w:bCs/>
          <w:color w:val="auto"/>
          <w:w w:val="95"/>
          <w:sz w:val="30"/>
          <w:szCs w:val="30"/>
          <w:highlight w:val="none"/>
        </w:rPr>
        <w:t>项目名称：广西壮族自治区2024年县域医共体设备更新项目（数字化X射线摄影系统-移动式DR及数字乳腺X射线摄影系统）（重3）</w:t>
      </w:r>
    </w:p>
    <w:p>
      <w:pPr>
        <w:pStyle w:val="27"/>
        <w:snapToGrid w:val="0"/>
        <w:spacing w:line="360" w:lineRule="auto"/>
        <w:ind w:left="840" w:firstLine="420"/>
        <w:rPr>
          <w:rFonts w:asciiTheme="minorEastAsia" w:hAnsiTheme="minorEastAsia" w:eastAsiaTheme="minorEastAsia" w:cstheme="minorEastAsia"/>
          <w:b/>
          <w:bCs/>
          <w:color w:val="auto"/>
          <w:w w:val="95"/>
          <w:sz w:val="30"/>
          <w:szCs w:val="30"/>
          <w:highlight w:val="none"/>
        </w:rPr>
      </w:pPr>
      <w:r>
        <w:rPr>
          <w:rFonts w:hint="eastAsia" w:asciiTheme="minorEastAsia" w:hAnsiTheme="minorEastAsia" w:eastAsiaTheme="minorEastAsia" w:cstheme="minorEastAsia"/>
          <w:b/>
          <w:bCs/>
          <w:color w:val="auto"/>
          <w:w w:val="95"/>
          <w:sz w:val="30"/>
          <w:szCs w:val="30"/>
          <w:highlight w:val="none"/>
        </w:rPr>
        <w:t>项目编号：GXZC2026-G1-000555-KWZB</w:t>
      </w:r>
    </w:p>
    <w:p>
      <w:pPr>
        <w:pStyle w:val="27"/>
        <w:snapToGrid w:val="0"/>
        <w:spacing w:line="360" w:lineRule="auto"/>
        <w:ind w:firstLine="1200" w:firstLineChars="393"/>
        <w:rPr>
          <w:rFonts w:asciiTheme="minorEastAsia" w:hAnsiTheme="minorEastAsia" w:eastAsiaTheme="minorEastAsia" w:cstheme="minorEastAsia"/>
          <w:b/>
          <w:bCs/>
          <w:color w:val="auto"/>
          <w:w w:val="95"/>
          <w:sz w:val="32"/>
          <w:szCs w:val="32"/>
          <w:highlight w:val="none"/>
        </w:rPr>
      </w:pPr>
    </w:p>
    <w:p>
      <w:pPr>
        <w:pStyle w:val="27"/>
        <w:snapToGrid w:val="0"/>
        <w:spacing w:line="360" w:lineRule="auto"/>
        <w:ind w:firstLine="1200" w:firstLineChars="393"/>
        <w:rPr>
          <w:rFonts w:asciiTheme="minorEastAsia" w:hAnsiTheme="minorEastAsia" w:eastAsiaTheme="minorEastAsia" w:cstheme="minorEastAsia"/>
          <w:b/>
          <w:bCs/>
          <w:color w:val="auto"/>
          <w:w w:val="95"/>
          <w:sz w:val="32"/>
          <w:szCs w:val="32"/>
          <w:highlight w:val="none"/>
        </w:rPr>
      </w:pPr>
    </w:p>
    <w:p>
      <w:pPr>
        <w:pStyle w:val="27"/>
        <w:snapToGrid w:val="0"/>
        <w:spacing w:line="360" w:lineRule="auto"/>
        <w:ind w:firstLine="613"/>
        <w:rPr>
          <w:rFonts w:asciiTheme="minorEastAsia" w:hAnsiTheme="minorEastAsia" w:eastAsiaTheme="minorEastAsia" w:cstheme="minorEastAsia"/>
          <w:b/>
          <w:bCs/>
          <w:color w:val="auto"/>
          <w:w w:val="95"/>
          <w:sz w:val="32"/>
          <w:szCs w:val="32"/>
          <w:highlight w:val="none"/>
        </w:rPr>
      </w:pPr>
    </w:p>
    <w:p>
      <w:pPr>
        <w:pStyle w:val="27"/>
        <w:snapToGrid w:val="0"/>
        <w:spacing w:line="360" w:lineRule="auto"/>
        <w:ind w:firstLine="2878" w:firstLineChars="896"/>
        <w:rPr>
          <w:rFonts w:asciiTheme="minorEastAsia" w:hAnsiTheme="minorEastAsia" w:eastAsiaTheme="minorEastAsia" w:cstheme="minorEastAsia"/>
          <w:b/>
          <w:bCs/>
          <w:color w:val="auto"/>
          <w:sz w:val="32"/>
          <w:szCs w:val="32"/>
          <w:highlight w:val="none"/>
        </w:rPr>
      </w:pPr>
    </w:p>
    <w:p>
      <w:pPr>
        <w:pStyle w:val="27"/>
        <w:snapToGrid w:val="0"/>
        <w:spacing w:line="360" w:lineRule="auto"/>
        <w:ind w:left="840" w:firstLine="420"/>
        <w:rPr>
          <w:rFonts w:asciiTheme="minorEastAsia" w:hAnsiTheme="minorEastAsia" w:eastAsiaTheme="minorEastAsia" w:cstheme="minorEastAsia"/>
          <w:b/>
          <w:bCs/>
          <w:color w:val="auto"/>
          <w:w w:val="95"/>
          <w:sz w:val="30"/>
          <w:szCs w:val="30"/>
          <w:highlight w:val="none"/>
        </w:rPr>
      </w:pPr>
      <w:r>
        <w:rPr>
          <w:rFonts w:hint="eastAsia" w:asciiTheme="minorEastAsia" w:hAnsiTheme="minorEastAsia" w:eastAsiaTheme="minorEastAsia" w:cstheme="minorEastAsia"/>
          <w:b/>
          <w:bCs/>
          <w:color w:val="auto"/>
          <w:w w:val="95"/>
          <w:sz w:val="30"/>
          <w:szCs w:val="30"/>
          <w:highlight w:val="none"/>
        </w:rPr>
        <w:t>采 购 人：广西壮族自治区卫生健康委员会</w:t>
      </w:r>
    </w:p>
    <w:p>
      <w:pPr>
        <w:pStyle w:val="27"/>
        <w:snapToGrid w:val="0"/>
        <w:spacing w:line="360" w:lineRule="auto"/>
        <w:ind w:left="840" w:firstLine="420"/>
        <w:rPr>
          <w:rFonts w:asciiTheme="minorEastAsia" w:hAnsiTheme="minorEastAsia" w:eastAsiaTheme="minorEastAsia" w:cstheme="minorEastAsia"/>
          <w:b/>
          <w:bCs/>
          <w:color w:val="auto"/>
          <w:w w:val="95"/>
          <w:sz w:val="30"/>
          <w:szCs w:val="30"/>
          <w:highlight w:val="none"/>
        </w:rPr>
      </w:pPr>
      <w:r>
        <w:rPr>
          <w:rFonts w:hint="eastAsia" w:asciiTheme="minorEastAsia" w:hAnsiTheme="minorEastAsia" w:eastAsiaTheme="minorEastAsia" w:cstheme="minorEastAsia"/>
          <w:b/>
          <w:bCs/>
          <w:color w:val="auto"/>
          <w:w w:val="95"/>
          <w:sz w:val="30"/>
          <w:szCs w:val="30"/>
          <w:highlight w:val="none"/>
        </w:rPr>
        <w:t>采购代理机构：广西科文招标有限公司</w:t>
      </w:r>
    </w:p>
    <w:p>
      <w:pPr>
        <w:pStyle w:val="27"/>
        <w:snapToGrid w:val="0"/>
        <w:spacing w:line="360" w:lineRule="auto"/>
        <w:ind w:firstLine="1200" w:firstLineChars="393"/>
        <w:rPr>
          <w:rFonts w:asciiTheme="minorEastAsia" w:hAnsiTheme="minorEastAsia" w:eastAsiaTheme="minorEastAsia" w:cstheme="minorEastAsia"/>
          <w:b/>
          <w:bCs/>
          <w:color w:val="auto"/>
          <w:w w:val="95"/>
          <w:sz w:val="32"/>
          <w:szCs w:val="32"/>
          <w:highlight w:val="none"/>
        </w:rPr>
      </w:pPr>
    </w:p>
    <w:p>
      <w:pPr>
        <w:pStyle w:val="27"/>
        <w:snapToGrid w:val="0"/>
        <w:spacing w:line="360" w:lineRule="auto"/>
        <w:jc w:val="center"/>
        <w:rPr>
          <w:rFonts w:hint="eastAsia" w:asciiTheme="minorEastAsia" w:hAnsiTheme="minorEastAsia" w:eastAsiaTheme="minorEastAsia" w:cstheme="minorEastAsia"/>
          <w:b/>
          <w:bCs/>
          <w:color w:val="auto"/>
          <w:w w:val="95"/>
          <w:sz w:val="30"/>
          <w:szCs w:val="30"/>
          <w:highlight w:val="none"/>
          <w:lang w:eastAsia="zh-CN"/>
        </w:rPr>
      </w:pPr>
      <w:r>
        <w:rPr>
          <w:rFonts w:hint="eastAsia" w:asciiTheme="minorEastAsia" w:hAnsiTheme="minorEastAsia" w:eastAsiaTheme="minorEastAsia" w:cstheme="minorEastAsia"/>
          <w:b/>
          <w:bCs/>
          <w:color w:val="auto"/>
          <w:w w:val="95"/>
          <w:sz w:val="30"/>
          <w:szCs w:val="30"/>
          <w:highlight w:val="none"/>
          <w:lang w:eastAsia="zh-CN"/>
        </w:rPr>
        <w:t>2026年8月13日</w:t>
      </w:r>
    </w:p>
    <w:p>
      <w:pPr>
        <w:pStyle w:val="27"/>
        <w:snapToGrid w:val="0"/>
        <w:spacing w:line="360" w:lineRule="auto"/>
        <w:ind w:firstLine="841" w:firstLineChars="294"/>
        <w:rPr>
          <w:rFonts w:asciiTheme="minorEastAsia" w:hAnsiTheme="minorEastAsia" w:eastAsiaTheme="minorEastAsia" w:cstheme="minorEastAsia"/>
          <w:b/>
          <w:bCs/>
          <w:color w:val="auto"/>
          <w:w w:val="95"/>
          <w:sz w:val="30"/>
          <w:szCs w:val="30"/>
          <w:highlight w:val="none"/>
        </w:rPr>
      </w:pPr>
    </w:p>
    <w:p>
      <w:pPr>
        <w:rPr>
          <w:rFonts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44"/>
          <w:szCs w:val="44"/>
          <w:highlight w:val="none"/>
        </w:rPr>
        <w:br w:type="page"/>
      </w:r>
    </w:p>
    <w:p>
      <w:pPr>
        <w:spacing w:line="360" w:lineRule="auto"/>
        <w:jc w:val="center"/>
        <w:rPr>
          <w:rFonts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44"/>
          <w:szCs w:val="44"/>
          <w:highlight w:val="none"/>
        </w:rPr>
        <w:t>目  录</w:t>
      </w:r>
    </w:p>
    <w:p>
      <w:pPr>
        <w:pStyle w:val="34"/>
        <w:tabs>
          <w:tab w:val="right" w:leader="dot" w:pos="9746"/>
          <w:tab w:val="clear" w:pos="8398"/>
        </w:tabs>
        <w:spacing w:line="480" w:lineRule="auto"/>
        <w:rPr>
          <w:color w:val="auto"/>
          <w:highlight w:val="none"/>
        </w:rPr>
      </w:pPr>
      <w:r>
        <w:rPr>
          <w:rFonts w:hint="eastAsia" w:asciiTheme="minorEastAsia" w:hAnsiTheme="minorEastAsia" w:eastAsiaTheme="minorEastAsia" w:cstheme="minorEastAsia"/>
          <w:b w:val="0"/>
          <w:color w:val="auto"/>
          <w:highlight w:val="none"/>
        </w:rPr>
        <w:fldChar w:fldCharType="begin"/>
      </w:r>
      <w:r>
        <w:rPr>
          <w:rFonts w:hint="eastAsia" w:asciiTheme="minorEastAsia" w:hAnsiTheme="minorEastAsia" w:eastAsiaTheme="minorEastAsia" w:cstheme="minorEastAsia"/>
          <w:b w:val="0"/>
          <w:color w:val="auto"/>
          <w:highlight w:val="none"/>
        </w:rPr>
        <w:instrText xml:space="preserve">TOC \o "1-2" \h \z \u</w:instrText>
      </w:r>
      <w:r>
        <w:rPr>
          <w:rFonts w:hint="eastAsia" w:asciiTheme="minorEastAsia" w:hAnsiTheme="minorEastAsia" w:eastAsiaTheme="minorEastAsia" w:cstheme="minorEastAsia"/>
          <w:b w:val="0"/>
          <w:color w:val="auto"/>
          <w:highlight w:val="none"/>
        </w:rPr>
        <w:fldChar w:fldCharType="separate"/>
      </w:r>
      <w:r>
        <w:rPr>
          <w:color w:val="auto"/>
          <w:highlight w:val="none"/>
        </w:rPr>
        <w:fldChar w:fldCharType="begin"/>
      </w:r>
      <w:r>
        <w:rPr>
          <w:color w:val="auto"/>
          <w:highlight w:val="none"/>
        </w:rPr>
        <w:instrText xml:space="preserve"> HYPERLINK \l "_Toc23463" </w:instrText>
      </w:r>
      <w:r>
        <w:rPr>
          <w:color w:val="auto"/>
          <w:highlight w:val="none"/>
        </w:rPr>
        <w:fldChar w:fldCharType="separate"/>
      </w:r>
      <w:r>
        <w:rPr>
          <w:rFonts w:hint="eastAsia" w:asciiTheme="minorEastAsia" w:hAnsiTheme="minorEastAsia" w:eastAsiaTheme="minorEastAsia" w:cstheme="minorEastAsia"/>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_Toc23463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pPr>
        <w:pStyle w:val="34"/>
        <w:tabs>
          <w:tab w:val="right" w:leader="dot" w:pos="9746"/>
          <w:tab w:val="clear" w:pos="8398"/>
        </w:tabs>
        <w:spacing w:line="480" w:lineRule="auto"/>
        <w:ind w:firstLine="241"/>
        <w:rPr>
          <w:color w:val="auto"/>
          <w:highlight w:val="none"/>
        </w:rPr>
      </w:pPr>
      <w:r>
        <w:rPr>
          <w:color w:val="auto"/>
          <w:highlight w:val="none"/>
        </w:rPr>
        <w:fldChar w:fldCharType="begin"/>
      </w:r>
      <w:r>
        <w:rPr>
          <w:color w:val="auto"/>
          <w:highlight w:val="none"/>
        </w:rPr>
        <w:instrText xml:space="preserve"> HYPERLINK \l "_Toc31944" </w:instrText>
      </w:r>
      <w:r>
        <w:rPr>
          <w:color w:val="auto"/>
          <w:highlight w:val="none"/>
        </w:rPr>
        <w:fldChar w:fldCharType="separate"/>
      </w:r>
      <w:r>
        <w:rPr>
          <w:rFonts w:hint="eastAsia" w:asciiTheme="minorEastAsia" w:hAnsiTheme="minorEastAsia" w:eastAsiaTheme="minorEastAsia" w:cstheme="minorEastAsia"/>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_Toc31944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pPr>
        <w:pStyle w:val="34"/>
        <w:tabs>
          <w:tab w:val="right" w:leader="dot" w:pos="9746"/>
          <w:tab w:val="clear" w:pos="8398"/>
        </w:tabs>
        <w:spacing w:line="480" w:lineRule="auto"/>
        <w:ind w:firstLine="241"/>
        <w:rPr>
          <w:color w:val="auto"/>
          <w:highlight w:val="none"/>
        </w:rPr>
      </w:pPr>
      <w:r>
        <w:rPr>
          <w:color w:val="auto"/>
          <w:highlight w:val="none"/>
        </w:rPr>
        <w:fldChar w:fldCharType="begin"/>
      </w:r>
      <w:r>
        <w:rPr>
          <w:color w:val="auto"/>
          <w:highlight w:val="none"/>
        </w:rPr>
        <w:instrText xml:space="preserve"> HYPERLINK \l "_Toc6149" </w:instrText>
      </w:r>
      <w:r>
        <w:rPr>
          <w:color w:val="auto"/>
          <w:highlight w:val="none"/>
        </w:rPr>
        <w:fldChar w:fldCharType="separate"/>
      </w:r>
      <w:r>
        <w:rPr>
          <w:rFonts w:hint="eastAsia" w:asciiTheme="minorEastAsia" w:hAnsiTheme="minorEastAsia" w:eastAsiaTheme="minorEastAsia" w:cstheme="minorEastAsia"/>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_Toc6149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pPr>
        <w:pStyle w:val="34"/>
        <w:tabs>
          <w:tab w:val="right" w:leader="dot" w:pos="9746"/>
          <w:tab w:val="clear" w:pos="8398"/>
        </w:tabs>
        <w:spacing w:line="480" w:lineRule="auto"/>
        <w:ind w:firstLine="241"/>
        <w:rPr>
          <w:color w:val="auto"/>
          <w:highlight w:val="none"/>
        </w:rPr>
      </w:pPr>
      <w:r>
        <w:rPr>
          <w:color w:val="auto"/>
          <w:highlight w:val="none"/>
        </w:rPr>
        <w:fldChar w:fldCharType="begin"/>
      </w:r>
      <w:r>
        <w:rPr>
          <w:color w:val="auto"/>
          <w:highlight w:val="none"/>
        </w:rPr>
        <w:instrText xml:space="preserve"> HYPERLINK \l "_Toc8328" </w:instrText>
      </w:r>
      <w:r>
        <w:rPr>
          <w:color w:val="auto"/>
          <w:highlight w:val="none"/>
        </w:rPr>
        <w:fldChar w:fldCharType="separate"/>
      </w:r>
      <w:r>
        <w:rPr>
          <w:rFonts w:hint="eastAsia" w:asciiTheme="minorEastAsia" w:hAnsiTheme="minorEastAsia" w:eastAsiaTheme="minorEastAsia" w:cstheme="minorEastAsia"/>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_Toc8328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pPr>
        <w:pStyle w:val="34"/>
        <w:tabs>
          <w:tab w:val="right" w:leader="dot" w:pos="9746"/>
          <w:tab w:val="clear" w:pos="8398"/>
        </w:tabs>
        <w:spacing w:line="480" w:lineRule="auto"/>
        <w:ind w:firstLine="241"/>
        <w:rPr>
          <w:color w:val="auto"/>
          <w:highlight w:val="none"/>
        </w:rPr>
      </w:pPr>
      <w:r>
        <w:rPr>
          <w:color w:val="auto"/>
          <w:highlight w:val="none"/>
        </w:rPr>
        <w:fldChar w:fldCharType="begin"/>
      </w:r>
      <w:r>
        <w:rPr>
          <w:color w:val="auto"/>
          <w:highlight w:val="none"/>
        </w:rPr>
        <w:instrText xml:space="preserve"> HYPERLINK \l "_Toc7515" </w:instrText>
      </w:r>
      <w:r>
        <w:rPr>
          <w:color w:val="auto"/>
          <w:highlight w:val="none"/>
        </w:rPr>
        <w:fldChar w:fldCharType="separate"/>
      </w:r>
      <w:r>
        <w:rPr>
          <w:rFonts w:hint="eastAsia" w:asciiTheme="minorEastAsia" w:hAnsiTheme="minorEastAsia" w:eastAsiaTheme="minorEastAsia" w:cstheme="minorEastAsia"/>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_Toc7515 </w:instrText>
      </w:r>
      <w:r>
        <w:rPr>
          <w:color w:val="auto"/>
          <w:highlight w:val="none"/>
        </w:rPr>
        <w:fldChar w:fldCharType="separate"/>
      </w:r>
      <w:r>
        <w:rPr>
          <w:color w:val="auto"/>
          <w:highlight w:val="none"/>
        </w:rPr>
        <w:t>73</w:t>
      </w:r>
      <w:r>
        <w:rPr>
          <w:color w:val="auto"/>
          <w:highlight w:val="none"/>
        </w:rPr>
        <w:fldChar w:fldCharType="end"/>
      </w:r>
      <w:r>
        <w:rPr>
          <w:color w:val="auto"/>
          <w:highlight w:val="none"/>
        </w:rPr>
        <w:fldChar w:fldCharType="end"/>
      </w:r>
    </w:p>
    <w:p>
      <w:pPr>
        <w:pStyle w:val="34"/>
        <w:tabs>
          <w:tab w:val="right" w:leader="dot" w:pos="9746"/>
          <w:tab w:val="clear" w:pos="8398"/>
        </w:tabs>
        <w:spacing w:line="480" w:lineRule="auto"/>
        <w:ind w:firstLine="241"/>
        <w:rPr>
          <w:color w:val="auto"/>
          <w:highlight w:val="none"/>
        </w:rPr>
      </w:pPr>
      <w:r>
        <w:rPr>
          <w:color w:val="auto"/>
          <w:highlight w:val="none"/>
        </w:rPr>
        <w:fldChar w:fldCharType="begin"/>
      </w:r>
      <w:r>
        <w:rPr>
          <w:color w:val="auto"/>
          <w:highlight w:val="none"/>
        </w:rPr>
        <w:instrText xml:space="preserve"> HYPERLINK \l "_Toc20261" </w:instrText>
      </w:r>
      <w:r>
        <w:rPr>
          <w:color w:val="auto"/>
          <w:highlight w:val="none"/>
        </w:rPr>
        <w:fldChar w:fldCharType="separate"/>
      </w:r>
      <w:r>
        <w:rPr>
          <w:rFonts w:hint="eastAsia" w:asciiTheme="minorEastAsia" w:hAnsiTheme="minorEastAsia" w:eastAsiaTheme="minorEastAsia" w:cstheme="minor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_Toc20261 </w:instrText>
      </w:r>
      <w:r>
        <w:rPr>
          <w:color w:val="auto"/>
          <w:highlight w:val="none"/>
        </w:rPr>
        <w:fldChar w:fldCharType="separate"/>
      </w:r>
      <w:r>
        <w:rPr>
          <w:color w:val="auto"/>
          <w:highlight w:val="none"/>
        </w:rPr>
        <w:t>105</w:t>
      </w:r>
      <w:r>
        <w:rPr>
          <w:color w:val="auto"/>
          <w:highlight w:val="none"/>
        </w:rPr>
        <w:fldChar w:fldCharType="end"/>
      </w:r>
      <w:r>
        <w:rPr>
          <w:color w:val="auto"/>
          <w:highlight w:val="none"/>
        </w:rPr>
        <w:fldChar w:fldCharType="end"/>
      </w:r>
    </w:p>
    <w:p>
      <w:pPr>
        <w:spacing w:before="120" w:line="480" w:lineRule="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highlight w:val="none"/>
        </w:rPr>
        <w:fldChar w:fldCharType="end"/>
      </w:r>
    </w:p>
    <w:p>
      <w:pPr>
        <w:spacing w:beforeLines="50" w:line="360" w:lineRule="auto"/>
        <w:rPr>
          <w:rFonts w:asciiTheme="minorEastAsia" w:hAnsiTheme="minorEastAsia" w:eastAsiaTheme="minorEastAsia" w:cstheme="minorEastAsia"/>
          <w:color w:val="auto"/>
          <w:sz w:val="30"/>
          <w:highlight w:val="none"/>
        </w:rPr>
      </w:pPr>
    </w:p>
    <w:p>
      <w:pPr>
        <w:spacing w:line="360" w:lineRule="auto"/>
        <w:rPr>
          <w:rFonts w:asciiTheme="minorEastAsia" w:hAnsiTheme="minorEastAsia" w:eastAsiaTheme="minorEastAsia" w:cstheme="minorEastAsia"/>
          <w:color w:val="auto"/>
          <w:highlight w:val="none"/>
        </w:rPr>
      </w:pPr>
    </w:p>
    <w:p>
      <w:pPr>
        <w:spacing w:beforeLines="50" w:line="360" w:lineRule="auto"/>
        <w:rPr>
          <w:rFonts w:asciiTheme="minorEastAsia" w:hAnsiTheme="minorEastAsia" w:eastAsiaTheme="minorEastAsia" w:cstheme="minorEastAsia"/>
          <w:color w:val="auto"/>
          <w:sz w:val="30"/>
          <w:highlight w:val="none"/>
        </w:rPr>
      </w:pPr>
    </w:p>
    <w:p>
      <w:pPr>
        <w:spacing w:beforeLines="50" w:line="360" w:lineRule="auto"/>
        <w:rPr>
          <w:rFonts w:asciiTheme="minorEastAsia" w:hAnsiTheme="minorEastAsia" w:eastAsiaTheme="minorEastAsia" w:cstheme="minorEastAsia"/>
          <w:color w:val="auto"/>
          <w:sz w:val="30"/>
          <w:highlight w:val="none"/>
        </w:rPr>
      </w:pPr>
    </w:p>
    <w:p>
      <w:pPr>
        <w:pStyle w:val="18"/>
        <w:spacing w:line="360" w:lineRule="auto"/>
        <w:rPr>
          <w:rFonts w:asciiTheme="minorEastAsia" w:hAnsiTheme="minorEastAsia" w:eastAsiaTheme="minorEastAsia" w:cstheme="minorEastAsia"/>
          <w:b/>
          <w:bCs/>
          <w:color w:val="auto"/>
          <w:highlight w:val="none"/>
        </w:rPr>
      </w:pPr>
      <w:bookmarkStart w:id="0" w:name="_Toc254970489"/>
      <w:bookmarkStart w:id="1" w:name="_Toc254970630"/>
    </w:p>
    <w:bookmarkEnd w:id="0"/>
    <w:bookmarkEnd w:id="1"/>
    <w:p>
      <w:pPr>
        <w:pStyle w:val="3"/>
        <w:keepNext w:val="0"/>
        <w:keepLines w:val="0"/>
        <w:tabs>
          <w:tab w:val="left" w:pos="0"/>
          <w:tab w:val="left" w:pos="3165"/>
          <w:tab w:val="center" w:pos="4153"/>
        </w:tabs>
        <w:autoSpaceDE w:val="0"/>
        <w:autoSpaceDN w:val="0"/>
        <w:adjustRightInd w:val="0"/>
        <w:spacing w:before="0" w:after="0" w:line="384" w:lineRule="auto"/>
        <w:jc w:val="center"/>
        <w:rPr>
          <w:rFonts w:asciiTheme="minorEastAsia" w:hAnsiTheme="minorEastAsia" w:eastAsiaTheme="minorEastAsia" w:cstheme="minorEastAsia"/>
          <w:color w:val="auto"/>
          <w:highlight w:val="none"/>
        </w:rPr>
        <w:sectPr>
          <w:pgSz w:w="11906" w:h="16838"/>
          <w:pgMar w:top="1440" w:right="1080" w:bottom="1440" w:left="1080" w:header="851" w:footer="992" w:gutter="0"/>
          <w:pgNumType w:start="1"/>
          <w:cols w:space="720" w:num="1"/>
          <w:docGrid w:type="lines" w:linePitch="312" w:charSpace="0"/>
        </w:sectPr>
      </w:pPr>
      <w:bookmarkStart w:id="2" w:name="_Toc35393789"/>
      <w:bookmarkEnd w:id="2"/>
      <w:bookmarkStart w:id="3" w:name="_Toc28359001"/>
      <w:bookmarkEnd w:id="3"/>
      <w:bookmarkStart w:id="4" w:name="_Toc23463"/>
    </w:p>
    <w:p>
      <w:pPr>
        <w:pStyle w:val="3"/>
        <w:keepNext w:val="0"/>
        <w:keepLines w:val="0"/>
        <w:tabs>
          <w:tab w:val="left" w:pos="0"/>
          <w:tab w:val="left" w:pos="3165"/>
          <w:tab w:val="center" w:pos="4153"/>
        </w:tabs>
        <w:autoSpaceDE w:val="0"/>
        <w:autoSpaceDN w:val="0"/>
        <w:adjustRightInd w:val="0"/>
        <w:spacing w:before="0" w:after="0" w:line="384" w:lineRule="auto"/>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第一章  招标公告</w:t>
      </w:r>
      <w:bookmarkEnd w:id="4"/>
    </w:p>
    <w:p>
      <w:pPr>
        <w:spacing w:line="384" w:lineRule="auto"/>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w w:val="95"/>
          <w:sz w:val="30"/>
          <w:szCs w:val="30"/>
          <w:highlight w:val="none"/>
        </w:rPr>
        <w:t>广西科文招标有限公司关于广西壮族自治区2024年县域医共体设备更新项目（数字化X射线摄影系统-移动式DR及数字乳腺X射线摄影系统）（重3）（GXZC2026-G1-000555-KWZB）的招标公告</w:t>
      </w:r>
      <w:bookmarkStart w:id="5" w:name="OLE_LINK1"/>
    </w:p>
    <w:p>
      <w:pPr>
        <w:pBdr>
          <w:top w:val="single" w:color="auto" w:sz="4" w:space="1"/>
          <w:left w:val="single" w:color="auto" w:sz="4" w:space="4"/>
          <w:bottom w:val="single" w:color="auto" w:sz="4" w:space="1"/>
          <w:right w:val="single" w:color="auto" w:sz="4" w:space="3"/>
        </w:pBd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项目概况</w:t>
      </w:r>
    </w:p>
    <w:p>
      <w:pPr>
        <w:pBdr>
          <w:top w:val="single" w:color="auto" w:sz="4" w:space="1"/>
          <w:left w:val="single" w:color="auto" w:sz="4" w:space="4"/>
          <w:bottom w:val="single" w:color="auto" w:sz="4" w:space="1"/>
          <w:right w:val="single" w:color="auto" w:sz="4" w:space="3"/>
        </w:pBdr>
        <w:spacing w:line="360" w:lineRule="auto"/>
        <w:ind w:firstLine="420" w:firstLineChars="200"/>
        <w:rPr>
          <w:rFonts w:asciiTheme="minorEastAsia" w:hAnsiTheme="minorEastAsia" w:eastAsiaTheme="minorEastAsia" w:cstheme="minorEastAsia"/>
          <w:color w:val="auto"/>
          <w:szCs w:val="21"/>
          <w:highlight w:val="none"/>
        </w:rPr>
      </w:pPr>
      <w:bookmarkStart w:id="6" w:name="_Toc35393790"/>
      <w:bookmarkStart w:id="7" w:name="_Toc35393621"/>
      <w:bookmarkStart w:id="8" w:name="_Toc28359079"/>
      <w:bookmarkStart w:id="9" w:name="_Toc28359002"/>
      <w:r>
        <w:rPr>
          <w:rFonts w:hint="eastAsia" w:asciiTheme="minorEastAsia" w:hAnsiTheme="minorEastAsia" w:eastAsiaTheme="minorEastAsia" w:cstheme="minorEastAsia"/>
          <w:bCs/>
          <w:color w:val="auto"/>
          <w:szCs w:val="21"/>
          <w:highlight w:val="none"/>
          <w:u w:val="single"/>
        </w:rPr>
        <w:t>广西壮族自治区2024年县域医共体设备更新项目（数字化X射线摄影系统-移动式DR及数字乳腺X射线摄影系统）（重3）</w:t>
      </w:r>
      <w:r>
        <w:rPr>
          <w:rFonts w:hint="eastAsia" w:asciiTheme="minorEastAsia" w:hAnsiTheme="minorEastAsia" w:eastAsiaTheme="minorEastAsia" w:cstheme="minorEastAsia"/>
          <w:color w:val="auto"/>
          <w:szCs w:val="21"/>
          <w:highlight w:val="none"/>
        </w:rPr>
        <w:t>招标项目的潜在投标人应在“广西政府采购云平台”（https://www.gcy.zfcg.gxzf.gov.cn/）获取（下载）招标文件，并于</w:t>
      </w:r>
      <w:r>
        <w:rPr>
          <w:rFonts w:hint="eastAsia" w:asciiTheme="minorEastAsia" w:hAnsiTheme="minorEastAsia" w:eastAsiaTheme="minorEastAsia" w:cstheme="minorEastAsia"/>
          <w:bCs/>
          <w:color w:val="auto"/>
          <w:szCs w:val="21"/>
          <w:highlight w:val="none"/>
          <w:u w:val="single"/>
          <w:lang w:eastAsia="zh-CN"/>
        </w:rPr>
        <w:t>2026年9月3日</w:t>
      </w:r>
      <w:r>
        <w:rPr>
          <w:rFonts w:hint="eastAsia" w:asciiTheme="minorEastAsia" w:hAnsiTheme="minorEastAsia" w:eastAsiaTheme="minorEastAsia" w:cstheme="minorEastAsia"/>
          <w:bCs/>
          <w:color w:val="auto"/>
          <w:szCs w:val="21"/>
          <w:highlight w:val="none"/>
          <w:u w:val="single"/>
        </w:rPr>
        <w:t>9时30分</w:t>
      </w:r>
      <w:r>
        <w:rPr>
          <w:rFonts w:hint="eastAsia" w:asciiTheme="minorEastAsia" w:hAnsiTheme="minorEastAsia" w:eastAsiaTheme="minorEastAsia" w:cstheme="minorEastAsia"/>
          <w:bCs/>
          <w:color w:val="auto"/>
          <w:szCs w:val="21"/>
          <w:highlight w:val="none"/>
        </w:rPr>
        <w:t>（北京时间）前递交投标文件</w:t>
      </w:r>
      <w:r>
        <w:rPr>
          <w:rFonts w:hint="eastAsia" w:asciiTheme="minorEastAsia" w:hAnsiTheme="minorEastAsia" w:eastAsiaTheme="minorEastAsia" w:cstheme="minorEastAsia"/>
          <w:color w:val="auto"/>
          <w:szCs w:val="21"/>
          <w:highlight w:val="none"/>
        </w:rPr>
        <w:t>。</w:t>
      </w:r>
    </w:p>
    <w:bookmarkEnd w:id="6"/>
    <w:bookmarkEnd w:id="7"/>
    <w:bookmarkEnd w:id="8"/>
    <w:bookmarkEnd w:id="9"/>
    <w:p>
      <w:pPr>
        <w:spacing w:line="360" w:lineRule="auto"/>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一、项目基本情况</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项目编号：GXZC2026-G1-000555-KWZB</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项目名称：广西壮族自治区2024年县域医共体设备更新项目（数字化X射线摄影系统-移动式DR及数字乳腺X射线摄影系统）（重3）</w:t>
      </w:r>
    </w:p>
    <w:p>
      <w:pPr>
        <w:spacing w:line="360" w:lineRule="auto"/>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预算金额：310万（1分标：200万元；2分标：110万元）</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最高限价（如有）：与预算金额一致</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采购需求：</w:t>
      </w:r>
    </w:p>
    <w:tbl>
      <w:tblPr>
        <w:tblStyle w:val="52"/>
        <w:tblW w:w="978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02"/>
        <w:gridCol w:w="1755"/>
        <w:gridCol w:w="974"/>
        <w:gridCol w:w="625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分标</w:t>
            </w:r>
          </w:p>
        </w:tc>
        <w:tc>
          <w:tcPr>
            <w:tcW w:w="175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标的名称</w:t>
            </w:r>
          </w:p>
        </w:tc>
        <w:tc>
          <w:tcPr>
            <w:tcW w:w="97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数量及单位</w:t>
            </w:r>
          </w:p>
        </w:tc>
        <w:tc>
          <w:tcPr>
            <w:tcW w:w="6258"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简要技术需求或者服务要求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7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u w:val="single"/>
              </w:rPr>
              <w:t>数字化X射线摄影系统-移动式DR</w:t>
            </w:r>
          </w:p>
        </w:tc>
        <w:tc>
          <w:tcPr>
            <w:tcW w:w="97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2台</w:t>
            </w:r>
          </w:p>
        </w:tc>
        <w:tc>
          <w:tcPr>
            <w:tcW w:w="6258" w:type="dxa"/>
            <w:tcBorders>
              <w:top w:val="single" w:color="auto" w:sz="4" w:space="0"/>
              <w:left w:val="single" w:color="auto" w:sz="4" w:space="0"/>
              <w:bottom w:val="single" w:color="auto" w:sz="4" w:space="0"/>
              <w:right w:val="single" w:color="auto" w:sz="4" w:space="0"/>
            </w:tcBorders>
            <w:vAlign w:val="center"/>
          </w:tcPr>
          <w:p>
            <w:pPr>
              <w:spacing w:line="360" w:lineRule="auto"/>
              <w:textAlignment w:val="baseline"/>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一、基本要求</w:t>
            </w:r>
          </w:p>
          <w:p>
            <w:pPr>
              <w:spacing w:line="360" w:lineRule="auto"/>
              <w:rPr>
                <w:rFonts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Cs w:val="21"/>
                <w:highlight w:val="none"/>
              </w:rPr>
              <w:t>功能要求：该设备主要用于床旁X线摄影，可进行全胸、全腹、四肢、脊柱等各部位数字化X线摄影，要求定位方便快速、灵活准确。摄影资料可以即刻显示，并可以储存在大容量硬盘里，可以连接PACS网络或者直接打印图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17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u w:val="single"/>
              </w:rPr>
              <w:t>数字乳腺X射线摄影系统</w:t>
            </w:r>
          </w:p>
        </w:tc>
        <w:tc>
          <w:tcPr>
            <w:tcW w:w="97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1套</w:t>
            </w:r>
          </w:p>
        </w:tc>
        <w:tc>
          <w:tcPr>
            <w:tcW w:w="6258" w:type="dxa"/>
            <w:tcBorders>
              <w:top w:val="single" w:color="auto" w:sz="4" w:space="0"/>
              <w:left w:val="single" w:color="auto" w:sz="4" w:space="0"/>
              <w:bottom w:val="single" w:color="auto" w:sz="4" w:space="0"/>
              <w:right w:val="single" w:color="auto" w:sz="4" w:space="0"/>
            </w:tcBorders>
            <w:vAlign w:val="center"/>
          </w:tcPr>
          <w:p>
            <w:pPr>
              <w:spacing w:line="360" w:lineRule="auto"/>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w:t>
            </w:r>
            <w:r>
              <w:rPr>
                <w:rFonts w:hint="eastAsia" w:asciiTheme="minorEastAsia" w:hAnsiTheme="minorEastAsia" w:eastAsiaTheme="minorEastAsia" w:cstheme="minorEastAsia"/>
                <w:b/>
                <w:bCs/>
                <w:color w:val="auto"/>
                <w:szCs w:val="21"/>
                <w:highlight w:val="none"/>
              </w:rPr>
              <w:t>技术参数要求</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1功能需求   </w:t>
            </w:r>
          </w:p>
          <w:p>
            <w:pPr>
              <w:spacing w:line="360" w:lineRule="auto"/>
              <w:ind w:firstLine="420" w:firstLineChars="200"/>
              <w:textAlignment w:val="baseline"/>
              <w:rPr>
                <w:rFonts w:asciiTheme="minorEastAsia" w:hAnsiTheme="minorEastAsia" w:eastAsiaTheme="minorEastAsia" w:cstheme="minorEastAsia"/>
                <w:color w:val="auto"/>
                <w:sz w:val="20"/>
                <w:szCs w:val="20"/>
                <w:highlight w:val="none"/>
              </w:rPr>
            </w:pPr>
            <w:r>
              <w:rPr>
                <w:rFonts w:hint="eastAsia" w:asciiTheme="minorEastAsia" w:hAnsiTheme="minorEastAsia" w:eastAsiaTheme="minorEastAsia" w:cstheme="minorEastAsia"/>
                <w:color w:val="auto"/>
                <w:szCs w:val="21"/>
                <w:highlight w:val="none"/>
              </w:rPr>
              <w:t>1.1用于人体乳腺数字平板X射线摄影诊断系统，C形臂可实现电动摆位......</w:t>
            </w:r>
          </w:p>
        </w:tc>
      </w:tr>
    </w:tbl>
    <w:p>
      <w:pPr>
        <w:spacing w:line="360" w:lineRule="auto"/>
        <w:ind w:firstLine="420"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合同履行期限</w:t>
      </w:r>
      <w:r>
        <w:rPr>
          <w:rFonts w:hint="eastAsia" w:asciiTheme="minorEastAsia" w:hAnsiTheme="minorEastAsia" w:eastAsiaTheme="minorEastAsia" w:cstheme="minorEastAsia"/>
          <w:b/>
          <w:color w:val="auto"/>
          <w:szCs w:val="21"/>
          <w:highlight w:val="none"/>
        </w:rPr>
        <w:t>：</w:t>
      </w:r>
    </w:p>
    <w:p>
      <w:pPr>
        <w:spacing w:line="360" w:lineRule="auto"/>
        <w:ind w:firstLine="422"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1分标：自签订合同之日起</w:t>
      </w:r>
      <w:r>
        <w:rPr>
          <w:rFonts w:asciiTheme="minorEastAsia" w:hAnsiTheme="minorEastAsia" w:eastAsiaTheme="minorEastAsia" w:cstheme="minorEastAsia"/>
          <w:b/>
          <w:color w:val="auto"/>
          <w:szCs w:val="21"/>
          <w:highlight w:val="none"/>
          <w:u w:val="single"/>
        </w:rPr>
        <w:t>30</w:t>
      </w:r>
      <w:r>
        <w:rPr>
          <w:rFonts w:hint="eastAsia" w:asciiTheme="minorEastAsia" w:hAnsiTheme="minorEastAsia" w:eastAsiaTheme="minorEastAsia" w:cstheme="minorEastAsia"/>
          <w:b/>
          <w:color w:val="auto"/>
          <w:szCs w:val="21"/>
          <w:highlight w:val="none"/>
        </w:rPr>
        <w:t>日历日内全部货物交货并安装调试完毕；2分标：自签订合同之日起</w:t>
      </w:r>
      <w:r>
        <w:rPr>
          <w:rFonts w:asciiTheme="minorEastAsia" w:hAnsiTheme="minorEastAsia" w:eastAsiaTheme="minorEastAsia" w:cstheme="minorEastAsia"/>
          <w:b/>
          <w:color w:val="auto"/>
          <w:szCs w:val="21"/>
          <w:highlight w:val="none"/>
          <w:u w:val="single"/>
        </w:rPr>
        <w:t>3</w:t>
      </w:r>
      <w:r>
        <w:rPr>
          <w:rFonts w:hint="eastAsia" w:asciiTheme="minorEastAsia" w:hAnsiTheme="minorEastAsia" w:eastAsiaTheme="minorEastAsia" w:cstheme="minorEastAsia"/>
          <w:b/>
          <w:color w:val="auto"/>
          <w:szCs w:val="21"/>
          <w:highlight w:val="none"/>
          <w:u w:val="single"/>
        </w:rPr>
        <w:t>0</w:t>
      </w:r>
      <w:r>
        <w:rPr>
          <w:rFonts w:hint="eastAsia" w:asciiTheme="minorEastAsia" w:hAnsiTheme="minorEastAsia" w:eastAsiaTheme="minorEastAsia" w:cstheme="minorEastAsia"/>
          <w:b/>
          <w:color w:val="auto"/>
          <w:szCs w:val="21"/>
          <w:highlight w:val="none"/>
        </w:rPr>
        <w:t>日历日内全部货物交货并安装调试完毕。</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本项目不接受联合体投标。</w:t>
      </w:r>
    </w:p>
    <w:p>
      <w:pPr>
        <w:spacing w:line="360" w:lineRule="auto"/>
        <w:rPr>
          <w:rFonts w:asciiTheme="minorEastAsia" w:hAnsiTheme="minorEastAsia" w:eastAsiaTheme="minorEastAsia" w:cstheme="minorEastAsia"/>
          <w:b/>
          <w:bCs/>
          <w:color w:val="auto"/>
          <w:szCs w:val="21"/>
          <w:highlight w:val="none"/>
        </w:rPr>
      </w:pPr>
      <w:bookmarkStart w:id="10" w:name="_Toc28359080"/>
      <w:bookmarkEnd w:id="10"/>
      <w:bookmarkStart w:id="11" w:name="_Toc28359003"/>
      <w:bookmarkEnd w:id="11"/>
      <w:bookmarkStart w:id="12" w:name="_Toc35393622"/>
      <w:bookmarkEnd w:id="12"/>
      <w:bookmarkStart w:id="13" w:name="_Toc35393791"/>
      <w:bookmarkEnd w:id="13"/>
      <w:r>
        <w:rPr>
          <w:rFonts w:hint="eastAsia" w:asciiTheme="minorEastAsia" w:hAnsiTheme="minorEastAsia" w:eastAsiaTheme="minorEastAsia" w:cstheme="minorEastAsia"/>
          <w:b/>
          <w:bCs/>
          <w:color w:val="auto"/>
          <w:szCs w:val="21"/>
          <w:highlight w:val="none"/>
        </w:rPr>
        <w:t>二、申请人的资格要求：</w:t>
      </w:r>
    </w:p>
    <w:p>
      <w:pPr>
        <w:spacing w:line="360" w:lineRule="auto"/>
        <w:ind w:firstLine="420" w:firstLineChars="200"/>
        <w:rPr>
          <w:rFonts w:asciiTheme="minorEastAsia" w:hAnsiTheme="minorEastAsia" w:eastAsiaTheme="minorEastAsia" w:cstheme="minorEastAsia"/>
          <w:color w:val="auto"/>
          <w:szCs w:val="21"/>
          <w:highlight w:val="none"/>
        </w:rPr>
      </w:pPr>
      <w:bookmarkStart w:id="14" w:name="_Hlk51746371"/>
      <w:r>
        <w:rPr>
          <w:rFonts w:hint="eastAsia" w:asciiTheme="minorEastAsia" w:hAnsiTheme="minorEastAsia" w:eastAsiaTheme="minorEastAsia" w:cstheme="minorEastAsia"/>
          <w:color w:val="auto"/>
          <w:szCs w:val="21"/>
          <w:highlight w:val="none"/>
        </w:rPr>
        <w:t>1.满足《中华人民共和国政府采购法》第二十二条规定；</w:t>
      </w:r>
    </w:p>
    <w:p>
      <w:pPr>
        <w:spacing w:line="360" w:lineRule="auto"/>
        <w:ind w:firstLine="420" w:firstLineChars="200"/>
        <w:rPr>
          <w:rFonts w:asciiTheme="minorEastAsia" w:hAnsiTheme="minorEastAsia" w:eastAsiaTheme="minorEastAsia" w:cstheme="minorEastAsia"/>
          <w:color w:val="auto"/>
          <w:szCs w:val="21"/>
          <w:highlight w:val="none"/>
        </w:rPr>
      </w:pPr>
      <w:bookmarkStart w:id="15" w:name="_Toc28359004"/>
      <w:bookmarkStart w:id="16" w:name="_Toc28359081"/>
      <w:r>
        <w:rPr>
          <w:rFonts w:hint="eastAsia" w:asciiTheme="minorEastAsia" w:hAnsiTheme="minorEastAsia" w:eastAsiaTheme="minorEastAsia" w:cstheme="minorEastAsia"/>
          <w:color w:val="auto"/>
          <w:szCs w:val="21"/>
          <w:highlight w:val="none"/>
        </w:rPr>
        <w:t>2.落实政府采购政策需满足的资格要求：</w:t>
      </w:r>
      <w:r>
        <w:rPr>
          <w:rFonts w:hint="eastAsia" w:asciiTheme="minorEastAsia" w:hAnsiTheme="minorEastAsia" w:eastAsiaTheme="minorEastAsia" w:cstheme="minorEastAsia"/>
          <w:color w:val="auto"/>
          <w:szCs w:val="21"/>
          <w:highlight w:val="none"/>
          <w:u w:val="single"/>
        </w:rPr>
        <w:t>无</w:t>
      </w:r>
      <w:r>
        <w:rPr>
          <w:rFonts w:hint="eastAsia" w:asciiTheme="minorEastAsia" w:hAnsiTheme="minorEastAsia" w:eastAsiaTheme="minorEastAsia" w:cstheme="minorEastAsia"/>
          <w:color w:val="auto"/>
          <w:szCs w:val="21"/>
          <w:highlight w:val="none"/>
        </w:rPr>
        <w:t>；</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3.本项目的特定资格要求：</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1分标、2分标：</w:t>
      </w:r>
    </w:p>
    <w:p>
      <w:pPr>
        <w:spacing w:line="360" w:lineRule="auto"/>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投标人按《医疗器械监督管理条例》（国务院令第739号）医疗器械分类管理要求具备有效的医疗器械经营备案凭证或者经营许可证，符合《医疗器械监督管理条例》第四十一条第二款规定的除外；或者投标人具有《医疗器械监督管理条例》第四十三条规定的注册人凭证。</w:t>
      </w:r>
    </w:p>
    <w:p>
      <w:pPr>
        <w:spacing w:line="360" w:lineRule="auto"/>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依据《放射性同位素与射线装置安全许可管理办法》第二条“在中华人民共和国境内生产、销售、使用放射性同位素与射线装置的单位，应当依照本办法的规定，取得辐射安全许可证。”。投标人为投标产品制造商的须具备有效的《辐射安全许可证》（许可种类和范围至少包含生产、销售）；投标人为投标产品经销商的须具备有效的《辐射安全许可证》（许可种类和范围至少包含销售）。</w:t>
      </w:r>
    </w:p>
    <w:bookmarkEnd w:id="14"/>
    <w:bookmarkEnd w:id="15"/>
    <w:bookmarkEnd w:id="16"/>
    <w:p>
      <w:pPr>
        <w:spacing w:line="360" w:lineRule="auto"/>
        <w:rPr>
          <w:rFonts w:asciiTheme="minorEastAsia" w:hAnsiTheme="minorEastAsia" w:eastAsiaTheme="minorEastAsia" w:cstheme="minorEastAsia"/>
          <w:b/>
          <w:bCs/>
          <w:color w:val="auto"/>
          <w:szCs w:val="21"/>
          <w:highlight w:val="none"/>
        </w:rPr>
      </w:pPr>
      <w:bookmarkStart w:id="17" w:name="_Toc35393792"/>
      <w:bookmarkEnd w:id="17"/>
      <w:bookmarkStart w:id="18" w:name="_Toc35393623"/>
      <w:bookmarkEnd w:id="18"/>
      <w:r>
        <w:rPr>
          <w:rFonts w:hint="eastAsia" w:asciiTheme="minorEastAsia" w:hAnsiTheme="minorEastAsia" w:eastAsiaTheme="minorEastAsia" w:cstheme="minorEastAsia"/>
          <w:b/>
          <w:bCs/>
          <w:color w:val="auto"/>
          <w:szCs w:val="21"/>
          <w:highlight w:val="none"/>
        </w:rPr>
        <w:t>三、获取招标文件</w:t>
      </w:r>
    </w:p>
    <w:p>
      <w:pPr>
        <w:spacing w:line="360" w:lineRule="auto"/>
        <w:ind w:firstLine="420" w:firstLineChars="200"/>
        <w:rPr>
          <w:rFonts w:asciiTheme="minorEastAsia" w:hAnsiTheme="minorEastAsia" w:eastAsiaTheme="minorEastAsia" w:cstheme="minorEastAsia"/>
          <w:bCs/>
          <w:color w:val="auto"/>
          <w:kern w:val="0"/>
          <w:szCs w:val="21"/>
          <w:highlight w:val="none"/>
        </w:rPr>
      </w:pPr>
      <w:r>
        <w:rPr>
          <w:rFonts w:hint="eastAsia" w:asciiTheme="minorEastAsia" w:hAnsiTheme="minorEastAsia" w:eastAsiaTheme="minorEastAsia" w:cstheme="minorEastAsia"/>
          <w:bCs/>
          <w:color w:val="auto"/>
          <w:kern w:val="0"/>
          <w:szCs w:val="21"/>
          <w:highlight w:val="none"/>
        </w:rPr>
        <w:t>时间：</w:t>
      </w:r>
      <w:r>
        <w:rPr>
          <w:rFonts w:hint="eastAsia" w:asciiTheme="minorEastAsia" w:hAnsiTheme="minorEastAsia" w:eastAsiaTheme="minorEastAsia" w:cstheme="minorEastAsia"/>
          <w:color w:val="auto"/>
          <w:highlight w:val="none"/>
          <w:u w:val="single"/>
          <w:lang w:eastAsia="zh-CN"/>
        </w:rPr>
        <w:t>2026年8月13日</w:t>
      </w:r>
      <w:r>
        <w:rPr>
          <w:rFonts w:hint="eastAsia" w:asciiTheme="minorEastAsia" w:hAnsiTheme="minorEastAsia" w:eastAsiaTheme="minorEastAsia" w:cstheme="minorEastAsia"/>
          <w:color w:val="auto"/>
          <w:szCs w:val="21"/>
          <w:highlight w:val="none"/>
          <w:u w:val="single"/>
        </w:rPr>
        <w:t>至</w:t>
      </w:r>
      <w:r>
        <w:rPr>
          <w:rFonts w:hint="eastAsia" w:asciiTheme="minorEastAsia" w:hAnsiTheme="minorEastAsia" w:eastAsiaTheme="minorEastAsia" w:cstheme="minorEastAsia"/>
          <w:color w:val="auto"/>
          <w:highlight w:val="none"/>
          <w:u w:val="single"/>
          <w:lang w:eastAsia="zh-CN"/>
        </w:rPr>
        <w:t>2026年8月20日</w:t>
      </w:r>
      <w:r>
        <w:rPr>
          <w:rFonts w:hint="eastAsia" w:asciiTheme="minorEastAsia" w:hAnsiTheme="minorEastAsia" w:eastAsiaTheme="minorEastAsia" w:cstheme="minorEastAsia"/>
          <w:color w:val="auto"/>
          <w:szCs w:val="21"/>
          <w:highlight w:val="none"/>
        </w:rPr>
        <w:t>，每天上午00:00-11:59；下午1</w:t>
      </w: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highlight w:val="none"/>
        </w:rPr>
        <w:t>00</w:t>
      </w:r>
      <w:r>
        <w:rPr>
          <w:rFonts w:hint="eastAsia" w:asciiTheme="minorEastAsia" w:hAnsiTheme="minorEastAsia" w:eastAsiaTheme="minorEastAsia" w:cstheme="minorEastAsia"/>
          <w:color w:val="auto"/>
          <w:szCs w:val="21"/>
          <w:highlight w:val="none"/>
        </w:rPr>
        <w:t>-23:</w:t>
      </w:r>
      <w:r>
        <w:rPr>
          <w:rFonts w:hint="eastAsia" w:asciiTheme="minorEastAsia" w:hAnsiTheme="minorEastAsia" w:eastAsiaTheme="minorEastAsia" w:cstheme="minorEastAsia"/>
          <w:color w:val="auto"/>
          <w:highlight w:val="none"/>
        </w:rPr>
        <w:t>59</w:t>
      </w:r>
      <w:r>
        <w:rPr>
          <w:rFonts w:hint="eastAsia" w:asciiTheme="minorEastAsia" w:hAnsiTheme="minorEastAsia" w:eastAsiaTheme="minorEastAsia" w:cstheme="minorEastAsia"/>
          <w:color w:val="auto"/>
          <w:szCs w:val="21"/>
          <w:highlight w:val="none"/>
        </w:rPr>
        <w:t>（北京时间，法定节假日除外）。</w:t>
      </w:r>
    </w:p>
    <w:p>
      <w:pPr>
        <w:spacing w:line="360" w:lineRule="auto"/>
        <w:ind w:firstLine="420" w:firstLineChars="200"/>
        <w:rPr>
          <w:rFonts w:asciiTheme="minorEastAsia" w:hAnsiTheme="minorEastAsia" w:eastAsiaTheme="minorEastAsia" w:cstheme="minorEastAsia"/>
          <w:bCs/>
          <w:color w:val="auto"/>
          <w:kern w:val="0"/>
          <w:szCs w:val="21"/>
          <w:highlight w:val="none"/>
        </w:rPr>
      </w:pPr>
      <w:r>
        <w:rPr>
          <w:rFonts w:hint="eastAsia" w:asciiTheme="minorEastAsia" w:hAnsiTheme="minorEastAsia" w:eastAsiaTheme="minorEastAsia" w:cstheme="minorEastAsia"/>
          <w:bCs/>
          <w:color w:val="auto"/>
          <w:kern w:val="0"/>
          <w:szCs w:val="21"/>
          <w:highlight w:val="none"/>
        </w:rPr>
        <w:t>地点：“广西政府采购云平台”（https://www.gcy.zfcg.gxzf.gov.cn/）</w:t>
      </w:r>
    </w:p>
    <w:p>
      <w:pPr>
        <w:spacing w:line="360" w:lineRule="auto"/>
        <w:ind w:firstLine="420" w:firstLineChars="200"/>
        <w:rPr>
          <w:rFonts w:asciiTheme="minorEastAsia" w:hAnsiTheme="minorEastAsia" w:eastAsiaTheme="minorEastAsia" w:cstheme="minorEastAsia"/>
          <w:bCs/>
          <w:color w:val="auto"/>
          <w:kern w:val="0"/>
          <w:szCs w:val="21"/>
          <w:highlight w:val="none"/>
        </w:rPr>
      </w:pPr>
      <w:r>
        <w:rPr>
          <w:rFonts w:hint="eastAsia" w:asciiTheme="minorEastAsia" w:hAnsiTheme="minorEastAsia" w:eastAsiaTheme="minorEastAsia" w:cstheme="minorEastAsia"/>
          <w:bCs/>
          <w:color w:val="auto"/>
          <w:kern w:val="0"/>
          <w:szCs w:val="21"/>
          <w:highlight w:val="none"/>
        </w:rPr>
        <w:t>方式：网上下载。本项目不发放纸质文件，供应商应自行在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hint="eastAsia" w:asciiTheme="minorEastAsia" w:hAnsiTheme="minorEastAsia" w:eastAsiaTheme="minorEastAsia" w:cstheme="minorEastAsia"/>
          <w:bCs/>
          <w:color w:val="auto"/>
          <w:kern w:val="0"/>
          <w:szCs w:val="21"/>
          <w:highlight w:val="none"/>
        </w:rPr>
        <w:t>“广西政府采购云平台”（https://www.gcy.zfcg.gxzf.gov.cn/）下载招标文件（操作路径：登录“广西政府采购云平台” -项目采购-获取采购文件-找到本项目-点击“申请获取采购文件”），电子投标文件制作需要基于“广西政府采购云平台”获取的招标文件编制。</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kern w:val="0"/>
          <w:szCs w:val="21"/>
          <w:highlight w:val="none"/>
        </w:rPr>
        <w:t>售价：0元。</w:t>
      </w:r>
    </w:p>
    <w:p>
      <w:pPr>
        <w:spacing w:line="360" w:lineRule="auto"/>
        <w:rPr>
          <w:rFonts w:asciiTheme="minorEastAsia" w:hAnsiTheme="minorEastAsia" w:eastAsiaTheme="minorEastAsia" w:cstheme="minorEastAsia"/>
          <w:b/>
          <w:bCs/>
          <w:color w:val="auto"/>
          <w:sz w:val="24"/>
          <w:highlight w:val="none"/>
        </w:rPr>
      </w:pPr>
      <w:bookmarkStart w:id="19" w:name="_Toc35393624"/>
      <w:bookmarkEnd w:id="19"/>
      <w:bookmarkStart w:id="20" w:name="_Toc28359082"/>
      <w:bookmarkEnd w:id="20"/>
      <w:bookmarkStart w:id="21" w:name="_Toc28359005"/>
      <w:bookmarkEnd w:id="21"/>
      <w:bookmarkStart w:id="22" w:name="_Toc35393793"/>
      <w:bookmarkEnd w:id="22"/>
      <w:r>
        <w:rPr>
          <w:rFonts w:hint="eastAsia" w:asciiTheme="minorEastAsia" w:hAnsiTheme="minorEastAsia" w:eastAsiaTheme="minorEastAsia" w:cstheme="minorEastAsia"/>
          <w:b/>
          <w:bCs/>
          <w:color w:val="auto"/>
          <w:sz w:val="24"/>
          <w:highlight w:val="none"/>
        </w:rPr>
        <w:t>四、提交投标文件截止时间、开标时间和地点</w:t>
      </w:r>
    </w:p>
    <w:p>
      <w:pPr>
        <w:spacing w:line="360" w:lineRule="auto"/>
        <w:ind w:firstLine="420" w:firstLineChars="200"/>
        <w:rPr>
          <w:rFonts w:asciiTheme="minorEastAsia" w:hAnsiTheme="minorEastAsia" w:eastAsiaTheme="minorEastAsia" w:cstheme="minorEastAsia"/>
          <w:color w:val="auto"/>
          <w:szCs w:val="21"/>
          <w:highlight w:val="none"/>
        </w:rPr>
      </w:pPr>
      <w:bookmarkStart w:id="23" w:name="_Toc35393625"/>
      <w:bookmarkStart w:id="24" w:name="_Toc28359007"/>
      <w:bookmarkStart w:id="25" w:name="_Toc28359084"/>
      <w:bookmarkStart w:id="26" w:name="_Toc35393794"/>
      <w:r>
        <w:rPr>
          <w:rFonts w:hint="eastAsia" w:asciiTheme="minorEastAsia" w:hAnsiTheme="minorEastAsia" w:eastAsiaTheme="minorEastAsia" w:cstheme="minorEastAsia"/>
          <w:color w:val="auto"/>
          <w:szCs w:val="21"/>
          <w:highlight w:val="none"/>
        </w:rPr>
        <w:t>1、截止时间：</w:t>
      </w:r>
      <w:r>
        <w:rPr>
          <w:rFonts w:hint="eastAsia" w:asciiTheme="minorEastAsia" w:hAnsiTheme="minorEastAsia" w:eastAsiaTheme="minorEastAsia" w:cstheme="minorEastAsia"/>
          <w:bCs/>
          <w:color w:val="auto"/>
          <w:szCs w:val="21"/>
          <w:highlight w:val="none"/>
          <w:u w:val="single"/>
          <w:lang w:eastAsia="zh-CN"/>
        </w:rPr>
        <w:t>2026年9月3日</w:t>
      </w:r>
      <w:r>
        <w:rPr>
          <w:rFonts w:hint="eastAsia" w:asciiTheme="minorEastAsia" w:hAnsiTheme="minorEastAsia" w:eastAsiaTheme="minorEastAsia" w:cstheme="minorEastAsia"/>
          <w:bCs/>
          <w:color w:val="auto"/>
          <w:szCs w:val="21"/>
          <w:highlight w:val="none"/>
          <w:u w:val="single"/>
        </w:rPr>
        <w:t>9时30分</w:t>
      </w:r>
      <w:r>
        <w:rPr>
          <w:rFonts w:hint="eastAsia" w:asciiTheme="minorEastAsia" w:hAnsiTheme="minorEastAsia" w:eastAsiaTheme="minorEastAsia" w:cstheme="minorEastAsia"/>
          <w:color w:val="auto"/>
          <w:szCs w:val="21"/>
          <w:highlight w:val="none"/>
          <w:u w:val="single"/>
        </w:rPr>
        <w:t>（北京时间）</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2、地点：本项目将在“广西政府采购云平台”电子开标大厅解密、开标。</w:t>
      </w:r>
    </w:p>
    <w:bookmarkEnd w:id="23"/>
    <w:bookmarkEnd w:id="24"/>
    <w:bookmarkEnd w:id="25"/>
    <w:bookmarkEnd w:id="26"/>
    <w:p>
      <w:pPr>
        <w:spacing w:line="360" w:lineRule="auto"/>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五、公告期限</w:t>
      </w:r>
    </w:p>
    <w:p>
      <w:pPr>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自本公告发布之日起5个工作日。</w:t>
      </w:r>
    </w:p>
    <w:p>
      <w:pPr>
        <w:spacing w:line="360" w:lineRule="auto"/>
        <w:rPr>
          <w:rFonts w:asciiTheme="minorEastAsia" w:hAnsiTheme="minorEastAsia" w:eastAsiaTheme="minorEastAsia" w:cstheme="minorEastAsia"/>
          <w:b/>
          <w:bCs/>
          <w:color w:val="auto"/>
          <w:sz w:val="24"/>
          <w:highlight w:val="none"/>
        </w:rPr>
      </w:pPr>
      <w:bookmarkStart w:id="27" w:name="_Toc35393626"/>
      <w:bookmarkEnd w:id="27"/>
      <w:bookmarkStart w:id="28" w:name="_Toc35393795"/>
      <w:bookmarkEnd w:id="28"/>
      <w:r>
        <w:rPr>
          <w:rFonts w:hint="eastAsia" w:asciiTheme="minorEastAsia" w:hAnsiTheme="minorEastAsia" w:eastAsiaTheme="minorEastAsia" w:cstheme="minorEastAsia"/>
          <w:b/>
          <w:bCs/>
          <w:color w:val="auto"/>
          <w:sz w:val="24"/>
          <w:highlight w:val="none"/>
        </w:rPr>
        <w:t>六、其他补充事宜</w:t>
      </w:r>
    </w:p>
    <w:p>
      <w:pPr>
        <w:spacing w:line="360" w:lineRule="auto"/>
        <w:ind w:firstLine="420" w:firstLineChars="200"/>
        <w:rPr>
          <w:rFonts w:asciiTheme="minorEastAsia" w:hAnsiTheme="minorEastAsia" w:eastAsiaTheme="minorEastAsia" w:cstheme="minorEastAsia"/>
          <w:color w:val="auto"/>
          <w:kern w:val="0"/>
          <w:szCs w:val="21"/>
          <w:highlight w:val="none"/>
        </w:rPr>
      </w:pPr>
      <w:bookmarkStart w:id="29" w:name="_Hlk37429674"/>
      <w:r>
        <w:rPr>
          <w:rFonts w:hint="eastAsia" w:asciiTheme="minorEastAsia" w:hAnsiTheme="minorEastAsia" w:eastAsiaTheme="minorEastAsia" w:cstheme="minorEastAsia"/>
          <w:color w:val="auto"/>
          <w:kern w:val="0"/>
          <w:szCs w:val="21"/>
          <w:highlight w:val="none"/>
        </w:rPr>
        <w:t>1、投标保证金（人民币）：</w:t>
      </w:r>
      <w:r>
        <w:rPr>
          <w:rFonts w:hint="eastAsia" w:asciiTheme="minorEastAsia" w:hAnsiTheme="minorEastAsia" w:eastAsiaTheme="minorEastAsia" w:cstheme="minorEastAsia"/>
          <w:color w:val="auto"/>
          <w:szCs w:val="21"/>
          <w:highlight w:val="none"/>
        </w:rPr>
        <w:t>1分标：20000.00元；2分标：10000.00元</w:t>
      </w:r>
      <w:r>
        <w:rPr>
          <w:rFonts w:hint="eastAsia" w:asciiTheme="minorEastAsia" w:hAnsiTheme="minorEastAsia" w:eastAsiaTheme="minorEastAsia" w:cstheme="minorEastAsia"/>
          <w:color w:val="auto"/>
          <w:kern w:val="0"/>
          <w:szCs w:val="21"/>
          <w:highlight w:val="none"/>
        </w:rPr>
        <w:t>。</w:t>
      </w:r>
    </w:p>
    <w:p>
      <w:pPr>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3、根据财政部《关于在政府采购活动中查询及使用信用记录有关问题的通知》（财库〔2016〕125号）的规定，对在“信用中国”网站(www.creditchina.gov.cn) 、中国政府采购网(www.ccgp.gov.cn)被列入失信被执行人、重大税收违法失信主体名单、政府采购严重违法失信行为记录名单及其他不符合《中华人民共和国政府采购法》第二十二条规定条件的供应商，不得参与政府采购活动。</w:t>
      </w:r>
    </w:p>
    <w:p>
      <w:pPr>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4、网上查询地址：中国政府采购网（www.ccgp.gov.cn）、广西政府采购网（zfcg.gxzf.gov.cn）、广西壮族自治区公共资源交易中心网站（gxggzy.gxzf.gov.cn）。</w:t>
      </w:r>
    </w:p>
    <w:p>
      <w:pPr>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5、本项目需要落实的政府采购政策：</w:t>
      </w:r>
    </w:p>
    <w:p>
      <w:pPr>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（1）政府采购促进中小企业发展。</w:t>
      </w:r>
    </w:p>
    <w:p>
      <w:pPr>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（2）政府采购支持采用本国产品的政策。</w:t>
      </w:r>
    </w:p>
    <w:p>
      <w:pPr>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（3）强制采购节能产品；优先采购节能产品、环境标志产品。</w:t>
      </w:r>
    </w:p>
    <w:p>
      <w:pPr>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（4）政府采购促进残疾人就业政策。</w:t>
      </w:r>
    </w:p>
    <w:p>
      <w:pPr>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（5）政府采购支持监狱企业发展。</w:t>
      </w:r>
    </w:p>
    <w:p>
      <w:pPr>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（6）扶持不发达地区和少数民族地区政策</w:t>
      </w:r>
    </w:p>
    <w:p>
      <w:pPr>
        <w:widowControl/>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6、投标注意事项：</w:t>
      </w:r>
    </w:p>
    <w:p>
      <w:pPr>
        <w:widowControl/>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1）投标文件提交方式：本项目为全流程电子化政府采购项目，通过“广西政府采购云平台”（https://www.gcy.zfcg.gxzf.gov.cn/）实行在线电子投标，供应商应先安装“广西政府采购云平台电子交易客户端”（请自行前往“广西政府采购云平台”进行下载），并按照本项目招标文件和“广西政府采购云平台”的要求编制、加密后在投标截止时间前通过网络上传至“广西政府采购云平台”，</w:t>
      </w:r>
      <w:r>
        <w:rPr>
          <w:rFonts w:hint="eastAsia" w:asciiTheme="minorEastAsia" w:hAnsiTheme="minorEastAsia" w:eastAsiaTheme="minorEastAsia" w:cstheme="minorEastAsia"/>
          <w:b/>
          <w:color w:val="auto"/>
          <w:szCs w:val="21"/>
          <w:highlight w:val="none"/>
        </w:rPr>
        <w:t>供应商在“广西政府采购云平台”提交电子版投标文件时，请填写参加远程开标活动经办人联系方式。</w:t>
      </w:r>
    </w:p>
    <w:p>
      <w:pPr>
        <w:widowControl/>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供应商应及时熟悉掌握电子标系统操作指南（见广西政府采购云平台电子卖场首页右上角—服务中心—帮助文档—项目采购）：https://helpcenter.zcygov.cn/document/#/document/dashboard?siteCode=beijing&amp;channel=dt；及时完成CA申领和绑定（供应商通过新平台参与政府采购项目投标需下载使用新版客户端，新版客户端下载路径：广西政府采购网（访问地址http://zfcg.gxzf.gov.cn/）—办事服务—下载专区。原在广西政府采购云平台注册的临时供应商需在新平台启用后重新注册登记。）。</w:t>
      </w:r>
    </w:p>
    <w:p>
      <w:pPr>
        <w:widowControl/>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pPr>
        <w:widowControl/>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（4）为确保网上操作合法、有效和安全，请投标人确保在电子投标过程中能够对相关数据电文进行加密和使用电子签章，妥善保管CA数字证书并使用有效的CA数字证书参与整个采购活动。</w:t>
      </w:r>
    </w:p>
    <w:p>
      <w:pPr>
        <w:spacing w:line="360" w:lineRule="auto"/>
        <w:ind w:firstLine="422" w:firstLineChars="200"/>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pPr>
        <w:snapToGrid w:val="0"/>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7、CA证书在线解密：供应商投标时，需携带制作投标文件时用来加密的有效数字证书（CA认证）登录“广西政府采购云平台”电子开标大厅现场按规定时间对加密的投标文件进行解密，否则后果自负。</w:t>
      </w:r>
    </w:p>
    <w:p>
      <w:pPr>
        <w:spacing w:line="360" w:lineRule="auto"/>
        <w:ind w:firstLine="420" w:firstLineChars="200"/>
        <w:rPr>
          <w:color w:val="auto"/>
          <w:highlight w:val="none"/>
        </w:rPr>
      </w:pPr>
      <w:r>
        <w:rPr>
          <w:rFonts w:hint="eastAsia" w:asciiTheme="minorEastAsia" w:hAnsiTheme="minorEastAsia" w:eastAsiaTheme="minorEastAsia" w:cstheme="minorEastAsia"/>
          <w:color w:val="auto"/>
          <w:kern w:val="0"/>
          <w:szCs w:val="21"/>
          <w:highlight w:val="none"/>
        </w:rPr>
        <w:t>8、若对项目采购电子交易系统操作有疑问，可登录“广西政府采购云平台”（https://www.gcy.zfcg.gxzf.gov.cn/），点击右侧咨询小采，获取采小蜜智能服务管家帮助，或拨打广西政府采购云平台服务热线95763获取热线服务帮助。</w:t>
      </w:r>
    </w:p>
    <w:bookmarkEnd w:id="29"/>
    <w:p>
      <w:pPr>
        <w:spacing w:line="360" w:lineRule="auto"/>
        <w:rPr>
          <w:rFonts w:asciiTheme="minorEastAsia" w:hAnsiTheme="minorEastAsia" w:eastAsiaTheme="minorEastAsia" w:cstheme="minorEastAsia"/>
          <w:b/>
          <w:bCs/>
          <w:color w:val="auto"/>
          <w:sz w:val="24"/>
          <w:highlight w:val="none"/>
        </w:rPr>
      </w:pPr>
      <w:bookmarkStart w:id="30" w:name="_Toc28359008"/>
      <w:bookmarkEnd w:id="30"/>
      <w:bookmarkStart w:id="31" w:name="_Toc35393796"/>
      <w:bookmarkEnd w:id="31"/>
      <w:bookmarkStart w:id="32" w:name="_Toc35393627"/>
      <w:bookmarkEnd w:id="32"/>
      <w:bookmarkStart w:id="33" w:name="_Toc28359085"/>
      <w:bookmarkEnd w:id="33"/>
      <w:r>
        <w:rPr>
          <w:rFonts w:hint="eastAsia" w:asciiTheme="minorEastAsia" w:hAnsiTheme="minorEastAsia" w:eastAsiaTheme="minorEastAsia" w:cstheme="minorEastAsia"/>
          <w:b/>
          <w:bCs/>
          <w:color w:val="auto"/>
          <w:sz w:val="24"/>
          <w:highlight w:val="none"/>
        </w:rPr>
        <w:t>七、对本次招标提出询问，请按以下方式联系。</w:t>
      </w:r>
    </w:p>
    <w:p>
      <w:pPr>
        <w:widowControl/>
        <w:spacing w:line="36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1.采购人信息</w:t>
      </w:r>
    </w:p>
    <w:p>
      <w:pPr>
        <w:widowControl/>
        <w:spacing w:line="360" w:lineRule="auto"/>
        <w:ind w:firstLine="630" w:firstLineChars="3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单位名称：广西壮族自治区卫生健康委员会</w:t>
      </w:r>
    </w:p>
    <w:p>
      <w:pPr>
        <w:widowControl/>
        <w:spacing w:line="360" w:lineRule="auto"/>
        <w:ind w:firstLine="630" w:firstLineChars="3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联系人：</w:t>
      </w:r>
      <w:r>
        <w:rPr>
          <w:rFonts w:hint="eastAsia" w:cs="宋体" w:asciiTheme="minorEastAsia" w:hAnsiTheme="minorEastAsia" w:eastAsiaTheme="minorEastAsia"/>
          <w:color w:val="auto"/>
          <w:szCs w:val="21"/>
          <w:highlight w:val="none"/>
        </w:rPr>
        <w:t>刘庆</w:t>
      </w:r>
      <w:r>
        <w:rPr>
          <w:rFonts w:hint="eastAsia" w:asciiTheme="minorEastAsia" w:hAnsiTheme="minorEastAsia" w:eastAsiaTheme="minorEastAsia" w:cstheme="minorEastAsia"/>
          <w:color w:val="auto"/>
          <w:szCs w:val="21"/>
          <w:highlight w:val="none"/>
        </w:rPr>
        <w:t>；      联系电话：0771-2821935</w:t>
      </w:r>
    </w:p>
    <w:p>
      <w:pPr>
        <w:widowControl/>
        <w:spacing w:line="360" w:lineRule="auto"/>
        <w:ind w:firstLine="630" w:firstLineChars="3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联系地址：南宁市青秀区新民路2号</w:t>
      </w:r>
    </w:p>
    <w:p>
      <w:pPr>
        <w:widowControl/>
        <w:spacing w:line="360" w:lineRule="auto"/>
        <w:ind w:firstLine="630" w:firstLineChars="3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2.采购代理机构信息</w:t>
      </w:r>
    </w:p>
    <w:p>
      <w:pPr>
        <w:widowControl/>
        <w:spacing w:line="360" w:lineRule="auto"/>
        <w:ind w:firstLine="630" w:firstLineChars="3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名 称：广西科文招标有限公司</w:t>
      </w:r>
    </w:p>
    <w:p>
      <w:pPr>
        <w:widowControl/>
        <w:spacing w:line="360" w:lineRule="auto"/>
        <w:ind w:firstLine="630" w:firstLineChars="3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地　址：南宁市民族大道路141号中鼎万象东方大厦D区五层</w:t>
      </w:r>
    </w:p>
    <w:p>
      <w:pPr>
        <w:widowControl/>
        <w:spacing w:line="360" w:lineRule="auto"/>
        <w:ind w:firstLine="630" w:firstLineChars="3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联系人：郑雄、钟文；联系方式：0771-2023821（电话）</w:t>
      </w:r>
    </w:p>
    <w:p>
      <w:pPr>
        <w:widowControl/>
        <w:spacing w:line="360" w:lineRule="auto"/>
        <w:ind w:firstLine="630" w:firstLineChars="300"/>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3.项目联系方式</w:t>
      </w:r>
    </w:p>
    <w:p>
      <w:pPr>
        <w:spacing w:line="360" w:lineRule="auto"/>
        <w:ind w:firstLine="630" w:firstLineChars="3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项目联系人：郑雄、钟文</w:t>
      </w:r>
    </w:p>
    <w:p>
      <w:pPr>
        <w:spacing w:line="360" w:lineRule="auto"/>
        <w:ind w:firstLine="630" w:firstLineChars="3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　话： 0771-2023821</w:t>
      </w:r>
    </w:p>
    <w:p>
      <w:pPr>
        <w:spacing w:line="360" w:lineRule="auto"/>
        <w:jc w:val="righ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广西科文招标有限公司</w:t>
      </w:r>
    </w:p>
    <w:p>
      <w:pPr>
        <w:snapToGrid w:val="0"/>
        <w:spacing w:line="360" w:lineRule="auto"/>
        <w:jc w:val="right"/>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lang w:eastAsia="zh-CN"/>
        </w:rPr>
        <w:t>2026年8月13日</w:t>
      </w:r>
    </w:p>
    <w:bookmarkEnd w:id="5"/>
    <w:p>
      <w:pPr>
        <w:pStyle w:val="3"/>
        <w:spacing w:before="0" w:after="0" w:line="360" w:lineRule="auto"/>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bookmarkStart w:id="34" w:name="_Toc31944"/>
      <w:r>
        <w:rPr>
          <w:rFonts w:hint="eastAsia" w:asciiTheme="minorEastAsia" w:hAnsiTheme="minorEastAsia" w:eastAsiaTheme="minorEastAsia" w:cstheme="minorEastAsia"/>
          <w:color w:val="auto"/>
          <w:highlight w:val="none"/>
        </w:rPr>
        <w:t>第二章  采购需求</w:t>
      </w:r>
      <w:bookmarkEnd w:id="34"/>
    </w:p>
    <w:p>
      <w:pPr>
        <w:spacing w:line="360" w:lineRule="auto"/>
        <w:ind w:firstLine="426" w:firstLineChars="202"/>
        <w:jc w:val="left"/>
        <w:rPr>
          <w:rFonts w:asciiTheme="minorEastAsia" w:hAnsiTheme="minorEastAsia" w:eastAsiaTheme="minorEastAsia" w:cstheme="minorEastAsia"/>
          <w:b/>
          <w:color w:val="auto"/>
          <w:szCs w:val="21"/>
          <w:highlight w:val="none"/>
        </w:rPr>
      </w:pPr>
      <w:bookmarkStart w:id="35" w:name="_Hlk65055179"/>
      <w:bookmarkStart w:id="36" w:name="_Toc254970490"/>
      <w:bookmarkStart w:id="37" w:name="_Toc254970631"/>
      <w:r>
        <w:rPr>
          <w:rFonts w:hint="eastAsia" w:asciiTheme="minorEastAsia" w:hAnsiTheme="minorEastAsia" w:eastAsiaTheme="minorEastAsia" w:cstheme="minorEastAsia"/>
          <w:b/>
          <w:color w:val="auto"/>
          <w:szCs w:val="21"/>
          <w:highlight w:val="none"/>
        </w:rPr>
        <w:t>说明：</w:t>
      </w:r>
    </w:p>
    <w:p>
      <w:pPr>
        <w:spacing w:line="360" w:lineRule="auto"/>
        <w:ind w:firstLine="426" w:firstLineChars="202"/>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 为落实政府采购政策需满足的要求</w:t>
      </w:r>
    </w:p>
    <w:p>
      <w:pPr>
        <w:spacing w:line="360" w:lineRule="auto"/>
        <w:ind w:firstLine="426" w:firstLineChars="202"/>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（1）本招标文件所称中小企业必须符合《政府采购促进中小企业发展管理办法》（财库〔2020〕46号）的规定。</w:t>
      </w:r>
    </w:p>
    <w:p>
      <w:pPr>
        <w:spacing w:line="360" w:lineRule="auto"/>
        <w:ind w:firstLine="426" w:firstLineChars="202"/>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专业定制除外），投标人的投标货物必须使用政府强制采购的节能产品，投标人必须在投标文件（商务及技术文件）中提供所投标产品的节能产品认证证书复印件（加盖投标人电子签章），否则按无效投标处理。如本项目包含的货物属于品目清单内非标注“★”的产品时，应优先采购，具体详见“第四章 评标方法及评标标准”。</w:t>
      </w:r>
    </w:p>
    <w:p>
      <w:pPr>
        <w:spacing w:line="360" w:lineRule="auto"/>
        <w:ind w:firstLine="426" w:firstLineChars="202"/>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根据《关于调整网络安全专用产品安全管理有关事项的公告》（2023年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按无效投标处理。如属于《网络关键设备和网络安全专用产品目录》中“二、网络安全专用产品”内“产品类别”中的所描述的产品，但不属于所列“产品描述”情形的，应提供相应的说明及证明材料。</w:t>
      </w:r>
    </w:p>
    <w:p>
      <w:pPr>
        <w:spacing w:line="360" w:lineRule="auto"/>
        <w:ind w:firstLine="426" w:firstLineChars="202"/>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实质性要求”是指招标文件中已经指明不满足则投标无效的条款，或者不能负偏离的条款，或者采购需求中带“▲”的条款；重要参数要求是指采购需求中带“●”的条款，作为评分内容;“▲”及“●”必须提供相关证明材料，否则评标委员会可以视为负偏离或不响应。证明材料指对外公开的产品彩页或说明书（体现技术参数，可以是从生产厂家网页下载的PDF或HTM文件或在食品药品监督管理部门备案的技术参数或检测报告或生产厂家盖章的技术参数证明材料）。无标识则表示为一般技术参数要求，重要参数要求和一般技术参数要求如响应为负偏离，不会导致投标被否决。</w:t>
      </w:r>
    </w:p>
    <w:p>
      <w:pPr>
        <w:spacing w:line="360" w:lineRule="auto"/>
        <w:ind w:firstLine="426" w:firstLineChars="202"/>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pPr>
        <w:spacing w:line="360" w:lineRule="auto"/>
        <w:ind w:firstLine="426" w:firstLineChars="202"/>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4.投标人应根据自身实际情况如实响应招标文件，对招标文件提出的要求和条件作出明确响应，否则将作无效响应处理。</w:t>
      </w:r>
    </w:p>
    <w:p>
      <w:pPr>
        <w:spacing w:line="360" w:lineRule="auto"/>
        <w:ind w:firstLine="426" w:firstLineChars="202"/>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5.投标人必须自行为其投标产品侵犯他人的知识产权或者专利成果的行为承担相应法律责任。</w:t>
      </w:r>
    </w:p>
    <w:p>
      <w:pPr>
        <w:spacing w:line="360" w:lineRule="auto"/>
        <w:ind w:firstLine="426" w:firstLineChars="202"/>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6.本项目标的所属行业：工业。</w:t>
      </w:r>
      <w:bookmarkEnd w:id="35"/>
    </w:p>
    <w:p>
      <w:pPr>
        <w:spacing w:line="360" w:lineRule="auto"/>
        <w:ind w:firstLine="426" w:firstLineChars="202"/>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b/>
          <w:color w:val="auto"/>
          <w:szCs w:val="21"/>
          <w:highlight w:val="none"/>
        </w:rPr>
        <w:t>7.本项目数字化X射线摄影系统（移动DR）2台必须为同一品牌同一型号产品,否则视为无效投标。</w:t>
      </w:r>
    </w:p>
    <w:bookmarkEnd w:id="36"/>
    <w:bookmarkEnd w:id="37"/>
    <w:p>
      <w:pPr>
        <w:spacing w:line="360" w:lineRule="auto"/>
        <w:ind w:firstLine="422" w:firstLineChars="200"/>
        <w:jc w:val="left"/>
        <w:outlineLvl w:val="1"/>
        <w:rPr>
          <w:rFonts w:asciiTheme="minorEastAsia" w:hAnsiTheme="minorEastAsia" w:eastAsiaTheme="minorEastAsia"/>
          <w:b/>
          <w:color w:val="auto"/>
          <w:szCs w:val="21"/>
          <w:highlight w:val="none"/>
        </w:rPr>
      </w:pPr>
      <w:bookmarkStart w:id="38" w:name="_Toc1527"/>
      <w:bookmarkStart w:id="39" w:name="_Toc19433"/>
      <w:r>
        <w:rPr>
          <w:rFonts w:hint="eastAsia" w:asciiTheme="minorEastAsia" w:hAnsiTheme="minorEastAsia" w:eastAsiaTheme="minorEastAsia"/>
          <w:b/>
          <w:color w:val="auto"/>
          <w:szCs w:val="21"/>
          <w:highlight w:val="none"/>
        </w:rPr>
        <w:t>1分标：数字化X射线摄影系统（移动DR）</w:t>
      </w:r>
      <w:bookmarkEnd w:id="38"/>
      <w:bookmarkEnd w:id="39"/>
    </w:p>
    <w:tbl>
      <w:tblPr>
        <w:tblStyle w:val="52"/>
        <w:tblW w:w="925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4"/>
        <w:gridCol w:w="287"/>
        <w:gridCol w:w="811"/>
        <w:gridCol w:w="723"/>
        <w:gridCol w:w="563"/>
        <w:gridCol w:w="2100"/>
        <w:gridCol w:w="1525"/>
        <w:gridCol w:w="1508"/>
        <w:gridCol w:w="113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259"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60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项号</w:t>
            </w:r>
          </w:p>
        </w:tc>
        <w:tc>
          <w:tcPr>
            <w:tcW w:w="109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采购内容</w:t>
            </w:r>
          </w:p>
        </w:tc>
        <w:tc>
          <w:tcPr>
            <w:tcW w:w="7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数量与单位</w:t>
            </w:r>
          </w:p>
        </w:tc>
        <w:tc>
          <w:tcPr>
            <w:tcW w:w="6834"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color w:val="auto"/>
                <w:szCs w:val="21"/>
                <w:highlight w:val="none"/>
              </w:rPr>
              <w:t>技术要求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60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098" w:type="dxa"/>
            <w:gridSpan w:val="2"/>
            <w:tcBorders>
              <w:top w:val="single" w:color="auto" w:sz="4" w:space="0"/>
              <w:left w:val="single" w:color="auto" w:sz="4" w:space="0"/>
              <w:bottom w:val="single" w:color="auto" w:sz="4" w:space="0"/>
              <w:right w:val="single" w:color="auto" w:sz="4" w:space="0"/>
            </w:tcBorders>
            <w:vAlign w:val="center"/>
          </w:tcPr>
          <w:p>
            <w:pPr>
              <w:pStyle w:val="46"/>
              <w:spacing w:beforeAutospacing="0" w:afterAutospacing="0" w:line="360" w:lineRule="auto"/>
              <w:jc w:val="both"/>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数字化X射线摄影系统（移动DR）</w:t>
            </w:r>
          </w:p>
        </w:tc>
        <w:tc>
          <w:tcPr>
            <w:tcW w:w="723" w:type="dxa"/>
            <w:tcBorders>
              <w:top w:val="single" w:color="auto" w:sz="4" w:space="0"/>
              <w:left w:val="single" w:color="auto" w:sz="4" w:space="0"/>
              <w:bottom w:val="single" w:color="auto" w:sz="4" w:space="0"/>
              <w:right w:val="single" w:color="auto" w:sz="4" w:space="0"/>
            </w:tcBorders>
            <w:vAlign w:val="center"/>
          </w:tcPr>
          <w:p>
            <w:pPr>
              <w:pStyle w:val="46"/>
              <w:spacing w:beforeAutospacing="0" w:afterAutospacing="0"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2台</w:t>
            </w:r>
          </w:p>
        </w:tc>
        <w:tc>
          <w:tcPr>
            <w:tcW w:w="6834"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textAlignment w:val="baseline"/>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一、基本要求</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功能要求：该设备主要用于床旁X线摄影，可进行全胸、全腹、四肢、脊柱等各部位数字化X线摄影，要求定位方便快速、灵活准确。摄影资料可以即刻显示，并可以储存在大容量硬盘里，可以连接PACS网络或者直接打印图像。</w:t>
            </w:r>
          </w:p>
          <w:p>
            <w:pPr>
              <w:spacing w:line="360" w:lineRule="auto"/>
              <w:textAlignment w:val="baseline"/>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二、技术参数要求</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移动机架</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1.1机头组件绕立柱旋转角度：≥±310°。</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1.2球管焦点距地最小距离：≤680mm。</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1.3球管中心距立柱边沿伸缩行程：≥550mm。</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▲1.4球管中心距立柱最大距离：≥1030mm。</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1.5球管沿X-Z平面旋转角度：≥±180° </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1.6机架结构：可伸缩双节升降立柱。</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●1.7机身最大宽度：≤550mm。</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1.8立柱顶端距地最小距离：≤1295mm。</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1.9一键解锁：机头把手一键电磁解锁，实现X线管的升降、旋转及伸缩的全方位运动。</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1.10通过机头端按钮，可以控制整机前进、后退、旋转等运动。</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1.11充电（电源）线缆：自动回收。</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●1.12机身运动控制：电动助力。</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●1.13爬坡能力：≥12°。</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1.14安全防撞系统：具备。</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▲1.15驱动马达：2组。</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蓄电池系统</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▲2.1供电模式：内置锂离子聚合物蓄电池及220V墙电。</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2.2内置蓄电池续航能力：支持不少于1000次曝光或80km驱动行程。</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2.3蓄电池完全充满电时间：≤4小时。</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 X射线管组件</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●3.1管电压范围：≥40-150kV。</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▲3.2大小焦点尺寸：≤0.6/1.2mm。</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▲3.3阳极热容量：≥300kHU。</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 高压发生器</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4.1输入电源规格：220V。</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4.2最大输出功率：≥32kW。</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▲4.3标称输出功率：≥32kW。</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4.4逆变频率：≥250kHz。</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4.5摄影管电压范围：≥40-150kV。</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4.6摄影管电流范围：≥10-630mA。</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4.7曝光加载时间：≥1ms-10000ms。</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▲4.8电流时间积：≥0.1-320mAs。</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4.9自动APR联动功能：具备。</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4.10系统集成：曝光参数与图像采集系统集成。</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●4.11曝光延时15秒。</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4.12具备延时曝光方式。</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5.平板探测器</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5.1材质：非晶硅整板。</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5.2闪烁体材料：碘化铯。</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▲5.3探测器尺寸：≥14英寸×17英寸（35cm×43cm），防尘防水等级≥IP54；≥10英寸×12英寸（25cm×30cm），防尘防水等级≥IP54；便携式无线平板探测器各一块。</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5.4采集矩阵：≥2800x3408。</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5.5像素尺寸：≤125μm。</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5.6空间分辨率：≥4.0lp/mm。</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5.7A/D转换：≥16bit。</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5.8数据传输：无线。</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5.9供电模式：内置锂电池，无需借助任何工具更换电池，实时在线充电。</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5.10探测器支持在机身片仓内自动联机充电，无需收到拔插磁吸头。</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6.工作站</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6.1屏幕尺寸：≥19英寸。</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6.2类型：彩色液晶显示屏，支持多点触碰操作方式。</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6.3操作系统：Win10。</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6.4处理器（CPU）：≥i3。</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6.5内存：≥8G；硬盘：≥固态64G+机械500G。</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6.6图像采集功能：自动从医院HIS系统或者RIS系统获取患者信息或者建立本地病历；多体型选择、自动APR联动及自定义参数设置。</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6.7图像处理功能：自动窗宽窗位调整、ROI窗宽窗位调节、灰阶变换，单幅或者多幅图像并行显示；图像缩放功能：最适合图像，放大、缩小、局部放大、实际大小；图像翻转：左右翻转、上下翻转、90°翻转；图像滤波：降噪程度、骨骼层次、组织细节、对比度等；标注功能：文本标注、箭头等多种标注及删改；图像测量：直线测量、角度测量、矩形测量；图像调整：窗位增益、窗宽增益、灰度拉伸、负片反转、锐化、增强力度等；其它功能：图像移动、标注选择、图像裁剪等功能。</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6.8图像管理功能：DICOM功能及数据库管理：系统支持标准的DICOM3.0功能，可将数据传到其他的医学影像工作站；多种胶片打印功能：支持多种尺寸的胶片打印方式；多介质存储功能：U盘、移动硬盘等。</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6.9病例管理功能：可以存储、检索、查询病历，还可以对病例进行删除、清理、浏览；打印诊断报告功能：系统内置诊断报告模板和知识库可输出图文一体化报告。</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6.10远程联机维护功能：系统软件升级及排障功能。</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7.限束器</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7.1最大照射野尺寸：≥ 43*43（@SID65cm）。</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7.2类型：手动多页式，具有光野及中心指示功能。</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7.3亮度：焦片距100cm时≥100 lux。</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7.4自动关闭时间：30±5s。</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7.5 SID测量尺：具备。</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7.6限束器旋转角度：≥±90°</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8.球管端控制面板</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9.无线遥控器</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9.1信号类型：射频。</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9.2信号传输距离：≥10m，不受建筑物遮挡影响。</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9.3运动控制：可控制设备前进、后退及左右转向。</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10.高级临床功能</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10.1具备图像细节增强功能。</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▲10.2设备具备故障远程在线诊断，远程实时维护检修、数据云存储、远程医疗诊断功能。</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10.3设备具备X线智能控制DAP系统。</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 平板探测器专用电池不少于4块。</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▲12.专用X线防护用品2组套（包括铅衣、围裙、三角巾、方巾、围脖、帽子等≥0.5铅当量）。移动式铅屏风1套。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259" w:type="dxa"/>
            <w:gridSpan w:val="9"/>
            <w:tcBorders>
              <w:top w:val="single" w:color="auto" w:sz="4" w:space="0"/>
              <w:bottom w:val="single" w:color="auto" w:sz="4" w:space="0"/>
            </w:tcBorders>
            <w:vAlign w:val="center"/>
          </w:tcPr>
          <w:p>
            <w:pPr>
              <w:spacing w:line="360" w:lineRule="auto"/>
              <w:textAlignment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w:t>
            </w:r>
            <w:r>
              <w:rPr>
                <w:rFonts w:hint="eastAsia" w:asciiTheme="minorEastAsia" w:hAnsiTheme="minorEastAsia" w:eastAsiaTheme="minorEastAsia" w:cstheme="minorEastAsia"/>
                <w:b/>
                <w:color w:val="auto"/>
                <w:szCs w:val="21"/>
                <w:highlight w:val="none"/>
              </w:rPr>
              <w:t>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szCs w:val="21"/>
                <w:highlight w:val="none"/>
              </w:rPr>
              <w:t>质保期(包修期)</w:t>
            </w:r>
          </w:p>
        </w:tc>
        <w:tc>
          <w:tcPr>
            <w:tcW w:w="7557" w:type="dxa"/>
            <w:gridSpan w:val="6"/>
            <w:tcBorders>
              <w:top w:val="single" w:color="auto" w:sz="4" w:space="0"/>
              <w:left w:val="single" w:color="auto" w:sz="4" w:space="0"/>
              <w:bottom w:val="single" w:color="auto" w:sz="4" w:space="0"/>
            </w:tcBorders>
            <w:vAlign w:val="center"/>
          </w:tcPr>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1.按国家有关产品“三包”规定执行“三包”，除特别说明外，质保期原厂整机(包修期)(质保、包修范围包括主机、球管、探测器及附属设备，球管、探测器只换原装全新不修理) ≥5年。</w:t>
            </w:r>
            <w:r>
              <w:rPr>
                <w:rFonts w:hint="eastAsia" w:ascii="宋体" w:hAnsi="宋体" w:cs="宋体"/>
                <w:color w:val="auto"/>
                <w:sz w:val="21"/>
                <w:szCs w:val="21"/>
                <w:highlight w:val="none"/>
              </w:rPr>
              <w:t>全生命周期提供系统、工作站等软件升级服务，产生的费用包含在报价中。</w:t>
            </w:r>
            <w:r>
              <w:rPr>
                <w:rFonts w:hint="eastAsia" w:asciiTheme="minorEastAsia" w:hAnsiTheme="minorEastAsia" w:eastAsiaTheme="minorEastAsia" w:cstheme="minorEastAsia"/>
                <w:color w:val="auto"/>
                <w:sz w:val="21"/>
                <w:szCs w:val="21"/>
                <w:highlight w:val="none"/>
              </w:rPr>
              <w:t>自设备验收合格并能正常使用之日算起,厂家或国家有更长质量保证期限规定的从其规定。</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宋体" w:hAnsi="宋体" w:cs="宋体"/>
                <w:color w:val="auto"/>
                <w:sz w:val="21"/>
                <w:szCs w:val="21"/>
                <w:highlight w:val="none"/>
              </w:rPr>
              <w:t>质保期（包修期）内，设备整体年累计故障停机时间不得超过 18 天（即开机率不低于95%，按自然年365日计算）。</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宋体" w:hAnsi="宋体" w:cs="宋体"/>
                <w:color w:val="auto"/>
                <w:sz w:val="21"/>
                <w:szCs w:val="21"/>
                <w:highlight w:val="none"/>
              </w:rPr>
              <w:t>（1）若单一年度内故障停机时间超过18天，就超出部分，供应商应按“超出天数:补偿天数=1:2”的比例，延长整机质保期。</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宋体" w:hAnsi="宋体" w:cs="宋体"/>
                <w:color w:val="auto"/>
                <w:sz w:val="21"/>
                <w:szCs w:val="21"/>
                <w:highlight w:val="none"/>
              </w:rPr>
              <w:t>（2）若单一年度内故障停机时间累计达到或超过36天（即开机率≤90%），使用单位有权要求供应商在60日内更换同品牌型号或更高规格的全新设备，并承担由此产生的一切费用及给使用单位造成的直接经济损失。</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宋体" w:hAnsi="宋体" w:cs="宋体"/>
                <w:color w:val="auto"/>
                <w:sz w:val="21"/>
                <w:szCs w:val="21"/>
                <w:highlight w:val="none"/>
              </w:rPr>
              <w:t>3.质保期(包修期)结束后，供应商对合同货物提供终身保修服务，且承诺相关配件及人工费用低于平均市场价格。</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宋体" w:hAnsi="宋体" w:cs="宋体"/>
                <w:color w:val="auto"/>
                <w:sz w:val="21"/>
                <w:szCs w:val="21"/>
                <w:highlight w:val="none"/>
              </w:rPr>
              <w:t>4.质保期（包修期）内，设备因产品质量问题，经供应商两次维修仍不能达到本项目合同约定的质量标准，使用单位有权要求供应商在60日内更换同品牌型号或更高规格的全新设备，并承担由此产生的一切费用及给使用单位造成的直接经济损失。</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宋体" w:hAnsi="宋体" w:cs="宋体"/>
                <w:color w:val="auto"/>
                <w:sz w:val="21"/>
                <w:szCs w:val="21"/>
                <w:highlight w:val="none"/>
              </w:rPr>
              <w:t>5.质保期内提供远程诊断、故障预警功能，软件升级不少于1次（含设备功能优化、兼容性升级、数据接口更新等），且需明确每次升级的具体功能模块。</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宋体" w:hAnsi="宋体" w:cs="宋体"/>
                <w:color w:val="auto"/>
                <w:sz w:val="21"/>
                <w:szCs w:val="21"/>
                <w:highlight w:val="none"/>
              </w:rPr>
              <w:t>6.质保期内，供应商承担质保范围内所有设备的维修及保养、备件更换、软件升级、安全检查、备件储备、人工（含差旅）、质量保证及远程服务的费用，不得向使用单位及采购人收取额外费用。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szCs w:val="21"/>
                <w:highlight w:val="none"/>
              </w:rPr>
              <w:t>交付仪器生产日期</w:t>
            </w:r>
          </w:p>
        </w:tc>
        <w:tc>
          <w:tcPr>
            <w:tcW w:w="7557" w:type="dxa"/>
            <w:gridSpan w:val="6"/>
            <w:tcBorders>
              <w:top w:val="single" w:color="auto" w:sz="4" w:space="0"/>
              <w:left w:val="single" w:color="auto" w:sz="4" w:space="0"/>
              <w:bottom w:val="single" w:color="auto" w:sz="4" w:space="0"/>
            </w:tcBorders>
            <w:vAlign w:val="center"/>
          </w:tcPr>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宋体" w:hAnsi="宋体"/>
                <w:bCs/>
                <w:color w:val="auto"/>
                <w:highlight w:val="none"/>
              </w:rPr>
              <w:t>为保证产品质量和技术先进性，本次招标所供仪器设备必须是全新未使用产品，不得为库存积压、停产清库、促销处理或返修翻新产品。供应商应承诺交付的仪器设备，其生产日期不得早于投标截止日期前的6个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交货时间及地点</w:t>
            </w:r>
          </w:p>
        </w:tc>
        <w:tc>
          <w:tcPr>
            <w:tcW w:w="7557" w:type="dxa"/>
            <w:gridSpan w:val="6"/>
            <w:tcBorders>
              <w:top w:val="single" w:color="auto" w:sz="4" w:space="0"/>
              <w:left w:val="single" w:color="auto" w:sz="4" w:space="0"/>
              <w:bottom w:val="single" w:color="auto" w:sz="4" w:space="0"/>
            </w:tcBorders>
            <w:vAlign w:val="center"/>
          </w:tcPr>
          <w:p>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1.交货时间：自签订合同之日起30日历日内全部货物交货并安装调试完毕。</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宋体" w:hAnsi="宋体" w:cs="宋体"/>
                <w:color w:val="auto"/>
                <w:kern w:val="0"/>
                <w:szCs w:val="21"/>
                <w:highlight w:val="none"/>
              </w:rPr>
              <w:t>2.交货地点：使用单位的指定地点（包含分标所涉及全区县域医共体共2个使用单位，具体单位详见</w:t>
            </w:r>
            <w:r>
              <w:rPr>
                <w:rFonts w:hint="eastAsia" w:ascii="宋体" w:hAnsi="宋体" w:cs="宋体"/>
                <w:b/>
                <w:bCs/>
                <w:color w:val="auto"/>
                <w:szCs w:val="21"/>
                <w:highlight w:val="none"/>
              </w:rPr>
              <w:t>三、与实现项目目标相关的其他要求“（六）本项目所涉区内县域医共体使用单位”</w:t>
            </w:r>
            <w:r>
              <w:rPr>
                <w:rFonts w:hint="eastAsia" w:ascii="宋体" w:hAnsi="宋体" w:cs="宋体"/>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kern w:val="0"/>
                <w:szCs w:val="21"/>
                <w:highlight w:val="none"/>
              </w:rPr>
              <w:t>交货方式</w:t>
            </w:r>
          </w:p>
        </w:tc>
        <w:tc>
          <w:tcPr>
            <w:tcW w:w="7557"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现场交货。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color w:val="auto"/>
                <w:highlight w:val="none"/>
              </w:rPr>
              <w:t>▲</w:t>
            </w:r>
            <w:r>
              <w:rPr>
                <w:rFonts w:hint="eastAsia" w:asciiTheme="minorEastAsia" w:hAnsiTheme="minorEastAsia" w:eastAsiaTheme="minorEastAsia" w:cstheme="minorEastAsia"/>
                <w:b/>
                <w:color w:val="auto"/>
                <w:szCs w:val="21"/>
                <w:highlight w:val="none"/>
              </w:rPr>
              <w:t>服务标准、服务效率、售后服务要求</w:t>
            </w:r>
          </w:p>
        </w:tc>
        <w:tc>
          <w:tcPr>
            <w:tcW w:w="7557" w:type="dxa"/>
            <w:gridSpan w:val="6"/>
            <w:tcBorders>
              <w:top w:val="single" w:color="auto" w:sz="4" w:space="0"/>
              <w:left w:val="single" w:color="auto" w:sz="4" w:space="0"/>
              <w:bottom w:val="single" w:color="auto" w:sz="4" w:space="0"/>
            </w:tcBorders>
            <w:vAlign w:val="center"/>
          </w:tcPr>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1.送货上门，并负责安装调试。</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lang w:val="en-US" w:eastAsia="zh-CN"/>
              </w:rPr>
              <w:t>定期售后维保服务：质保期</w:t>
            </w:r>
            <w:r>
              <w:rPr>
                <w:rFonts w:hint="eastAsia" w:ascii="宋体" w:hAnsi="宋体" w:cs="宋体"/>
                <w:color w:val="auto"/>
                <w:sz w:val="21"/>
                <w:szCs w:val="21"/>
                <w:highlight w:val="none"/>
              </w:rPr>
              <w:t>（包修期）</w:t>
            </w:r>
            <w:r>
              <w:rPr>
                <w:rFonts w:hint="eastAsia" w:ascii="宋体" w:hAnsi="宋体" w:cs="宋体"/>
                <w:color w:val="auto"/>
                <w:szCs w:val="21"/>
                <w:highlight w:val="none"/>
                <w:lang w:val="en-US" w:eastAsia="zh-CN"/>
              </w:rPr>
              <w:t>内，</w:t>
            </w:r>
            <w:r>
              <w:rPr>
                <w:rFonts w:hint="eastAsia" w:ascii="宋体" w:hAnsi="宋体" w:cs="宋体"/>
                <w:b/>
                <w:bCs/>
                <w:color w:val="auto"/>
                <w:kern w:val="0"/>
                <w:szCs w:val="21"/>
                <w:highlight w:val="none"/>
              </w:rPr>
              <w:t>每年每季度</w:t>
            </w:r>
            <w:r>
              <w:rPr>
                <w:rFonts w:hint="eastAsia" w:ascii="宋体" w:hAnsi="宋体" w:cs="宋体"/>
                <w:color w:val="auto"/>
                <w:kern w:val="0"/>
                <w:szCs w:val="21"/>
                <w:highlight w:val="none"/>
              </w:rPr>
              <w:t>一次定期回访以及对设备维护。</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产品必须是全新、未使用过且无任何抵押、查封等产权瑕疵的产品。产品包装必须是未经使用的全新的合格产品，并按照原厂标准包装规格供货，不接受散装或拆包装件。所有货物都提供使用说明书和详细装箱清单及质量合格证。</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4.中标供应商提供7*24小时售后服务，质保期内仪器设备出现故障，在接到电话通知后，2小时内做出响应（远程解决或做出预备维护动作），48小时内到达维修现场。一般问题应在72小时内解决，以保证采购人的正常工作。重大问题或其它无法迅速解决的问题应在5个工作日内解决，供应商在接到采购人通知后拒不响应或解决故障的，采购人有权聘请第三方进行维修，由此产生的费用由供应商承担。 </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5.提供维护手册、维修手册、软件备份、故障代码表、备件清单。质保期外，中标供应商提供维修密码及</w:t>
            </w:r>
            <w:r>
              <w:rPr>
                <w:rFonts w:hint="eastAsia" w:ascii="宋体" w:hAnsi="宋体" w:cs="宋体"/>
                <w:color w:val="auto"/>
                <w:szCs w:val="21"/>
                <w:highlight w:val="none"/>
              </w:rPr>
              <w:t>设备交付验收时配置的所有软件</w:t>
            </w:r>
            <w:r>
              <w:rPr>
                <w:rFonts w:hint="eastAsia" w:asciiTheme="minorEastAsia" w:hAnsiTheme="minorEastAsia" w:eastAsiaTheme="minorEastAsia" w:cstheme="minorEastAsia"/>
                <w:color w:val="auto"/>
                <w:szCs w:val="21"/>
                <w:highlight w:val="none"/>
              </w:rPr>
              <w:t>在该项目的永久使用权并承担相应费用。</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6.相关人员培训：标的包含医护人员及工程人员的培训计划费用，设备装机验收后，现场提供对采购人进行≥1次的基本培训，使采购人使用人员及工程人员熟练掌握全部功能及基本维修。</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投标人承诺的质保期内的所有售后服务，包括原厂商服务和非原厂商服务，其中硬件的售后服务包括但不限于硬件维护维修、配件更换、硬件升级；应用软件的售后服务包括但不限于应用软件维护升级以及非结构性修改；投标人承诺的质保期内售后服务所产生的费用均由中标供应商承担。</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8.中标供应商提供的设备如因采购人业务需要而接入采购人信息网络(含信息网、无线网、设备网、物联网、HIS、PACS 等系统),中标供应商需积极配合并承担相关费用。</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9.拟投入的人员：专业技术工程师及售后服务人员：负责向使用单位提供安装、调试、维护、故障排除、业务咨询、培训、售后等服务。</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交钥匙工程：供应商负责全部产品的安装调试后直接交付运行。在质保期内，供应商保证采购人能够合法应用该器械/服务。在此过程中，采购人应当提供一切必要支持。若可能出现的后续证件、手续，供应商必须提供办理的流程及方法。</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11.投标人承诺响应的技术参数及功能要能够实际应用于临床。不能以需要硬件升级、软件升级、系统升级、另外收费等形式限制使用单位使用。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付款方式</w:t>
            </w:r>
          </w:p>
        </w:tc>
        <w:tc>
          <w:tcPr>
            <w:tcW w:w="7557" w:type="dxa"/>
            <w:gridSpan w:val="6"/>
            <w:tcBorders>
              <w:top w:val="single" w:color="auto" w:sz="4" w:space="0"/>
              <w:left w:val="single" w:color="auto" w:sz="4" w:space="0"/>
              <w:bottom w:val="single" w:color="auto" w:sz="4" w:space="0"/>
            </w:tcBorders>
            <w:vAlign w:val="center"/>
          </w:tcPr>
          <w:p>
            <w:pPr>
              <w:pStyle w:val="2"/>
              <w:ind w:firstLine="420" w:firstLineChars="200"/>
              <w:rPr>
                <w:rFonts w:ascii="宋体" w:hAnsi="宋体"/>
                <w:color w:val="auto"/>
                <w:kern w:val="2"/>
                <w:sz w:val="21"/>
                <w:highlight w:val="none"/>
              </w:rPr>
            </w:pPr>
            <w:r>
              <w:rPr>
                <w:rFonts w:hint="eastAsia" w:ascii="宋体" w:hAnsi="宋体"/>
                <w:color w:val="auto"/>
                <w:kern w:val="2"/>
                <w:sz w:val="21"/>
                <w:highlight w:val="none"/>
              </w:rPr>
              <w:t xml:space="preserve">本项目合同金额分三期支付：第一期（30%）、第二期（50%）：由甲方 1（广西壮族自治区卫生健康委员会）集中支付；​第三期（20%）：由甲方2各使用单位（详见附件）按对应设备金额单独支付。 </w:t>
            </w:r>
          </w:p>
          <w:p>
            <w:pPr>
              <w:pStyle w:val="2"/>
              <w:ind w:firstLine="420" w:firstLineChars="200"/>
              <w:rPr>
                <w:rFonts w:ascii="宋体" w:hAnsi="宋体"/>
                <w:color w:val="auto"/>
                <w:kern w:val="2"/>
                <w:sz w:val="21"/>
                <w:highlight w:val="none"/>
              </w:rPr>
            </w:pPr>
            <w:r>
              <w:rPr>
                <w:rFonts w:hint="eastAsia" w:ascii="宋体" w:hAnsi="宋体"/>
                <w:color w:val="auto"/>
                <w:kern w:val="2"/>
                <w:sz w:val="21"/>
                <w:highlight w:val="none"/>
              </w:rPr>
              <w:t>1.第一期付款（合同金额 30%）</w:t>
            </w:r>
          </w:p>
          <w:p>
            <w:pPr>
              <w:pStyle w:val="2"/>
              <w:ind w:firstLine="420" w:firstLineChars="200"/>
              <w:rPr>
                <w:rFonts w:ascii="宋体" w:hAnsi="宋体"/>
                <w:color w:val="auto"/>
                <w:kern w:val="2"/>
                <w:sz w:val="21"/>
                <w:highlight w:val="none"/>
              </w:rPr>
            </w:pPr>
            <w:r>
              <w:rPr>
                <w:rFonts w:hint="eastAsia" w:ascii="宋体" w:hAnsi="宋体"/>
                <w:color w:val="auto"/>
                <w:kern w:val="2"/>
                <w:sz w:val="21"/>
                <w:highlight w:val="none"/>
              </w:rPr>
              <w:t>触发条件：乙方提交等额合法发票（抬头：广西壮族自治区卫生健康委员会）。</w:t>
            </w:r>
          </w:p>
          <w:p>
            <w:pPr>
              <w:pStyle w:val="2"/>
              <w:ind w:firstLine="420" w:firstLineChars="200"/>
              <w:rPr>
                <w:rFonts w:ascii="宋体" w:hAnsi="宋体"/>
                <w:color w:val="auto"/>
                <w:kern w:val="2"/>
                <w:sz w:val="21"/>
                <w:highlight w:val="none"/>
              </w:rPr>
            </w:pPr>
            <w:r>
              <w:rPr>
                <w:rFonts w:hint="eastAsia" w:ascii="宋体" w:hAnsi="宋体"/>
                <w:color w:val="auto"/>
                <w:kern w:val="2"/>
                <w:sz w:val="21"/>
                <w:highlight w:val="none"/>
              </w:rPr>
              <w:t>付款期限： 甲方 1在满足全部条件后10 个工作日内支付。</w:t>
            </w:r>
          </w:p>
          <w:p>
            <w:pPr>
              <w:pStyle w:val="2"/>
              <w:ind w:firstLine="420" w:firstLineChars="200"/>
              <w:rPr>
                <w:rFonts w:ascii="宋体" w:hAnsi="宋体"/>
                <w:color w:val="auto"/>
                <w:kern w:val="2"/>
                <w:sz w:val="21"/>
                <w:highlight w:val="none"/>
              </w:rPr>
            </w:pPr>
            <w:r>
              <w:rPr>
                <w:rFonts w:hint="eastAsia" w:ascii="宋体" w:hAnsi="宋体"/>
                <w:color w:val="auto"/>
                <w:kern w:val="2"/>
                <w:sz w:val="21"/>
                <w:highlight w:val="none"/>
              </w:rPr>
              <w:t>2.第二期付款（合同金额 50%）</w:t>
            </w:r>
          </w:p>
          <w:p>
            <w:pPr>
              <w:pStyle w:val="2"/>
              <w:ind w:firstLine="420" w:firstLineChars="200"/>
              <w:rPr>
                <w:rFonts w:ascii="宋体" w:hAnsi="宋体"/>
                <w:color w:val="auto"/>
                <w:kern w:val="2"/>
                <w:sz w:val="21"/>
                <w:highlight w:val="none"/>
              </w:rPr>
            </w:pPr>
            <w:r>
              <w:rPr>
                <w:rFonts w:hint="eastAsia" w:ascii="宋体" w:hAnsi="宋体"/>
                <w:color w:val="auto"/>
                <w:kern w:val="2"/>
                <w:sz w:val="21"/>
                <w:highlight w:val="none"/>
              </w:rPr>
              <w:t>触发条件：①乙方将全部设备运抵甲方 2 ，并经到货验收合格（甲方 2 出具《设备到货确认单》并提交甲方 1）；②乙方提交等额合法发票（抬头同第一期）。</w:t>
            </w:r>
          </w:p>
          <w:p>
            <w:pPr>
              <w:pStyle w:val="2"/>
              <w:ind w:firstLine="420" w:firstLineChars="200"/>
              <w:rPr>
                <w:rFonts w:ascii="宋体" w:hAnsi="宋体"/>
                <w:color w:val="auto"/>
                <w:kern w:val="2"/>
                <w:sz w:val="21"/>
                <w:highlight w:val="none"/>
              </w:rPr>
            </w:pPr>
            <w:r>
              <w:rPr>
                <w:rFonts w:hint="eastAsia" w:ascii="宋体" w:hAnsi="宋体"/>
                <w:color w:val="auto"/>
                <w:kern w:val="2"/>
                <w:sz w:val="21"/>
                <w:highlight w:val="none"/>
              </w:rPr>
              <w:t>付款期限：甲方 1 在收到验收确认单及发票后 10 个工作日内支付。</w:t>
            </w:r>
          </w:p>
          <w:p>
            <w:pPr>
              <w:pStyle w:val="2"/>
              <w:ind w:firstLine="420" w:firstLineChars="200"/>
              <w:rPr>
                <w:rFonts w:ascii="宋体" w:hAnsi="宋体"/>
                <w:color w:val="auto"/>
                <w:kern w:val="2"/>
                <w:sz w:val="21"/>
                <w:highlight w:val="none"/>
              </w:rPr>
            </w:pPr>
            <w:r>
              <w:rPr>
                <w:rFonts w:hint="eastAsia" w:ascii="宋体" w:hAnsi="宋体"/>
                <w:color w:val="auto"/>
                <w:kern w:val="2"/>
                <w:sz w:val="21"/>
                <w:highlight w:val="none"/>
              </w:rPr>
              <w:t>3.第三期付款（合同金额 20%）</w:t>
            </w:r>
          </w:p>
          <w:p>
            <w:pPr>
              <w:pStyle w:val="2"/>
              <w:ind w:firstLine="420" w:firstLineChars="200"/>
              <w:rPr>
                <w:rFonts w:ascii="宋体" w:hAnsi="宋体"/>
                <w:color w:val="auto"/>
                <w:kern w:val="2"/>
                <w:sz w:val="21"/>
                <w:highlight w:val="none"/>
              </w:rPr>
            </w:pPr>
            <w:r>
              <w:rPr>
                <w:rFonts w:hint="eastAsia" w:ascii="宋体" w:hAnsi="宋体"/>
                <w:color w:val="auto"/>
                <w:kern w:val="2"/>
                <w:sz w:val="21"/>
                <w:highlight w:val="none"/>
              </w:rPr>
              <w:t>触发条件：①由验收小组出具通过最终验收的《设备最终验收单》；②乙方按各甲方 2 要求，提交对应抬头的等额合法发票。</w:t>
            </w:r>
          </w:p>
          <w:p>
            <w:pPr>
              <w:pStyle w:val="2"/>
              <w:ind w:firstLine="420" w:firstLineChars="200"/>
              <w:rPr>
                <w:rFonts w:ascii="宋体" w:hAnsi="宋体"/>
                <w:color w:val="auto"/>
                <w:kern w:val="2"/>
                <w:sz w:val="21"/>
                <w:highlight w:val="none"/>
              </w:rPr>
            </w:pPr>
            <w:r>
              <w:rPr>
                <w:rFonts w:hint="eastAsia" w:ascii="宋体" w:hAnsi="宋体"/>
                <w:color w:val="auto"/>
                <w:kern w:val="2"/>
                <w:sz w:val="21"/>
                <w:highlight w:val="none"/>
              </w:rPr>
              <w:t>付款期限：甲方 2 收到《设备最终验收单》及发票后 10 个工作日内支付；甲方 1 监督付款进度。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kern w:val="0"/>
                <w:szCs w:val="21"/>
                <w:highlight w:val="none"/>
              </w:rPr>
            </w:pPr>
            <w:r>
              <w:rPr>
                <w:rFonts w:hint="eastAsia" w:ascii="宋体" w:hAnsi="宋体" w:cs="宋体"/>
                <w:color w:val="auto"/>
                <w:szCs w:val="21"/>
                <w:highlight w:val="none"/>
              </w:rPr>
              <w:t>▲</w:t>
            </w:r>
            <w:r>
              <w:rPr>
                <w:rFonts w:hint="eastAsia" w:asciiTheme="minorEastAsia" w:hAnsiTheme="minorEastAsia" w:eastAsiaTheme="minorEastAsia" w:cstheme="minorEastAsia"/>
                <w:b/>
                <w:color w:val="auto"/>
                <w:kern w:val="0"/>
                <w:szCs w:val="21"/>
                <w:highlight w:val="none"/>
              </w:rPr>
              <w:t>履约保证金</w:t>
            </w:r>
          </w:p>
        </w:tc>
        <w:tc>
          <w:tcPr>
            <w:tcW w:w="7557" w:type="dxa"/>
            <w:gridSpan w:val="6"/>
            <w:tcBorders>
              <w:top w:val="single" w:color="auto" w:sz="4" w:space="0"/>
              <w:left w:val="single" w:color="auto" w:sz="4" w:space="0"/>
              <w:bottom w:val="single" w:color="auto" w:sz="4" w:space="0"/>
            </w:tcBorders>
            <w:vAlign w:val="center"/>
          </w:tcPr>
          <w:p>
            <w:pPr>
              <w:numPr>
                <w:ilvl w:val="255"/>
                <w:numId w:val="0"/>
              </w:numPr>
              <w:snapToGrid w:val="0"/>
              <w:spacing w:line="360" w:lineRule="exact"/>
              <w:ind w:firstLine="420" w:firstLineChars="200"/>
              <w:jc w:val="left"/>
              <w:rPr>
                <w:rFonts w:ascii="宋体" w:hAnsi="宋体" w:cs="Calibri"/>
                <w:szCs w:val="21"/>
                <w:highlight w:val="none"/>
              </w:rPr>
            </w:pPr>
            <w:r>
              <w:rPr>
                <w:rFonts w:ascii="宋体" w:hAnsi="宋体" w:cs="Calibri"/>
                <w:szCs w:val="21"/>
                <w:highlight w:val="none"/>
              </w:rPr>
              <w:t>1.履约保证金金额：按中标金额的5%（如中标供应商为中小微企业，按中标金额的2%），如投标人以金融机构出具的无条件见索即付的独立保函形式提交的履约保证金，采购人不得拒收。</w:t>
            </w:r>
          </w:p>
          <w:p>
            <w:pPr>
              <w:snapToGrid w:val="0"/>
              <w:spacing w:line="360" w:lineRule="exact"/>
              <w:ind w:firstLine="420" w:firstLineChars="200"/>
              <w:rPr>
                <w:rFonts w:ascii="宋体" w:hAnsi="宋体" w:cs="Calibri"/>
                <w:szCs w:val="21"/>
                <w:highlight w:val="none"/>
              </w:rPr>
            </w:pPr>
            <w:r>
              <w:rPr>
                <w:rFonts w:ascii="宋体" w:hAnsi="宋体" w:cs="Calibri"/>
                <w:szCs w:val="21"/>
                <w:highlight w:val="none"/>
              </w:rPr>
              <w:t>2.</w:t>
            </w:r>
            <w:r>
              <w:rPr>
                <w:rFonts w:hint="eastAsia" w:ascii="宋体" w:hAnsi="宋体" w:cs="Calibri"/>
                <w:szCs w:val="21"/>
                <w:highlight w:val="none"/>
              </w:rPr>
              <w:t>在签订合同之前，</w:t>
            </w:r>
            <w:r>
              <w:rPr>
                <w:rFonts w:ascii="宋体" w:hAnsi="宋体" w:cs="Calibri"/>
                <w:szCs w:val="21"/>
                <w:highlight w:val="none"/>
              </w:rPr>
              <w:t>中标供应商</w:t>
            </w:r>
            <w:r>
              <w:rPr>
                <w:rFonts w:hint="eastAsia" w:ascii="宋体" w:hAnsi="宋体" w:cs="Calibri"/>
                <w:szCs w:val="21"/>
                <w:highlight w:val="none"/>
              </w:rPr>
              <w:t>应按要求以</w:t>
            </w:r>
            <w:r>
              <w:rPr>
                <w:rFonts w:hint="eastAsia" w:ascii="宋体" w:hAnsi="宋体" w:cs="Calibri"/>
                <w:szCs w:val="21"/>
                <w:highlight w:val="none"/>
                <w:lang w:val="en-US" w:eastAsia="zh-CN"/>
              </w:rPr>
              <w:t>提供的两种方式中任选一种</w:t>
            </w:r>
            <w:r>
              <w:rPr>
                <w:rFonts w:hint="eastAsia" w:ascii="宋体" w:hAnsi="宋体" w:cs="Calibri"/>
                <w:szCs w:val="21"/>
                <w:highlight w:val="none"/>
              </w:rPr>
              <w:t>履约保证金提交方式足额支付履约保证金或提交</w:t>
            </w:r>
            <w:r>
              <w:rPr>
                <w:rFonts w:hint="eastAsia" w:ascii="宋体" w:hAnsi="宋体"/>
                <w:szCs w:val="21"/>
                <w:highlight w:val="none"/>
              </w:rPr>
              <w:t>金融机构出具的无条件见索即付的独立保函（含电子保函）</w:t>
            </w:r>
            <w:r>
              <w:rPr>
                <w:rFonts w:hint="eastAsia" w:ascii="宋体" w:hAnsi="宋体" w:cs="Calibri"/>
                <w:szCs w:val="21"/>
                <w:highlight w:val="none"/>
              </w:rPr>
              <w:t>，否则不予签订本项目合同。</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3.履约保证金提交方式：</w:t>
            </w:r>
          </w:p>
          <w:p>
            <w:pPr>
              <w:snapToGrid w:val="0"/>
              <w:spacing w:line="360" w:lineRule="exact"/>
              <w:ind w:firstLine="420" w:firstLineChars="200"/>
              <w:rPr>
                <w:rFonts w:ascii="宋体" w:hAnsi="宋体" w:cs="宋体"/>
                <w:szCs w:val="21"/>
                <w:highlight w:val="none"/>
              </w:rPr>
            </w:pPr>
            <w:r>
              <w:rPr>
                <w:rFonts w:hint="eastAsia" w:ascii="宋体" w:hAnsi="宋体" w:cs="Calibri"/>
                <w:szCs w:val="21"/>
                <w:highlight w:val="none"/>
                <w:lang w:eastAsia="zh-CN"/>
              </w:rPr>
              <w:t>（</w:t>
            </w:r>
            <w:r>
              <w:rPr>
                <w:rFonts w:hint="eastAsia" w:ascii="宋体" w:hAnsi="宋体" w:cs="Calibri"/>
                <w:szCs w:val="21"/>
                <w:highlight w:val="none"/>
                <w:lang w:val="en-US" w:eastAsia="zh-CN"/>
              </w:rPr>
              <w:t>1</w:t>
            </w:r>
            <w:r>
              <w:rPr>
                <w:rFonts w:hint="eastAsia" w:ascii="宋体" w:hAnsi="宋体" w:cs="Calibri"/>
                <w:szCs w:val="21"/>
                <w:highlight w:val="none"/>
                <w:lang w:eastAsia="zh-CN"/>
              </w:rPr>
              <w:t>）</w:t>
            </w:r>
            <w:r>
              <w:rPr>
                <w:rFonts w:ascii="宋体" w:hAnsi="宋体" w:cs="Calibri"/>
                <w:szCs w:val="21"/>
                <w:highlight w:val="none"/>
              </w:rPr>
              <w:t>中标供应商</w:t>
            </w:r>
            <w:r>
              <w:rPr>
                <w:rFonts w:hint="eastAsia" w:ascii="宋体" w:hAnsi="宋体" w:cs="宋体"/>
                <w:szCs w:val="21"/>
                <w:highlight w:val="none"/>
              </w:rPr>
              <w:t>可以以下两种方式缴纳履约保证金：</w:t>
            </w:r>
          </w:p>
          <w:p>
            <w:pPr>
              <w:snapToGrid w:val="0"/>
              <w:spacing w:line="360" w:lineRule="exact"/>
              <w:ind w:firstLine="420" w:firstLineChars="200"/>
              <w:rPr>
                <w:rFonts w:ascii="宋体" w:hAnsi="宋体" w:cs="宋体"/>
                <w:szCs w:val="21"/>
                <w:highlight w:val="none"/>
              </w:rPr>
            </w:pPr>
            <w:r>
              <w:rPr>
                <w:rFonts w:hint="eastAsia" w:ascii="宋体" w:hAnsi="宋体" w:cs="宋体"/>
                <w:szCs w:val="21"/>
                <w:highlight w:val="none"/>
              </w:rPr>
              <w:t>方式一：支票、汇票、本票、银行转账方式支付。</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履约保证金缴纳的账号信息：</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 xml:space="preserve">户名：广西壮族自治区卫生健康委员会 </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基本户银行账号：</w:t>
            </w:r>
            <w:r>
              <w:rPr>
                <w:rFonts w:ascii="宋体" w:hAnsi="宋体" w:cs="Calibri"/>
                <w:szCs w:val="21"/>
                <w:highlight w:val="none"/>
              </w:rPr>
              <w:t>2102108109264001189</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基本户开户行：中国工商银行股份有限公司南宁市桃源支行</w:t>
            </w:r>
          </w:p>
          <w:p>
            <w:pPr>
              <w:pStyle w:val="59"/>
              <w:rPr>
                <w:color w:val="auto"/>
                <w:highlight w:val="none"/>
              </w:rPr>
            </w:pPr>
          </w:p>
          <w:p>
            <w:pPr>
              <w:snapToGrid w:val="0"/>
              <w:spacing w:line="360" w:lineRule="exact"/>
              <w:ind w:firstLine="420" w:firstLineChars="200"/>
              <w:rPr>
                <w:rFonts w:ascii="宋体" w:hAnsi="宋体" w:cs="宋体"/>
                <w:szCs w:val="21"/>
                <w:highlight w:val="none"/>
              </w:rPr>
            </w:pPr>
            <w:r>
              <w:rPr>
                <w:rFonts w:hint="eastAsia" w:ascii="宋体" w:hAnsi="宋体" w:cs="宋体"/>
                <w:szCs w:val="21"/>
                <w:highlight w:val="none"/>
              </w:rPr>
              <w:t>方式二：</w:t>
            </w:r>
            <w:r>
              <w:rPr>
                <w:rFonts w:hint="eastAsia" w:ascii="宋体" w:hAnsi="宋体"/>
                <w:szCs w:val="21"/>
                <w:highlight w:val="none"/>
              </w:rPr>
              <w:t>金融机构出具的无条件见索即付的独立保函（含电子保函）。</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受益人：广西壮族自治区卫生健康委员会。</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递交要求：保函原件（或带有CA验签的电子保函打印件）须交至采购人指定联系人处。</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特别约定：保函须注明“不可撤销、无条件见索即付”；未经采购人书面同意，不得单方面撤销或修改。</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（2）履约</w:t>
            </w:r>
            <w:r>
              <w:rPr>
                <w:rFonts w:hint="eastAsia" w:ascii="宋体" w:hAnsi="宋体" w:cs="Calibri"/>
                <w:szCs w:val="21"/>
                <w:highlight w:val="none"/>
              </w:rPr>
              <w:t>保证</w:t>
            </w:r>
            <w:r>
              <w:rPr>
                <w:rFonts w:hint="eastAsia" w:ascii="宋体" w:hAnsi="宋体" w:cs="宋体"/>
                <w:szCs w:val="21"/>
                <w:highlight w:val="none"/>
              </w:rPr>
              <w:t>期限：</w:t>
            </w:r>
            <w:r>
              <w:rPr>
                <w:rFonts w:hint="eastAsia" w:ascii="宋体" w:hAnsi="宋体"/>
                <w:szCs w:val="21"/>
                <w:highlight w:val="none"/>
              </w:rPr>
              <w:t>自合同生效之日起至供应商按招标文件售后服务要求履行完义务为止。</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（3）有下列情形之一的，视为履约保证金</w:t>
            </w:r>
            <w:r>
              <w:rPr>
                <w:rFonts w:hint="eastAsia" w:ascii="宋体" w:hAnsi="宋体" w:cs="宋体"/>
                <w:szCs w:val="21"/>
                <w:highlight w:val="none"/>
                <w:lang w:val="en-US" w:eastAsia="zh-CN"/>
              </w:rPr>
              <w:t>缴纳或</w:t>
            </w:r>
            <w:r>
              <w:rPr>
                <w:rFonts w:hint="eastAsia" w:ascii="宋体" w:hAnsi="宋体" w:cs="宋体"/>
                <w:szCs w:val="21"/>
                <w:highlight w:val="none"/>
              </w:rPr>
              <w:t xml:space="preserve">提交无效： </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①未按规定方式缴纳</w:t>
            </w:r>
            <w:r>
              <w:rPr>
                <w:rFonts w:hint="eastAsia" w:ascii="宋体" w:hAnsi="宋体" w:cs="宋体"/>
                <w:szCs w:val="21"/>
                <w:highlight w:val="none"/>
                <w:lang w:val="en-US" w:eastAsia="zh-CN"/>
              </w:rPr>
              <w:t>或提交</w:t>
            </w:r>
            <w:r>
              <w:rPr>
                <w:rFonts w:hint="eastAsia" w:ascii="宋体" w:hAnsi="宋体" w:cs="宋体"/>
                <w:szCs w:val="21"/>
                <w:highlight w:val="none"/>
              </w:rPr>
              <w:t>，或未足额缴纳</w:t>
            </w:r>
            <w:r>
              <w:rPr>
                <w:rFonts w:hint="eastAsia" w:ascii="宋体" w:hAnsi="宋体" w:cs="宋体"/>
                <w:szCs w:val="21"/>
                <w:highlight w:val="none"/>
                <w:lang w:val="en-US" w:eastAsia="zh-CN"/>
              </w:rPr>
              <w:t>或提交</w:t>
            </w:r>
            <w:r>
              <w:rPr>
                <w:rFonts w:hint="eastAsia" w:ascii="宋体" w:hAnsi="宋体" w:cs="宋体"/>
                <w:szCs w:val="21"/>
                <w:highlight w:val="none"/>
              </w:rPr>
              <w:t>（含保函额度不足）；</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②转账凭证模糊、保函存在涂改、伪造、印章不清或背书瑕疵；</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③</w:t>
            </w:r>
            <w:r>
              <w:rPr>
                <w:rFonts w:hint="eastAsia" w:ascii="宋体" w:hAnsi="宋体"/>
                <w:highlight w:val="none"/>
              </w:rPr>
              <w:t>保函担保期限短于售后维保服务期限</w:t>
            </w:r>
            <w:r>
              <w:rPr>
                <w:rFonts w:hint="eastAsia" w:ascii="宋体" w:hAnsi="宋体" w:cs="宋体"/>
                <w:szCs w:val="21"/>
                <w:highlight w:val="none"/>
              </w:rPr>
              <w:t>；</w:t>
            </w:r>
          </w:p>
          <w:p>
            <w:pPr>
              <w:spacing w:line="360" w:lineRule="exact"/>
              <w:ind w:firstLine="420" w:firstLineChars="200"/>
              <w:rPr>
                <w:rFonts w:ascii="宋体" w:hAnsi="宋体" w:cs="Calibri"/>
                <w:szCs w:val="21"/>
                <w:highlight w:val="none"/>
              </w:rPr>
            </w:pPr>
            <w:r>
              <w:rPr>
                <w:rFonts w:hint="eastAsia" w:ascii="宋体" w:hAnsi="宋体" w:cs="宋体"/>
                <w:szCs w:val="21"/>
                <w:highlight w:val="none"/>
              </w:rPr>
              <w:t>④保函内容含有“需经法院判决后才赔付”等限制“见索即付”效力条款的。</w:t>
            </w:r>
          </w:p>
          <w:p>
            <w:pPr>
              <w:spacing w:line="360" w:lineRule="exact"/>
              <w:ind w:firstLine="420" w:firstLineChars="200"/>
              <w:rPr>
                <w:rFonts w:ascii="宋体" w:hAnsi="宋体" w:cs="Calibri"/>
                <w:szCs w:val="21"/>
                <w:highlight w:val="none"/>
              </w:rPr>
            </w:pPr>
            <w:r>
              <w:rPr>
                <w:rFonts w:hint="eastAsia" w:ascii="宋体" w:hAnsi="宋体" w:cs="Calibri"/>
                <w:szCs w:val="21"/>
                <w:highlight w:val="none"/>
                <w:lang w:val="en-US" w:eastAsia="zh-CN"/>
              </w:rPr>
              <w:t>4</w:t>
            </w:r>
            <w:r>
              <w:rPr>
                <w:rFonts w:hint="eastAsia" w:ascii="宋体" w:hAnsi="宋体" w:cs="Calibri"/>
                <w:szCs w:val="21"/>
                <w:highlight w:val="none"/>
              </w:rPr>
              <w:t>.履约保证金退付方式、时间及条件：</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（1）</w:t>
            </w:r>
            <w:r>
              <w:rPr>
                <w:rFonts w:hint="eastAsia" w:ascii="宋体" w:hAnsi="宋体" w:cs="Calibri"/>
                <w:szCs w:val="21"/>
                <w:highlight w:val="none"/>
              </w:rPr>
              <w:t>以支</w:t>
            </w:r>
            <w:r>
              <w:rPr>
                <w:rFonts w:hint="eastAsia" w:ascii="宋体" w:hAnsi="宋体" w:cs="宋体"/>
                <w:szCs w:val="21"/>
                <w:highlight w:val="none"/>
              </w:rPr>
              <w:t>票、汇票、本票、银行转账缴纳履约保证金的，</w:t>
            </w:r>
            <w:r>
              <w:rPr>
                <w:rFonts w:hint="eastAsia" w:ascii="宋体" w:hAnsi="宋体" w:cs="Calibri"/>
                <w:szCs w:val="21"/>
                <w:highlight w:val="none"/>
              </w:rPr>
              <w:t>自项目验收合格后，待供应商履行完售后维保服务义务且无违约或在违约索赔已结清的情况下，由供应商提出书面申请后，在5个工作日内采购人无息退还。</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（2）对于以</w:t>
            </w:r>
            <w:r>
              <w:rPr>
                <w:rFonts w:hint="eastAsia" w:ascii="宋体" w:hAnsi="宋体"/>
                <w:szCs w:val="21"/>
                <w:highlight w:val="none"/>
              </w:rPr>
              <w:t>金融机构出具的保函（含电子保函）</w:t>
            </w:r>
            <w:r>
              <w:rPr>
                <w:rFonts w:hint="eastAsia" w:ascii="宋体" w:hAnsi="宋体" w:cs="Calibri"/>
                <w:szCs w:val="21"/>
                <w:highlight w:val="none"/>
              </w:rPr>
              <w:t>方式</w:t>
            </w:r>
            <w:r>
              <w:rPr>
                <w:rFonts w:hint="eastAsia" w:ascii="宋体" w:hAnsi="宋体" w:cs="Calibri"/>
                <w:szCs w:val="21"/>
                <w:highlight w:val="none"/>
                <w:lang w:val="en-US" w:eastAsia="zh-CN"/>
              </w:rPr>
              <w:t>提交</w:t>
            </w:r>
            <w:r>
              <w:rPr>
                <w:rFonts w:hint="eastAsia" w:ascii="宋体" w:hAnsi="宋体" w:cs="Calibri"/>
                <w:szCs w:val="21"/>
                <w:highlight w:val="none"/>
              </w:rPr>
              <w:t>的履约保证金的，待供应商履行完售后维保服务义务且无违约或在违约索赔已结清的情况下，保函有效期届满后自动失效，采购人退还原件或系统确认失效。</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lang w:val="en-US" w:eastAsia="zh-CN"/>
              </w:rPr>
              <w:t>5</w:t>
            </w:r>
            <w:r>
              <w:rPr>
                <w:rFonts w:hint="eastAsia" w:ascii="宋体" w:hAnsi="宋体" w:cs="Calibri"/>
                <w:szCs w:val="21"/>
                <w:highlight w:val="none"/>
              </w:rPr>
              <w:t>.在履行合同过程中，未能按照合同约定履行合同义务的（不可抗力除外），若因此导致采购人或使用单位合同权益受损的，采购人有权扣除履约保证金。采购人有权依据项目合同及履约保证金凭证（无论转账或保函），</w:t>
            </w:r>
            <w:r>
              <w:rPr>
                <w:rFonts w:ascii="宋体" w:hAnsi="宋体"/>
                <w:szCs w:val="21"/>
                <w:highlight w:val="none"/>
              </w:rPr>
              <w:t>向供应商或</w:t>
            </w:r>
            <w:r>
              <w:rPr>
                <w:rFonts w:hint="eastAsia" w:ascii="宋体" w:hAnsi="宋体"/>
                <w:szCs w:val="21"/>
                <w:highlight w:val="none"/>
              </w:rPr>
              <w:t>金融机构</w:t>
            </w:r>
            <w:r>
              <w:rPr>
                <w:rFonts w:ascii="宋体" w:hAnsi="宋体"/>
                <w:szCs w:val="21"/>
                <w:highlight w:val="none"/>
              </w:rPr>
              <w:t>主张权利</w:t>
            </w:r>
            <w:r>
              <w:rPr>
                <w:rFonts w:hint="eastAsia" w:ascii="宋体" w:hAnsi="宋体" w:cs="Calibri"/>
                <w:szCs w:val="21"/>
                <w:highlight w:val="none"/>
              </w:rPr>
              <w:t>：</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①</w:t>
            </w:r>
            <w:r>
              <w:rPr>
                <w:rFonts w:hint="eastAsia" w:ascii="宋体" w:hAnsi="宋体" w:cs="Calibri"/>
                <w:szCs w:val="21"/>
                <w:highlight w:val="none"/>
              </w:rPr>
              <w:t>对于以支票、汇票、本票、银行转账缴纳履约保证金的供应商：</w:t>
            </w:r>
            <w:r>
              <w:rPr>
                <w:rFonts w:hint="eastAsia"/>
                <w:highlight w:val="none"/>
              </w:rPr>
              <w:t>如未按约定履行合同义务导致使用单位合同权益受损</w:t>
            </w:r>
            <w:r>
              <w:rPr>
                <w:rFonts w:hint="eastAsia" w:ascii="宋体" w:hAnsi="宋体" w:cs="Calibri"/>
                <w:szCs w:val="21"/>
                <w:highlight w:val="none"/>
              </w:rPr>
              <w:t>，采购人有权直接从已缴纳的保证金中扣除赔偿金。扣除后，若余额不足，供应商需在接到通知后3个工作日内补足。</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②</w:t>
            </w:r>
            <w:r>
              <w:rPr>
                <w:rFonts w:hint="eastAsia" w:ascii="宋体" w:hAnsi="宋体" w:cs="Calibri"/>
                <w:szCs w:val="21"/>
                <w:highlight w:val="none"/>
              </w:rPr>
              <w:t>对于以</w:t>
            </w:r>
            <w:r>
              <w:rPr>
                <w:rFonts w:hint="eastAsia" w:ascii="宋体" w:hAnsi="宋体"/>
                <w:szCs w:val="21"/>
                <w:highlight w:val="none"/>
              </w:rPr>
              <w:t>金融机构出具的保函（含电子保函）</w:t>
            </w:r>
            <w:r>
              <w:rPr>
                <w:rFonts w:hint="eastAsia" w:ascii="宋体" w:hAnsi="宋体" w:cs="Calibri"/>
                <w:szCs w:val="21"/>
                <w:highlight w:val="none"/>
                <w:lang w:val="en-US" w:eastAsia="zh-CN"/>
              </w:rPr>
              <w:t>提交履约保证金</w:t>
            </w:r>
            <w:r>
              <w:rPr>
                <w:rFonts w:hint="eastAsia" w:ascii="宋体" w:hAnsi="宋体" w:cs="Calibri"/>
                <w:szCs w:val="21"/>
                <w:highlight w:val="none"/>
              </w:rPr>
              <w:t>的供应商：</w:t>
            </w:r>
            <w:r>
              <w:rPr>
                <w:rFonts w:hint="eastAsia"/>
                <w:highlight w:val="none"/>
              </w:rPr>
              <w:t>如未按约定履行合同义务导致使用单位合同权益受损</w:t>
            </w:r>
            <w:r>
              <w:rPr>
                <w:rFonts w:hint="eastAsia" w:ascii="宋体" w:hAnsi="宋体" w:cs="Calibri"/>
                <w:szCs w:val="21"/>
                <w:highlight w:val="none"/>
              </w:rPr>
              <w:t>，采购人有权依据保函向</w:t>
            </w:r>
            <w:r>
              <w:rPr>
                <w:rFonts w:hint="eastAsia" w:ascii="宋体" w:hAnsi="宋体"/>
                <w:szCs w:val="21"/>
                <w:highlight w:val="none"/>
              </w:rPr>
              <w:t>金融机构</w:t>
            </w:r>
            <w:r>
              <w:rPr>
                <w:rFonts w:hint="eastAsia" w:ascii="宋体" w:hAnsi="宋体" w:cs="Calibri"/>
                <w:szCs w:val="21"/>
                <w:highlight w:val="none"/>
              </w:rPr>
              <w:t>索赔。索赔成功后保函失效。供应商需在接到通知后3个工作日内，重新开具一张同等额度的新保函或转为现金缴纳，以覆盖</w:t>
            </w:r>
            <w:r>
              <w:rPr>
                <w:rFonts w:hint="eastAsia" w:ascii="宋体" w:hAnsi="宋体" w:cs="宋体"/>
                <w:szCs w:val="21"/>
                <w:highlight w:val="none"/>
              </w:rPr>
              <w:t>保函额度不足的</w:t>
            </w:r>
            <w:r>
              <w:rPr>
                <w:rFonts w:hint="eastAsia" w:ascii="宋体" w:hAnsi="宋体" w:cs="Calibri"/>
                <w:szCs w:val="21"/>
                <w:highlight w:val="none"/>
              </w:rPr>
              <w:t>风险。</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③如供应商无法按时补足同等效力担保的，采购人有权直接从应付该供应商的其他款项中扣除，或视为供应商根本违约，采购人有权单方解除合同并追究违约责任。</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lang w:val="en-US" w:eastAsia="zh-CN"/>
              </w:rPr>
              <w:t>6</w:t>
            </w:r>
            <w:r>
              <w:rPr>
                <w:rFonts w:hint="eastAsia" w:ascii="宋体" w:hAnsi="宋体" w:cs="Calibri"/>
                <w:szCs w:val="21"/>
                <w:highlight w:val="none"/>
              </w:rPr>
              <w:t>.风险处置措施和替代方案：若乙方因自身原因（如资金、生产能力等）无法按约履约，需在违约情形发生后24小时内书面通知甲方，甲方1有权选择：①要求乙方在5天内恢复履约</w:t>
            </w:r>
            <w:r>
              <w:rPr>
                <w:rFonts w:hint="eastAsia" w:asciiTheme="minorEastAsia" w:hAnsiTheme="minorEastAsia" w:eastAsiaTheme="minorEastAsia"/>
                <w:color w:val="000000"/>
                <w:highlight w:val="none"/>
              </w:rPr>
              <w:t>，供应商应按合同约定承担相应的违约责任；</w:t>
            </w:r>
            <w:r>
              <w:rPr>
                <w:rFonts w:hint="eastAsia" w:ascii="宋体" w:hAnsi="宋体" w:cs="Calibri"/>
                <w:szCs w:val="21"/>
                <w:highlight w:val="none"/>
              </w:rPr>
              <w:t>②解除合同，乙方承担合同金额10%的违约金，并赔偿甲方2实际造成的损失。</w:t>
            </w:r>
          </w:p>
          <w:p>
            <w:pPr>
              <w:snapToGrid w:val="0"/>
              <w:spacing w:line="360" w:lineRule="exact"/>
              <w:ind w:firstLine="420" w:firstLineChars="200"/>
              <w:rPr>
                <w:rFonts w:ascii="宋体" w:hAnsi="宋体" w:cs="Calibri"/>
                <w:color w:val="auto"/>
                <w:szCs w:val="21"/>
                <w:highlight w:val="none"/>
              </w:rPr>
            </w:pPr>
            <w:r>
              <w:rPr>
                <w:rFonts w:hint="eastAsia" w:ascii="宋体" w:hAnsi="宋体" w:cs="Calibri"/>
                <w:szCs w:val="21"/>
                <w:highlight w:val="none"/>
              </w:rPr>
              <w:t>若因不可抗力导致履约受阻，双方需在不可抗力发生后7个工作日内协商调整履约计划，互不承担违约责任。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投标报价要求</w:t>
            </w:r>
          </w:p>
        </w:tc>
        <w:tc>
          <w:tcPr>
            <w:tcW w:w="7557" w:type="dxa"/>
            <w:gridSpan w:val="6"/>
            <w:tcBorders>
              <w:top w:val="single" w:color="auto" w:sz="4" w:space="0"/>
              <w:left w:val="single" w:color="auto" w:sz="4" w:space="0"/>
              <w:bottom w:val="single" w:color="auto" w:sz="4" w:space="0"/>
            </w:tcBorders>
            <w:vAlign w:val="center"/>
          </w:tcPr>
          <w:p>
            <w:pPr>
              <w:pStyle w:val="27"/>
              <w:snapToGrid w:val="0"/>
              <w:spacing w:line="360" w:lineRule="auto"/>
              <w:ind w:left="34" w:firstLine="420" w:firstLineChars="200"/>
              <w:rPr>
                <w:rFonts w:asciiTheme="minorEastAsia" w:hAnsiTheme="minorEastAsia" w:eastAsiaTheme="minorEastAsia" w:cstheme="minorEastAsia"/>
                <w:color w:val="auto"/>
                <w:sz w:val="21"/>
                <w:highlight w:val="none"/>
              </w:rPr>
            </w:pPr>
            <w:bookmarkStart w:id="40" w:name="_Toc1854"/>
            <w:r>
              <w:rPr>
                <w:rFonts w:hint="eastAsia" w:asciiTheme="minorEastAsia" w:hAnsiTheme="minorEastAsia" w:eastAsiaTheme="minorEastAsia" w:cstheme="minorEastAsia"/>
                <w:color w:val="auto"/>
                <w:sz w:val="21"/>
                <w:highlight w:val="none"/>
              </w:rPr>
              <w:t>投标报价包含货物、货物标准附件</w:t>
            </w:r>
            <w:r>
              <w:rPr>
                <w:rFonts w:hint="eastAsia" w:hAnsi="宋体" w:cs="宋体"/>
                <w:color w:val="auto"/>
                <w:sz w:val="21"/>
                <w:highlight w:val="none"/>
              </w:rPr>
              <w:t>、</w:t>
            </w:r>
            <w:r>
              <w:rPr>
                <w:rFonts w:hint="eastAsia" w:hAnsi="宋体"/>
                <w:color w:val="auto"/>
                <w:highlight w:val="none"/>
              </w:rPr>
              <w:t>软件、</w:t>
            </w:r>
            <w:r>
              <w:rPr>
                <w:rFonts w:hint="eastAsia" w:asciiTheme="minorEastAsia" w:hAnsiTheme="minorEastAsia" w:eastAsiaTheme="minorEastAsia" w:cstheme="minorEastAsia"/>
                <w:color w:val="auto"/>
                <w:sz w:val="21"/>
                <w:highlight w:val="none"/>
              </w:rPr>
              <w:t>备品备件、专用工具、设备安装辅材、施工辅材、包装、运输、装卸、保险、货到就位、</w:t>
            </w:r>
            <w:r>
              <w:rPr>
                <w:rFonts w:hint="eastAsia" w:hAnsi="宋体"/>
                <w:color w:val="auto"/>
                <w:highlight w:val="none"/>
              </w:rPr>
              <w:t>软件接口费用、</w:t>
            </w:r>
            <w:r>
              <w:rPr>
                <w:rFonts w:hint="eastAsia" w:asciiTheme="minorEastAsia" w:hAnsiTheme="minorEastAsia" w:eastAsiaTheme="minorEastAsia" w:cstheme="minorEastAsia"/>
                <w:color w:val="auto"/>
                <w:sz w:val="21"/>
                <w:highlight w:val="none"/>
              </w:rPr>
              <w:t>质保期(包修期)内维护、保养、维修及设备软件更新升级的各种费用以及设备安装场地的改造、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一切费用。</w:t>
            </w:r>
            <w:bookmarkEnd w:id="4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259" w:type="dxa"/>
            <w:gridSpan w:val="9"/>
            <w:tcBorders>
              <w:top w:val="single" w:color="auto" w:sz="4" w:space="0"/>
              <w:bottom w:val="single" w:color="auto" w:sz="4" w:space="0"/>
            </w:tcBorders>
            <w:vAlign w:val="center"/>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三、与实现项目目标相关的其他要求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259" w:type="dxa"/>
            <w:gridSpan w:val="9"/>
            <w:tcBorders>
              <w:top w:val="single" w:color="auto" w:sz="4" w:space="0"/>
              <w:bottom w:val="single" w:color="auto" w:sz="4" w:space="0"/>
            </w:tcBorders>
            <w:vAlign w:val="center"/>
          </w:tcPr>
          <w:p>
            <w:pPr>
              <w:spacing w:line="360" w:lineRule="auto"/>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color w:val="auto"/>
                <w:szCs w:val="21"/>
                <w:highlight w:val="none"/>
              </w:rPr>
              <w:t>（一）投标人的履约能力要求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管理体系要求</w:t>
            </w:r>
          </w:p>
        </w:tc>
        <w:tc>
          <w:tcPr>
            <w:tcW w:w="7557"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见招标文件 “评标办法及评分标准”。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业绩要求</w:t>
            </w:r>
          </w:p>
        </w:tc>
        <w:tc>
          <w:tcPr>
            <w:tcW w:w="7557"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见招标文件 “评标办法及评分标准”。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259" w:type="dxa"/>
            <w:gridSpan w:val="9"/>
            <w:tcBorders>
              <w:top w:val="single" w:color="auto" w:sz="4" w:space="0"/>
              <w:bottom w:val="single" w:color="auto" w:sz="4" w:space="0"/>
            </w:tcBorders>
            <w:vAlign w:val="center"/>
          </w:tcPr>
          <w:p>
            <w:pPr>
              <w:spacing w:line="36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（二）政策性加分条件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pacing w:line="360" w:lineRule="auto"/>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政策性加分条件</w:t>
            </w:r>
          </w:p>
        </w:tc>
        <w:tc>
          <w:tcPr>
            <w:tcW w:w="7557"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符合节能环保等国家政策要求。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259" w:type="dxa"/>
            <w:gridSpan w:val="9"/>
            <w:tcBorders>
              <w:top w:val="single" w:color="auto" w:sz="4" w:space="0"/>
              <w:bottom w:val="single" w:color="auto" w:sz="4" w:space="0"/>
            </w:tcBorders>
            <w:vAlign w:val="center"/>
          </w:tcPr>
          <w:p>
            <w:pPr>
              <w:spacing w:line="36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（三）验收标准、验收方法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验收标准、验收方法及方案</w:t>
            </w:r>
          </w:p>
        </w:tc>
        <w:tc>
          <w:tcPr>
            <w:tcW w:w="7557" w:type="dxa"/>
            <w:gridSpan w:val="6"/>
            <w:tcBorders>
              <w:top w:val="single" w:color="auto" w:sz="4" w:space="0"/>
              <w:left w:val="single" w:color="auto" w:sz="4" w:space="0"/>
              <w:bottom w:val="single" w:color="auto" w:sz="4" w:space="0"/>
            </w:tcBorders>
            <w:vAlign w:val="center"/>
          </w:tcPr>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采购人自行组织验收或委托第三方组织验收。</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1.中标供应商提供不符合公告规定的、招标文件、投标文件承诺的或本合同规定的货物，采购人有权拒绝接受。</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2.中标供应商应将所提供货物的装箱清单、用户手册、原厂保修卡、随机资料、工具和备品、备件等在初步查验阶段交付给使用单位，如有缺失应在采购人要求的期限内及时补齐，否则视为逾期交货。</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货物为原厂商未启封全新包装，具出厂合格证，清晰标注生产日期，序列号、包装箱号与出厂批号一致，并可追索查阅。所有随设备的附件必须齐全。货物生产日期必须符合招标文件的要求。生产日期不符合要求视为交付产品不合格，采购人有权拒收货物，并要求采购人承担违约责任。</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4.中标供应商在交货前，应对产品进行全面检查并对交付验收文件材料进行汇总整理，编制文件清单，作为使用单位验收和使用的技术条件依据。</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5.初步查验：货物送达使用单位指定地点后，使用单位应在2个工作日内组织初步查验，初步查验合格后由双方签署</w:t>
            </w:r>
            <w:r>
              <w:rPr>
                <w:rFonts w:hint="eastAsia" w:cs="Calibri"/>
                <w:color w:val="auto"/>
                <w:sz w:val="21"/>
                <w:szCs w:val="21"/>
                <w:highlight w:val="none"/>
              </w:rPr>
              <w:t>《设备到货确认单》</w:t>
            </w:r>
            <w:r>
              <w:rPr>
                <w:rFonts w:hint="eastAsia" w:asciiTheme="minorEastAsia" w:hAnsiTheme="minorEastAsia" w:eastAsiaTheme="minorEastAsia" w:cstheme="minorEastAsia"/>
                <w:color w:val="auto"/>
                <w:sz w:val="21"/>
                <w:szCs w:val="21"/>
                <w:highlight w:val="none"/>
              </w:rPr>
              <w:t>并加盖采购人单位公章。</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6.使用单位应当在货物达到最终验收状态（安装调试完成且可正常使用60日无质量问题）5个工作日内组织进行验收。验收合格后由双方签署货物验收单并加盖采购人单位公章。</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r>
              <w:rPr>
                <w:rFonts w:hint="eastAsia" w:ascii="宋体" w:hAnsi="宋体" w:cs="宋体"/>
                <w:color w:val="auto"/>
                <w:sz w:val="21"/>
                <w:szCs w:val="21"/>
                <w:highlight w:val="none"/>
              </w:rPr>
              <w:t>若采购人委托第三方组织的验收项目，其验收时间以该项目验收方案确定的验收时间为准，验收结果以该项目验收报告结论为准，由此所产生的的验收费用由中标人承担；采购人组织验收专家组对验收情况进行抽查，如在抽查过程中发现中标供应商有违约问题，可暂缓资金结算，待违约问题解决后，方可办理资金结算事宜，在此期间，采购人不承担逾期付款责任</w:t>
            </w:r>
            <w:r>
              <w:rPr>
                <w:rFonts w:hint="eastAsia" w:asciiTheme="minorEastAsia" w:hAnsiTheme="minorEastAsia" w:eastAsiaTheme="minorEastAsia" w:cstheme="minorEastAsia"/>
                <w:color w:val="auto"/>
                <w:sz w:val="21"/>
                <w:szCs w:val="21"/>
                <w:highlight w:val="none"/>
              </w:rPr>
              <w:t>。</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因货物质量问题或验收结果发生争议的，采购人或使用单位应邀请国家认定的质量检测机构按照采购文件采购需求对货物质量进行验收。货物符合验收标准的，鉴定费由采购人或使用单位承担；货物不符合验收标准的，鉴定费由中标供应商承担。</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9.具体履约验收程序详见第五章政府采购合同协议书。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259" w:type="dxa"/>
            <w:gridSpan w:val="9"/>
            <w:tcBorders>
              <w:top w:val="single" w:color="auto" w:sz="4" w:space="0"/>
              <w:bottom w:val="single" w:color="auto" w:sz="4" w:space="0"/>
            </w:tcBorders>
            <w:vAlign w:val="center"/>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（四）进口产品说明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进口产品说明</w:t>
            </w:r>
          </w:p>
        </w:tc>
        <w:tc>
          <w:tcPr>
            <w:tcW w:w="7557"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本分标货物不接受进口产品（即通过中国海关报关验放进入中国境内且产自关境外的产品）参与投标，如有进口产品参与投标的作无效标处理。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259" w:type="dxa"/>
            <w:gridSpan w:val="9"/>
            <w:tcBorders>
              <w:top w:val="single" w:color="auto" w:sz="4" w:space="0"/>
              <w:bottom w:val="single" w:color="auto" w:sz="4" w:space="0"/>
            </w:tcBorders>
            <w:vAlign w:val="center"/>
          </w:tcPr>
          <w:p>
            <w:pPr>
              <w:spacing w:line="36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kern w:val="0"/>
                <w:szCs w:val="21"/>
                <w:highlight w:val="none"/>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规范标准</w:t>
            </w:r>
          </w:p>
        </w:tc>
        <w:tc>
          <w:tcPr>
            <w:tcW w:w="7557"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执行现行的强制执行的国家、行业、地方标准。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其他技术及服务要求</w:t>
            </w:r>
          </w:p>
        </w:tc>
        <w:tc>
          <w:tcPr>
            <w:tcW w:w="7557" w:type="dxa"/>
            <w:gridSpan w:val="6"/>
            <w:tcBorders>
              <w:top w:val="single" w:color="auto" w:sz="4" w:space="0"/>
              <w:left w:val="single" w:color="auto" w:sz="4" w:space="0"/>
              <w:bottom w:val="single" w:color="auto" w:sz="4" w:space="0"/>
            </w:tcBorders>
            <w:vAlign w:val="center"/>
          </w:tcPr>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2.供应商（或设备生产厂家）须按照《放射性同位素与射线装置安全和防护条例》、《放射性同位素与射线装置安全许可管理办法》的规定，完成设备的安装及调试。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pacing w:line="360" w:lineRule="auto"/>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▲产品资料及说明文件</w:t>
            </w:r>
          </w:p>
        </w:tc>
        <w:tc>
          <w:tcPr>
            <w:tcW w:w="7557"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文件中提供投标产品对外公开的产品彩页或说明书（体现技术参数，可以是从生产厂家网页下载的PDF或HTM文件或在国家药品监督管理部门备案的技术参数或检测报告或生产厂家盖章的技术参数证明材料），以供评标时核对。当投标文件提供的仪器性能参数与该仪器生产商提供的性能参数不符合时，以后者为准。</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2.投标人在供货时必须提供所投标产品生产厂家或合法授权的厂家代理商出具的授权书，原件备查。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pacing w:line="360" w:lineRule="auto"/>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▲采购预算价及最高限价</w:t>
            </w:r>
          </w:p>
        </w:tc>
        <w:tc>
          <w:tcPr>
            <w:tcW w:w="7557"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详见《第一章公开招标公告》，投标报价超采购预算（含单项采购预算，如有）及最高限价（含单项最高限价，如有）的投标无效。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pacing w:line="360" w:lineRule="auto"/>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▲医疗器械注册证</w:t>
            </w:r>
          </w:p>
        </w:tc>
        <w:tc>
          <w:tcPr>
            <w:tcW w:w="7557"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其它</w:t>
            </w:r>
          </w:p>
        </w:tc>
        <w:tc>
          <w:tcPr>
            <w:tcW w:w="7557"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投标人根据自身情况提供方案，内容包括但不限于：</w:t>
            </w:r>
          </w:p>
          <w:p>
            <w:pPr>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1.项目实施方案（包括但不限于：实施管理组织架构、实施管理措施、实施流程及进度安排、设备配送方案、设备配送团队、安装方案、验收方案、质量保障措施等）</w:t>
            </w:r>
          </w:p>
          <w:p>
            <w:pPr>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2.拟投入技术人员方案（包含但不限于技术人员投入计划，有技术人员在质保期内提供技术支持和协助计划，拟派技术人员的经验介绍，有利于采购项目实施的内容或合理性建议））；</w:t>
            </w:r>
          </w:p>
          <w:p>
            <w:pPr>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3.培训方案（包括但不限于：培训计划、培训方式、培训次数、人数、课程内容及师资等）；</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4.售后服务方案（包括但不限于：服务承诺、售后服务团队配置、服务保障体系，响应时间，服务流程，应急预案，技术服务表单等）。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pacing w:line="360" w:lineRule="exact"/>
              <w:jc w:val="center"/>
              <w:rPr>
                <w:rFonts w:ascii="宋体" w:hAnsi="宋体"/>
                <w:color w:val="auto"/>
                <w:highlight w:val="none"/>
              </w:rPr>
            </w:pPr>
            <w:r>
              <w:rPr>
                <w:rFonts w:hint="eastAsia"/>
                <w:color w:val="auto"/>
                <w:szCs w:val="21"/>
                <w:highlight w:val="none"/>
              </w:rPr>
              <w:t>包装和运输要求</w:t>
            </w:r>
          </w:p>
        </w:tc>
        <w:tc>
          <w:tcPr>
            <w:tcW w:w="7557"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宋体" w:hAnsi="宋体"/>
                <w:color w:val="auto"/>
                <w:highlight w:val="none"/>
              </w:rPr>
            </w:pPr>
            <w:r>
              <w:rPr>
                <w:rFonts w:hint="eastAsia"/>
                <w:color w:val="auto"/>
                <w:szCs w:val="21"/>
                <w:highlight w:val="none"/>
              </w:rPr>
              <w:t>根据《财政部等三部门联合印发商品包装和快递包装政府采购需求标准（试行）》财办库〔2020〕123号文规定，若投标产品使用塑料、纸质、木质等包装材料时应满足《商品包装政府采购需求标准（试行）》要求，若投标产品需要快递包装，快递封装材料应满足《快递包装政府采购需求标准（试行）》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2" w:type="dxa"/>
            <w:gridSpan w:val="3"/>
            <w:tcBorders>
              <w:top w:val="single" w:color="auto" w:sz="4" w:space="0"/>
              <w:bottom w:val="single" w:color="auto" w:sz="4" w:space="0"/>
              <w:right w:val="single" w:color="auto" w:sz="4" w:space="0"/>
            </w:tcBorders>
            <w:vAlign w:val="center"/>
          </w:tcPr>
          <w:p>
            <w:pPr>
              <w:spacing w:line="360" w:lineRule="exact"/>
              <w:jc w:val="center"/>
              <w:rPr>
                <w:color w:val="auto"/>
                <w:szCs w:val="21"/>
                <w:highlight w:val="none"/>
              </w:rPr>
            </w:pPr>
            <w:r>
              <w:rPr>
                <w:rFonts w:hint="eastAsia"/>
                <w:color w:val="auto"/>
                <w:szCs w:val="21"/>
                <w:highlight w:val="none"/>
              </w:rPr>
              <w:t>保险</w:t>
            </w:r>
          </w:p>
        </w:tc>
        <w:tc>
          <w:tcPr>
            <w:tcW w:w="7557"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color w:val="auto"/>
                <w:szCs w:val="21"/>
                <w:highlight w:val="none"/>
              </w:rPr>
            </w:pPr>
            <w:r>
              <w:rPr>
                <w:rFonts w:hint="eastAsia"/>
                <w:color w:val="auto"/>
                <w:szCs w:val="21"/>
                <w:highlight w:val="none"/>
              </w:rPr>
              <w:t>供应商负责办理运输和保险，将货物运抵交货地点。与运输、保险相关的费用由供应商承担。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259" w:type="dxa"/>
            <w:gridSpan w:val="9"/>
            <w:tcBorders>
              <w:top w:val="single" w:color="auto" w:sz="4" w:space="0"/>
              <w:bottom w:val="single" w:color="auto" w:sz="4" w:space="0"/>
            </w:tcBorders>
            <w:vAlign w:val="center"/>
          </w:tcPr>
          <w:p>
            <w:pPr>
              <w:spacing w:line="360" w:lineRule="auto"/>
              <w:rPr>
                <w:rFonts w:asciiTheme="minorEastAsia" w:hAnsiTheme="minorEastAsia" w:eastAsiaTheme="minorEastAsia" w:cstheme="minorEastAsia"/>
                <w:color w:val="auto"/>
                <w:kern w:val="0"/>
                <w:szCs w:val="21"/>
                <w:highlight w:val="none"/>
              </w:rPr>
            </w:pPr>
            <w:r>
              <w:rPr>
                <w:rFonts w:hint="eastAsia"/>
                <w:b/>
                <w:bCs/>
                <w:color w:val="auto"/>
                <w:szCs w:val="21"/>
                <w:highlight w:val="none"/>
              </w:rPr>
              <w:t>（六）本项目所涉区内县域医共体使用单位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891" w:type="dxa"/>
            <w:gridSpan w:val="2"/>
            <w:tcBorders>
              <w:top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序号</w:t>
            </w:r>
          </w:p>
        </w:tc>
        <w:tc>
          <w:tcPr>
            <w:tcW w:w="8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地市</w:t>
            </w:r>
          </w:p>
        </w:tc>
        <w:tc>
          <w:tcPr>
            <w:tcW w:w="1286"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县（市区）</w:t>
            </w:r>
          </w:p>
        </w:tc>
        <w:tc>
          <w:tcPr>
            <w:tcW w:w="210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医共体名称</w:t>
            </w:r>
          </w:p>
        </w:tc>
        <w:tc>
          <w:tcPr>
            <w:tcW w:w="152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牵头单位</w:t>
            </w:r>
          </w:p>
        </w:tc>
        <w:tc>
          <w:tcPr>
            <w:tcW w:w="150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使用单位名称</w:t>
            </w:r>
          </w:p>
        </w:tc>
        <w:tc>
          <w:tcPr>
            <w:tcW w:w="1138" w:type="dxa"/>
            <w:tcBorders>
              <w:top w:val="single" w:color="auto" w:sz="4" w:space="0"/>
              <w:left w:val="single" w:color="auto" w:sz="4" w:space="0"/>
              <w:bottom w:val="single" w:color="auto" w:sz="4" w:space="0"/>
            </w:tcBorders>
            <w:vAlign w:val="center"/>
          </w:tcPr>
          <w:p>
            <w:pPr>
              <w:spacing w:line="360" w:lineRule="exact"/>
              <w:ind w:right="-204" w:rightChars="-97"/>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采购数量（台）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891" w:type="dxa"/>
            <w:gridSpan w:val="2"/>
            <w:tcBorders>
              <w:top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w:t>
            </w:r>
          </w:p>
        </w:tc>
        <w:tc>
          <w:tcPr>
            <w:tcW w:w="8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桂林市</w:t>
            </w:r>
          </w:p>
        </w:tc>
        <w:tc>
          <w:tcPr>
            <w:tcW w:w="1286"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灵川县</w:t>
            </w:r>
          </w:p>
        </w:tc>
        <w:tc>
          <w:tcPr>
            <w:tcW w:w="210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灵川县人民医院医共体</w:t>
            </w:r>
          </w:p>
        </w:tc>
        <w:tc>
          <w:tcPr>
            <w:tcW w:w="152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灵川县人民医院</w:t>
            </w:r>
          </w:p>
        </w:tc>
        <w:tc>
          <w:tcPr>
            <w:tcW w:w="150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灵川县人民医院</w:t>
            </w:r>
          </w:p>
        </w:tc>
        <w:tc>
          <w:tcPr>
            <w:tcW w:w="1138" w:type="dxa"/>
            <w:tcBorders>
              <w:top w:val="single" w:color="auto" w:sz="4" w:space="0"/>
              <w:left w:val="single" w:color="auto" w:sz="4" w:space="0"/>
              <w:bottom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891" w:type="dxa"/>
            <w:gridSpan w:val="2"/>
            <w:tcBorders>
              <w:top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w:t>
            </w:r>
          </w:p>
        </w:tc>
        <w:tc>
          <w:tcPr>
            <w:tcW w:w="8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贵港市</w:t>
            </w:r>
          </w:p>
        </w:tc>
        <w:tc>
          <w:tcPr>
            <w:tcW w:w="1286"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桂平市</w:t>
            </w:r>
          </w:p>
        </w:tc>
        <w:tc>
          <w:tcPr>
            <w:tcW w:w="210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桂平市人民医院医共体</w:t>
            </w:r>
          </w:p>
        </w:tc>
        <w:tc>
          <w:tcPr>
            <w:tcW w:w="152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桂平市人民医院</w:t>
            </w:r>
          </w:p>
        </w:tc>
        <w:tc>
          <w:tcPr>
            <w:tcW w:w="1508"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桂平市金田中心卫生院</w:t>
            </w:r>
          </w:p>
        </w:tc>
        <w:tc>
          <w:tcPr>
            <w:tcW w:w="1138" w:type="dxa"/>
            <w:tcBorders>
              <w:top w:val="single" w:color="auto" w:sz="4" w:space="0"/>
              <w:left w:val="single" w:color="auto" w:sz="4" w:space="0"/>
              <w:bottom w:val="single" w:color="auto" w:sz="4" w:space="0"/>
            </w:tcBorders>
            <w:vAlign w:val="center"/>
          </w:tcPr>
          <w:p>
            <w:pPr>
              <w:spacing w:line="360" w:lineRule="exact"/>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w:t>
            </w:r>
          </w:p>
        </w:tc>
      </w:tr>
    </w:tbl>
    <w:p>
      <w:pPr>
        <w:pStyle w:val="2"/>
        <w:spacing w:line="360" w:lineRule="auto"/>
        <w:outlineLvl w:val="1"/>
        <w:rPr>
          <w:rFonts w:asciiTheme="minorEastAsia" w:hAnsiTheme="minorEastAsia" w:eastAsiaTheme="minorEastAsia" w:cstheme="minorEastAsia"/>
          <w:b/>
          <w:color w:val="auto"/>
          <w:highlight w:val="none"/>
        </w:rPr>
      </w:pPr>
      <w:bookmarkStart w:id="41" w:name="_Toc9127"/>
      <w:bookmarkStart w:id="42" w:name="_Toc23785"/>
    </w:p>
    <w:p>
      <w:pPr>
        <w:rPr>
          <w:color w:val="auto"/>
          <w:kern w:val="0"/>
          <w:sz w:val="24"/>
          <w:highlight w:val="none"/>
        </w:rPr>
      </w:pPr>
      <w:r>
        <w:rPr>
          <w:color w:val="auto"/>
          <w:highlight w:val="none"/>
        </w:rPr>
        <w:br w:type="page"/>
      </w:r>
    </w:p>
    <w:p>
      <w:pPr>
        <w:pStyle w:val="2"/>
        <w:spacing w:line="360" w:lineRule="auto"/>
        <w:outlineLvl w:val="1"/>
        <w:rPr>
          <w:rFonts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2分标：数字乳腺X射线摄影系统</w:t>
      </w:r>
      <w:bookmarkEnd w:id="41"/>
      <w:bookmarkEnd w:id="42"/>
    </w:p>
    <w:tbl>
      <w:tblPr>
        <w:tblStyle w:val="52"/>
        <w:tblW w:w="9605"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09"/>
        <w:gridCol w:w="991"/>
        <w:gridCol w:w="107"/>
        <w:gridCol w:w="723"/>
        <w:gridCol w:w="162"/>
        <w:gridCol w:w="1985"/>
        <w:gridCol w:w="1701"/>
        <w:gridCol w:w="1655"/>
        <w:gridCol w:w="16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605" w:type="dxa"/>
            <w:gridSpan w:val="9"/>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项号</w:t>
            </w:r>
          </w:p>
        </w:tc>
        <w:tc>
          <w:tcPr>
            <w:tcW w:w="109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采购内容</w:t>
            </w:r>
          </w:p>
        </w:tc>
        <w:tc>
          <w:tcPr>
            <w:tcW w:w="7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数量与单位</w:t>
            </w:r>
          </w:p>
        </w:tc>
        <w:tc>
          <w:tcPr>
            <w:tcW w:w="7175"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color w:val="auto"/>
                <w:szCs w:val="21"/>
                <w:highlight w:val="none"/>
              </w:rPr>
              <w:t>技术要求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6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098" w:type="dxa"/>
            <w:gridSpan w:val="2"/>
            <w:tcBorders>
              <w:top w:val="single" w:color="auto" w:sz="4" w:space="0"/>
              <w:left w:val="single" w:color="auto" w:sz="4" w:space="0"/>
              <w:bottom w:val="single" w:color="auto" w:sz="4" w:space="0"/>
              <w:right w:val="single" w:color="auto" w:sz="4" w:space="0"/>
            </w:tcBorders>
            <w:vAlign w:val="center"/>
          </w:tcPr>
          <w:p>
            <w:pPr>
              <w:pStyle w:val="46"/>
              <w:spacing w:beforeAutospacing="0" w:afterAutospacing="0" w:line="360" w:lineRule="auto"/>
              <w:jc w:val="both"/>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数字乳腺X射线摄影系统</w:t>
            </w:r>
          </w:p>
        </w:tc>
        <w:tc>
          <w:tcPr>
            <w:tcW w:w="723" w:type="dxa"/>
            <w:tcBorders>
              <w:top w:val="single" w:color="auto" w:sz="4" w:space="0"/>
              <w:left w:val="single" w:color="auto" w:sz="4" w:space="0"/>
              <w:bottom w:val="single" w:color="auto" w:sz="4" w:space="0"/>
              <w:right w:val="single" w:color="auto" w:sz="4" w:space="0"/>
            </w:tcBorders>
            <w:vAlign w:val="center"/>
          </w:tcPr>
          <w:p>
            <w:pPr>
              <w:pStyle w:val="46"/>
              <w:spacing w:beforeAutospacing="0" w:afterAutospacing="0"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1套</w:t>
            </w:r>
          </w:p>
        </w:tc>
        <w:tc>
          <w:tcPr>
            <w:tcW w:w="7175"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w:t>
            </w:r>
            <w:r>
              <w:rPr>
                <w:rFonts w:hint="eastAsia" w:asciiTheme="minorEastAsia" w:hAnsiTheme="minorEastAsia" w:eastAsiaTheme="minorEastAsia" w:cstheme="minorEastAsia"/>
                <w:b/>
                <w:bCs/>
                <w:color w:val="auto"/>
                <w:szCs w:val="21"/>
                <w:highlight w:val="none"/>
              </w:rPr>
              <w:t>技术参数要求</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1功能需求   </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1.1用于人体乳腺数字平板X射线摄影诊断系统，C形臂可实现电动摆位。</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2.主要技术规格和要求</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2.1高压发生装置。</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2.2高压发生器与整机同一品牌。</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2.3主机功率：≥5kW。</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2.4输出电压：≥20～40kV。</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2.5最大mAs：≥600 mAs。</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2.6具备曝光自动控制功能。</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2.7手动曝光可直接通过采集软件调节曝光参数，无需单独曝光操作台。</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2.8 具有故障状态显示功能。</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 X射线管组件。</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3.1大小焦点：≤0.1/0.3mm。</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3.2焦点最大功率：≥5 KW。</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▲3.3 阳极热容量：≥300KHU。</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3.4球管阳极旋转速度：高速：≥9500 rpm。</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3.5 阳极靶角：≤15°。 </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 阳极靶类型为钨靶。</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4平板探测器  </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●4.1探测器材料：非晶硅或非晶硒。</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4.2探测器尺寸≥23cm×29cm。</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●4.3高分辨率采集矩阵≥3072×3840。</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●4.4像素尺寸≤77微米。</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4.5采集灰阶度≥16bits。</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●4.6空间分辨率≥6lp/mm。</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4.7滤线栅栅密度≥36lp/mm。</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4.8滤线栅有效栅比≥5:1。</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5.摄影架系统</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5.1机架结构；开放式C型臂设计。</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5.2垂直升降范围：≥590mm。</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5.3 SID：≥600mm。</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5.4C臂绕水平轴旋转角度：≥300°。</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5.5具备一键式摆位。</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5.6 C臂等中心旋转、上下运动通过按键或脚闸控制。</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5.7机架两边具有升降、旋转电动控制按钮。</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●5.8具备感应式智能压迫功能。</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5.9 压迫板两套。</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5.10压迫板可单独拆卸、更换。</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5.11压迫板运动方式：智能压迫、手动调节。</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5.12压迫板解压方式：自动解压、手动解压。</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5.13压迫板支持紧急释放、自动释放。</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5.14具备急停开关功能。</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 图像采集工作站</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6.1CPU主频 ≥3.2 GHz。</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6.2主机工作站操作台内存≥8GB。</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6.3主机工作站操作台硬盘≥1TB。</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6.4图像文件存储容量≥20000幅。</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6.5显示器尺寸≥23.8英寸。</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6.6显示器分辨率≥1920×1200。</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6.7操作系统：Windows系统。</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6.8操作软件基本功能：基于 DICOM标准的患者登记、患者管理、参数设置、患者检查、图像导入、图像显示、图像调整、数字化归档、胶片打印管理等。</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6.9彩色摆位图，能够用于提示每个拍摄部位。</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6.10 图像基本后处理功能：图像整体缩放、图像移动、窗宽/窗位调整、图像局部放大、感兴趣区域缩放、图像反色、图像翻转/旋转、输入文本</w:t>
            </w:r>
            <w:r>
              <w:rPr>
                <w:rFonts w:asciiTheme="minorEastAsia" w:hAnsiTheme="minorEastAsia" w:eastAsiaTheme="minorEastAsia" w:cstheme="minorEastAsia"/>
                <w:color w:val="auto"/>
                <w:szCs w:val="21"/>
                <w:highlight w:val="none"/>
              </w:rPr>
              <w:t>.</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6.11图像显示支持多种布局。</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6.12 可在数字图像上显示各种曝光参数，如 kV/mAs/压迫力度/压迫厚度/剂量/(曝光)扫描时间等。</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6.13具有乳腺假体植入物专用处理算法。</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6.14控制方式：快捷功能操控盒、鼠标。</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6.15支持与 PACS/RIS/HIS系统的集成。</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6.16支持动态实时患者信息检索与显示。</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6.17支持患者、检查、序列、图像四级数据库信息管理。</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6.18支持检查不同状态显示与排序。</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6.19预定义拍摄参数与后期调整。</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6.20支持灰度处理与调整。</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6.21支持DICOM 3.0，包括：DICOM Send，DICOM Print，DICOM Storagecommitment，DICOM Query/RetrieveDICOM Worklist/MPPS。</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7.其他</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7.1 2D穿刺套装。</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7.2乳腺图像 AI诊断系统。</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●7.3实现三维断层摄影、三维断层融合合成二维功能，无需加装外置组件。</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8.附属产品：空气消毒机1台、除湿机1台、防辐射用品儿童、成人各1套（铅当量不低于0.5mmPb，含铅衣、铅帽、铅围裙、铅方巾、铅围脖）、铅衣挂架1副、铅衣柜（尺寸按用户要求配置）1个、自动跟踪帘1套。</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▲9.主机操作台、坐椅1套。</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▲10.影像诊断工作站1套、一体化可升降桌椅1套、6M医用专业显示屏1套（根据采购人需求提供，设备参考品牌为 BARCO、艺卓、巨鲨、巨烽）。</w:t>
            </w:r>
          </w:p>
          <w:p>
            <w:pPr>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▲11.与设备配套不间断电源（UPS）1套。</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12.屏蔽帘1台。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605" w:type="dxa"/>
            <w:gridSpan w:val="9"/>
            <w:tcBorders>
              <w:top w:val="single" w:color="auto" w:sz="4" w:space="0"/>
              <w:bottom w:val="single" w:color="auto" w:sz="4" w:space="0"/>
            </w:tcBorders>
            <w:vAlign w:val="center"/>
          </w:tcPr>
          <w:p>
            <w:pPr>
              <w:spacing w:line="360" w:lineRule="auto"/>
              <w:textAlignment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w:t>
            </w:r>
            <w:r>
              <w:rPr>
                <w:rFonts w:hint="eastAsia" w:asciiTheme="minorEastAsia" w:hAnsiTheme="minorEastAsia" w:eastAsiaTheme="minorEastAsia" w:cstheme="minorEastAsia"/>
                <w:b/>
                <w:color w:val="auto"/>
                <w:szCs w:val="21"/>
                <w:highlight w:val="none"/>
              </w:rPr>
              <w:t>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szCs w:val="21"/>
                <w:highlight w:val="none"/>
              </w:rPr>
              <w:t>质保期(包修期)</w:t>
            </w:r>
          </w:p>
        </w:tc>
        <w:tc>
          <w:tcPr>
            <w:tcW w:w="7898" w:type="dxa"/>
            <w:gridSpan w:val="6"/>
            <w:tcBorders>
              <w:top w:val="single" w:color="auto" w:sz="4" w:space="0"/>
              <w:left w:val="single" w:color="auto" w:sz="4" w:space="0"/>
              <w:bottom w:val="single" w:color="auto" w:sz="4" w:space="0"/>
            </w:tcBorders>
            <w:vAlign w:val="center"/>
          </w:tcPr>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1.按国家有关产品“三包”规定执行“三包”，除特别说明外，质保期原厂整机(包修期)(质保、包修范围包括主机、球管、探测器及附属设备，球管、探测器只换原装全新不修理) ≥5年。</w:t>
            </w:r>
            <w:r>
              <w:rPr>
                <w:rFonts w:hint="eastAsia" w:ascii="宋体" w:hAnsi="宋体" w:cs="宋体"/>
                <w:color w:val="auto"/>
                <w:sz w:val="21"/>
                <w:szCs w:val="21"/>
                <w:highlight w:val="none"/>
              </w:rPr>
              <w:t>全生命周期提供系统、工作站等软件升级服务，产生的费用包含在报价中。</w:t>
            </w:r>
            <w:r>
              <w:rPr>
                <w:rFonts w:hint="eastAsia" w:asciiTheme="minorEastAsia" w:hAnsiTheme="minorEastAsia" w:eastAsiaTheme="minorEastAsia" w:cstheme="minorEastAsia"/>
                <w:color w:val="auto"/>
                <w:sz w:val="21"/>
                <w:szCs w:val="21"/>
                <w:highlight w:val="none"/>
              </w:rPr>
              <w:t>自设备验收合格并能正常使用之日算起,厂家或国家有更长质量保证期限规定的从其规定。</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宋体" w:hAnsi="宋体" w:cs="宋体"/>
                <w:color w:val="auto"/>
                <w:sz w:val="21"/>
                <w:szCs w:val="21"/>
                <w:highlight w:val="none"/>
              </w:rPr>
              <w:t>质保期（包修期）内，设备整体年累计故障停机时间不得超过 18 天（即开机率不低于95%，按自然年365日计算）。</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宋体" w:hAnsi="宋体" w:cs="宋体"/>
                <w:color w:val="auto"/>
                <w:sz w:val="21"/>
                <w:szCs w:val="21"/>
                <w:highlight w:val="none"/>
              </w:rPr>
              <w:t>（1）若单一年度内故障停机时间超过18天，就超出部分，供应商应按“超出天数:补偿天数=1:2”的比例，延长整机质保期。</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宋体" w:hAnsi="宋体" w:cs="宋体"/>
                <w:color w:val="auto"/>
                <w:sz w:val="21"/>
                <w:szCs w:val="21"/>
                <w:highlight w:val="none"/>
              </w:rPr>
              <w:t>（2）若单一年度内故障停机时间累计达到或超过36天（即开机率≤90%），使用单位有权要求供应商在60日内更换同品牌型号或更高规格的全新设备，并承担由此产生的一切费用及给使用单位造成的直接经济损失。</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宋体" w:hAnsi="宋体" w:cs="宋体"/>
                <w:color w:val="auto"/>
                <w:sz w:val="21"/>
                <w:szCs w:val="21"/>
                <w:highlight w:val="none"/>
              </w:rPr>
              <w:t>3.质保期(包修期)结束后，供应商对合同货物提供终身保修服务，且承诺相关配件及人工费用低于平均市场价格。</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宋体" w:hAnsi="宋体" w:cs="宋体"/>
                <w:color w:val="auto"/>
                <w:sz w:val="21"/>
                <w:szCs w:val="21"/>
                <w:highlight w:val="none"/>
              </w:rPr>
              <w:t>4.质保期（包修期）内，设备因产品质量问题，经供应商两次维修仍不能达到本项目合同约定的质量标准，使用单位有权要求供应商在60日内更换同品牌型号或更高规格的全新设备，并承担由此产生的一切费用及给使用单位造成的直接经济损失。</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宋体" w:hAnsi="宋体" w:cs="宋体"/>
                <w:color w:val="auto"/>
                <w:sz w:val="21"/>
                <w:szCs w:val="21"/>
                <w:highlight w:val="none"/>
              </w:rPr>
              <w:t>5.质保期内提供远程诊断、故障预警功能，软件升级不少于1次（含设备功能优化、兼容性升级、数据接口更新等），且需明确每次升级的具体功能模块。</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宋体" w:hAnsi="宋体" w:cs="宋体"/>
                <w:color w:val="auto"/>
                <w:sz w:val="21"/>
                <w:szCs w:val="21"/>
                <w:highlight w:val="none"/>
              </w:rPr>
              <w:t>6.质保期内，供应商承担质保范围内所有设备的维修及保养、备件更换、软件升级、安全检查、备件储备、人工（含差旅）、质量保证及远程服务的费用，不得向使用单位及采购人收取额外费用。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szCs w:val="21"/>
                <w:highlight w:val="none"/>
              </w:rPr>
              <w:t>交付仪器生产日期</w:t>
            </w:r>
          </w:p>
        </w:tc>
        <w:tc>
          <w:tcPr>
            <w:tcW w:w="7898" w:type="dxa"/>
            <w:gridSpan w:val="6"/>
            <w:tcBorders>
              <w:top w:val="single" w:color="auto" w:sz="4" w:space="0"/>
              <w:left w:val="single" w:color="auto" w:sz="4" w:space="0"/>
              <w:bottom w:val="single" w:color="auto" w:sz="4" w:space="0"/>
            </w:tcBorders>
            <w:vAlign w:val="center"/>
          </w:tcPr>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宋体" w:hAnsi="宋体"/>
                <w:bCs/>
                <w:color w:val="auto"/>
                <w:highlight w:val="none"/>
              </w:rPr>
              <w:t>为保证产品质量和技术先进性，本次招标所供仪器设备必须是全新未使用产品，不得为库存积压、停产清库、促销处理或返修翻新产品。供应商应承诺交付的仪器设备，其生产日期不得早于投标截止日期前的6个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交货时间及地点</w:t>
            </w:r>
          </w:p>
        </w:tc>
        <w:tc>
          <w:tcPr>
            <w:tcW w:w="7898" w:type="dxa"/>
            <w:gridSpan w:val="6"/>
            <w:tcBorders>
              <w:top w:val="single" w:color="auto" w:sz="4" w:space="0"/>
              <w:left w:val="single" w:color="auto" w:sz="4" w:space="0"/>
              <w:bottom w:val="single" w:color="auto" w:sz="4" w:space="0"/>
            </w:tcBorders>
            <w:vAlign w:val="center"/>
          </w:tcPr>
          <w:p>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1.交货时间：自签订合同之日起30日历日内全部货物交货并安装调试完毕。</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宋体" w:hAnsi="宋体" w:cs="宋体"/>
                <w:color w:val="auto"/>
                <w:kern w:val="0"/>
                <w:szCs w:val="21"/>
                <w:highlight w:val="none"/>
              </w:rPr>
              <w:t>2.交货地点：使用单位的指定地点（包含本项目所涉及全区县域医共体共1个使用单位，具体单位详见</w:t>
            </w:r>
            <w:r>
              <w:rPr>
                <w:rFonts w:hint="eastAsia" w:ascii="宋体" w:hAnsi="宋体" w:cs="宋体"/>
                <w:b/>
                <w:bCs/>
                <w:color w:val="auto"/>
                <w:szCs w:val="21"/>
                <w:highlight w:val="none"/>
              </w:rPr>
              <w:t>三、与实现项目目标相关的其他要求“（六）本项目所涉区内县域医共体使用单位”</w:t>
            </w:r>
            <w:r>
              <w:rPr>
                <w:rFonts w:hint="eastAsia" w:ascii="宋体" w:hAnsi="宋体" w:cs="宋体"/>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kern w:val="0"/>
                <w:szCs w:val="21"/>
                <w:highlight w:val="none"/>
              </w:rPr>
              <w:t>交货方式</w:t>
            </w:r>
          </w:p>
        </w:tc>
        <w:tc>
          <w:tcPr>
            <w:tcW w:w="7898"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现场交货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服务标准、服务效率、售后服务要求</w:t>
            </w:r>
          </w:p>
        </w:tc>
        <w:tc>
          <w:tcPr>
            <w:tcW w:w="7898" w:type="dxa"/>
            <w:gridSpan w:val="6"/>
            <w:tcBorders>
              <w:top w:val="single" w:color="auto" w:sz="4" w:space="0"/>
              <w:left w:val="single" w:color="auto" w:sz="4" w:space="0"/>
              <w:bottom w:val="single" w:color="auto" w:sz="4" w:space="0"/>
            </w:tcBorders>
            <w:vAlign w:val="center"/>
          </w:tcPr>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1.送货上门，并负责安装调试。</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宋体" w:hAnsi="宋体" w:cs="宋体"/>
                <w:color w:val="auto"/>
                <w:kern w:val="0"/>
                <w:szCs w:val="21"/>
                <w:highlight w:val="none"/>
              </w:rPr>
              <w:t>2.</w:t>
            </w:r>
            <w:r>
              <w:rPr>
                <w:rFonts w:hint="eastAsia" w:ascii="宋体" w:hAnsi="宋体"/>
                <w:color w:val="auto"/>
                <w:highlight w:val="none"/>
              </w:rPr>
              <w:t xml:space="preserve"> </w:t>
            </w:r>
            <w:r>
              <w:rPr>
                <w:rFonts w:hint="eastAsia" w:ascii="宋体" w:hAnsi="宋体" w:cs="宋体"/>
                <w:color w:val="auto"/>
                <w:szCs w:val="21"/>
                <w:highlight w:val="none"/>
                <w:lang w:val="en-US" w:eastAsia="zh-CN"/>
              </w:rPr>
              <w:t>定期售后维保服务：质保期</w:t>
            </w:r>
            <w:r>
              <w:rPr>
                <w:rFonts w:hint="eastAsia" w:ascii="宋体" w:hAnsi="宋体" w:cs="宋体"/>
                <w:color w:val="auto"/>
                <w:sz w:val="21"/>
                <w:szCs w:val="21"/>
                <w:highlight w:val="none"/>
              </w:rPr>
              <w:t>（包修期）</w:t>
            </w:r>
            <w:r>
              <w:rPr>
                <w:rFonts w:hint="eastAsia" w:ascii="宋体" w:hAnsi="宋体" w:cs="宋体"/>
                <w:color w:val="auto"/>
                <w:szCs w:val="21"/>
                <w:highlight w:val="none"/>
                <w:lang w:val="en-US" w:eastAsia="zh-CN"/>
              </w:rPr>
              <w:t>内，</w:t>
            </w:r>
            <w:r>
              <w:rPr>
                <w:rFonts w:hint="eastAsia" w:ascii="宋体" w:hAnsi="宋体" w:cs="宋体"/>
                <w:color w:val="auto"/>
                <w:kern w:val="0"/>
                <w:szCs w:val="21"/>
                <w:highlight w:val="none"/>
              </w:rPr>
              <w:t>每年每季度一次定期回访以及对设备维护。</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产品必须是全新、未使用过且无任何抵押、查封等产权瑕疵的产品。产品包装必须是未经使用的全新的合格产品，并按照原厂标准包装规格供货，不接受散装或拆包装件。所有货物都提供使用说明书和详细装箱清单及质量合格证。</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4.中标供应商提供7*24小时售后服务，质保期内仪器设备出现故障，在接到电话通知后，2小时内做出响应（远程解决或做出预备维护动作），48小时内到达维修现场。一般问题应在72小时内解决，以保证采购人的正常工作。重大问题或其它无法迅速解决的问题应在5个工作日内解决，供应商在接到采购人通知后拒不响应或解决故障的，采购人有权聘请第三方进行维修，由此产生的费用由供应商承担。 </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5.提供维护手册、维修手册、软件备份、故障代码表、备件清单。质保期外，中标供应商提供维修密码及</w:t>
            </w:r>
            <w:r>
              <w:rPr>
                <w:rFonts w:hint="eastAsia" w:ascii="宋体" w:hAnsi="宋体" w:cs="宋体"/>
                <w:color w:val="auto"/>
                <w:szCs w:val="21"/>
                <w:highlight w:val="none"/>
              </w:rPr>
              <w:t>设备交付验收时配置的所有软件</w:t>
            </w:r>
            <w:r>
              <w:rPr>
                <w:rFonts w:hint="eastAsia" w:asciiTheme="minorEastAsia" w:hAnsiTheme="minorEastAsia" w:eastAsiaTheme="minorEastAsia" w:cstheme="minorEastAsia"/>
                <w:color w:val="auto"/>
                <w:szCs w:val="21"/>
                <w:highlight w:val="none"/>
              </w:rPr>
              <w:t>在该项目的永久使用权并承担相应费用。</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6.相关人员培训：标的包含医护人员及工程人员的培训计划费用，设备装机验收后，现场提供对采购人进行≥1次的基本培训，使采购人使用人员及工程人员熟练掌握全部功能及基本维修。</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投标人承诺的质保期内的所有售后服务，包括原厂商服务和非原厂商服务，其中硬件的售后服务包括但不限于硬件维护维修、配件更换、硬件升级；应用软件的售后服务包括但不限于应用软件维护升级以及非结构性修改；投标人承诺的质保期内售后服务所产生的费用均由中标供应商承担。</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8.中标供应商提供的设备如因采购人业务需要而接入采购人信息网络(含信息网、无线网、设备网、物联网、HIS、PACS 等系统),中标供应商需积极配合并承担相关费用。</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9.拟投入的人员：专业技术工程师及售后服务人员：负责向使用单位提供安装、调试、维护、故障排除、业务咨询、培训、售后等服务。</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交钥匙工程：供应商负责全部产品的安装调试后直接交付运行。在质保期内，供应商保证采购人能够合法应用该器械/服务。在此过程中，采购人应当提供一切必要支持。若可能出现的后续证件、手续，供应商必须提供办理的流程及方法。</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11.投标人承诺响应的技术参数及功能要能够实际应用于临床。不能以需要硬件升级、软件升级、系统升级、另外收费等形式限制使用单位使用。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napToGrid w:val="0"/>
              <w:spacing w:line="360" w:lineRule="exact"/>
              <w:jc w:val="center"/>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付款方式</w:t>
            </w:r>
          </w:p>
        </w:tc>
        <w:tc>
          <w:tcPr>
            <w:tcW w:w="7898" w:type="dxa"/>
            <w:gridSpan w:val="6"/>
            <w:tcBorders>
              <w:top w:val="single" w:color="auto" w:sz="4" w:space="0"/>
              <w:left w:val="single" w:color="auto" w:sz="4" w:space="0"/>
              <w:bottom w:val="single" w:color="auto" w:sz="4" w:space="0"/>
            </w:tcBorders>
            <w:vAlign w:val="center"/>
          </w:tcPr>
          <w:p>
            <w:pPr>
              <w:spacing w:line="380" w:lineRule="exact"/>
              <w:ind w:firstLine="420" w:firstLineChars="200"/>
              <w:rPr>
                <w:rFonts w:ascii="宋体" w:hAnsi="宋体"/>
                <w:color w:val="auto"/>
                <w:highlight w:val="none"/>
              </w:rPr>
            </w:pPr>
            <w:r>
              <w:rPr>
                <w:rFonts w:hint="eastAsia" w:ascii="宋体" w:hAnsi="宋体"/>
                <w:color w:val="auto"/>
                <w:highlight w:val="none"/>
              </w:rPr>
              <w:t xml:space="preserve">本项目合同金额分三期支付：第一期（30%）、第二期（50%）：由甲方 1（广西壮族自治区卫生健康委员会）集中支付；​第三期（20%）：由甲方2各使用单位（详见附件）按对应设备金额单独支付。 </w:t>
            </w:r>
          </w:p>
          <w:p>
            <w:pPr>
              <w:spacing w:line="380" w:lineRule="exact"/>
              <w:ind w:firstLine="420" w:firstLineChars="200"/>
              <w:rPr>
                <w:rFonts w:ascii="宋体" w:hAnsi="宋体"/>
                <w:color w:val="auto"/>
                <w:highlight w:val="none"/>
              </w:rPr>
            </w:pPr>
            <w:r>
              <w:rPr>
                <w:rFonts w:hint="eastAsia" w:ascii="宋体" w:hAnsi="宋体"/>
                <w:color w:val="auto"/>
                <w:highlight w:val="none"/>
              </w:rPr>
              <w:t>1.第一期付款（合同金额 30%）</w:t>
            </w:r>
          </w:p>
          <w:p>
            <w:pPr>
              <w:spacing w:line="380" w:lineRule="exact"/>
              <w:ind w:firstLine="420" w:firstLineChars="200"/>
              <w:rPr>
                <w:rFonts w:ascii="宋体" w:hAnsi="宋体"/>
                <w:color w:val="auto"/>
                <w:highlight w:val="none"/>
              </w:rPr>
            </w:pPr>
            <w:r>
              <w:rPr>
                <w:rFonts w:hint="eastAsia" w:ascii="宋体" w:hAnsi="宋体"/>
                <w:color w:val="auto"/>
                <w:highlight w:val="none"/>
              </w:rPr>
              <w:t>触发条件：乙方提交等额合法发票（抬头：广西壮族自治区卫生健康委员会）。</w:t>
            </w:r>
          </w:p>
          <w:p>
            <w:pPr>
              <w:spacing w:line="380" w:lineRule="exact"/>
              <w:ind w:firstLine="420" w:firstLineChars="200"/>
              <w:rPr>
                <w:rFonts w:ascii="宋体" w:hAnsi="宋体"/>
                <w:color w:val="auto"/>
                <w:highlight w:val="none"/>
              </w:rPr>
            </w:pPr>
            <w:r>
              <w:rPr>
                <w:rFonts w:hint="eastAsia" w:ascii="宋体" w:hAnsi="宋体"/>
                <w:color w:val="auto"/>
                <w:highlight w:val="none"/>
              </w:rPr>
              <w:t>付款期限： 甲方 1在满足全部条件后10 个工作日内支付。</w:t>
            </w:r>
          </w:p>
          <w:p>
            <w:pPr>
              <w:spacing w:line="380" w:lineRule="exact"/>
              <w:ind w:firstLine="420" w:firstLineChars="200"/>
              <w:rPr>
                <w:rFonts w:ascii="宋体" w:hAnsi="宋体"/>
                <w:color w:val="auto"/>
                <w:highlight w:val="none"/>
              </w:rPr>
            </w:pPr>
            <w:r>
              <w:rPr>
                <w:rFonts w:hint="eastAsia" w:ascii="宋体" w:hAnsi="宋体"/>
                <w:color w:val="auto"/>
                <w:highlight w:val="none"/>
              </w:rPr>
              <w:t>2.第二期付款（合同金额 50%）</w:t>
            </w:r>
          </w:p>
          <w:p>
            <w:pPr>
              <w:spacing w:line="380" w:lineRule="exact"/>
              <w:ind w:firstLine="420" w:firstLineChars="200"/>
              <w:rPr>
                <w:rFonts w:ascii="宋体" w:hAnsi="宋体"/>
                <w:color w:val="auto"/>
                <w:highlight w:val="none"/>
              </w:rPr>
            </w:pPr>
            <w:r>
              <w:rPr>
                <w:rFonts w:hint="eastAsia" w:ascii="宋体" w:hAnsi="宋体"/>
                <w:color w:val="auto"/>
                <w:highlight w:val="none"/>
              </w:rPr>
              <w:t>触发条件：①乙方将全部设备运抵甲方 2 ，并经到货验收合格（甲方 2 出具《设备到货确认单》并提交甲方 1）；②乙方提交等额合法发票（抬头同第一期）。</w:t>
            </w:r>
          </w:p>
          <w:p>
            <w:pPr>
              <w:spacing w:line="380" w:lineRule="exact"/>
              <w:ind w:firstLine="420" w:firstLineChars="200"/>
              <w:rPr>
                <w:rFonts w:ascii="宋体" w:hAnsi="宋体"/>
                <w:color w:val="auto"/>
                <w:highlight w:val="none"/>
              </w:rPr>
            </w:pPr>
            <w:r>
              <w:rPr>
                <w:rFonts w:hint="eastAsia" w:ascii="宋体" w:hAnsi="宋体"/>
                <w:color w:val="auto"/>
                <w:highlight w:val="none"/>
              </w:rPr>
              <w:t>付款期限：甲方 1 在收到验收确认单及发票后 10 个工作日内支付。</w:t>
            </w:r>
          </w:p>
          <w:p>
            <w:pPr>
              <w:spacing w:line="380" w:lineRule="exact"/>
              <w:ind w:firstLine="420" w:firstLineChars="200"/>
              <w:rPr>
                <w:rFonts w:ascii="宋体" w:hAnsi="宋体"/>
                <w:color w:val="auto"/>
                <w:highlight w:val="none"/>
              </w:rPr>
            </w:pPr>
            <w:r>
              <w:rPr>
                <w:rFonts w:hint="eastAsia" w:ascii="宋体" w:hAnsi="宋体"/>
                <w:color w:val="auto"/>
                <w:highlight w:val="none"/>
              </w:rPr>
              <w:t>3.第三期付款（合同金额 20%）</w:t>
            </w:r>
          </w:p>
          <w:p>
            <w:pPr>
              <w:spacing w:line="380" w:lineRule="exact"/>
              <w:ind w:firstLine="420" w:firstLineChars="200"/>
              <w:rPr>
                <w:rFonts w:ascii="宋体" w:hAnsi="宋体"/>
                <w:color w:val="auto"/>
                <w:highlight w:val="none"/>
              </w:rPr>
            </w:pPr>
            <w:r>
              <w:rPr>
                <w:rFonts w:hint="eastAsia" w:ascii="宋体" w:hAnsi="宋体"/>
                <w:color w:val="auto"/>
                <w:highlight w:val="none"/>
              </w:rPr>
              <w:t>触发条件：①由验收小组出具通过最终验收的《设备最终验收单》；②乙方按各甲方 2 要求，提交对应抬头的等额合法发票。</w:t>
            </w:r>
          </w:p>
          <w:p>
            <w:pPr>
              <w:spacing w:line="380" w:lineRule="exact"/>
              <w:ind w:firstLine="420" w:firstLineChars="200"/>
              <w:rPr>
                <w:rFonts w:ascii="宋体" w:hAnsi="宋体"/>
                <w:color w:val="auto"/>
                <w:highlight w:val="none"/>
              </w:rPr>
            </w:pPr>
            <w:r>
              <w:rPr>
                <w:rFonts w:hint="eastAsia" w:ascii="宋体" w:hAnsi="宋体"/>
                <w:color w:val="auto"/>
                <w:highlight w:val="none"/>
              </w:rPr>
              <w:t>付款期限：甲方 2 收到《设备最终验收单》及发票后 10 个工作日内支付；甲方 1 监督付款进度。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kern w:val="0"/>
                <w:szCs w:val="21"/>
                <w:highlight w:val="none"/>
              </w:rPr>
            </w:pPr>
            <w:r>
              <w:rPr>
                <w:rFonts w:hint="eastAsia" w:ascii="宋体" w:hAnsi="宋体" w:cs="宋体"/>
                <w:color w:val="auto"/>
                <w:szCs w:val="21"/>
                <w:highlight w:val="none"/>
              </w:rPr>
              <w:t>▲</w:t>
            </w:r>
            <w:r>
              <w:rPr>
                <w:rFonts w:hint="eastAsia" w:asciiTheme="minorEastAsia" w:hAnsiTheme="minorEastAsia" w:eastAsiaTheme="minorEastAsia" w:cstheme="minorEastAsia"/>
                <w:b/>
                <w:color w:val="auto"/>
                <w:kern w:val="0"/>
                <w:szCs w:val="21"/>
                <w:highlight w:val="none"/>
              </w:rPr>
              <w:t>履约保证金</w:t>
            </w:r>
          </w:p>
        </w:tc>
        <w:tc>
          <w:tcPr>
            <w:tcW w:w="7898" w:type="dxa"/>
            <w:gridSpan w:val="6"/>
            <w:tcBorders>
              <w:top w:val="single" w:color="auto" w:sz="4" w:space="0"/>
              <w:left w:val="single" w:color="auto" w:sz="4" w:space="0"/>
              <w:bottom w:val="single" w:color="auto" w:sz="4" w:space="0"/>
            </w:tcBorders>
            <w:vAlign w:val="center"/>
          </w:tcPr>
          <w:p>
            <w:pPr>
              <w:numPr>
                <w:ilvl w:val="255"/>
                <w:numId w:val="0"/>
              </w:numPr>
              <w:snapToGrid w:val="0"/>
              <w:spacing w:line="360" w:lineRule="exact"/>
              <w:ind w:firstLine="420" w:firstLineChars="200"/>
              <w:jc w:val="left"/>
              <w:rPr>
                <w:rFonts w:ascii="宋体" w:hAnsi="宋体" w:cs="Calibri"/>
                <w:szCs w:val="21"/>
                <w:highlight w:val="none"/>
              </w:rPr>
            </w:pPr>
            <w:r>
              <w:rPr>
                <w:rFonts w:ascii="宋体" w:hAnsi="宋体" w:cs="Calibri"/>
                <w:szCs w:val="21"/>
                <w:highlight w:val="none"/>
              </w:rPr>
              <w:t>1.履约保证金金额：按中标金额的5%（如中标供应商为中小微企业，按中标金额的2%），如投标人以金融机构出具的无条件见索即付的独立保函形式提交的履约保证金，采购人不得拒收。</w:t>
            </w:r>
          </w:p>
          <w:p>
            <w:pPr>
              <w:snapToGrid w:val="0"/>
              <w:spacing w:line="360" w:lineRule="exact"/>
              <w:ind w:firstLine="420" w:firstLineChars="200"/>
              <w:rPr>
                <w:rFonts w:ascii="宋体" w:hAnsi="宋体" w:cs="Calibri"/>
                <w:szCs w:val="21"/>
                <w:highlight w:val="none"/>
              </w:rPr>
            </w:pPr>
            <w:r>
              <w:rPr>
                <w:rFonts w:ascii="宋体" w:hAnsi="宋体" w:cs="Calibri"/>
                <w:szCs w:val="21"/>
                <w:highlight w:val="none"/>
              </w:rPr>
              <w:t>2.</w:t>
            </w:r>
            <w:r>
              <w:rPr>
                <w:rFonts w:hint="eastAsia" w:ascii="宋体" w:hAnsi="宋体" w:cs="Calibri"/>
                <w:szCs w:val="21"/>
                <w:highlight w:val="none"/>
              </w:rPr>
              <w:t>在签订合同之前，</w:t>
            </w:r>
            <w:r>
              <w:rPr>
                <w:rFonts w:ascii="宋体" w:hAnsi="宋体" w:cs="Calibri"/>
                <w:szCs w:val="21"/>
                <w:highlight w:val="none"/>
              </w:rPr>
              <w:t>中标供应商</w:t>
            </w:r>
            <w:r>
              <w:rPr>
                <w:rFonts w:hint="eastAsia" w:ascii="宋体" w:hAnsi="宋体" w:cs="Calibri"/>
                <w:szCs w:val="21"/>
                <w:highlight w:val="none"/>
              </w:rPr>
              <w:t>应按要求以</w:t>
            </w:r>
            <w:r>
              <w:rPr>
                <w:rFonts w:hint="eastAsia" w:ascii="宋体" w:hAnsi="宋体" w:cs="Calibri"/>
                <w:szCs w:val="21"/>
                <w:highlight w:val="none"/>
                <w:lang w:val="en-US" w:eastAsia="zh-CN"/>
              </w:rPr>
              <w:t>提供的两种方式中任选一种</w:t>
            </w:r>
            <w:r>
              <w:rPr>
                <w:rFonts w:hint="eastAsia" w:ascii="宋体" w:hAnsi="宋体" w:cs="Calibri"/>
                <w:szCs w:val="21"/>
                <w:highlight w:val="none"/>
              </w:rPr>
              <w:t>履约保证金提交方式足额支付履约保证金或提交</w:t>
            </w:r>
            <w:r>
              <w:rPr>
                <w:rFonts w:hint="eastAsia" w:ascii="宋体" w:hAnsi="宋体"/>
                <w:szCs w:val="21"/>
                <w:highlight w:val="none"/>
              </w:rPr>
              <w:t>金融机构出具的无条件见索即付的独立保函（含电子保函）</w:t>
            </w:r>
            <w:r>
              <w:rPr>
                <w:rFonts w:hint="eastAsia" w:ascii="宋体" w:hAnsi="宋体" w:cs="Calibri"/>
                <w:szCs w:val="21"/>
                <w:highlight w:val="none"/>
              </w:rPr>
              <w:t>，否则不予签订本项目合同。</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3.履约保证金提交方式：</w:t>
            </w:r>
          </w:p>
          <w:p>
            <w:pPr>
              <w:snapToGrid w:val="0"/>
              <w:spacing w:line="360" w:lineRule="exact"/>
              <w:ind w:firstLine="420" w:firstLineChars="200"/>
              <w:rPr>
                <w:rFonts w:ascii="宋体" w:hAnsi="宋体" w:cs="宋体"/>
                <w:szCs w:val="21"/>
                <w:highlight w:val="none"/>
              </w:rPr>
            </w:pPr>
            <w:r>
              <w:rPr>
                <w:rFonts w:hint="eastAsia" w:ascii="宋体" w:hAnsi="宋体" w:cs="Calibri"/>
                <w:szCs w:val="21"/>
                <w:highlight w:val="none"/>
                <w:lang w:eastAsia="zh-CN"/>
              </w:rPr>
              <w:t>（</w:t>
            </w:r>
            <w:r>
              <w:rPr>
                <w:rFonts w:hint="eastAsia" w:ascii="宋体" w:hAnsi="宋体" w:cs="Calibri"/>
                <w:szCs w:val="21"/>
                <w:highlight w:val="none"/>
                <w:lang w:val="en-US" w:eastAsia="zh-CN"/>
              </w:rPr>
              <w:t>1</w:t>
            </w:r>
            <w:r>
              <w:rPr>
                <w:rFonts w:hint="eastAsia" w:ascii="宋体" w:hAnsi="宋体" w:cs="Calibri"/>
                <w:szCs w:val="21"/>
                <w:highlight w:val="none"/>
                <w:lang w:eastAsia="zh-CN"/>
              </w:rPr>
              <w:t>）</w:t>
            </w:r>
            <w:r>
              <w:rPr>
                <w:rFonts w:ascii="宋体" w:hAnsi="宋体" w:cs="Calibri"/>
                <w:szCs w:val="21"/>
                <w:highlight w:val="none"/>
              </w:rPr>
              <w:t>中标供应商</w:t>
            </w:r>
            <w:r>
              <w:rPr>
                <w:rFonts w:hint="eastAsia" w:ascii="宋体" w:hAnsi="宋体" w:cs="宋体"/>
                <w:szCs w:val="21"/>
                <w:highlight w:val="none"/>
              </w:rPr>
              <w:t>可以以下两种方式缴纳履约保证金：</w:t>
            </w:r>
          </w:p>
          <w:p>
            <w:pPr>
              <w:snapToGrid w:val="0"/>
              <w:spacing w:line="360" w:lineRule="exact"/>
              <w:ind w:firstLine="420" w:firstLineChars="200"/>
              <w:rPr>
                <w:rFonts w:ascii="宋体" w:hAnsi="宋体" w:cs="宋体"/>
                <w:szCs w:val="21"/>
                <w:highlight w:val="none"/>
              </w:rPr>
            </w:pPr>
            <w:r>
              <w:rPr>
                <w:rFonts w:hint="eastAsia" w:ascii="宋体" w:hAnsi="宋体" w:cs="宋体"/>
                <w:szCs w:val="21"/>
                <w:highlight w:val="none"/>
              </w:rPr>
              <w:t>方式一：支票、汇票、本票、银行转账方式支付。</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履约保证金缴纳的账号信息：</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 xml:space="preserve">户名：广西壮族自治区卫生健康委员会 </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基本户银行账号：</w:t>
            </w:r>
            <w:r>
              <w:rPr>
                <w:rFonts w:ascii="宋体" w:hAnsi="宋体" w:cs="Calibri"/>
                <w:szCs w:val="21"/>
                <w:highlight w:val="none"/>
              </w:rPr>
              <w:t>2102108109264001189</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基本户开户行：中国工商银行股份有限公司南宁市桃源支行</w:t>
            </w:r>
          </w:p>
          <w:p>
            <w:pPr>
              <w:pStyle w:val="59"/>
              <w:rPr>
                <w:color w:val="auto"/>
                <w:highlight w:val="none"/>
              </w:rPr>
            </w:pPr>
          </w:p>
          <w:p>
            <w:pPr>
              <w:snapToGrid w:val="0"/>
              <w:spacing w:line="360" w:lineRule="exact"/>
              <w:ind w:firstLine="420" w:firstLineChars="200"/>
              <w:rPr>
                <w:rFonts w:ascii="宋体" w:hAnsi="宋体" w:cs="宋体"/>
                <w:szCs w:val="21"/>
                <w:highlight w:val="none"/>
              </w:rPr>
            </w:pPr>
            <w:r>
              <w:rPr>
                <w:rFonts w:hint="eastAsia" w:ascii="宋体" w:hAnsi="宋体" w:cs="宋体"/>
                <w:szCs w:val="21"/>
                <w:highlight w:val="none"/>
              </w:rPr>
              <w:t>方式二：</w:t>
            </w:r>
            <w:r>
              <w:rPr>
                <w:rFonts w:hint="eastAsia" w:ascii="宋体" w:hAnsi="宋体"/>
                <w:szCs w:val="21"/>
                <w:highlight w:val="none"/>
              </w:rPr>
              <w:t>金融机构出具的无条件见索即付的独立保函（含电子保函）。</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受益人：广西壮族自治区卫生健康委员会。</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递交要求：保函原件（或带有CA验签的电子保函打印件）须交至采购人指定联系人处。</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特别约定：保函须注明“不可撤销、无条件见索即付”；未经采购人书面同意，不得单方面撤销或修改。</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（2）履约</w:t>
            </w:r>
            <w:r>
              <w:rPr>
                <w:rFonts w:hint="eastAsia" w:ascii="宋体" w:hAnsi="宋体" w:cs="Calibri"/>
                <w:szCs w:val="21"/>
                <w:highlight w:val="none"/>
              </w:rPr>
              <w:t>保证</w:t>
            </w:r>
            <w:r>
              <w:rPr>
                <w:rFonts w:hint="eastAsia" w:ascii="宋体" w:hAnsi="宋体" w:cs="宋体"/>
                <w:szCs w:val="21"/>
                <w:highlight w:val="none"/>
              </w:rPr>
              <w:t>期限：</w:t>
            </w:r>
            <w:r>
              <w:rPr>
                <w:rFonts w:hint="eastAsia" w:ascii="宋体" w:hAnsi="宋体"/>
                <w:szCs w:val="21"/>
                <w:highlight w:val="none"/>
              </w:rPr>
              <w:t>自合同生效之日起至供应商按招标文件售后服务要求履行完义务为止。</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 xml:space="preserve">（3）有下列情形之一的，视为履约保证金提交无效： </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①未按规定方式缴纳，或未足额缴纳（含保函额度不足）；</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②转账凭证模糊、保函存在涂改、伪造、印章不清或背书瑕疵；</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③</w:t>
            </w:r>
            <w:r>
              <w:rPr>
                <w:rFonts w:hint="eastAsia" w:ascii="宋体" w:hAnsi="宋体"/>
                <w:highlight w:val="none"/>
              </w:rPr>
              <w:t>保函担保期限短于售后维保服务期限</w:t>
            </w:r>
            <w:r>
              <w:rPr>
                <w:rFonts w:hint="eastAsia" w:ascii="宋体" w:hAnsi="宋体" w:cs="宋体"/>
                <w:szCs w:val="21"/>
                <w:highlight w:val="none"/>
              </w:rPr>
              <w:t>；</w:t>
            </w:r>
          </w:p>
          <w:p>
            <w:pPr>
              <w:spacing w:line="360" w:lineRule="exact"/>
              <w:ind w:firstLine="420" w:firstLineChars="200"/>
              <w:rPr>
                <w:rFonts w:ascii="宋体" w:hAnsi="宋体" w:cs="Calibri"/>
                <w:szCs w:val="21"/>
                <w:highlight w:val="none"/>
              </w:rPr>
            </w:pPr>
            <w:r>
              <w:rPr>
                <w:rFonts w:hint="eastAsia" w:ascii="宋体" w:hAnsi="宋体" w:cs="宋体"/>
                <w:szCs w:val="21"/>
                <w:highlight w:val="none"/>
              </w:rPr>
              <w:t>④保函内容含有“需经法院判决后才赔付”等限制“见索即付”效力条款的。</w:t>
            </w:r>
          </w:p>
          <w:p>
            <w:pPr>
              <w:spacing w:line="360" w:lineRule="exact"/>
              <w:ind w:firstLine="420" w:firstLineChars="200"/>
              <w:rPr>
                <w:rFonts w:ascii="宋体" w:hAnsi="宋体" w:cs="Calibri"/>
                <w:szCs w:val="21"/>
                <w:highlight w:val="none"/>
              </w:rPr>
            </w:pPr>
            <w:r>
              <w:rPr>
                <w:rFonts w:hint="eastAsia" w:ascii="宋体" w:hAnsi="宋体" w:cs="Calibri"/>
                <w:szCs w:val="21"/>
                <w:highlight w:val="none"/>
                <w:lang w:val="en-US" w:eastAsia="zh-CN"/>
              </w:rPr>
              <w:t>4</w:t>
            </w:r>
            <w:r>
              <w:rPr>
                <w:rFonts w:hint="eastAsia" w:ascii="宋体" w:hAnsi="宋体" w:cs="Calibri"/>
                <w:szCs w:val="21"/>
                <w:highlight w:val="none"/>
              </w:rPr>
              <w:t>.履约保证金退付方式、时间及条件：</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（1）</w:t>
            </w:r>
            <w:r>
              <w:rPr>
                <w:rFonts w:hint="eastAsia" w:ascii="宋体" w:hAnsi="宋体" w:cs="Calibri"/>
                <w:szCs w:val="21"/>
                <w:highlight w:val="none"/>
              </w:rPr>
              <w:t>以支</w:t>
            </w:r>
            <w:r>
              <w:rPr>
                <w:rFonts w:hint="eastAsia" w:ascii="宋体" w:hAnsi="宋体" w:cs="宋体"/>
                <w:szCs w:val="21"/>
                <w:highlight w:val="none"/>
              </w:rPr>
              <w:t>票、汇票、本票、银行转账缴纳履约保证金的，</w:t>
            </w:r>
            <w:r>
              <w:rPr>
                <w:rFonts w:hint="eastAsia" w:ascii="宋体" w:hAnsi="宋体" w:cs="Calibri"/>
                <w:szCs w:val="21"/>
                <w:highlight w:val="none"/>
              </w:rPr>
              <w:t>自项目验收合格后，待供应商履行完售后维保服务义务且无违约或在违约索赔已结清的情况下，由供应商提出书面申请后，在5个工作日内采购人无息退还。</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（2）对于以</w:t>
            </w:r>
            <w:r>
              <w:rPr>
                <w:rFonts w:hint="eastAsia" w:ascii="宋体" w:hAnsi="宋体"/>
                <w:szCs w:val="21"/>
                <w:highlight w:val="none"/>
              </w:rPr>
              <w:t>金融机构出具的保函（含电子保函）</w:t>
            </w:r>
            <w:r>
              <w:rPr>
                <w:rFonts w:hint="eastAsia" w:ascii="宋体" w:hAnsi="宋体" w:cs="Calibri"/>
                <w:szCs w:val="21"/>
                <w:highlight w:val="none"/>
              </w:rPr>
              <w:t>方式</w:t>
            </w:r>
            <w:r>
              <w:rPr>
                <w:rFonts w:hint="eastAsia" w:ascii="宋体" w:hAnsi="宋体" w:cs="Calibri"/>
                <w:szCs w:val="21"/>
                <w:highlight w:val="none"/>
                <w:lang w:val="en-US" w:eastAsia="zh-CN"/>
              </w:rPr>
              <w:t>提交</w:t>
            </w:r>
            <w:r>
              <w:rPr>
                <w:rFonts w:hint="eastAsia" w:ascii="宋体" w:hAnsi="宋体" w:cs="Calibri"/>
                <w:szCs w:val="21"/>
                <w:highlight w:val="none"/>
              </w:rPr>
              <w:t>的履约保证金的，待供应商履行完售后维保服务义务且无违约或在违约索赔已结清的情况下，保函有效期届满后自动失效，采购人退还原件或系统确认失效。</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lang w:val="en-US" w:eastAsia="zh-CN"/>
              </w:rPr>
              <w:t>5</w:t>
            </w:r>
            <w:r>
              <w:rPr>
                <w:rFonts w:hint="eastAsia" w:ascii="宋体" w:hAnsi="宋体" w:cs="Calibri"/>
                <w:szCs w:val="21"/>
                <w:highlight w:val="none"/>
              </w:rPr>
              <w:t>.在履行合同过程中，未能按照合同约定履行合同义务的（不可抗力除外），若因此导致采购人或使用单位合同权益受损的，采购人有权扣除履约保证金。采购人有权依据项目合同及履约保证金凭证（无论转账或保函），</w:t>
            </w:r>
            <w:r>
              <w:rPr>
                <w:rFonts w:ascii="宋体" w:hAnsi="宋体"/>
                <w:szCs w:val="21"/>
                <w:highlight w:val="none"/>
              </w:rPr>
              <w:t>向供应商或</w:t>
            </w:r>
            <w:r>
              <w:rPr>
                <w:rFonts w:hint="eastAsia" w:ascii="宋体" w:hAnsi="宋体"/>
                <w:szCs w:val="21"/>
                <w:highlight w:val="none"/>
              </w:rPr>
              <w:t>金融机构</w:t>
            </w:r>
            <w:r>
              <w:rPr>
                <w:rFonts w:ascii="宋体" w:hAnsi="宋体"/>
                <w:szCs w:val="21"/>
                <w:highlight w:val="none"/>
              </w:rPr>
              <w:t>主张权利</w:t>
            </w:r>
            <w:r>
              <w:rPr>
                <w:rFonts w:hint="eastAsia" w:ascii="宋体" w:hAnsi="宋体" w:cs="Calibri"/>
                <w:szCs w:val="21"/>
                <w:highlight w:val="none"/>
              </w:rPr>
              <w:t>：</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①</w:t>
            </w:r>
            <w:r>
              <w:rPr>
                <w:rFonts w:hint="eastAsia" w:ascii="宋体" w:hAnsi="宋体" w:cs="Calibri"/>
                <w:szCs w:val="21"/>
                <w:highlight w:val="none"/>
              </w:rPr>
              <w:t>对于以支票、汇票、本票、银行转账缴纳履约保证金的供应商：</w:t>
            </w:r>
            <w:r>
              <w:rPr>
                <w:rFonts w:hint="eastAsia"/>
                <w:highlight w:val="none"/>
              </w:rPr>
              <w:t>如未按约定履行合同义务导致使用单位合同权益受损</w:t>
            </w:r>
            <w:r>
              <w:rPr>
                <w:rFonts w:hint="eastAsia" w:ascii="宋体" w:hAnsi="宋体" w:cs="Calibri"/>
                <w:szCs w:val="21"/>
                <w:highlight w:val="none"/>
              </w:rPr>
              <w:t>，采购人有权直接从已缴纳的保证金中扣除赔偿金。扣除后，若余额不足，供应商需在接到通知后3个工作日内补足。</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②</w:t>
            </w:r>
            <w:r>
              <w:rPr>
                <w:rFonts w:hint="eastAsia" w:ascii="宋体" w:hAnsi="宋体" w:cs="Calibri"/>
                <w:szCs w:val="21"/>
                <w:highlight w:val="none"/>
              </w:rPr>
              <w:t>对于以</w:t>
            </w:r>
            <w:r>
              <w:rPr>
                <w:rFonts w:hint="eastAsia" w:ascii="宋体" w:hAnsi="宋体"/>
                <w:szCs w:val="21"/>
                <w:highlight w:val="none"/>
              </w:rPr>
              <w:t>金融机构出具的保函（含电子保函）</w:t>
            </w:r>
            <w:r>
              <w:rPr>
                <w:rFonts w:hint="eastAsia" w:ascii="宋体" w:hAnsi="宋体" w:cs="Calibri"/>
                <w:szCs w:val="21"/>
                <w:highlight w:val="none"/>
                <w:lang w:val="en-US" w:eastAsia="zh-CN"/>
              </w:rPr>
              <w:t>提交</w:t>
            </w:r>
            <w:r>
              <w:rPr>
                <w:rFonts w:hint="eastAsia" w:ascii="宋体" w:hAnsi="宋体" w:cs="Calibri"/>
                <w:szCs w:val="21"/>
                <w:highlight w:val="none"/>
              </w:rPr>
              <w:t>的供应商：</w:t>
            </w:r>
            <w:r>
              <w:rPr>
                <w:rFonts w:hint="eastAsia"/>
                <w:highlight w:val="none"/>
              </w:rPr>
              <w:t>如未按约定履行合同义务导致使用单位合同权益受损</w:t>
            </w:r>
            <w:r>
              <w:rPr>
                <w:rFonts w:hint="eastAsia" w:ascii="宋体" w:hAnsi="宋体" w:cs="Calibri"/>
                <w:szCs w:val="21"/>
                <w:highlight w:val="none"/>
              </w:rPr>
              <w:t>，采购人有权依据保函向</w:t>
            </w:r>
            <w:r>
              <w:rPr>
                <w:rFonts w:hint="eastAsia" w:ascii="宋体" w:hAnsi="宋体"/>
                <w:szCs w:val="21"/>
                <w:highlight w:val="none"/>
              </w:rPr>
              <w:t>金融机构</w:t>
            </w:r>
            <w:r>
              <w:rPr>
                <w:rFonts w:hint="eastAsia" w:ascii="宋体" w:hAnsi="宋体" w:cs="Calibri"/>
                <w:szCs w:val="21"/>
                <w:highlight w:val="none"/>
              </w:rPr>
              <w:t>索赔。索赔成功后保函失效。供应商需在接到通知后3个工作日内，重新开具一张同等额度的新保函或转为现金缴纳，以覆盖</w:t>
            </w:r>
            <w:r>
              <w:rPr>
                <w:rFonts w:hint="eastAsia" w:ascii="宋体" w:hAnsi="宋体" w:cs="宋体"/>
                <w:szCs w:val="21"/>
                <w:highlight w:val="none"/>
              </w:rPr>
              <w:t>保函额度不足的</w:t>
            </w:r>
            <w:r>
              <w:rPr>
                <w:rFonts w:hint="eastAsia" w:ascii="宋体" w:hAnsi="宋体" w:cs="Calibri"/>
                <w:szCs w:val="21"/>
                <w:highlight w:val="none"/>
              </w:rPr>
              <w:t>风险。</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③如供应商无法按时补足同等效力担保的，采购人有权直接从应付该供应商的其他款项中扣除，或视为供应商根本违约，采购人有权单方解除合同并追究违约责任。</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lang w:val="en-US" w:eastAsia="zh-CN"/>
              </w:rPr>
              <w:t>6</w:t>
            </w:r>
            <w:r>
              <w:rPr>
                <w:rFonts w:hint="eastAsia" w:ascii="宋体" w:hAnsi="宋体" w:cs="Calibri"/>
                <w:szCs w:val="21"/>
                <w:highlight w:val="none"/>
              </w:rPr>
              <w:t>.风险处置措施和替代方案：若乙方因自身原因（如资金、生产能力等）无法按约履约，需在违约情形发生后24小时内书面通知甲方，甲方1有权选择：①要求乙方在5天内恢复履约</w:t>
            </w:r>
            <w:r>
              <w:rPr>
                <w:rFonts w:hint="eastAsia" w:asciiTheme="minorEastAsia" w:hAnsiTheme="minorEastAsia" w:eastAsiaTheme="minorEastAsia"/>
                <w:color w:val="000000"/>
                <w:highlight w:val="none"/>
              </w:rPr>
              <w:t>，供应商应按合同约定承担相应的违约责任；</w:t>
            </w:r>
            <w:r>
              <w:rPr>
                <w:rFonts w:hint="eastAsia" w:ascii="宋体" w:hAnsi="宋体" w:cs="Calibri"/>
                <w:szCs w:val="21"/>
                <w:highlight w:val="none"/>
              </w:rPr>
              <w:t>②解除合同，乙方承担合同金额10%的违约金，并赔偿甲方2实际造成的损失。</w:t>
            </w:r>
          </w:p>
          <w:p>
            <w:pPr>
              <w:snapToGrid w:val="0"/>
              <w:spacing w:line="360" w:lineRule="exact"/>
              <w:ind w:firstLine="420" w:firstLineChars="200"/>
              <w:rPr>
                <w:rFonts w:ascii="宋体" w:hAnsi="宋体" w:cs="Calibri"/>
                <w:color w:val="auto"/>
                <w:szCs w:val="21"/>
                <w:highlight w:val="none"/>
              </w:rPr>
            </w:pPr>
            <w:r>
              <w:rPr>
                <w:rFonts w:hint="eastAsia" w:ascii="宋体" w:hAnsi="宋体" w:cs="Calibri"/>
                <w:szCs w:val="21"/>
                <w:highlight w:val="none"/>
              </w:rPr>
              <w:t>若因不可抗力导致履约受阻，双方需在不可抗力发生后7个工作日内协商调整履约计划，互不承担违约责任。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投标报价要求</w:t>
            </w:r>
          </w:p>
        </w:tc>
        <w:tc>
          <w:tcPr>
            <w:tcW w:w="7898" w:type="dxa"/>
            <w:gridSpan w:val="6"/>
            <w:tcBorders>
              <w:top w:val="single" w:color="auto" w:sz="4" w:space="0"/>
              <w:left w:val="single" w:color="auto" w:sz="4" w:space="0"/>
              <w:bottom w:val="single" w:color="auto" w:sz="4" w:space="0"/>
            </w:tcBorders>
            <w:vAlign w:val="center"/>
          </w:tcPr>
          <w:p>
            <w:pPr>
              <w:pStyle w:val="27"/>
              <w:snapToGrid w:val="0"/>
              <w:spacing w:line="360" w:lineRule="auto"/>
              <w:ind w:left="34"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投标报价包含货物、货物标准附件、备品备件、专用工具、设备安装辅材、包装、运输、装卸、保险、货到就位、质保期(包修期)内维护、保养、维修及设备软件更新升级的各种费用以及设备安装场地的改造、调试等本采购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一切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605" w:type="dxa"/>
            <w:gridSpan w:val="9"/>
            <w:tcBorders>
              <w:top w:val="single" w:color="auto" w:sz="4" w:space="0"/>
              <w:bottom w:val="single" w:color="auto" w:sz="4" w:space="0"/>
            </w:tcBorders>
            <w:vAlign w:val="center"/>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三、与实现项目目标相关的其他要求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605" w:type="dxa"/>
            <w:gridSpan w:val="9"/>
            <w:tcBorders>
              <w:top w:val="single" w:color="auto" w:sz="4" w:space="0"/>
              <w:bottom w:val="single" w:color="auto" w:sz="4" w:space="0"/>
            </w:tcBorders>
            <w:vAlign w:val="center"/>
          </w:tcPr>
          <w:p>
            <w:pPr>
              <w:spacing w:line="360" w:lineRule="auto"/>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color w:val="auto"/>
                <w:szCs w:val="21"/>
                <w:highlight w:val="none"/>
              </w:rPr>
              <w:t>（一）投标人的履约能力要求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管理体系要求</w:t>
            </w:r>
          </w:p>
        </w:tc>
        <w:tc>
          <w:tcPr>
            <w:tcW w:w="7898"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见招标文件 “评标办法及评分标准”。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业绩要求</w:t>
            </w:r>
          </w:p>
        </w:tc>
        <w:tc>
          <w:tcPr>
            <w:tcW w:w="7898"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见招标文件 “评标办法及评分标准”。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605" w:type="dxa"/>
            <w:gridSpan w:val="9"/>
            <w:tcBorders>
              <w:top w:val="single" w:color="auto" w:sz="4" w:space="0"/>
              <w:bottom w:val="single" w:color="auto" w:sz="4" w:space="0"/>
            </w:tcBorders>
            <w:vAlign w:val="center"/>
          </w:tcPr>
          <w:p>
            <w:pPr>
              <w:spacing w:line="36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（二）政策性加分条件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pacing w:line="360" w:lineRule="auto"/>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政策性加分条件</w:t>
            </w:r>
          </w:p>
        </w:tc>
        <w:tc>
          <w:tcPr>
            <w:tcW w:w="7898"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符合节能环保等国家政策要求。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605" w:type="dxa"/>
            <w:gridSpan w:val="9"/>
            <w:tcBorders>
              <w:top w:val="single" w:color="auto" w:sz="4" w:space="0"/>
              <w:bottom w:val="single" w:color="auto" w:sz="4" w:space="0"/>
            </w:tcBorders>
            <w:vAlign w:val="center"/>
          </w:tcPr>
          <w:p>
            <w:pPr>
              <w:spacing w:line="36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（三）验收标准、验收方法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验收标准、验收方法及方案</w:t>
            </w:r>
          </w:p>
        </w:tc>
        <w:tc>
          <w:tcPr>
            <w:tcW w:w="7898" w:type="dxa"/>
            <w:gridSpan w:val="6"/>
            <w:tcBorders>
              <w:top w:val="single" w:color="auto" w:sz="4" w:space="0"/>
              <w:left w:val="single" w:color="auto" w:sz="4" w:space="0"/>
              <w:bottom w:val="single" w:color="auto" w:sz="4" w:space="0"/>
            </w:tcBorders>
            <w:vAlign w:val="center"/>
          </w:tcPr>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采购人自行组织验收或委托第三方组织验收。</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1.中标供应商提供不符合公告规定的、招标文件、投标文件承诺的或本合同规定的货物，采购人有权拒绝接受。</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2.中标供应商应将所提供货物的装箱清单、用户手册、原厂保修卡、随机资料、工具和备品、备件等在初步查验阶段交付给使用单位，如有缺失应在采购人要求的期限内及时补齐，否则视为逾期交货。</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货物为原厂商未启封全新包装，具出厂合格证，清晰标注生产日期，序列号、包装箱号与出厂批号一致，并可追索查阅。所有随设备的附件必须齐全。货物生产日期必须符合招标文件的要求。生产日期不符合要求视为交付产品不合格，采购人有权拒收货物，并要求采购人承担违约责任。</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4.中标供应商在交货前，应对产品进行全面检查并对交付验收文件材料进行汇总整理，编制文件清单，作为使用单位验收和使用的技术条件依据。</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5.初步查验：货物送达使用单位指定地点后，使用单位应在2个工作日内组织初步查验，初步查验合格后由双方签署</w:t>
            </w:r>
            <w:r>
              <w:rPr>
                <w:rFonts w:hint="eastAsia" w:cs="Calibri"/>
                <w:color w:val="auto"/>
                <w:sz w:val="21"/>
                <w:szCs w:val="21"/>
                <w:highlight w:val="none"/>
              </w:rPr>
              <w:t>《设备到货确认单》</w:t>
            </w:r>
            <w:r>
              <w:rPr>
                <w:rFonts w:hint="eastAsia" w:asciiTheme="minorEastAsia" w:hAnsiTheme="minorEastAsia" w:eastAsiaTheme="minorEastAsia" w:cstheme="minorEastAsia"/>
                <w:color w:val="auto"/>
                <w:sz w:val="21"/>
                <w:szCs w:val="21"/>
                <w:highlight w:val="none"/>
              </w:rPr>
              <w:t>并加盖采购人单位公章。</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6.使用单位应当在货物达到最终验收状态（安装调试完成且可正常使用60日无质量问题）5个工作日内组织进行验收。验收合格后由双方签署货物验收单并加盖采购人单位公章。</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r>
              <w:rPr>
                <w:rFonts w:hint="eastAsia" w:ascii="宋体" w:hAnsi="宋体" w:cs="宋体"/>
                <w:color w:val="auto"/>
                <w:sz w:val="21"/>
                <w:szCs w:val="21"/>
                <w:highlight w:val="none"/>
              </w:rPr>
              <w:t>若采购人委托第三方组织的验收项目，其验收时间以该项目验收方案确定的验收时间为准，验收结果以该项目验收报告结论为准，由此所产生的的验收费用由中标人承担；采购人组织验收专家组对验收情况进行抽查，如在抽查过程中发现中标供应商有违约问题，可暂缓资金结算，待违约问题解决后，方可办理资金结算事宜，在此期间，采购人不承担逾期付款责任</w:t>
            </w:r>
            <w:r>
              <w:rPr>
                <w:rFonts w:hint="eastAsia" w:asciiTheme="minorEastAsia" w:hAnsiTheme="minorEastAsia" w:eastAsiaTheme="minorEastAsia" w:cstheme="minorEastAsia"/>
                <w:color w:val="auto"/>
                <w:sz w:val="21"/>
                <w:szCs w:val="21"/>
                <w:highlight w:val="none"/>
              </w:rPr>
              <w:t>。</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因货物质量问题或验收结果发生争议的，采购人或使用单位应邀请国家认定的质量检测机构按照采购文件采购需求对货物质量进行验收。货物符合验收标准的，鉴定费由采购人或使用单位承担；货物不符合验收标准的，鉴定费由中标供应商承担。</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9.具体履约验收程序详见第五章政府采购合同协议书。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605" w:type="dxa"/>
            <w:gridSpan w:val="9"/>
            <w:tcBorders>
              <w:top w:val="single" w:color="auto" w:sz="4" w:space="0"/>
              <w:bottom w:val="single" w:color="auto" w:sz="4" w:space="0"/>
            </w:tcBorders>
            <w:vAlign w:val="center"/>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（四）进口产品说明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进口产品说明</w:t>
            </w:r>
          </w:p>
        </w:tc>
        <w:tc>
          <w:tcPr>
            <w:tcW w:w="7898"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本分标货物不接受进口产品（即通过中国海关报关验放进入中国境内且产自关境外的产品）参与投标，如有进口产品参与投标的作无效标处理。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605" w:type="dxa"/>
            <w:gridSpan w:val="9"/>
            <w:tcBorders>
              <w:top w:val="single" w:color="auto" w:sz="4" w:space="0"/>
              <w:bottom w:val="single" w:color="auto" w:sz="4" w:space="0"/>
            </w:tcBorders>
            <w:vAlign w:val="center"/>
          </w:tcPr>
          <w:p>
            <w:pPr>
              <w:spacing w:line="36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kern w:val="0"/>
                <w:szCs w:val="21"/>
                <w:highlight w:val="none"/>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规范标准</w:t>
            </w:r>
          </w:p>
        </w:tc>
        <w:tc>
          <w:tcPr>
            <w:tcW w:w="7898"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执行现行的强制执行的国家、行业、地方标准。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其他技术及服务要求</w:t>
            </w:r>
          </w:p>
        </w:tc>
        <w:tc>
          <w:tcPr>
            <w:tcW w:w="7898"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执行现行的强制执行的国家、行业、地方标准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pacing w:line="360" w:lineRule="auto"/>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▲产品资料及说明文件</w:t>
            </w:r>
          </w:p>
        </w:tc>
        <w:tc>
          <w:tcPr>
            <w:tcW w:w="7898"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kern w:val="0"/>
                <w:szCs w:val="21"/>
                <w:highlight w:val="none"/>
                <w:lang w:val="zh-CN"/>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pStyle w:val="2"/>
              <w:spacing w:line="360" w:lineRule="auto"/>
              <w:ind w:firstLine="420"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2.供应商（或设备生产厂家）须按照《放射性同位素与射线装置安全和防护条例》、《放射性同位素与射线装置安全许可管理办法》的规定，完成设备的安装及调试。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pacing w:line="360" w:lineRule="auto"/>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▲采购预算价及最高限价</w:t>
            </w:r>
          </w:p>
        </w:tc>
        <w:tc>
          <w:tcPr>
            <w:tcW w:w="7898"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投标文件中提供投标产品对外公开的产品彩页或说明书（体现技术参数，可以是从生产厂家网页下载的PDF或HTM文件或在国家药品监督管理部门备案的技术参数或检测报告或生产厂家盖章的技术参数证明材料），以供评标时核对。当投标文件提供的仪器性能参数与该仪器生产商提供的性能参数不符合时，以后者为准。</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2.投标人在供货时必须提供所投标产品生产厂家或合法授权的厂家代理商出具的授权书，原件备查。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pacing w:line="360" w:lineRule="auto"/>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▲医疗器械注册证</w:t>
            </w:r>
          </w:p>
        </w:tc>
        <w:tc>
          <w:tcPr>
            <w:tcW w:w="7898" w:type="dxa"/>
            <w:gridSpan w:val="6"/>
            <w:tcBorders>
              <w:top w:val="single" w:color="auto" w:sz="4" w:space="0"/>
              <w:left w:val="single" w:color="auto" w:sz="4" w:space="0"/>
              <w:bottom w:val="single" w:color="auto" w:sz="4" w:space="0"/>
            </w:tcBorders>
          </w:tcPr>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详见《第一章公开招标公告》，投标报价超采购预算（含单项采购预算，如有）及最高限价（含单项最高限价，如有）的投标无效。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Cs w:val="21"/>
                <w:highlight w:val="none"/>
              </w:rPr>
            </w:pPr>
            <w:r>
              <w:rPr>
                <w:rFonts w:hint="eastAsia" w:ascii="宋体" w:hAnsi="宋体" w:cs="宋体"/>
                <w:color w:val="auto"/>
                <w:szCs w:val="21"/>
                <w:highlight w:val="none"/>
              </w:rPr>
              <w:t>其它</w:t>
            </w:r>
          </w:p>
        </w:tc>
        <w:tc>
          <w:tcPr>
            <w:tcW w:w="7898"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投标人根据自身情况提供方案，内容包括但不限于：</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1.项目实施方案（包括但不限于：实施管理组织架构、实施管理措施、实施流程及进度安排、设备配送方案、设备配送团队、安装方案、验收方案、质量保障措施等）</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2.拟投入技术人员方案（包含但不限于技术人员投入计划，有技术人员在质保期内提供技术支持和协助计划，拟派技术人员的经验介绍，有利于采购项目实施的内容或合理性建议））；</w:t>
            </w:r>
          </w:p>
          <w:p>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3.培训方案（包括但不限于：培训计划、培训方式、培训次数、人数、课程内容及师资等）；</w:t>
            </w:r>
          </w:p>
          <w:p>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4.售后服务方案（包括但不限于：服务承诺、售后服务团队配置、服务保障体系，响应时间，服务流程，应急预案，技术服务表单等）。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pacing w:line="360" w:lineRule="exact"/>
              <w:jc w:val="center"/>
              <w:rPr>
                <w:rFonts w:ascii="宋体" w:hAnsi="宋体"/>
                <w:color w:val="auto"/>
                <w:highlight w:val="none"/>
              </w:rPr>
            </w:pPr>
            <w:r>
              <w:rPr>
                <w:rFonts w:hint="eastAsia"/>
                <w:color w:val="auto"/>
                <w:szCs w:val="21"/>
                <w:highlight w:val="none"/>
              </w:rPr>
              <w:t>包装和运输要求</w:t>
            </w:r>
          </w:p>
        </w:tc>
        <w:tc>
          <w:tcPr>
            <w:tcW w:w="7898"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rFonts w:ascii="宋体" w:hAnsi="宋体"/>
                <w:color w:val="auto"/>
                <w:highlight w:val="none"/>
              </w:rPr>
            </w:pPr>
            <w:r>
              <w:rPr>
                <w:rFonts w:hint="eastAsia"/>
                <w:color w:val="auto"/>
                <w:szCs w:val="21"/>
                <w:highlight w:val="none"/>
              </w:rPr>
              <w:t>根据《财政部等三部门联合印发商品包装和快递包装政府采购需求标准（试行）》财办库〔2020〕123号文规定，若投标产品使用塑料、纸质、木质等包装材料时应满足《商品包装政府采购需求标准（试行）》要求，若投标产品需要快递包装，快递封装材料应满足《快递包装政府采购需求标准（试行）》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1707" w:type="dxa"/>
            <w:gridSpan w:val="3"/>
            <w:tcBorders>
              <w:top w:val="single" w:color="auto" w:sz="4" w:space="0"/>
              <w:bottom w:val="single" w:color="auto" w:sz="4" w:space="0"/>
              <w:right w:val="single" w:color="auto" w:sz="4" w:space="0"/>
            </w:tcBorders>
            <w:vAlign w:val="center"/>
          </w:tcPr>
          <w:p>
            <w:pPr>
              <w:spacing w:line="360" w:lineRule="exact"/>
              <w:jc w:val="center"/>
              <w:rPr>
                <w:color w:val="auto"/>
                <w:szCs w:val="21"/>
                <w:highlight w:val="none"/>
              </w:rPr>
            </w:pPr>
            <w:r>
              <w:rPr>
                <w:rFonts w:hint="eastAsia"/>
                <w:color w:val="auto"/>
                <w:szCs w:val="21"/>
                <w:highlight w:val="none"/>
              </w:rPr>
              <w:t>保险</w:t>
            </w:r>
          </w:p>
        </w:tc>
        <w:tc>
          <w:tcPr>
            <w:tcW w:w="7898" w:type="dxa"/>
            <w:gridSpan w:val="6"/>
            <w:tcBorders>
              <w:top w:val="single" w:color="auto" w:sz="4" w:space="0"/>
              <w:left w:val="single" w:color="auto" w:sz="4" w:space="0"/>
              <w:bottom w:val="single" w:color="auto" w:sz="4" w:space="0"/>
            </w:tcBorders>
            <w:vAlign w:val="center"/>
          </w:tcPr>
          <w:p>
            <w:pPr>
              <w:spacing w:line="360" w:lineRule="auto"/>
              <w:ind w:firstLine="420" w:firstLineChars="200"/>
              <w:rPr>
                <w:color w:val="auto"/>
                <w:szCs w:val="21"/>
                <w:highlight w:val="none"/>
              </w:rPr>
            </w:pPr>
            <w:r>
              <w:rPr>
                <w:rFonts w:hint="eastAsia"/>
                <w:color w:val="auto"/>
                <w:szCs w:val="21"/>
                <w:highlight w:val="none"/>
              </w:rPr>
              <w:t>供应商负责办理运输和保险，将货物运抵交货地点。与运输、保险相关的费用由供应商承担。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9605" w:type="dxa"/>
            <w:gridSpan w:val="9"/>
            <w:tcBorders>
              <w:top w:val="single" w:color="auto" w:sz="4" w:space="0"/>
              <w:bottom w:val="single" w:color="auto" w:sz="4" w:space="0"/>
            </w:tcBorders>
            <w:vAlign w:val="center"/>
          </w:tcPr>
          <w:p>
            <w:pPr>
              <w:spacing w:line="360" w:lineRule="auto"/>
              <w:rPr>
                <w:rFonts w:ascii="宋体" w:hAnsi="宋体" w:cs="宋体"/>
                <w:color w:val="auto"/>
                <w:kern w:val="0"/>
                <w:szCs w:val="21"/>
                <w:highlight w:val="none"/>
              </w:rPr>
            </w:pPr>
            <w:r>
              <w:rPr>
                <w:rFonts w:hint="eastAsia"/>
                <w:b/>
                <w:bCs/>
                <w:color w:val="auto"/>
                <w:szCs w:val="21"/>
                <w:highlight w:val="none"/>
              </w:rPr>
              <w:t>（六）本项目所涉区内县域医共体使用单位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609" w:type="dxa"/>
            <w:tcBorders>
              <w:top w:val="single" w:color="auto" w:sz="4" w:space="0"/>
              <w:bottom w:val="single" w:color="auto" w:sz="4" w:space="0"/>
              <w:right w:val="single" w:color="auto" w:sz="4" w:space="0"/>
            </w:tcBorders>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序号</w:t>
            </w:r>
          </w:p>
        </w:tc>
        <w:tc>
          <w:tcPr>
            <w:tcW w:w="9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地市</w:t>
            </w:r>
          </w:p>
        </w:tc>
        <w:tc>
          <w:tcPr>
            <w:tcW w:w="992"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县（市区）</w:t>
            </w:r>
          </w:p>
        </w:tc>
        <w:tc>
          <w:tcPr>
            <w:tcW w:w="19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医共体名称</w:t>
            </w: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牵头单位</w:t>
            </w:r>
          </w:p>
        </w:tc>
        <w:tc>
          <w:tcPr>
            <w:tcW w:w="165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使用单位名称</w:t>
            </w:r>
          </w:p>
        </w:tc>
        <w:tc>
          <w:tcPr>
            <w:tcW w:w="1672" w:type="dxa"/>
            <w:tcBorders>
              <w:top w:val="single" w:color="auto" w:sz="4" w:space="0"/>
              <w:left w:val="single" w:color="auto" w:sz="4" w:space="0"/>
              <w:bottom w:val="single" w:color="auto" w:sz="4" w:space="0"/>
            </w:tcBorders>
            <w:vAlign w:val="center"/>
          </w:tcPr>
          <w:p>
            <w:pPr>
              <w:spacing w:line="360" w:lineRule="exact"/>
              <w:ind w:right="-204" w:rightChars="-97"/>
              <w:jc w:val="center"/>
              <w:rPr>
                <w:rFonts w:ascii="宋体" w:hAnsi="宋体"/>
                <w:color w:val="auto"/>
                <w:szCs w:val="21"/>
                <w:highlight w:val="none"/>
              </w:rPr>
            </w:pPr>
            <w:r>
              <w:rPr>
                <w:rFonts w:hint="eastAsia" w:ascii="宋体" w:hAnsi="宋体"/>
                <w:color w:val="auto"/>
                <w:szCs w:val="21"/>
                <w:highlight w:val="none"/>
              </w:rPr>
              <w:t>采购数量（台）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0" w:hRule="atLeast"/>
          <w:jc w:val="center"/>
        </w:trPr>
        <w:tc>
          <w:tcPr>
            <w:tcW w:w="609" w:type="dxa"/>
            <w:tcBorders>
              <w:top w:val="single" w:color="auto" w:sz="4" w:space="0"/>
              <w:bottom w:val="single" w:color="auto" w:sz="4" w:space="0"/>
              <w:right w:val="single" w:color="auto" w:sz="4" w:space="0"/>
            </w:tcBorders>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9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柳州市</w:t>
            </w:r>
          </w:p>
        </w:tc>
        <w:tc>
          <w:tcPr>
            <w:tcW w:w="992"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融水县</w:t>
            </w:r>
          </w:p>
        </w:tc>
        <w:tc>
          <w:tcPr>
            <w:tcW w:w="19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融水苗族自治县妇幼保健院医共体</w:t>
            </w: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融水苗族自治县妇幼保健院</w:t>
            </w:r>
          </w:p>
        </w:tc>
        <w:tc>
          <w:tcPr>
            <w:tcW w:w="165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olor w:val="auto"/>
                <w:szCs w:val="21"/>
                <w:highlight w:val="none"/>
              </w:rPr>
            </w:pPr>
            <w:r>
              <w:rPr>
                <w:rFonts w:hint="eastAsia" w:ascii="宋体" w:hAnsi="宋体"/>
                <w:color w:val="auto"/>
                <w:szCs w:val="21"/>
                <w:highlight w:val="none"/>
              </w:rPr>
              <w:t>融水苗族自治县妇幼保健院</w:t>
            </w:r>
          </w:p>
        </w:tc>
        <w:tc>
          <w:tcPr>
            <w:tcW w:w="1672" w:type="dxa"/>
            <w:tcBorders>
              <w:top w:val="single" w:color="auto" w:sz="4" w:space="0"/>
              <w:left w:val="single" w:color="auto" w:sz="4" w:space="0"/>
              <w:bottom w:val="single" w:color="auto" w:sz="4" w:space="0"/>
            </w:tcBorders>
            <w:vAlign w:val="center"/>
          </w:tcPr>
          <w:p>
            <w:pPr>
              <w:spacing w:line="360" w:lineRule="exact"/>
              <w:ind w:right="-204" w:rightChars="-97"/>
              <w:jc w:val="center"/>
              <w:rPr>
                <w:rFonts w:ascii="宋体" w:hAnsi="宋体"/>
                <w:color w:val="auto"/>
                <w:szCs w:val="21"/>
                <w:highlight w:val="none"/>
              </w:rPr>
            </w:pPr>
            <w:r>
              <w:rPr>
                <w:rFonts w:hint="eastAsia" w:ascii="宋体" w:hAnsi="宋体"/>
                <w:color w:val="auto"/>
                <w:szCs w:val="21"/>
                <w:highlight w:val="none"/>
              </w:rPr>
              <w:t>1</w:t>
            </w:r>
          </w:p>
        </w:tc>
      </w:tr>
    </w:tbl>
    <w:p>
      <w:pPr>
        <w:spacing w:line="360" w:lineRule="auto"/>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highlight w:val="none"/>
        </w:rPr>
        <w:br w:type="page"/>
      </w:r>
    </w:p>
    <w:p>
      <w:pPr>
        <w:widowControl/>
        <w:spacing w:line="360" w:lineRule="auto"/>
        <w:jc w:val="left"/>
        <w:rPr>
          <w:rFonts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附件：</w:t>
      </w:r>
    </w:p>
    <w:p>
      <w:pPr>
        <w:spacing w:before="7" w:line="360" w:lineRule="auto"/>
        <w:rPr>
          <w:rFonts w:asciiTheme="minorEastAsia" w:hAnsiTheme="minorEastAsia" w:eastAsiaTheme="minorEastAsia" w:cstheme="minorEastAsia"/>
          <w:color w:val="auto"/>
          <w:sz w:val="17"/>
          <w:szCs w:val="17"/>
          <w:highlight w:val="none"/>
        </w:rPr>
      </w:pPr>
    </w:p>
    <w:p>
      <w:pPr>
        <w:spacing w:line="360" w:lineRule="auto"/>
        <w:jc w:val="center"/>
        <w:rPr>
          <w:rFonts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节能产品政府采购品目清单</w:t>
      </w:r>
    </w:p>
    <w:tbl>
      <w:tblPr>
        <w:tblStyle w:val="52"/>
        <w:tblW w:w="89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015"/>
        <w:gridCol w:w="1554"/>
        <w:gridCol w:w="1769"/>
        <w:gridCol w:w="3904"/>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Align w:val="center"/>
          </w:tcPr>
          <w:p>
            <w:pPr>
              <w:pStyle w:val="60"/>
              <w:spacing w:before="124" w:line="360" w:lineRule="auto"/>
              <w:ind w:left="7" w:right="4"/>
              <w:jc w:val="center"/>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品目序号</w:t>
            </w:r>
          </w:p>
        </w:tc>
        <w:tc>
          <w:tcPr>
            <w:tcW w:w="4338" w:type="dxa"/>
            <w:gridSpan w:val="3"/>
            <w:vAlign w:val="center"/>
          </w:tcPr>
          <w:p>
            <w:pPr>
              <w:pStyle w:val="60"/>
              <w:spacing w:before="124" w:line="360" w:lineRule="auto"/>
              <w:ind w:left="7" w:right="4"/>
              <w:jc w:val="center"/>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名称</w:t>
            </w:r>
          </w:p>
        </w:tc>
        <w:tc>
          <w:tcPr>
            <w:tcW w:w="3910" w:type="dxa"/>
            <w:gridSpan w:val="2"/>
            <w:vAlign w:val="center"/>
          </w:tcPr>
          <w:p>
            <w:pPr>
              <w:pStyle w:val="60"/>
              <w:spacing w:before="124" w:line="360" w:lineRule="auto"/>
              <w:ind w:left="7" w:right="4"/>
              <w:jc w:val="center"/>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依据的标准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restart"/>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1015" w:type="dxa"/>
            <w:vMerge w:val="restart"/>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A020101计算机设备</w:t>
            </w:r>
          </w:p>
        </w:tc>
        <w:tc>
          <w:tcPr>
            <w:tcW w:w="155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★A02010104台式计算机</w:t>
            </w: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3910" w:type="dxa"/>
            <w:gridSpan w:val="2"/>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Align w:val="center"/>
          </w:tcPr>
          <w:p>
            <w:pPr>
              <w:pStyle w:val="60"/>
              <w:spacing w:before="44" w:line="360" w:lineRule="auto"/>
              <w:ind w:left="7" w:right="5"/>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★A02010105便携式计算机</w:t>
            </w:r>
          </w:p>
        </w:tc>
        <w:tc>
          <w:tcPr>
            <w:tcW w:w="1769" w:type="dxa"/>
            <w:vAlign w:val="center"/>
          </w:tcPr>
          <w:p>
            <w:pPr>
              <w:spacing w:line="360" w:lineRule="auto"/>
              <w:jc w:val="center"/>
              <w:rPr>
                <w:rFonts w:asciiTheme="minorEastAsia" w:hAnsiTheme="minorEastAsia" w:eastAsiaTheme="minorEastAsia" w:cstheme="minorEastAsia"/>
                <w:color w:val="auto"/>
                <w:kern w:val="0"/>
                <w:szCs w:val="21"/>
                <w:highlight w:val="none"/>
                <w:lang w:eastAsia="en-US"/>
              </w:rPr>
            </w:pPr>
          </w:p>
        </w:tc>
        <w:tc>
          <w:tcPr>
            <w:tcW w:w="3910" w:type="dxa"/>
            <w:gridSpan w:val="2"/>
            <w:vAlign w:val="center"/>
          </w:tcPr>
          <w:p>
            <w:pPr>
              <w:pStyle w:val="60"/>
              <w:spacing w:before="4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Align w:val="center"/>
          </w:tcPr>
          <w:p>
            <w:pPr>
              <w:pStyle w:val="60"/>
              <w:spacing w:before="64" w:line="360" w:lineRule="auto"/>
              <w:ind w:left="7" w:right="5"/>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★A02010107平板式微型计算机</w:t>
            </w:r>
          </w:p>
        </w:tc>
        <w:tc>
          <w:tcPr>
            <w:tcW w:w="1769" w:type="dxa"/>
            <w:vAlign w:val="center"/>
          </w:tcPr>
          <w:p>
            <w:pPr>
              <w:spacing w:line="360" w:lineRule="auto"/>
              <w:jc w:val="center"/>
              <w:rPr>
                <w:rFonts w:asciiTheme="minorEastAsia" w:hAnsiTheme="minorEastAsia" w:eastAsiaTheme="minorEastAsia" w:cstheme="minorEastAsia"/>
                <w:color w:val="auto"/>
                <w:kern w:val="0"/>
                <w:szCs w:val="21"/>
                <w:highlight w:val="none"/>
              </w:rPr>
            </w:pPr>
          </w:p>
        </w:tc>
        <w:tc>
          <w:tcPr>
            <w:tcW w:w="3910" w:type="dxa"/>
            <w:gridSpan w:val="2"/>
            <w:vAlign w:val="center"/>
          </w:tcPr>
          <w:p>
            <w:pPr>
              <w:pStyle w:val="60"/>
              <w:spacing w:before="6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《微型计算机能效限定值及能效等级》（GB28380）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restart"/>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015" w:type="dxa"/>
            <w:vMerge w:val="restart"/>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A020106输入输出设备</w:t>
            </w:r>
          </w:p>
        </w:tc>
        <w:tc>
          <w:tcPr>
            <w:tcW w:w="1554" w:type="dxa"/>
            <w:vMerge w:val="restart"/>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A02010601打印设备</w:t>
            </w: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A0201060101喷墨打</w:t>
            </w:r>
          </w:p>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印机</w:t>
            </w:r>
          </w:p>
        </w:tc>
        <w:tc>
          <w:tcPr>
            <w:tcW w:w="3910" w:type="dxa"/>
            <w:gridSpan w:val="2"/>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769" w:type="dxa"/>
            <w:vAlign w:val="center"/>
          </w:tcPr>
          <w:p>
            <w:pPr>
              <w:pStyle w:val="60"/>
              <w:spacing w:before="52" w:line="360" w:lineRule="auto"/>
              <w:ind w:left="7"/>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★A0201060102激光</w:t>
            </w:r>
          </w:p>
          <w:p>
            <w:pPr>
              <w:pStyle w:val="60"/>
              <w:spacing w:before="50" w:line="360" w:lineRule="auto"/>
              <w:ind w:left="7"/>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打印机</w:t>
            </w:r>
          </w:p>
        </w:tc>
        <w:tc>
          <w:tcPr>
            <w:tcW w:w="3910" w:type="dxa"/>
            <w:gridSpan w:val="2"/>
            <w:vAlign w:val="center"/>
          </w:tcPr>
          <w:p>
            <w:pPr>
              <w:pStyle w:val="60"/>
              <w:spacing w:before="52" w:line="360" w:lineRule="auto"/>
              <w:ind w:left="7" w:righ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769" w:type="dxa"/>
            <w:vAlign w:val="center"/>
          </w:tcPr>
          <w:p>
            <w:pPr>
              <w:pStyle w:val="60"/>
              <w:spacing w:before="52" w:line="360" w:lineRule="auto"/>
              <w:ind w:left="7"/>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★A0201060104针式</w:t>
            </w:r>
          </w:p>
          <w:p>
            <w:pPr>
              <w:pStyle w:val="60"/>
              <w:spacing w:before="50" w:line="360" w:lineRule="auto"/>
              <w:ind w:left="7"/>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打印机</w:t>
            </w:r>
          </w:p>
        </w:tc>
        <w:tc>
          <w:tcPr>
            <w:tcW w:w="3910" w:type="dxa"/>
            <w:gridSpan w:val="2"/>
            <w:vAlign w:val="center"/>
          </w:tcPr>
          <w:p>
            <w:pPr>
              <w:pStyle w:val="60"/>
              <w:spacing w:before="52" w:line="360" w:lineRule="auto"/>
              <w:ind w:left="7" w:righ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Align w:val="center"/>
          </w:tcPr>
          <w:p>
            <w:pPr>
              <w:pStyle w:val="60"/>
              <w:spacing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A02010604显示设备</w:t>
            </w:r>
          </w:p>
        </w:tc>
        <w:tc>
          <w:tcPr>
            <w:tcW w:w="1769" w:type="dxa"/>
            <w:vAlign w:val="center"/>
          </w:tcPr>
          <w:p>
            <w:pPr>
              <w:pStyle w:val="60"/>
              <w:spacing w:before="68" w:line="360" w:lineRule="auto"/>
              <w:ind w:left="7"/>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★A0201060401液晶</w:t>
            </w:r>
          </w:p>
          <w:p>
            <w:pPr>
              <w:pStyle w:val="60"/>
              <w:spacing w:before="50" w:line="360" w:lineRule="auto"/>
              <w:ind w:left="7"/>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显示器</w:t>
            </w:r>
          </w:p>
        </w:tc>
        <w:tc>
          <w:tcPr>
            <w:tcW w:w="3910" w:type="dxa"/>
            <w:gridSpan w:val="2"/>
            <w:vAlign w:val="center"/>
          </w:tcPr>
          <w:p>
            <w:pPr>
              <w:pStyle w:val="60"/>
              <w:spacing w:before="68"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Align w:val="center"/>
          </w:tcPr>
          <w:p>
            <w:pPr>
              <w:pStyle w:val="60"/>
              <w:spacing w:line="360" w:lineRule="auto"/>
              <w:ind w:right="5"/>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A02010609图形图像输入设备</w:t>
            </w:r>
          </w:p>
        </w:tc>
        <w:tc>
          <w:tcPr>
            <w:tcW w:w="1769" w:type="dxa"/>
            <w:vAlign w:val="center"/>
          </w:tcPr>
          <w:p>
            <w:pPr>
              <w:pStyle w:val="60"/>
              <w:spacing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A0201060901扫描仪</w:t>
            </w:r>
          </w:p>
        </w:tc>
        <w:tc>
          <w:tcPr>
            <w:tcW w:w="3910" w:type="dxa"/>
            <w:gridSpan w:val="2"/>
            <w:vAlign w:val="center"/>
          </w:tcPr>
          <w:p>
            <w:pPr>
              <w:pStyle w:val="60"/>
              <w:spacing w:before="49" w:line="360" w:lineRule="auto"/>
              <w:ind w:left="7" w:righ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参照《复印机、打印机和传真机能效限定值及能效等级》（GB21521</w:t>
            </w:r>
          </w:p>
          <w:p>
            <w:pPr>
              <w:pStyle w:val="60"/>
              <w:spacing w:before="12" w:line="360" w:lineRule="auto"/>
              <w:ind w:left="7" w:right="5"/>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中打印速度为15页/分的针式打印机相关要求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015"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A020202投影仪</w:t>
            </w:r>
          </w:p>
        </w:tc>
        <w:tc>
          <w:tcPr>
            <w:tcW w:w="155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3910" w:type="dxa"/>
            <w:gridSpan w:val="2"/>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《投影机能效限定值及能效等级</w:t>
            </w:r>
          </w:p>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（GB32028）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p>
        </w:tc>
        <w:tc>
          <w:tcPr>
            <w:tcW w:w="1015"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A020204多功能一体机</w:t>
            </w:r>
          </w:p>
        </w:tc>
        <w:tc>
          <w:tcPr>
            <w:tcW w:w="155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3910" w:type="dxa"/>
            <w:gridSpan w:val="2"/>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《复印机、打印机和传真机能效限定值及能效等级》（GB21521）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015"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A020519泵</w:t>
            </w:r>
          </w:p>
        </w:tc>
        <w:tc>
          <w:tcPr>
            <w:tcW w:w="155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A02051901离心泵</w:t>
            </w: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3910" w:type="dxa"/>
            <w:gridSpan w:val="2"/>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《清水离心泵能效限定值及节能评价值》（GB19762）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restart"/>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015" w:type="dxa"/>
            <w:vMerge w:val="restart"/>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A020523制冷空调设备</w:t>
            </w:r>
          </w:p>
        </w:tc>
        <w:tc>
          <w:tcPr>
            <w:tcW w:w="1554" w:type="dxa"/>
            <w:vMerge w:val="restart"/>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★A02052301制冷压缩机</w:t>
            </w: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冷水机组</w:t>
            </w:r>
          </w:p>
        </w:tc>
        <w:tc>
          <w:tcPr>
            <w:tcW w:w="3910" w:type="dxa"/>
            <w:gridSpan w:val="2"/>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《冷水机组能效限定值及能效等级》（GB19577），《低环境温度空气源热泵（冷水）机组能效限定值及能效等级》（GB37480）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769" w:type="dxa"/>
            <w:vAlign w:val="center"/>
          </w:tcPr>
          <w:p>
            <w:pPr>
              <w:pStyle w:val="60"/>
              <w:spacing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水源热泵机组</w:t>
            </w:r>
          </w:p>
        </w:tc>
        <w:tc>
          <w:tcPr>
            <w:tcW w:w="3910" w:type="dxa"/>
            <w:gridSpan w:val="2"/>
            <w:vAlign w:val="center"/>
          </w:tcPr>
          <w:p>
            <w:pPr>
              <w:pStyle w:val="60"/>
              <w:spacing w:before="52" w:line="360" w:lineRule="auto"/>
              <w:ind w:left="7" w:righ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《水（地）源热泵机组能效限定值及能效等级》（GB30721）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7" w:hRule="atLeast"/>
          <w:jc w:val="center"/>
        </w:trPr>
        <w:tc>
          <w:tcPr>
            <w:tcW w:w="716" w:type="dxa"/>
            <w:vMerge w:val="continue"/>
            <w:vAlign w:val="center"/>
          </w:tcPr>
          <w:p>
            <w:pPr>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spacing w:line="360" w:lineRule="auto"/>
              <w:jc w:val="center"/>
              <w:rPr>
                <w:rFonts w:asciiTheme="minorEastAsia" w:hAnsiTheme="minorEastAsia" w:eastAsiaTheme="minorEastAsia" w:cstheme="minorEastAsia"/>
                <w:color w:val="auto"/>
                <w:kern w:val="0"/>
                <w:szCs w:val="21"/>
                <w:highlight w:val="none"/>
              </w:rPr>
            </w:pPr>
          </w:p>
        </w:tc>
        <w:tc>
          <w:tcPr>
            <w:tcW w:w="1554" w:type="dxa"/>
            <w:vMerge w:val="continue"/>
            <w:vAlign w:val="center"/>
          </w:tcPr>
          <w:p>
            <w:pPr>
              <w:spacing w:line="360" w:lineRule="auto"/>
              <w:jc w:val="center"/>
              <w:rPr>
                <w:rFonts w:asciiTheme="minorEastAsia" w:hAnsiTheme="minorEastAsia" w:eastAsiaTheme="minorEastAsia" w:cstheme="minorEastAsia"/>
                <w:color w:val="auto"/>
                <w:kern w:val="0"/>
                <w:szCs w:val="21"/>
                <w:highlight w:val="none"/>
              </w:rPr>
            </w:pPr>
          </w:p>
        </w:tc>
        <w:tc>
          <w:tcPr>
            <w:tcW w:w="1769" w:type="dxa"/>
            <w:vAlign w:val="center"/>
          </w:tcPr>
          <w:p>
            <w:pPr>
              <w:pStyle w:val="60"/>
              <w:spacing w:before="93" w:line="360" w:lineRule="auto"/>
              <w:ind w:lef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溴化锂吸收式冷水机组</w:t>
            </w:r>
          </w:p>
        </w:tc>
        <w:tc>
          <w:tcPr>
            <w:tcW w:w="3910" w:type="dxa"/>
            <w:gridSpan w:val="2"/>
            <w:vAlign w:val="center"/>
          </w:tcPr>
          <w:p>
            <w:pPr>
              <w:pStyle w:val="60"/>
              <w:spacing w:before="93" w:line="360" w:lineRule="auto"/>
              <w:ind w:lef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《溴化锂吸收式冷水机组能效限定值及能效等级》（GB29540）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Merge w:val="restart"/>
            <w:vAlign w:val="center"/>
          </w:tcPr>
          <w:p>
            <w:pPr>
              <w:pStyle w:val="60"/>
              <w:spacing w:line="360" w:lineRule="auto"/>
              <w:ind w:right="5"/>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★A02052305空调机组</w:t>
            </w:r>
          </w:p>
        </w:tc>
        <w:tc>
          <w:tcPr>
            <w:tcW w:w="1769" w:type="dxa"/>
            <w:vAlign w:val="center"/>
          </w:tcPr>
          <w:p>
            <w:pPr>
              <w:pStyle w:val="60"/>
              <w:spacing w:before="4" w:line="360" w:lineRule="auto"/>
              <w:ind w:left="7" w:righ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多联式空调（热泵）机组(制冷量&gt;14000W)</w:t>
            </w:r>
          </w:p>
        </w:tc>
        <w:tc>
          <w:tcPr>
            <w:tcW w:w="3910" w:type="dxa"/>
            <w:gridSpan w:val="2"/>
            <w:vAlign w:val="center"/>
          </w:tcPr>
          <w:p>
            <w:pPr>
              <w:pStyle w:val="60"/>
              <w:spacing w:before="160" w:line="360" w:lineRule="auto"/>
              <w:ind w:left="7" w:righ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41" w:hRule="atLeast"/>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769" w:type="dxa"/>
            <w:vAlign w:val="center"/>
          </w:tcPr>
          <w:p>
            <w:pPr>
              <w:pStyle w:val="60"/>
              <w:spacing w:line="360"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单元式空气调节机</w:t>
            </w:r>
          </w:p>
          <w:p>
            <w:pPr>
              <w:pStyle w:val="60"/>
              <w:spacing w:line="360" w:lineRule="auto"/>
              <w:ind w:lef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(制冷量&gt;14000W)</w:t>
            </w:r>
          </w:p>
        </w:tc>
        <w:tc>
          <w:tcPr>
            <w:tcW w:w="3910" w:type="dxa"/>
            <w:gridSpan w:val="2"/>
            <w:vAlign w:val="center"/>
          </w:tcPr>
          <w:p>
            <w:pPr>
              <w:pStyle w:val="60"/>
              <w:spacing w:before="9"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《单元式空气调节机能效限定值及能效等级》（GB19576）《风管送风式空调机组能效限定值及能效等级》（GB37479）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37" w:hRule="atLeast"/>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Align w:val="center"/>
          </w:tcPr>
          <w:p>
            <w:pPr>
              <w:pStyle w:val="60"/>
              <w:spacing w:before="83" w:line="360" w:lineRule="auto"/>
              <w:ind w:lef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★A02052309专用制冷、空调设备</w:t>
            </w:r>
          </w:p>
        </w:tc>
        <w:tc>
          <w:tcPr>
            <w:tcW w:w="1769" w:type="dxa"/>
            <w:vAlign w:val="center"/>
          </w:tcPr>
          <w:p>
            <w:pPr>
              <w:pStyle w:val="60"/>
              <w:spacing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机房空调</w:t>
            </w:r>
          </w:p>
        </w:tc>
        <w:tc>
          <w:tcPr>
            <w:tcW w:w="3910" w:type="dxa"/>
            <w:gridSpan w:val="2"/>
            <w:vAlign w:val="center"/>
          </w:tcPr>
          <w:p>
            <w:pPr>
              <w:pStyle w:val="60"/>
              <w:spacing w:before="83" w:line="360" w:lineRule="auto"/>
              <w:ind w:lef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《单元式空气调节机能效限定值及能效等级》（GB19576）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070" w:hRule="atLeast"/>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Align w:val="center"/>
          </w:tcPr>
          <w:p>
            <w:pPr>
              <w:pStyle w:val="60"/>
              <w:spacing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A02052399其他制冷空调设备</w:t>
            </w:r>
          </w:p>
        </w:tc>
        <w:tc>
          <w:tcPr>
            <w:tcW w:w="1769" w:type="dxa"/>
            <w:vAlign w:val="center"/>
          </w:tcPr>
          <w:p>
            <w:pPr>
              <w:pStyle w:val="60"/>
              <w:spacing w:before="164"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冷却塔</w:t>
            </w:r>
          </w:p>
        </w:tc>
        <w:tc>
          <w:tcPr>
            <w:tcW w:w="3910" w:type="dxa"/>
            <w:gridSpan w:val="2"/>
            <w:vAlign w:val="center"/>
          </w:tcPr>
          <w:p>
            <w:pPr>
              <w:pStyle w:val="60"/>
              <w:spacing w:line="360"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《机械通风冷却塔第1部分：中小型开式冷却塔》（GB/T7190.1）</w:t>
            </w:r>
          </w:p>
          <w:p>
            <w:pPr>
              <w:pStyle w:val="60"/>
              <w:spacing w:line="360" w:lineRule="auto"/>
              <w:ind w:lef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《机械通风冷却塔第2部分：大型开式冷却塔》（GB/T7190.2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015"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A020601电机</w:t>
            </w:r>
          </w:p>
        </w:tc>
        <w:tc>
          <w:tcPr>
            <w:tcW w:w="155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3910" w:type="dxa"/>
            <w:gridSpan w:val="2"/>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《中小型三相异步电动机能效限定值及能效等级》（GB18613）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58" w:hRule="atLeast"/>
          <w:jc w:val="center"/>
        </w:trPr>
        <w:tc>
          <w:tcPr>
            <w:tcW w:w="716"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015"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A020602变压器</w:t>
            </w:r>
          </w:p>
        </w:tc>
        <w:tc>
          <w:tcPr>
            <w:tcW w:w="155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配电变压器</w:t>
            </w: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3910" w:type="dxa"/>
            <w:gridSpan w:val="2"/>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《三相配电变压器能效限定值及能效等级》（GB20052）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60" w:hRule="atLeast"/>
          <w:jc w:val="center"/>
        </w:trPr>
        <w:tc>
          <w:tcPr>
            <w:tcW w:w="716"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015"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★A020609镇流器</w:t>
            </w:r>
          </w:p>
        </w:tc>
        <w:tc>
          <w:tcPr>
            <w:tcW w:w="155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管型荧光灯镇流器</w:t>
            </w: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3910" w:type="dxa"/>
            <w:gridSpan w:val="2"/>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《管形荧光灯镇流器能效限定值及能效等级》（GB17896）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62" w:hRule="atLeast"/>
          <w:jc w:val="center"/>
        </w:trPr>
        <w:tc>
          <w:tcPr>
            <w:tcW w:w="716" w:type="dxa"/>
            <w:vMerge w:val="restart"/>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w:t>
            </w:r>
          </w:p>
        </w:tc>
        <w:tc>
          <w:tcPr>
            <w:tcW w:w="1015" w:type="dxa"/>
            <w:vMerge w:val="restart"/>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A020618生活用电器</w:t>
            </w:r>
          </w:p>
        </w:tc>
        <w:tc>
          <w:tcPr>
            <w:tcW w:w="155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A0206180101电冰箱</w:t>
            </w: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3910" w:type="dxa"/>
            <w:gridSpan w:val="2"/>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《家用电冰箱耗电量限定值及能效等级》（GB12021.2）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96" w:hRule="atLeast"/>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Merge w:val="restart"/>
            <w:vAlign w:val="center"/>
          </w:tcPr>
          <w:p>
            <w:pPr>
              <w:pStyle w:val="60"/>
              <w:spacing w:before="171"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★A0206180203空调</w:t>
            </w:r>
          </w:p>
          <w:p>
            <w:pPr>
              <w:pStyle w:val="60"/>
              <w:spacing w:before="50" w:line="360" w:lineRule="auto"/>
              <w:ind w:left="7"/>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机</w:t>
            </w:r>
          </w:p>
        </w:tc>
        <w:tc>
          <w:tcPr>
            <w:tcW w:w="1769" w:type="dxa"/>
            <w:vAlign w:val="center"/>
          </w:tcPr>
          <w:p>
            <w:pPr>
              <w:pStyle w:val="60"/>
              <w:spacing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房间空气调节器</w:t>
            </w:r>
          </w:p>
        </w:tc>
        <w:tc>
          <w:tcPr>
            <w:tcW w:w="3910" w:type="dxa"/>
            <w:gridSpan w:val="2"/>
            <w:vAlign w:val="center"/>
          </w:tcPr>
          <w:p>
            <w:pPr>
              <w:pStyle w:val="60"/>
              <w:spacing w:before="4" w:line="360" w:lineRule="auto"/>
              <w:ind w:lef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《转速可控型房间空气调节器能效限定值及能效等级》（GB21455-2013），待2019年修订发布后，按《房间空气调节器能效限定值及能效等级》（GB21455-2019）实施。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769" w:type="dxa"/>
            <w:vAlign w:val="center"/>
          </w:tcPr>
          <w:p>
            <w:pPr>
              <w:pStyle w:val="60"/>
              <w:spacing w:before="4" w:line="360" w:lineRule="auto"/>
              <w:ind w:left="7" w:righ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多联式空调（热泵）机组（制冷量≤14000W）</w:t>
            </w:r>
          </w:p>
        </w:tc>
        <w:tc>
          <w:tcPr>
            <w:tcW w:w="3910" w:type="dxa"/>
            <w:gridSpan w:val="2"/>
            <w:vAlign w:val="center"/>
          </w:tcPr>
          <w:p>
            <w:pPr>
              <w:pStyle w:val="60"/>
              <w:spacing w:before="160" w:line="360" w:lineRule="auto"/>
              <w:ind w:left="7" w:righ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《多联式空调（热泵）机组能效限定值及能源效率等级》（GB21454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2" w:hRule="atLeast"/>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769" w:type="dxa"/>
            <w:vAlign w:val="center"/>
          </w:tcPr>
          <w:p>
            <w:pPr>
              <w:pStyle w:val="60"/>
              <w:spacing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单元式空气调节机</w:t>
            </w:r>
          </w:p>
        </w:tc>
        <w:tc>
          <w:tcPr>
            <w:tcW w:w="3910" w:type="dxa"/>
            <w:gridSpan w:val="2"/>
            <w:vAlign w:val="center"/>
          </w:tcPr>
          <w:p>
            <w:pPr>
              <w:pStyle w:val="60"/>
              <w:spacing w:before="4" w:line="360" w:lineRule="auto"/>
              <w:ind w:lef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《单元式空气调节机能效限定值及能源效率等级》（GB19576）《风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92" w:hRule="atLeast"/>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769" w:type="dxa"/>
            <w:vAlign w:val="center"/>
          </w:tcPr>
          <w:p>
            <w:pPr>
              <w:pStyle w:val="60"/>
              <w:spacing w:line="360" w:lineRule="auto"/>
              <w:ind w:left="7"/>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(制冷量≤14000W)</w:t>
            </w:r>
          </w:p>
        </w:tc>
        <w:tc>
          <w:tcPr>
            <w:tcW w:w="3910" w:type="dxa"/>
            <w:gridSpan w:val="2"/>
            <w:vAlign w:val="center"/>
          </w:tcPr>
          <w:p>
            <w:pPr>
              <w:pStyle w:val="60"/>
              <w:spacing w:line="360" w:lineRule="auto"/>
              <w:ind w:lef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管送风式空调机组能效限定值及能效等级》（GB37479）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Align w:val="center"/>
          </w:tcPr>
          <w:p>
            <w:pPr>
              <w:pStyle w:val="60"/>
              <w:spacing w:before="162" w:line="360" w:lineRule="auto"/>
              <w:ind w:left="7"/>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A0206180301洗衣机</w:t>
            </w:r>
          </w:p>
        </w:tc>
        <w:tc>
          <w:tcPr>
            <w:tcW w:w="1769" w:type="dxa"/>
            <w:vAlign w:val="center"/>
          </w:tcPr>
          <w:p>
            <w:pPr>
              <w:spacing w:line="360" w:lineRule="auto"/>
              <w:jc w:val="center"/>
              <w:rPr>
                <w:rFonts w:asciiTheme="minorEastAsia" w:hAnsiTheme="minorEastAsia" w:eastAsiaTheme="minorEastAsia" w:cstheme="minorEastAsia"/>
                <w:color w:val="auto"/>
                <w:kern w:val="0"/>
                <w:szCs w:val="21"/>
                <w:highlight w:val="none"/>
                <w:lang w:eastAsia="en-US"/>
              </w:rPr>
            </w:pPr>
          </w:p>
        </w:tc>
        <w:tc>
          <w:tcPr>
            <w:tcW w:w="3910" w:type="dxa"/>
            <w:gridSpan w:val="2"/>
            <w:vAlign w:val="center"/>
          </w:tcPr>
          <w:p>
            <w:pPr>
              <w:pStyle w:val="60"/>
              <w:spacing w:before="6"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《电动洗衣机能效水效限定值及等级》（GB12021.4）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jc w:val="center"/>
        </w:trPr>
        <w:tc>
          <w:tcPr>
            <w:tcW w:w="716" w:type="dxa"/>
            <w:vMerge w:val="continue"/>
            <w:vAlign w:val="center"/>
          </w:tcPr>
          <w:p>
            <w:pPr>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spacing w:line="360" w:lineRule="auto"/>
              <w:jc w:val="center"/>
              <w:rPr>
                <w:rFonts w:asciiTheme="minorEastAsia" w:hAnsiTheme="minorEastAsia" w:eastAsiaTheme="minorEastAsia" w:cstheme="minorEastAsia"/>
                <w:color w:val="auto"/>
                <w:kern w:val="0"/>
                <w:szCs w:val="21"/>
                <w:highlight w:val="none"/>
              </w:rPr>
            </w:pPr>
          </w:p>
        </w:tc>
        <w:tc>
          <w:tcPr>
            <w:tcW w:w="1554" w:type="dxa"/>
            <w:vMerge w:val="restart"/>
            <w:vAlign w:val="center"/>
          </w:tcPr>
          <w:p>
            <w:pPr>
              <w:pStyle w:val="60"/>
              <w:spacing w:before="161"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A02061808热水器</w:t>
            </w:r>
          </w:p>
        </w:tc>
        <w:tc>
          <w:tcPr>
            <w:tcW w:w="1769" w:type="dxa"/>
            <w:vAlign w:val="center"/>
          </w:tcPr>
          <w:p>
            <w:pPr>
              <w:pStyle w:val="60"/>
              <w:spacing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★电热水器</w:t>
            </w:r>
          </w:p>
        </w:tc>
        <w:tc>
          <w:tcPr>
            <w:tcW w:w="3904" w:type="dxa"/>
            <w:vAlign w:val="center"/>
          </w:tcPr>
          <w:p>
            <w:pPr>
              <w:pStyle w:val="60"/>
              <w:tabs>
                <w:tab w:val="left" w:pos="1608"/>
              </w:tabs>
              <w:spacing w:before="52"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《储水式电热水器能效限定值及能效等级》（GB21519）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769" w:type="dxa"/>
            <w:vAlign w:val="center"/>
          </w:tcPr>
          <w:p>
            <w:pPr>
              <w:pStyle w:val="60"/>
              <w:spacing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燃气热水器</w:t>
            </w:r>
          </w:p>
        </w:tc>
        <w:tc>
          <w:tcPr>
            <w:tcW w:w="3904" w:type="dxa"/>
            <w:vAlign w:val="center"/>
          </w:tcPr>
          <w:p>
            <w:pPr>
              <w:pStyle w:val="60"/>
              <w:spacing w:before="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《家用燃气快速热水器和燃气采暖热水炉能效限定值及能效等级》</w:t>
            </w:r>
          </w:p>
          <w:p>
            <w:pPr>
              <w:pStyle w:val="60"/>
              <w:spacing w:before="12" w:line="360" w:lineRule="auto"/>
              <w:ind w:left="7"/>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（GB20665）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lang w:eastAsia="en-US"/>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lang w:eastAsia="en-US"/>
              </w:rPr>
            </w:pPr>
          </w:p>
        </w:tc>
        <w:tc>
          <w:tcPr>
            <w:tcW w:w="1554"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lang w:eastAsia="en-US"/>
              </w:rPr>
            </w:pPr>
          </w:p>
        </w:tc>
        <w:tc>
          <w:tcPr>
            <w:tcW w:w="1769" w:type="dxa"/>
            <w:vAlign w:val="center"/>
          </w:tcPr>
          <w:p>
            <w:pPr>
              <w:pStyle w:val="60"/>
              <w:spacing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热泵热水器</w:t>
            </w:r>
          </w:p>
        </w:tc>
        <w:tc>
          <w:tcPr>
            <w:tcW w:w="3904" w:type="dxa"/>
            <w:vAlign w:val="center"/>
          </w:tcPr>
          <w:p>
            <w:pPr>
              <w:pStyle w:val="60"/>
              <w:spacing w:before="93" w:line="360" w:lineRule="auto"/>
              <w:ind w:left="7" w:righ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《热泵热水机（器）能效限定值及能效等级》（GB29541）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769" w:type="dxa"/>
            <w:vAlign w:val="center"/>
          </w:tcPr>
          <w:p>
            <w:pPr>
              <w:pStyle w:val="60"/>
              <w:spacing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太阳能热水系统</w:t>
            </w:r>
          </w:p>
        </w:tc>
        <w:tc>
          <w:tcPr>
            <w:tcW w:w="3904" w:type="dxa"/>
            <w:vAlign w:val="center"/>
          </w:tcPr>
          <w:p>
            <w:pPr>
              <w:pStyle w:val="60"/>
              <w:spacing w:before="52"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《家用太阳能热水系统能效限定值及能效等级》（GB26969）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jc w:val="center"/>
        </w:trPr>
        <w:tc>
          <w:tcPr>
            <w:tcW w:w="716" w:type="dxa"/>
            <w:vMerge w:val="restart"/>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w:t>
            </w:r>
          </w:p>
        </w:tc>
        <w:tc>
          <w:tcPr>
            <w:tcW w:w="1015" w:type="dxa"/>
            <w:vMerge w:val="restart"/>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A020619照明设备</w:t>
            </w:r>
          </w:p>
        </w:tc>
        <w:tc>
          <w:tcPr>
            <w:tcW w:w="155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★普通照明用双端荧光灯</w:t>
            </w: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p>
        </w:tc>
        <w:tc>
          <w:tcPr>
            <w:tcW w:w="390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《普通照明用双端荧光灯能效限定值及能效等级》（GB19043）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Align w:val="center"/>
          </w:tcPr>
          <w:p>
            <w:pPr>
              <w:pStyle w:val="60"/>
              <w:spacing w:before="92" w:line="360" w:lineRule="auto"/>
              <w:ind w:left="7" w:right="2"/>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LED道路/隧道照明产品</w:t>
            </w:r>
          </w:p>
        </w:tc>
        <w:tc>
          <w:tcPr>
            <w:tcW w:w="1769" w:type="dxa"/>
            <w:vAlign w:val="center"/>
          </w:tcPr>
          <w:p>
            <w:pPr>
              <w:spacing w:line="360" w:lineRule="auto"/>
              <w:jc w:val="center"/>
              <w:rPr>
                <w:rFonts w:asciiTheme="minorEastAsia" w:hAnsiTheme="minorEastAsia" w:eastAsiaTheme="minorEastAsia" w:cstheme="minorEastAsia"/>
                <w:color w:val="auto"/>
                <w:kern w:val="0"/>
                <w:szCs w:val="21"/>
                <w:highlight w:val="none"/>
                <w:lang w:eastAsia="en-US"/>
              </w:rPr>
            </w:pPr>
          </w:p>
        </w:tc>
        <w:tc>
          <w:tcPr>
            <w:tcW w:w="3904" w:type="dxa"/>
            <w:vAlign w:val="center"/>
          </w:tcPr>
          <w:p>
            <w:pPr>
              <w:pStyle w:val="60"/>
              <w:spacing w:before="92" w:line="360" w:lineRule="auto"/>
              <w:ind w:left="7" w:righ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《道路和隧道照明用LED灯具能效限定值及能效等级》（GB37478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Align w:val="center"/>
          </w:tcPr>
          <w:p>
            <w:pPr>
              <w:pStyle w:val="60"/>
              <w:spacing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LED筒灯</w:t>
            </w:r>
          </w:p>
        </w:tc>
        <w:tc>
          <w:tcPr>
            <w:tcW w:w="1769" w:type="dxa"/>
            <w:vAlign w:val="center"/>
          </w:tcPr>
          <w:p>
            <w:pPr>
              <w:spacing w:line="360" w:lineRule="auto"/>
              <w:jc w:val="center"/>
              <w:rPr>
                <w:rFonts w:asciiTheme="minorEastAsia" w:hAnsiTheme="minorEastAsia" w:eastAsiaTheme="minorEastAsia" w:cstheme="minorEastAsia"/>
                <w:color w:val="auto"/>
                <w:kern w:val="0"/>
                <w:szCs w:val="21"/>
                <w:highlight w:val="none"/>
                <w:lang w:eastAsia="en-US"/>
              </w:rPr>
            </w:pPr>
          </w:p>
        </w:tc>
        <w:tc>
          <w:tcPr>
            <w:tcW w:w="3904" w:type="dxa"/>
            <w:vAlign w:val="center"/>
          </w:tcPr>
          <w:p>
            <w:pPr>
              <w:pStyle w:val="60"/>
              <w:spacing w:before="83" w:line="360" w:lineRule="auto"/>
              <w:ind w:left="7" w:righ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Align w:val="center"/>
          </w:tcPr>
          <w:p>
            <w:pPr>
              <w:pStyle w:val="60"/>
              <w:spacing w:line="360" w:lineRule="auto"/>
              <w:ind w:righ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普通照明用非定向自镇流LED灯</w:t>
            </w:r>
          </w:p>
        </w:tc>
        <w:tc>
          <w:tcPr>
            <w:tcW w:w="1769" w:type="dxa"/>
            <w:vAlign w:val="center"/>
          </w:tcPr>
          <w:p>
            <w:pPr>
              <w:spacing w:line="360" w:lineRule="auto"/>
              <w:jc w:val="center"/>
              <w:rPr>
                <w:rFonts w:asciiTheme="minorEastAsia" w:hAnsiTheme="minorEastAsia" w:eastAsiaTheme="minorEastAsia" w:cstheme="minorEastAsia"/>
                <w:color w:val="auto"/>
                <w:kern w:val="0"/>
                <w:szCs w:val="21"/>
                <w:highlight w:val="none"/>
              </w:rPr>
            </w:pPr>
          </w:p>
        </w:tc>
        <w:tc>
          <w:tcPr>
            <w:tcW w:w="3904" w:type="dxa"/>
            <w:vAlign w:val="center"/>
          </w:tcPr>
          <w:p>
            <w:pPr>
              <w:pStyle w:val="60"/>
              <w:spacing w:line="360" w:lineRule="auto"/>
              <w:ind w:right="7"/>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《室内照明用LED产品能效限定值及能效等级》（GB30255）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jc w:val="center"/>
        </w:trPr>
        <w:tc>
          <w:tcPr>
            <w:tcW w:w="716"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w:t>
            </w:r>
          </w:p>
        </w:tc>
        <w:tc>
          <w:tcPr>
            <w:tcW w:w="1015"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★A020910电视设备</w:t>
            </w:r>
          </w:p>
        </w:tc>
        <w:tc>
          <w:tcPr>
            <w:tcW w:w="155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A02091001普通电视设备（电视机）</w:t>
            </w: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p>
        </w:tc>
        <w:tc>
          <w:tcPr>
            <w:tcW w:w="390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《平板电视能效限定值及能效等级》（GB24850）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jc w:val="center"/>
        </w:trPr>
        <w:tc>
          <w:tcPr>
            <w:tcW w:w="716"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13</w:t>
            </w:r>
          </w:p>
        </w:tc>
        <w:tc>
          <w:tcPr>
            <w:tcW w:w="1015"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★A020911视频设备</w:t>
            </w:r>
          </w:p>
        </w:tc>
        <w:tc>
          <w:tcPr>
            <w:tcW w:w="155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A02091107视频监控设备</w:t>
            </w: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监视器</w:t>
            </w:r>
          </w:p>
        </w:tc>
        <w:tc>
          <w:tcPr>
            <w:tcW w:w="390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jc w:val="center"/>
        </w:trPr>
        <w:tc>
          <w:tcPr>
            <w:tcW w:w="716"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14</w:t>
            </w:r>
          </w:p>
        </w:tc>
        <w:tc>
          <w:tcPr>
            <w:tcW w:w="1015"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A031210饮食炊事机械</w:t>
            </w:r>
          </w:p>
        </w:tc>
        <w:tc>
          <w:tcPr>
            <w:tcW w:w="155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商用燃气灶具</w:t>
            </w: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390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《商用燃气灶具能效限定值及能效等级》（GB30531）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jc w:val="center"/>
        </w:trPr>
        <w:tc>
          <w:tcPr>
            <w:tcW w:w="716" w:type="dxa"/>
            <w:vMerge w:val="restart"/>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15</w:t>
            </w:r>
          </w:p>
        </w:tc>
        <w:tc>
          <w:tcPr>
            <w:tcW w:w="1015" w:type="dxa"/>
            <w:vMerge w:val="restart"/>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★A060805便器</w:t>
            </w:r>
          </w:p>
        </w:tc>
        <w:tc>
          <w:tcPr>
            <w:tcW w:w="155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坐便器</w:t>
            </w: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390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《坐便器水效限定值及水效等级》</w:t>
            </w:r>
          </w:p>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（GB25502）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lang w:eastAsia="en-US"/>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lang w:eastAsia="en-US"/>
              </w:rPr>
            </w:pPr>
          </w:p>
        </w:tc>
        <w:tc>
          <w:tcPr>
            <w:tcW w:w="1554" w:type="dxa"/>
            <w:vAlign w:val="center"/>
          </w:tcPr>
          <w:p>
            <w:pPr>
              <w:pStyle w:val="60"/>
              <w:spacing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蹲便器</w:t>
            </w:r>
          </w:p>
        </w:tc>
        <w:tc>
          <w:tcPr>
            <w:tcW w:w="1769" w:type="dxa"/>
            <w:vAlign w:val="center"/>
          </w:tcPr>
          <w:p>
            <w:pPr>
              <w:spacing w:line="360" w:lineRule="auto"/>
              <w:jc w:val="center"/>
              <w:rPr>
                <w:rFonts w:asciiTheme="minorEastAsia" w:hAnsiTheme="minorEastAsia" w:eastAsiaTheme="minorEastAsia" w:cstheme="minorEastAsia"/>
                <w:color w:val="auto"/>
                <w:kern w:val="0"/>
                <w:szCs w:val="21"/>
                <w:highlight w:val="none"/>
                <w:lang w:eastAsia="en-US"/>
              </w:rPr>
            </w:pPr>
          </w:p>
        </w:tc>
        <w:tc>
          <w:tcPr>
            <w:tcW w:w="390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《蹲便器用水效率限定值及用水效率等级》（GB30717）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jc w:val="center"/>
        </w:trPr>
        <w:tc>
          <w:tcPr>
            <w:tcW w:w="716"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015" w:type="dxa"/>
            <w:vMerge w:val="continue"/>
            <w:vAlign w:val="center"/>
          </w:tcPr>
          <w:p>
            <w:pPr>
              <w:widowControl/>
              <w:spacing w:line="360" w:lineRule="auto"/>
              <w:jc w:val="center"/>
              <w:rPr>
                <w:rFonts w:asciiTheme="minorEastAsia" w:hAnsiTheme="minorEastAsia" w:eastAsiaTheme="minorEastAsia" w:cstheme="minorEastAsia"/>
                <w:color w:val="auto"/>
                <w:kern w:val="0"/>
                <w:szCs w:val="21"/>
                <w:highlight w:val="none"/>
              </w:rPr>
            </w:pPr>
          </w:p>
        </w:tc>
        <w:tc>
          <w:tcPr>
            <w:tcW w:w="1554" w:type="dxa"/>
            <w:vAlign w:val="center"/>
          </w:tcPr>
          <w:p>
            <w:pPr>
              <w:pStyle w:val="60"/>
              <w:spacing w:line="360"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小便器</w:t>
            </w:r>
          </w:p>
        </w:tc>
        <w:tc>
          <w:tcPr>
            <w:tcW w:w="1769" w:type="dxa"/>
            <w:vAlign w:val="center"/>
          </w:tcPr>
          <w:p>
            <w:pPr>
              <w:spacing w:line="360" w:lineRule="auto"/>
              <w:jc w:val="center"/>
              <w:rPr>
                <w:rFonts w:asciiTheme="minorEastAsia" w:hAnsiTheme="minorEastAsia" w:eastAsiaTheme="minorEastAsia" w:cstheme="minorEastAsia"/>
                <w:color w:val="auto"/>
                <w:kern w:val="0"/>
                <w:szCs w:val="21"/>
                <w:highlight w:val="none"/>
                <w:lang w:eastAsia="en-US"/>
              </w:rPr>
            </w:pPr>
          </w:p>
        </w:tc>
        <w:tc>
          <w:tcPr>
            <w:tcW w:w="390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《小便器用水效率限定值及用水效率等级》（GB28377）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jc w:val="center"/>
        </w:trPr>
        <w:tc>
          <w:tcPr>
            <w:tcW w:w="716"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16</w:t>
            </w:r>
          </w:p>
        </w:tc>
        <w:tc>
          <w:tcPr>
            <w:tcW w:w="1015"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★A060806水嘴</w:t>
            </w:r>
          </w:p>
        </w:tc>
        <w:tc>
          <w:tcPr>
            <w:tcW w:w="155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390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《水嘴用水效率限定值及用水效率等级》（GB 25501）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jc w:val="center"/>
        </w:trPr>
        <w:tc>
          <w:tcPr>
            <w:tcW w:w="716"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17</w:t>
            </w:r>
          </w:p>
        </w:tc>
        <w:tc>
          <w:tcPr>
            <w:tcW w:w="1015"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A060807便器冲洗阀</w:t>
            </w:r>
          </w:p>
        </w:tc>
        <w:tc>
          <w:tcPr>
            <w:tcW w:w="155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390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《便器冲洗阀用水效率限定值及用水效率等级》（GB28379）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gridAfter w:val="1"/>
          <w:wAfter w:w="6" w:type="dxa"/>
          <w:trHeight w:val="902" w:hRule="exact"/>
          <w:jc w:val="center"/>
        </w:trPr>
        <w:tc>
          <w:tcPr>
            <w:tcW w:w="716"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18</w:t>
            </w:r>
          </w:p>
        </w:tc>
        <w:tc>
          <w:tcPr>
            <w:tcW w:w="1015"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A060810淋浴器</w:t>
            </w:r>
          </w:p>
        </w:tc>
        <w:tc>
          <w:tcPr>
            <w:tcW w:w="155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p>
        </w:tc>
        <w:tc>
          <w:tcPr>
            <w:tcW w:w="1769"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rPr>
            </w:pPr>
          </w:p>
        </w:tc>
        <w:tc>
          <w:tcPr>
            <w:tcW w:w="3904" w:type="dxa"/>
            <w:vAlign w:val="center"/>
          </w:tcPr>
          <w:p>
            <w:pPr>
              <w:pStyle w:val="60"/>
              <w:spacing w:before="124" w:line="360" w:lineRule="auto"/>
              <w:ind w:left="7" w:right="4"/>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《淋浴器用水效率限定值及用水效率等级》（GB28378）</w:t>
            </w:r>
          </w:p>
        </w:tc>
      </w:tr>
    </w:tbl>
    <w:p>
      <w:pPr>
        <w:pStyle w:val="2"/>
        <w:spacing w:line="360"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注：1.节能产品认证应依据相关国家标准的最新版本，依据国家标准中二级能效（水效）</w:t>
      </w:r>
      <w:r>
        <w:rPr>
          <w:rFonts w:hint="eastAsia" w:asciiTheme="minorEastAsia" w:hAnsiTheme="minorEastAsia" w:eastAsiaTheme="minorEastAsia" w:cstheme="minorEastAsia"/>
          <w:color w:val="auto"/>
          <w:sz w:val="21"/>
          <w:szCs w:val="21"/>
          <w:highlight w:val="none"/>
        </w:rPr>
        <w:t>指标。</w:t>
      </w:r>
    </w:p>
    <w:p>
      <w:pPr>
        <w:snapToGrid w:val="0"/>
        <w:spacing w:line="36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2.以“★”标注的为政府强制采购产品。</w:t>
      </w:r>
    </w:p>
    <w:p>
      <w:pPr>
        <w:spacing w:line="360" w:lineRule="auto"/>
        <w:rPr>
          <w:rFonts w:asciiTheme="minorEastAsia" w:hAnsiTheme="minorEastAsia" w:eastAsiaTheme="minorEastAsia" w:cstheme="minorEastAsia"/>
          <w:color w:val="auto"/>
          <w:sz w:val="20"/>
          <w:szCs w:val="20"/>
          <w:highlight w:val="none"/>
        </w:rPr>
      </w:pPr>
    </w:p>
    <w:p>
      <w:pPr>
        <w:spacing w:line="360" w:lineRule="auto"/>
        <w:rPr>
          <w:rFonts w:asciiTheme="minorEastAsia" w:hAnsiTheme="minorEastAsia" w:eastAsiaTheme="minorEastAsia" w:cstheme="minorEastAsia"/>
          <w:color w:val="auto"/>
          <w:sz w:val="20"/>
          <w:szCs w:val="20"/>
          <w:highlight w:val="none"/>
        </w:rPr>
      </w:pPr>
    </w:p>
    <w:p>
      <w:pPr>
        <w:spacing w:line="360" w:lineRule="auto"/>
        <w:rPr>
          <w:rFonts w:asciiTheme="minorEastAsia" w:hAnsiTheme="minorEastAsia" w:eastAsiaTheme="minorEastAsia" w:cstheme="minorEastAsia"/>
          <w:color w:val="auto"/>
          <w:sz w:val="20"/>
          <w:szCs w:val="20"/>
          <w:highlight w:val="none"/>
        </w:rPr>
      </w:pPr>
    </w:p>
    <w:p>
      <w:pPr>
        <w:spacing w:line="360" w:lineRule="auto"/>
        <w:rPr>
          <w:rFonts w:asciiTheme="minorEastAsia" w:hAnsiTheme="minorEastAsia" w:eastAsiaTheme="minorEastAsia" w:cstheme="minorEastAsia"/>
          <w:color w:val="auto"/>
          <w:sz w:val="20"/>
          <w:szCs w:val="20"/>
          <w:highlight w:val="none"/>
        </w:rPr>
      </w:pPr>
    </w:p>
    <w:p>
      <w:pPr>
        <w:spacing w:line="360" w:lineRule="auto"/>
        <w:rPr>
          <w:rFonts w:asciiTheme="minorEastAsia" w:hAnsiTheme="minorEastAsia" w:eastAsiaTheme="minorEastAsia" w:cstheme="minorEastAsia"/>
          <w:color w:val="auto"/>
          <w:sz w:val="20"/>
          <w:szCs w:val="20"/>
          <w:highlight w:val="none"/>
        </w:rPr>
      </w:pPr>
    </w:p>
    <w:p>
      <w:pP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pPr>
        <w:pStyle w:val="3"/>
        <w:spacing w:before="0" w:after="0" w:line="360" w:lineRule="auto"/>
        <w:jc w:val="center"/>
        <w:rPr>
          <w:rFonts w:asciiTheme="minorEastAsia" w:hAnsiTheme="minorEastAsia" w:eastAsiaTheme="minorEastAsia" w:cstheme="minorEastAsia"/>
          <w:color w:val="auto"/>
          <w:highlight w:val="none"/>
        </w:rPr>
      </w:pPr>
      <w:bookmarkStart w:id="43" w:name="_Toc6149"/>
      <w:r>
        <w:rPr>
          <w:rFonts w:hint="eastAsia" w:asciiTheme="minorEastAsia" w:hAnsiTheme="minorEastAsia" w:eastAsiaTheme="minorEastAsia" w:cstheme="minorEastAsia"/>
          <w:color w:val="auto"/>
          <w:highlight w:val="none"/>
        </w:rPr>
        <w:t>第三章  投标人须知</w:t>
      </w:r>
      <w:bookmarkEnd w:id="43"/>
    </w:p>
    <w:p>
      <w:pPr>
        <w:spacing w:line="360" w:lineRule="auto"/>
        <w:jc w:val="center"/>
        <w:rPr>
          <w:rFonts w:asciiTheme="minorEastAsia" w:hAnsiTheme="minorEastAsia" w:eastAsiaTheme="minorEastAsia" w:cstheme="minorEastAsia"/>
          <w:color w:val="auto"/>
          <w:sz w:val="36"/>
          <w:szCs w:val="36"/>
          <w:highlight w:val="none"/>
        </w:rPr>
      </w:pPr>
      <w:bookmarkStart w:id="44" w:name="_Toc254970667"/>
      <w:bookmarkEnd w:id="44"/>
      <w:bookmarkStart w:id="45" w:name="_Toc254970526"/>
      <w:bookmarkEnd w:id="45"/>
      <w:r>
        <w:rPr>
          <w:rFonts w:hint="eastAsia" w:asciiTheme="minorEastAsia" w:hAnsiTheme="minorEastAsia" w:eastAsiaTheme="minorEastAsia" w:cstheme="minorEastAsia"/>
          <w:color w:val="auto"/>
          <w:sz w:val="36"/>
          <w:szCs w:val="36"/>
          <w:highlight w:val="none"/>
        </w:rPr>
        <w:t>投标人须知前附表</w:t>
      </w:r>
    </w:p>
    <w:tbl>
      <w:tblPr>
        <w:tblStyle w:val="52"/>
        <w:tblW w:w="955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9"/>
        <w:gridCol w:w="859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条款号</w:t>
            </w:r>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编列内容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w:t>
            </w:r>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1.投标人的资格要求详见招标公告。</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2.投标人出现下列情形之一的，不得参加政府采购活动：</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2.2对在“信用中国”网站（www.creditchina.gov.cn） 、中国政府采购网（www.ccgp.gov.cn）被列入失信被执行人、重大税收违法失信主体名单、政府采购严重违法失信行为记录名单及其他不符合《中华人民共和国政府采购法》第二十二条规定条件的供应商，不得参与政府采购活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bookmarkStart w:id="46" w:name="_9.2"/>
            <w:bookmarkEnd w:id="46"/>
            <w:bookmarkStart w:id="47" w:name="_5"/>
            <w:bookmarkEnd w:id="47"/>
            <w:bookmarkStart w:id="48" w:name="_8.1"/>
            <w:bookmarkEnd w:id="48"/>
            <w:r>
              <w:rPr>
                <w:rFonts w:hint="eastAsia" w:asciiTheme="minorEastAsia" w:hAnsiTheme="minorEastAsia" w:eastAsiaTheme="minorEastAsia" w:cstheme="minorEastAsia"/>
                <w:color w:val="auto"/>
                <w:szCs w:val="21"/>
                <w:highlight w:val="none"/>
              </w:rPr>
              <w:t>6.1</w:t>
            </w:r>
          </w:p>
        </w:tc>
        <w:tc>
          <w:tcPr>
            <w:tcW w:w="8593" w:type="dxa"/>
            <w:tcBorders>
              <w:top w:val="single" w:color="auto" w:sz="4" w:space="0"/>
              <w:left w:val="single" w:color="auto" w:sz="4" w:space="0"/>
              <w:bottom w:val="single" w:color="auto" w:sz="4" w:space="0"/>
              <w:right w:val="single" w:color="auto" w:sz="4" w:space="0"/>
            </w:tcBorders>
            <w:vAlign w:val="center"/>
          </w:tcPr>
          <w:p>
            <w:pPr>
              <w:pStyle w:val="18"/>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本项目是否接受联合体投标：详见招标公告。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w:t>
            </w:r>
          </w:p>
        </w:tc>
        <w:tc>
          <w:tcPr>
            <w:tcW w:w="8593" w:type="dxa"/>
            <w:tcBorders>
              <w:top w:val="single" w:color="auto" w:sz="4" w:space="0"/>
              <w:left w:val="single" w:color="auto" w:sz="4" w:space="0"/>
              <w:bottom w:val="single" w:color="auto" w:sz="4" w:space="0"/>
              <w:right w:val="single" w:color="auto" w:sz="4" w:space="0"/>
            </w:tcBorders>
            <w:vAlign w:val="center"/>
          </w:tcPr>
          <w:p>
            <w:pPr>
              <w:pStyle w:val="18"/>
              <w:spacing w:line="360" w:lineRule="auto"/>
              <w:ind w:firstLine="420" w:firstLineChars="200"/>
              <w:rPr>
                <w:rFonts w:asciiTheme="minorEastAsia" w:hAnsiTheme="minorEastAsia" w:eastAsiaTheme="minorEastAsia" w:cstheme="minorEastAsia"/>
                <w:color w:val="auto"/>
                <w:szCs w:val="21"/>
                <w:highlight w:val="none"/>
              </w:rPr>
            </w:pPr>
            <w:bookmarkStart w:id="49" w:name="_Hlk54105293"/>
            <w:bookmarkEnd w:id="49"/>
            <w:r>
              <w:rPr>
                <w:rFonts w:hint="eastAsia" w:asciiTheme="minorEastAsia" w:hAnsiTheme="minorEastAsia" w:eastAsiaTheme="minorEastAsia" w:cstheme="minorEastAsia"/>
                <w:color w:val="auto"/>
                <w:szCs w:val="21"/>
                <w:highlight w:val="none"/>
              </w:rPr>
              <w:t>如接受联合体投标，联合体投标要求如下：</w:t>
            </w:r>
          </w:p>
          <w:p>
            <w:pPr>
              <w:pStyle w:val="18"/>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1.两个以上投标人可以组成一个投标联合体，以一个投标人的身份共同参加投标。联合体投标的，须提供《联合体投标协议书》（格式后附）。</w:t>
            </w:r>
          </w:p>
          <w:p>
            <w:pPr>
              <w:pStyle w:val="18"/>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pPr>
              <w:pStyle w:val="18"/>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3.联合体各方之间必须签订联合投标协议，协议书必须明确主体方（或者牵头方）并明确约定联合体各方承担的工作和相应的责任（各方承担责任与义务的分工必须符合采购需求，否则，</w:t>
            </w:r>
            <w:r>
              <w:rPr>
                <w:rFonts w:hint="eastAsia" w:asciiTheme="minorEastAsia" w:hAnsiTheme="minorEastAsia" w:eastAsiaTheme="minorEastAsia" w:cstheme="minorEastAsia"/>
                <w:b/>
                <w:bCs/>
                <w:color w:val="auto"/>
                <w:szCs w:val="21"/>
                <w:highlight w:val="none"/>
              </w:rPr>
              <w:t>联合体投标无效</w:t>
            </w:r>
            <w:r>
              <w:rPr>
                <w:rFonts w:hint="eastAsia" w:asciiTheme="minorEastAsia" w:hAnsiTheme="minorEastAsia" w:eastAsiaTheme="minorEastAsia" w:cstheme="minorEastAsia"/>
                <w:color w:val="auto"/>
                <w:szCs w:val="21"/>
                <w:highlight w:val="none"/>
              </w:rPr>
              <w:t>），并将联合投标协议放入投标文件。联合体各方必须共同与采购人签订采购合同，就采购合同约定的事项对采购人承担连带责任。</w:t>
            </w:r>
          </w:p>
          <w:p>
            <w:pPr>
              <w:pStyle w:val="18"/>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4.以联合体形式参加政府采购活动的，联合体各方不得再单独参加或者与其他投标人另外组成联合体参加同一合同项下的政府采购活动。</w:t>
            </w:r>
          </w:p>
          <w:p>
            <w:pPr>
              <w:pStyle w:val="18"/>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5.联合体中有同类资质的投标人按照联合体分工承担相同工作的，应当按照资质等级较低的投标人确定资质等级。</w:t>
            </w:r>
          </w:p>
          <w:p>
            <w:pPr>
              <w:pStyle w:val="18"/>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6.联合体投标业绩、履约能力按照联合体各方其中较高的一方认定并计算（招标文件另有规定的除外）。</w:t>
            </w:r>
          </w:p>
          <w:p>
            <w:pPr>
              <w:pStyle w:val="18"/>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7.投标人为联合体的，可以由联合体中的一方或者多方共同交纳投标保证金，其交纳的保证金对联合体各方均具有约束力。</w:t>
            </w:r>
          </w:p>
          <w:p>
            <w:pPr>
              <w:pStyle w:val="18"/>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8.联合体各方均应按照招标文件的规定提交资格证明文件。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7.2</w:t>
            </w:r>
          </w:p>
        </w:tc>
        <w:tc>
          <w:tcPr>
            <w:tcW w:w="8593" w:type="dxa"/>
            <w:tcBorders>
              <w:top w:val="single" w:color="auto" w:sz="4" w:space="0"/>
              <w:left w:val="single" w:color="auto" w:sz="4" w:space="0"/>
              <w:bottom w:val="single" w:color="auto" w:sz="4" w:space="0"/>
              <w:right w:val="single" w:color="auto" w:sz="4" w:space="0"/>
            </w:tcBorders>
            <w:vAlign w:val="center"/>
          </w:tcPr>
          <w:p>
            <w:pPr>
              <w:pStyle w:val="18"/>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bdr w:val="single" w:color="auto" w:sz="4" w:space="0"/>
              </w:rPr>
              <w:t>√</w:t>
            </w:r>
            <w:r>
              <w:rPr>
                <w:rFonts w:hint="eastAsia" w:asciiTheme="minorEastAsia" w:hAnsiTheme="minorEastAsia" w:eastAsiaTheme="minorEastAsia" w:cstheme="minorEastAsia"/>
                <w:color w:val="auto"/>
                <w:szCs w:val="21"/>
                <w:highlight w:val="none"/>
              </w:rPr>
              <w:t>不允许分包</w:t>
            </w:r>
          </w:p>
          <w:p>
            <w:pPr>
              <w:pStyle w:val="18"/>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□允许分包</w:t>
            </w:r>
          </w:p>
          <w:p>
            <w:pPr>
              <w:pStyle w:val="18"/>
              <w:spacing w:line="360" w:lineRule="auto"/>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分包内容：</w:t>
            </w:r>
            <w:r>
              <w:rPr>
                <w:rFonts w:hint="eastAsia" w:asciiTheme="minorEastAsia" w:hAnsiTheme="minorEastAsia" w:eastAsiaTheme="minorEastAsia" w:cstheme="minorEastAsia"/>
                <w:color w:val="auto"/>
                <w:szCs w:val="21"/>
                <w:highlight w:val="none"/>
                <w:u w:val="single"/>
              </w:rPr>
              <w:t xml:space="preserve">                                     。</w:t>
            </w:r>
          </w:p>
          <w:p>
            <w:pPr>
              <w:pStyle w:val="18"/>
              <w:spacing w:line="360" w:lineRule="auto"/>
              <w:ind w:firstLine="420" w:firstLineChars="200"/>
              <w:jc w:val="both"/>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分包金额或者比例：</w:t>
            </w:r>
            <w:r>
              <w:rPr>
                <w:rFonts w:hint="eastAsia" w:asciiTheme="minorEastAsia" w:hAnsiTheme="minorEastAsia" w:eastAsiaTheme="minorEastAsia" w:cstheme="minorEastAsia"/>
                <w:color w:val="auto"/>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8.1</w:t>
            </w:r>
          </w:p>
        </w:tc>
        <w:tc>
          <w:tcPr>
            <w:tcW w:w="8593"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采用综合评分法的采购项目，提供相同品牌产品（非单一产品采购项目的，指核心产品）的不同投标人评审得分相同时，按照下列方式确定一个投标人获得中标人推荐资格：</w:t>
            </w:r>
          </w:p>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bdr w:val="single" w:color="auto" w:sz="4" w:space="0"/>
              </w:rPr>
              <w:t>√</w:t>
            </w:r>
            <w:r>
              <w:rPr>
                <w:rFonts w:hint="eastAsia" w:asciiTheme="minorEastAsia" w:hAnsiTheme="minorEastAsia" w:eastAsiaTheme="minorEastAsia" w:cstheme="minorEastAsia"/>
                <w:color w:val="auto"/>
                <w:szCs w:val="21"/>
                <w:highlight w:val="none"/>
              </w:rPr>
              <w:t>依次按投标报价低的优先、政策分得分高的优先、技术评分高的优先、商务评分高的优先、保修期长优先、交货期短优先、故障响应时间短优先的顺序推荐；</w:t>
            </w:r>
          </w:p>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□随机抽取；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511" w:hRule="atLeast"/>
          <w:jc w:val="center"/>
        </w:trPr>
        <w:tc>
          <w:tcPr>
            <w:tcW w:w="959" w:type="dxa"/>
            <w:vMerge w:val="restart"/>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11.2</w:t>
            </w:r>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bdr w:val="single" w:color="auto" w:sz="4" w:space="0"/>
              </w:rPr>
              <w:t>√</w:t>
            </w:r>
            <w:r>
              <w:rPr>
                <w:rFonts w:hint="eastAsia" w:asciiTheme="minorEastAsia" w:hAnsiTheme="minorEastAsia" w:eastAsiaTheme="minorEastAsia" w:cstheme="minorEastAsia"/>
                <w:color w:val="auto"/>
                <w:szCs w:val="21"/>
                <w:highlight w:val="none"/>
              </w:rPr>
              <w:t>不组织现场踏勘</w:t>
            </w:r>
          </w:p>
          <w:p>
            <w:pPr>
              <w:snapToGrid w:val="0"/>
              <w:spacing w:line="360" w:lineRule="auto"/>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□组织现场踏勘：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358" w:hRule="atLeast"/>
          <w:jc w:val="center"/>
        </w:trPr>
        <w:tc>
          <w:tcPr>
            <w:tcW w:w="959" w:type="dxa"/>
            <w:vMerge w:val="continue"/>
            <w:tcBorders>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bdr w:val="single" w:color="auto" w:sz="4" w:space="0"/>
              </w:rPr>
              <w:t>√</w:t>
            </w:r>
            <w:r>
              <w:rPr>
                <w:rFonts w:hint="eastAsia" w:asciiTheme="minorEastAsia" w:hAnsiTheme="minorEastAsia" w:eastAsiaTheme="minorEastAsia" w:cstheme="minorEastAsia"/>
                <w:color w:val="auto"/>
                <w:szCs w:val="21"/>
                <w:highlight w:val="none"/>
              </w:rPr>
              <w:t>不组织召开开标前答疑会</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□组织召开开标前答疑会</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会议开始时间：</w:t>
            </w:r>
            <w:r>
              <w:rPr>
                <w:rFonts w:hint="eastAsia" w:asciiTheme="minorEastAsia" w:hAnsiTheme="minorEastAsia" w:eastAsiaTheme="minorEastAsia" w:cstheme="minorEastAsia"/>
                <w:color w:val="auto"/>
                <w:szCs w:val="21"/>
                <w:highlight w:val="none"/>
                <w:u w:val="single"/>
              </w:rPr>
              <w:t xml:space="preserve">  年  月  日 时  分</w:t>
            </w:r>
            <w:r>
              <w:rPr>
                <w:rFonts w:hint="eastAsia" w:asciiTheme="minorEastAsia" w:hAnsiTheme="minorEastAsia" w:eastAsiaTheme="minorEastAsia" w:cstheme="minorEastAsia"/>
                <w:color w:val="auto"/>
                <w:szCs w:val="21"/>
                <w:highlight w:val="none"/>
              </w:rPr>
              <w:t>，逾期后果自负。会议地点：/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vMerge w:val="restart"/>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bookmarkStart w:id="50" w:name="_13.1"/>
            <w:bookmarkEnd w:id="50"/>
            <w:r>
              <w:rPr>
                <w:rFonts w:hint="eastAsia" w:asciiTheme="minorEastAsia" w:hAnsiTheme="minorEastAsia" w:eastAsiaTheme="minorEastAsia" w:cstheme="minorEastAsia"/>
                <w:color w:val="auto"/>
                <w:szCs w:val="21"/>
                <w:highlight w:val="none"/>
              </w:rPr>
              <w:t>13</w:t>
            </w:r>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2" w:firstLineChars="200"/>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报价文件：</w:t>
            </w:r>
          </w:p>
          <w:p>
            <w:pPr>
              <w:tabs>
                <w:tab w:val="left" w:pos="34"/>
              </w:tabs>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1.投标函（格式后附）；</w:t>
            </w:r>
            <w:r>
              <w:rPr>
                <w:rFonts w:hint="eastAsia" w:asciiTheme="minorEastAsia" w:hAnsiTheme="minorEastAsia" w:eastAsiaTheme="minorEastAsia" w:cstheme="minorEastAsia"/>
                <w:b/>
                <w:color w:val="auto"/>
                <w:szCs w:val="21"/>
                <w:highlight w:val="none"/>
              </w:rPr>
              <w:t>（必须提供，否则按无效投标处理）</w:t>
            </w:r>
          </w:p>
          <w:p>
            <w:pPr>
              <w:tabs>
                <w:tab w:val="left" w:pos="34"/>
              </w:tabs>
              <w:snapToGrid w:val="0"/>
              <w:spacing w:line="360" w:lineRule="auto"/>
              <w:ind w:firstLine="420" w:firstLineChars="200"/>
              <w:jc w:val="left"/>
              <w:rPr>
                <w:rFonts w:asciiTheme="minorEastAsia" w:hAnsiTheme="minorEastAsia" w:eastAsiaTheme="minorEastAsia" w:cstheme="minorEastAsia"/>
                <w:color w:val="auto"/>
                <w:szCs w:val="21"/>
                <w:highlight w:val="none"/>
              </w:rPr>
            </w:pPr>
            <w:bookmarkStart w:id="51" w:name="_Hlk71299233"/>
            <w:bookmarkEnd w:id="51"/>
            <w:r>
              <w:rPr>
                <w:rFonts w:hint="eastAsia" w:asciiTheme="minorEastAsia" w:hAnsiTheme="minorEastAsia" w:eastAsiaTheme="minorEastAsia" w:cstheme="minorEastAsia"/>
                <w:color w:val="auto"/>
                <w:szCs w:val="21"/>
                <w:highlight w:val="none"/>
              </w:rPr>
              <w:t>2.开标一览表（格式后附）；</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
                <w:color w:val="auto"/>
                <w:szCs w:val="21"/>
                <w:highlight w:val="none"/>
              </w:rPr>
              <w:t>必须提供，否则按无效投标处理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firstLine="420" w:firstLineChars="200"/>
              <w:jc w:val="left"/>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 xml:space="preserve">3.中小企业声明函（格式后附）； </w:t>
            </w:r>
            <w:r>
              <w:rPr>
                <w:rFonts w:hint="eastAsia" w:asciiTheme="minorEastAsia" w:hAnsiTheme="minorEastAsia" w:eastAsiaTheme="minorEastAsia" w:cstheme="minorEastAsia"/>
                <w:b/>
                <w:bCs/>
                <w:color w:val="auto"/>
                <w:szCs w:val="21"/>
                <w:highlight w:val="none"/>
              </w:rPr>
              <w:t>（如有请提供）</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宋体" w:hAnsi="宋体" w:cs="宋体"/>
                <w:color w:val="auto"/>
                <w:szCs w:val="21"/>
                <w:highlight w:val="none"/>
              </w:rPr>
              <w:t>4.关于符合本国产品标准的声明函（格式后附）；</w:t>
            </w:r>
            <w:r>
              <w:rPr>
                <w:rFonts w:hint="eastAsia" w:ascii="宋体" w:hAnsi="宋体" w:cs="宋体"/>
                <w:b/>
                <w:bCs/>
                <w:color w:val="auto"/>
                <w:szCs w:val="21"/>
                <w:highlight w:val="none"/>
              </w:rPr>
              <w:t>（如有请提供）</w:t>
            </w:r>
          </w:p>
          <w:p>
            <w:pPr>
              <w:snapToGrid w:val="0"/>
              <w:spacing w:line="360" w:lineRule="auto"/>
              <w:ind w:firstLine="420" w:firstLineChars="20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5.投标人针对报价需要说明的其他文件和说明（格式自拟）。</w:t>
            </w:r>
            <w:r>
              <w:rPr>
                <w:rFonts w:hint="eastAsia" w:asciiTheme="minorEastAsia" w:hAnsiTheme="minorEastAsia" w:eastAsiaTheme="minorEastAsia" w:cstheme="minorEastAsia"/>
                <w:b/>
                <w:bCs/>
                <w:color w:val="auto"/>
                <w:szCs w:val="21"/>
                <w:highlight w:val="none"/>
              </w:rPr>
              <w:t>（如有请提供）</w:t>
            </w:r>
          </w:p>
          <w:p>
            <w:pPr>
              <w:tabs>
                <w:tab w:val="left" w:pos="34"/>
              </w:tabs>
              <w:snapToGrid w:val="0"/>
              <w:spacing w:line="360" w:lineRule="auto"/>
              <w:ind w:firstLine="422"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注：投标函、开标一览表必须由法定代表人或者委托代理人在规定签章处逐一签字并加盖投标人公章，否则按无效投标</w:t>
            </w:r>
            <w:r>
              <w:rPr>
                <w:rFonts w:hint="eastAsia" w:asciiTheme="minorEastAsia" w:hAnsiTheme="minorEastAsia" w:eastAsiaTheme="minorEastAsia" w:cstheme="minorEastAsia"/>
                <w:b/>
                <w:color w:val="auto"/>
                <w:szCs w:val="21"/>
                <w:highlight w:val="none"/>
              </w:rPr>
              <w:t>处理</w:t>
            </w:r>
            <w:r>
              <w:rPr>
                <w:rFonts w:hint="eastAsia" w:asciiTheme="minorEastAsia" w:hAnsiTheme="minorEastAsia" w:eastAsiaTheme="minorEastAsia" w:cstheme="minorEastAsia"/>
                <w:b/>
                <w:bCs/>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vMerge w:val="continue"/>
            <w:tcBorders>
              <w:left w:val="single" w:color="auto" w:sz="4" w:space="0"/>
              <w:right w:val="single" w:color="auto" w:sz="4" w:space="0"/>
            </w:tcBorders>
            <w:vAlign w:val="center"/>
          </w:tcPr>
          <w:p>
            <w:pPr>
              <w:spacing w:line="360" w:lineRule="auto"/>
              <w:rPr>
                <w:rFonts w:asciiTheme="minorEastAsia" w:hAnsiTheme="minorEastAsia" w:eastAsiaTheme="minorEastAsia" w:cstheme="minorEastAsia"/>
                <w:color w:val="auto"/>
                <w:szCs w:val="21"/>
                <w:highlight w:val="none"/>
              </w:rPr>
            </w:pPr>
            <w:bookmarkStart w:id="52" w:name="_13.2"/>
            <w:bookmarkEnd w:id="52"/>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2" w:firstLineChars="200"/>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资格证明文件</w:t>
            </w:r>
          </w:p>
          <w:p>
            <w:pPr>
              <w:snapToGrid w:val="0"/>
              <w:spacing w:line="360" w:lineRule="auto"/>
              <w:ind w:firstLine="420" w:firstLineChars="200"/>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1.投标人为法人或者其他组织的，提供营业执照等证明文件（如营业执照或者事业单位法人证书或者</w:t>
            </w:r>
            <w:r>
              <w:rPr>
                <w:rStyle w:val="61"/>
                <w:rFonts w:hint="eastAsia" w:asciiTheme="minorEastAsia" w:hAnsiTheme="minorEastAsia" w:eastAsiaTheme="minorEastAsia" w:cstheme="minorEastAsia"/>
                <w:color w:val="auto"/>
                <w:sz w:val="21"/>
                <w:szCs w:val="21"/>
                <w:highlight w:val="none"/>
              </w:rPr>
              <w:t>执业许可证</w:t>
            </w:r>
            <w:r>
              <w:rPr>
                <w:rFonts w:hint="eastAsia" w:asciiTheme="minorEastAsia" w:hAnsiTheme="minorEastAsia" w:eastAsiaTheme="minorEastAsia" w:cstheme="minorEastAsia"/>
                <w:color w:val="auto"/>
                <w:szCs w:val="21"/>
                <w:highlight w:val="none"/>
              </w:rPr>
              <w:t>或者登记证书等），投标人为自然人的，提供身份证复印件；（</w:t>
            </w:r>
            <w:r>
              <w:rPr>
                <w:rFonts w:hint="eastAsia" w:asciiTheme="minorEastAsia" w:hAnsiTheme="minorEastAsia" w:eastAsiaTheme="minorEastAsia" w:cstheme="minorEastAsia"/>
                <w:b/>
                <w:color w:val="auto"/>
                <w:szCs w:val="21"/>
                <w:highlight w:val="none"/>
              </w:rPr>
              <w:t>必须提供，否则按无效投标处理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firstLine="420" w:firstLineChars="200"/>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2.投标人依法缴纳税收的相关材料（</w:t>
            </w:r>
            <w:r>
              <w:rPr>
                <w:rFonts w:hint="eastAsia" w:asciiTheme="minorEastAsia" w:hAnsiTheme="minorEastAsia" w:eastAsiaTheme="minorEastAsia" w:cstheme="minorEastAsia"/>
                <w:color w:val="auto"/>
                <w:szCs w:val="21"/>
                <w:highlight w:val="none"/>
                <w:u w:val="single"/>
              </w:rPr>
              <w:t>投标文件提交截止之日前半年内</w:t>
            </w:r>
            <w:r>
              <w:rPr>
                <w:rFonts w:hint="eastAsia" w:asciiTheme="minorEastAsia" w:hAnsiTheme="minorEastAsia" w:eastAsiaTheme="minorEastAsia" w:cstheme="minorEastAsia"/>
                <w:color w:val="auto"/>
                <w:szCs w:val="21"/>
                <w:highlight w:val="none"/>
              </w:rPr>
              <w:t>任意连续</w:t>
            </w:r>
            <w:r>
              <w:rPr>
                <w:rFonts w:hint="eastAsia" w:asciiTheme="minorEastAsia" w:hAnsiTheme="minorEastAsia" w:eastAsiaTheme="minorEastAsia" w:cstheme="minorEastAsia"/>
                <w:color w:val="auto"/>
                <w:szCs w:val="21"/>
                <w:highlight w:val="none"/>
                <w:u w:val="single"/>
              </w:rPr>
              <w:t xml:space="preserve"> 3</w:t>
            </w:r>
            <w:r>
              <w:rPr>
                <w:rFonts w:hint="eastAsia" w:asciiTheme="minorEastAsia" w:hAnsiTheme="minorEastAsia" w:eastAsiaTheme="minorEastAsia" w:cstheme="minorEastAsia"/>
                <w:color w:val="auto"/>
                <w:szCs w:val="21"/>
                <w:highlight w:val="none"/>
              </w:rPr>
              <w:t>个月的依法缴纳税收的凭据复印件；依法免税的供应商，必须提供相应文件证明其依法免税。从成立之日起到投标文件提交截止时间止不足要求月数的，只需提供从成立之日起的依法缴纳税收相应证明文件）；（</w:t>
            </w:r>
            <w:r>
              <w:rPr>
                <w:rFonts w:hint="eastAsia" w:asciiTheme="minorEastAsia" w:hAnsiTheme="minorEastAsia" w:eastAsiaTheme="minorEastAsia" w:cstheme="minorEastAsia"/>
                <w:b/>
                <w:color w:val="auto"/>
                <w:szCs w:val="21"/>
                <w:highlight w:val="none"/>
              </w:rPr>
              <w:t>必须提供，否则按无效投标处理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firstLine="420" w:firstLineChars="200"/>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3.投标人依法缴纳社会保障资金的相关材料[</w:t>
            </w:r>
            <w:r>
              <w:rPr>
                <w:rFonts w:hint="eastAsia" w:asciiTheme="minorEastAsia" w:hAnsiTheme="minorEastAsia" w:eastAsiaTheme="minorEastAsia" w:cstheme="minorEastAsia"/>
                <w:color w:val="auto"/>
                <w:szCs w:val="21"/>
                <w:highlight w:val="none"/>
                <w:u w:val="single"/>
              </w:rPr>
              <w:t>投标文件提交截止之日前半年内</w:t>
            </w:r>
            <w:r>
              <w:rPr>
                <w:rFonts w:hint="eastAsia" w:asciiTheme="minorEastAsia" w:hAnsiTheme="minorEastAsia" w:eastAsiaTheme="minorEastAsia" w:cstheme="minorEastAsia"/>
                <w:color w:val="auto"/>
                <w:szCs w:val="21"/>
                <w:highlight w:val="none"/>
              </w:rPr>
              <w:t>任意连续</w:t>
            </w:r>
            <w:r>
              <w:rPr>
                <w:rFonts w:hint="eastAsia" w:asciiTheme="minorEastAsia" w:hAnsiTheme="minorEastAsia" w:eastAsiaTheme="minorEastAsia" w:cstheme="minorEastAsia"/>
                <w:color w:val="auto"/>
                <w:szCs w:val="21"/>
                <w:highlight w:val="none"/>
                <w:u w:val="single"/>
              </w:rPr>
              <w:t>3</w:t>
            </w:r>
            <w:r>
              <w:rPr>
                <w:rFonts w:hint="eastAsia" w:asciiTheme="minorEastAsia" w:hAnsiTheme="minorEastAsia" w:eastAsiaTheme="minorEastAsia" w:cstheme="minorEastAsia"/>
                <w:color w:val="auto"/>
                <w:szCs w:val="21"/>
                <w:highlight w:val="none"/>
              </w:rPr>
              <w:t>个月的依法缴纳社会保障资金的缴费凭证（专用收据或者社会保险缴纳清单）复印件；依法不需要缴纳社会保障资金的供应商，必须提供相应文件证明不需要缴纳社会保障资金。从成立之日起到投标文件提交截止时间止不足要求月数的只需提供从成立之日起的依法缴纳社会保障资金的相应证明文件]；（</w:t>
            </w:r>
            <w:r>
              <w:rPr>
                <w:rFonts w:hint="eastAsia" w:asciiTheme="minorEastAsia" w:hAnsiTheme="minorEastAsia" w:eastAsiaTheme="minorEastAsia" w:cstheme="minorEastAsia"/>
                <w:b/>
                <w:color w:val="auto"/>
                <w:szCs w:val="21"/>
                <w:highlight w:val="none"/>
              </w:rPr>
              <w:t>必须提供，否则按无效投标处理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firstLine="420" w:firstLineChars="200"/>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4.投标人财务状况报告（</w:t>
            </w:r>
            <w:r>
              <w:rPr>
                <w:rFonts w:hint="eastAsia" w:asciiTheme="minorEastAsia" w:hAnsiTheme="minorEastAsia" w:eastAsiaTheme="minorEastAsia" w:cstheme="minorEastAsia"/>
                <w:color w:val="auto"/>
                <w:szCs w:val="21"/>
                <w:highlight w:val="none"/>
                <w:u w:val="single"/>
              </w:rPr>
              <w:t>2025年度</w:t>
            </w:r>
            <w:r>
              <w:rPr>
                <w:rFonts w:hint="eastAsia" w:asciiTheme="minorEastAsia" w:hAnsiTheme="minorEastAsia" w:eastAsiaTheme="minorEastAsia" w:cstheme="minorEastAsia"/>
                <w:color w:val="auto"/>
                <w:szCs w:val="21"/>
                <w:highlight w:val="none"/>
              </w:rPr>
              <w:t>财务报表复印件或者银行出具的资信证明；投标人属于成立时间</w:t>
            </w:r>
            <w:r>
              <w:rPr>
                <w:rFonts w:hint="eastAsia" w:asciiTheme="minorEastAsia" w:hAnsiTheme="minorEastAsia" w:eastAsiaTheme="minorEastAsia" w:cstheme="minorEastAsia"/>
                <w:color w:val="auto"/>
                <w:kern w:val="0"/>
                <w:szCs w:val="21"/>
                <w:highlight w:val="none"/>
              </w:rPr>
              <w:t>在规定年度之后</w:t>
            </w:r>
            <w:r>
              <w:rPr>
                <w:rFonts w:hint="eastAsia" w:asciiTheme="minorEastAsia" w:hAnsiTheme="minorEastAsia" w:eastAsiaTheme="minorEastAsia" w:cstheme="minorEastAsia"/>
                <w:color w:val="auto"/>
                <w:szCs w:val="21"/>
                <w:highlight w:val="none"/>
              </w:rPr>
              <w:t>的法人或其他组织，需提供成立之日起至投标截止时间前的月报表或银行出具的资信证明；资信证明应在有效期内，未注明有效期的，银行出具时间至投标截止时间不超过一年）；（</w:t>
            </w:r>
            <w:r>
              <w:rPr>
                <w:rFonts w:hint="eastAsia" w:asciiTheme="minorEastAsia" w:hAnsiTheme="minorEastAsia" w:eastAsiaTheme="minorEastAsia" w:cstheme="minorEastAsia"/>
                <w:b/>
                <w:color w:val="auto"/>
                <w:szCs w:val="21"/>
                <w:highlight w:val="none"/>
              </w:rPr>
              <w:t>必须提供，否则按无效投标处理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5.投标人直接控股、管理关系信息表（格式后附）；（</w:t>
            </w:r>
            <w:r>
              <w:rPr>
                <w:rFonts w:hint="eastAsia" w:asciiTheme="minorEastAsia" w:hAnsiTheme="minorEastAsia" w:eastAsiaTheme="minorEastAsia" w:cstheme="minorEastAsia"/>
                <w:b/>
                <w:color w:val="auto"/>
                <w:szCs w:val="21"/>
                <w:highlight w:val="none"/>
              </w:rPr>
              <w:t>必须提供，否则按无效投标处理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firstLine="420" w:firstLineChars="200"/>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6.投标声明（格式后附）；（</w:t>
            </w:r>
            <w:r>
              <w:rPr>
                <w:rFonts w:hint="eastAsia" w:asciiTheme="minorEastAsia" w:hAnsiTheme="minorEastAsia" w:eastAsiaTheme="minorEastAsia" w:cstheme="minorEastAsia"/>
                <w:b/>
                <w:color w:val="auto"/>
                <w:szCs w:val="21"/>
                <w:highlight w:val="none"/>
              </w:rPr>
              <w:t>必须提供，否则按无效投标处理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7.联合体协议书（格式后附）；（</w:t>
            </w:r>
            <w:r>
              <w:rPr>
                <w:rFonts w:hint="eastAsia" w:asciiTheme="minorEastAsia" w:hAnsiTheme="minorEastAsia" w:eastAsiaTheme="minorEastAsia" w:cstheme="minorEastAsia"/>
                <w:b/>
                <w:color w:val="auto"/>
                <w:szCs w:val="21"/>
                <w:highlight w:val="none"/>
              </w:rPr>
              <w:t>联合体投标时必须提供，否则按无效投标处理</w:t>
            </w:r>
            <w:r>
              <w:rPr>
                <w:rFonts w:hint="eastAsia" w:asciiTheme="minorEastAsia" w:hAnsiTheme="minorEastAsia" w:eastAsiaTheme="minorEastAsia" w:cstheme="minorEastAsia"/>
                <w:color w:val="auto"/>
                <w:szCs w:val="21"/>
                <w:highlight w:val="none"/>
              </w:rPr>
              <w:t>）</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8.本项目的特定资格要求：分标1、分标2：</w:t>
            </w:r>
          </w:p>
          <w:p>
            <w:pPr>
              <w:spacing w:line="360" w:lineRule="auto"/>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①投标人按《医疗器械监督管理条例》（国务院令第739号）医疗器械分类管理要求具备有效的医疗器械经营备案凭证或者经营许可证，符合《医疗器械监督管理条例》第四十一条第二款规定的除外；或者投标人具有《医疗器械监督管理条例》第四十三条规定的注册人凭证。</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必须提供，否则按无效投标处理</w:t>
            </w:r>
            <w:r>
              <w:rPr>
                <w:rFonts w:hint="eastAsia" w:asciiTheme="minorEastAsia" w:hAnsiTheme="minorEastAsia" w:eastAsiaTheme="minorEastAsia" w:cstheme="minorEastAsia"/>
                <w:color w:val="auto"/>
                <w:szCs w:val="21"/>
                <w:highlight w:val="none"/>
              </w:rPr>
              <w:t>）</w:t>
            </w:r>
          </w:p>
          <w:p>
            <w:pPr>
              <w:spacing w:line="360" w:lineRule="auto"/>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u w:val="single"/>
              </w:rPr>
              <w:t>②依据《放射性同位素与射线装置安全许可管理办法》第二条“在中华人民共和国境内生产、销售、使用放射性同位素与射线装置的单位，应当依照本办法的规定，取得辐射安全许可证。”。投标人为投标产品制造商的须具备有效的《辐射安全许可证》（许可种类和范围至少包含生产、销售）；投标人为投标产品经销商的须具备有效的《辐射安全许可证》（许可种类和范围至少包含销售）。</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必须提供，否则按无效投标处理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9.除招标文件规定必须提供以外，投标人认为需要提供的其他证明材料。</w:t>
            </w:r>
          </w:p>
          <w:p>
            <w:pPr>
              <w:tabs>
                <w:tab w:val="left" w:pos="0"/>
              </w:tabs>
              <w:snapToGrid w:val="0"/>
              <w:spacing w:line="360" w:lineRule="auto"/>
              <w:ind w:firstLine="422" w:firstLineChars="200"/>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Cs w:val="21"/>
                <w:highlight w:val="none"/>
              </w:rPr>
              <w:t>注：1.以上标明“必须提供”的材料属于复印件的，必须加盖投标人公章，否则按无效投标</w:t>
            </w:r>
            <w:r>
              <w:rPr>
                <w:rFonts w:hint="eastAsia" w:asciiTheme="minorEastAsia" w:hAnsiTheme="minorEastAsia" w:eastAsiaTheme="minorEastAsia" w:cstheme="minorEastAsia"/>
                <w:b/>
                <w:color w:val="auto"/>
                <w:szCs w:val="21"/>
                <w:highlight w:val="none"/>
              </w:rPr>
              <w:t>处理。</w:t>
            </w:r>
          </w:p>
          <w:p>
            <w:pPr>
              <w:tabs>
                <w:tab w:val="left" w:pos="0"/>
              </w:tabs>
              <w:snapToGrid w:val="0"/>
              <w:spacing w:line="360" w:lineRule="auto"/>
              <w:ind w:firstLine="422" w:firstLineChars="200"/>
              <w:jc w:val="left"/>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color w:val="auto"/>
                <w:szCs w:val="21"/>
                <w:highlight w:val="none"/>
              </w:rPr>
              <w:t>2.</w:t>
            </w:r>
            <w:r>
              <w:rPr>
                <w:rFonts w:hint="eastAsia" w:asciiTheme="minorEastAsia" w:hAnsiTheme="minorEastAsia" w:eastAsiaTheme="minorEastAsia" w:cstheme="minorEastAsia"/>
                <w:b/>
                <w:bCs/>
                <w:color w:val="auto"/>
                <w:szCs w:val="21"/>
                <w:highlight w:val="none"/>
              </w:rPr>
              <w:t>投标声明必须由法定代表人在规定签章处签字或者电子签名并加盖投标人公章，否则按无效投标处理。</w:t>
            </w:r>
          </w:p>
          <w:p>
            <w:pPr>
              <w:tabs>
                <w:tab w:val="left" w:pos="0"/>
              </w:tabs>
              <w:snapToGrid w:val="0"/>
              <w:spacing w:line="360" w:lineRule="auto"/>
              <w:ind w:firstLine="422" w:firstLineChars="200"/>
              <w:jc w:val="left"/>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3.投标人直接控股、管理关系信息表必须由法定代表人或者委托代理人在规定签章处签字或者电子签名并加盖投标人公章，否则按无效投标</w:t>
            </w:r>
            <w:r>
              <w:rPr>
                <w:rFonts w:hint="eastAsia" w:asciiTheme="minorEastAsia" w:hAnsiTheme="minorEastAsia" w:eastAsiaTheme="minorEastAsia" w:cstheme="minorEastAsia"/>
                <w:b/>
                <w:color w:val="auto"/>
                <w:szCs w:val="21"/>
                <w:highlight w:val="none"/>
              </w:rPr>
              <w:t>处理</w:t>
            </w:r>
            <w:r>
              <w:rPr>
                <w:rFonts w:hint="eastAsia" w:asciiTheme="minorEastAsia" w:hAnsiTheme="minorEastAsia" w:eastAsiaTheme="minorEastAsia" w:cstheme="minorEastAsia"/>
                <w:b/>
                <w:bCs/>
                <w:color w:val="auto"/>
                <w:szCs w:val="21"/>
                <w:highlight w:val="none"/>
              </w:rPr>
              <w:t>。</w:t>
            </w:r>
          </w:p>
          <w:p>
            <w:pPr>
              <w:tabs>
                <w:tab w:val="left" w:pos="0"/>
              </w:tabs>
              <w:snapToGrid w:val="0"/>
              <w:spacing w:line="360" w:lineRule="auto"/>
              <w:ind w:firstLine="422" w:firstLineChars="200"/>
              <w:jc w:val="left"/>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4.联合体投标时，第1-5项资格证明文件联合体各方均必须分别提供，联合体各方分别盖章和签字（或者电子签名），否则按无效投标</w:t>
            </w:r>
            <w:r>
              <w:rPr>
                <w:rFonts w:hint="eastAsia" w:asciiTheme="minorEastAsia" w:hAnsiTheme="minorEastAsia" w:eastAsiaTheme="minorEastAsia" w:cstheme="minorEastAsia"/>
                <w:b/>
                <w:color w:val="auto"/>
                <w:szCs w:val="21"/>
                <w:highlight w:val="none"/>
              </w:rPr>
              <w:t>处理</w:t>
            </w:r>
            <w:r>
              <w:rPr>
                <w:rFonts w:hint="eastAsia" w:asciiTheme="minorEastAsia" w:hAnsiTheme="minorEastAsia" w:eastAsiaTheme="minorEastAsia" w:cstheme="minorEastAsia"/>
                <w:b/>
                <w:bCs/>
                <w:color w:val="auto"/>
                <w:szCs w:val="21"/>
                <w:highlight w:val="none"/>
              </w:rPr>
              <w:t>。</w:t>
            </w:r>
          </w:p>
          <w:p>
            <w:pPr>
              <w:tabs>
                <w:tab w:val="left" w:pos="0"/>
              </w:tabs>
              <w:snapToGrid w:val="0"/>
              <w:spacing w:line="360" w:lineRule="auto"/>
              <w:ind w:firstLine="422" w:firstLineChars="200"/>
              <w:jc w:val="left"/>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5.分公司参加投标的，应当取得总公司授权。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vMerge w:val="continue"/>
            <w:tcBorders>
              <w:left w:val="single" w:color="auto" w:sz="4" w:space="0"/>
              <w:right w:val="single" w:color="auto" w:sz="4" w:space="0"/>
            </w:tcBorders>
            <w:vAlign w:val="center"/>
          </w:tcPr>
          <w:p>
            <w:pPr>
              <w:spacing w:line="360" w:lineRule="auto"/>
              <w:rPr>
                <w:rFonts w:asciiTheme="minorEastAsia" w:hAnsiTheme="minorEastAsia" w:eastAsiaTheme="minorEastAsia" w:cstheme="minorEastAsia"/>
                <w:color w:val="auto"/>
                <w:szCs w:val="21"/>
                <w:highlight w:val="none"/>
              </w:rPr>
            </w:pPr>
            <w:bookmarkStart w:id="53" w:name="_13.3"/>
            <w:bookmarkEnd w:id="53"/>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2" w:firstLineChars="200"/>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商务文件：</w:t>
            </w:r>
          </w:p>
          <w:p>
            <w:pPr>
              <w:snapToGrid w:val="0"/>
              <w:spacing w:line="360" w:lineRule="auto"/>
              <w:ind w:left="34"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1.无串通投标行为的承诺函（格式后附）；（</w:t>
            </w:r>
            <w:r>
              <w:rPr>
                <w:rFonts w:hint="eastAsia" w:asciiTheme="minorEastAsia" w:hAnsiTheme="minorEastAsia" w:eastAsiaTheme="minorEastAsia" w:cstheme="minorEastAsia"/>
                <w:b/>
                <w:color w:val="auto"/>
                <w:szCs w:val="21"/>
                <w:highlight w:val="none"/>
              </w:rPr>
              <w:t>必须提供，否则按无效投标处理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left="34"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2.投标保证金提交凭证；（</w:t>
            </w:r>
            <w:r>
              <w:rPr>
                <w:rFonts w:hint="eastAsia" w:asciiTheme="minorEastAsia" w:hAnsiTheme="minorEastAsia" w:eastAsiaTheme="minorEastAsia" w:cstheme="minorEastAsia"/>
                <w:b/>
                <w:bCs/>
                <w:color w:val="auto"/>
                <w:szCs w:val="21"/>
                <w:highlight w:val="none"/>
              </w:rPr>
              <w:t>必须提供</w:t>
            </w:r>
            <w:r>
              <w:rPr>
                <w:rFonts w:hint="eastAsia" w:asciiTheme="minorEastAsia" w:hAnsiTheme="minorEastAsia" w:eastAsiaTheme="minorEastAsia" w:cstheme="minorEastAsia"/>
                <w:b/>
                <w:color w:val="auto"/>
                <w:szCs w:val="21"/>
                <w:highlight w:val="none"/>
              </w:rPr>
              <w:t>，否则按无效投标处理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left="34"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3.法定代表人身份证明及法定代表人有效身份证正反面复印件（格式后附）；（</w:t>
            </w:r>
            <w:r>
              <w:rPr>
                <w:rFonts w:hint="eastAsia" w:asciiTheme="minorEastAsia" w:hAnsiTheme="minorEastAsia" w:eastAsiaTheme="minorEastAsia" w:cstheme="minorEastAsia"/>
                <w:b/>
                <w:bCs/>
                <w:color w:val="auto"/>
                <w:szCs w:val="21"/>
                <w:highlight w:val="none"/>
              </w:rPr>
              <w:t>除自然人投标外</w:t>
            </w:r>
            <w:r>
              <w:rPr>
                <w:rFonts w:hint="eastAsia" w:asciiTheme="minorEastAsia" w:hAnsiTheme="minorEastAsia" w:eastAsiaTheme="minorEastAsia" w:cstheme="minorEastAsia"/>
                <w:b/>
                <w:color w:val="auto"/>
                <w:szCs w:val="21"/>
                <w:highlight w:val="none"/>
              </w:rPr>
              <w:t>必须提供，否则按无效投标处理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left="34"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4.授权委托书及委托代理人有效身份证正反面复印件（格式后附）；（</w:t>
            </w:r>
            <w:r>
              <w:rPr>
                <w:rFonts w:hint="eastAsia" w:asciiTheme="minorEastAsia" w:hAnsiTheme="minorEastAsia" w:eastAsiaTheme="minorEastAsia" w:cstheme="minorEastAsia"/>
                <w:b/>
                <w:color w:val="auto"/>
                <w:szCs w:val="21"/>
                <w:highlight w:val="none"/>
              </w:rPr>
              <w:t>委托时必须提供，否则按无效投标处理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left="34"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5.商务要求偏离表（格式后附）；（</w:t>
            </w:r>
            <w:r>
              <w:rPr>
                <w:rFonts w:hint="eastAsia" w:asciiTheme="minorEastAsia" w:hAnsiTheme="minorEastAsia" w:eastAsiaTheme="minorEastAsia" w:cstheme="minorEastAsia"/>
                <w:b/>
                <w:color w:val="auto"/>
                <w:szCs w:val="21"/>
                <w:highlight w:val="none"/>
              </w:rPr>
              <w:t>必须提供，否则按无效投标处理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left="34"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6.售后服务承诺（格式自拟）；（</w:t>
            </w:r>
            <w:r>
              <w:rPr>
                <w:rFonts w:hint="eastAsia" w:asciiTheme="minorEastAsia" w:hAnsiTheme="minorEastAsia" w:eastAsiaTheme="minorEastAsia" w:cstheme="minorEastAsia"/>
                <w:b/>
                <w:color w:val="auto"/>
                <w:szCs w:val="21"/>
                <w:highlight w:val="none"/>
              </w:rPr>
              <w:t>必须提供，否则按无效投标处理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left="34"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7.投标人情况介绍（格式自拟）；</w:t>
            </w:r>
          </w:p>
          <w:p>
            <w:pPr>
              <w:snapToGrid w:val="0"/>
              <w:spacing w:line="360" w:lineRule="auto"/>
              <w:ind w:left="34"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8.联合体协议书（格式后附）；（</w:t>
            </w:r>
            <w:r>
              <w:rPr>
                <w:rFonts w:hint="eastAsia" w:asciiTheme="minorEastAsia" w:hAnsiTheme="minorEastAsia" w:eastAsiaTheme="minorEastAsia" w:cstheme="minorEastAsia"/>
                <w:b/>
                <w:color w:val="auto"/>
                <w:szCs w:val="21"/>
                <w:highlight w:val="none"/>
              </w:rPr>
              <w:t>联合体投标时必须提供，否则按无效投标处理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left="34"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9.除招标文件规定必须提供以外，投标人认为需要提供的其他证明材料（格式自拟）。（投标人根据“第二章 采购需求”及“第四章 评标方法及评标标准”提供有关证明材料）。</w:t>
            </w:r>
          </w:p>
          <w:p>
            <w:pPr>
              <w:snapToGrid w:val="0"/>
              <w:spacing w:line="360" w:lineRule="auto"/>
              <w:ind w:firstLine="422"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注：以上标明“必须提供”的材料属于复印件的，必须加盖投标人公章，否则按无效投标</w:t>
            </w:r>
            <w:r>
              <w:rPr>
                <w:rFonts w:hint="eastAsia" w:asciiTheme="minorEastAsia" w:hAnsiTheme="minorEastAsia" w:eastAsiaTheme="minorEastAsia" w:cstheme="minorEastAsia"/>
                <w:b/>
                <w:color w:val="auto"/>
                <w:szCs w:val="21"/>
                <w:highlight w:val="none"/>
              </w:rPr>
              <w:t>处理</w:t>
            </w:r>
            <w:r>
              <w:rPr>
                <w:rFonts w:hint="eastAsia" w:asciiTheme="minorEastAsia" w:hAnsiTheme="minorEastAsia" w:eastAsiaTheme="minorEastAsia" w:cstheme="minorEastAsia"/>
                <w:b/>
                <w:bCs/>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vMerge w:val="continue"/>
            <w:tcBorders>
              <w:left w:val="single" w:color="auto" w:sz="4" w:space="0"/>
              <w:bottom w:val="single" w:color="auto" w:sz="4" w:space="0"/>
              <w:right w:val="single" w:color="auto" w:sz="4" w:space="0"/>
            </w:tcBorders>
            <w:vAlign w:val="center"/>
          </w:tcPr>
          <w:p>
            <w:pPr>
              <w:spacing w:line="360" w:lineRule="auto"/>
              <w:rPr>
                <w:rFonts w:asciiTheme="minorEastAsia" w:hAnsiTheme="minorEastAsia" w:eastAsiaTheme="minorEastAsia" w:cstheme="minorEastAsia"/>
                <w:color w:val="auto"/>
                <w:szCs w:val="21"/>
                <w:highlight w:val="none"/>
              </w:rPr>
            </w:pPr>
            <w:bookmarkStart w:id="54" w:name="_13.4"/>
            <w:bookmarkEnd w:id="54"/>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2" w:firstLineChars="200"/>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技术文件：</w:t>
            </w:r>
          </w:p>
          <w:p>
            <w:pPr>
              <w:snapToGrid w:val="0"/>
              <w:spacing w:line="360" w:lineRule="auto"/>
              <w:ind w:left="-2" w:leftChars="-1"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1.设备性能配置清单（格式后附）；（</w:t>
            </w:r>
            <w:r>
              <w:rPr>
                <w:rFonts w:hint="eastAsia" w:asciiTheme="minorEastAsia" w:hAnsiTheme="minorEastAsia" w:eastAsiaTheme="minorEastAsia" w:cstheme="minorEastAsia"/>
                <w:b/>
                <w:color w:val="auto"/>
                <w:szCs w:val="21"/>
                <w:highlight w:val="none"/>
              </w:rPr>
              <w:t>必须提供，否则按无效投标处理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left="-2" w:leftChars="-1"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2.技术要求偏离表（格式后附）；（</w:t>
            </w:r>
            <w:r>
              <w:rPr>
                <w:rFonts w:hint="eastAsia" w:asciiTheme="minorEastAsia" w:hAnsiTheme="minorEastAsia" w:eastAsiaTheme="minorEastAsia" w:cstheme="minorEastAsia"/>
                <w:b/>
                <w:color w:val="auto"/>
                <w:szCs w:val="21"/>
                <w:highlight w:val="none"/>
              </w:rPr>
              <w:t>必须提供，否则按无效投标处理</w:t>
            </w:r>
            <w:r>
              <w:rPr>
                <w:rFonts w:hint="eastAsia" w:asciiTheme="minorEastAsia" w:hAnsiTheme="minorEastAsia" w:eastAsiaTheme="minorEastAsia" w:cstheme="minorEastAsia"/>
                <w:color w:val="auto"/>
                <w:szCs w:val="21"/>
                <w:highlight w:val="none"/>
              </w:rPr>
              <w:t>）</w:t>
            </w:r>
          </w:p>
          <w:p>
            <w:pPr>
              <w:snapToGrid w:val="0"/>
              <w:spacing w:line="360" w:lineRule="auto"/>
              <w:ind w:left="-2" w:leftChars="-1"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3.项目实施方案（格式自拟）；</w:t>
            </w:r>
          </w:p>
          <w:p>
            <w:pPr>
              <w:snapToGrid w:val="0"/>
              <w:spacing w:line="360" w:lineRule="auto"/>
              <w:ind w:left="-2" w:leftChars="-1"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4.对本项目系统总体要求的理解。包括：功能说明、性能指标及设备选型说明（质量、性能、价格、外观、体积等方面进行比较和选择的理由及过程，格式自拟）；</w:t>
            </w:r>
          </w:p>
          <w:p>
            <w:pPr>
              <w:snapToGrid w:val="0"/>
              <w:spacing w:line="360" w:lineRule="auto"/>
              <w:ind w:left="-2" w:leftChars="-1"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产品出厂标准、质量检测报告【其中有精度要求的仪器设备类政府采购项目，应当要求投标人提供精度数据（国家认可的有资质的第三方检测机构出具的检测报告复印件或者由采购人在投标前组织的实测获得）】</w:t>
            </w:r>
          </w:p>
          <w:p>
            <w:pPr>
              <w:snapToGrid w:val="0"/>
              <w:spacing w:line="360" w:lineRule="auto"/>
              <w:ind w:left="-2" w:leftChars="-1"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6.优惠条件：投标人承诺给予招标人的各种优惠条件，包括售后服务、备品备件、专用耗材等方面的优惠；投标人不得给予赠品或者与采购无关的其他商品、服务；</w:t>
            </w:r>
          </w:p>
          <w:p>
            <w:pPr>
              <w:snapToGrid w:val="0"/>
              <w:spacing w:line="360" w:lineRule="auto"/>
              <w:ind w:left="-2" w:leftChars="-1"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7.投标人对本项目的合理化建议和改进措施（格式自拟）；</w:t>
            </w:r>
          </w:p>
          <w:p>
            <w:pPr>
              <w:snapToGrid w:val="0"/>
              <w:spacing w:line="360" w:lineRule="auto"/>
              <w:ind w:left="-2" w:leftChars="-1" w:firstLine="420" w:firstLineChars="20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8.除招标文件规定必须提供以外，投标人需要说明的其他文件和说明（格式自拟）。</w:t>
            </w:r>
          </w:p>
          <w:p>
            <w:pPr>
              <w:snapToGrid w:val="0"/>
              <w:spacing w:line="360" w:lineRule="auto"/>
              <w:ind w:firstLine="422" w:firstLineChars="200"/>
              <w:jc w:val="left"/>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注：以上标明“必须提供”的材料属于复印件的，必须加盖投标人公章，否则按无效投标</w:t>
            </w:r>
            <w:r>
              <w:rPr>
                <w:rFonts w:hint="eastAsia" w:asciiTheme="minorEastAsia" w:hAnsiTheme="minorEastAsia" w:eastAsiaTheme="minorEastAsia" w:cstheme="minorEastAsia"/>
                <w:b/>
                <w:color w:val="auto"/>
                <w:szCs w:val="21"/>
                <w:highlight w:val="none"/>
              </w:rPr>
              <w:t>处理</w:t>
            </w:r>
            <w:r>
              <w:rPr>
                <w:rFonts w:hint="eastAsia" w:asciiTheme="minorEastAsia" w:hAnsiTheme="minorEastAsia" w:eastAsiaTheme="minorEastAsia" w:cstheme="minorEastAsia"/>
                <w:b/>
                <w:bCs/>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bookmarkStart w:id="55" w:name="_Hlt19194067"/>
            <w:bookmarkEnd w:id="55"/>
            <w:bookmarkStart w:id="56" w:name="_Hlt19194066"/>
            <w:bookmarkEnd w:id="56"/>
            <w:bookmarkStart w:id="57" w:name="_13.5"/>
            <w:bookmarkEnd w:id="57"/>
            <w:bookmarkStart w:id="58" w:name="_16.2"/>
            <w:bookmarkEnd w:id="58"/>
            <w:bookmarkStart w:id="59" w:name="_Hlt19693758"/>
            <w:bookmarkEnd w:id="59"/>
            <w:bookmarkStart w:id="60" w:name="_Hlt19693759"/>
            <w:bookmarkEnd w:id="60"/>
            <w:r>
              <w:rPr>
                <w:rFonts w:hint="eastAsia" w:asciiTheme="minorEastAsia" w:hAnsiTheme="minorEastAsia" w:eastAsiaTheme="minorEastAsia" w:cstheme="minorEastAsia"/>
                <w:color w:val="auto"/>
                <w:szCs w:val="21"/>
                <w:highlight w:val="none"/>
              </w:rPr>
              <w:t>16.2</w:t>
            </w:r>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报价包含货物、货物标准附件、备品备件、专用工具、设备安装辅材、施工辅材、包装、运输、装卸、保险、货到就位、质保期(包修期)内维护、保养、维修及设备软件更新升级的各种费用以及安装、调试等本招标文件所列设备材料需进行补充完善才能完成本项目的功能配置或实际采购中产品材料有任何遗漏的费用（含本项目需要但本文件中未列出的设备材料、功能配置）、税金、售后服务、技术培训及其他所有成本费用，以及合同明示或暗示的所有责任、义务和一般风险等一切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bookmarkStart w:id="61" w:name="_17.1"/>
            <w:bookmarkEnd w:id="61"/>
            <w:r>
              <w:rPr>
                <w:rFonts w:hint="eastAsia" w:asciiTheme="minorEastAsia" w:hAnsiTheme="minorEastAsia" w:eastAsiaTheme="minorEastAsia" w:cstheme="minorEastAsia"/>
                <w:color w:val="auto"/>
                <w:szCs w:val="21"/>
                <w:highlight w:val="none"/>
              </w:rPr>
              <w:t>17.2</w:t>
            </w:r>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投标有效期：自投标截止之日起</w:t>
            </w:r>
            <w:r>
              <w:rPr>
                <w:rFonts w:hint="eastAsia" w:asciiTheme="minorEastAsia" w:hAnsiTheme="minorEastAsia" w:eastAsiaTheme="minorEastAsia" w:cstheme="minorEastAsia"/>
                <w:color w:val="auto"/>
                <w:szCs w:val="21"/>
                <w:highlight w:val="none"/>
                <w:u w:val="single"/>
              </w:rPr>
              <w:t>120</w:t>
            </w:r>
            <w:r>
              <w:rPr>
                <w:rFonts w:hint="eastAsia" w:asciiTheme="minorEastAsia" w:hAnsiTheme="minorEastAsia" w:eastAsiaTheme="minorEastAsia" w:cstheme="minorEastAsia"/>
                <w:color w:val="auto"/>
                <w:szCs w:val="21"/>
                <w:highlight w:val="none"/>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bookmarkStart w:id="62" w:name="_18"/>
            <w:bookmarkEnd w:id="62"/>
            <w:r>
              <w:rPr>
                <w:rFonts w:hint="eastAsia" w:asciiTheme="minorEastAsia" w:hAnsiTheme="minorEastAsia" w:eastAsiaTheme="minorEastAsia" w:cstheme="minorEastAsia"/>
                <w:color w:val="auto"/>
                <w:szCs w:val="21"/>
                <w:highlight w:val="none"/>
              </w:rPr>
              <w:t>18.1</w:t>
            </w:r>
          </w:p>
        </w:tc>
        <w:tc>
          <w:tcPr>
            <w:tcW w:w="8593"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□本项目不收取投标保证金。</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bdr w:val="single" w:color="auto" w:sz="4" w:space="0"/>
              </w:rPr>
              <w:t>√</w:t>
            </w:r>
            <w:r>
              <w:rPr>
                <w:rFonts w:hint="eastAsia" w:asciiTheme="minorEastAsia" w:hAnsiTheme="minorEastAsia" w:eastAsiaTheme="minorEastAsia" w:cstheme="minorEastAsia"/>
                <w:color w:val="auto"/>
                <w:szCs w:val="21"/>
                <w:highlight w:val="none"/>
              </w:rPr>
              <w:t>本项目收取投标保证金，具体规定如下：</w:t>
            </w:r>
          </w:p>
          <w:p>
            <w:pPr>
              <w:snapToGrid w:val="0"/>
              <w:spacing w:line="360" w:lineRule="auto"/>
              <w:ind w:firstLine="420" w:firstLineChars="200"/>
              <w:rPr>
                <w:rFonts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投标保证金（人民币）：</w:t>
            </w:r>
            <w:r>
              <w:rPr>
                <w:rFonts w:hint="eastAsia" w:asciiTheme="minorEastAsia" w:hAnsiTheme="minorEastAsia" w:eastAsiaTheme="minorEastAsia" w:cstheme="minorEastAsia"/>
                <w:color w:val="auto"/>
                <w:szCs w:val="21"/>
                <w:highlight w:val="none"/>
              </w:rPr>
              <w:t>1分标：20000.00元；2分标：10000.00元</w:t>
            </w:r>
            <w:r>
              <w:rPr>
                <w:rFonts w:hint="eastAsia" w:asciiTheme="minorEastAsia" w:hAnsiTheme="minorEastAsia" w:eastAsiaTheme="minorEastAsia" w:cstheme="minorEastAsia"/>
                <w:color w:val="auto"/>
                <w:kern w:val="0"/>
                <w:szCs w:val="21"/>
                <w:highlight w:val="none"/>
              </w:rPr>
              <w:t>。</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投标保证金的交纳方式：银行转账、支票、汇票、本票或者金融、担保机构出具的保函，禁止采用现钞方式。采用银行转账方式的，在投标截止时间前交至指定账户并且到账（</w:t>
            </w:r>
            <w:r>
              <w:rPr>
                <w:rFonts w:hint="eastAsia" w:asciiTheme="minorEastAsia" w:hAnsiTheme="minorEastAsia" w:eastAsiaTheme="minorEastAsia" w:cstheme="minorEastAsia"/>
                <w:color w:val="auto"/>
                <w:kern w:val="0"/>
                <w:szCs w:val="21"/>
                <w:highlight w:val="none"/>
                <w:u w:val="single"/>
              </w:rPr>
              <w:t>开户名称：广西科文招标有限公司，开户银行：广西北部湾银行南宁分行营业部，银行账号：0101012090615689</w:t>
            </w:r>
            <w:r>
              <w:rPr>
                <w:rFonts w:hint="eastAsia" w:asciiTheme="minorEastAsia" w:hAnsiTheme="minorEastAsia" w:eastAsiaTheme="minorEastAsia" w:cstheme="minorEastAsia"/>
                <w:color w:val="auto"/>
                <w:kern w:val="0"/>
                <w:szCs w:val="21"/>
                <w:highlight w:val="none"/>
              </w:rPr>
              <w:t>）；采用支票、汇票、本票或者保函等方式的，在投标截止时间前，投标人必须递交支票、汇票、本票或者保函原件。否则视为无效投标保证金。</w:t>
            </w:r>
            <w:r>
              <w:rPr>
                <w:rFonts w:hint="eastAsia" w:asciiTheme="minorEastAsia" w:hAnsiTheme="minorEastAsia" w:eastAsiaTheme="minorEastAsia" w:cstheme="minorEastAsia"/>
                <w:color w:val="auto"/>
                <w:szCs w:val="21"/>
                <w:highlight w:val="none"/>
              </w:rPr>
              <w:t>相关要求：</w:t>
            </w:r>
          </w:p>
          <w:p>
            <w:pPr>
              <w:pStyle w:val="18"/>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1.投标保证金采用银行转账交纳方式的，投标人转帐时请在银行转账底单备注“</w:t>
            </w:r>
            <w:r>
              <w:rPr>
                <w:rFonts w:hint="eastAsia" w:asciiTheme="minorEastAsia" w:hAnsiTheme="minorEastAsia" w:eastAsiaTheme="minorEastAsia" w:cstheme="minorEastAsia"/>
                <w:b/>
                <w:color w:val="auto"/>
                <w:szCs w:val="21"/>
                <w:highlight w:val="none"/>
                <w:u w:val="single"/>
              </w:rPr>
              <w:t>GXZC2026-G1-000555-KWZB投标保证金</w:t>
            </w:r>
            <w:r>
              <w:rPr>
                <w:rFonts w:hint="eastAsia" w:asciiTheme="minorEastAsia" w:hAnsiTheme="minorEastAsia" w:eastAsiaTheme="minorEastAsia" w:cstheme="minorEastAsia"/>
                <w:color w:val="auto"/>
                <w:szCs w:val="21"/>
                <w:highlight w:val="none"/>
              </w:rPr>
              <w:t>”，在投标截止时间前交至指定账户并且到账，投标人应将银行转账底单的复印件作为投标保证金提交凭证，放置于商务文件中，</w:t>
            </w:r>
            <w:r>
              <w:rPr>
                <w:rFonts w:hint="eastAsia" w:asciiTheme="minorEastAsia" w:hAnsiTheme="minorEastAsia" w:eastAsiaTheme="minorEastAsia" w:cstheme="minorEastAsia"/>
                <w:b/>
                <w:color w:val="auto"/>
                <w:szCs w:val="21"/>
                <w:highlight w:val="none"/>
              </w:rPr>
              <w:t>否则投标无效</w:t>
            </w:r>
            <w:r>
              <w:rPr>
                <w:rFonts w:hint="eastAsia" w:asciiTheme="minorEastAsia" w:hAnsiTheme="minorEastAsia" w:eastAsiaTheme="minorEastAsia" w:cstheme="minorEastAsia"/>
                <w:color w:val="auto"/>
                <w:szCs w:val="21"/>
                <w:highlight w:val="none"/>
              </w:rPr>
              <w:t>。</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2.投标保证金采用支票、汇票、本票或者银行、保险机构出具的保函交纳方式的，投标人应将支票、汇票、本票或者银行、保险机构出具的保函的复印件作为投标保证金提交凭证，放置于商务文件中，</w:t>
            </w:r>
            <w:r>
              <w:rPr>
                <w:rFonts w:hint="eastAsia" w:asciiTheme="minorEastAsia" w:hAnsiTheme="minorEastAsia" w:eastAsiaTheme="minorEastAsia" w:cstheme="minorEastAsia"/>
                <w:b/>
                <w:color w:val="auto"/>
                <w:szCs w:val="21"/>
                <w:highlight w:val="none"/>
              </w:rPr>
              <w:t>否则投标无效</w:t>
            </w:r>
            <w:r>
              <w:rPr>
                <w:rFonts w:hint="eastAsia" w:asciiTheme="minorEastAsia" w:hAnsiTheme="minorEastAsia" w:eastAsiaTheme="minorEastAsia" w:cstheme="minorEastAsia"/>
                <w:color w:val="auto"/>
                <w:szCs w:val="21"/>
                <w:highlight w:val="none"/>
              </w:rPr>
              <w:t>。投标人必须在投标截止时间前采用现场或邮寄方式（</w:t>
            </w:r>
            <w:r>
              <w:rPr>
                <w:rFonts w:hint="eastAsia" w:asciiTheme="minorEastAsia" w:hAnsiTheme="minorEastAsia" w:eastAsiaTheme="minorEastAsia" w:cstheme="minorEastAsia"/>
                <w:color w:val="auto"/>
                <w:szCs w:val="21"/>
                <w:highlight w:val="none"/>
                <w:u w:val="single"/>
              </w:rPr>
              <w:t>现场提交或邮寄地址：广西南宁市民族大道141号中鼎万象东方大厦D区五层，联系人：郑雄、钟文</w:t>
            </w:r>
            <w:r>
              <w:rPr>
                <w:rFonts w:hint="eastAsia" w:asciiTheme="minorEastAsia" w:hAnsiTheme="minorEastAsia" w:eastAsiaTheme="minorEastAsia" w:cstheme="minorEastAsia"/>
                <w:color w:val="auto"/>
                <w:szCs w:val="21"/>
                <w:highlight w:val="none"/>
              </w:rPr>
              <w:t>）将</w:t>
            </w:r>
            <w:r>
              <w:rPr>
                <w:rFonts w:hint="eastAsia" w:asciiTheme="minorEastAsia" w:hAnsiTheme="minorEastAsia" w:eastAsiaTheme="minorEastAsia" w:cstheme="minorEastAsia"/>
                <w:color w:val="auto"/>
                <w:kern w:val="0"/>
                <w:szCs w:val="21"/>
                <w:highlight w:val="none"/>
              </w:rPr>
              <w:t>单独密封的</w:t>
            </w:r>
            <w:r>
              <w:rPr>
                <w:rFonts w:hint="eastAsia" w:asciiTheme="minorEastAsia" w:hAnsiTheme="minorEastAsia" w:eastAsiaTheme="minorEastAsia" w:cstheme="minorEastAsia"/>
                <w:color w:val="auto"/>
                <w:szCs w:val="21"/>
                <w:highlight w:val="none"/>
              </w:rPr>
              <w:t>支票、汇票、本票或者银行、保险机构出具的保函原件提交给采购人或者采购代理机构，由采购人或者采购代理机构向投标人出具回执（邮寄方式的除外），并妥善保管。</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3.投标人为联合体的，可以由联合体中的一方或者多方共同交纳投标保证金，其交纳的保证金对联合体各方均具有约束力。</w:t>
            </w:r>
          </w:p>
          <w:p>
            <w:p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备注： </w:t>
            </w:r>
          </w:p>
          <w:p>
            <w:p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 投标保证金在投标截止时间后提交的，或者不按规定交纳方式交纳的，或者未足额交纳的（包含保函额度不足的），视为无效投标保证金。</w:t>
            </w:r>
          </w:p>
          <w:p>
            <w:p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2.投标人采用现钞方式或者从个人账户（自然人投标除外）转出的投标保证金，视为无效投标保证金。</w:t>
            </w:r>
          </w:p>
          <w:p>
            <w:p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3.支票、汇票或者本票出现无效或者背书情形的，视为无效投标保证金。</w:t>
            </w:r>
          </w:p>
          <w:p>
            <w:p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4.保函有效期低于投标有效期的，视为无效投标保证金。</w:t>
            </w:r>
          </w:p>
          <w:p>
            <w:p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5.采用银行、保险机构出具保函的，必须为无条件保函，否则视为无效投标保证金。</w:t>
            </w:r>
          </w:p>
          <w:p>
            <w:pPr>
              <w:pStyle w:val="2"/>
              <w:spacing w:line="360" w:lineRule="auto"/>
              <w:ind w:firstLine="422" w:firstLine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kern w:val="2"/>
                <w:sz w:val="21"/>
                <w:szCs w:val="21"/>
                <w:highlight w:val="none"/>
              </w:rPr>
              <w:t>6.政采云平台支持电子保函功能，故本项目接受电子保函形式的保证金。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bookmarkStart w:id="63" w:name="_19.2"/>
            <w:bookmarkEnd w:id="63"/>
            <w:r>
              <w:rPr>
                <w:rFonts w:hint="eastAsia" w:asciiTheme="minorEastAsia" w:hAnsiTheme="minorEastAsia" w:eastAsiaTheme="minorEastAsia" w:cstheme="minorEastAsia"/>
                <w:color w:val="auto"/>
                <w:szCs w:val="21"/>
                <w:highlight w:val="none"/>
              </w:rPr>
              <w:t>20</w:t>
            </w:r>
          </w:p>
        </w:tc>
        <w:tc>
          <w:tcPr>
            <w:tcW w:w="8593"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bdr w:val="single" w:color="auto" w:sz="4" w:space="0"/>
              </w:rPr>
              <w:t>√</w:t>
            </w:r>
            <w:r>
              <w:rPr>
                <w:rFonts w:hint="eastAsia" w:asciiTheme="minorEastAsia" w:hAnsiTheme="minorEastAsia" w:eastAsiaTheme="minorEastAsia" w:cstheme="minorEastAsia"/>
                <w:color w:val="auto"/>
                <w:szCs w:val="21"/>
                <w:highlight w:val="none"/>
              </w:rPr>
              <w:t>本项目不接受电子备份投标文件；</w:t>
            </w:r>
          </w:p>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□本项目接受电子备份投标文件。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876"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bookmarkStart w:id="64" w:name="_21.1"/>
            <w:bookmarkEnd w:id="64"/>
            <w:r>
              <w:rPr>
                <w:rFonts w:hint="eastAsia" w:asciiTheme="minorEastAsia" w:hAnsiTheme="minorEastAsia" w:eastAsiaTheme="minorEastAsia" w:cstheme="minorEastAsia"/>
                <w:color w:val="auto"/>
                <w:szCs w:val="21"/>
                <w:highlight w:val="none"/>
              </w:rPr>
              <w:t>21.1</w:t>
            </w:r>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1.投标文件提交截止时间：详见招标公告</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2.投标地点：详见招标公告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bookmarkStart w:id="65" w:name="_23"/>
            <w:bookmarkEnd w:id="65"/>
            <w:r>
              <w:rPr>
                <w:rFonts w:hint="eastAsia" w:asciiTheme="minorEastAsia" w:hAnsiTheme="minorEastAsia" w:eastAsiaTheme="minorEastAsia" w:cstheme="minorEastAsia"/>
                <w:color w:val="auto"/>
                <w:szCs w:val="21"/>
                <w:highlight w:val="none"/>
              </w:rPr>
              <w:t>23</w:t>
            </w:r>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1.开标时间：详见招标公告</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2.开标地点：详见招标公告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24.3（1）</w:t>
            </w:r>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电子投标文件解密时间：</w:t>
            </w:r>
            <w:r>
              <w:rPr>
                <w:rFonts w:hint="eastAsia" w:asciiTheme="minorEastAsia" w:hAnsiTheme="minorEastAsia" w:eastAsiaTheme="minorEastAsia" w:cstheme="minorEastAsia"/>
                <w:color w:val="auto"/>
                <w:szCs w:val="21"/>
                <w:highlight w:val="none"/>
                <w:u w:val="single"/>
              </w:rPr>
              <w:t>30</w:t>
            </w:r>
            <w:r>
              <w:rPr>
                <w:rFonts w:hint="eastAsia" w:asciiTheme="minorEastAsia" w:hAnsiTheme="minorEastAsia" w:eastAsiaTheme="minorEastAsia" w:cstheme="minorEastAsia"/>
                <w:color w:val="auto"/>
                <w:szCs w:val="21"/>
                <w:highlight w:val="none"/>
              </w:rPr>
              <w:t>分钟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24.3（2）</w:t>
            </w:r>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宣布的内容：投标人名称、投标价格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bookmarkStart w:id="66" w:name="_25.3"/>
            <w:bookmarkEnd w:id="66"/>
            <w:r>
              <w:rPr>
                <w:rFonts w:hint="eastAsia" w:asciiTheme="minorEastAsia" w:hAnsiTheme="minorEastAsia" w:eastAsiaTheme="minorEastAsia" w:cstheme="minorEastAsia"/>
                <w:color w:val="auto"/>
                <w:szCs w:val="21"/>
                <w:highlight w:val="none"/>
              </w:rPr>
              <w:t>25.3（2）</w:t>
            </w:r>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采购人或者采购代理机构在资格审查结束前，对投标人进行信用查询。</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查询渠道：“信用中国”网站（www.creditchina.gov.cn） 、中国政府采购网（www.ccgp.gov.cn）。</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信用查询截止时点：资格审查结束前</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查询记录和证据留存方式：将查询网站中的查询记录截图并作为评审资料保存。</w:t>
            </w:r>
          </w:p>
          <w:p>
            <w:pPr>
              <w:snapToGrid w:val="0"/>
              <w:spacing w:line="360" w:lineRule="auto"/>
              <w:ind w:firstLine="420"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信用信息使用规则：对在“信用中国”网站（www.creditchina.gov.cn） 、中国政府采购网（www.ccgp.gov.cn）被列入失信被执行人、重大税收违法失信主体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名单、政府采购严重违法失信行为记录名单及其他不符合《中华人民共和国政府采购法》第二十二条规定条件的供应商）的，视同联合体存在不良信用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bookmarkStart w:id="67" w:name="_26"/>
            <w:bookmarkEnd w:id="67"/>
            <w:r>
              <w:rPr>
                <w:rFonts w:hint="eastAsia" w:asciiTheme="minorEastAsia" w:hAnsiTheme="minorEastAsia" w:eastAsiaTheme="minorEastAsia" w:cstheme="minorEastAsia"/>
                <w:color w:val="auto"/>
                <w:szCs w:val="21"/>
                <w:highlight w:val="none"/>
              </w:rPr>
              <w:t>26.1</w:t>
            </w:r>
          </w:p>
        </w:tc>
        <w:tc>
          <w:tcPr>
            <w:tcW w:w="8593"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评标委员会的人数：</w:t>
            </w:r>
            <w:r>
              <w:rPr>
                <w:rFonts w:hint="eastAsia" w:asciiTheme="minorEastAsia" w:hAnsiTheme="minorEastAsia" w:eastAsiaTheme="minorEastAsia" w:cstheme="minorEastAsia"/>
                <w:color w:val="auto"/>
                <w:szCs w:val="21"/>
                <w:highlight w:val="none"/>
                <w:u w:val="single"/>
              </w:rPr>
              <w:t>5</w:t>
            </w:r>
            <w:r>
              <w:rPr>
                <w:rFonts w:hint="eastAsia" w:asciiTheme="minorEastAsia" w:hAnsiTheme="minorEastAsia" w:eastAsiaTheme="minorEastAsia" w:cstheme="minorEastAsia"/>
                <w:color w:val="auto"/>
                <w:szCs w:val="21"/>
                <w:highlight w:val="none"/>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olor w:val="auto"/>
                <w:szCs w:val="21"/>
                <w:highlight w:val="none"/>
              </w:rPr>
            </w:pPr>
            <w:r>
              <w:rPr>
                <w:rFonts w:hint="eastAsia" w:ascii="宋体" w:hAnsi="宋体"/>
                <w:color w:val="auto"/>
                <w:szCs w:val="21"/>
                <w:highlight w:val="none"/>
              </w:rPr>
              <w:t>28.5</w:t>
            </w:r>
          </w:p>
        </w:tc>
        <w:tc>
          <w:tcPr>
            <w:tcW w:w="8593"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400" w:lineRule="exact"/>
              <w:rPr>
                <w:rFonts w:ascii="宋体" w:hAnsi="宋体" w:cs="宋体"/>
                <w:b/>
                <w:color w:val="auto"/>
                <w:szCs w:val="21"/>
                <w:highlight w:val="none"/>
                <w:u w:val="single"/>
              </w:rPr>
            </w:pPr>
            <w:r>
              <w:rPr>
                <w:rFonts w:hint="eastAsia" w:ascii="宋体" w:hAnsi="宋体" w:cs="宋体"/>
                <w:b/>
                <w:color w:val="auto"/>
                <w:szCs w:val="21"/>
                <w:highlight w:val="none"/>
              </w:rPr>
              <w:t>本项目政府采购异常低价审查情形见本章“投标人须知正文</w:t>
            </w:r>
            <w:r>
              <w:rPr>
                <w:rFonts w:ascii="宋体" w:hAnsi="宋体" w:cs="宋体"/>
                <w:b/>
                <w:color w:val="auto"/>
                <w:szCs w:val="21"/>
                <w:highlight w:val="none"/>
              </w:rPr>
              <w:t>28.5</w:t>
            </w:r>
            <w:r>
              <w:rPr>
                <w:rFonts w:hint="eastAsia" w:ascii="宋体" w:hAnsi="宋体" w:cs="宋体"/>
                <w:b/>
                <w:color w:val="auto"/>
                <w:szCs w:val="21"/>
                <w:highlight w:val="none"/>
              </w:rPr>
              <w:t>”规定。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bookmarkStart w:id="68" w:name="_28.3"/>
            <w:bookmarkEnd w:id="68"/>
            <w:r>
              <w:rPr>
                <w:rFonts w:hint="eastAsia" w:asciiTheme="minorEastAsia" w:hAnsiTheme="minorEastAsia" w:eastAsiaTheme="minorEastAsia" w:cstheme="minorEastAsia"/>
                <w:color w:val="auto"/>
                <w:szCs w:val="21"/>
                <w:highlight w:val="none"/>
              </w:rPr>
              <w:t>29.1</w:t>
            </w:r>
          </w:p>
        </w:tc>
        <w:tc>
          <w:tcPr>
            <w:tcW w:w="8593"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评标方法：</w:t>
            </w:r>
          </w:p>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bdr w:val="single" w:color="auto" w:sz="4" w:space="0"/>
              </w:rPr>
              <w:t>√</w:t>
            </w:r>
            <w:r>
              <w:rPr>
                <w:rFonts w:hint="eastAsia" w:asciiTheme="minorEastAsia" w:hAnsiTheme="minorEastAsia" w:eastAsiaTheme="minorEastAsia" w:cstheme="minorEastAsia"/>
                <w:color w:val="auto"/>
                <w:szCs w:val="21"/>
                <w:highlight w:val="none"/>
              </w:rPr>
              <w:t>综合评分法</w:t>
            </w:r>
          </w:p>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□最低评标价法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55"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bookmarkStart w:id="69" w:name="_29.2.2（2）"/>
            <w:bookmarkEnd w:id="69"/>
            <w:r>
              <w:rPr>
                <w:rFonts w:hint="eastAsia" w:asciiTheme="minorEastAsia" w:hAnsiTheme="minorEastAsia" w:eastAsiaTheme="minorEastAsia" w:cstheme="minorEastAsia"/>
                <w:color w:val="auto"/>
                <w:szCs w:val="21"/>
                <w:highlight w:val="none"/>
              </w:rPr>
              <w:t>29.2</w:t>
            </w:r>
          </w:p>
        </w:tc>
        <w:tc>
          <w:tcPr>
            <w:tcW w:w="8593" w:type="dxa"/>
            <w:tcBorders>
              <w:top w:val="single" w:color="auto" w:sz="4" w:space="0"/>
              <w:left w:val="single" w:color="auto" w:sz="4" w:space="0"/>
              <w:right w:val="single" w:color="auto" w:sz="4" w:space="0"/>
            </w:tcBorders>
            <w:vAlign w:val="center"/>
          </w:tcPr>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中标候选人推荐数量：</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bdr w:val="single" w:color="auto" w:sz="4" w:space="0"/>
              </w:rPr>
              <w:t>√</w:t>
            </w:r>
            <w:r>
              <w:rPr>
                <w:rFonts w:hint="eastAsia" w:asciiTheme="minorEastAsia" w:hAnsiTheme="minorEastAsia" w:eastAsiaTheme="minorEastAsia" w:cstheme="minorEastAsia"/>
                <w:color w:val="auto"/>
                <w:szCs w:val="21"/>
                <w:highlight w:val="none"/>
                <w:u w:val="single"/>
              </w:rPr>
              <w:t>3</w:t>
            </w:r>
            <w:r>
              <w:rPr>
                <w:rFonts w:hint="eastAsia" w:asciiTheme="minorEastAsia" w:hAnsiTheme="minorEastAsia" w:eastAsiaTheme="minorEastAsia" w:cstheme="minorEastAsia"/>
                <w:color w:val="auto"/>
                <w:szCs w:val="21"/>
                <w:highlight w:val="none"/>
              </w:rPr>
              <w:t>名</w:t>
            </w:r>
          </w:p>
          <w:p>
            <w:pPr>
              <w:snapToGrid w:val="0"/>
              <w:spacing w:line="360" w:lineRule="auto"/>
              <w:ind w:firstLine="420"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根据总得分由高到低排列次序并全部推荐为中标候选人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30.1</w:t>
            </w:r>
          </w:p>
        </w:tc>
        <w:tc>
          <w:tcPr>
            <w:tcW w:w="8593"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采用综合评分法的采购项目，采购人确定中标人时，出现中标候选人并列的情形，采购人按以下的方式确定中标人：</w:t>
            </w:r>
          </w:p>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bdr w:val="single" w:color="auto" w:sz="4" w:space="0"/>
              </w:rPr>
              <w:t>√</w:t>
            </w:r>
            <w:r>
              <w:rPr>
                <w:rFonts w:hint="eastAsia" w:asciiTheme="minorEastAsia" w:hAnsiTheme="minorEastAsia" w:eastAsiaTheme="minorEastAsia" w:cstheme="minorEastAsia"/>
                <w:color w:val="auto"/>
                <w:szCs w:val="21"/>
                <w:highlight w:val="none"/>
              </w:rPr>
              <w:t>依次按投标报价低的优先、政策分得分高的优先、技术评分高的优先、商务评分高的优先、保修期长优先、交货期短优先、故障响应时间短优先的顺序确定；</w:t>
            </w:r>
          </w:p>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□随机抽取；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bookmarkStart w:id="70" w:name="_39.1"/>
            <w:bookmarkEnd w:id="70"/>
            <w:r>
              <w:rPr>
                <w:rFonts w:hint="eastAsia" w:asciiTheme="minorEastAsia" w:hAnsiTheme="minorEastAsia" w:eastAsiaTheme="minorEastAsia" w:cstheme="minorEastAsia"/>
                <w:color w:val="auto"/>
                <w:szCs w:val="21"/>
                <w:highlight w:val="none"/>
              </w:rPr>
              <w:t>35.1</w:t>
            </w:r>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rPr>
                <w:rFonts w:ascii="宋体" w:hAnsi="宋体"/>
                <w:szCs w:val="21"/>
                <w:highlight w:val="none"/>
              </w:rPr>
            </w:pPr>
            <w:r>
              <w:rPr>
                <w:rFonts w:hint="eastAsia" w:ascii="宋体" w:hAnsi="宋体"/>
                <w:szCs w:val="21"/>
                <w:highlight w:val="none"/>
              </w:rPr>
              <w:t>本项目收取履约保证金，具体规定如下：</w:t>
            </w:r>
          </w:p>
          <w:p>
            <w:pPr>
              <w:numPr>
                <w:ilvl w:val="255"/>
                <w:numId w:val="0"/>
              </w:numPr>
              <w:snapToGrid w:val="0"/>
              <w:spacing w:line="360" w:lineRule="exact"/>
              <w:ind w:firstLine="420" w:firstLineChars="200"/>
              <w:jc w:val="left"/>
              <w:rPr>
                <w:rFonts w:ascii="宋体" w:hAnsi="宋体" w:cs="Calibri"/>
                <w:szCs w:val="21"/>
                <w:highlight w:val="none"/>
              </w:rPr>
            </w:pPr>
            <w:r>
              <w:rPr>
                <w:rFonts w:ascii="宋体" w:hAnsi="宋体" w:cs="Calibri"/>
                <w:szCs w:val="21"/>
                <w:highlight w:val="none"/>
              </w:rPr>
              <w:t>1.履约保证金金额：按中标金额的5%（如中标供应商为中小微企业，按中标金额的2%），如投标人以金融机构出具的无条件见索即付的独立保函形式提交的履约保证金，采购人不得拒收。</w:t>
            </w:r>
          </w:p>
          <w:p>
            <w:pPr>
              <w:snapToGrid w:val="0"/>
              <w:spacing w:line="360" w:lineRule="exact"/>
              <w:ind w:firstLine="420" w:firstLineChars="200"/>
              <w:rPr>
                <w:rFonts w:ascii="宋体" w:hAnsi="宋体" w:cs="Calibri"/>
                <w:szCs w:val="21"/>
                <w:highlight w:val="none"/>
              </w:rPr>
            </w:pPr>
            <w:r>
              <w:rPr>
                <w:rFonts w:ascii="宋体" w:hAnsi="宋体" w:cs="Calibri"/>
                <w:szCs w:val="21"/>
                <w:highlight w:val="none"/>
              </w:rPr>
              <w:t>2.</w:t>
            </w:r>
            <w:r>
              <w:rPr>
                <w:rFonts w:hint="eastAsia" w:ascii="宋体" w:hAnsi="宋体" w:cs="Calibri"/>
                <w:szCs w:val="21"/>
                <w:highlight w:val="none"/>
              </w:rPr>
              <w:t>在签订合同之前，</w:t>
            </w:r>
            <w:r>
              <w:rPr>
                <w:rFonts w:ascii="宋体" w:hAnsi="宋体" w:cs="Calibri"/>
                <w:szCs w:val="21"/>
                <w:highlight w:val="none"/>
              </w:rPr>
              <w:t>中标供应商</w:t>
            </w:r>
            <w:r>
              <w:rPr>
                <w:rFonts w:hint="eastAsia" w:ascii="宋体" w:hAnsi="宋体" w:cs="Calibri"/>
                <w:szCs w:val="21"/>
                <w:highlight w:val="none"/>
              </w:rPr>
              <w:t>应按要求以约定的履约保证金提交方式足额支付履约保证金或提交</w:t>
            </w:r>
            <w:r>
              <w:rPr>
                <w:rFonts w:hint="eastAsia" w:ascii="宋体" w:hAnsi="宋体"/>
                <w:szCs w:val="21"/>
                <w:highlight w:val="none"/>
              </w:rPr>
              <w:t>金融机构出具的无条件见索即付的独立保函（含电子保函）</w:t>
            </w:r>
            <w:r>
              <w:rPr>
                <w:rFonts w:hint="eastAsia" w:ascii="宋体" w:hAnsi="宋体" w:cs="Calibri"/>
                <w:szCs w:val="21"/>
                <w:highlight w:val="none"/>
              </w:rPr>
              <w:t>，否则不予签订本项目合同。</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3.履约保证金提交方式：</w:t>
            </w:r>
          </w:p>
          <w:p>
            <w:pPr>
              <w:snapToGrid w:val="0"/>
              <w:spacing w:line="360" w:lineRule="exact"/>
              <w:ind w:firstLine="420" w:firstLineChars="200"/>
              <w:rPr>
                <w:rFonts w:ascii="宋体" w:hAnsi="宋体" w:cs="宋体"/>
                <w:szCs w:val="21"/>
                <w:highlight w:val="none"/>
              </w:rPr>
            </w:pPr>
            <w:r>
              <w:rPr>
                <w:rFonts w:ascii="宋体" w:hAnsi="宋体" w:cs="Calibri"/>
                <w:szCs w:val="21"/>
                <w:highlight w:val="none"/>
              </w:rPr>
              <w:t>中标供应商</w:t>
            </w:r>
            <w:r>
              <w:rPr>
                <w:rFonts w:hint="eastAsia" w:ascii="宋体" w:hAnsi="宋体" w:cs="宋体"/>
                <w:szCs w:val="21"/>
                <w:highlight w:val="none"/>
              </w:rPr>
              <w:t>可以以下两种方式缴纳履约保证金：</w:t>
            </w:r>
          </w:p>
          <w:p>
            <w:pPr>
              <w:snapToGrid w:val="0"/>
              <w:spacing w:line="360" w:lineRule="exact"/>
              <w:ind w:firstLine="420" w:firstLineChars="200"/>
              <w:rPr>
                <w:rFonts w:ascii="宋体" w:hAnsi="宋体" w:cs="宋体"/>
                <w:szCs w:val="21"/>
                <w:highlight w:val="none"/>
              </w:rPr>
            </w:pPr>
            <w:r>
              <w:rPr>
                <w:rFonts w:hint="eastAsia" w:ascii="宋体" w:hAnsi="宋体" w:cs="宋体"/>
                <w:szCs w:val="21"/>
                <w:highlight w:val="none"/>
              </w:rPr>
              <w:t>方式一：支票、汇票、本票、银行转账方式支付。</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履约保证金缴纳的账号信息：</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 xml:space="preserve">户名：广西壮族自治区卫生健康委员会 </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基本户银行账号：</w:t>
            </w:r>
            <w:r>
              <w:rPr>
                <w:rFonts w:ascii="宋体" w:hAnsi="宋体" w:cs="Calibri"/>
                <w:szCs w:val="21"/>
                <w:highlight w:val="none"/>
              </w:rPr>
              <w:t>2102108109264001189</w:t>
            </w:r>
          </w:p>
          <w:p>
            <w:pPr>
              <w:snapToGrid w:val="0"/>
              <w:spacing w:line="360" w:lineRule="exact"/>
              <w:ind w:firstLine="420" w:firstLineChars="200"/>
              <w:rPr>
                <w:highlight w:val="none"/>
              </w:rPr>
            </w:pPr>
            <w:r>
              <w:rPr>
                <w:rFonts w:hint="eastAsia" w:ascii="宋体" w:hAnsi="宋体" w:cs="Calibri"/>
                <w:szCs w:val="21"/>
                <w:highlight w:val="none"/>
              </w:rPr>
              <w:t>基本户开户行：中国工商银行股份有限公司南宁市桃源支行</w:t>
            </w:r>
          </w:p>
          <w:p>
            <w:pPr>
              <w:snapToGrid w:val="0"/>
              <w:spacing w:line="360" w:lineRule="exact"/>
              <w:ind w:firstLine="420" w:firstLineChars="200"/>
              <w:rPr>
                <w:rFonts w:ascii="宋体" w:hAnsi="宋体" w:cs="宋体"/>
                <w:szCs w:val="21"/>
                <w:highlight w:val="none"/>
              </w:rPr>
            </w:pPr>
            <w:r>
              <w:rPr>
                <w:rFonts w:hint="eastAsia" w:ascii="宋体" w:hAnsi="宋体" w:cs="宋体"/>
                <w:szCs w:val="21"/>
                <w:highlight w:val="none"/>
              </w:rPr>
              <w:t>方式二：</w:t>
            </w:r>
            <w:r>
              <w:rPr>
                <w:rFonts w:hint="eastAsia" w:ascii="宋体" w:hAnsi="宋体"/>
                <w:szCs w:val="21"/>
                <w:highlight w:val="none"/>
              </w:rPr>
              <w:t>金融机构出具的无条件见索即付的独立保函（含电子保函）。</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（1）受益人：广西壮族自治区卫生健康委员会。</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（2）递交要求：保函原件（或带有CA验签的电子保函打印件）须交至采购人指定联系人处。</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（3）特别约定：保函须注明“不可撤销、无条件见索即付”；未经采购人书面同意，不得单方面撤销或修改。</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（4）履约</w:t>
            </w:r>
            <w:r>
              <w:rPr>
                <w:rFonts w:hint="eastAsia" w:ascii="宋体" w:hAnsi="宋体" w:cs="Calibri"/>
                <w:szCs w:val="21"/>
                <w:highlight w:val="none"/>
              </w:rPr>
              <w:t>保证</w:t>
            </w:r>
            <w:r>
              <w:rPr>
                <w:rFonts w:hint="eastAsia" w:ascii="宋体" w:hAnsi="宋体" w:cs="宋体"/>
                <w:szCs w:val="21"/>
                <w:highlight w:val="none"/>
              </w:rPr>
              <w:t>期限：</w:t>
            </w:r>
            <w:r>
              <w:rPr>
                <w:rFonts w:hint="eastAsia" w:ascii="宋体" w:hAnsi="宋体"/>
                <w:szCs w:val="21"/>
                <w:highlight w:val="none"/>
              </w:rPr>
              <w:t>自合同生效之日起至供应商按招标文件售后服务要求履行完义务为止。</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 xml:space="preserve">（5）有下列情形之一的，视为履约保证金提交无效： </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①未按规定方式缴纳，或未足额缴纳（含保函额度不足）；</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②转账凭证模糊、保函存在涂改、伪造、印章不清或背书瑕疵；</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③</w:t>
            </w:r>
            <w:r>
              <w:rPr>
                <w:rFonts w:hint="eastAsia" w:ascii="宋体" w:hAnsi="宋体"/>
                <w:highlight w:val="none"/>
              </w:rPr>
              <w:t>保函担保期限短于售后维保服务期限</w:t>
            </w:r>
            <w:r>
              <w:rPr>
                <w:rFonts w:hint="eastAsia" w:ascii="宋体" w:hAnsi="宋体" w:cs="宋体"/>
                <w:szCs w:val="21"/>
                <w:highlight w:val="none"/>
              </w:rPr>
              <w:t>；</w:t>
            </w:r>
          </w:p>
          <w:p>
            <w:pPr>
              <w:spacing w:line="360" w:lineRule="exact"/>
              <w:ind w:firstLine="420" w:firstLineChars="200"/>
              <w:rPr>
                <w:rFonts w:ascii="宋体" w:hAnsi="宋体" w:cs="Calibri"/>
                <w:szCs w:val="21"/>
                <w:highlight w:val="none"/>
              </w:rPr>
            </w:pPr>
            <w:r>
              <w:rPr>
                <w:rFonts w:hint="eastAsia" w:ascii="宋体" w:hAnsi="宋体" w:cs="宋体"/>
                <w:szCs w:val="21"/>
                <w:highlight w:val="none"/>
              </w:rPr>
              <w:t>④保函内容含有“需经法院判决后才赔付”等限制“见索即付”效力条款的。</w:t>
            </w:r>
          </w:p>
          <w:p>
            <w:pPr>
              <w:spacing w:line="360" w:lineRule="exact"/>
              <w:ind w:firstLine="420" w:firstLineChars="200"/>
              <w:rPr>
                <w:rFonts w:ascii="宋体" w:hAnsi="宋体" w:cs="Calibri"/>
                <w:szCs w:val="21"/>
                <w:highlight w:val="none"/>
              </w:rPr>
            </w:pPr>
            <w:r>
              <w:rPr>
                <w:rFonts w:hint="eastAsia" w:ascii="宋体" w:hAnsi="宋体" w:cs="Calibri"/>
                <w:szCs w:val="21"/>
                <w:highlight w:val="none"/>
              </w:rPr>
              <w:t>4.履约保证金退付方式、时间及条件：</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（1）</w:t>
            </w:r>
            <w:r>
              <w:rPr>
                <w:rFonts w:hint="eastAsia" w:ascii="宋体" w:hAnsi="宋体" w:cs="Calibri"/>
                <w:szCs w:val="21"/>
                <w:highlight w:val="none"/>
              </w:rPr>
              <w:t>以支</w:t>
            </w:r>
            <w:r>
              <w:rPr>
                <w:rFonts w:hint="eastAsia" w:ascii="宋体" w:hAnsi="宋体" w:cs="宋体"/>
                <w:szCs w:val="21"/>
                <w:highlight w:val="none"/>
              </w:rPr>
              <w:t>票、汇票、本票、银行转账缴纳履约保证金的，</w:t>
            </w:r>
            <w:r>
              <w:rPr>
                <w:rFonts w:hint="eastAsia" w:ascii="宋体" w:hAnsi="宋体" w:cs="Calibri"/>
                <w:szCs w:val="21"/>
                <w:highlight w:val="none"/>
              </w:rPr>
              <w:t>自项目验收合格后，待供应商履行完售后维保服务义务且无违约或在违约索赔已结清的情况下，由供应商提出书面申请后，在5个工作日内采购人无息退还。</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（2）对于以</w:t>
            </w:r>
            <w:r>
              <w:rPr>
                <w:rFonts w:hint="eastAsia" w:ascii="宋体" w:hAnsi="宋体"/>
                <w:szCs w:val="21"/>
                <w:highlight w:val="none"/>
              </w:rPr>
              <w:t>金融机构出具的保函（含电子保函）</w:t>
            </w:r>
            <w:r>
              <w:rPr>
                <w:rFonts w:hint="eastAsia" w:ascii="宋体" w:hAnsi="宋体" w:cs="Calibri"/>
                <w:szCs w:val="21"/>
                <w:highlight w:val="none"/>
              </w:rPr>
              <w:t>方式</w:t>
            </w:r>
            <w:r>
              <w:rPr>
                <w:rFonts w:hint="eastAsia" w:ascii="宋体" w:hAnsi="宋体" w:cs="Calibri"/>
                <w:szCs w:val="21"/>
                <w:highlight w:val="none"/>
                <w:lang w:val="en-US" w:eastAsia="zh-CN"/>
              </w:rPr>
              <w:t>提交</w:t>
            </w:r>
            <w:r>
              <w:rPr>
                <w:rFonts w:hint="eastAsia" w:ascii="宋体" w:hAnsi="宋体" w:cs="Calibri"/>
                <w:szCs w:val="21"/>
                <w:highlight w:val="none"/>
              </w:rPr>
              <w:t>的履约保证金的，待供应商履行完售后维保服务义务且无违约或在违约索赔已结清的情况下，保函有效期届满后自动失效，采购人退还原件或系统确认失效。</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5.在履行合同过程中，未能按照合同约定履行合同义务的（不可抗力除外），若因此导致采购人或使用单位合同权益受损的，采购人有权扣除履约保证金。采购人有权依据项目合同及履约保证金凭证（无论转账或保函），</w:t>
            </w:r>
            <w:r>
              <w:rPr>
                <w:rFonts w:ascii="宋体" w:hAnsi="宋体"/>
                <w:szCs w:val="21"/>
                <w:highlight w:val="none"/>
              </w:rPr>
              <w:t>向供应商或</w:t>
            </w:r>
            <w:r>
              <w:rPr>
                <w:rFonts w:hint="eastAsia" w:ascii="宋体" w:hAnsi="宋体"/>
                <w:szCs w:val="21"/>
                <w:highlight w:val="none"/>
              </w:rPr>
              <w:t>金融机构</w:t>
            </w:r>
            <w:r>
              <w:rPr>
                <w:rFonts w:ascii="宋体" w:hAnsi="宋体"/>
                <w:szCs w:val="21"/>
                <w:highlight w:val="none"/>
              </w:rPr>
              <w:t>主张权利</w:t>
            </w:r>
            <w:r>
              <w:rPr>
                <w:rFonts w:hint="eastAsia" w:ascii="宋体" w:hAnsi="宋体" w:cs="Calibri"/>
                <w:szCs w:val="21"/>
                <w:highlight w:val="none"/>
              </w:rPr>
              <w:t>：</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①</w:t>
            </w:r>
            <w:r>
              <w:rPr>
                <w:rFonts w:hint="eastAsia" w:ascii="宋体" w:hAnsi="宋体" w:cs="Calibri"/>
                <w:szCs w:val="21"/>
                <w:highlight w:val="none"/>
              </w:rPr>
              <w:t>对于以支票、汇票、本票、银行转账缴纳履约保证金的供应商：</w:t>
            </w:r>
            <w:r>
              <w:rPr>
                <w:rFonts w:hint="eastAsia"/>
                <w:highlight w:val="none"/>
              </w:rPr>
              <w:t>如未按约定履行合同义务导致使用单位合同权益受损</w:t>
            </w:r>
            <w:r>
              <w:rPr>
                <w:rFonts w:hint="eastAsia" w:ascii="宋体" w:hAnsi="宋体" w:cs="Calibri"/>
                <w:szCs w:val="21"/>
                <w:highlight w:val="none"/>
              </w:rPr>
              <w:t>，采购人有权直接从已缴纳的保证金中扣除赔偿金。扣除后，若余额不足，供应商需在接到通知后3个工作日内补足。</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②</w:t>
            </w:r>
            <w:r>
              <w:rPr>
                <w:rFonts w:hint="eastAsia" w:ascii="宋体" w:hAnsi="宋体" w:cs="Calibri"/>
                <w:szCs w:val="21"/>
                <w:highlight w:val="none"/>
              </w:rPr>
              <w:t>对于以</w:t>
            </w:r>
            <w:r>
              <w:rPr>
                <w:rFonts w:hint="eastAsia" w:ascii="宋体" w:hAnsi="宋体"/>
                <w:szCs w:val="21"/>
                <w:highlight w:val="none"/>
              </w:rPr>
              <w:t>金融机构出具的保函（含电子保函）</w:t>
            </w:r>
            <w:r>
              <w:rPr>
                <w:rFonts w:hint="eastAsia" w:ascii="宋体" w:hAnsi="宋体" w:cs="Calibri"/>
                <w:szCs w:val="21"/>
                <w:highlight w:val="none"/>
                <w:lang w:val="en-US" w:eastAsia="zh-CN"/>
              </w:rPr>
              <w:t>提交</w:t>
            </w:r>
            <w:r>
              <w:rPr>
                <w:rFonts w:hint="eastAsia" w:ascii="宋体" w:hAnsi="宋体" w:cs="Calibri"/>
                <w:szCs w:val="21"/>
                <w:highlight w:val="none"/>
              </w:rPr>
              <w:t>履约保证金</w:t>
            </w:r>
            <w:r>
              <w:rPr>
                <w:rFonts w:hint="eastAsia" w:ascii="宋体" w:hAnsi="宋体" w:cs="Calibri"/>
                <w:szCs w:val="21"/>
                <w:highlight w:val="none"/>
              </w:rPr>
              <w:t>的供应商：</w:t>
            </w:r>
            <w:r>
              <w:rPr>
                <w:rFonts w:hint="eastAsia"/>
                <w:highlight w:val="none"/>
              </w:rPr>
              <w:t>如未按约定履行合同义务导致使用单位合同权益受损</w:t>
            </w:r>
            <w:r>
              <w:rPr>
                <w:rFonts w:hint="eastAsia" w:ascii="宋体" w:hAnsi="宋体" w:cs="Calibri"/>
                <w:szCs w:val="21"/>
                <w:highlight w:val="none"/>
              </w:rPr>
              <w:t>，采购人有权依据保函向</w:t>
            </w:r>
            <w:r>
              <w:rPr>
                <w:rFonts w:hint="eastAsia" w:ascii="宋体" w:hAnsi="宋体"/>
                <w:szCs w:val="21"/>
                <w:highlight w:val="none"/>
              </w:rPr>
              <w:t>金融机构</w:t>
            </w:r>
            <w:r>
              <w:rPr>
                <w:rFonts w:hint="eastAsia" w:ascii="宋体" w:hAnsi="宋体" w:cs="Calibri"/>
                <w:szCs w:val="21"/>
                <w:highlight w:val="none"/>
              </w:rPr>
              <w:t>索赔。索赔成功后保函失效。供应商需在接到通知后3个工作日内，重新开具一张同等额度的新保函或转为现金缴纳，以覆盖</w:t>
            </w:r>
            <w:r>
              <w:rPr>
                <w:rFonts w:hint="eastAsia" w:ascii="宋体" w:hAnsi="宋体" w:cs="宋体"/>
                <w:szCs w:val="21"/>
                <w:highlight w:val="none"/>
              </w:rPr>
              <w:t>保函额度不足的</w:t>
            </w:r>
            <w:r>
              <w:rPr>
                <w:rFonts w:hint="eastAsia" w:ascii="宋体" w:hAnsi="宋体" w:cs="Calibri"/>
                <w:szCs w:val="21"/>
                <w:highlight w:val="none"/>
              </w:rPr>
              <w:t>风险。</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③如供应商无法按时补足同等效力担保的，采购人有权直接从应付该供应商的其他款项中扣除，或视为供应商根本违约，采购人有权单方解除合同并追究违约责任。</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6.风险处置措施和替代方案：若乙方因自身原因（如资金、生产能力等）无法按约履约，需在违约情形发生后24小时内书面通知甲方，甲方1有权选择：①要求乙方在5天内恢复履约</w:t>
            </w:r>
            <w:r>
              <w:rPr>
                <w:rFonts w:hint="eastAsia" w:asciiTheme="minorEastAsia" w:hAnsiTheme="minorEastAsia" w:eastAsiaTheme="minorEastAsia"/>
                <w:color w:val="000000"/>
                <w:highlight w:val="none"/>
              </w:rPr>
              <w:t>，供应商应按合同约定承担相应的违约责任；</w:t>
            </w:r>
            <w:r>
              <w:rPr>
                <w:rFonts w:hint="eastAsia" w:ascii="宋体" w:hAnsi="宋体" w:cs="Calibri"/>
                <w:szCs w:val="21"/>
                <w:highlight w:val="none"/>
              </w:rPr>
              <w:t>②解除合同，乙方承担合同金额10%的违约金，并赔偿甲方2实际造成的损失。</w:t>
            </w:r>
          </w:p>
          <w:p>
            <w:pPr>
              <w:spacing w:line="400" w:lineRule="exact"/>
              <w:ind w:firstLine="420" w:firstLineChars="200"/>
              <w:jc w:val="left"/>
              <w:rPr>
                <w:rFonts w:ascii="宋体" w:hAnsi="宋体" w:cs="Courier New"/>
                <w:szCs w:val="21"/>
                <w:highlight w:val="none"/>
              </w:rPr>
            </w:pPr>
            <w:r>
              <w:rPr>
                <w:rFonts w:hint="eastAsia" w:ascii="宋体" w:hAnsi="宋体" w:cs="Calibri"/>
                <w:szCs w:val="21"/>
                <w:highlight w:val="none"/>
              </w:rPr>
              <w:t>若因不可抗力导致履约受阻，双方需在不可抗力发生后7个工作日内协商调整履约计划，互不承担违约责任。</w:t>
            </w:r>
          </w:p>
          <w:p>
            <w:pPr>
              <w:spacing w:line="400" w:lineRule="exact"/>
              <w:ind w:firstLine="420" w:firstLineChars="200"/>
              <w:jc w:val="left"/>
              <w:rPr>
                <w:rFonts w:ascii="宋体" w:hAnsi="宋体" w:cs="Courier New"/>
                <w:szCs w:val="21"/>
                <w:highlight w:val="none"/>
              </w:rPr>
            </w:pPr>
            <w:r>
              <w:rPr>
                <w:rFonts w:ascii="宋体" w:hAnsi="宋体" w:cs="Courier New"/>
                <w:szCs w:val="21"/>
                <w:highlight w:val="none"/>
              </w:rPr>
              <w:t>备注：</w:t>
            </w:r>
          </w:p>
          <w:p>
            <w:pPr>
              <w:spacing w:line="400" w:lineRule="exact"/>
              <w:ind w:firstLine="422" w:firstLineChars="200"/>
              <w:jc w:val="left"/>
              <w:rPr>
                <w:rFonts w:ascii="宋体" w:hAnsi="宋体" w:cs="Courier New"/>
                <w:szCs w:val="21"/>
                <w:highlight w:val="none"/>
              </w:rPr>
            </w:pPr>
            <w:r>
              <w:rPr>
                <w:rFonts w:ascii="宋体" w:hAnsi="宋体"/>
                <w:b/>
                <w:szCs w:val="21"/>
                <w:highlight w:val="none"/>
              </w:rPr>
              <w:t>1</w:t>
            </w:r>
            <w:r>
              <w:rPr>
                <w:rFonts w:hint="eastAsia" w:ascii="宋体" w:hAnsi="宋体"/>
                <w:b/>
                <w:szCs w:val="21"/>
                <w:highlight w:val="none"/>
              </w:rPr>
              <w:t>.根据《广西壮族自治区财政厅关于持续优化政府采购营商环境推动高质量发展的通知》（桂财采〔2024〕55号）规定，鼓励采购人在与中小微企业签订政府采购合同时，减少或免于收取履约保证金，有必要收取履约保证金的，收取的履约保证金不得超过政府采购合同金额的5%。</w:t>
            </w:r>
          </w:p>
          <w:p>
            <w:pPr>
              <w:spacing w:line="400" w:lineRule="exact"/>
              <w:ind w:firstLine="422" w:firstLineChars="200"/>
              <w:jc w:val="left"/>
              <w:rPr>
                <w:rFonts w:asciiTheme="minorEastAsia" w:hAnsiTheme="minorEastAsia" w:eastAsiaTheme="minorEastAsia"/>
                <w:b/>
                <w:color w:val="auto"/>
                <w:szCs w:val="21"/>
                <w:highlight w:val="none"/>
              </w:rPr>
            </w:pPr>
            <w:r>
              <w:rPr>
                <w:rFonts w:ascii="宋体" w:hAnsi="宋体"/>
                <w:b/>
                <w:szCs w:val="21"/>
                <w:highlight w:val="none"/>
              </w:rPr>
              <w:t>2</w:t>
            </w:r>
            <w:r>
              <w:rPr>
                <w:rFonts w:hint="eastAsia" w:ascii="宋体" w:hAnsi="宋体"/>
                <w:b/>
                <w:szCs w:val="21"/>
                <w:highlight w:val="none"/>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bookmarkStart w:id="71" w:name="_40.1"/>
            <w:bookmarkEnd w:id="71"/>
            <w:r>
              <w:rPr>
                <w:rFonts w:hint="eastAsia" w:asciiTheme="minorEastAsia" w:hAnsiTheme="minorEastAsia" w:eastAsiaTheme="minorEastAsia" w:cstheme="minorEastAsia"/>
                <w:color w:val="auto"/>
                <w:szCs w:val="21"/>
                <w:highlight w:val="none"/>
              </w:rPr>
              <w:t>36.1</w:t>
            </w:r>
          </w:p>
        </w:tc>
        <w:tc>
          <w:tcPr>
            <w:tcW w:w="8593"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签订合同携带的证明材料： </w:t>
            </w:r>
          </w:p>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委托代理人负责签订合同的，须携带授权委托书及委托代理人身份证原件等其他资格证件。</w:t>
            </w:r>
          </w:p>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法定代表人负责签订合同的，须携带法定代表人身份证明原件及身份证原件等其他证明材料。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38.2</w:t>
            </w:r>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接收质疑函方式：以书面形式</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质疑联系部门及联系方式：广西科文招标有限公司，联系电话：0771-2023821，通讯地址：广西科文招标有限公司（广西南宁市民族大道141号中鼎万象东方大厦D区五层）</w:t>
            </w:r>
          </w:p>
          <w:p>
            <w:pPr>
              <w:autoSpaceDE w:val="0"/>
              <w:autoSpaceDN w:val="0"/>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现场提交质疑办理业务时间：每天8时00分到12时00分，15时00分到18时 00分，业务时间以外、双休日和法定节假日不办理业务。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bookmarkStart w:id="72" w:name="_Hlt17709148"/>
            <w:bookmarkEnd w:id="72"/>
            <w:bookmarkStart w:id="73" w:name="_42"/>
            <w:bookmarkEnd w:id="73"/>
            <w:bookmarkStart w:id="74" w:name="_41"/>
            <w:bookmarkEnd w:id="74"/>
            <w:r>
              <w:rPr>
                <w:rFonts w:hint="eastAsia" w:asciiTheme="minorEastAsia" w:hAnsiTheme="minorEastAsia" w:eastAsiaTheme="minorEastAsia" w:cstheme="minorEastAsia"/>
                <w:color w:val="auto"/>
                <w:szCs w:val="21"/>
                <w:highlight w:val="none"/>
              </w:rPr>
              <w:t>39.1</w:t>
            </w:r>
          </w:p>
        </w:tc>
        <w:tc>
          <w:tcPr>
            <w:tcW w:w="8593" w:type="dxa"/>
            <w:tcBorders>
              <w:top w:val="single" w:color="auto" w:sz="4" w:space="0"/>
              <w:left w:val="single" w:color="auto" w:sz="4" w:space="0"/>
              <w:bottom w:val="single" w:color="auto" w:sz="4" w:space="0"/>
              <w:right w:val="single" w:color="auto" w:sz="4" w:space="0"/>
            </w:tcBorders>
            <w:vAlign w:val="center"/>
          </w:tcPr>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1.采购代理费支付方式：</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bdr w:val="single" w:color="auto" w:sz="4" w:space="0"/>
              </w:rPr>
              <w:t>√</w:t>
            </w:r>
            <w:r>
              <w:rPr>
                <w:rFonts w:hint="eastAsia" w:asciiTheme="minorEastAsia" w:hAnsiTheme="minorEastAsia" w:eastAsiaTheme="minorEastAsia" w:cstheme="minorEastAsia"/>
                <w:color w:val="auto"/>
                <w:sz w:val="21"/>
                <w:highlight w:val="none"/>
              </w:rPr>
              <w:t>本项目代理服务费由</w:t>
            </w:r>
            <w:r>
              <w:rPr>
                <w:rFonts w:hint="eastAsia" w:asciiTheme="minorEastAsia" w:hAnsiTheme="minorEastAsia" w:eastAsiaTheme="minorEastAsia" w:cstheme="minorEastAsia"/>
                <w:color w:val="auto"/>
                <w:sz w:val="21"/>
                <w:highlight w:val="none"/>
                <w:u w:val="single"/>
              </w:rPr>
              <w:t>中标人</w:t>
            </w:r>
            <w:r>
              <w:rPr>
                <w:rFonts w:hint="eastAsia" w:asciiTheme="minorEastAsia" w:hAnsiTheme="minorEastAsia" w:eastAsiaTheme="minorEastAsia" w:cstheme="minorEastAsia"/>
                <w:color w:val="auto"/>
                <w:sz w:val="21"/>
                <w:highlight w:val="none"/>
              </w:rPr>
              <w:t>在领取中标通知书前，一次性向采购代理机构支付。</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□采购人支付。</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2.采购代理费收取标准：</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bdr w:val="single" w:color="auto" w:sz="4" w:space="0"/>
              </w:rPr>
              <w:t>√</w:t>
            </w:r>
            <w:r>
              <w:rPr>
                <w:rFonts w:hint="eastAsia" w:asciiTheme="minorEastAsia" w:hAnsiTheme="minorEastAsia" w:eastAsiaTheme="minorEastAsia" w:cstheme="minorEastAsia"/>
                <w:color w:val="auto"/>
                <w:sz w:val="21"/>
                <w:highlight w:val="none"/>
              </w:rPr>
              <w:t>以分标（</w:t>
            </w:r>
            <w:r>
              <w:rPr>
                <w:rFonts w:hint="eastAsia" w:asciiTheme="minorEastAsia" w:hAnsiTheme="minorEastAsia" w:eastAsiaTheme="minorEastAsia" w:cstheme="minorEastAsia"/>
                <w:color w:val="auto"/>
                <w:sz w:val="21"/>
                <w:highlight w:val="none"/>
                <w:bdr w:val="single" w:color="auto" w:sz="4" w:space="0"/>
              </w:rPr>
              <w:t>√</w:t>
            </w:r>
            <w:r>
              <w:rPr>
                <w:rFonts w:hint="eastAsia" w:asciiTheme="minorEastAsia" w:hAnsiTheme="minorEastAsia" w:eastAsiaTheme="minorEastAsia" w:cstheme="minorEastAsia"/>
                <w:color w:val="auto"/>
                <w:sz w:val="21"/>
                <w:highlight w:val="none"/>
              </w:rPr>
              <w:t>中标金额/□采购预算/□暂定中标金额/□其他）为计费额，按本须知正文第39.2条规定的收费计算标准（</w:t>
            </w:r>
            <w:r>
              <w:rPr>
                <w:rFonts w:hint="eastAsia" w:asciiTheme="minorEastAsia" w:hAnsiTheme="minorEastAsia" w:eastAsiaTheme="minorEastAsia" w:cstheme="minorEastAsia"/>
                <w:color w:val="auto"/>
                <w:sz w:val="21"/>
                <w:highlight w:val="none"/>
                <w:bdr w:val="single" w:color="auto" w:sz="4" w:space="0"/>
              </w:rPr>
              <w:t>√</w:t>
            </w:r>
            <w:r>
              <w:rPr>
                <w:rFonts w:hint="eastAsia" w:asciiTheme="minorEastAsia" w:hAnsiTheme="minorEastAsia" w:eastAsiaTheme="minorEastAsia" w:cstheme="minorEastAsia"/>
                <w:color w:val="auto"/>
                <w:sz w:val="21"/>
                <w:highlight w:val="none"/>
              </w:rPr>
              <w:t>货物招标/□服务招标/□工程招标）采用差额定率累进法计算出收费基准价格，采购代理收费以（□收费基准价格/</w:t>
            </w:r>
            <w:r>
              <w:rPr>
                <w:rFonts w:hint="eastAsia" w:asciiTheme="minorEastAsia" w:hAnsiTheme="minorEastAsia" w:eastAsiaTheme="minorEastAsia" w:cstheme="minorEastAsia"/>
                <w:color w:val="auto"/>
                <w:sz w:val="21"/>
                <w:highlight w:val="none"/>
                <w:bdr w:val="single" w:color="auto" w:sz="4" w:space="0"/>
              </w:rPr>
              <w:t>√</w:t>
            </w:r>
            <w:r>
              <w:rPr>
                <w:rFonts w:hint="eastAsia" w:asciiTheme="minorEastAsia" w:hAnsiTheme="minorEastAsia" w:eastAsiaTheme="minorEastAsia" w:cstheme="minorEastAsia"/>
                <w:color w:val="auto"/>
                <w:sz w:val="21"/>
                <w:highlight w:val="none"/>
              </w:rPr>
              <w:t>收费基准价格下浮</w:t>
            </w:r>
            <w:r>
              <w:rPr>
                <w:rFonts w:hint="eastAsia" w:asciiTheme="minorEastAsia" w:hAnsiTheme="minorEastAsia" w:eastAsiaTheme="minorEastAsia" w:cstheme="minorEastAsia"/>
                <w:color w:val="auto"/>
                <w:sz w:val="21"/>
                <w:highlight w:val="none"/>
                <w:u w:val="single"/>
              </w:rPr>
              <w:t>20%</w:t>
            </w:r>
            <w:r>
              <w:rPr>
                <w:rFonts w:hint="eastAsia" w:asciiTheme="minorEastAsia" w:hAnsiTheme="minorEastAsia" w:eastAsiaTheme="minorEastAsia" w:cstheme="minorEastAsia"/>
                <w:color w:val="auto"/>
                <w:sz w:val="21"/>
                <w:highlight w:val="none"/>
              </w:rPr>
              <w:t>/□收费基准价格上浮</w:t>
            </w:r>
            <w:r>
              <w:rPr>
                <w:rFonts w:hint="eastAsia" w:asciiTheme="minorEastAsia" w:hAnsiTheme="minorEastAsia" w:eastAsiaTheme="minorEastAsia" w:cstheme="minorEastAsia"/>
                <w:color w:val="auto"/>
                <w:sz w:val="21"/>
                <w:highlight w:val="none"/>
                <w:u w:val="single"/>
              </w:rPr>
              <w:t>%</w:t>
            </w:r>
            <w:r>
              <w:rPr>
                <w:rFonts w:hint="eastAsia" w:asciiTheme="minorEastAsia" w:hAnsiTheme="minorEastAsia" w:eastAsiaTheme="minorEastAsia" w:cstheme="minorEastAsia"/>
                <w:color w:val="auto"/>
                <w:sz w:val="21"/>
                <w:highlight w:val="none"/>
              </w:rPr>
              <w:t>）收取。</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u w:val="single"/>
              </w:rPr>
            </w:pPr>
            <w:r>
              <w:rPr>
                <w:rFonts w:hint="eastAsia" w:asciiTheme="minorEastAsia" w:hAnsiTheme="minorEastAsia" w:eastAsiaTheme="minorEastAsia" w:cstheme="minorEastAsia"/>
                <w:color w:val="auto"/>
                <w:sz w:val="21"/>
                <w:highlight w:val="none"/>
              </w:rPr>
              <w:t>□固定采购代理收费</w:t>
            </w:r>
            <w:r>
              <w:rPr>
                <w:rFonts w:hint="eastAsia" w:asciiTheme="minorEastAsia" w:hAnsiTheme="minorEastAsia" w:eastAsiaTheme="minorEastAsia" w:cstheme="minorEastAsia"/>
                <w:color w:val="auto"/>
                <w:sz w:val="21"/>
                <w:highlight w:val="none"/>
                <w:u w:val="single"/>
              </w:rPr>
              <w:t xml:space="preserve">              。</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3.账户名称：广西科文招标有限公司</w:t>
            </w:r>
          </w:p>
          <w:p>
            <w:pPr>
              <w:pStyle w:val="27"/>
              <w:snapToGrid w:val="0"/>
              <w:spacing w:line="360" w:lineRule="auto"/>
              <w:ind w:firstLine="420" w:firstLineChars="200"/>
              <w:rPr>
                <w:rFonts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账户名称：广西科文招标有限公司南宁造价三分公司</w:t>
            </w:r>
          </w:p>
          <w:p>
            <w:pPr>
              <w:pStyle w:val="27"/>
              <w:snapToGrid w:val="0"/>
              <w:spacing w:line="360" w:lineRule="auto"/>
              <w:ind w:firstLine="420" w:firstLineChars="200"/>
              <w:rPr>
                <w:rFonts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开户银行：广西北部湾银行股份有限公司南宁市云景支行</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kern w:val="2"/>
                <w:sz w:val="21"/>
                <w:highlight w:val="none"/>
              </w:rPr>
              <w:t>银行账号：805030224500001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40.1</w:t>
            </w:r>
          </w:p>
        </w:tc>
        <w:tc>
          <w:tcPr>
            <w:tcW w:w="859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95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40.2</w:t>
            </w:r>
          </w:p>
        </w:tc>
        <w:tc>
          <w:tcPr>
            <w:tcW w:w="8593" w:type="dxa"/>
            <w:tcBorders>
              <w:top w:val="single" w:color="auto" w:sz="4" w:space="0"/>
              <w:left w:val="single" w:color="auto" w:sz="4" w:space="0"/>
              <w:bottom w:val="single" w:color="auto" w:sz="4" w:space="0"/>
              <w:right w:val="single" w:color="auto" w:sz="4" w:space="0"/>
            </w:tcBorders>
            <w:vAlign w:val="center"/>
          </w:tcPr>
          <w:p>
            <w:pPr>
              <w:pStyle w:val="27"/>
              <w:snapToGrid w:val="0"/>
              <w:spacing w:line="360" w:lineRule="auto"/>
              <w:ind w:firstLine="420" w:firstLineChars="200"/>
              <w:rPr>
                <w:rFonts w:asciiTheme="minorEastAsia" w:hAnsiTheme="minorEastAsia" w:eastAsiaTheme="minorEastAsia" w:cstheme="minorEastAsia"/>
                <w:bCs/>
                <w:color w:val="auto"/>
                <w:sz w:val="21"/>
                <w:highlight w:val="none"/>
              </w:rPr>
            </w:pPr>
            <w:r>
              <w:rPr>
                <w:rFonts w:hint="eastAsia" w:asciiTheme="minorEastAsia" w:hAnsiTheme="minorEastAsia" w:eastAsiaTheme="minorEastAsia" w:cstheme="minorEastAsia"/>
                <w:bCs/>
                <w:color w:val="auto"/>
                <w:sz w:val="21"/>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pPr>
              <w:pStyle w:val="27"/>
              <w:snapToGrid w:val="0"/>
              <w:spacing w:line="360" w:lineRule="auto"/>
              <w:ind w:firstLine="420" w:firstLineChars="200"/>
              <w:rPr>
                <w:rFonts w:asciiTheme="minorEastAsia" w:hAnsiTheme="minorEastAsia" w:eastAsiaTheme="minorEastAsia" w:cstheme="minorEastAsia"/>
                <w:bCs/>
                <w:color w:val="auto"/>
                <w:sz w:val="21"/>
                <w:highlight w:val="none"/>
              </w:rPr>
            </w:pPr>
            <w:r>
              <w:rPr>
                <w:rFonts w:hint="eastAsia" w:asciiTheme="minorEastAsia" w:hAnsiTheme="minorEastAsia" w:eastAsiaTheme="minorEastAsia" w:cstheme="minorEastAsia"/>
                <w:bCs/>
                <w:color w:val="auto"/>
                <w:sz w:val="21"/>
                <w:highlight w:val="none"/>
              </w:rPr>
              <w:t>2.本招标文件所称的“</w:t>
            </w:r>
            <w:r>
              <w:rPr>
                <w:rFonts w:hint="eastAsia" w:asciiTheme="minorEastAsia" w:hAnsiTheme="minorEastAsia" w:eastAsiaTheme="minorEastAsia" w:cstheme="minorEastAsia"/>
                <w:color w:val="auto"/>
                <w:sz w:val="21"/>
                <w:highlight w:val="none"/>
              </w:rPr>
              <w:t>电子签章</w:t>
            </w:r>
            <w:r>
              <w:rPr>
                <w:rFonts w:hint="eastAsia" w:asciiTheme="minorEastAsia" w:hAnsiTheme="minorEastAsia" w:eastAsiaTheme="minorEastAsia" w:cstheme="minorEastAsia"/>
                <w:bCs/>
                <w:color w:val="auto"/>
                <w:sz w:val="21"/>
                <w:highlight w:val="none"/>
              </w:rPr>
              <w:t>”“电子签名”</w:t>
            </w:r>
            <w:r>
              <w:rPr>
                <w:rFonts w:hint="eastAsia" w:asciiTheme="minorEastAsia" w:hAnsiTheme="minorEastAsia" w:eastAsiaTheme="minorEastAsia" w:cstheme="minorEastAsia"/>
                <w:color w:val="auto"/>
                <w:sz w:val="21"/>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pPr>
              <w:pStyle w:val="27"/>
              <w:snapToGrid w:val="0"/>
              <w:spacing w:line="360" w:lineRule="auto"/>
              <w:ind w:firstLine="420" w:firstLineChars="200"/>
              <w:rPr>
                <w:rFonts w:asciiTheme="minorEastAsia" w:hAnsiTheme="minorEastAsia" w:eastAsiaTheme="minorEastAsia" w:cstheme="minorEastAsia"/>
                <w:bCs/>
                <w:color w:val="auto"/>
                <w:sz w:val="21"/>
                <w:highlight w:val="none"/>
              </w:rPr>
            </w:pPr>
            <w:r>
              <w:rPr>
                <w:rFonts w:hint="eastAsia" w:asciiTheme="minorEastAsia" w:hAnsiTheme="minorEastAsia" w:eastAsiaTheme="minorEastAsia" w:cstheme="minorEastAsia"/>
                <w:bCs/>
                <w:color w:val="auto"/>
                <w:sz w:val="21"/>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pPr>
              <w:pStyle w:val="27"/>
              <w:snapToGrid w:val="0"/>
              <w:spacing w:line="360" w:lineRule="auto"/>
              <w:ind w:firstLine="420" w:firstLineChars="200"/>
              <w:rPr>
                <w:rFonts w:asciiTheme="minorEastAsia" w:hAnsiTheme="minorEastAsia" w:eastAsiaTheme="minorEastAsia" w:cstheme="minorEastAsia"/>
                <w:bCs/>
                <w:color w:val="auto"/>
                <w:sz w:val="21"/>
                <w:highlight w:val="none"/>
              </w:rPr>
            </w:pPr>
            <w:r>
              <w:rPr>
                <w:rFonts w:hint="eastAsia" w:asciiTheme="minorEastAsia" w:hAnsiTheme="minorEastAsia" w:eastAsiaTheme="minorEastAsia" w:cstheme="minorEastAsia"/>
                <w:bCs/>
                <w:color w:val="auto"/>
                <w:sz w:val="21"/>
                <w:highlight w:val="none"/>
              </w:rPr>
              <w:t>4.本招标文件中描述投标人的“签字”是指投标人的法定代表人或者委托代理人亲自在文件规定签字处亲笔写上个人的名字的行为，私章、签字章、印鉴、影印等其他形式均不能代替亲笔签字。</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bCs/>
                <w:color w:val="auto"/>
                <w:sz w:val="21"/>
                <w:highlight w:val="none"/>
              </w:rPr>
              <w:t>5.本招标文件所称的“以上”“以下”“以内”“届满”，包括本数；所称的“不满”“超过”“以外”，不包括本数。</w:t>
            </w:r>
          </w:p>
        </w:tc>
      </w:tr>
    </w:tbl>
    <w:p>
      <w:pPr>
        <w:snapToGrid w:val="0"/>
        <w:spacing w:line="360" w:lineRule="auto"/>
        <w:rPr>
          <w:rFonts w:asciiTheme="minorEastAsia" w:hAnsiTheme="minorEastAsia" w:eastAsiaTheme="minorEastAsia" w:cstheme="minorEastAsia"/>
          <w:color w:val="auto"/>
          <w:sz w:val="24"/>
          <w:szCs w:val="20"/>
          <w:highlight w:val="none"/>
        </w:rPr>
      </w:pPr>
    </w:p>
    <w:p>
      <w:pPr>
        <w:snapToGrid w:val="0"/>
        <w:spacing w:line="360" w:lineRule="auto"/>
        <w:rPr>
          <w:rFonts w:asciiTheme="minorEastAsia" w:hAnsiTheme="minorEastAsia" w:eastAsiaTheme="minorEastAsia" w:cstheme="minorEastAsia"/>
          <w:color w:val="auto"/>
          <w:sz w:val="24"/>
          <w:szCs w:val="20"/>
          <w:highlight w:val="none"/>
        </w:rPr>
      </w:pPr>
    </w:p>
    <w:p>
      <w:pP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pPr>
        <w:pStyle w:val="5"/>
        <w:keepNext w:val="0"/>
        <w:keepLines w:val="0"/>
        <w:spacing w:line="360" w:lineRule="auto"/>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投标人须知正文</w:t>
      </w:r>
    </w:p>
    <w:p>
      <w:pPr>
        <w:pStyle w:val="5"/>
        <w:keepNext w:val="0"/>
        <w:keepLines w:val="0"/>
        <w:spacing w:line="360" w:lineRule="auto"/>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一、总  则</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bookmarkStart w:id="75" w:name="_Toc254970527"/>
      <w:bookmarkEnd w:id="75"/>
      <w:bookmarkStart w:id="76" w:name="_Toc254970668"/>
      <w:bookmarkEnd w:id="76"/>
      <w:r>
        <w:rPr>
          <w:rFonts w:hint="eastAsia" w:asciiTheme="minorEastAsia" w:hAnsiTheme="minorEastAsia" w:eastAsiaTheme="minorEastAsia" w:cstheme="minorEastAsia"/>
          <w:color w:val="auto"/>
          <w:sz w:val="24"/>
          <w:highlight w:val="none"/>
        </w:rPr>
        <w:t>1.适用范围</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pPr>
        <w:snapToGrid w:val="0"/>
        <w:spacing w:line="360" w:lineRule="auto"/>
        <w:ind w:firstLine="420" w:firstLineChars="200"/>
        <w:jc w:val="left"/>
        <w:rPr>
          <w:rFonts w:asciiTheme="minorEastAsia" w:hAnsiTheme="minorEastAsia" w:eastAsiaTheme="minorEastAsia" w:cstheme="minorEastAsia"/>
          <w:color w:val="auto"/>
          <w:spacing w:val="-6"/>
          <w:szCs w:val="21"/>
          <w:highlight w:val="none"/>
        </w:rPr>
      </w:pPr>
      <w:r>
        <w:rPr>
          <w:rFonts w:hint="eastAsia" w:asciiTheme="minorEastAsia" w:hAnsiTheme="minorEastAsia" w:eastAsiaTheme="minorEastAsia" w:cstheme="minorEastAsia"/>
          <w:color w:val="auto"/>
          <w:szCs w:val="21"/>
          <w:highlight w:val="none"/>
        </w:rPr>
        <w:t>1.2本招标文件</w:t>
      </w:r>
      <w:r>
        <w:rPr>
          <w:rFonts w:hint="eastAsia" w:asciiTheme="minorEastAsia" w:hAnsiTheme="minorEastAsia" w:eastAsiaTheme="minorEastAsia" w:cstheme="minorEastAsia"/>
          <w:color w:val="auto"/>
          <w:spacing w:val="-6"/>
          <w:szCs w:val="21"/>
          <w:highlight w:val="none"/>
        </w:rPr>
        <w:t>适用于本项目的所有采购程序和环节（法律、法规另有规定的，从其规定）。</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bookmarkStart w:id="77" w:name="_Toc254970669"/>
      <w:bookmarkEnd w:id="77"/>
      <w:bookmarkStart w:id="78" w:name="_Toc254970528"/>
      <w:bookmarkEnd w:id="78"/>
      <w:r>
        <w:rPr>
          <w:rFonts w:hint="eastAsia" w:asciiTheme="minorEastAsia" w:hAnsiTheme="minorEastAsia" w:eastAsiaTheme="minorEastAsia" w:cstheme="minorEastAsia"/>
          <w:color w:val="auto"/>
          <w:sz w:val="24"/>
          <w:highlight w:val="none"/>
        </w:rPr>
        <w:t>2.定义</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2.1“采购人”是指依法进行政府采购的国家机关、事业单位、团体组织。</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2.2“采购代理机构”是指政府采购集中采购机构和集中采购机构以外的采购代理机构。</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2.3“供应商”是指向采购人提供货物、工程或者服务的法人、其他组织或者自然人。</w:t>
      </w:r>
    </w:p>
    <w:p>
      <w:pPr>
        <w:pStyle w:val="9"/>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2.4“投标人”是指响应招标、参加投标竞争的法人、其他组织或者自然人。</w:t>
      </w:r>
    </w:p>
    <w:p>
      <w:pPr>
        <w:pStyle w:val="7"/>
        <w:keepNext w:val="0"/>
        <w:keepLines w:val="0"/>
        <w:spacing w:before="0" w:after="0" w:line="360" w:lineRule="auto"/>
        <w:ind w:firstLine="420" w:firstLine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2.5“货物”是指各种形态和种类的物品，包括原材料、燃料、设备、产品等。</w:t>
      </w:r>
    </w:p>
    <w:p>
      <w:pPr>
        <w:pStyle w:val="7"/>
        <w:keepNext w:val="0"/>
        <w:keepLines w:val="0"/>
        <w:spacing w:before="0" w:after="0" w:line="360" w:lineRule="auto"/>
        <w:ind w:firstLine="420" w:firstLine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2.6“售后服务” 是指商品出售以后所提供的各种服务，包含但不限于投标人须承担的备品备件、包装、运输、装卸、保险、货到就位以及安装、调试、培训、保修以及其他各种服务。</w:t>
      </w:r>
    </w:p>
    <w:p>
      <w:pPr>
        <w:pStyle w:val="7"/>
        <w:keepNext w:val="0"/>
        <w:keepLines w:val="0"/>
        <w:spacing w:before="0" w:after="0" w:line="360" w:lineRule="auto"/>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    2.7“书面形式”是指合同书、信件和数据电文（包括电报、电传、传真、电子数据交换和电子邮件）等可以有形地表现所载内容的形式。</w:t>
      </w:r>
    </w:p>
    <w:p>
      <w:pPr>
        <w:pStyle w:val="7"/>
        <w:keepNext w:val="0"/>
        <w:keepLines w:val="0"/>
        <w:spacing w:before="0" w:after="0" w:line="360" w:lineRule="auto"/>
        <w:ind w:firstLine="420" w:firstLine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2.8“实质性要求”是指招标文件中已经指明不满足则投标无效的条款，或者不能负偏离的条款，或者采购需求中带“▲”的条款。</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 “正偏离”，是指投标文件对招标文件“采购需求”中有关条款作出的响应优于条款要求并有利于采购人的情形。</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2.10“负偏离”，是指投标文件对招标文件“采购需求”中有关条款作出的响应不满足条款要求，导致采购人要求不能得到满足的情形。</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bookmarkStart w:id="79" w:name="_Toc254970529"/>
      <w:bookmarkStart w:id="80" w:name="_Toc254970670"/>
      <w:r>
        <w:rPr>
          <w:rFonts w:hint="eastAsia" w:asciiTheme="minorEastAsia" w:hAnsiTheme="minorEastAsia" w:eastAsiaTheme="minorEastAsia" w:cstheme="minorEastAsia"/>
          <w:color w:val="auto"/>
          <w:szCs w:val="21"/>
          <w:highlight w:val="none"/>
        </w:rPr>
        <w:t>2.11“允许负偏离的条款”是指采购需求中的不属于“实质性要求”的条款。</w:t>
      </w:r>
    </w:p>
    <w:bookmarkEnd w:id="79"/>
    <w:bookmarkEnd w:id="80"/>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3.投标人的资格要求</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投标人的资格要求详见“投标人须知前附表”。</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bookmarkStart w:id="81" w:name="_Toc254970671"/>
      <w:bookmarkEnd w:id="81"/>
      <w:bookmarkStart w:id="82" w:name="_Toc254970530"/>
      <w:bookmarkEnd w:id="82"/>
      <w:r>
        <w:rPr>
          <w:rFonts w:hint="eastAsia" w:asciiTheme="minorEastAsia" w:hAnsiTheme="minorEastAsia" w:eastAsiaTheme="minorEastAsia" w:cstheme="minorEastAsia"/>
          <w:color w:val="auto"/>
          <w:sz w:val="24"/>
          <w:highlight w:val="none"/>
        </w:rPr>
        <w:t>4.投标委托</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投标人代表参加投标活动过程中必须携带个人有效身份证件。如投标人代表不是法定代表人，须持有授权委托书（按第六章要求格式填写）。</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bookmarkStart w:id="83" w:name="_Toc254970672"/>
      <w:bookmarkEnd w:id="83"/>
      <w:bookmarkStart w:id="84" w:name="_Toc254970531"/>
      <w:bookmarkEnd w:id="84"/>
      <w:bookmarkStart w:id="85" w:name="_5.投标费用"/>
      <w:bookmarkEnd w:id="85"/>
      <w:r>
        <w:rPr>
          <w:rFonts w:hint="eastAsia" w:asciiTheme="minorEastAsia" w:hAnsiTheme="minorEastAsia" w:eastAsiaTheme="minorEastAsia" w:cstheme="minorEastAsia"/>
          <w:color w:val="auto"/>
          <w:sz w:val="24"/>
          <w:highlight w:val="none"/>
        </w:rPr>
        <w:t>5.投标费用</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6.联合体投标</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6.1本项目是否接受联合体投标，详见“投标人须知前附表”。</w:t>
      </w:r>
    </w:p>
    <w:p>
      <w:pPr>
        <w:snapToGrid w:val="0"/>
        <w:spacing w:line="360" w:lineRule="auto"/>
        <w:ind w:firstLine="420" w:firstLineChars="20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6.2如接受联合体投标，联合体投标要求详见“投标人须知前附表”。</w:t>
      </w:r>
    </w:p>
    <w:p>
      <w:pPr>
        <w:pStyle w:val="7"/>
        <w:keepNext w:val="0"/>
        <w:keepLines w:val="0"/>
        <w:spacing w:before="0" w:after="0" w:line="360" w:lineRule="auto"/>
        <w:ind w:firstLine="424" w:firstLineChars="202"/>
        <w:rPr>
          <w:rFonts w:asciiTheme="minorEastAsia" w:hAnsiTheme="minorEastAsia" w:eastAsiaTheme="minorEastAsia" w:cstheme="minorEastAsia"/>
          <w:color w:val="auto"/>
          <w:sz w:val="24"/>
          <w:highlight w:val="none"/>
        </w:rPr>
      </w:pPr>
      <w:bookmarkStart w:id="86" w:name="_Hlk65857072"/>
      <w:bookmarkEnd w:id="86"/>
      <w:r>
        <w:rPr>
          <w:rFonts w:hint="eastAsia" w:asciiTheme="minorEastAsia" w:hAnsiTheme="minorEastAsia" w:eastAsiaTheme="minorEastAsia" w:cstheme="minorEastAsia"/>
          <w:b w:val="0"/>
          <w:bCs/>
          <w:color w:val="auto"/>
          <w:sz w:val="21"/>
          <w:szCs w:val="21"/>
          <w:highlight w:val="none"/>
        </w:rPr>
        <w:t>6.3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2%-3%的扣除，用扣除后的价格参加评审。</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7.转包与分包             </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7.1本项目不允许转包。</w:t>
      </w:r>
    </w:p>
    <w:p>
      <w:pPr>
        <w:pStyle w:val="7"/>
        <w:keepNext w:val="0"/>
        <w:keepLines w:val="0"/>
        <w:spacing w:before="0" w:after="0" w:line="360" w:lineRule="auto"/>
        <w:ind w:firstLine="315" w:firstLineChars="15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pPr>
        <w:pStyle w:val="7"/>
        <w:keepNext w:val="0"/>
        <w:keepLines w:val="0"/>
        <w:spacing w:before="0" w:after="0" w:line="360" w:lineRule="auto"/>
        <w:ind w:firstLine="315" w:firstLineChars="15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bookmarkStart w:id="87" w:name="_Toc254970532"/>
      <w:bookmarkEnd w:id="87"/>
      <w:bookmarkStart w:id="88" w:name="_Toc254970673"/>
      <w:bookmarkEnd w:id="88"/>
      <w:r>
        <w:rPr>
          <w:rFonts w:hint="eastAsia" w:asciiTheme="minorEastAsia" w:hAnsiTheme="minorEastAsia" w:eastAsiaTheme="minorEastAsia" w:cstheme="minorEastAsia"/>
          <w:color w:val="auto"/>
          <w:sz w:val="24"/>
          <w:highlight w:val="none"/>
        </w:rPr>
        <w:t>8.特别说明</w:t>
      </w:r>
    </w:p>
    <w:p>
      <w:pPr>
        <w:pStyle w:val="7"/>
        <w:keepNext w:val="0"/>
        <w:keepLines w:val="0"/>
        <w:spacing w:before="0" w:after="0" w:line="360" w:lineRule="auto"/>
        <w:ind w:firstLine="562" w:firstLineChars="200"/>
        <w:rPr>
          <w:rFonts w:asciiTheme="minorEastAsia" w:hAnsiTheme="minorEastAsia" w:eastAsiaTheme="minorEastAsia" w:cstheme="minorEastAsia"/>
          <w:b w:val="0"/>
          <w:color w:val="auto"/>
          <w:sz w:val="21"/>
          <w:szCs w:val="21"/>
          <w:highlight w:val="none"/>
        </w:rPr>
      </w:pPr>
      <w:r>
        <w:rPr>
          <w:color w:val="auto"/>
          <w:highlight w:val="none"/>
        </w:rPr>
        <w:fldChar w:fldCharType="begin"/>
      </w:r>
      <w:r>
        <w:rPr>
          <w:color w:val="auto"/>
          <w:highlight w:val="none"/>
        </w:rPr>
        <w:instrText xml:space="preserve"> HYPERLINK \l "_8.1" </w:instrText>
      </w:r>
      <w:r>
        <w:rPr>
          <w:color w:val="auto"/>
          <w:highlight w:val="none"/>
        </w:rPr>
        <w:fldChar w:fldCharType="separate"/>
      </w:r>
      <w:r>
        <w:rPr>
          <w:rFonts w:hint="eastAsia" w:asciiTheme="minorEastAsia" w:hAnsiTheme="minorEastAsia" w:eastAsiaTheme="minorEastAsia" w:cstheme="minorEastAsia"/>
          <w:b w:val="0"/>
          <w:color w:val="auto"/>
          <w:sz w:val="21"/>
          <w:szCs w:val="21"/>
          <w:highlight w:val="none"/>
        </w:rPr>
        <w:t>8.1</w:t>
      </w:r>
      <w:r>
        <w:rPr>
          <w:rFonts w:hint="eastAsia" w:asciiTheme="minorEastAsia" w:hAnsiTheme="minorEastAsia" w:eastAsiaTheme="minorEastAsia" w:cstheme="minorEastAsia"/>
          <w:b w:val="0"/>
          <w:color w:val="auto"/>
          <w:sz w:val="21"/>
          <w:szCs w:val="21"/>
          <w:highlight w:val="none"/>
        </w:rPr>
        <w:fldChar w:fldCharType="end"/>
      </w:r>
      <w:r>
        <w:rPr>
          <w:rFonts w:hint="eastAsia" w:asciiTheme="minorEastAsia" w:hAnsiTheme="minorEastAsia" w:eastAsiaTheme="minorEastAsia" w:cstheme="minorEastAsia"/>
          <w:b w:val="0"/>
          <w:color w:val="auto"/>
          <w:sz w:val="21"/>
          <w:szCs w:val="21"/>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Theme="minorEastAsia" w:hAnsiTheme="minorEastAsia" w:eastAsiaTheme="minorEastAsia" w:cstheme="minorEastAsia"/>
          <w:color w:val="auto"/>
          <w:sz w:val="22"/>
          <w:szCs w:val="22"/>
          <w:highlight w:val="none"/>
        </w:rPr>
        <w:t>其他投标无效。</w:t>
      </w:r>
    </w:p>
    <w:p>
      <w:pPr>
        <w:pStyle w:val="7"/>
        <w:keepNext w:val="0"/>
        <w:keepLines w:val="0"/>
        <w:spacing w:before="0" w:after="0" w:line="360" w:lineRule="auto"/>
        <w:ind w:firstLine="420" w:firstLine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pPr>
        <w:pStyle w:val="27"/>
        <w:snapToGrid w:val="0"/>
        <w:spacing w:line="360" w:lineRule="auto"/>
        <w:ind w:left="2" w:leftChars="1" w:firstLine="420" w:firstLineChars="200"/>
        <w:rPr>
          <w:rFonts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非单一产品采购项目，多家投标人提供的核心产品品牌相同的，</w:t>
      </w:r>
      <w:r>
        <w:rPr>
          <w:rFonts w:hint="eastAsia" w:asciiTheme="minorEastAsia" w:hAnsiTheme="minorEastAsia" w:eastAsiaTheme="minorEastAsia" w:cstheme="minorEastAsia"/>
          <w:color w:val="auto"/>
          <w:sz w:val="22"/>
          <w:szCs w:val="22"/>
          <w:highlight w:val="none"/>
        </w:rPr>
        <w:t>按前两款规定处理</w:t>
      </w:r>
      <w:r>
        <w:rPr>
          <w:rFonts w:hint="eastAsia" w:asciiTheme="minorEastAsia" w:hAnsiTheme="minorEastAsia" w:eastAsiaTheme="minorEastAsia" w:cstheme="minorEastAsia"/>
          <w:color w:val="auto"/>
          <w:kern w:val="2"/>
          <w:sz w:val="21"/>
          <w:highlight w:val="none"/>
        </w:rPr>
        <w:t>。</w:t>
      </w:r>
    </w:p>
    <w:p>
      <w:pPr>
        <w:pStyle w:val="7"/>
        <w:keepNext w:val="0"/>
        <w:keepLines w:val="0"/>
        <w:spacing w:before="0" w:after="0" w:line="360" w:lineRule="auto"/>
        <w:ind w:firstLine="367" w:firstLineChars="175"/>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 8.2如果本招标文件要求提供投标人或制造商的资格、信誉、荣誉、业绩与企业认证等材料的，资格、信誉、荣誉、业绩与企业认证等必须为投标人或者制造商所拥有或自身获得 。</w:t>
      </w:r>
    </w:p>
    <w:p>
      <w:pPr>
        <w:pStyle w:val="7"/>
        <w:keepNext w:val="0"/>
        <w:keepLines w:val="0"/>
        <w:spacing w:before="0" w:after="0" w:line="360" w:lineRule="auto"/>
        <w:ind w:firstLine="367" w:firstLineChars="175"/>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 8.3投标人应仔细阅读招标文件的所有内容，按照招标文件的要求提交投标文件，并对所提供的全部资料的真实性承担法律责任。</w:t>
      </w:r>
    </w:p>
    <w:p>
      <w:pPr>
        <w:pStyle w:val="7"/>
        <w:keepNext w:val="0"/>
        <w:keepLines w:val="0"/>
        <w:spacing w:before="0" w:after="0" w:line="360" w:lineRule="auto"/>
        <w:ind w:firstLine="367" w:firstLineChars="175"/>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9.回避与串通投标</w:t>
      </w:r>
    </w:p>
    <w:p>
      <w:pPr>
        <w:pStyle w:val="7"/>
        <w:keepNext w:val="0"/>
        <w:keepLines w:val="0"/>
        <w:spacing w:before="0" w:after="0" w:line="360" w:lineRule="auto"/>
        <w:ind w:firstLine="367" w:firstLineChars="175"/>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9.1在政府采购活动中，采购人员及相关人员与供应商有下列利害关系之一的，应当回避：</w:t>
      </w:r>
    </w:p>
    <w:p>
      <w:pPr>
        <w:pStyle w:val="27"/>
        <w:snapToGrid w:val="0"/>
        <w:spacing w:line="360" w:lineRule="auto"/>
        <w:ind w:left="2" w:leftChars="1" w:firstLine="420" w:firstLineChars="200"/>
        <w:rPr>
          <w:rFonts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（1）参加采购活动前3年内与供应商存在劳动关系；</w:t>
      </w:r>
    </w:p>
    <w:p>
      <w:pPr>
        <w:pStyle w:val="27"/>
        <w:snapToGrid w:val="0"/>
        <w:spacing w:line="360" w:lineRule="auto"/>
        <w:ind w:left="2" w:leftChars="1" w:firstLine="420" w:firstLineChars="200"/>
        <w:rPr>
          <w:rFonts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（2）参加采购活动前3年内担任供应商的董事、监事；</w:t>
      </w:r>
    </w:p>
    <w:p>
      <w:pPr>
        <w:pStyle w:val="27"/>
        <w:snapToGrid w:val="0"/>
        <w:spacing w:line="360" w:lineRule="auto"/>
        <w:ind w:left="2" w:leftChars="1" w:firstLine="420" w:firstLineChars="200"/>
        <w:rPr>
          <w:rFonts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（3）参加采购活动前3年内是供应商的控股股东或者实际控制人；</w:t>
      </w:r>
    </w:p>
    <w:p>
      <w:pPr>
        <w:pStyle w:val="27"/>
        <w:snapToGrid w:val="0"/>
        <w:spacing w:line="360" w:lineRule="auto"/>
        <w:ind w:left="2" w:leftChars="1" w:firstLine="420" w:firstLineChars="200"/>
        <w:rPr>
          <w:rFonts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（4）与供应商的法定代表人或者负责人有夫妻、直系血亲、三代以内旁系血亲或者近姻亲关系；</w:t>
      </w:r>
    </w:p>
    <w:p>
      <w:pPr>
        <w:pStyle w:val="27"/>
        <w:snapToGrid w:val="0"/>
        <w:spacing w:line="360" w:lineRule="auto"/>
        <w:ind w:left="2" w:leftChars="1" w:firstLine="420" w:firstLineChars="200"/>
        <w:rPr>
          <w:rFonts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（5）与供应商有其他可能影响政府采购活动公平、公正进行的关系。</w:t>
      </w:r>
    </w:p>
    <w:p>
      <w:pPr>
        <w:pStyle w:val="27"/>
        <w:snapToGrid w:val="0"/>
        <w:spacing w:line="360" w:lineRule="auto"/>
        <w:ind w:left="2" w:leftChars="1" w:firstLine="420" w:firstLineChars="200"/>
        <w:rPr>
          <w:rFonts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pStyle w:val="7"/>
        <w:keepNext w:val="0"/>
        <w:keepLines w:val="0"/>
        <w:spacing w:before="0" w:after="0" w:line="360" w:lineRule="auto"/>
        <w:ind w:left="420" w:left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9.2有下列情形之一的视为投标人相互串通投标，投标文件将被视为无效：</w:t>
      </w:r>
    </w:p>
    <w:p>
      <w:pPr>
        <w:pStyle w:val="27"/>
        <w:snapToGrid w:val="0"/>
        <w:spacing w:line="360" w:lineRule="auto"/>
        <w:ind w:left="2" w:leftChars="1" w:firstLine="422" w:firstLineChars="200"/>
        <w:rPr>
          <w:rFonts w:asciiTheme="minorEastAsia" w:hAnsiTheme="minorEastAsia" w:eastAsiaTheme="minorEastAsia" w:cstheme="minorEastAsia"/>
          <w:b/>
          <w:color w:val="auto"/>
          <w:kern w:val="2"/>
          <w:sz w:val="21"/>
          <w:highlight w:val="none"/>
        </w:rPr>
      </w:pPr>
      <w:r>
        <w:rPr>
          <w:rFonts w:hint="eastAsia" w:asciiTheme="minorEastAsia" w:hAnsiTheme="minorEastAsia" w:eastAsiaTheme="minorEastAsia" w:cstheme="minorEastAsia"/>
          <w:b/>
          <w:color w:val="auto"/>
          <w:kern w:val="2"/>
          <w:sz w:val="21"/>
          <w:highlight w:val="none"/>
        </w:rPr>
        <w:t xml:space="preserve">（1）不同投标人的投标文件由同一单位或者个人编制； </w:t>
      </w:r>
    </w:p>
    <w:p>
      <w:pPr>
        <w:pStyle w:val="27"/>
        <w:snapToGrid w:val="0"/>
        <w:spacing w:line="360" w:lineRule="auto"/>
        <w:ind w:left="2" w:leftChars="1" w:firstLine="422" w:firstLineChars="200"/>
        <w:rPr>
          <w:rFonts w:asciiTheme="minorEastAsia" w:hAnsiTheme="minorEastAsia" w:eastAsiaTheme="minorEastAsia" w:cstheme="minorEastAsia"/>
          <w:b/>
          <w:color w:val="auto"/>
          <w:kern w:val="2"/>
          <w:sz w:val="21"/>
          <w:highlight w:val="none"/>
        </w:rPr>
      </w:pPr>
      <w:r>
        <w:rPr>
          <w:rFonts w:hint="eastAsia" w:asciiTheme="minorEastAsia" w:hAnsiTheme="minorEastAsia" w:eastAsiaTheme="minorEastAsia" w:cstheme="minorEastAsia"/>
          <w:b/>
          <w:color w:val="auto"/>
          <w:kern w:val="2"/>
          <w:sz w:val="21"/>
          <w:highlight w:val="none"/>
        </w:rPr>
        <w:t>（2）不同投标人委托同一单位或者个人办理投标事宜；</w:t>
      </w:r>
    </w:p>
    <w:p>
      <w:pPr>
        <w:pStyle w:val="27"/>
        <w:snapToGrid w:val="0"/>
        <w:spacing w:line="360" w:lineRule="auto"/>
        <w:ind w:left="2" w:leftChars="1" w:firstLine="422" w:firstLineChars="200"/>
        <w:rPr>
          <w:rFonts w:asciiTheme="minorEastAsia" w:hAnsiTheme="minorEastAsia" w:eastAsiaTheme="minorEastAsia" w:cstheme="minorEastAsia"/>
          <w:b/>
          <w:color w:val="auto"/>
          <w:kern w:val="2"/>
          <w:sz w:val="21"/>
          <w:highlight w:val="none"/>
        </w:rPr>
      </w:pPr>
      <w:r>
        <w:rPr>
          <w:rFonts w:hint="eastAsia" w:asciiTheme="minorEastAsia" w:hAnsiTheme="minorEastAsia" w:eastAsiaTheme="minorEastAsia" w:cstheme="minorEastAsia"/>
          <w:b/>
          <w:color w:val="auto"/>
          <w:kern w:val="2"/>
          <w:sz w:val="21"/>
          <w:highlight w:val="none"/>
        </w:rPr>
        <w:t>（3）不同的投标人的投标文件载明的项目管理员为同一个人；</w:t>
      </w:r>
    </w:p>
    <w:p>
      <w:pPr>
        <w:pStyle w:val="27"/>
        <w:snapToGrid w:val="0"/>
        <w:spacing w:line="360" w:lineRule="auto"/>
        <w:ind w:left="2" w:leftChars="1" w:firstLine="422" w:firstLineChars="200"/>
        <w:rPr>
          <w:rFonts w:asciiTheme="minorEastAsia" w:hAnsiTheme="minorEastAsia" w:eastAsiaTheme="minorEastAsia" w:cstheme="minorEastAsia"/>
          <w:b/>
          <w:color w:val="auto"/>
          <w:kern w:val="2"/>
          <w:sz w:val="21"/>
          <w:highlight w:val="none"/>
        </w:rPr>
      </w:pPr>
      <w:r>
        <w:rPr>
          <w:rFonts w:hint="eastAsia" w:asciiTheme="minorEastAsia" w:hAnsiTheme="minorEastAsia" w:eastAsiaTheme="minorEastAsia" w:cstheme="minorEastAsia"/>
          <w:b/>
          <w:color w:val="auto"/>
          <w:kern w:val="2"/>
          <w:sz w:val="21"/>
          <w:highlight w:val="none"/>
        </w:rPr>
        <w:t>（4）不同投标人的投标文件异常一致或者投标报价呈规律性差异；</w:t>
      </w:r>
    </w:p>
    <w:p>
      <w:pPr>
        <w:pStyle w:val="27"/>
        <w:snapToGrid w:val="0"/>
        <w:spacing w:line="360" w:lineRule="auto"/>
        <w:ind w:left="2" w:leftChars="1" w:firstLine="422" w:firstLineChars="200"/>
        <w:rPr>
          <w:rFonts w:asciiTheme="minorEastAsia" w:hAnsiTheme="minorEastAsia" w:eastAsiaTheme="minorEastAsia" w:cstheme="minorEastAsia"/>
          <w:b/>
          <w:color w:val="auto"/>
          <w:kern w:val="2"/>
          <w:sz w:val="21"/>
          <w:highlight w:val="none"/>
        </w:rPr>
      </w:pPr>
      <w:r>
        <w:rPr>
          <w:rFonts w:hint="eastAsia" w:asciiTheme="minorEastAsia" w:hAnsiTheme="minorEastAsia" w:eastAsiaTheme="minorEastAsia" w:cstheme="minorEastAsia"/>
          <w:b/>
          <w:color w:val="auto"/>
          <w:kern w:val="2"/>
          <w:sz w:val="21"/>
          <w:highlight w:val="none"/>
        </w:rPr>
        <w:t>（5）不同投标人的投标文件相互混装；</w:t>
      </w:r>
    </w:p>
    <w:p>
      <w:pPr>
        <w:pStyle w:val="27"/>
        <w:snapToGrid w:val="0"/>
        <w:spacing w:line="360" w:lineRule="auto"/>
        <w:ind w:left="2" w:leftChars="1" w:firstLine="422" w:firstLineChars="200"/>
        <w:rPr>
          <w:rFonts w:asciiTheme="minorEastAsia" w:hAnsiTheme="minorEastAsia" w:eastAsiaTheme="minorEastAsia" w:cstheme="minorEastAsia"/>
          <w:b/>
          <w:color w:val="auto"/>
          <w:kern w:val="2"/>
          <w:sz w:val="21"/>
          <w:highlight w:val="none"/>
        </w:rPr>
      </w:pPr>
      <w:r>
        <w:rPr>
          <w:rFonts w:hint="eastAsia" w:asciiTheme="minorEastAsia" w:hAnsiTheme="minorEastAsia" w:eastAsiaTheme="minorEastAsia" w:cstheme="minorEastAsia"/>
          <w:b/>
          <w:color w:val="auto"/>
          <w:kern w:val="2"/>
          <w:sz w:val="21"/>
          <w:highlight w:val="none"/>
        </w:rPr>
        <w:t>（6）不同投标人的投标保证金从同一单位或者个人账户转出。</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9.3供应商有下列情形之一的，属于恶意串通行为，将报同级监督管理部门：</w:t>
      </w:r>
    </w:p>
    <w:p>
      <w:pPr>
        <w:pStyle w:val="27"/>
        <w:snapToGrid w:val="0"/>
        <w:spacing w:line="360" w:lineRule="auto"/>
        <w:ind w:left="2" w:leftChars="1" w:firstLine="420" w:firstLineChars="200"/>
        <w:rPr>
          <w:rFonts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（1）供应商直接或者间接从采购人或者采购代理机构处获得其他供应商的相关信息并修改其投标文件或者响应文件；</w:t>
      </w:r>
    </w:p>
    <w:p>
      <w:pPr>
        <w:pStyle w:val="27"/>
        <w:snapToGrid w:val="0"/>
        <w:spacing w:line="360" w:lineRule="auto"/>
        <w:ind w:left="2" w:leftChars="1" w:firstLine="420" w:firstLineChars="200"/>
        <w:rPr>
          <w:rFonts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（2）供应商按照采购人或者采购代理机构的授意撤换、修改投标文件或者响应文件；</w:t>
      </w:r>
    </w:p>
    <w:p>
      <w:pPr>
        <w:pStyle w:val="27"/>
        <w:snapToGrid w:val="0"/>
        <w:spacing w:line="360" w:lineRule="auto"/>
        <w:ind w:left="2" w:leftChars="1" w:firstLine="420" w:firstLineChars="200"/>
        <w:rPr>
          <w:rFonts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（3）供应商之间协商报价、技术方案等投标文件或者响应文件的实质性内容；</w:t>
      </w:r>
    </w:p>
    <w:p>
      <w:pPr>
        <w:pStyle w:val="27"/>
        <w:snapToGrid w:val="0"/>
        <w:spacing w:line="360" w:lineRule="auto"/>
        <w:ind w:left="2" w:leftChars="1" w:firstLine="420" w:firstLineChars="200"/>
        <w:rPr>
          <w:rFonts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（4）属于同一集团、协会、商会等组织成员的供应商按照该组织要求协同参加政府采购活动；</w:t>
      </w:r>
    </w:p>
    <w:p>
      <w:pPr>
        <w:pStyle w:val="27"/>
        <w:snapToGrid w:val="0"/>
        <w:spacing w:line="360" w:lineRule="auto"/>
        <w:ind w:left="2" w:leftChars="1" w:firstLine="420" w:firstLineChars="200"/>
        <w:rPr>
          <w:rFonts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（5）供应商之间事先约定一致抬高或者压低投标报价，或者在招标项目中事先约定轮流以高价位或者低价位中标，或者事先约定由某一特定供应商中标，然后再参加投标；</w:t>
      </w:r>
    </w:p>
    <w:p>
      <w:pPr>
        <w:pStyle w:val="27"/>
        <w:snapToGrid w:val="0"/>
        <w:spacing w:line="360" w:lineRule="auto"/>
        <w:ind w:left="2" w:leftChars="1" w:firstLine="420" w:firstLineChars="200"/>
        <w:rPr>
          <w:rFonts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（6）供应商之间商定部分供应商放弃参加政府采购活动或者放弃中标；</w:t>
      </w:r>
    </w:p>
    <w:p>
      <w:pPr>
        <w:pStyle w:val="27"/>
        <w:snapToGrid w:val="0"/>
        <w:spacing w:line="360" w:lineRule="auto"/>
        <w:ind w:left="2" w:leftChars="1" w:firstLine="420" w:firstLineChars="200"/>
        <w:rPr>
          <w:rFonts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（7）供应商与采购人或者采购代理机构之间、供应商相互之间，为谋求特定供应商中标或者排斥其他供应商的其他串通行为。</w:t>
      </w:r>
    </w:p>
    <w:p>
      <w:pPr>
        <w:pStyle w:val="5"/>
        <w:keepNext w:val="0"/>
        <w:keepLines w:val="0"/>
        <w:spacing w:line="360" w:lineRule="auto"/>
        <w:jc w:val="center"/>
        <w:rPr>
          <w:rFonts w:asciiTheme="minorEastAsia" w:hAnsiTheme="minorEastAsia" w:eastAsiaTheme="minorEastAsia" w:cstheme="minorEastAsia"/>
          <w:color w:val="auto"/>
          <w:highlight w:val="none"/>
        </w:rPr>
      </w:pPr>
      <w:bookmarkStart w:id="89" w:name="_Toc254970534"/>
      <w:bookmarkEnd w:id="89"/>
      <w:bookmarkStart w:id="90" w:name="_Toc254970675"/>
      <w:bookmarkEnd w:id="90"/>
      <w:r>
        <w:rPr>
          <w:rFonts w:hint="eastAsia" w:asciiTheme="minorEastAsia" w:hAnsiTheme="minorEastAsia" w:eastAsiaTheme="minorEastAsia" w:cstheme="minorEastAsia"/>
          <w:color w:val="auto"/>
          <w:highlight w:val="none"/>
        </w:rPr>
        <w:t>二、招标文件</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10.招标文件的组成</w:t>
      </w:r>
    </w:p>
    <w:p>
      <w:pPr>
        <w:snapToGrid w:val="0"/>
        <w:spacing w:line="360" w:lineRule="auto"/>
        <w:ind w:firstLine="42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（1）招标公告；</w:t>
      </w:r>
    </w:p>
    <w:p>
      <w:pPr>
        <w:snapToGrid w:val="0"/>
        <w:spacing w:line="360" w:lineRule="auto"/>
        <w:ind w:firstLine="42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（2）采购需求； </w:t>
      </w:r>
    </w:p>
    <w:p>
      <w:pPr>
        <w:snapToGrid w:val="0"/>
        <w:spacing w:line="360" w:lineRule="auto"/>
        <w:ind w:firstLine="42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（3）投标人须知；</w:t>
      </w:r>
    </w:p>
    <w:p>
      <w:pPr>
        <w:snapToGrid w:val="0"/>
        <w:spacing w:line="360" w:lineRule="auto"/>
        <w:ind w:firstLine="42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（4）评标方法及评标标准；</w:t>
      </w:r>
    </w:p>
    <w:p>
      <w:pPr>
        <w:snapToGrid w:val="0"/>
        <w:spacing w:line="360" w:lineRule="auto"/>
        <w:ind w:firstLine="42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（5）拟签订的合同文本；</w:t>
      </w:r>
    </w:p>
    <w:p>
      <w:pPr>
        <w:snapToGrid w:val="0"/>
        <w:spacing w:line="360" w:lineRule="auto"/>
        <w:ind w:firstLine="42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（6）投标文件格式。</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11.招标文件的澄清、修改 、现场踏勘和答疑会</w:t>
      </w:r>
    </w:p>
    <w:p>
      <w:pPr>
        <w:pStyle w:val="7"/>
        <w:keepNext w:val="0"/>
        <w:keepLines w:val="0"/>
        <w:spacing w:before="0" w:after="0" w:line="360" w:lineRule="auto"/>
        <w:ind w:firstLine="315" w:firstLineChars="15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bookmarkStart w:id="91" w:name="_Hlk53134511"/>
      <w:r>
        <w:rPr>
          <w:rFonts w:hint="eastAsia" w:asciiTheme="minorEastAsia" w:hAnsiTheme="minorEastAsia" w:eastAsiaTheme="minorEastAsia" w:cstheme="minorEastAsia"/>
          <w:color w:val="auto"/>
          <w:sz w:val="21"/>
          <w:highlight w:val="none"/>
        </w:rPr>
        <w:t>11.2采购人或者采购代理机构可以在招标文件提供期限截止后，组织已获取招标文件的潜在投标人现场踏勘或者召开开标前答疑会，具体详见“投标人须知前附表”。</w:t>
      </w:r>
    </w:p>
    <w:bookmarkEnd w:id="91"/>
    <w:p>
      <w:pPr>
        <w:pStyle w:val="5"/>
        <w:keepNext w:val="0"/>
        <w:keepLines w:val="0"/>
        <w:spacing w:line="360" w:lineRule="auto"/>
        <w:jc w:val="center"/>
        <w:rPr>
          <w:rFonts w:asciiTheme="minorEastAsia" w:hAnsiTheme="minorEastAsia" w:eastAsiaTheme="minorEastAsia" w:cstheme="minorEastAsia"/>
          <w:color w:val="auto"/>
          <w:highlight w:val="none"/>
        </w:rPr>
      </w:pPr>
      <w:bookmarkStart w:id="92" w:name="_Toc254970676"/>
      <w:bookmarkEnd w:id="92"/>
      <w:bookmarkStart w:id="93" w:name="_Toc254970535"/>
      <w:bookmarkEnd w:id="93"/>
      <w:r>
        <w:rPr>
          <w:rFonts w:hint="eastAsia" w:asciiTheme="minorEastAsia" w:hAnsiTheme="minorEastAsia" w:eastAsiaTheme="minorEastAsia" w:cstheme="minorEastAsia"/>
          <w:color w:val="auto"/>
          <w:highlight w:val="none"/>
        </w:rPr>
        <w:t>三、投标文件的编制</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bookmarkStart w:id="94" w:name="_Toc254970536"/>
      <w:bookmarkStart w:id="95" w:name="_Toc254970677"/>
      <w:r>
        <w:rPr>
          <w:rFonts w:hint="eastAsia" w:asciiTheme="minorEastAsia" w:hAnsiTheme="minorEastAsia" w:eastAsiaTheme="minorEastAsia" w:cstheme="minorEastAsia"/>
          <w:color w:val="auto"/>
          <w:sz w:val="24"/>
          <w:highlight w:val="none"/>
        </w:rPr>
        <w:t>12.投标文件的编制原则</w:t>
      </w:r>
    </w:p>
    <w:p>
      <w:pPr>
        <w:snapToGrid w:val="0"/>
        <w:spacing w:line="360" w:lineRule="auto"/>
        <w:ind w:firstLine="42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投标人必须按照招标文件的要求编制投标文件。投标文件必须对招标文件提出的要求和条件作出明确响应。</w:t>
      </w:r>
    </w:p>
    <w:bookmarkEnd w:id="94"/>
    <w:bookmarkEnd w:id="95"/>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13.投标文件的组成</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投标文件由报价文件、资格证明文件、商务文件、技术文件四部分组成。</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bookmarkStart w:id="96" w:name="_13.1报价文件:_具体材料见“投标人须知前附表”。"/>
      <w:bookmarkEnd w:id="96"/>
      <w:r>
        <w:rPr>
          <w:rFonts w:hint="eastAsia" w:asciiTheme="minorEastAsia" w:hAnsiTheme="minorEastAsia" w:eastAsiaTheme="minorEastAsia" w:cstheme="minorEastAsia"/>
          <w:b w:val="0"/>
          <w:color w:val="auto"/>
          <w:sz w:val="21"/>
          <w:szCs w:val="21"/>
          <w:highlight w:val="none"/>
        </w:rPr>
        <w:t>（1）报价文件：具体材料见“投标人须知前附表”。</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bookmarkStart w:id="97" w:name="_13.2资格证明文件：具体材料见“投标人须知前附表”。"/>
      <w:bookmarkEnd w:id="97"/>
      <w:r>
        <w:rPr>
          <w:rFonts w:hint="eastAsia" w:asciiTheme="minorEastAsia" w:hAnsiTheme="minorEastAsia" w:eastAsiaTheme="minorEastAsia" w:cstheme="minorEastAsia"/>
          <w:b w:val="0"/>
          <w:color w:val="auto"/>
          <w:sz w:val="21"/>
          <w:szCs w:val="21"/>
          <w:highlight w:val="none"/>
        </w:rPr>
        <w:t>（2）资格证明文件：具体材料见“投标人须知前附表”。</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bookmarkStart w:id="98" w:name="_13.3商务文件:_具体材料见“投标人须知前附表”。"/>
      <w:bookmarkEnd w:id="98"/>
      <w:r>
        <w:rPr>
          <w:rFonts w:hint="eastAsia" w:asciiTheme="minorEastAsia" w:hAnsiTheme="minorEastAsia" w:eastAsiaTheme="minorEastAsia" w:cstheme="minorEastAsia"/>
          <w:b w:val="0"/>
          <w:color w:val="auto"/>
          <w:sz w:val="21"/>
          <w:szCs w:val="21"/>
          <w:highlight w:val="none"/>
        </w:rPr>
        <w:t>（3）商务文件：具体材料见“投标人须知前附表”。</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bookmarkStart w:id="99" w:name="_13.4技术文件：具体材料见“投标人须知前附表”。"/>
      <w:bookmarkEnd w:id="99"/>
      <w:r>
        <w:rPr>
          <w:rFonts w:hint="eastAsia" w:asciiTheme="minorEastAsia" w:hAnsiTheme="minorEastAsia" w:eastAsiaTheme="minorEastAsia" w:cstheme="minorEastAsia"/>
          <w:b w:val="0"/>
          <w:color w:val="auto"/>
          <w:sz w:val="21"/>
          <w:szCs w:val="21"/>
          <w:highlight w:val="none"/>
        </w:rPr>
        <w:t>（4）技术文件：具体材料见“投标人须知前附表”。</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bookmarkStart w:id="100" w:name="_Toc254970678"/>
      <w:bookmarkEnd w:id="100"/>
      <w:bookmarkStart w:id="101" w:name="_13.5投标文件电子版：具体材料见“投标人须知前附表”。"/>
      <w:bookmarkEnd w:id="101"/>
      <w:bookmarkStart w:id="102" w:name="_Toc254970537"/>
      <w:bookmarkEnd w:id="102"/>
      <w:r>
        <w:rPr>
          <w:rFonts w:hint="eastAsia" w:asciiTheme="minorEastAsia" w:hAnsiTheme="minorEastAsia" w:eastAsiaTheme="minorEastAsia" w:cstheme="minorEastAsia"/>
          <w:color w:val="auto"/>
          <w:sz w:val="24"/>
          <w:highlight w:val="none"/>
        </w:rPr>
        <w:t>14.投标文件的语言及计量</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14.1语言文字</w:t>
      </w:r>
    </w:p>
    <w:p>
      <w:pPr>
        <w:pStyle w:val="7"/>
        <w:keepNext w:val="0"/>
        <w:keepLines w:val="0"/>
        <w:spacing w:before="0" w:after="0" w:line="360" w:lineRule="auto"/>
        <w:ind w:firstLine="420" w:firstLine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pPr>
        <w:pStyle w:val="7"/>
        <w:keepNext w:val="0"/>
        <w:keepLines w:val="0"/>
        <w:spacing w:before="0" w:after="0" w:line="360" w:lineRule="auto"/>
        <w:ind w:firstLine="420" w:firstLine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14.2投标计量单位</w:t>
      </w:r>
    </w:p>
    <w:p>
      <w:pPr>
        <w:pStyle w:val="7"/>
        <w:keepNext w:val="0"/>
        <w:keepLines w:val="0"/>
        <w:spacing w:before="0" w:after="0" w:line="360" w:lineRule="auto"/>
        <w:ind w:firstLine="420" w:firstLine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招标文件已有明确规定的，使用招标文件规定的计量单位；招标文件没有规定的，应采用中华人民共和国法定计量单位，货币种类为人民币，</w:t>
      </w:r>
      <w:r>
        <w:rPr>
          <w:rFonts w:hint="eastAsia" w:asciiTheme="minorEastAsia" w:hAnsiTheme="minorEastAsia" w:eastAsiaTheme="minorEastAsia" w:cstheme="minorEastAsia"/>
          <w:color w:val="auto"/>
          <w:sz w:val="21"/>
          <w:szCs w:val="21"/>
          <w:highlight w:val="none"/>
        </w:rPr>
        <w:t>否则视同未响应。</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15.投标的风险</w:t>
      </w:r>
    </w:p>
    <w:p>
      <w:pPr>
        <w:pStyle w:val="27"/>
        <w:snapToGrid w:val="0"/>
        <w:spacing w:line="360" w:lineRule="auto"/>
        <w:ind w:firstLine="420" w:firstLineChars="200"/>
        <w:jc w:val="left"/>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投标人没有按照招标文件要求提供全部资料，或者投标人没有对招标文件作出实质性响应是投标人的风险，并可能导致其投标被拒绝。</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bookmarkStart w:id="103" w:name="_Toc254970679"/>
      <w:bookmarkEnd w:id="103"/>
      <w:bookmarkStart w:id="104" w:name="_Toc254970538"/>
      <w:bookmarkEnd w:id="104"/>
      <w:r>
        <w:rPr>
          <w:rFonts w:hint="eastAsia" w:asciiTheme="minorEastAsia" w:hAnsiTheme="minorEastAsia" w:eastAsiaTheme="minorEastAsia" w:cstheme="minorEastAsia"/>
          <w:color w:val="auto"/>
          <w:sz w:val="24"/>
          <w:highlight w:val="none"/>
        </w:rPr>
        <w:t>16.投标报价</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16.1投标报价应按“第六章　投标文件格式”中“开标一览表”格式填写。</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bookmarkStart w:id="105" w:name="_16.2投标报价具体定义见投标人须知前附表。"/>
      <w:bookmarkEnd w:id="105"/>
      <w:r>
        <w:rPr>
          <w:rFonts w:hint="eastAsia" w:asciiTheme="minorEastAsia" w:hAnsiTheme="minorEastAsia" w:eastAsiaTheme="minorEastAsia" w:cstheme="minorEastAsia"/>
          <w:b w:val="0"/>
          <w:color w:val="auto"/>
          <w:sz w:val="21"/>
          <w:szCs w:val="21"/>
          <w:highlight w:val="none"/>
        </w:rPr>
        <w:t>16.2投标报价具体包括内容详见“投标人须知前附表”。</w:t>
      </w:r>
    </w:p>
    <w:p>
      <w:pPr>
        <w:pStyle w:val="7"/>
        <w:keepNext w:val="0"/>
        <w:keepLines w:val="0"/>
        <w:spacing w:before="0" w:after="0" w:line="360" w:lineRule="auto"/>
        <w:ind w:firstLine="420" w:firstLine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16.3投标人必须就所投每个分标的全部内容分别作完整唯一总价报价，不得存在漏项报价；投标人必须就所投分标的单项内容作唯一报价。</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17.投标有效期</w:t>
      </w:r>
    </w:p>
    <w:p>
      <w:pPr>
        <w:pStyle w:val="7"/>
        <w:keepNext w:val="0"/>
        <w:keepLines w:val="0"/>
        <w:spacing w:before="0" w:after="0" w:line="360" w:lineRule="auto"/>
        <w:ind w:firstLine="420" w:firstLineChars="200"/>
        <w:rPr>
          <w:rFonts w:asciiTheme="minorEastAsia" w:hAnsiTheme="minorEastAsia" w:eastAsiaTheme="minorEastAsia" w:cstheme="minorEastAsia"/>
          <w:b w:val="0"/>
          <w:color w:val="auto"/>
          <w:sz w:val="21"/>
          <w:szCs w:val="21"/>
          <w:highlight w:val="none"/>
        </w:rPr>
      </w:pPr>
      <w:bookmarkStart w:id="106" w:name="_17.1投标有效期应按“投标人须知中的前附表”规定的期限。"/>
      <w:bookmarkEnd w:id="106"/>
      <w:r>
        <w:rPr>
          <w:rFonts w:hint="eastAsia" w:asciiTheme="minorEastAsia" w:hAnsiTheme="minorEastAsia" w:eastAsiaTheme="minorEastAsia" w:cstheme="minorEastAsia"/>
          <w:b w:val="0"/>
          <w:color w:val="auto"/>
          <w:sz w:val="21"/>
          <w:szCs w:val="21"/>
          <w:highlight w:val="none"/>
        </w:rPr>
        <w:t>17.1投标有效期是指为保证采购人有足够的时间在开标后完成评标、定标、合同签订等工作而要求投标人提交的投标文件在一定时间内保持有效的期限。</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bookmarkStart w:id="107" w:name="_Toc254970681"/>
      <w:bookmarkStart w:id="108" w:name="_Toc254970540"/>
      <w:r>
        <w:rPr>
          <w:rFonts w:hint="eastAsia" w:asciiTheme="minorEastAsia" w:hAnsiTheme="minorEastAsia" w:eastAsiaTheme="minorEastAsia" w:cstheme="minorEastAsia"/>
          <w:b w:val="0"/>
          <w:color w:val="auto"/>
          <w:sz w:val="21"/>
          <w:szCs w:val="21"/>
          <w:highlight w:val="none"/>
        </w:rPr>
        <w:t>17.2 投标有效期应按规定的期限作出承诺，具体详见“投标人须知前附表”。</w:t>
      </w:r>
    </w:p>
    <w:bookmarkEnd w:id="107"/>
    <w:bookmarkEnd w:id="108"/>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17.3投标人的投标文件在投标有效期内均保持有效。</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bookmarkStart w:id="109" w:name="_Toc254970541"/>
      <w:bookmarkEnd w:id="109"/>
      <w:bookmarkStart w:id="110" w:name="_Toc254970682"/>
      <w:bookmarkEnd w:id="110"/>
      <w:bookmarkStart w:id="111" w:name="_18.投标保证金"/>
      <w:bookmarkEnd w:id="111"/>
      <w:r>
        <w:rPr>
          <w:rFonts w:hint="eastAsia" w:asciiTheme="minorEastAsia" w:hAnsiTheme="minorEastAsia" w:eastAsiaTheme="minorEastAsia" w:cstheme="minorEastAsia"/>
          <w:color w:val="auto"/>
          <w:sz w:val="24"/>
          <w:highlight w:val="none"/>
        </w:rPr>
        <w:t>18.投标保证金</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18.1投标人须按“投标人须知前附表” 的规定提交投标保证金。</w:t>
      </w:r>
    </w:p>
    <w:p>
      <w:pPr>
        <w:pStyle w:val="7"/>
        <w:keepNext w:val="0"/>
        <w:keepLines w:val="0"/>
        <w:spacing w:before="0" w:after="0" w:line="360" w:lineRule="auto"/>
        <w:ind w:firstLine="420" w:firstLine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18.2投标保证金的退还</w:t>
      </w:r>
    </w:p>
    <w:p>
      <w:pPr>
        <w:pStyle w:val="7"/>
        <w:keepNext w:val="0"/>
        <w:keepLines w:val="0"/>
        <w:spacing w:before="0" w:after="0" w:line="360" w:lineRule="auto"/>
        <w:ind w:firstLine="420" w:firstLine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未中标人的投标保证金自中标通知书发出之日起4个工作日内退还；中标人的投标保证金自政府采购合同签订之日起4个工作日内退还。 </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18.3除逾期退还投标保证金和终止招标的情形以外，投标保证金不计息。</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18.4投标人有下列情形之一的，投标保证金将不予退还： </w:t>
      </w:r>
    </w:p>
    <w:p>
      <w:pPr>
        <w:snapToGrid w:val="0"/>
        <w:spacing w:line="360" w:lineRule="auto"/>
        <w:ind w:firstLine="411" w:firstLineChars="196"/>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（1）投标人在投标有效期内撤销投标文件的；</w:t>
      </w:r>
    </w:p>
    <w:p>
      <w:pPr>
        <w:snapToGrid w:val="0"/>
        <w:spacing w:line="360" w:lineRule="auto"/>
        <w:ind w:firstLine="411" w:firstLineChars="196"/>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（2）未按规定提交履约保证金的；</w:t>
      </w:r>
    </w:p>
    <w:p>
      <w:pPr>
        <w:snapToGrid w:val="0"/>
        <w:spacing w:line="360" w:lineRule="auto"/>
        <w:ind w:firstLine="411" w:firstLineChars="196"/>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（3）投标人在投标过程中弄虚作假，提供虚假材料的；</w:t>
      </w:r>
    </w:p>
    <w:p>
      <w:pPr>
        <w:snapToGrid w:val="0"/>
        <w:spacing w:line="360" w:lineRule="auto"/>
        <w:ind w:firstLine="411" w:firstLineChars="196"/>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（4）中标人无正当理由不与采购人签订合同的；</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（5）投标人出现本章第9.2、9.3情形的；</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（6）法律法规规定的其他情形。</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bookmarkStart w:id="112" w:name="_Toc254970542"/>
      <w:bookmarkEnd w:id="112"/>
      <w:bookmarkStart w:id="113" w:name="_Toc254970683"/>
      <w:bookmarkEnd w:id="113"/>
      <w:r>
        <w:rPr>
          <w:rFonts w:hint="eastAsia" w:asciiTheme="minorEastAsia" w:hAnsiTheme="minorEastAsia" w:eastAsiaTheme="minorEastAsia" w:cstheme="minorEastAsia"/>
          <w:color w:val="auto"/>
          <w:sz w:val="24"/>
          <w:highlight w:val="none"/>
        </w:rPr>
        <w:t>19.投标文件的编制</w:t>
      </w:r>
    </w:p>
    <w:p>
      <w:pPr>
        <w:pStyle w:val="7"/>
        <w:keepNext w:val="0"/>
        <w:keepLines w:val="0"/>
        <w:spacing w:before="0" w:after="0" w:line="360" w:lineRule="auto"/>
        <w:ind w:firstLine="315" w:firstLineChars="15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 19.1投标人应先安装“广西政府采购云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pPr>
        <w:pStyle w:val="7"/>
        <w:keepNext w:val="0"/>
        <w:keepLines w:val="0"/>
        <w:spacing w:before="0" w:after="0" w:line="360" w:lineRule="auto"/>
        <w:ind w:firstLine="315" w:firstLineChars="150"/>
        <w:rPr>
          <w:rFonts w:asciiTheme="minorEastAsia" w:hAnsiTheme="minorEastAsia" w:eastAsiaTheme="minorEastAsia" w:cstheme="minorEastAsia"/>
          <w:b w:val="0"/>
          <w:color w:val="auto"/>
          <w:sz w:val="21"/>
          <w:szCs w:val="21"/>
          <w:highlight w:val="none"/>
        </w:rPr>
      </w:pPr>
      <w:bookmarkStart w:id="114" w:name="_19.2投标文件应按报价文件、资格证明文件、商务文件、技术文件分别编制"/>
      <w:bookmarkEnd w:id="114"/>
      <w:r>
        <w:rPr>
          <w:rFonts w:hint="eastAsia" w:asciiTheme="minorEastAsia" w:hAnsiTheme="minorEastAsia" w:eastAsiaTheme="minorEastAsia" w:cstheme="minorEastAsia"/>
          <w:b w:val="0"/>
          <w:color w:val="auto"/>
          <w:sz w:val="21"/>
          <w:szCs w:val="21"/>
          <w:highlight w:val="none"/>
        </w:rPr>
        <w:t>19.2为确保网上操作合法、有效和安全，投标人应当在投标截止时间前完成在”广西政府采购云平台”的身份认证，确保在电子投标过程中能够对相关数据电文进行加密和使用电子签名。</w:t>
      </w:r>
    </w:p>
    <w:p>
      <w:pPr>
        <w:pStyle w:val="7"/>
        <w:keepNext w:val="0"/>
        <w:keepLines w:val="0"/>
        <w:spacing w:before="0" w:after="0" w:line="360" w:lineRule="auto"/>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 19.3投标文件须由投标人在规定位置签字（或者电子签名）、盖章（具体以投标人须知前附表或投标文件格式规定为准），</w:t>
      </w:r>
      <w:r>
        <w:rPr>
          <w:rFonts w:hint="eastAsia" w:asciiTheme="minorEastAsia" w:hAnsiTheme="minorEastAsia" w:eastAsiaTheme="minorEastAsia" w:cstheme="minorEastAsia"/>
          <w:bCs/>
          <w:color w:val="auto"/>
          <w:sz w:val="21"/>
          <w:szCs w:val="21"/>
          <w:highlight w:val="none"/>
        </w:rPr>
        <w:t>否则按无效投标处理</w:t>
      </w:r>
      <w:r>
        <w:rPr>
          <w:rFonts w:hint="eastAsia" w:asciiTheme="minorEastAsia" w:hAnsiTheme="minorEastAsia" w:eastAsiaTheme="minorEastAsia" w:cstheme="minorEastAsia"/>
          <w:b w:val="0"/>
          <w:color w:val="auto"/>
          <w:sz w:val="21"/>
          <w:szCs w:val="21"/>
          <w:highlight w:val="none"/>
        </w:rPr>
        <w:t>。</w:t>
      </w:r>
    </w:p>
    <w:p>
      <w:pPr>
        <w:pStyle w:val="7"/>
        <w:keepNext w:val="0"/>
        <w:keepLines w:val="0"/>
        <w:spacing w:before="0" w:after="0" w:line="360" w:lineRule="auto"/>
        <w:ind w:firstLine="315" w:firstLineChars="15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19.4投标文件中标注的投标人名称应与主体资格证明（如营业执照或者事业单位法人证书或者执业许可证或者登记证书等）及公章一致，并与“政采云”中获取招标文件的投标人名称一致，投标人为自然人的，标注的投标人名称应与身份证姓名及签名一致，</w:t>
      </w:r>
      <w:r>
        <w:rPr>
          <w:rFonts w:hint="eastAsia" w:asciiTheme="minorEastAsia" w:hAnsiTheme="minorEastAsia" w:eastAsiaTheme="minorEastAsia" w:cstheme="minorEastAsia"/>
          <w:color w:val="auto"/>
          <w:sz w:val="21"/>
          <w:szCs w:val="21"/>
          <w:highlight w:val="none"/>
        </w:rPr>
        <w:t>否则按无效投标处理</w:t>
      </w:r>
      <w:r>
        <w:rPr>
          <w:rFonts w:hint="eastAsia" w:asciiTheme="minorEastAsia" w:hAnsiTheme="minorEastAsia" w:eastAsiaTheme="minorEastAsia" w:cstheme="minorEastAsia"/>
          <w:b w:val="0"/>
          <w:color w:val="auto"/>
          <w:sz w:val="21"/>
          <w:szCs w:val="21"/>
          <w:highlight w:val="none"/>
        </w:rPr>
        <w:t>。</w:t>
      </w:r>
    </w:p>
    <w:p>
      <w:pPr>
        <w:pStyle w:val="7"/>
        <w:keepNext w:val="0"/>
        <w:keepLines w:val="0"/>
        <w:spacing w:before="0" w:after="0" w:line="360" w:lineRule="auto"/>
        <w:ind w:firstLine="315" w:firstLineChars="15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 19.5投标文件应尽量避免涂改、行间插字或者删除。如果出现上述情况，改动之处应由投标人的法定代表人或者其委托代理人签字（或者电子签名）或者加盖公章。投标文件因字迹潦草或者表达不清所引起的后果由投标人承担。</w:t>
      </w:r>
    </w:p>
    <w:p>
      <w:pPr>
        <w:spacing w:line="360" w:lineRule="auto"/>
        <w:ind w:firstLine="482"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20.电子备份投标文件</w:t>
      </w:r>
    </w:p>
    <w:p>
      <w:pPr>
        <w:spacing w:line="360" w:lineRule="auto"/>
        <w:ind w:firstLine="420"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highlight w:val="none"/>
        </w:rPr>
        <w:t>具体</w:t>
      </w:r>
      <w:r>
        <w:rPr>
          <w:rFonts w:hint="eastAsia" w:asciiTheme="minorEastAsia" w:hAnsiTheme="minorEastAsia" w:eastAsiaTheme="minorEastAsia" w:cstheme="minorEastAsia"/>
          <w:bCs/>
          <w:color w:val="auto"/>
          <w:szCs w:val="21"/>
          <w:highlight w:val="none"/>
        </w:rPr>
        <w:t>详见在“投标人须知前附表”要求。</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21.投标文件的提交</w:t>
      </w:r>
    </w:p>
    <w:p>
      <w:pPr>
        <w:spacing w:line="360" w:lineRule="auto"/>
        <w:ind w:firstLine="420" w:firstLineChars="200"/>
        <w:rPr>
          <w:rFonts w:asciiTheme="minorEastAsia" w:hAnsiTheme="minorEastAsia" w:eastAsiaTheme="minorEastAsia" w:cstheme="minorEastAsia"/>
          <w:b/>
          <w:color w:val="auto"/>
          <w:highlight w:val="none"/>
        </w:rPr>
      </w:pPr>
      <w:bookmarkStart w:id="115" w:name="_21.1投标人必须在“投标人须知中的前附表”规定的投标文件接收时间和投"/>
      <w:bookmarkEnd w:id="115"/>
      <w:r>
        <w:rPr>
          <w:rFonts w:hint="eastAsia" w:asciiTheme="minorEastAsia" w:hAnsiTheme="minorEastAsia" w:eastAsiaTheme="minorEastAsia" w:cstheme="minorEastAsia"/>
          <w:bCs/>
          <w:color w:val="auto"/>
          <w:szCs w:val="21"/>
          <w:highlight w:val="none"/>
        </w:rPr>
        <w:t>21.1投标人必须在“投标人须知前附表”规定的</w:t>
      </w:r>
      <w:r>
        <w:rPr>
          <w:rFonts w:hint="eastAsia" w:asciiTheme="minorEastAsia" w:hAnsiTheme="minorEastAsia" w:eastAsiaTheme="minorEastAsia" w:cstheme="minorEastAsia"/>
          <w:color w:val="auto"/>
          <w:szCs w:val="21"/>
          <w:highlight w:val="none"/>
        </w:rPr>
        <w:t>投标文件提交截止时间前将</w:t>
      </w:r>
      <w:r>
        <w:rPr>
          <w:rFonts w:hint="eastAsia" w:asciiTheme="minorEastAsia" w:hAnsiTheme="minorEastAsia" w:eastAsiaTheme="minorEastAsia" w:cstheme="minorEastAsia"/>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Theme="minorEastAsia" w:hAnsiTheme="minorEastAsia" w:eastAsiaTheme="minorEastAsia" w:cstheme="minorEastAsia"/>
          <w:b/>
          <w:color w:val="auto"/>
          <w:szCs w:val="21"/>
          <w:highlight w:val="none"/>
        </w:rPr>
        <w:t>”广西政府采购云平台”</w:t>
      </w:r>
      <w:r>
        <w:rPr>
          <w:rFonts w:hint="eastAsia" w:asciiTheme="minorEastAsia" w:hAnsiTheme="minorEastAsia" w:eastAsiaTheme="minorEastAsia" w:cstheme="minorEastAsia"/>
          <w:bCs/>
          <w:color w:val="auto"/>
          <w:szCs w:val="21"/>
          <w:highlight w:val="none"/>
        </w:rPr>
        <w:t xml:space="preserve">。 </w:t>
      </w:r>
    </w:p>
    <w:p>
      <w:pPr>
        <w:spacing w:line="360" w:lineRule="auto"/>
        <w:ind w:firstLine="422" w:firstLineChars="200"/>
        <w:rPr>
          <w:rFonts w:asciiTheme="minorEastAsia" w:hAnsiTheme="minorEastAsia" w:eastAsiaTheme="minorEastAsia" w:cstheme="minorEastAsia"/>
          <w:b/>
          <w:color w:val="auto"/>
          <w:szCs w:val="20"/>
          <w:highlight w:val="none"/>
        </w:rPr>
      </w:pPr>
      <w:r>
        <w:rPr>
          <w:rFonts w:hint="eastAsia" w:asciiTheme="minorEastAsia" w:hAnsiTheme="minorEastAsia" w:eastAsiaTheme="minorEastAsia" w:cstheme="minorEastAsia"/>
          <w:b/>
          <w:color w:val="auto"/>
          <w:szCs w:val="21"/>
          <w:highlight w:val="none"/>
        </w:rPr>
        <w:t>21.2未在规定时间内提交或者未按照招标文件要求加密的电子投标文件，”广西政府采购云平台”将拒收。</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22. 投标文件的补充、修改、撤回与退回</w:t>
      </w:r>
    </w:p>
    <w:p>
      <w:pPr>
        <w:snapToGrid w:val="0"/>
        <w:spacing w:line="360" w:lineRule="auto"/>
        <w:ind w:firstLine="42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22.1</w:t>
      </w:r>
      <w:r>
        <w:rPr>
          <w:rFonts w:hint="eastAsia" w:asciiTheme="minorEastAsia" w:hAnsiTheme="minorEastAsia" w:eastAsiaTheme="minorEastAsia" w:cstheme="minorEastAsia"/>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Theme="minorEastAsia" w:hAnsiTheme="minorEastAsia" w:eastAsiaTheme="minorEastAsia" w:cstheme="minorEastAsia"/>
          <w:color w:val="auto"/>
          <w:szCs w:val="21"/>
          <w:highlight w:val="none"/>
        </w:rPr>
        <w:t>（补充、修改或者撤回方式可登陆</w:t>
      </w:r>
      <w:r>
        <w:rPr>
          <w:rFonts w:hint="eastAsia" w:asciiTheme="minorEastAsia" w:hAnsiTheme="minorEastAsia" w:eastAsiaTheme="minorEastAsia" w:cstheme="minorEastAsia"/>
          <w:color w:val="auto"/>
          <w:kern w:val="0"/>
          <w:szCs w:val="21"/>
          <w:highlight w:val="none"/>
        </w:rPr>
        <w:t>”广西政府采购云平台”，</w:t>
      </w:r>
      <w:r>
        <w:rPr>
          <w:rFonts w:hint="eastAsia" w:asciiTheme="minorEastAsia" w:hAnsiTheme="minorEastAsia" w:eastAsiaTheme="minorEastAsia" w:cstheme="minorEastAsia"/>
          <w:color w:val="auto"/>
          <w:szCs w:val="21"/>
          <w:highlight w:val="none"/>
        </w:rPr>
        <w:t>依次进入“服务中心”中查看 “电子投标文件制作与投送教程”）</w:t>
      </w:r>
    </w:p>
    <w:p>
      <w:pPr>
        <w:pStyle w:val="62"/>
        <w:spacing w:before="0"/>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22.2”广西政府采购云平台”收到投标文件后向供应商发出确认回执通知。在投标截止时间前，除供应商补充、修改或者撤回投标文件外，任何单位和个人不得解密或提取投标文件。</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22.3在投标截止时间后，采购人和采购代理机构对已提交的投标文件概不退回。</w:t>
      </w:r>
    </w:p>
    <w:p>
      <w:pPr>
        <w:pStyle w:val="5"/>
        <w:keepNext w:val="0"/>
        <w:keepLines w:val="0"/>
        <w:spacing w:line="360" w:lineRule="auto"/>
        <w:jc w:val="center"/>
        <w:rPr>
          <w:rFonts w:asciiTheme="minorEastAsia" w:hAnsiTheme="minorEastAsia" w:eastAsiaTheme="minorEastAsia" w:cstheme="minorEastAsia"/>
          <w:color w:val="auto"/>
          <w:highlight w:val="none"/>
        </w:rPr>
      </w:pPr>
      <w:bookmarkStart w:id="116" w:name="_Toc254970685"/>
      <w:bookmarkEnd w:id="116"/>
      <w:bookmarkStart w:id="117" w:name="_Toc254970544"/>
      <w:bookmarkEnd w:id="117"/>
      <w:r>
        <w:rPr>
          <w:rFonts w:hint="eastAsia" w:asciiTheme="minorEastAsia" w:hAnsiTheme="minorEastAsia" w:eastAsiaTheme="minorEastAsia" w:cstheme="minorEastAsia"/>
          <w:color w:val="auto"/>
          <w:highlight w:val="none"/>
        </w:rPr>
        <w:t>四、开    标</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bookmarkStart w:id="118" w:name="_23.开标时间和地点"/>
      <w:bookmarkEnd w:id="118"/>
      <w:r>
        <w:rPr>
          <w:rFonts w:hint="eastAsia" w:asciiTheme="minorEastAsia" w:hAnsiTheme="minorEastAsia" w:eastAsiaTheme="minorEastAsia" w:cstheme="minorEastAsia"/>
          <w:color w:val="auto"/>
          <w:sz w:val="24"/>
          <w:highlight w:val="none"/>
        </w:rPr>
        <w:t>23.开标时间和地点</w:t>
      </w:r>
    </w:p>
    <w:p>
      <w:pPr>
        <w:spacing w:line="360" w:lineRule="auto"/>
        <w:ind w:firstLine="420" w:firstLineChars="200"/>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开标时间及地点详见“投标人须知前附表”</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24.开标程序</w:t>
      </w:r>
    </w:p>
    <w:p>
      <w:pPr>
        <w:pStyle w:val="9"/>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24.1提交投标文件截止时间止，投标人不足3家的，不得开标。</w:t>
      </w:r>
    </w:p>
    <w:p>
      <w:pPr>
        <w:pStyle w:val="9"/>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pPr>
        <w:pStyle w:val="9"/>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24.3开标程序</w:t>
      </w:r>
    </w:p>
    <w:p>
      <w:pPr>
        <w:pStyle w:val="9"/>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Theme="minorEastAsia" w:hAnsiTheme="minorEastAsia" w:eastAsiaTheme="minorEastAsia" w:cstheme="minorEastAsia"/>
          <w:bCs/>
          <w:color w:val="auto"/>
          <w:szCs w:val="21"/>
          <w:highlight w:val="none"/>
        </w:rPr>
        <w:t>“投标人须知前附表”</w:t>
      </w:r>
      <w:r>
        <w:rPr>
          <w:rFonts w:hint="eastAsia" w:asciiTheme="minorEastAsia" w:hAnsiTheme="minorEastAsia" w:eastAsiaTheme="minorEastAsia" w:cstheme="minorEastAsia"/>
          <w:color w:val="auto"/>
          <w:highlight w:val="none"/>
        </w:rPr>
        <w:t>规定的时间内自行进行投标文件解密。投标人的法定代表人或其委托代理人须凭加密时所用的CA锁准时登录到”广西政府采购云平台”电子开标大厅签到并对电子投标文件解密。</w:t>
      </w:r>
    </w:p>
    <w:p>
      <w:pPr>
        <w:pStyle w:val="9"/>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如招标文件规定不接受备份电子投标文件，投标人未在规定的时间内解密投标文件或者解密失败的，</w:t>
      </w:r>
      <w:r>
        <w:rPr>
          <w:rFonts w:hint="eastAsia" w:asciiTheme="minorEastAsia" w:hAnsiTheme="minorEastAsia" w:eastAsiaTheme="minorEastAsia" w:cstheme="minorEastAsia"/>
          <w:color w:val="auto"/>
          <w:szCs w:val="21"/>
          <w:highlight w:val="none"/>
        </w:rPr>
        <w:t>投标人的投标文件作无效处理</w:t>
      </w:r>
      <w:r>
        <w:rPr>
          <w:rFonts w:hint="eastAsia" w:asciiTheme="minorEastAsia" w:hAnsiTheme="minorEastAsia" w:eastAsiaTheme="minorEastAsia" w:cstheme="minorEastAsia"/>
          <w:color w:val="auto"/>
          <w:highlight w:val="none"/>
        </w:rPr>
        <w:t>；如招标文件规定接受备份电子投标文件，投标人未在规定的时间内解密投标文件或者解密失败的，采购代理机构将电子备份投标文件按“政府采购云平台”操作规范上传至“政府采购云平台”，电子备份投标文件上传成功后，投标人原上传的“电子加密投标文件”自动失效。若投标人未在规定时间内解密或者解密失败，且未提供电子备份投标文件或者提供的电子备份投标文件无效或者电子备份投标文件无法解读的，</w:t>
      </w:r>
      <w:r>
        <w:rPr>
          <w:rFonts w:hint="eastAsia" w:asciiTheme="minorEastAsia" w:hAnsiTheme="minorEastAsia" w:eastAsiaTheme="minorEastAsia" w:cstheme="minorEastAsia"/>
          <w:color w:val="auto"/>
          <w:szCs w:val="21"/>
          <w:highlight w:val="none"/>
        </w:rPr>
        <w:t>投标人的投标文件作无效处理</w:t>
      </w:r>
      <w:r>
        <w:rPr>
          <w:rFonts w:hint="eastAsia" w:asciiTheme="minorEastAsia" w:hAnsiTheme="minorEastAsia" w:eastAsiaTheme="minorEastAsia" w:cstheme="minorEastAsia"/>
          <w:color w:val="auto"/>
          <w:highlight w:val="none"/>
        </w:rPr>
        <w:t>。</w:t>
      </w:r>
    </w:p>
    <w:p>
      <w:pPr>
        <w:pStyle w:val="9"/>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（2）电子唱标。投标文件解密结束，宣布的内容均在”广西政府采购云平台”远程开标大厅展示，具体详见</w:t>
      </w:r>
      <w:r>
        <w:rPr>
          <w:rFonts w:hint="eastAsia" w:asciiTheme="minorEastAsia" w:hAnsiTheme="minorEastAsia" w:eastAsiaTheme="minorEastAsia" w:cstheme="minorEastAsia"/>
          <w:bCs/>
          <w:color w:val="auto"/>
          <w:highlight w:val="none"/>
        </w:rPr>
        <w:t>“投标人须知前附表”</w:t>
      </w:r>
      <w:r>
        <w:rPr>
          <w:rFonts w:hint="eastAsia" w:asciiTheme="minorEastAsia" w:hAnsiTheme="minorEastAsia" w:eastAsiaTheme="minorEastAsia" w:cstheme="minorEastAsia"/>
          <w:color w:val="auto"/>
          <w:highlight w:val="none"/>
        </w:rPr>
        <w:t>；</w:t>
      </w:r>
    </w:p>
    <w:p>
      <w:pPr>
        <w:pStyle w:val="9"/>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pPr>
        <w:pStyle w:val="9"/>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pPr>
        <w:pStyle w:val="9"/>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（5）开标结束。</w:t>
      </w:r>
    </w:p>
    <w:p>
      <w:pPr>
        <w:pStyle w:val="27"/>
        <w:snapToGrid w:val="0"/>
        <w:spacing w:line="360" w:lineRule="auto"/>
        <w:ind w:firstLine="420" w:firstLineChars="200"/>
        <w:rPr>
          <w:rFonts w:asciiTheme="minorEastAsia" w:hAnsiTheme="minorEastAsia" w:eastAsiaTheme="minorEastAsia" w:cstheme="minorEastAsia"/>
          <w:color w:val="auto"/>
          <w:kern w:val="2"/>
          <w:sz w:val="21"/>
          <w:szCs w:val="20"/>
          <w:highlight w:val="none"/>
        </w:rPr>
      </w:pPr>
      <w:r>
        <w:rPr>
          <w:rFonts w:hint="eastAsia" w:asciiTheme="minorEastAsia" w:hAnsiTheme="minorEastAsia" w:eastAsiaTheme="minorEastAsia" w:cstheme="minorEastAsia"/>
          <w:color w:val="auto"/>
          <w:kern w:val="2"/>
          <w:sz w:val="21"/>
          <w:szCs w:val="20"/>
          <w:highlight w:val="none"/>
        </w:rPr>
        <w:t>特别说明：如遇”广西政府采购云平台”电子化开标或评审程序调整的，按调整后执行。</w:t>
      </w:r>
    </w:p>
    <w:p>
      <w:pPr>
        <w:pStyle w:val="5"/>
        <w:keepNext w:val="0"/>
        <w:keepLines w:val="0"/>
        <w:spacing w:line="360" w:lineRule="auto"/>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五、资格审查</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25.资格审查</w:t>
      </w:r>
    </w:p>
    <w:p>
      <w:pPr>
        <w:pStyle w:val="7"/>
        <w:keepNext w:val="0"/>
        <w:keepLines w:val="0"/>
        <w:spacing w:before="0" w:after="0" w:line="360" w:lineRule="auto"/>
        <w:ind w:firstLine="315" w:firstLineChars="15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 25.1开标结束后，采购人或者采购代理机构通过电子开评标系统依据招标文件对电子投标文件进行线上资格审查。</w:t>
      </w:r>
    </w:p>
    <w:p>
      <w:pPr>
        <w:pStyle w:val="7"/>
        <w:keepNext w:val="0"/>
        <w:keepLines w:val="0"/>
        <w:spacing w:before="0" w:after="0" w:line="360" w:lineRule="auto"/>
        <w:ind w:firstLine="315" w:firstLineChars="15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 25.2资格审查标准为本招标文件中载明对投标人资格要求的条件。本项目资格审查采用合格制，凡符合招标文件规定的投标人资格要求的投标人均通过资格审查。</w:t>
      </w:r>
    </w:p>
    <w:p>
      <w:pPr>
        <w:pStyle w:val="7"/>
        <w:keepNext w:val="0"/>
        <w:keepLines w:val="0"/>
        <w:numPr>
          <w:ilvl w:val="0"/>
          <w:numId w:val="0"/>
        </w:numPr>
        <w:spacing w:before="0" w:after="0" w:line="360" w:lineRule="auto"/>
        <w:ind w:firstLine="422" w:firstLineChars="200"/>
        <w:rPr>
          <w:rFonts w:asciiTheme="minorEastAsia" w:hAnsiTheme="minorEastAsia" w:eastAsiaTheme="minorEastAsia" w:cstheme="minorEastAsia"/>
          <w:color w:val="auto"/>
          <w:sz w:val="21"/>
          <w:szCs w:val="21"/>
          <w:highlight w:val="none"/>
        </w:rPr>
      </w:pPr>
      <w:bookmarkStart w:id="119" w:name="_25.3_投标人有下列情形之一的，资格审查不通过而导致其投标无效："/>
      <w:bookmarkEnd w:id="119"/>
      <w:r>
        <w:rPr>
          <w:rFonts w:hint="eastAsia" w:asciiTheme="minorEastAsia" w:hAnsiTheme="minorEastAsia" w:eastAsiaTheme="minorEastAsia" w:cstheme="minorEastAsia"/>
          <w:color w:val="auto"/>
          <w:sz w:val="21"/>
          <w:szCs w:val="21"/>
          <w:highlight w:val="none"/>
        </w:rPr>
        <w:t>25.3 投标人有下列情形之一的，资格审查不通过，作无效投标处理：</w:t>
      </w:r>
    </w:p>
    <w:p>
      <w:pPr>
        <w:pStyle w:val="27"/>
        <w:snapToGrid w:val="0"/>
        <w:spacing w:line="360" w:lineRule="auto"/>
        <w:ind w:firstLine="422" w:firstLineChars="200"/>
        <w:rPr>
          <w:rFonts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b/>
          <w:color w:val="auto"/>
          <w:sz w:val="21"/>
          <w:highlight w:val="none"/>
        </w:rPr>
        <w:t>（1）不具备招标文件中规定的资格要求的；</w:t>
      </w:r>
    </w:p>
    <w:p>
      <w:pPr>
        <w:pStyle w:val="27"/>
        <w:snapToGrid w:val="0"/>
        <w:spacing w:line="360" w:lineRule="auto"/>
        <w:ind w:firstLine="422" w:firstLineChars="200"/>
        <w:rPr>
          <w:rFonts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b/>
          <w:color w:val="auto"/>
          <w:sz w:val="21"/>
          <w:highlight w:val="none"/>
        </w:rPr>
        <w:t>（2）在“信用中国”网站（www.creditchina.gov.cn）、中国政府采购网（www.ccgp.gov.cn）被列入失信被执行人、重大税收违法失信主体名单、政府采购严重违法失信行为记录名单及其他不符合《中华人民共和国政府采购法》第二十二条规定条件的；（注：其中信用查询规则见“投标人须知前附表”，”广西政府采购云平台”已与“信用中国”网站、中国政府采购网实现数据对接，可直接在线查询）</w:t>
      </w:r>
    </w:p>
    <w:p>
      <w:pPr>
        <w:pStyle w:val="27"/>
        <w:snapToGrid w:val="0"/>
        <w:spacing w:line="360" w:lineRule="auto"/>
        <w:ind w:firstLine="422" w:firstLineChars="200"/>
        <w:rPr>
          <w:rFonts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b/>
          <w:color w:val="auto"/>
          <w:sz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pPr>
        <w:pStyle w:val="27"/>
        <w:snapToGrid w:val="0"/>
        <w:spacing w:line="360" w:lineRule="auto"/>
        <w:ind w:firstLine="422" w:firstLineChars="200"/>
        <w:rPr>
          <w:rFonts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b/>
          <w:color w:val="auto"/>
          <w:sz w:val="21"/>
          <w:highlight w:val="none"/>
        </w:rPr>
        <w:t>（4）投标文件中的资格证明文件缺少任一项“投标人须知前附表”资格证明文件规定“必须提供”的文件资料的；</w:t>
      </w:r>
    </w:p>
    <w:p>
      <w:pPr>
        <w:pStyle w:val="27"/>
        <w:snapToGrid w:val="0"/>
        <w:spacing w:line="360" w:lineRule="auto"/>
        <w:ind w:firstLine="422" w:firstLineChars="200"/>
        <w:rPr>
          <w:rFonts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b/>
          <w:color w:val="auto"/>
          <w:sz w:val="21"/>
          <w:highlight w:val="none"/>
        </w:rPr>
        <w:t>（5）投标文件中的资格证明文件出现任一项不符合“投标人须知前附表”资格证明文件规定“必须提供”的文件资料要求或者无效的。</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color w:val="auto"/>
          <w:sz w:val="21"/>
          <w:szCs w:val="21"/>
          <w:highlight w:val="none"/>
        </w:rPr>
        <w:t>25.4合格投标人不足3家的，不得评标。</w:t>
      </w:r>
    </w:p>
    <w:p>
      <w:pPr>
        <w:pStyle w:val="5"/>
        <w:keepNext w:val="0"/>
        <w:keepLines w:val="0"/>
        <w:spacing w:line="360" w:lineRule="auto"/>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六、评   标</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bookmarkStart w:id="120" w:name="_26.组建评标委员会"/>
      <w:bookmarkEnd w:id="120"/>
      <w:r>
        <w:rPr>
          <w:rFonts w:hint="eastAsia" w:asciiTheme="minorEastAsia" w:hAnsiTheme="minorEastAsia" w:eastAsiaTheme="minorEastAsia" w:cstheme="minorEastAsia"/>
          <w:color w:val="auto"/>
          <w:sz w:val="24"/>
          <w:highlight w:val="none"/>
        </w:rPr>
        <w:t>26.组建评标委员会</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26.1评标委员会由采购人代表和评审专家组成，具体人数详见“投标人须知前附表”，其中评审专家不得少于成员总数的三分之二。</w:t>
      </w:r>
    </w:p>
    <w:p>
      <w:pPr>
        <w:pStyle w:val="27"/>
        <w:snapToGrid w:val="0"/>
        <w:spacing w:line="360" w:lineRule="auto"/>
        <w:ind w:left="2" w:leftChars="1"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26.2参加过采购项目前期咨询论证的专家，不得参加该采购项目的评审活动。</w:t>
      </w:r>
    </w:p>
    <w:p>
      <w:pPr>
        <w:pStyle w:val="27"/>
        <w:snapToGrid w:val="0"/>
        <w:spacing w:line="360" w:lineRule="auto"/>
        <w:ind w:left="2" w:leftChars="1"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26.3</w:t>
      </w:r>
      <w:r>
        <w:rPr>
          <w:rFonts w:hint="eastAsia" w:asciiTheme="minorEastAsia" w:hAnsiTheme="minorEastAsia" w:eastAsiaTheme="minorEastAsia" w:cstheme="minorEastAsia"/>
          <w:bCs/>
          <w:color w:val="auto"/>
          <w:sz w:val="21"/>
          <w:highlight w:val="none"/>
        </w:rPr>
        <w:t>采购代理机构必须基于”广西政府采购云平台”选取评审专家，如采购代理机构未按规定选取专家的，视为本次开评标无效，应当重新采购。</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27.评标的依据</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评标委员会以“第四章 评标方法和评标标准”为依据对投标文件进行评审，没有规定的方法、评审因素和标准，不作为评标依据。</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28.评标原则</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bookmarkStart w:id="121" w:name="_28.3评标方法。本项目将按须知前附表规定的评标办法进行评标，具体评标"/>
      <w:bookmarkEnd w:id="121"/>
      <w:r>
        <w:rPr>
          <w:rFonts w:hint="eastAsia" w:asciiTheme="minorEastAsia" w:hAnsiTheme="minorEastAsia" w:eastAsiaTheme="minorEastAsia" w:cstheme="minorEastAsia"/>
          <w:color w:val="auto"/>
          <w:sz w:val="21"/>
          <w:highlight w:val="none"/>
        </w:rPr>
        <w:t>28.2评委表决。评标委员会成员对需要共同认定的事项存在争议的，应当按照少数服从多数的原则作出结论。</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pPr>
        <w:pStyle w:val="27"/>
        <w:snapToGrid w:val="0"/>
        <w:spacing w:line="360" w:lineRule="auto"/>
        <w:ind w:firstLine="420" w:firstLineChars="200"/>
        <w:rPr>
          <w:rFonts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color w:val="auto"/>
          <w:sz w:val="21"/>
          <w:highlight w:val="none"/>
        </w:rPr>
        <w:t>28.4评标过程的监控。本项目电子评标过程实行网上留痕、全程录音、录像监控，</w:t>
      </w:r>
      <w:r>
        <w:rPr>
          <w:rFonts w:hint="eastAsia" w:asciiTheme="minorEastAsia" w:hAnsiTheme="minorEastAsia" w:eastAsiaTheme="minorEastAsia" w:cstheme="minorEastAsia"/>
          <w:b/>
          <w:color w:val="auto"/>
          <w:sz w:val="21"/>
          <w:highlight w:val="none"/>
        </w:rPr>
        <w:t>投标人在评标过程中所进行的试图影响评标结果的不公正活动，可能导致其投标按无效处理。</w:t>
      </w:r>
    </w:p>
    <w:p>
      <w:pPr>
        <w:spacing w:line="360" w:lineRule="auto"/>
        <w:ind w:firstLine="422" w:firstLineChars="200"/>
        <w:jc w:val="left"/>
        <w:rPr>
          <w:rFonts w:ascii="宋体" w:hAnsi="宋体" w:cs="宋体"/>
          <w:b/>
          <w:color w:val="auto"/>
          <w:szCs w:val="21"/>
          <w:highlight w:val="none"/>
        </w:rPr>
      </w:pPr>
      <w:r>
        <w:rPr>
          <w:rFonts w:hint="eastAsia" w:ascii="宋体" w:hAnsi="宋体" w:cs="宋体"/>
          <w:b/>
          <w:bCs/>
          <w:color w:val="auto"/>
          <w:highlight w:val="none"/>
        </w:rPr>
        <w:t>28.5</w:t>
      </w:r>
      <w:r>
        <w:rPr>
          <w:rFonts w:hint="eastAsia" w:ascii="宋体" w:hAnsi="宋体" w:cs="宋体"/>
          <w:b/>
          <w:color w:val="auto"/>
          <w:highlight w:val="none"/>
        </w:rPr>
        <w:t>异常低价审查</w:t>
      </w:r>
    </w:p>
    <w:p>
      <w:pPr>
        <w:spacing w:before="12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根据《关于推动解决政府采购异常低价问题的通知》（财库〔2026〕2号）的规定，本项目明确内容如下：</w:t>
      </w:r>
    </w:p>
    <w:p>
      <w:pPr>
        <w:spacing w:before="12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（一）政府采购评审中出现下列情形之一的，评审委员会应当启动异常低价投标（响应）审查程序：</w:t>
      </w:r>
    </w:p>
    <w:p>
      <w:pPr>
        <w:spacing w:before="12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1.投标（响应）报价低于全部通过符合性审查供应商投标（响应）报价平均值</w:t>
      </w:r>
      <w:r>
        <w:rPr>
          <w:rFonts w:hint="eastAsia" w:asciiTheme="minorEastAsia" w:hAnsiTheme="minorEastAsia" w:eastAsiaTheme="minorEastAsia"/>
          <w:b/>
          <w:color w:val="auto"/>
          <w:szCs w:val="21"/>
          <w:highlight w:val="none"/>
          <w:lang w:val="en-US" w:eastAsia="zh-CN"/>
        </w:rPr>
        <w:t>65</w:t>
      </w:r>
      <w:r>
        <w:rPr>
          <w:rFonts w:hint="eastAsia" w:asciiTheme="minorEastAsia" w:hAnsiTheme="minorEastAsia" w:eastAsiaTheme="minorEastAsia"/>
          <w:b/>
          <w:color w:val="auto"/>
          <w:szCs w:val="21"/>
          <w:highlight w:val="none"/>
        </w:rPr>
        <w:t>%的，即投标（响应）报价&lt;全部通过符合性审查供应商投标（响应）报价平均值×</w:t>
      </w:r>
      <w:r>
        <w:rPr>
          <w:rFonts w:hint="eastAsia" w:asciiTheme="minorEastAsia" w:hAnsiTheme="minorEastAsia" w:eastAsiaTheme="minorEastAsia"/>
          <w:b/>
          <w:color w:val="auto"/>
          <w:szCs w:val="21"/>
          <w:highlight w:val="none"/>
          <w:lang w:val="en-US" w:eastAsia="zh-CN"/>
        </w:rPr>
        <w:t>65</w:t>
      </w:r>
      <w:r>
        <w:rPr>
          <w:rFonts w:hint="eastAsia" w:asciiTheme="minorEastAsia" w:hAnsiTheme="minorEastAsia" w:eastAsiaTheme="minorEastAsia"/>
          <w:b/>
          <w:color w:val="auto"/>
          <w:szCs w:val="21"/>
          <w:highlight w:val="none"/>
        </w:rPr>
        <w:t>%；</w:t>
      </w:r>
    </w:p>
    <w:p>
      <w:pPr>
        <w:spacing w:before="12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2.投标（响应）报价低于通过符合性审查的次低报价供应商投标（响应）报价</w:t>
      </w:r>
      <w:r>
        <w:rPr>
          <w:rFonts w:hint="eastAsia" w:asciiTheme="minorEastAsia" w:hAnsiTheme="minorEastAsia" w:eastAsiaTheme="minorEastAsia"/>
          <w:b/>
          <w:color w:val="auto"/>
          <w:szCs w:val="21"/>
          <w:highlight w:val="none"/>
          <w:lang w:val="en-US" w:eastAsia="zh-CN"/>
        </w:rPr>
        <w:t>65</w:t>
      </w:r>
      <w:r>
        <w:rPr>
          <w:rFonts w:hint="eastAsia" w:asciiTheme="minorEastAsia" w:hAnsiTheme="minorEastAsia" w:eastAsiaTheme="minorEastAsia"/>
          <w:b/>
          <w:color w:val="auto"/>
          <w:szCs w:val="21"/>
          <w:highlight w:val="none"/>
        </w:rPr>
        <w:t>%的，即投标（响应）报价&lt;通过符合性审查的次低报价供应商投标（响应）报价×</w:t>
      </w:r>
      <w:r>
        <w:rPr>
          <w:rFonts w:hint="eastAsia" w:asciiTheme="minorEastAsia" w:hAnsiTheme="minorEastAsia" w:eastAsiaTheme="minorEastAsia"/>
          <w:b/>
          <w:color w:val="auto"/>
          <w:szCs w:val="21"/>
          <w:highlight w:val="none"/>
          <w:lang w:val="en-US" w:eastAsia="zh-CN"/>
        </w:rPr>
        <w:t>65</w:t>
      </w:r>
      <w:r>
        <w:rPr>
          <w:rFonts w:hint="eastAsia" w:asciiTheme="minorEastAsia" w:hAnsiTheme="minorEastAsia" w:eastAsiaTheme="minorEastAsia"/>
          <w:b/>
          <w:color w:val="auto"/>
          <w:szCs w:val="21"/>
          <w:highlight w:val="none"/>
        </w:rPr>
        <w:t>%；</w:t>
      </w:r>
    </w:p>
    <w:p>
      <w:pPr>
        <w:spacing w:before="12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3.投标（响应）报价低于采购项目最高限价</w:t>
      </w:r>
      <w:r>
        <w:rPr>
          <w:rFonts w:hint="eastAsia" w:asciiTheme="minorEastAsia" w:hAnsiTheme="minorEastAsia" w:eastAsiaTheme="minorEastAsia"/>
          <w:b/>
          <w:color w:val="auto"/>
          <w:szCs w:val="21"/>
          <w:highlight w:val="none"/>
          <w:lang w:val="en-US" w:eastAsia="zh-CN"/>
        </w:rPr>
        <w:t>65</w:t>
      </w:r>
      <w:r>
        <w:rPr>
          <w:rFonts w:hint="eastAsia" w:asciiTheme="minorEastAsia" w:hAnsiTheme="minorEastAsia" w:eastAsiaTheme="minorEastAsia"/>
          <w:b/>
          <w:color w:val="auto"/>
          <w:szCs w:val="21"/>
          <w:highlight w:val="none"/>
        </w:rPr>
        <w:t>%的，即投标（响应）报价&lt;采购项目最高限价×</w:t>
      </w:r>
      <w:r>
        <w:rPr>
          <w:rFonts w:hint="eastAsia" w:asciiTheme="minorEastAsia" w:hAnsiTheme="minorEastAsia" w:eastAsiaTheme="minorEastAsia"/>
          <w:b/>
          <w:color w:val="auto"/>
          <w:szCs w:val="21"/>
          <w:highlight w:val="none"/>
          <w:lang w:val="en-US" w:eastAsia="zh-CN"/>
        </w:rPr>
        <w:t>65</w:t>
      </w:r>
      <w:r>
        <w:rPr>
          <w:rFonts w:hint="eastAsia" w:asciiTheme="minorEastAsia" w:hAnsiTheme="minorEastAsia" w:eastAsiaTheme="minorEastAsia"/>
          <w:b/>
          <w:color w:val="auto"/>
          <w:szCs w:val="21"/>
          <w:highlight w:val="none"/>
        </w:rPr>
        <w:t>%；</w:t>
      </w:r>
    </w:p>
    <w:p>
      <w:pPr>
        <w:spacing w:before="12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4.评审委员会基于专业判断，认为供应商报价过低，有可能影响产品质量或者不能诚信履约的其他情形。</w:t>
      </w:r>
    </w:p>
    <w:p>
      <w:pPr>
        <w:spacing w:before="12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相关法律法规对供应商报价有规定的，从其规定。</w:t>
      </w:r>
    </w:p>
    <w:p>
      <w:pPr>
        <w:spacing w:before="12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spacing w:before="12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spacing w:before="12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spacing w:before="12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异常低价投标（响应）审查的启动原因、审查意见和审查结果应当在评审报告中记录，并随供应商提供的相关书面说明及证明材料，以及评审委员会有关互联网浏览、查询历史一并归档。</w:t>
      </w:r>
    </w:p>
    <w:p>
      <w:pPr>
        <w:spacing w:line="360" w:lineRule="auto"/>
        <w:ind w:firstLine="422" w:firstLineChars="200"/>
        <w:jc w:val="left"/>
        <w:rPr>
          <w:b/>
          <w:color w:val="auto"/>
          <w:szCs w:val="21"/>
          <w:highlight w:val="none"/>
        </w:rPr>
      </w:pPr>
      <w:r>
        <w:rPr>
          <w:rFonts w:hint="eastAsia" w:asciiTheme="minorEastAsia" w:hAnsiTheme="minorEastAsia" w:eastAsiaTheme="minorEastAsia"/>
          <w:b/>
          <w:color w:val="auto"/>
          <w:szCs w:val="21"/>
          <w:highlight w:val="none"/>
        </w:rPr>
        <w:t>书面证明应当按照 “第四章  评标方法及评标标准二、评标程序3.澄清补正”的规定提交。</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29.评标方法及中标候选人推荐</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29.1本项目的评标方法详见“投标人须知前附表”。</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29.2中标候选人推荐数量详见“投标人须知前附表”。</w:t>
      </w:r>
    </w:p>
    <w:p>
      <w:pPr>
        <w:spacing w:line="360" w:lineRule="auto"/>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29.3 电子交易活动的中止。采购过程中出现以下情形，导致电子交易平台无法正常运行，或者无法保证电子交易的公平、公正和安全时，采购代理机构可以中止电子交易活动：</w:t>
      </w:r>
    </w:p>
    <w:p>
      <w:pPr>
        <w:spacing w:line="360" w:lineRule="auto"/>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（1）电子交易平台发生故障而无法登录访问的； </w:t>
      </w:r>
    </w:p>
    <w:p>
      <w:pPr>
        <w:spacing w:line="360" w:lineRule="auto"/>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（2）电子交易平台应用或数据库出现错误，不能进行正常操作的；</w:t>
      </w:r>
    </w:p>
    <w:p>
      <w:pPr>
        <w:spacing w:line="360" w:lineRule="auto"/>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（3）电子交易平台发现严重安全漏洞，有潜在泄密危险的；</w:t>
      </w:r>
    </w:p>
    <w:p>
      <w:pPr>
        <w:spacing w:line="360" w:lineRule="auto"/>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（4）病毒发作导致不能进行正常操作的； </w:t>
      </w:r>
    </w:p>
    <w:p>
      <w:pPr>
        <w:spacing w:line="360" w:lineRule="auto"/>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（5）其他无法保证电子交易的公平、公正和安全的情况。</w:t>
      </w:r>
    </w:p>
    <w:p>
      <w:pPr>
        <w:spacing w:line="360" w:lineRule="auto"/>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pPr>
        <w:pStyle w:val="5"/>
        <w:keepNext w:val="0"/>
        <w:keepLines w:val="0"/>
        <w:spacing w:line="360" w:lineRule="auto"/>
        <w:jc w:val="center"/>
        <w:rPr>
          <w:rFonts w:asciiTheme="minorEastAsia" w:hAnsiTheme="minorEastAsia" w:eastAsiaTheme="minorEastAsia" w:cstheme="minorEastAsia"/>
          <w:color w:val="auto"/>
          <w:highlight w:val="none"/>
        </w:rPr>
      </w:pPr>
      <w:bookmarkStart w:id="122" w:name="_Toc254970687"/>
      <w:bookmarkEnd w:id="122"/>
      <w:bookmarkStart w:id="123" w:name="_Toc254970546"/>
      <w:bookmarkEnd w:id="123"/>
      <w:r>
        <w:rPr>
          <w:rFonts w:hint="eastAsia" w:asciiTheme="minorEastAsia" w:hAnsiTheme="minorEastAsia" w:eastAsiaTheme="minorEastAsia" w:cstheme="minorEastAsia"/>
          <w:color w:val="auto"/>
          <w:highlight w:val="none"/>
        </w:rPr>
        <w:t>七、中标和合同</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30确定中标人</w:t>
      </w:r>
    </w:p>
    <w:p>
      <w:pPr>
        <w:pStyle w:val="7"/>
        <w:keepNext w:val="0"/>
        <w:keepLines w:val="0"/>
        <w:spacing w:before="0" w:after="0" w:line="360" w:lineRule="auto"/>
        <w:ind w:firstLine="420" w:firstLine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30.2采购人在收到评标报告5个工作日内未按评标报告推荐的中标候选人顺序确定中标人，又不能说明合法理由的，视同按评标报告推荐的顺序确定排名第一的中标候选人为中标人。</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30.3出现下列情形之一的，应予废标：</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（1）符合专业条件的供应商或者对招标文件作实质响应的供应商不足三家的；</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（2）出现影响采购公正的违法、违规行为的；</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（3）投标人的报价均超过了采购预算，采购人不能支付的；</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（4）因重大变故，采购任务取消的。</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废标后，采购人应当将废标理由通知所有投标人。</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31. 结果公告</w:t>
      </w:r>
    </w:p>
    <w:p>
      <w:pPr>
        <w:pStyle w:val="7"/>
        <w:keepNext w:val="0"/>
        <w:keepLines w:val="0"/>
        <w:spacing w:before="0" w:after="0" w:line="360" w:lineRule="auto"/>
        <w:ind w:firstLine="420" w:firstLine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以上信息查询记录及相关证据与采购文件一并保存。</w:t>
      </w:r>
    </w:p>
    <w:p>
      <w:pPr>
        <w:pStyle w:val="7"/>
        <w:keepNext w:val="0"/>
        <w:keepLines w:val="0"/>
        <w:spacing w:before="0" w:after="0" w:line="360" w:lineRule="auto"/>
        <w:ind w:firstLine="420" w:firstLine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pPr>
        <w:pStyle w:val="7"/>
        <w:keepNext w:val="0"/>
        <w:keepLines w:val="0"/>
        <w:spacing w:before="0" w:after="0" w:line="360" w:lineRule="auto"/>
        <w:ind w:firstLine="420" w:firstLine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b w:val="0"/>
          <w:color w:val="auto"/>
          <w:sz w:val="21"/>
          <w:szCs w:val="21"/>
          <w:highlight w:val="none"/>
        </w:rPr>
        <w:t>31.3中标供应商享受《国务院办公厅关于在政府采购中实施本国产品标准及相关政策的通知》（国办发〔2025〕34号）规定的本国产品标准政策的，采购人、采购代理机构应当随中标结果公开中标供应商的《关于符合本国产品标准的声明函》。</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32.发出中标通知书</w:t>
      </w:r>
    </w:p>
    <w:p>
      <w:pPr>
        <w:pStyle w:val="7"/>
        <w:keepNext w:val="0"/>
        <w:keepLines w:val="0"/>
        <w:spacing w:before="0" w:after="0" w:line="360" w:lineRule="auto"/>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33. 无义务解释未中标原因</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采购代理机构无义务向未中标的投标人解释未中标原因。</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34.合同授予标准</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合同将授予被确定实质上响应招标文件要求，具备履行合同能力的中标人。</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35.履约保证金</w:t>
      </w:r>
    </w:p>
    <w:p>
      <w:pPr>
        <w:pStyle w:val="7"/>
        <w:keepNext w:val="0"/>
        <w:keepLines w:val="0"/>
        <w:spacing w:before="0" w:after="0" w:line="360" w:lineRule="auto"/>
        <w:ind w:firstLine="315" w:firstLineChars="150"/>
        <w:rPr>
          <w:rFonts w:asciiTheme="minorEastAsia" w:hAnsiTheme="minorEastAsia" w:eastAsiaTheme="minorEastAsia" w:cstheme="minorEastAsia"/>
          <w:b w:val="0"/>
          <w:color w:val="auto"/>
          <w:sz w:val="21"/>
          <w:szCs w:val="21"/>
          <w:highlight w:val="none"/>
        </w:rPr>
      </w:pPr>
      <w:bookmarkStart w:id="124" w:name="_39.1中标人须于签订合同前按本须知前附表规定的金额转账或电汇到指定账"/>
      <w:bookmarkEnd w:id="124"/>
      <w:r>
        <w:rPr>
          <w:rFonts w:hint="eastAsia" w:asciiTheme="minorEastAsia" w:hAnsiTheme="minorEastAsia" w:eastAsiaTheme="minorEastAsia" w:cstheme="minorEastAsia"/>
          <w:b w:val="0"/>
          <w:color w:val="auto"/>
          <w:sz w:val="21"/>
          <w:szCs w:val="21"/>
          <w:highlight w:val="none"/>
        </w:rPr>
        <w:t>35.1 履约保证金的金额、提交方式、退付的时间和条件详见 “投标人须知前附表”。中标人未按规定提交履约保证金的，视为拒绝与采购人签订合同。</w:t>
      </w:r>
    </w:p>
    <w:p>
      <w:pPr>
        <w:pStyle w:val="7"/>
        <w:keepNext w:val="0"/>
        <w:keepLines w:val="0"/>
        <w:spacing w:before="0" w:after="0" w:line="360" w:lineRule="auto"/>
        <w:ind w:firstLine="315" w:firstLineChars="15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color w:val="auto"/>
          <w:sz w:val="21"/>
          <w:szCs w:val="21"/>
          <w:highlight w:val="none"/>
        </w:rPr>
        <w:t>35.2在履约保证金退还日期前，若中标人的开户名称、开户银行、帐号有变动的，请以书面形式通知履约保证金收取单位，否则由此产生的后果由中标人自行承担。</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36.签订合同</w:t>
      </w:r>
    </w:p>
    <w:p>
      <w:pPr>
        <w:pStyle w:val="7"/>
        <w:keepNext w:val="0"/>
        <w:keepLines w:val="0"/>
        <w:spacing w:before="0" w:after="0" w:line="360" w:lineRule="auto"/>
        <w:ind w:firstLine="316" w:firstLineChars="150"/>
        <w:rPr>
          <w:rFonts w:asciiTheme="minorEastAsia" w:hAnsiTheme="minorEastAsia" w:eastAsiaTheme="minorEastAsia" w:cstheme="minorEastAsia"/>
          <w:b w:val="0"/>
          <w:color w:val="auto"/>
          <w:sz w:val="21"/>
          <w:szCs w:val="21"/>
          <w:highlight w:val="none"/>
        </w:rPr>
      </w:pPr>
      <w:bookmarkStart w:id="125" w:name="_40.1投标人接到中标通知书后，按须知前附表规定向采购人出示相关资格证"/>
      <w:bookmarkEnd w:id="125"/>
      <w:r>
        <w:rPr>
          <w:rFonts w:hint="eastAsia" w:asciiTheme="minorEastAsia" w:hAnsiTheme="minorEastAsia" w:eastAsiaTheme="minorEastAsia" w:cstheme="minorEastAsia"/>
          <w:color w:val="auto"/>
          <w:sz w:val="21"/>
          <w:szCs w:val="21"/>
          <w:highlight w:val="none"/>
        </w:rPr>
        <w:t>36.1签订电子采购合同：中标人领取电子中标通知书后，</w:t>
      </w:r>
      <w:r>
        <w:rPr>
          <w:rFonts w:hint="eastAsia" w:asciiTheme="minorEastAsia" w:hAnsiTheme="minorEastAsia" w:eastAsiaTheme="minorEastAsia" w:cstheme="minorEastAsia"/>
          <w:color w:val="auto"/>
          <w:kern w:val="0"/>
          <w:sz w:val="21"/>
          <w:szCs w:val="21"/>
          <w:highlight w:val="none"/>
        </w:rPr>
        <w:t>在</w:t>
      </w:r>
      <w:r>
        <w:rPr>
          <w:rFonts w:hint="eastAsia" w:asciiTheme="minorEastAsia" w:hAnsiTheme="minorEastAsia" w:eastAsiaTheme="minorEastAsia" w:cstheme="minorEastAsia"/>
          <w:color w:val="auto"/>
          <w:kern w:val="0"/>
          <w:sz w:val="21"/>
          <w:szCs w:val="21"/>
          <w:highlight w:val="none"/>
          <w:lang w:val="zh-CN"/>
        </w:rPr>
        <w:t>规定的日期、时间、地点，由法定代表人或其授权代表与采购人代表签订电子采购合同。如中标人为联合体的，由联合体成员各方法定代表人或其授权代表与采购人代表签订合同。</w:t>
      </w:r>
    </w:p>
    <w:p>
      <w:pPr>
        <w:pStyle w:val="7"/>
        <w:keepNext w:val="0"/>
        <w:keepLines w:val="0"/>
        <w:spacing w:before="0" w:after="0" w:line="360" w:lineRule="auto"/>
        <w:ind w:firstLine="315" w:firstLineChars="15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 线下签订纸质合同：投标人领取中标通知书后，按“投标人须知前附表”规定向采购人出示相关证明材料，经采购人核验合格后方可签订合同。</w:t>
      </w:r>
    </w:p>
    <w:p>
      <w:pPr>
        <w:pStyle w:val="7"/>
        <w:keepNext w:val="0"/>
        <w:keepLines w:val="0"/>
        <w:numPr>
          <w:ilvl w:val="0"/>
          <w:numId w:val="0"/>
        </w:numPr>
        <w:spacing w:before="0" w:after="0" w:line="360" w:lineRule="auto"/>
        <w:ind w:firstLine="420" w:firstLine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36.2签订合同时间：按中标通知书规定的时间与采购人签订合同。</w:t>
      </w:r>
    </w:p>
    <w:p>
      <w:pPr>
        <w:pStyle w:val="7"/>
        <w:keepNext w:val="0"/>
        <w:keepLines w:val="0"/>
        <w:spacing w:before="0" w:after="0" w:line="360" w:lineRule="auto"/>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    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36.5采购人或中标供应商不得单方面向合同另一方提出任何招标文件没有约定的条件或不合理的要求，作为签订合同的条件；也不得协商另行订立背离招标文件和合同实质性内容的协议。</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36.6如签订合同并生效后，供应商无故拒绝或延期，除按照合同条款处理外，将承担相应的法律责任。</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bookmarkStart w:id="126" w:name="_41.政府采购合同公告"/>
      <w:bookmarkEnd w:id="126"/>
      <w:r>
        <w:rPr>
          <w:rFonts w:hint="eastAsia" w:asciiTheme="minorEastAsia" w:hAnsiTheme="minorEastAsia" w:eastAsiaTheme="minorEastAsia" w:cstheme="minorEastAsia"/>
          <w:color w:val="auto"/>
          <w:sz w:val="24"/>
          <w:highlight w:val="none"/>
        </w:rPr>
        <w:t>37.政府采购合同公告</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38. 询问、质疑和投诉</w:t>
      </w:r>
    </w:p>
    <w:p>
      <w:pPr>
        <w:pStyle w:val="9"/>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pPr>
        <w:pStyle w:val="7"/>
        <w:keepNext w:val="0"/>
        <w:keepLines w:val="0"/>
        <w:spacing w:before="0" w:after="0" w:line="360" w:lineRule="auto"/>
        <w:ind w:firstLine="315" w:firstLineChars="15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（1）对可以质疑的招标文件提出质疑的，为收到招标文件之日或者招标文件公告期限届满之日；</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（2）对采购过程提出质疑的，为各采购程序环节结束之日；</w:t>
      </w:r>
    </w:p>
    <w:p>
      <w:pPr>
        <w:pStyle w:val="27"/>
        <w:snapToGrid w:val="0"/>
        <w:spacing w:line="360" w:lineRule="auto"/>
        <w:ind w:firstLine="420" w:firstLineChars="200"/>
        <w:rPr>
          <w:rFonts w:asciiTheme="minorEastAsia" w:hAnsiTheme="minorEastAsia" w:eastAsiaTheme="minorEastAsia" w:cstheme="minorEastAsia"/>
          <w:bCs/>
          <w:color w:val="auto"/>
          <w:sz w:val="21"/>
          <w:highlight w:val="none"/>
        </w:rPr>
      </w:pPr>
      <w:r>
        <w:rPr>
          <w:rFonts w:hint="eastAsia" w:asciiTheme="minorEastAsia" w:hAnsiTheme="minorEastAsia" w:eastAsiaTheme="minorEastAsia" w:cstheme="minorEastAsia"/>
          <w:color w:val="auto"/>
          <w:sz w:val="21"/>
          <w:highlight w:val="none"/>
        </w:rPr>
        <w:t>（3）对中标结果提出质疑的，为中标结果公告期限届满之日。</w:t>
      </w:r>
    </w:p>
    <w:p>
      <w:pPr>
        <w:pStyle w:val="7"/>
        <w:keepNext w:val="0"/>
        <w:keepLines w:val="0"/>
        <w:spacing w:before="0" w:after="0" w:line="360" w:lineRule="auto"/>
        <w:ind w:firstLine="315" w:firstLineChars="15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38.3</w:t>
      </w:r>
      <w:r>
        <w:rPr>
          <w:rFonts w:hint="eastAsia" w:asciiTheme="minorEastAsia" w:hAnsiTheme="minorEastAsia" w:eastAsiaTheme="minorEastAsia" w:cstheme="minorEastAsia"/>
          <w:b w:val="0"/>
          <w:bCs/>
          <w:color w:val="auto"/>
          <w:sz w:val="21"/>
          <w:highlight w:val="none"/>
        </w:rPr>
        <w:t>供应商提出质疑应当提交质疑函和必要的证明材料，针对同一采购程序环节的质疑必须在法定质疑期内一次性提出。质疑函应当包括下列内容（质疑函格式后附）：</w:t>
      </w:r>
    </w:p>
    <w:p>
      <w:pPr>
        <w:pStyle w:val="27"/>
        <w:snapToGrid w:val="0"/>
        <w:spacing w:line="360" w:lineRule="auto"/>
        <w:ind w:firstLine="420" w:firstLineChars="200"/>
        <w:rPr>
          <w:rFonts w:asciiTheme="minorEastAsia" w:hAnsiTheme="minorEastAsia" w:eastAsiaTheme="minorEastAsia" w:cstheme="minorEastAsia"/>
          <w:bCs/>
          <w:color w:val="auto"/>
          <w:sz w:val="21"/>
          <w:highlight w:val="none"/>
        </w:rPr>
      </w:pPr>
      <w:r>
        <w:rPr>
          <w:rFonts w:hint="eastAsia" w:asciiTheme="minorEastAsia" w:hAnsiTheme="minorEastAsia" w:eastAsiaTheme="minorEastAsia" w:cstheme="minorEastAsia"/>
          <w:bCs/>
          <w:color w:val="auto"/>
          <w:sz w:val="21"/>
          <w:highlight w:val="none"/>
        </w:rPr>
        <w:t>（1）供应商的姓名或者名称、地址、邮编、联系人及联系电话；</w:t>
      </w:r>
    </w:p>
    <w:p>
      <w:pPr>
        <w:pStyle w:val="27"/>
        <w:snapToGrid w:val="0"/>
        <w:spacing w:line="360" w:lineRule="auto"/>
        <w:ind w:firstLine="420" w:firstLineChars="200"/>
        <w:rPr>
          <w:rFonts w:asciiTheme="minorEastAsia" w:hAnsiTheme="minorEastAsia" w:eastAsiaTheme="minorEastAsia" w:cstheme="minorEastAsia"/>
          <w:bCs/>
          <w:color w:val="auto"/>
          <w:sz w:val="21"/>
          <w:highlight w:val="none"/>
        </w:rPr>
      </w:pPr>
      <w:r>
        <w:rPr>
          <w:rFonts w:hint="eastAsia" w:asciiTheme="minorEastAsia" w:hAnsiTheme="minorEastAsia" w:eastAsiaTheme="minorEastAsia" w:cstheme="minorEastAsia"/>
          <w:bCs/>
          <w:color w:val="auto"/>
          <w:sz w:val="21"/>
          <w:highlight w:val="none"/>
        </w:rPr>
        <w:t>（2）质疑项目的名称、编号；</w:t>
      </w:r>
    </w:p>
    <w:p>
      <w:pPr>
        <w:pStyle w:val="27"/>
        <w:snapToGrid w:val="0"/>
        <w:spacing w:line="360" w:lineRule="auto"/>
        <w:ind w:firstLine="420" w:firstLineChars="200"/>
        <w:rPr>
          <w:rFonts w:asciiTheme="minorEastAsia" w:hAnsiTheme="minorEastAsia" w:eastAsiaTheme="minorEastAsia" w:cstheme="minorEastAsia"/>
          <w:bCs/>
          <w:color w:val="auto"/>
          <w:sz w:val="21"/>
          <w:highlight w:val="none"/>
        </w:rPr>
      </w:pPr>
      <w:r>
        <w:rPr>
          <w:rFonts w:hint="eastAsia" w:asciiTheme="minorEastAsia" w:hAnsiTheme="minorEastAsia" w:eastAsiaTheme="minorEastAsia" w:cstheme="minorEastAsia"/>
          <w:bCs/>
          <w:color w:val="auto"/>
          <w:sz w:val="21"/>
          <w:highlight w:val="none"/>
        </w:rPr>
        <w:t>（3）具体、明确的质疑事项和与质疑事项相关的请求；</w:t>
      </w:r>
    </w:p>
    <w:p>
      <w:pPr>
        <w:pStyle w:val="27"/>
        <w:snapToGrid w:val="0"/>
        <w:spacing w:line="360" w:lineRule="auto"/>
        <w:ind w:firstLine="420" w:firstLineChars="200"/>
        <w:rPr>
          <w:rFonts w:asciiTheme="minorEastAsia" w:hAnsiTheme="minorEastAsia" w:eastAsiaTheme="minorEastAsia" w:cstheme="minorEastAsia"/>
          <w:bCs/>
          <w:color w:val="auto"/>
          <w:sz w:val="21"/>
          <w:highlight w:val="none"/>
        </w:rPr>
      </w:pPr>
      <w:r>
        <w:rPr>
          <w:rFonts w:hint="eastAsia" w:asciiTheme="minorEastAsia" w:hAnsiTheme="minorEastAsia" w:eastAsiaTheme="minorEastAsia" w:cstheme="minorEastAsia"/>
          <w:bCs/>
          <w:color w:val="auto"/>
          <w:sz w:val="21"/>
          <w:highlight w:val="none"/>
        </w:rPr>
        <w:t>（4）事实依据；</w:t>
      </w:r>
    </w:p>
    <w:p>
      <w:pPr>
        <w:pStyle w:val="27"/>
        <w:snapToGrid w:val="0"/>
        <w:spacing w:line="360" w:lineRule="auto"/>
        <w:ind w:firstLine="420" w:firstLineChars="200"/>
        <w:rPr>
          <w:rFonts w:asciiTheme="minorEastAsia" w:hAnsiTheme="minorEastAsia" w:eastAsiaTheme="minorEastAsia" w:cstheme="minorEastAsia"/>
          <w:bCs/>
          <w:color w:val="auto"/>
          <w:sz w:val="21"/>
          <w:highlight w:val="none"/>
        </w:rPr>
      </w:pPr>
      <w:r>
        <w:rPr>
          <w:rFonts w:hint="eastAsia" w:asciiTheme="minorEastAsia" w:hAnsiTheme="minorEastAsia" w:eastAsiaTheme="minorEastAsia" w:cstheme="minorEastAsia"/>
          <w:bCs/>
          <w:color w:val="auto"/>
          <w:sz w:val="21"/>
          <w:highlight w:val="none"/>
        </w:rPr>
        <w:t>（5）必要的法律依据；</w:t>
      </w:r>
    </w:p>
    <w:p>
      <w:pPr>
        <w:pStyle w:val="27"/>
        <w:snapToGrid w:val="0"/>
        <w:spacing w:line="360" w:lineRule="auto"/>
        <w:ind w:firstLine="420" w:firstLineChars="200"/>
        <w:rPr>
          <w:rFonts w:asciiTheme="minorEastAsia" w:hAnsiTheme="minorEastAsia" w:eastAsiaTheme="minorEastAsia" w:cstheme="minorEastAsia"/>
          <w:bCs/>
          <w:color w:val="auto"/>
          <w:sz w:val="21"/>
          <w:highlight w:val="none"/>
        </w:rPr>
      </w:pPr>
      <w:r>
        <w:rPr>
          <w:rFonts w:hint="eastAsia" w:asciiTheme="minorEastAsia" w:hAnsiTheme="minorEastAsia" w:eastAsiaTheme="minorEastAsia" w:cstheme="minorEastAsia"/>
          <w:bCs/>
          <w:color w:val="auto"/>
          <w:sz w:val="21"/>
          <w:highlight w:val="none"/>
        </w:rPr>
        <w:t>（6）提出质疑的日期。</w:t>
      </w:r>
    </w:p>
    <w:p>
      <w:pPr>
        <w:pStyle w:val="27"/>
        <w:snapToGrid w:val="0"/>
        <w:spacing w:line="360" w:lineRule="auto"/>
        <w:ind w:firstLine="420" w:firstLineChars="200"/>
        <w:rPr>
          <w:rFonts w:asciiTheme="minorEastAsia" w:hAnsiTheme="minorEastAsia" w:eastAsiaTheme="minorEastAsia" w:cstheme="minorEastAsia"/>
          <w:bCs/>
          <w:color w:val="auto"/>
          <w:sz w:val="21"/>
          <w:highlight w:val="none"/>
        </w:rPr>
      </w:pPr>
      <w:r>
        <w:rPr>
          <w:rFonts w:hint="eastAsia" w:asciiTheme="minorEastAsia" w:hAnsiTheme="minorEastAsia" w:eastAsiaTheme="minorEastAsia" w:cstheme="minorEastAsia"/>
          <w:bCs/>
          <w:color w:val="auto"/>
          <w:sz w:val="21"/>
          <w:highlight w:val="none"/>
        </w:rPr>
        <w:t>供应商为自然人的，应当由本人签字；供应商为法人或者其他组织的，应当由法定代表人、主要负责人，或者其委托代理人签字或者盖章，并加盖公章。</w:t>
      </w:r>
    </w:p>
    <w:p>
      <w:pPr>
        <w:pStyle w:val="7"/>
        <w:keepNext w:val="0"/>
        <w:keepLines w:val="0"/>
        <w:snapToGrid w:val="0"/>
        <w:spacing w:before="0" w:after="0" w:line="360" w:lineRule="auto"/>
        <w:ind w:firstLine="420" w:firstLineChars="200"/>
        <w:rPr>
          <w:rFonts w:asciiTheme="minorEastAsia" w:hAnsiTheme="minorEastAsia" w:eastAsiaTheme="minorEastAsia" w:cstheme="minorEastAsia"/>
          <w:b w:val="0"/>
          <w:bCs/>
          <w:color w:val="auto"/>
          <w:sz w:val="21"/>
          <w:szCs w:val="21"/>
          <w:highlight w:val="none"/>
        </w:rPr>
      </w:pPr>
      <w:r>
        <w:rPr>
          <w:rFonts w:hint="eastAsia" w:asciiTheme="minorEastAsia" w:hAnsiTheme="minorEastAsia" w:eastAsiaTheme="minorEastAsia" w:cstheme="minorEastAsia"/>
          <w:b w:val="0"/>
          <w:color w:val="auto"/>
          <w:sz w:val="21"/>
          <w:szCs w:val="21"/>
          <w:highlight w:val="none"/>
        </w:rPr>
        <w:t>3</w:t>
      </w:r>
      <w:r>
        <w:rPr>
          <w:rFonts w:hint="eastAsia" w:asciiTheme="minorEastAsia" w:hAnsiTheme="minorEastAsia" w:eastAsiaTheme="minorEastAsia" w:cstheme="minorEastAsia"/>
          <w:b w:val="0"/>
          <w:bCs/>
          <w:color w:val="auto"/>
          <w:sz w:val="21"/>
          <w:szCs w:val="21"/>
          <w:highlight w:val="none"/>
        </w:rPr>
        <w:t>8.4采购人、采购代理机构认为供应商质疑不成立，或者成立但未对中标结果构成影响的，继续开展采购活动；认为供应商质疑成立且影响或者可能影响中标结果的，按照下列情况处理：</w:t>
      </w:r>
    </w:p>
    <w:p>
      <w:pPr>
        <w:pStyle w:val="7"/>
        <w:keepNext w:val="0"/>
        <w:keepLines w:val="0"/>
        <w:snapToGrid w:val="0"/>
        <w:spacing w:before="0" w:after="0" w:line="360" w:lineRule="auto"/>
        <w:ind w:firstLine="420" w:firstLineChars="200"/>
        <w:rPr>
          <w:rFonts w:asciiTheme="minorEastAsia" w:hAnsiTheme="minorEastAsia" w:eastAsiaTheme="minorEastAsia" w:cstheme="minorEastAsia"/>
          <w:b w:val="0"/>
          <w:bCs/>
          <w:color w:val="auto"/>
          <w:sz w:val="21"/>
          <w:szCs w:val="21"/>
          <w:highlight w:val="none"/>
        </w:rPr>
      </w:pPr>
      <w:r>
        <w:rPr>
          <w:rFonts w:hint="eastAsia" w:asciiTheme="minorEastAsia" w:hAnsiTheme="minorEastAsia" w:eastAsiaTheme="minorEastAsia" w:cstheme="minorEastAsia"/>
          <w:b w:val="0"/>
          <w:bCs/>
          <w:color w:val="auto"/>
          <w:sz w:val="21"/>
          <w:highlight w:val="none"/>
        </w:rPr>
        <w:t>（一）对招标文件提出的质疑，依法通过澄清或者修改可以继续开展采购活动的，澄清或者修改招标文件后继续开展采购活动；否则应当修改招标文件后重新开展采购活动。</w:t>
      </w:r>
    </w:p>
    <w:p>
      <w:pPr>
        <w:pStyle w:val="7"/>
        <w:keepNext w:val="0"/>
        <w:keepLines w:val="0"/>
        <w:snapToGrid w:val="0"/>
        <w:spacing w:before="0" w:after="0" w:line="360" w:lineRule="auto"/>
        <w:ind w:firstLine="420" w:firstLineChars="200"/>
        <w:rPr>
          <w:rFonts w:asciiTheme="minorEastAsia" w:hAnsiTheme="minorEastAsia" w:eastAsiaTheme="minorEastAsia" w:cstheme="minorEastAsia"/>
          <w:b w:val="0"/>
          <w:bCs/>
          <w:color w:val="auto"/>
          <w:sz w:val="21"/>
          <w:szCs w:val="21"/>
          <w:highlight w:val="none"/>
        </w:rPr>
      </w:pPr>
      <w:r>
        <w:rPr>
          <w:rFonts w:hint="eastAsia" w:asciiTheme="minorEastAsia" w:hAnsiTheme="minorEastAsia" w:eastAsiaTheme="minorEastAsia" w:cstheme="minorEastAsia"/>
          <w:b w:val="0"/>
          <w:bCs/>
          <w:color w:val="auto"/>
          <w:sz w:val="21"/>
          <w:highlight w:val="none"/>
        </w:rPr>
        <w:t>（二）对采购过程、中标结果提出的质疑，合格供应商符合法定数量时，可以从合格的中标候选人中另行确定中标供应商的，应当依法另行确定中标供应商；否则应当重新开展采购活动。</w:t>
      </w:r>
    </w:p>
    <w:p>
      <w:pPr>
        <w:pStyle w:val="27"/>
        <w:snapToGrid w:val="0"/>
        <w:spacing w:line="360" w:lineRule="auto"/>
        <w:ind w:firstLine="420"/>
        <w:rPr>
          <w:rFonts w:asciiTheme="minorEastAsia" w:hAnsiTheme="minorEastAsia" w:eastAsiaTheme="minorEastAsia" w:cstheme="minorEastAsia"/>
          <w:bCs/>
          <w:color w:val="auto"/>
          <w:sz w:val="21"/>
          <w:highlight w:val="none"/>
        </w:rPr>
      </w:pPr>
      <w:r>
        <w:rPr>
          <w:rFonts w:hint="eastAsia" w:asciiTheme="minorEastAsia" w:hAnsiTheme="minorEastAsia" w:eastAsiaTheme="minorEastAsia" w:cstheme="minorEastAsia"/>
          <w:bCs/>
          <w:color w:val="auto"/>
          <w:sz w:val="21"/>
          <w:highlight w:val="none"/>
        </w:rPr>
        <w:t>质疑答复导致中标结果改变的，采购人或者采购代理机构应当将有关情况书面报告本级财政部门。</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pPr>
        <w:pStyle w:val="5"/>
        <w:keepNext w:val="0"/>
        <w:keepLines w:val="0"/>
        <w:spacing w:line="360" w:lineRule="auto"/>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八、其他事项</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bookmarkStart w:id="127" w:name="_42.代理服务费"/>
      <w:bookmarkEnd w:id="127"/>
      <w:r>
        <w:rPr>
          <w:rFonts w:hint="eastAsia" w:asciiTheme="minorEastAsia" w:hAnsiTheme="minorEastAsia" w:eastAsiaTheme="minorEastAsia" w:cstheme="minorEastAsia"/>
          <w:color w:val="auto"/>
          <w:sz w:val="24"/>
          <w:highlight w:val="none"/>
        </w:rPr>
        <w:t>39.代理服务费</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39.1代理服务收取标准及缴费账户详见“投标人须知前附表”，投标人为联合体的，可以由联合体中的一方或者多方共同交纳代理服务费。</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39.2代理服务收费标准：</w:t>
      </w:r>
    </w:p>
    <w:tbl>
      <w:tblPr>
        <w:tblStyle w:val="52"/>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Borders>
              <w:tl2br w:val="single" w:color="auto" w:sz="4" w:space="0"/>
            </w:tcBorders>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费率</w:t>
            </w:r>
          </w:p>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中标金额</w:t>
            </w:r>
          </w:p>
        </w:tc>
        <w:tc>
          <w:tcPr>
            <w:tcW w:w="1659" w:type="dxa"/>
            <w:vAlign w:val="center"/>
          </w:tcPr>
          <w:p>
            <w:pPr>
              <w:spacing w:line="360" w:lineRule="auto"/>
              <w:ind w:firstLine="105" w:firstLineChars="50"/>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货物招标</w:t>
            </w:r>
          </w:p>
        </w:tc>
        <w:tc>
          <w:tcPr>
            <w:tcW w:w="1687" w:type="dxa"/>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服务招标</w:t>
            </w:r>
          </w:p>
        </w:tc>
        <w:tc>
          <w:tcPr>
            <w:tcW w:w="1659" w:type="dxa"/>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100万元以下</w:t>
            </w:r>
          </w:p>
        </w:tc>
        <w:tc>
          <w:tcPr>
            <w:tcW w:w="1659"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1.5% </w:t>
            </w:r>
          </w:p>
        </w:tc>
        <w:tc>
          <w:tcPr>
            <w:tcW w:w="1687"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1.5%</w:t>
            </w:r>
          </w:p>
        </w:tc>
        <w:tc>
          <w:tcPr>
            <w:tcW w:w="1659"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100～500万元</w:t>
            </w:r>
          </w:p>
        </w:tc>
        <w:tc>
          <w:tcPr>
            <w:tcW w:w="1659"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1.1% </w:t>
            </w:r>
          </w:p>
        </w:tc>
        <w:tc>
          <w:tcPr>
            <w:tcW w:w="1687"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0.8%</w:t>
            </w:r>
          </w:p>
        </w:tc>
        <w:tc>
          <w:tcPr>
            <w:tcW w:w="1659"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500～1000万元</w:t>
            </w:r>
          </w:p>
        </w:tc>
        <w:tc>
          <w:tcPr>
            <w:tcW w:w="1659"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0.8% </w:t>
            </w:r>
          </w:p>
        </w:tc>
        <w:tc>
          <w:tcPr>
            <w:tcW w:w="1687"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0.45%</w:t>
            </w:r>
          </w:p>
        </w:tc>
        <w:tc>
          <w:tcPr>
            <w:tcW w:w="1659"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1000～5000万元</w:t>
            </w:r>
          </w:p>
        </w:tc>
        <w:tc>
          <w:tcPr>
            <w:tcW w:w="1659"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0.5% </w:t>
            </w:r>
          </w:p>
        </w:tc>
        <w:tc>
          <w:tcPr>
            <w:tcW w:w="1687"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0.25%</w:t>
            </w:r>
          </w:p>
        </w:tc>
        <w:tc>
          <w:tcPr>
            <w:tcW w:w="1659"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5000万元～1亿元</w:t>
            </w:r>
          </w:p>
        </w:tc>
        <w:tc>
          <w:tcPr>
            <w:tcW w:w="1659"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 xml:space="preserve">0.25% </w:t>
            </w:r>
          </w:p>
        </w:tc>
        <w:tc>
          <w:tcPr>
            <w:tcW w:w="1687"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0.1%</w:t>
            </w:r>
          </w:p>
        </w:tc>
        <w:tc>
          <w:tcPr>
            <w:tcW w:w="1659"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1～5亿元</w:t>
            </w:r>
          </w:p>
        </w:tc>
        <w:tc>
          <w:tcPr>
            <w:tcW w:w="1659"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0.05%</w:t>
            </w:r>
          </w:p>
        </w:tc>
        <w:tc>
          <w:tcPr>
            <w:tcW w:w="1687"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0.05%</w:t>
            </w:r>
          </w:p>
        </w:tc>
        <w:tc>
          <w:tcPr>
            <w:tcW w:w="1659"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5～10亿元</w:t>
            </w:r>
          </w:p>
        </w:tc>
        <w:tc>
          <w:tcPr>
            <w:tcW w:w="1659" w:type="dxa"/>
          </w:tcPr>
          <w:p>
            <w:pPr>
              <w:spacing w:line="360" w:lineRule="auto"/>
              <w:ind w:firstLine="105" w:firstLineChars="5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0.035%</w:t>
            </w:r>
          </w:p>
        </w:tc>
        <w:tc>
          <w:tcPr>
            <w:tcW w:w="1687"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0.035%</w:t>
            </w:r>
          </w:p>
        </w:tc>
        <w:tc>
          <w:tcPr>
            <w:tcW w:w="1659" w:type="dxa"/>
          </w:tcPr>
          <w:p>
            <w:pPr>
              <w:spacing w:line="360" w:lineRule="auto"/>
              <w:ind w:firstLine="105" w:firstLineChars="5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10～50亿元</w:t>
            </w:r>
          </w:p>
        </w:tc>
        <w:tc>
          <w:tcPr>
            <w:tcW w:w="1659" w:type="dxa"/>
          </w:tcPr>
          <w:p>
            <w:pPr>
              <w:spacing w:line="360" w:lineRule="auto"/>
              <w:ind w:firstLine="105" w:firstLineChars="5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c>
          <w:tcPr>
            <w:tcW w:w="1687"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c>
          <w:tcPr>
            <w:tcW w:w="1659" w:type="dxa"/>
          </w:tcPr>
          <w:p>
            <w:pPr>
              <w:spacing w:line="360" w:lineRule="auto"/>
              <w:ind w:firstLine="105" w:firstLineChars="5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50～100亿元</w:t>
            </w:r>
          </w:p>
        </w:tc>
        <w:tc>
          <w:tcPr>
            <w:tcW w:w="1659"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0.006%</w:t>
            </w:r>
          </w:p>
        </w:tc>
        <w:tc>
          <w:tcPr>
            <w:tcW w:w="1687"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0.006%</w:t>
            </w:r>
          </w:p>
        </w:tc>
        <w:tc>
          <w:tcPr>
            <w:tcW w:w="1659" w:type="dxa"/>
          </w:tcPr>
          <w:p>
            <w:pPr>
              <w:spacing w:line="360" w:lineRule="auto"/>
              <w:ind w:firstLine="105" w:firstLineChars="5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472"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100亿以上</w:t>
            </w:r>
          </w:p>
        </w:tc>
        <w:tc>
          <w:tcPr>
            <w:tcW w:w="1659" w:type="dxa"/>
          </w:tcPr>
          <w:p>
            <w:pPr>
              <w:spacing w:line="36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0.004%</w:t>
            </w:r>
          </w:p>
        </w:tc>
        <w:tc>
          <w:tcPr>
            <w:tcW w:w="1687" w:type="dxa"/>
          </w:tcPr>
          <w:p>
            <w:pPr>
              <w:spacing w:line="360" w:lineRule="auto"/>
              <w:ind w:firstLine="210" w:firstLineChars="1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0.004%</w:t>
            </w:r>
          </w:p>
        </w:tc>
        <w:tc>
          <w:tcPr>
            <w:tcW w:w="1659" w:type="dxa"/>
          </w:tcPr>
          <w:p>
            <w:pPr>
              <w:spacing w:line="360" w:lineRule="auto"/>
              <w:ind w:firstLine="105" w:firstLineChars="5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0.004%</w:t>
            </w:r>
          </w:p>
        </w:tc>
      </w:tr>
    </w:tbl>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（1）按本表费率计算的收费为采购代理的收费基准价格；</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（2）采购代理收费按差额定率累进法计算。</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例如：某货物采购代理业务中标金额或者暂定价为200万元，计算采购代理收费额如下：</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 万元×l.5 ％＝ 1.5 万元</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200 － 100 ）万元 ×1.1％＝1.1万元</w:t>
      </w:r>
    </w:p>
    <w:p>
      <w:pPr>
        <w:pStyle w:val="27"/>
        <w:snapToGrid w:val="0"/>
        <w:spacing w:before="120" w:after="120"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合计收费＝（1.5+1.1）*0.8＝ 2.08 （万元）</w:t>
      </w:r>
    </w:p>
    <w:p>
      <w:pPr>
        <w:pStyle w:val="7"/>
        <w:keepNext w:val="0"/>
        <w:keepLines w:val="0"/>
        <w:spacing w:before="0" w:after="0" w:line="360" w:lineRule="auto"/>
        <w:ind w:left="420" w:left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40. 需要补充的其他内容</w:t>
      </w:r>
    </w:p>
    <w:p>
      <w:pPr>
        <w:pStyle w:val="27"/>
        <w:spacing w:before="120" w:after="120" w:line="360" w:lineRule="auto"/>
        <w:ind w:firstLine="420" w:firstLineChars="200"/>
        <w:contextualSpacing/>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40.1本招标文件解释规则详见“投标人须知前附表”。</w:t>
      </w:r>
    </w:p>
    <w:p>
      <w:pPr>
        <w:pStyle w:val="27"/>
        <w:spacing w:before="120" w:after="120" w:line="360" w:lineRule="auto"/>
        <w:ind w:firstLine="420" w:firstLineChars="200"/>
        <w:contextualSpacing/>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40.2 其他事项详见“投标人须知前附表”。</w:t>
      </w:r>
    </w:p>
    <w:p>
      <w:pPr>
        <w:pStyle w:val="27"/>
        <w:spacing w:before="120" w:after="120" w:line="360" w:lineRule="auto"/>
        <w:ind w:firstLine="420" w:firstLineChars="200"/>
        <w:contextualSpacing/>
        <w:rPr>
          <w:rFonts w:asciiTheme="minorEastAsia" w:hAnsiTheme="minorEastAsia" w:eastAsiaTheme="minorEastAsia" w:cstheme="minorEastAsia"/>
          <w:color w:val="auto"/>
          <w:sz w:val="21"/>
          <w:highlight w:val="none"/>
        </w:rPr>
      </w:pPr>
      <w:bookmarkStart w:id="128" w:name="_Hlk65857140"/>
      <w:r>
        <w:rPr>
          <w:rFonts w:hint="eastAsia" w:asciiTheme="minorEastAsia" w:hAnsiTheme="minorEastAsia" w:eastAsiaTheme="minorEastAsia" w:cstheme="minorEastAsia"/>
          <w:color w:val="auto"/>
          <w:sz w:val="21"/>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pPr>
        <w:pStyle w:val="27"/>
        <w:spacing w:before="120" w:after="120" w:line="360" w:lineRule="auto"/>
        <w:ind w:firstLine="420" w:firstLineChars="200"/>
        <w:contextualSpacing/>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（1）在货物采购项目中，货物由中小企业制造，即货物由中小企业生产且使用该中小企业商号或者注册商标，不对其中涉及的工程承建商和服务的承接商作出要求；</w:t>
      </w:r>
    </w:p>
    <w:p>
      <w:pPr>
        <w:pStyle w:val="27"/>
        <w:spacing w:before="120" w:after="120" w:line="360" w:lineRule="auto"/>
        <w:ind w:firstLine="420" w:firstLineChars="200"/>
        <w:contextualSpacing/>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（2）在工程采购项目中，工程由中小企业承建，即工程施工单位为中小企业，不对其中涉及的货物的制造商和服务的承接商作出要求；</w:t>
      </w:r>
    </w:p>
    <w:p>
      <w:pPr>
        <w:pStyle w:val="27"/>
        <w:spacing w:before="120" w:after="120" w:line="360" w:lineRule="auto"/>
        <w:ind w:firstLine="420" w:firstLineChars="200"/>
        <w:contextualSpacing/>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pPr>
        <w:pStyle w:val="27"/>
        <w:spacing w:before="120" w:after="120" w:line="360" w:lineRule="auto"/>
        <w:ind w:firstLine="420" w:firstLineChars="200"/>
        <w:contextualSpacing/>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bookmarkEnd w:id="128"/>
    <w:p>
      <w:pPr>
        <w:pStyle w:val="27"/>
        <w:spacing w:before="120" w:after="120" w:line="360" w:lineRule="auto"/>
        <w:ind w:firstLine="420" w:firstLineChars="200"/>
        <w:contextualSpacing/>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依据本招标文件规定享受扶持政策获得政府采购合同的，小微企业不得将合同分包给大中型企业，中型企业不得将合同分包给大型企业。</w:t>
      </w:r>
    </w:p>
    <w:p>
      <w:pPr>
        <w:pStyle w:val="2"/>
        <w:spacing w:line="360" w:lineRule="auto"/>
        <w:ind w:left="479" w:leftChars="114" w:hanging="240" w:hangingChars="100"/>
        <w:rPr>
          <w:rFonts w:asciiTheme="minorEastAsia" w:hAnsiTheme="minorEastAsia" w:eastAsiaTheme="minorEastAsia" w:cstheme="minorEastAsia"/>
          <w:color w:val="auto"/>
          <w:highlight w:val="none"/>
        </w:rPr>
      </w:pPr>
    </w:p>
    <w:p>
      <w:pPr>
        <w:pStyle w:val="27"/>
        <w:snapToGrid w:val="0"/>
        <w:spacing w:before="120" w:after="120" w:line="360" w:lineRule="auto"/>
        <w:ind w:firstLine="420"/>
        <w:rPr>
          <w:rFonts w:asciiTheme="minorEastAsia" w:hAnsiTheme="minorEastAsia" w:eastAsiaTheme="minorEastAsia" w:cstheme="minorEastAsia"/>
          <w:color w:val="auto"/>
          <w:highlight w:val="none"/>
        </w:rPr>
      </w:pPr>
    </w:p>
    <w:p>
      <w:pPr>
        <w:pStyle w:val="27"/>
        <w:snapToGrid w:val="0"/>
        <w:spacing w:before="120" w:after="120" w:line="360" w:lineRule="auto"/>
        <w:ind w:firstLine="420"/>
        <w:rPr>
          <w:rFonts w:asciiTheme="minorEastAsia" w:hAnsiTheme="minorEastAsia" w:eastAsiaTheme="minorEastAsia" w:cstheme="minorEastAsia"/>
          <w:color w:val="auto"/>
          <w:highlight w:val="none"/>
        </w:rPr>
      </w:pPr>
    </w:p>
    <w:p>
      <w:pPr>
        <w:pStyle w:val="27"/>
        <w:snapToGrid w:val="0"/>
        <w:spacing w:before="120" w:after="120" w:line="360" w:lineRule="auto"/>
        <w:ind w:firstLine="420"/>
        <w:rPr>
          <w:rFonts w:asciiTheme="minorEastAsia" w:hAnsiTheme="minorEastAsia" w:eastAsiaTheme="minorEastAsia" w:cstheme="minorEastAsia"/>
          <w:color w:val="auto"/>
          <w:highlight w:val="none"/>
        </w:rPr>
      </w:pPr>
    </w:p>
    <w:p>
      <w:pPr>
        <w:pStyle w:val="27"/>
        <w:snapToGrid w:val="0"/>
        <w:spacing w:before="120" w:after="120" w:line="360" w:lineRule="auto"/>
        <w:ind w:firstLine="420"/>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pStyle w:val="3"/>
        <w:spacing w:line="360" w:lineRule="auto"/>
        <w:jc w:val="center"/>
        <w:rPr>
          <w:rFonts w:asciiTheme="minorEastAsia" w:hAnsiTheme="minorEastAsia" w:eastAsiaTheme="minorEastAsia" w:cstheme="minorEastAsia"/>
          <w:color w:val="auto"/>
          <w:highlight w:val="none"/>
        </w:rPr>
      </w:pPr>
      <w:bookmarkStart w:id="129" w:name="_Toc8328"/>
      <w:r>
        <w:rPr>
          <w:rFonts w:hint="eastAsia" w:asciiTheme="minorEastAsia" w:hAnsiTheme="minorEastAsia" w:eastAsiaTheme="minorEastAsia" w:cstheme="minorEastAsia"/>
          <w:color w:val="auto"/>
          <w:highlight w:val="none"/>
        </w:rPr>
        <w:t>第四章  评标方法及评标标准</w:t>
      </w:r>
      <w:bookmarkEnd w:id="129"/>
    </w:p>
    <w:p>
      <w:pPr>
        <w:pStyle w:val="27"/>
        <w:spacing w:before="120" w:after="120" w:line="360" w:lineRule="auto"/>
        <w:ind w:firstLine="422"/>
        <w:rPr>
          <w:rFonts w:asciiTheme="minorEastAsia" w:hAnsiTheme="minorEastAsia" w:eastAsiaTheme="minorEastAsia" w:cstheme="minorEastAsia"/>
          <w:b/>
          <w:color w:val="auto"/>
          <w:highlight w:val="none"/>
        </w:rPr>
      </w:pPr>
    </w:p>
    <w:p>
      <w:pPr>
        <w:pStyle w:val="27"/>
        <w:spacing w:before="120" w:after="120" w:line="360" w:lineRule="auto"/>
        <w:ind w:firstLine="640"/>
        <w:rPr>
          <w:rFonts w:asciiTheme="minorEastAsia" w:hAnsiTheme="minorEastAsia" w:eastAsiaTheme="minorEastAsia" w:cstheme="minorEastAsia"/>
          <w:bCs/>
          <w:color w:val="auto"/>
          <w:sz w:val="32"/>
          <w:szCs w:val="32"/>
          <w:highlight w:val="none"/>
        </w:rPr>
      </w:pPr>
    </w:p>
    <w:p>
      <w:pPr>
        <w:pStyle w:val="27"/>
        <w:spacing w:before="120" w:after="120" w:line="360" w:lineRule="auto"/>
        <w:ind w:firstLine="640"/>
        <w:rPr>
          <w:rFonts w:asciiTheme="minorEastAsia" w:hAnsiTheme="minorEastAsia" w:eastAsiaTheme="minorEastAsia" w:cstheme="minorEastAsia"/>
          <w:bCs/>
          <w:color w:val="auto"/>
          <w:sz w:val="32"/>
          <w:szCs w:val="32"/>
          <w:highlight w:val="none"/>
        </w:rPr>
      </w:pPr>
    </w:p>
    <w:p>
      <w:pPr>
        <w:pStyle w:val="27"/>
        <w:spacing w:before="120" w:after="120" w:line="360" w:lineRule="auto"/>
        <w:ind w:firstLine="640"/>
        <w:rPr>
          <w:rFonts w:asciiTheme="minorEastAsia" w:hAnsiTheme="minorEastAsia" w:eastAsiaTheme="minorEastAsia" w:cstheme="minorEastAsia"/>
          <w:bCs/>
          <w:color w:val="auto"/>
          <w:sz w:val="32"/>
          <w:szCs w:val="32"/>
          <w:highlight w:val="none"/>
        </w:rPr>
      </w:pPr>
    </w:p>
    <w:p>
      <w:pPr>
        <w:spacing w:beforeLines="50" w:afterLines="50" w:line="360" w:lineRule="auto"/>
        <w:rPr>
          <w:rFonts w:asciiTheme="minorEastAsia" w:hAnsiTheme="minorEastAsia" w:eastAsiaTheme="minorEastAsia" w:cstheme="minorEastAsia"/>
          <w:b/>
          <w:color w:val="auto"/>
          <w:sz w:val="24"/>
          <w:highlight w:val="none"/>
        </w:rPr>
      </w:pPr>
    </w:p>
    <w:p>
      <w:pPr>
        <w:spacing w:beforeLines="50" w:afterLines="50" w:line="360" w:lineRule="auto"/>
        <w:rPr>
          <w:rFonts w:asciiTheme="minorEastAsia" w:hAnsiTheme="minorEastAsia" w:eastAsiaTheme="minorEastAsia" w:cstheme="minorEastAsia"/>
          <w:b/>
          <w:color w:val="auto"/>
          <w:sz w:val="24"/>
          <w:highlight w:val="none"/>
        </w:rPr>
      </w:pPr>
    </w:p>
    <w:p>
      <w:pPr>
        <w:spacing w:beforeLines="50" w:afterLines="50" w:line="360" w:lineRule="auto"/>
        <w:rPr>
          <w:rFonts w:asciiTheme="minorEastAsia" w:hAnsiTheme="minorEastAsia" w:eastAsiaTheme="minorEastAsia" w:cstheme="minorEastAsia"/>
          <w:b/>
          <w:color w:val="auto"/>
          <w:sz w:val="24"/>
          <w:highlight w:val="none"/>
        </w:rPr>
      </w:pPr>
    </w:p>
    <w:p>
      <w:pPr>
        <w:spacing w:beforeLines="50" w:afterLines="50" w:line="360" w:lineRule="auto"/>
        <w:rPr>
          <w:rFonts w:asciiTheme="minorEastAsia" w:hAnsiTheme="minorEastAsia" w:eastAsiaTheme="minorEastAsia" w:cstheme="minorEastAsia"/>
          <w:b/>
          <w:color w:val="auto"/>
          <w:sz w:val="24"/>
          <w:highlight w:val="none"/>
        </w:rPr>
      </w:pPr>
    </w:p>
    <w:p>
      <w:pPr>
        <w:pStyle w:val="27"/>
        <w:spacing w:line="360" w:lineRule="auto"/>
        <w:ind w:firstLine="482"/>
        <w:rPr>
          <w:rFonts w:asciiTheme="minorEastAsia" w:hAnsiTheme="minorEastAsia" w:eastAsiaTheme="minorEastAsia" w:cstheme="minorEastAsia"/>
          <w:b/>
          <w:color w:val="auto"/>
          <w:sz w:val="24"/>
          <w:highlight w:val="none"/>
        </w:rPr>
      </w:pPr>
    </w:p>
    <w:p>
      <w:pPr>
        <w:pStyle w:val="4"/>
        <w:keepNext w:val="0"/>
        <w:keepLines w:val="0"/>
        <w:spacing w:line="360" w:lineRule="auto"/>
        <w:jc w:val="center"/>
        <w:rPr>
          <w:rFonts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30"/>
          <w:szCs w:val="30"/>
          <w:highlight w:val="none"/>
        </w:rPr>
        <w:br w:type="page"/>
      </w:r>
      <w:bookmarkStart w:id="130" w:name="_Toc13091"/>
      <w:bookmarkStart w:id="131" w:name="_Toc1111"/>
      <w:bookmarkStart w:id="132" w:name="_Toc513"/>
      <w:bookmarkStart w:id="133" w:name="_Toc11367"/>
      <w:r>
        <w:rPr>
          <w:rFonts w:hint="eastAsia" w:asciiTheme="minorEastAsia" w:hAnsiTheme="minorEastAsia" w:eastAsiaTheme="minorEastAsia" w:cstheme="minorEastAsia"/>
          <w:color w:val="auto"/>
          <w:sz w:val="30"/>
          <w:szCs w:val="30"/>
          <w:highlight w:val="none"/>
        </w:rPr>
        <w:t>一、评标方法</w:t>
      </w:r>
      <w:bookmarkEnd w:id="130"/>
      <w:bookmarkEnd w:id="131"/>
      <w:bookmarkEnd w:id="132"/>
      <w:bookmarkEnd w:id="133"/>
    </w:p>
    <w:p>
      <w:pPr>
        <w:pStyle w:val="27"/>
        <w:spacing w:line="360" w:lineRule="auto"/>
        <w:ind w:firstLine="42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综合评分法，是指投标文件满足招标文件全部实质性要求，且按照评审因素的量化指标评审得分最高的投标人为中标候选人的评标方法。</w:t>
      </w:r>
    </w:p>
    <w:p>
      <w:pPr>
        <w:pStyle w:val="4"/>
        <w:keepNext w:val="0"/>
        <w:keepLines w:val="0"/>
        <w:spacing w:line="360" w:lineRule="auto"/>
        <w:jc w:val="center"/>
        <w:rPr>
          <w:rFonts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30"/>
          <w:szCs w:val="30"/>
          <w:highlight w:val="none"/>
        </w:rPr>
        <w:br w:type="page"/>
      </w:r>
      <w:bookmarkStart w:id="134" w:name="_Toc29806"/>
      <w:bookmarkStart w:id="135" w:name="_Toc24516"/>
      <w:bookmarkStart w:id="136" w:name="_Toc30926"/>
      <w:bookmarkStart w:id="137" w:name="_Toc21980"/>
      <w:r>
        <w:rPr>
          <w:rFonts w:hint="eastAsia" w:asciiTheme="minorEastAsia" w:hAnsiTheme="minorEastAsia" w:eastAsiaTheme="minorEastAsia" w:cstheme="minorEastAsia"/>
          <w:color w:val="auto"/>
          <w:sz w:val="30"/>
          <w:szCs w:val="30"/>
          <w:highlight w:val="none"/>
        </w:rPr>
        <w:t>二、评标程序</w:t>
      </w:r>
      <w:bookmarkEnd w:id="134"/>
      <w:bookmarkEnd w:id="135"/>
      <w:bookmarkEnd w:id="136"/>
      <w:bookmarkEnd w:id="137"/>
    </w:p>
    <w:p>
      <w:pPr>
        <w:pStyle w:val="7"/>
        <w:keepNext w:val="0"/>
        <w:keepLines w:val="0"/>
        <w:spacing w:before="0" w:after="0" w:line="360" w:lineRule="auto"/>
        <w:ind w:left="420" w:left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1.符合性审查</w:t>
      </w:r>
    </w:p>
    <w:p>
      <w:pPr>
        <w:pStyle w:val="27"/>
        <w:snapToGrid w:val="0"/>
        <w:spacing w:line="360" w:lineRule="auto"/>
        <w:ind w:left="1" w:firstLine="422"/>
        <w:rPr>
          <w:rFonts w:asciiTheme="minorEastAsia" w:hAnsiTheme="minorEastAsia" w:eastAsiaTheme="minorEastAsia" w:cstheme="minorEastAsia"/>
          <w:b/>
          <w:color w:val="auto"/>
          <w:kern w:val="2"/>
          <w:sz w:val="21"/>
          <w:highlight w:val="none"/>
        </w:rPr>
      </w:pPr>
      <w:r>
        <w:rPr>
          <w:rFonts w:hint="eastAsia" w:asciiTheme="minorEastAsia" w:hAnsiTheme="minorEastAsia" w:eastAsiaTheme="minorEastAsia" w:cstheme="minorEastAsia"/>
          <w:b/>
          <w:color w:val="auto"/>
          <w:kern w:val="2"/>
          <w:sz w:val="21"/>
          <w:highlight w:val="none"/>
        </w:rPr>
        <w:t>评标委员会应当对符合资格的投标人的投标文件进行投标报价、商务、技术等实质性内容符合性审查，以确定其是否满足招标文件的实质性要求。</w:t>
      </w:r>
    </w:p>
    <w:p>
      <w:pPr>
        <w:pStyle w:val="7"/>
        <w:keepNext w:val="0"/>
        <w:keepLines w:val="0"/>
        <w:spacing w:before="0" w:after="0" w:line="360" w:lineRule="auto"/>
        <w:ind w:left="420" w:left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2.符合性审查不通过而导致投标无效的情形</w:t>
      </w:r>
    </w:p>
    <w:p>
      <w:p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投标人的投标文件中存在对招标文件的任何实质性要求和条件的负偏离，将被视为投标无效。</w:t>
      </w:r>
    </w:p>
    <w:p>
      <w:pPr>
        <w:pStyle w:val="7"/>
        <w:keepNext w:val="0"/>
        <w:keepLines w:val="0"/>
        <w:spacing w:before="0" w:after="0" w:line="360" w:lineRule="auto"/>
        <w:ind w:left="420" w:left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2.1在报价评审时，如发现下列情形之一的，将被视为投标无效：</w:t>
      </w:r>
    </w:p>
    <w:p>
      <w:pPr>
        <w:pStyle w:val="9"/>
        <w:numPr>
          <w:ilvl w:val="0"/>
          <w:numId w:val="2"/>
        </w:numPr>
        <w:spacing w:line="360" w:lineRule="auto"/>
        <w:ind w:firstLine="422"/>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pacing w:val="-6"/>
          <w:szCs w:val="21"/>
          <w:highlight w:val="none"/>
        </w:rPr>
        <w:t>报价文件</w:t>
      </w:r>
      <w:r>
        <w:rPr>
          <w:rFonts w:hint="eastAsia" w:asciiTheme="minorEastAsia" w:hAnsiTheme="minorEastAsia" w:eastAsiaTheme="minorEastAsia" w:cstheme="minorEastAsia"/>
          <w:b/>
          <w:color w:val="auto"/>
          <w:szCs w:val="21"/>
          <w:highlight w:val="none"/>
        </w:rPr>
        <w:t>未提供“投标人须知前附表”第13.1条规定中“必须提供”的文件资料的；</w:t>
      </w:r>
    </w:p>
    <w:p>
      <w:pPr>
        <w:pStyle w:val="9"/>
        <w:numPr>
          <w:ilvl w:val="0"/>
          <w:numId w:val="2"/>
        </w:numPr>
        <w:spacing w:line="360" w:lineRule="auto"/>
        <w:ind w:firstLine="422"/>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未采用人民币报价或者未按照招标文件标明的币种报价的；</w:t>
      </w:r>
    </w:p>
    <w:p>
      <w:pPr>
        <w:pStyle w:val="9"/>
        <w:numPr>
          <w:ilvl w:val="0"/>
          <w:numId w:val="2"/>
        </w:numPr>
        <w:spacing w:line="360" w:lineRule="auto"/>
        <w:ind w:firstLine="422"/>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各分标报价超出招标文件相应分标规定最高限价，或者超出相应分标采购预算金额的；</w:t>
      </w:r>
    </w:p>
    <w:p>
      <w:pPr>
        <w:pStyle w:val="9"/>
        <w:numPr>
          <w:ilvl w:val="0"/>
          <w:numId w:val="2"/>
        </w:numPr>
        <w:spacing w:line="360" w:lineRule="auto"/>
        <w:ind w:firstLine="422"/>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pPr>
        <w:pStyle w:val="9"/>
        <w:numPr>
          <w:ilvl w:val="0"/>
          <w:numId w:val="2"/>
        </w:numPr>
        <w:spacing w:line="360" w:lineRule="auto"/>
        <w:ind w:firstLine="422"/>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修正后的报价，投标人不确认的；</w:t>
      </w:r>
    </w:p>
    <w:p>
      <w:pPr>
        <w:pStyle w:val="9"/>
        <w:numPr>
          <w:ilvl w:val="0"/>
          <w:numId w:val="2"/>
        </w:numPr>
        <w:spacing w:line="360" w:lineRule="auto"/>
        <w:ind w:firstLine="422"/>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投标人属于本章第5.1条（2）或者第5.2条（2）项情形的；</w:t>
      </w:r>
    </w:p>
    <w:p>
      <w:pPr>
        <w:pStyle w:val="9"/>
        <w:numPr>
          <w:ilvl w:val="0"/>
          <w:numId w:val="2"/>
        </w:numPr>
        <w:spacing w:line="360" w:lineRule="auto"/>
        <w:ind w:firstLine="422"/>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pacing w:val="-6"/>
          <w:szCs w:val="21"/>
          <w:highlight w:val="none"/>
        </w:rPr>
        <w:t>报价文件</w:t>
      </w:r>
      <w:r>
        <w:rPr>
          <w:rFonts w:hint="eastAsia" w:asciiTheme="minorEastAsia" w:hAnsiTheme="minorEastAsia" w:eastAsiaTheme="minorEastAsia" w:cstheme="minorEastAsia"/>
          <w:b/>
          <w:color w:val="auto"/>
          <w:szCs w:val="21"/>
          <w:highlight w:val="none"/>
        </w:rPr>
        <w:t>响应的标的数量及单位与招标文件要求实质性不一致的。</w:t>
      </w:r>
    </w:p>
    <w:p>
      <w:pPr>
        <w:pStyle w:val="7"/>
        <w:keepNext w:val="0"/>
        <w:keepLines w:val="0"/>
        <w:spacing w:before="0" w:after="0" w:line="360" w:lineRule="auto"/>
        <w:ind w:left="420" w:left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2.2在商务评审时，如发现下列情形之一的，将被视为投标无效：</w:t>
      </w:r>
    </w:p>
    <w:p>
      <w:pPr>
        <w:numPr>
          <w:ilvl w:val="0"/>
          <w:numId w:val="3"/>
        </w:num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投标文件未按招标文件要求签署、盖章的；</w:t>
      </w:r>
    </w:p>
    <w:p>
      <w:pPr>
        <w:numPr>
          <w:ilvl w:val="0"/>
          <w:numId w:val="3"/>
        </w:num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委托代理人未能出具有效身份证或者出具的身份证与授权委托书中的信息不符的；</w:t>
      </w:r>
    </w:p>
    <w:p>
      <w:pPr>
        <w:numPr>
          <w:ilvl w:val="0"/>
          <w:numId w:val="3"/>
        </w:num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为无效投标保证金的或者未按照招标文件的规定提交投标保证金的；</w:t>
      </w:r>
    </w:p>
    <w:p>
      <w:pPr>
        <w:numPr>
          <w:ilvl w:val="0"/>
          <w:numId w:val="3"/>
        </w:num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投标文件未提供“投标人须知前附表”第13.1条规定中“必须提供”或者“委托时必须提供”的文件资料的；</w:t>
      </w:r>
    </w:p>
    <w:p>
      <w:pPr>
        <w:numPr>
          <w:ilvl w:val="0"/>
          <w:numId w:val="3"/>
        </w:num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商务要求评审允许负偏离的条款数超过“投标人须知前附表”规定项数的；</w:t>
      </w:r>
    </w:p>
    <w:p>
      <w:pPr>
        <w:numPr>
          <w:ilvl w:val="0"/>
          <w:numId w:val="3"/>
        </w:num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投标文件的实质性内容未使用中文表述、使用计量单位不符合招标文件要求的；</w:t>
      </w:r>
    </w:p>
    <w:p>
      <w:pPr>
        <w:numPr>
          <w:ilvl w:val="0"/>
          <w:numId w:val="3"/>
        </w:num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投标文件中的文件资料因填写不齐全或者内容虚假或者出现其他情形而导致被评标委员会认定无效的；</w:t>
      </w:r>
    </w:p>
    <w:p>
      <w:pPr>
        <w:numPr>
          <w:ilvl w:val="0"/>
          <w:numId w:val="3"/>
        </w:num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投标文件含有采购人不能接受的附加条件的；</w:t>
      </w:r>
    </w:p>
    <w:p>
      <w:pPr>
        <w:numPr>
          <w:ilvl w:val="0"/>
          <w:numId w:val="3"/>
        </w:num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属于投标人须知正文第9.2条情形的；</w:t>
      </w:r>
    </w:p>
    <w:p>
      <w:pPr>
        <w:numPr>
          <w:ilvl w:val="0"/>
          <w:numId w:val="3"/>
        </w:num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投标文件标注的项目名称或者项目编号与招标文件标注的项目名称或者项目编号不一致的；</w:t>
      </w:r>
    </w:p>
    <w:p>
      <w:pPr>
        <w:numPr>
          <w:ilvl w:val="0"/>
          <w:numId w:val="3"/>
        </w:num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招标文件明确不允许分包，投标文件拟分包的；</w:t>
      </w:r>
    </w:p>
    <w:p>
      <w:pPr>
        <w:numPr>
          <w:ilvl w:val="0"/>
          <w:numId w:val="3"/>
        </w:num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未响应招标文件实质性要求的；</w:t>
      </w:r>
    </w:p>
    <w:p>
      <w:pPr>
        <w:numPr>
          <w:ilvl w:val="0"/>
          <w:numId w:val="3"/>
        </w:numPr>
        <w:snapToGrid w:val="0"/>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法律、法规和招标文件规定的其他无效情形。</w:t>
      </w:r>
    </w:p>
    <w:p>
      <w:pPr>
        <w:pStyle w:val="7"/>
        <w:keepNext w:val="0"/>
        <w:keepLines w:val="0"/>
        <w:spacing w:before="0" w:after="0" w:line="360" w:lineRule="auto"/>
        <w:ind w:left="420" w:left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2.3在技术评审时，如发现下列情形之一的，将被视为投标无效：</w:t>
      </w:r>
    </w:p>
    <w:p>
      <w:pPr>
        <w:pStyle w:val="20"/>
        <w:snapToGrid w:val="0"/>
        <w:spacing w:line="360" w:lineRule="auto"/>
        <w:ind w:firstLine="413" w:firstLineChars="196"/>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（1）技术要求评审允许负偏离的条款数超过“投标人须知前附表”规定项数的；</w:t>
      </w:r>
    </w:p>
    <w:p>
      <w:pPr>
        <w:pStyle w:val="20"/>
        <w:snapToGrid w:val="0"/>
        <w:spacing w:line="360" w:lineRule="auto"/>
        <w:ind w:firstLine="413" w:firstLineChars="196"/>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（2）投标文件未提供“投标人须知前附表”第13.1条规定中“必须提供”的文件资料的；</w:t>
      </w:r>
    </w:p>
    <w:p>
      <w:pPr>
        <w:pStyle w:val="20"/>
        <w:snapToGrid w:val="0"/>
        <w:spacing w:line="360" w:lineRule="auto"/>
        <w:ind w:firstLine="413" w:firstLineChars="196"/>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（3）虚假投标，或者出现其他情形而导致被评标委员会认定无效的；</w:t>
      </w:r>
    </w:p>
    <w:p>
      <w:pPr>
        <w:pStyle w:val="20"/>
        <w:snapToGrid w:val="0"/>
        <w:spacing w:line="360" w:lineRule="auto"/>
        <w:ind w:firstLine="413" w:firstLineChars="196"/>
        <w:rPr>
          <w:rFonts w:asciiTheme="minorEastAsia" w:hAnsiTheme="minorEastAsia" w:eastAsiaTheme="minorEastAsia" w:cstheme="minorEastAsia"/>
          <w:b/>
          <w:color w:val="auto"/>
          <w:kern w:val="2"/>
          <w:sz w:val="21"/>
          <w:szCs w:val="21"/>
          <w:highlight w:val="none"/>
        </w:rPr>
      </w:pPr>
      <w:bookmarkStart w:id="138" w:name="_Hlk71706244"/>
      <w:bookmarkEnd w:id="138"/>
      <w:r>
        <w:rPr>
          <w:rFonts w:hint="eastAsia" w:asciiTheme="minorEastAsia" w:hAnsiTheme="minorEastAsia" w:eastAsiaTheme="minorEastAsia" w:cstheme="minorEastAsia"/>
          <w:b/>
          <w:color w:val="auto"/>
          <w:kern w:val="2"/>
          <w:sz w:val="21"/>
          <w:szCs w:val="21"/>
          <w:highlight w:val="none"/>
        </w:rPr>
        <w:t>（4）招标文件未载明允许提供备选（替代）投标方案或明确不允许提供备选（替代）投标方案时，投标人提供了备选（替代）投标方案的；</w:t>
      </w:r>
    </w:p>
    <w:p>
      <w:pPr>
        <w:pStyle w:val="20"/>
        <w:snapToGrid w:val="0"/>
        <w:spacing w:line="360" w:lineRule="auto"/>
        <w:ind w:firstLine="413" w:firstLineChars="196"/>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（5）未响应招标文件实质性要求的。</w:t>
      </w:r>
    </w:p>
    <w:p>
      <w:pPr>
        <w:pStyle w:val="7"/>
        <w:keepNext w:val="0"/>
        <w:keepLines w:val="0"/>
        <w:spacing w:before="0" w:after="0" w:line="360" w:lineRule="auto"/>
        <w:ind w:left="420" w:left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3.澄清补正</w:t>
      </w:r>
    </w:p>
    <w:p>
      <w:pPr>
        <w:spacing w:line="360" w:lineRule="auto"/>
        <w:ind w:firstLine="420"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未按评标委员会的要求作出明确澄清、说明或者更正的投标人的投标文件将按照有利于采购人的原则由评标委员会进行判定。</w:t>
      </w:r>
    </w:p>
    <w:p>
      <w:pPr>
        <w:pStyle w:val="7"/>
        <w:keepNext w:val="0"/>
        <w:keepLines w:val="0"/>
        <w:spacing w:before="0" w:after="0" w:line="360" w:lineRule="auto"/>
        <w:ind w:left="420" w:left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4.投标文件修正</w:t>
      </w:r>
    </w:p>
    <w:p>
      <w:pPr>
        <w:pStyle w:val="7"/>
        <w:keepNext w:val="0"/>
        <w:keepLines w:val="0"/>
        <w:spacing w:before="0" w:after="0" w:line="360" w:lineRule="auto"/>
        <w:ind w:left="420" w:leftChars="200"/>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4.1投标文件报价出现前后不一致的，按照下列规定修正： </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（1）投标文件中开标一览表（报价表）内容与投标文件中相应内容不一致的，以开标一览表（报价表）为准；</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（2）大写金额和小写金额不一致的，以大写金额为准；</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（3）单价金额小数点或者百分比有明显错位的，以开标一览表的总价为准，并修改单价；</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（4）总价金额与按单价汇总金额不一致的，以单价金额计算结果为准。</w:t>
      </w:r>
    </w:p>
    <w:p>
      <w:pPr>
        <w:pStyle w:val="27"/>
        <w:snapToGrid w:val="0"/>
        <w:spacing w:line="360" w:lineRule="auto"/>
        <w:ind w:firstLine="420" w:firstLineChars="200"/>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同时出现两种以上不一致的，按照以上（1）-（4）规定的顺序修正。修正后的报价经投标人确认后产生约束力，投标人不确认的，</w:t>
      </w:r>
      <w:r>
        <w:rPr>
          <w:rFonts w:hint="eastAsia" w:asciiTheme="minorEastAsia" w:hAnsiTheme="minorEastAsia" w:eastAsiaTheme="minorEastAsia" w:cstheme="minorEastAsia"/>
          <w:b/>
          <w:color w:val="auto"/>
          <w:kern w:val="2"/>
          <w:sz w:val="21"/>
          <w:highlight w:val="none"/>
        </w:rPr>
        <w:t>其投标无效</w:t>
      </w:r>
      <w:r>
        <w:rPr>
          <w:rFonts w:hint="eastAsia" w:asciiTheme="minorEastAsia" w:hAnsiTheme="minorEastAsia" w:eastAsiaTheme="minorEastAsia" w:cstheme="minorEastAsia"/>
          <w:color w:val="auto"/>
          <w:sz w:val="21"/>
          <w:highlight w:val="none"/>
        </w:rPr>
        <w:t>。</w:t>
      </w:r>
    </w:p>
    <w:p>
      <w:pPr>
        <w:pStyle w:val="7"/>
        <w:keepNext w:val="0"/>
        <w:keepLines w:val="0"/>
        <w:spacing w:before="0" w:after="0" w:line="360" w:lineRule="auto"/>
        <w:rPr>
          <w:rFonts w:asciiTheme="minorEastAsia" w:hAnsiTheme="minorEastAsia" w:eastAsiaTheme="minorEastAsia" w:cstheme="minorEastAsia"/>
          <w:b w:val="0"/>
          <w:color w:val="auto"/>
          <w:sz w:val="21"/>
          <w:szCs w:val="21"/>
          <w:highlight w:val="none"/>
        </w:rPr>
      </w:pPr>
      <w:r>
        <w:rPr>
          <w:rFonts w:hint="eastAsia" w:asciiTheme="minorEastAsia" w:hAnsiTheme="minorEastAsia" w:eastAsiaTheme="minorEastAsia" w:cstheme="minorEastAsia"/>
          <w:b w:val="0"/>
          <w:color w:val="auto"/>
          <w:sz w:val="21"/>
          <w:szCs w:val="21"/>
          <w:highlight w:val="none"/>
        </w:rPr>
        <w:t xml:space="preserve">    4.2经投标人确认修正后的报价若超过采购预算金额或者最高限价，</w:t>
      </w:r>
      <w:r>
        <w:rPr>
          <w:rFonts w:hint="eastAsia" w:asciiTheme="minorEastAsia" w:hAnsiTheme="minorEastAsia" w:eastAsiaTheme="minorEastAsia" w:cstheme="minorEastAsia"/>
          <w:color w:val="auto"/>
          <w:sz w:val="21"/>
          <w:szCs w:val="21"/>
          <w:highlight w:val="none"/>
        </w:rPr>
        <w:t>投标人的投标文件作无效投标处理</w:t>
      </w:r>
      <w:r>
        <w:rPr>
          <w:rFonts w:hint="eastAsia" w:asciiTheme="minorEastAsia" w:hAnsiTheme="minorEastAsia" w:eastAsiaTheme="minorEastAsia" w:cstheme="minorEastAsia"/>
          <w:b w:val="0"/>
          <w:color w:val="auto"/>
          <w:sz w:val="21"/>
          <w:szCs w:val="21"/>
          <w:highlight w:val="none"/>
        </w:rPr>
        <w:t>。</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4.3经投标人确认修正后的报价作为签订合同的依据，并以此报价计算价格分。</w:t>
      </w:r>
    </w:p>
    <w:p>
      <w:pPr>
        <w:pStyle w:val="7"/>
        <w:keepNext w:val="0"/>
        <w:keepLines w:val="0"/>
        <w:spacing w:before="0" w:after="0" w:line="360" w:lineRule="auto"/>
        <w:ind w:left="420" w:leftChars="20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5.比较与评价</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5.1采用综合评分法的</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（1）评标委员会按照招标文件中规定的评标方法及评标标准，对符合性审查合格的投标文件进行商务和技术评估，综合比较与评价。</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（2）评标委员会独立对每个投标人的投标文件进行评价，并汇总每个投标人的得分。</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（3）评标委员会按照招标文件中规定的评标方法和标准计算各投标人的报价得分。在计算过程中，不得去掉最高报价或者最低报价。</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（4）各投标人的得分为所有评委的有效评分的算术平均数。</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（5）评标委员会按照招标文件中的规定推荐中标候选人。</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pPr>
        <w:snapToGrid w:val="0"/>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5.2采用</w:t>
      </w:r>
      <w:r>
        <w:rPr>
          <w:rFonts w:hint="eastAsia" w:asciiTheme="minorEastAsia" w:hAnsiTheme="minorEastAsia" w:eastAsiaTheme="minorEastAsia" w:cstheme="minorEastAsia"/>
          <w:color w:val="auto"/>
          <w:highlight w:val="none"/>
        </w:rPr>
        <w:t>最低评标价法</w:t>
      </w:r>
      <w:r>
        <w:rPr>
          <w:rFonts w:hint="eastAsia" w:asciiTheme="minorEastAsia" w:hAnsiTheme="minorEastAsia" w:eastAsiaTheme="minorEastAsia" w:cstheme="minorEastAsia"/>
          <w:color w:val="auto"/>
          <w:szCs w:val="21"/>
          <w:highlight w:val="none"/>
        </w:rPr>
        <w:t>的</w:t>
      </w:r>
    </w:p>
    <w:p>
      <w:pPr>
        <w:snapToGrid w:val="0"/>
        <w:spacing w:line="360" w:lineRule="auto"/>
        <w:ind w:firstLine="424" w:firstLineChars="202"/>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（1）评标委员会按照招标文件中规定的评标方法及评标标准，对符合性审查合格的投标文件报价进行比较。</w:t>
      </w:r>
    </w:p>
    <w:p>
      <w:pPr>
        <w:snapToGrid w:val="0"/>
        <w:spacing w:line="360" w:lineRule="auto"/>
        <w:ind w:firstLine="399" w:firstLineChars="202"/>
        <w:jc w:val="left"/>
        <w:rPr>
          <w:rFonts w:asciiTheme="minorEastAsia" w:hAnsiTheme="minorEastAsia" w:eastAsiaTheme="minorEastAsia" w:cstheme="minorEastAsia"/>
          <w:color w:val="auto"/>
          <w:spacing w:val="-6"/>
          <w:szCs w:val="21"/>
          <w:highlight w:val="none"/>
        </w:rPr>
      </w:pPr>
      <w:r>
        <w:rPr>
          <w:rFonts w:hint="eastAsia" w:asciiTheme="minorEastAsia" w:hAnsiTheme="minorEastAsia" w:eastAsiaTheme="minorEastAsia" w:cstheme="minorEastAsia"/>
          <w:color w:val="auto"/>
          <w:spacing w:val="-6"/>
          <w:szCs w:val="21"/>
          <w:highlight w:val="none"/>
        </w:rPr>
        <w:t>（2）评标委员会认为投标人的报价明显低于其他通过符合性审查投标人的报价，有可能影响产品质量或者不能诚信履约的，应当要求其在评标现场合理的时间内提供书面说明，必要时提交相关证明材料；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Theme="minorEastAsia" w:hAnsiTheme="minorEastAsia" w:eastAsiaTheme="minorEastAsia" w:cstheme="minorEastAsia"/>
          <w:b/>
          <w:color w:val="auto"/>
          <w:spacing w:val="-6"/>
          <w:szCs w:val="21"/>
          <w:highlight w:val="none"/>
        </w:rPr>
        <w:t>投标人不能证明其报价合理性的，评标委员会将其作为无效投标处理</w:t>
      </w:r>
      <w:r>
        <w:rPr>
          <w:rFonts w:hint="eastAsia" w:asciiTheme="minorEastAsia" w:hAnsiTheme="minorEastAsia" w:eastAsiaTheme="minorEastAsia" w:cstheme="minorEastAsia"/>
          <w:color w:val="auto"/>
          <w:spacing w:val="-6"/>
          <w:szCs w:val="21"/>
          <w:highlight w:val="none"/>
        </w:rPr>
        <w:t>。</w:t>
      </w:r>
    </w:p>
    <w:p>
      <w:pPr>
        <w:snapToGrid w:val="0"/>
        <w:spacing w:line="360" w:lineRule="auto"/>
        <w:ind w:firstLine="424" w:firstLineChars="202"/>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（3）评标委员会按照招标文件中的规定推荐中标候选人。</w:t>
      </w:r>
    </w:p>
    <w:p>
      <w:pPr>
        <w:snapToGrid w:val="0"/>
        <w:spacing w:line="360" w:lineRule="auto"/>
        <w:ind w:firstLine="424" w:firstLineChars="202"/>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pPr>
        <w:snapToGrid w:val="0"/>
        <w:spacing w:line="360" w:lineRule="auto"/>
        <w:jc w:val="center"/>
        <w:outlineLvl w:val="1"/>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bookmarkStart w:id="139" w:name="_Toc21993"/>
      <w:bookmarkStart w:id="140" w:name="_Toc30725"/>
      <w:bookmarkStart w:id="141" w:name="_Toc11061"/>
      <w:bookmarkStart w:id="142" w:name="_Toc7685"/>
      <w:r>
        <w:rPr>
          <w:rFonts w:hint="eastAsia" w:asciiTheme="minorEastAsia" w:hAnsiTheme="minorEastAsia" w:eastAsiaTheme="minorEastAsia" w:cstheme="minorEastAsia"/>
          <w:b/>
          <w:bCs/>
          <w:color w:val="auto"/>
          <w:sz w:val="32"/>
          <w:szCs w:val="32"/>
          <w:highlight w:val="none"/>
        </w:rPr>
        <w:t>三、评标标准</w:t>
      </w:r>
      <w:bookmarkEnd w:id="139"/>
      <w:bookmarkEnd w:id="140"/>
      <w:bookmarkEnd w:id="141"/>
      <w:bookmarkEnd w:id="142"/>
    </w:p>
    <w:p>
      <w:pPr>
        <w:spacing w:line="360" w:lineRule="auto"/>
        <w:jc w:val="left"/>
        <w:outlineLvl w:val="2"/>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highlight w:val="none"/>
        </w:rPr>
        <w:t>1分标：综合评分法</w:t>
      </w:r>
    </w:p>
    <w:tbl>
      <w:tblPr>
        <w:tblStyle w:val="52"/>
        <w:tblW w:w="951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048"/>
        <w:gridCol w:w="1329"/>
        <w:gridCol w:w="6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611"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序号</w:t>
            </w:r>
          </w:p>
        </w:tc>
        <w:tc>
          <w:tcPr>
            <w:tcW w:w="1329"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评分因素</w:t>
            </w:r>
          </w:p>
        </w:tc>
        <w:tc>
          <w:tcPr>
            <w:tcW w:w="6570"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w:t>
            </w:r>
          </w:p>
        </w:tc>
        <w:tc>
          <w:tcPr>
            <w:tcW w:w="1048"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价格分</w:t>
            </w:r>
          </w:p>
          <w:p>
            <w:pPr>
              <w:adjustRightInd w:val="0"/>
              <w:spacing w:line="360" w:lineRule="auto"/>
              <w:jc w:val="center"/>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（30分）</w:t>
            </w:r>
          </w:p>
        </w:tc>
        <w:tc>
          <w:tcPr>
            <w:tcW w:w="1329"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投标报价（满分30分）</w:t>
            </w:r>
          </w:p>
        </w:tc>
        <w:tc>
          <w:tcPr>
            <w:tcW w:w="6570"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uto"/>
              <w:ind w:firstLine="420" w:firstLineChars="20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（1）评标报价为投标人的投标报价进行政策性扣除后的价格，评标报价只是作为评标时使用。最终中标人的中标金额等于投标报价。</w:t>
            </w:r>
          </w:p>
          <w:p>
            <w:pPr>
              <w:snapToGrid w:val="0"/>
              <w:spacing w:line="360" w:lineRule="auto"/>
              <w:ind w:firstLine="420" w:firstLineChars="20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（2）政策性扣除计算方法。</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根据《政府采购促进中小企业发展管理办法》（财库〔2020〕46号）及</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Cs/>
                <w:color w:val="auto"/>
                <w:szCs w:val="21"/>
                <w:highlight w:val="none"/>
              </w:rPr>
              <w:t>广西壮族自治区财政厅关于持续优化政府采购营商环境推动高质量发展的通知</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Cs/>
                <w:color w:val="auto"/>
                <w:szCs w:val="21"/>
                <w:highlight w:val="none"/>
              </w:rPr>
              <w:t>桂财采〔2024〕55号</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Cs/>
                <w:color w:val="auto"/>
                <w:szCs w:val="21"/>
                <w:highlight w:val="none"/>
              </w:rPr>
              <w:t>的规定，投标人在其投标文件中提供《中小企业声明函》，且其投标全部货物由小微企业制造的，对其投标报价给予</w:t>
            </w:r>
            <w:r>
              <w:rPr>
                <w:rFonts w:hint="eastAsia" w:asciiTheme="minorEastAsia" w:hAnsiTheme="minorEastAsia" w:eastAsiaTheme="minorEastAsia" w:cstheme="minorEastAsia"/>
                <w:bCs/>
                <w:color w:val="auto"/>
                <w:szCs w:val="21"/>
                <w:highlight w:val="none"/>
                <w:u w:val="single"/>
              </w:rPr>
              <w:t>10%</w:t>
            </w:r>
            <w:r>
              <w:rPr>
                <w:rFonts w:hint="eastAsia" w:asciiTheme="minorEastAsia" w:hAnsiTheme="minorEastAsia" w:eastAsiaTheme="minorEastAsia" w:cstheme="minorEastAsia"/>
                <w:bCs/>
                <w:color w:val="auto"/>
                <w:szCs w:val="21"/>
                <w:highlight w:val="none"/>
              </w:rPr>
              <w:t>（范围为10%-20%）的扣除，扣除后的价格为评标报价，即评标报价=投标报价×（1-</w:t>
            </w:r>
            <w:r>
              <w:rPr>
                <w:rFonts w:hint="eastAsia" w:asciiTheme="minorEastAsia" w:hAnsiTheme="minorEastAsia" w:eastAsiaTheme="minorEastAsia" w:cstheme="minorEastAsia"/>
                <w:bCs/>
                <w:color w:val="auto"/>
                <w:szCs w:val="21"/>
                <w:highlight w:val="none"/>
                <w:u w:val="single"/>
              </w:rPr>
              <w:t>10</w:t>
            </w:r>
            <w:r>
              <w:rPr>
                <w:rFonts w:hint="eastAsia" w:asciiTheme="minorEastAsia" w:hAnsiTheme="minorEastAsia" w:eastAsiaTheme="minorEastAsia" w:cstheme="minorEastAsia"/>
                <w:bCs/>
                <w:color w:val="auto"/>
                <w:szCs w:val="21"/>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Theme="minorEastAsia" w:hAnsiTheme="minorEastAsia" w:eastAsiaTheme="minorEastAsia" w:cstheme="minorEastAsia"/>
                <w:bCs/>
                <w:color w:val="auto"/>
                <w:szCs w:val="21"/>
                <w:highlight w:val="none"/>
                <w:u w:val="single"/>
              </w:rPr>
              <w:t>4</w:t>
            </w:r>
            <w:r>
              <w:rPr>
                <w:rFonts w:hint="eastAsia" w:asciiTheme="minorEastAsia" w:hAnsiTheme="minorEastAsia" w:eastAsiaTheme="minorEastAsia" w:cstheme="minorEastAsia"/>
                <w:bCs/>
                <w:color w:val="auto"/>
                <w:szCs w:val="21"/>
                <w:highlight w:val="none"/>
              </w:rPr>
              <w:t>%（范围为4%-6%）的扣除，用扣除后的价格参加评审，扣除后的价格为评标报价，即评标报价=投标报价×（1-</w:t>
            </w:r>
            <w:r>
              <w:rPr>
                <w:rFonts w:hint="eastAsia" w:asciiTheme="minorEastAsia" w:hAnsiTheme="minorEastAsia" w:eastAsiaTheme="minorEastAsia" w:cstheme="minorEastAsia"/>
                <w:bCs/>
                <w:color w:val="auto"/>
                <w:szCs w:val="21"/>
                <w:highlight w:val="none"/>
                <w:u w:val="single"/>
              </w:rPr>
              <w:t>4</w:t>
            </w:r>
            <w:r>
              <w:rPr>
                <w:rFonts w:hint="eastAsia" w:asciiTheme="minorEastAsia" w:hAnsiTheme="minorEastAsia" w:eastAsiaTheme="minorEastAsia" w:cstheme="minorEastAsia"/>
                <w:bCs/>
                <w:color w:val="auto"/>
                <w:szCs w:val="21"/>
                <w:highlight w:val="none"/>
              </w:rPr>
              <w:t>%）。除上述情况外，评标报价=投标报价。</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宋体" w:hAnsi="宋体" w:cs="宋体"/>
                <w:color w:val="auto"/>
                <w:szCs w:val="21"/>
                <w:highlight w:val="none"/>
              </w:rPr>
              <w:t>当采购项目或者采购包中含有多种产品，投标人为该采购项目或者采购包提供的符合本国产品标准的产品成本之和占该投标人提供的全部产品成本之和的比例达到80%以上时，依法对该</w:t>
            </w:r>
            <w:r>
              <w:rPr>
                <w:rFonts w:hint="eastAsia" w:ascii="宋体" w:hAnsi="宋体" w:cs="宋体"/>
                <w:bCs/>
                <w:color w:val="auto"/>
                <w:szCs w:val="21"/>
                <w:highlight w:val="none"/>
              </w:rPr>
              <w:t>投标人</w:t>
            </w:r>
            <w:r>
              <w:rPr>
                <w:rFonts w:hint="eastAsia" w:ascii="宋体" w:hAnsi="宋体" w:cs="宋体"/>
                <w:color w:val="auto"/>
                <w:szCs w:val="21"/>
                <w:highlight w:val="none"/>
              </w:rPr>
              <w:t>提供的全部产品给予价格评审优惠，即对该</w:t>
            </w:r>
            <w:r>
              <w:rPr>
                <w:rFonts w:hint="eastAsia" w:ascii="宋体" w:hAnsi="宋体" w:cs="宋体"/>
                <w:bCs/>
                <w:color w:val="auto"/>
                <w:szCs w:val="21"/>
                <w:highlight w:val="none"/>
              </w:rPr>
              <w:t>投标人</w:t>
            </w:r>
            <w:r>
              <w:rPr>
                <w:rFonts w:hint="eastAsia" w:ascii="宋体" w:hAnsi="宋体" w:cs="宋体"/>
                <w:color w:val="auto"/>
                <w:szCs w:val="21"/>
                <w:highlight w:val="none"/>
              </w:rPr>
              <w:t>提供的全部产品的总报价给予20%的价格扣除，用扣除后的价格参与评审。</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（4）按照《财政部、司法部关于政府采购支持监狱企业发展有关问题的通知》（财库〔2014〕68号）的规定，监狱企业视同小型、微型企业，享受预留份额、评审中价格扣除等促进中小企业发展的政府采购政策。</w:t>
            </w:r>
            <w:r>
              <w:rPr>
                <w:rFonts w:hint="eastAsia" w:asciiTheme="minorEastAsia" w:hAnsiTheme="minorEastAsia" w:eastAsiaTheme="minorEastAsia" w:cstheme="minorEastAsia"/>
                <w:color w:val="auto"/>
                <w:szCs w:val="21"/>
                <w:highlight w:val="none"/>
              </w:rPr>
              <w:t>监狱企业参加政府采购活动时，应当提供由省级以上监狱管理局、戒毒管理局（含新疆生产建设兵团）出具的属于监狱企业的证明文件。</w:t>
            </w:r>
            <w:r>
              <w:rPr>
                <w:rFonts w:hint="eastAsia" w:asciiTheme="minorEastAsia" w:hAnsiTheme="minorEastAsia" w:eastAsiaTheme="minorEastAsia" w:cstheme="minorEastAsia"/>
                <w:bCs/>
                <w:color w:val="auto"/>
                <w:szCs w:val="21"/>
                <w:highlight w:val="none"/>
              </w:rPr>
              <w:t>监狱企业属于小型、微型企业的，不重复享受政策。</w:t>
            </w:r>
          </w:p>
          <w:p>
            <w:pPr>
              <w:snapToGrid w:val="0"/>
              <w:spacing w:line="360" w:lineRule="auto"/>
              <w:ind w:firstLine="420" w:firstLineChars="20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（5）按照</w:t>
            </w:r>
            <w:r>
              <w:rPr>
                <w:rFonts w:hint="eastAsia" w:asciiTheme="minorEastAsia" w:hAnsiTheme="minorEastAsia" w:eastAsiaTheme="minorEastAsia" w:cstheme="minorEastAsia"/>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Theme="minorEastAsia" w:hAnsiTheme="minorEastAsia" w:eastAsiaTheme="minorEastAsia" w:cstheme="minorEastAsia"/>
                <w:color w:val="auto"/>
                <w:szCs w:val="21"/>
                <w:highlight w:val="none"/>
              </w:rPr>
              <w:t>残疾人福利性单位参加政府采购活动时，应当提供该通知规定的《残疾人福利性单位声明函》，并对声明的真实性负责。</w:t>
            </w:r>
            <w:r>
              <w:rPr>
                <w:rFonts w:hint="eastAsia" w:asciiTheme="minorEastAsia" w:hAnsiTheme="minorEastAsia" w:eastAsiaTheme="minorEastAsia" w:cstheme="minorEastAsia"/>
                <w:bCs/>
                <w:color w:val="auto"/>
                <w:szCs w:val="21"/>
                <w:highlight w:val="none"/>
              </w:rPr>
              <w:t>残疾人福利性单位属于小型、微型企业的，不重复享受政策。</w:t>
            </w:r>
          </w:p>
          <w:p>
            <w:pPr>
              <w:snapToGrid w:val="0"/>
              <w:spacing w:line="360" w:lineRule="auto"/>
              <w:ind w:firstLine="420" w:firstLineChars="20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（6）满足招标文件要求且评标报价最低的评标报价为评标基准价，其价格分为满分。</w:t>
            </w:r>
          </w:p>
          <w:p>
            <w:pPr>
              <w:snapToGrid w:val="0"/>
              <w:spacing w:line="360" w:lineRule="auto"/>
              <w:ind w:firstLine="420" w:firstLineChars="20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 xml:space="preserve">（7）价格分计算公式： </w:t>
            </w:r>
            <w:r>
              <w:rPr>
                <w:rFonts w:hint="eastAsia" w:asciiTheme="minorEastAsia" w:hAnsiTheme="minorEastAsia" w:eastAsiaTheme="minorEastAsia" w:cstheme="minorEastAsia"/>
                <w:bCs/>
                <w:color w:val="auto"/>
                <w:highlight w:val="none"/>
              </w:rPr>
              <w:t>价格分=（评标基准价／评标报价）×</w:t>
            </w:r>
            <w:r>
              <w:rPr>
                <w:rFonts w:hint="eastAsia" w:asciiTheme="minorEastAsia" w:hAnsiTheme="minorEastAsia" w:eastAsiaTheme="minorEastAsia" w:cstheme="minorEastAsia"/>
                <w:bCs/>
                <w:color w:val="auto"/>
                <w:highlight w:val="none"/>
                <w:u w:val="single"/>
              </w:rPr>
              <w:t>30</w:t>
            </w:r>
            <w:r>
              <w:rPr>
                <w:rFonts w:hint="eastAsia" w:asciiTheme="minorEastAsia" w:hAnsiTheme="minorEastAsia" w:eastAsiaTheme="minorEastAsia" w:cstheme="minorEastAsia"/>
                <w:bCs/>
                <w:color w:val="auto"/>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restart"/>
            <w:tcBorders>
              <w:top w:val="single" w:color="auto" w:sz="4" w:space="0"/>
              <w:left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w:t>
            </w:r>
          </w:p>
        </w:tc>
        <w:tc>
          <w:tcPr>
            <w:tcW w:w="1048" w:type="dxa"/>
            <w:vMerge w:val="restart"/>
            <w:tcBorders>
              <w:top w:val="single" w:color="auto" w:sz="4" w:space="0"/>
              <w:left w:val="single" w:color="auto" w:sz="4" w:space="0"/>
              <w:right w:val="single" w:color="auto" w:sz="4" w:space="0"/>
            </w:tcBorders>
            <w:noWrap/>
            <w:vAlign w:val="center"/>
          </w:tcPr>
          <w:p>
            <w:pPr>
              <w:adjustRightInd w:val="0"/>
              <w:spacing w:line="360" w:lineRule="auto"/>
              <w:ind w:left="-105" w:leftChars="-50" w:right="-105" w:rightChars="-50"/>
              <w:jc w:val="center"/>
              <w:textAlignment w:val="baseline"/>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技术分</w:t>
            </w:r>
          </w:p>
          <w:p>
            <w:pPr>
              <w:adjustRightInd w:val="0"/>
              <w:spacing w:line="360" w:lineRule="auto"/>
              <w:ind w:left="-105" w:leftChars="-50" w:right="-105" w:rightChars="-50"/>
              <w:jc w:val="center"/>
              <w:textAlignment w:val="baseline"/>
              <w:rPr>
                <w:rFonts w:asciiTheme="minorEastAsia" w:hAnsiTheme="minorEastAsia" w:eastAsiaTheme="minorEastAsia" w:cstheme="minorEastAsia"/>
                <w:color w:val="auto"/>
                <w:spacing w:val="-18"/>
                <w:szCs w:val="21"/>
                <w:highlight w:val="none"/>
              </w:rPr>
            </w:pP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
                <w:color w:val="auto"/>
                <w:szCs w:val="21"/>
                <w:highlight w:val="none"/>
              </w:rPr>
              <w:t>满分</w:t>
            </w:r>
            <w:r>
              <w:rPr>
                <w:rFonts w:hint="eastAsia" w:asciiTheme="minorEastAsia" w:hAnsiTheme="minorEastAsia" w:eastAsiaTheme="minorEastAsia" w:cstheme="minorEastAsia"/>
                <w:b/>
                <w:color w:val="auto"/>
                <w:szCs w:val="21"/>
                <w:highlight w:val="none"/>
                <w:u w:val="single"/>
              </w:rPr>
              <w:t>63.5</w:t>
            </w:r>
            <w:r>
              <w:rPr>
                <w:rFonts w:hint="eastAsia" w:asciiTheme="minorEastAsia" w:hAnsiTheme="minorEastAsia" w:eastAsiaTheme="minorEastAsia" w:cstheme="minorEastAsia"/>
                <w:b/>
                <w:bCs/>
                <w:color w:val="auto"/>
                <w:szCs w:val="21"/>
                <w:highlight w:val="none"/>
              </w:rPr>
              <w:t>分）</w:t>
            </w:r>
          </w:p>
        </w:tc>
        <w:tc>
          <w:tcPr>
            <w:tcW w:w="132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一般技术参数要求响应得分（满分</w:t>
            </w:r>
            <w:r>
              <w:rPr>
                <w:rFonts w:hint="eastAsia" w:asciiTheme="minorEastAsia" w:hAnsiTheme="minorEastAsia" w:eastAsiaTheme="minorEastAsia" w:cstheme="minorEastAsia"/>
                <w:bCs/>
                <w:color w:val="auto"/>
                <w:szCs w:val="21"/>
                <w:highlight w:val="none"/>
                <w:u w:val="single"/>
              </w:rPr>
              <w:t>26</w:t>
            </w:r>
            <w:r>
              <w:rPr>
                <w:rFonts w:hint="eastAsia" w:asciiTheme="minorEastAsia" w:hAnsiTheme="minorEastAsia" w:eastAsiaTheme="minorEastAsia" w:cstheme="minorEastAsia"/>
                <w:bCs/>
                <w:color w:val="auto"/>
                <w:szCs w:val="21"/>
                <w:highlight w:val="none"/>
              </w:rPr>
              <w:t>分）</w:t>
            </w:r>
          </w:p>
        </w:tc>
        <w:tc>
          <w:tcPr>
            <w:tcW w:w="6570"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一般技术参数要求响应得分（共计52项目）；</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宋体" w:hAnsi="宋体" w:cs="宋体"/>
                <w:bCs/>
                <w:color w:val="auto"/>
                <w:szCs w:val="21"/>
                <w:highlight w:val="none"/>
              </w:rPr>
              <w:t>一般技术参数要求每有1项满足或优于要求的，得0.5分，全部满足要求的，得</w:t>
            </w:r>
            <w:r>
              <w:rPr>
                <w:rFonts w:hint="eastAsia" w:ascii="宋体" w:hAnsi="宋体" w:cs="宋体"/>
                <w:b/>
                <w:color w:val="auto"/>
                <w:szCs w:val="21"/>
                <w:highlight w:val="none"/>
                <w:u w:val="single"/>
              </w:rPr>
              <w:t>26</w:t>
            </w:r>
            <w:r>
              <w:rPr>
                <w:rFonts w:hint="eastAsia" w:ascii="宋体" w:hAnsi="宋体" w:cs="宋体"/>
                <w:bCs/>
                <w:color w:val="auto"/>
                <w:szCs w:val="21"/>
                <w:highlight w:val="none"/>
              </w:rPr>
              <w:t>分。</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注：1、一般技术参数要求是指技术参数要求中未标注“▲”、“●”的技术参数。</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2、专用名称不作为评审项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continue"/>
            <w:tcBorders>
              <w:left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b/>
                <w:color w:val="auto"/>
                <w:szCs w:val="21"/>
                <w:highlight w:val="none"/>
              </w:rPr>
            </w:pPr>
          </w:p>
        </w:tc>
        <w:tc>
          <w:tcPr>
            <w:tcW w:w="1048" w:type="dxa"/>
            <w:vMerge w:val="continue"/>
            <w:tcBorders>
              <w:left w:val="single" w:color="auto" w:sz="4" w:space="0"/>
              <w:right w:val="single" w:color="auto" w:sz="4" w:space="0"/>
            </w:tcBorders>
            <w:noWrap/>
            <w:vAlign w:val="center"/>
          </w:tcPr>
          <w:p>
            <w:pPr>
              <w:adjustRightInd w:val="0"/>
              <w:spacing w:line="360" w:lineRule="auto"/>
              <w:ind w:left="-105" w:leftChars="-50" w:right="-105" w:rightChars="-50"/>
              <w:jc w:val="center"/>
              <w:textAlignment w:val="baseline"/>
              <w:rPr>
                <w:rFonts w:asciiTheme="minorEastAsia" w:hAnsiTheme="minorEastAsia" w:eastAsiaTheme="minorEastAsia" w:cstheme="minorEastAsia"/>
                <w:b/>
                <w:bCs/>
                <w:color w:val="auto"/>
                <w:szCs w:val="21"/>
                <w:highlight w:val="none"/>
              </w:rPr>
            </w:pPr>
          </w:p>
        </w:tc>
        <w:tc>
          <w:tcPr>
            <w:tcW w:w="1329" w:type="dxa"/>
            <w:tcBorders>
              <w:left w:val="single" w:color="auto" w:sz="4" w:space="0"/>
              <w:right w:val="single" w:color="auto" w:sz="4" w:space="0"/>
            </w:tcBorders>
            <w:noWrap/>
            <w:vAlign w:val="center"/>
          </w:tcPr>
          <w:p>
            <w:pPr>
              <w:spacing w:line="360" w:lineRule="auto"/>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重要技术参数要求响应得分（满分</w:t>
            </w:r>
            <w:r>
              <w:rPr>
                <w:rFonts w:hint="eastAsia" w:asciiTheme="minorEastAsia" w:hAnsiTheme="minorEastAsia" w:eastAsiaTheme="minorEastAsia" w:cstheme="minorEastAsia"/>
                <w:bCs/>
                <w:color w:val="auto"/>
                <w:szCs w:val="21"/>
                <w:highlight w:val="none"/>
                <w:u w:val="single"/>
              </w:rPr>
              <w:t>27.5</w:t>
            </w:r>
            <w:r>
              <w:rPr>
                <w:rFonts w:hint="eastAsia" w:asciiTheme="minorEastAsia" w:hAnsiTheme="minorEastAsia" w:eastAsiaTheme="minorEastAsia" w:cstheme="minorEastAsia"/>
                <w:bCs/>
                <w:color w:val="auto"/>
                <w:szCs w:val="21"/>
                <w:highlight w:val="none"/>
              </w:rPr>
              <w:t>分）</w:t>
            </w:r>
          </w:p>
        </w:tc>
        <w:tc>
          <w:tcPr>
            <w:tcW w:w="6570" w:type="dxa"/>
            <w:tcBorders>
              <w:top w:val="single" w:color="auto" w:sz="4" w:space="0"/>
              <w:left w:val="single" w:color="auto" w:sz="4" w:space="0"/>
              <w:right w:val="single" w:color="auto" w:sz="4" w:space="0"/>
            </w:tcBorders>
            <w:noWrap/>
            <w:vAlign w:val="center"/>
          </w:tcPr>
          <w:p>
            <w:pPr>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重要技术参数要求响应得分（共计5项目）；</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（1）投标人所投设备满足或优于技术要求“●1.7机身最大宽度：≤550mm”的得5.5分。</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（2）投标人所投设备满足或优于技术要求“●1.12机身运动控制：电动助力”的得5.5分。</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（3）投标人所投设备满足或优于技术要求“●1.13爬坡能力：≥12°”的得5分。</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（4）投标人所投设备满足或优于技术要求“●3.1管电压范围：≥40-150kV”的得6分。</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（5）投标人所投设备满足或优于技术要求“●4.11曝光延时15秒”的得5.5分。</w:t>
            </w:r>
          </w:p>
          <w:p>
            <w:pPr>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注：1、重要参数是指第技术参数中标注“●”的技术参数。必须提供相关证明材料，否则评标委员会可以视为负偏离或不响应。证明材料指对外公开的产品彩页或说明书（体现技术参数，可以是从生产厂家网页下载的PDF或HTM文件或在食品药品监督管理部门备案的技术参数或检测报告或生产厂家盖章的技术参数证明材料）</w:t>
            </w:r>
          </w:p>
          <w:p>
            <w:pPr>
              <w:spacing w:line="360" w:lineRule="auto"/>
              <w:ind w:firstLine="422"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
                <w:color w:val="auto"/>
                <w:szCs w:val="21"/>
                <w:highlight w:val="none"/>
              </w:rPr>
              <w:t>2、专用名称不作为评审项。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continue"/>
            <w:tcBorders>
              <w:left w:val="single" w:color="auto" w:sz="4" w:space="0"/>
              <w:right w:val="single" w:color="auto" w:sz="4" w:space="0"/>
            </w:tcBorders>
            <w:noWrap/>
            <w:vAlign w:val="center"/>
          </w:tcPr>
          <w:p>
            <w:pPr>
              <w:widowControl/>
              <w:spacing w:line="360" w:lineRule="auto"/>
              <w:jc w:val="left"/>
              <w:rPr>
                <w:rFonts w:asciiTheme="minorEastAsia" w:hAnsiTheme="minorEastAsia" w:eastAsiaTheme="minorEastAsia" w:cstheme="minorEastAsia"/>
                <w:b/>
                <w:color w:val="auto"/>
                <w:szCs w:val="21"/>
                <w:highlight w:val="none"/>
              </w:rPr>
            </w:pPr>
          </w:p>
        </w:tc>
        <w:tc>
          <w:tcPr>
            <w:tcW w:w="1048" w:type="dxa"/>
            <w:vMerge w:val="continue"/>
            <w:tcBorders>
              <w:left w:val="single" w:color="auto" w:sz="4" w:space="0"/>
              <w:right w:val="single" w:color="auto" w:sz="4" w:space="0"/>
            </w:tcBorders>
            <w:noWrap/>
            <w:vAlign w:val="center"/>
          </w:tcPr>
          <w:p>
            <w:pPr>
              <w:widowControl/>
              <w:spacing w:line="360" w:lineRule="auto"/>
              <w:jc w:val="left"/>
              <w:rPr>
                <w:rFonts w:asciiTheme="minorEastAsia" w:hAnsiTheme="minorEastAsia" w:eastAsiaTheme="minorEastAsia" w:cstheme="minorEastAsia"/>
                <w:color w:val="auto"/>
                <w:spacing w:val="-18"/>
                <w:szCs w:val="21"/>
                <w:highlight w:val="none"/>
              </w:rPr>
            </w:pPr>
          </w:p>
        </w:tc>
        <w:tc>
          <w:tcPr>
            <w:tcW w:w="132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bCs/>
                <w:color w:val="auto"/>
                <w:szCs w:val="21"/>
                <w:highlight w:val="none"/>
              </w:rPr>
            </w:pPr>
            <w:r>
              <w:rPr>
                <w:rFonts w:hint="eastAsia" w:ascii="宋体" w:hAnsi="宋体" w:cs="宋体"/>
                <w:bCs/>
                <w:color w:val="auto"/>
                <w:szCs w:val="21"/>
                <w:highlight w:val="none"/>
              </w:rPr>
              <w:t>项目实施方案分（满分6分）</w:t>
            </w:r>
          </w:p>
        </w:tc>
        <w:tc>
          <w:tcPr>
            <w:tcW w:w="6570"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ind w:firstLine="420" w:firstLineChars="200"/>
              <w:textAlignment w:val="baseline"/>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根据投标文件中投标人技术及项目实施方案内容独立评分，未提供方案、方案内容未达一档要求、方案内容有前后矛盾等明显错误的，本项不得分。</w:t>
            </w:r>
          </w:p>
          <w:p>
            <w:pPr>
              <w:spacing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一档（1分）：方案需至少包含项目实施管理组织架构、实施管理措施、实施流程及进度安排、设备配送方案、配送团队配置、安装方案、验收方案、质量保证措施这八项基础模块。</w:t>
            </w:r>
          </w:p>
          <w:p>
            <w:pPr>
              <w:spacing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二档（3分）：在满足一档的基础上，提出了有利于项目执行的初步框架，满足医院采购的合规性与功能性要求，有具体执行细节，不仅对各项基础模块赋予了明确的执行规则、时间节点、人员资质与操作标准，还有针对项目的专项应急方案，内容包括采购服务对接机制、涵盖设备破损与延误等场景的应急处理措施，以及包含性能检测与争议处理的标准化验收流程。</w:t>
            </w:r>
          </w:p>
          <w:p>
            <w:pPr>
              <w:spacing w:line="360" w:lineRule="auto"/>
              <w:ind w:firstLine="420" w:firstLineChars="200"/>
              <w:rPr>
                <w:rFonts w:cs="宋体" w:asciiTheme="minorEastAsia" w:hAnsiTheme="minorEastAsia" w:eastAsiaTheme="minorEastAsia"/>
                <w:bCs/>
                <w:color w:val="auto"/>
                <w:szCs w:val="21"/>
                <w:highlight w:val="none"/>
              </w:rPr>
            </w:pPr>
            <w:r>
              <w:rPr>
                <w:rFonts w:hint="eastAsia" w:asciiTheme="minorEastAsia" w:hAnsiTheme="minorEastAsia" w:eastAsiaTheme="minorEastAsia"/>
                <w:color w:val="auto"/>
                <w:szCs w:val="21"/>
                <w:highlight w:val="none"/>
              </w:rPr>
              <w:t>三档（6分）：在满足二档的基础上，有能应对覆盖本项目所涉区内县域医共体使用单位的集采配送方案。方案须包含至少≥2项由数据或案例支撑的优化建议（如验收效率提升）并被评标委员会认可。整个方案形成目标、标准、责任人、节点与考核指标闭环管理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continue"/>
            <w:tcBorders>
              <w:left w:val="single" w:color="auto" w:sz="4" w:space="0"/>
              <w:right w:val="single" w:color="auto" w:sz="4" w:space="0"/>
            </w:tcBorders>
            <w:noWrap/>
            <w:vAlign w:val="center"/>
          </w:tcPr>
          <w:p>
            <w:pPr>
              <w:widowControl/>
              <w:spacing w:line="360" w:lineRule="auto"/>
              <w:jc w:val="left"/>
              <w:rPr>
                <w:rFonts w:asciiTheme="minorEastAsia" w:hAnsiTheme="minorEastAsia" w:eastAsiaTheme="minorEastAsia" w:cstheme="minorEastAsia"/>
                <w:b/>
                <w:color w:val="auto"/>
                <w:szCs w:val="21"/>
                <w:highlight w:val="none"/>
              </w:rPr>
            </w:pPr>
          </w:p>
        </w:tc>
        <w:tc>
          <w:tcPr>
            <w:tcW w:w="1048" w:type="dxa"/>
            <w:vMerge w:val="continue"/>
            <w:tcBorders>
              <w:left w:val="single" w:color="auto" w:sz="4" w:space="0"/>
              <w:right w:val="single" w:color="auto" w:sz="4" w:space="0"/>
            </w:tcBorders>
            <w:noWrap/>
            <w:vAlign w:val="center"/>
          </w:tcPr>
          <w:p>
            <w:pPr>
              <w:widowControl/>
              <w:spacing w:line="360" w:lineRule="auto"/>
              <w:jc w:val="left"/>
              <w:rPr>
                <w:rFonts w:asciiTheme="minorEastAsia" w:hAnsiTheme="minorEastAsia" w:eastAsiaTheme="minorEastAsia" w:cstheme="minorEastAsia"/>
                <w:color w:val="auto"/>
                <w:spacing w:val="-18"/>
                <w:szCs w:val="21"/>
                <w:highlight w:val="none"/>
              </w:rPr>
            </w:pPr>
          </w:p>
        </w:tc>
        <w:tc>
          <w:tcPr>
            <w:tcW w:w="132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color w:val="auto"/>
                <w:szCs w:val="21"/>
                <w:highlight w:val="none"/>
              </w:rPr>
            </w:pPr>
            <w:r>
              <w:rPr>
                <w:rFonts w:hint="eastAsia" w:ascii="宋体" w:hAnsi="宋体" w:cs="宋体"/>
                <w:color w:val="auto"/>
                <w:szCs w:val="21"/>
                <w:highlight w:val="none"/>
              </w:rPr>
              <w:t>拟投入技术人员分（满分2分）</w:t>
            </w:r>
          </w:p>
        </w:tc>
        <w:tc>
          <w:tcPr>
            <w:tcW w:w="6570"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根据投标文件中投标人拟投入技术人员方案内容独立评分</w:t>
            </w:r>
            <w:r>
              <w:rPr>
                <w:rFonts w:hint="eastAsia" w:cs="宋体" w:asciiTheme="minorEastAsia" w:hAnsiTheme="minorEastAsia" w:eastAsiaTheme="minorEastAsia"/>
                <w:bCs/>
                <w:color w:val="auto"/>
                <w:szCs w:val="21"/>
                <w:highlight w:val="none"/>
              </w:rPr>
              <w:t>，未提供方案或未达一档要求的，本项不得分。</w:t>
            </w:r>
            <w:r>
              <w:rPr>
                <w:rFonts w:hint="eastAsia" w:cs="宋体" w:asciiTheme="minorEastAsia" w:hAnsiTheme="minorEastAsia" w:eastAsiaTheme="minorEastAsia"/>
                <w:color w:val="auto"/>
                <w:szCs w:val="21"/>
                <w:highlight w:val="none"/>
              </w:rPr>
              <w:t xml:space="preserve">   </w:t>
            </w:r>
          </w:p>
          <w:p>
            <w:pPr>
              <w:spacing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一档（1分）：明确安装调试及验收阶段拟投入≥1名的服务专职服务人员，且人员需提供医疗器械相关专业背景证明或制造商技术技能认证，数量与资质满足项目实施需求。</w:t>
            </w:r>
          </w:p>
          <w:p>
            <w:pPr>
              <w:spacing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二档（2分）：满足一档全部要求基础上，额外明确安装调试及验收阶段配置覆盖所有使用单位不少于1人的专家技术梯队，梯队成员需提供3年以上本项目设备服务经验证明且至少1人主导过2个及以上同类设备项目成功部署证明；同时承诺质保期内配置常驻广西壮族自治区，常驻支持团队人数不少于1人，所有成员均提供制造商技术技能认证，至少1人提供医疗器械相关专业中级及以上职称证书，且明确团队服务热线及响应时限、驻点地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continue"/>
            <w:tcBorders>
              <w:left w:val="single" w:color="auto" w:sz="4" w:space="0"/>
              <w:bottom w:val="single" w:color="auto" w:sz="4" w:space="0"/>
              <w:right w:val="single" w:color="auto" w:sz="4" w:space="0"/>
            </w:tcBorders>
            <w:noWrap/>
            <w:vAlign w:val="center"/>
          </w:tcPr>
          <w:p>
            <w:pPr>
              <w:widowControl/>
              <w:spacing w:line="360" w:lineRule="auto"/>
              <w:jc w:val="left"/>
              <w:rPr>
                <w:rFonts w:asciiTheme="minorEastAsia" w:hAnsiTheme="minorEastAsia" w:eastAsiaTheme="minorEastAsia" w:cstheme="minorEastAsia"/>
                <w:b/>
                <w:color w:val="auto"/>
                <w:szCs w:val="21"/>
                <w:highlight w:val="none"/>
              </w:rPr>
            </w:pPr>
          </w:p>
        </w:tc>
        <w:tc>
          <w:tcPr>
            <w:tcW w:w="1048" w:type="dxa"/>
            <w:vMerge w:val="continue"/>
            <w:tcBorders>
              <w:left w:val="single" w:color="auto" w:sz="4" w:space="0"/>
              <w:bottom w:val="single" w:color="auto" w:sz="4" w:space="0"/>
              <w:right w:val="single" w:color="auto" w:sz="4" w:space="0"/>
            </w:tcBorders>
            <w:noWrap/>
            <w:vAlign w:val="center"/>
          </w:tcPr>
          <w:p>
            <w:pPr>
              <w:widowControl/>
              <w:spacing w:line="360" w:lineRule="auto"/>
              <w:jc w:val="left"/>
              <w:rPr>
                <w:rFonts w:asciiTheme="minorEastAsia" w:hAnsiTheme="minorEastAsia" w:eastAsiaTheme="minorEastAsia" w:cstheme="minorEastAsia"/>
                <w:color w:val="auto"/>
                <w:spacing w:val="-18"/>
                <w:szCs w:val="21"/>
                <w:highlight w:val="none"/>
              </w:rPr>
            </w:pPr>
          </w:p>
        </w:tc>
        <w:tc>
          <w:tcPr>
            <w:tcW w:w="132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bCs/>
                <w:color w:val="auto"/>
                <w:szCs w:val="21"/>
                <w:highlight w:val="none"/>
              </w:rPr>
            </w:pPr>
            <w:r>
              <w:rPr>
                <w:rFonts w:hint="eastAsia" w:ascii="宋体" w:hAnsi="宋体" w:cs="宋体"/>
                <w:bCs/>
                <w:color w:val="auto"/>
                <w:szCs w:val="21"/>
                <w:highlight w:val="none"/>
              </w:rPr>
              <w:t>培训计划分（满分2分）</w:t>
            </w:r>
          </w:p>
        </w:tc>
        <w:tc>
          <w:tcPr>
            <w:tcW w:w="6570"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根据投标文件中投标人培训方案内容独立评分，未提供方案或</w:t>
            </w:r>
            <w:r>
              <w:rPr>
                <w:rFonts w:hint="eastAsia" w:cs="宋体" w:asciiTheme="minorEastAsia" w:hAnsiTheme="minorEastAsia" w:eastAsiaTheme="minorEastAsia"/>
                <w:bCs/>
                <w:color w:val="auto"/>
                <w:szCs w:val="21"/>
                <w:highlight w:val="none"/>
              </w:rPr>
              <w:t>未达一档要求</w:t>
            </w:r>
            <w:r>
              <w:rPr>
                <w:rFonts w:hint="eastAsia" w:ascii="宋体" w:hAnsi="宋体" w:cs="宋体"/>
                <w:bCs/>
                <w:color w:val="auto"/>
                <w:szCs w:val="21"/>
                <w:highlight w:val="none"/>
              </w:rPr>
              <w:t>的，本项不得分。</w:t>
            </w:r>
          </w:p>
          <w:p>
            <w:pPr>
              <w:adjustRightInd w:val="0"/>
              <w:spacing w:line="360" w:lineRule="auto"/>
              <w:ind w:firstLine="420" w:firstLineChars="200"/>
              <w:textAlignment w:val="baseline"/>
              <w:rPr>
                <w:rFonts w:ascii="宋体" w:hAnsi="宋体"/>
                <w:bCs/>
                <w:color w:val="auto"/>
                <w:szCs w:val="21"/>
                <w:highlight w:val="none"/>
              </w:rPr>
            </w:pPr>
            <w:r>
              <w:rPr>
                <w:rFonts w:hint="eastAsia" w:ascii="宋体" w:hAnsi="宋体"/>
                <w:bCs/>
                <w:color w:val="auto"/>
                <w:szCs w:val="21"/>
                <w:highlight w:val="none"/>
              </w:rPr>
              <w:t>一档（1分）：提供覆盖本项目所涉区内所有县域医共体使用单位的培训初步计划，明确承诺为每个使用单位提供不少于1次现场培训，列出的培训课程核心提纲需包含设备基本原理、标准操作流程、日常保养规范内容，覆盖所有使用单位基础标准化操作指导需求。</w:t>
            </w:r>
          </w:p>
          <w:p>
            <w:pPr>
              <w:adjustRightInd w:val="0"/>
              <w:spacing w:line="360" w:lineRule="auto"/>
              <w:ind w:firstLine="420" w:firstLineChars="200"/>
              <w:textAlignment w:val="baseline"/>
              <w:rPr>
                <w:rFonts w:ascii="宋体" w:hAnsi="宋体"/>
                <w:bCs/>
                <w:color w:val="auto"/>
                <w:szCs w:val="21"/>
                <w:highlight w:val="none"/>
              </w:rPr>
            </w:pPr>
            <w:r>
              <w:rPr>
                <w:rFonts w:hint="eastAsia" w:ascii="宋体" w:hAnsi="宋体"/>
                <w:bCs/>
                <w:color w:val="auto"/>
                <w:szCs w:val="21"/>
                <w:highlight w:val="none"/>
              </w:rPr>
              <w:t>二档（2分）：满足一档全部要求基础上，额外明确拟派培训人员需具备</w:t>
            </w:r>
            <w:r>
              <w:rPr>
                <w:rFonts w:hint="eastAsia"/>
                <w:color w:val="auto"/>
                <w:szCs w:val="21"/>
                <w:highlight w:val="none"/>
              </w:rPr>
              <w:t>3</w:t>
            </w:r>
            <w:r>
              <w:rPr>
                <w:rFonts w:hint="eastAsia" w:ascii="宋体" w:hAnsi="宋体"/>
                <w:bCs/>
                <w:color w:val="auto"/>
                <w:szCs w:val="21"/>
                <w:highlight w:val="none"/>
              </w:rPr>
              <w:t>年以上同类医疗设备培训经验，拟派培训人员姓名及资质证明、每个使用单位培训具体时间、单次培训覆盖人数，培训形式含实操、考核环节，培训内容增加设备功能理论讲解、简单故障排除，同时提供培训资料，形成全流程覆盖的完整培训体系，且培训内容、人员、时间与所有使用单位需求完全匹配，支撑人员独立完成设备操作与基础故障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restart"/>
            <w:tcBorders>
              <w:top w:val="single" w:color="auto" w:sz="4" w:space="0"/>
              <w:left w:val="single" w:color="auto" w:sz="4" w:space="0"/>
              <w:right w:val="single" w:color="auto" w:sz="4" w:space="0"/>
            </w:tcBorders>
            <w:noWrap/>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 3</w:t>
            </w:r>
          </w:p>
        </w:tc>
        <w:tc>
          <w:tcPr>
            <w:tcW w:w="1048" w:type="dxa"/>
            <w:vMerge w:val="restart"/>
            <w:tcBorders>
              <w:top w:val="single" w:color="auto" w:sz="4" w:space="0"/>
              <w:left w:val="single" w:color="auto" w:sz="4" w:space="0"/>
              <w:right w:val="single" w:color="auto" w:sz="4" w:space="0"/>
            </w:tcBorders>
            <w:noWrap/>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Cs w:val="21"/>
                <w:highlight w:val="none"/>
              </w:rPr>
              <w:t>售后服务分（</w:t>
            </w:r>
            <w:r>
              <w:rPr>
                <w:rFonts w:hint="eastAsia" w:asciiTheme="minorEastAsia" w:hAnsiTheme="minorEastAsia" w:eastAsiaTheme="minorEastAsia" w:cstheme="minorEastAsia"/>
                <w:b/>
                <w:color w:val="auto"/>
                <w:szCs w:val="21"/>
                <w:highlight w:val="none"/>
              </w:rPr>
              <w:t>满分</w:t>
            </w:r>
            <w:r>
              <w:rPr>
                <w:rFonts w:hint="eastAsia" w:asciiTheme="minorEastAsia" w:hAnsiTheme="minorEastAsia" w:eastAsiaTheme="minorEastAsia" w:cstheme="minorEastAsia"/>
                <w:b/>
                <w:color w:val="auto"/>
                <w:szCs w:val="21"/>
                <w:highlight w:val="none"/>
                <w:u w:val="single"/>
              </w:rPr>
              <w:t>4</w:t>
            </w:r>
            <w:r>
              <w:rPr>
                <w:rFonts w:hint="eastAsia" w:asciiTheme="minorEastAsia" w:hAnsiTheme="minorEastAsia" w:eastAsiaTheme="minorEastAsia" w:cstheme="minorEastAsia"/>
                <w:b/>
                <w:color w:val="auto"/>
                <w:szCs w:val="21"/>
                <w:highlight w:val="none"/>
              </w:rPr>
              <w:t>分</w:t>
            </w:r>
            <w:r>
              <w:rPr>
                <w:rFonts w:hint="eastAsia" w:asciiTheme="minorEastAsia" w:hAnsiTheme="minorEastAsia" w:eastAsiaTheme="minorEastAsia" w:cstheme="minorEastAsia"/>
                <w:b/>
                <w:bCs/>
                <w:color w:val="auto"/>
                <w:szCs w:val="21"/>
                <w:highlight w:val="none"/>
              </w:rPr>
              <w:t>）</w:t>
            </w:r>
          </w:p>
        </w:tc>
        <w:tc>
          <w:tcPr>
            <w:tcW w:w="1329" w:type="dxa"/>
            <w:tcBorders>
              <w:top w:val="single" w:color="auto" w:sz="4" w:space="0"/>
              <w:left w:val="single" w:color="auto" w:sz="4" w:space="0"/>
              <w:bottom w:val="single" w:color="auto" w:sz="4" w:space="0"/>
              <w:right w:val="single" w:color="auto" w:sz="4" w:space="0"/>
            </w:tcBorders>
            <w:noWrap/>
            <w:tcMar>
              <w:top w:w="0" w:type="dxa"/>
              <w:left w:w="57" w:type="dxa"/>
              <w:bottom w:w="0" w:type="dxa"/>
              <w:right w:w="57" w:type="dxa"/>
            </w:tcMar>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售后服务方案分</w:t>
            </w:r>
          </w:p>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（满分2分）</w:t>
            </w:r>
          </w:p>
        </w:tc>
        <w:tc>
          <w:tcPr>
            <w:tcW w:w="6570" w:type="dxa"/>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s="宋体"/>
                <w:bCs/>
                <w:color w:val="auto"/>
                <w:szCs w:val="21"/>
                <w:highlight w:val="none"/>
              </w:rPr>
            </w:pPr>
            <w:r>
              <w:rPr>
                <w:rFonts w:hint="eastAsia" w:ascii="宋体" w:hAnsi="宋体" w:cs="宋体"/>
                <w:bCs/>
                <w:color w:val="auto"/>
                <w:szCs w:val="21"/>
                <w:highlight w:val="none"/>
              </w:rPr>
              <w:t>根据投标文件中投标人</w:t>
            </w:r>
            <w:r>
              <w:rPr>
                <w:rFonts w:hint="eastAsia" w:ascii="宋体" w:hAnsi="宋体" w:cs="宋体"/>
                <w:color w:val="auto"/>
                <w:szCs w:val="21"/>
                <w:highlight w:val="none"/>
              </w:rPr>
              <w:t>售后服务方案</w:t>
            </w:r>
            <w:r>
              <w:rPr>
                <w:rFonts w:hint="eastAsia" w:ascii="宋体" w:hAnsi="宋体" w:cs="宋体"/>
                <w:bCs/>
                <w:color w:val="auto"/>
                <w:szCs w:val="21"/>
                <w:highlight w:val="none"/>
              </w:rPr>
              <w:t>独立评分，未提供或</w:t>
            </w:r>
            <w:r>
              <w:rPr>
                <w:rFonts w:hint="eastAsia" w:cs="宋体" w:asciiTheme="minorEastAsia" w:hAnsiTheme="minorEastAsia" w:eastAsiaTheme="minorEastAsia"/>
                <w:bCs/>
                <w:color w:val="auto"/>
                <w:szCs w:val="21"/>
                <w:highlight w:val="none"/>
              </w:rPr>
              <w:t>未达一档要求</w:t>
            </w:r>
            <w:r>
              <w:rPr>
                <w:rFonts w:hint="eastAsia" w:ascii="宋体" w:hAnsi="宋体" w:cs="宋体"/>
                <w:bCs/>
                <w:color w:val="auto"/>
                <w:szCs w:val="21"/>
                <w:highlight w:val="none"/>
              </w:rPr>
              <w:t>的，本项不得分。</w:t>
            </w:r>
          </w:p>
          <w:p>
            <w:pPr>
              <w:spacing w:line="360" w:lineRule="auto"/>
              <w:rPr>
                <w:rFonts w:ascii="宋体" w:hAnsi="宋体" w:cs="宋体"/>
                <w:color w:val="auto"/>
                <w:szCs w:val="21"/>
                <w:highlight w:val="none"/>
              </w:rPr>
            </w:pPr>
            <w:r>
              <w:rPr>
                <w:rFonts w:hint="eastAsia" w:ascii="宋体" w:hAnsi="宋体" w:cs="宋体"/>
                <w:color w:val="auto"/>
                <w:szCs w:val="21"/>
                <w:highlight w:val="none"/>
              </w:rPr>
              <w:t>一档（1分）：能提供售后服务方案，内容包含但不限于服务承诺、售后服务团队配置、服务保障体系、响应时间、服务流程、应急预案、技术服务表单，满足招标文件基本要求。</w:t>
            </w:r>
          </w:p>
          <w:p>
            <w:pPr>
              <w:spacing w:line="360" w:lineRule="auto"/>
              <w:rPr>
                <w:rFonts w:ascii="宋体" w:hAnsi="宋体" w:cs="宋体"/>
                <w:color w:val="auto"/>
                <w:szCs w:val="21"/>
                <w:highlight w:val="none"/>
              </w:rPr>
            </w:pPr>
            <w:r>
              <w:rPr>
                <w:rFonts w:hint="eastAsia" w:ascii="宋体" w:hAnsi="宋体" w:cs="宋体"/>
                <w:color w:val="auto"/>
                <w:szCs w:val="21"/>
                <w:highlight w:val="none"/>
              </w:rPr>
              <w:t>二档（2分）：在满足一档的基础上，服务团队职责分工明确，发生故障时提供备用机或其他替代解决的具体措施、</w:t>
            </w:r>
            <w:r>
              <w:rPr>
                <w:rFonts w:hint="eastAsia"/>
                <w:color w:val="auto"/>
                <w:szCs w:val="21"/>
                <w:highlight w:val="none"/>
              </w:rPr>
              <w:t>故障分类响应流程、</w:t>
            </w:r>
            <w:r>
              <w:rPr>
                <w:rFonts w:hint="eastAsia" w:ascii="宋体" w:hAnsi="宋体" w:cs="宋体"/>
                <w:color w:val="auto"/>
                <w:szCs w:val="21"/>
                <w:highlight w:val="none"/>
              </w:rPr>
              <w:t>售后服务质量保障方案、</w:t>
            </w:r>
            <w:r>
              <w:rPr>
                <w:rFonts w:hint="eastAsia" w:cs="宋体" w:asciiTheme="minorEastAsia" w:hAnsiTheme="minorEastAsia" w:eastAsiaTheme="minorEastAsia"/>
                <w:color w:val="auto"/>
                <w:szCs w:val="21"/>
                <w:highlight w:val="none"/>
              </w:rPr>
              <w:t>质保期外维修方案</w:t>
            </w:r>
            <w:r>
              <w:rPr>
                <w:rFonts w:hint="eastAsia" w:ascii="宋体" w:hAnsi="宋体" w:cs="宋体"/>
                <w:color w:val="auto"/>
                <w:szCs w:val="21"/>
                <w:highlight w:val="none"/>
              </w:rPr>
              <w:t>，</w:t>
            </w:r>
            <w:r>
              <w:rPr>
                <w:rFonts w:hint="eastAsia" w:cs="宋体" w:asciiTheme="minorEastAsia" w:hAnsiTheme="minorEastAsia" w:eastAsiaTheme="minorEastAsia"/>
                <w:color w:val="auto"/>
                <w:szCs w:val="21"/>
                <w:highlight w:val="none"/>
              </w:rPr>
              <w:t>售后服务有保障，服务内容及保障措施完整详细</w:t>
            </w:r>
            <w:r>
              <w:rPr>
                <w:rFonts w:hint="eastAsia" w:ascii="宋体" w:hAnsi="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7" w:hRule="atLeast"/>
          <w:jc w:val="center"/>
        </w:trPr>
        <w:tc>
          <w:tcPr>
            <w:tcW w:w="563" w:type="dxa"/>
            <w:vMerge w:val="continue"/>
            <w:tcBorders>
              <w:left w:val="single" w:color="auto" w:sz="4" w:space="0"/>
              <w:right w:val="single" w:color="auto" w:sz="4" w:space="0"/>
            </w:tcBorders>
            <w:noWrap/>
            <w:vAlign w:val="center"/>
          </w:tcPr>
          <w:p>
            <w:pPr>
              <w:spacing w:line="360" w:lineRule="auto"/>
              <w:jc w:val="center"/>
              <w:rPr>
                <w:rFonts w:asciiTheme="minorEastAsia" w:hAnsiTheme="minorEastAsia" w:eastAsiaTheme="minorEastAsia" w:cstheme="minorEastAsia"/>
                <w:b/>
                <w:color w:val="auto"/>
                <w:szCs w:val="21"/>
                <w:highlight w:val="none"/>
              </w:rPr>
            </w:pPr>
          </w:p>
        </w:tc>
        <w:tc>
          <w:tcPr>
            <w:tcW w:w="1048" w:type="dxa"/>
            <w:vMerge w:val="continue"/>
            <w:tcBorders>
              <w:left w:val="single" w:color="auto" w:sz="4" w:space="0"/>
              <w:right w:val="single" w:color="auto" w:sz="4" w:space="0"/>
            </w:tcBorders>
            <w:noWrap/>
            <w:vAlign w:val="center"/>
          </w:tcPr>
          <w:p>
            <w:pPr>
              <w:spacing w:line="360" w:lineRule="auto"/>
              <w:jc w:val="center"/>
              <w:rPr>
                <w:rFonts w:asciiTheme="minorEastAsia" w:hAnsiTheme="minorEastAsia" w:eastAsiaTheme="minorEastAsia" w:cstheme="minorEastAsia"/>
                <w:b/>
                <w:bCs/>
                <w:color w:val="auto"/>
                <w:szCs w:val="21"/>
                <w:highlight w:val="none"/>
              </w:rPr>
            </w:pPr>
          </w:p>
        </w:tc>
        <w:tc>
          <w:tcPr>
            <w:tcW w:w="1329" w:type="dxa"/>
            <w:tcBorders>
              <w:top w:val="single" w:color="auto" w:sz="4" w:space="0"/>
              <w:left w:val="single" w:color="auto" w:sz="4" w:space="0"/>
              <w:bottom w:val="single" w:color="auto" w:sz="4" w:space="0"/>
              <w:right w:val="single" w:color="auto" w:sz="4" w:space="0"/>
            </w:tcBorders>
            <w:noWrap/>
            <w:tcMar>
              <w:top w:w="0" w:type="dxa"/>
              <w:left w:w="57" w:type="dxa"/>
              <w:bottom w:w="0" w:type="dxa"/>
              <w:right w:w="57" w:type="dxa"/>
            </w:tcMar>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质保期（包修期）（满分</w:t>
            </w:r>
            <w:r>
              <w:rPr>
                <w:rFonts w:hint="eastAsia" w:asciiTheme="minorEastAsia" w:hAnsiTheme="minorEastAsia" w:eastAsiaTheme="minorEastAsia" w:cstheme="minorEastAsia"/>
                <w:b/>
                <w:color w:val="auto"/>
                <w:szCs w:val="21"/>
                <w:highlight w:val="none"/>
                <w:u w:val="single"/>
              </w:rPr>
              <w:t>2</w:t>
            </w:r>
            <w:r>
              <w:rPr>
                <w:rFonts w:hint="eastAsia" w:asciiTheme="minorEastAsia" w:hAnsiTheme="minorEastAsia" w:eastAsiaTheme="minorEastAsia" w:cstheme="minorEastAsia"/>
                <w:color w:val="auto"/>
                <w:szCs w:val="21"/>
                <w:highlight w:val="none"/>
              </w:rPr>
              <w:t>分）</w:t>
            </w:r>
          </w:p>
        </w:tc>
        <w:tc>
          <w:tcPr>
            <w:tcW w:w="6570"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整机在满足基本质保期（包修期）（5年）的基础上，免费保修期每延长6个月得 0.5 分（以设备生产厂家承诺为准，投标文件中提供厂家证明文件复印件加盖投标单位公章），满分2分。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4</w:t>
            </w:r>
          </w:p>
        </w:tc>
        <w:tc>
          <w:tcPr>
            <w:tcW w:w="1048"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b/>
                <w:color w:val="auto"/>
                <w:szCs w:val="21"/>
                <w:highlight w:val="none"/>
              </w:rPr>
            </w:pPr>
            <w:r>
              <w:rPr>
                <w:rFonts w:hint="eastAsia" w:ascii="宋体" w:hAnsi="宋体" w:cs="宋体"/>
                <w:color w:val="auto"/>
                <w:szCs w:val="21"/>
                <w:highlight w:val="none"/>
              </w:rPr>
              <w:t>业绩</w:t>
            </w:r>
            <w:r>
              <w:rPr>
                <w:rFonts w:hint="eastAsia" w:asciiTheme="minorEastAsia" w:hAnsiTheme="minorEastAsia" w:eastAsiaTheme="minorEastAsia" w:cstheme="minorEastAsia"/>
                <w:b/>
                <w:bCs/>
                <w:color w:val="auto"/>
                <w:szCs w:val="21"/>
                <w:highlight w:val="none"/>
              </w:rPr>
              <w:t>分（</w:t>
            </w:r>
            <w:r>
              <w:rPr>
                <w:rFonts w:hint="eastAsia" w:asciiTheme="minorEastAsia" w:hAnsiTheme="minorEastAsia" w:eastAsiaTheme="minorEastAsia" w:cstheme="minorEastAsia"/>
                <w:b/>
                <w:color w:val="auto"/>
                <w:szCs w:val="21"/>
                <w:highlight w:val="none"/>
              </w:rPr>
              <w:t>满分</w:t>
            </w:r>
            <w:r>
              <w:rPr>
                <w:rFonts w:hint="eastAsia" w:asciiTheme="minorEastAsia" w:hAnsiTheme="minorEastAsia" w:eastAsiaTheme="minorEastAsia" w:cstheme="minorEastAsia"/>
                <w:b/>
                <w:color w:val="auto"/>
                <w:szCs w:val="21"/>
                <w:highlight w:val="none"/>
                <w:u w:val="single"/>
              </w:rPr>
              <w:t>1.5</w:t>
            </w:r>
            <w:r>
              <w:rPr>
                <w:rFonts w:hint="eastAsia" w:asciiTheme="minorEastAsia" w:hAnsiTheme="minorEastAsia" w:eastAsiaTheme="minorEastAsia" w:cstheme="minorEastAsia"/>
                <w:b/>
                <w:color w:val="auto"/>
                <w:szCs w:val="21"/>
                <w:highlight w:val="none"/>
              </w:rPr>
              <w:t>分</w:t>
            </w:r>
            <w:r>
              <w:rPr>
                <w:rFonts w:hint="eastAsia" w:asciiTheme="minorEastAsia" w:hAnsiTheme="minorEastAsia" w:eastAsiaTheme="minorEastAsia" w:cstheme="minorEastAsia"/>
                <w:b/>
                <w:bCs/>
                <w:color w:val="auto"/>
                <w:szCs w:val="21"/>
                <w:highlight w:val="none"/>
              </w:rPr>
              <w:t>）</w:t>
            </w:r>
          </w:p>
        </w:tc>
        <w:tc>
          <w:tcPr>
            <w:tcW w:w="1329" w:type="dxa"/>
            <w:tcBorders>
              <w:top w:val="single" w:color="auto" w:sz="4" w:space="0"/>
              <w:left w:val="single" w:color="auto" w:sz="4" w:space="0"/>
              <w:bottom w:val="single" w:color="auto" w:sz="4" w:space="0"/>
              <w:right w:val="single" w:color="auto" w:sz="4" w:space="0"/>
            </w:tcBorders>
            <w:noWrap/>
            <w:tcMar>
              <w:top w:w="0" w:type="dxa"/>
              <w:left w:w="57" w:type="dxa"/>
              <w:bottom w:w="0" w:type="dxa"/>
              <w:right w:w="57" w:type="dxa"/>
            </w:tcMar>
            <w:vAlign w:val="center"/>
          </w:tcPr>
          <w:p>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业绩</w:t>
            </w:r>
            <w:r>
              <w:rPr>
                <w:rFonts w:hint="eastAsia" w:ascii="宋体" w:hAnsi="宋体" w:cs="宋体"/>
                <w:bCs/>
                <w:color w:val="auto"/>
                <w:szCs w:val="21"/>
                <w:highlight w:val="none"/>
              </w:rPr>
              <w:t>（</w:t>
            </w:r>
            <w:r>
              <w:rPr>
                <w:rFonts w:hint="eastAsia" w:ascii="宋体" w:hAnsi="宋体" w:cs="宋体"/>
                <w:color w:val="auto"/>
                <w:szCs w:val="21"/>
                <w:highlight w:val="none"/>
              </w:rPr>
              <w:t>满分</w:t>
            </w:r>
            <w:r>
              <w:rPr>
                <w:rFonts w:hint="eastAsia" w:ascii="宋体" w:hAnsi="宋体" w:cs="宋体"/>
                <w:b/>
                <w:color w:val="auto"/>
                <w:szCs w:val="21"/>
                <w:highlight w:val="none"/>
                <w:u w:val="single"/>
              </w:rPr>
              <w:t xml:space="preserve">1.5 </w:t>
            </w:r>
            <w:r>
              <w:rPr>
                <w:rFonts w:hint="eastAsia" w:ascii="宋体" w:hAnsi="宋体" w:cs="宋体"/>
                <w:color w:val="auto"/>
                <w:szCs w:val="21"/>
                <w:highlight w:val="none"/>
              </w:rPr>
              <w:t>分</w:t>
            </w:r>
            <w:r>
              <w:rPr>
                <w:rFonts w:hint="eastAsia" w:ascii="宋体" w:hAnsi="宋体" w:cs="宋体"/>
                <w:bCs/>
                <w:color w:val="auto"/>
                <w:szCs w:val="21"/>
                <w:highlight w:val="none"/>
              </w:rPr>
              <w:t>）</w:t>
            </w:r>
          </w:p>
        </w:tc>
        <w:tc>
          <w:tcPr>
            <w:tcW w:w="6570" w:type="dxa"/>
            <w:tcBorders>
              <w:top w:val="single" w:color="auto" w:sz="4" w:space="0"/>
              <w:left w:val="single" w:color="auto" w:sz="4" w:space="0"/>
              <w:bottom w:val="single" w:color="auto" w:sz="4" w:space="0"/>
              <w:right w:val="single" w:color="auto" w:sz="4" w:space="0"/>
            </w:tcBorders>
            <w:noWrap/>
          </w:tcPr>
          <w:p>
            <w:pPr>
              <w:spacing w:line="360" w:lineRule="auto"/>
              <w:rPr>
                <w:rFonts w:ascii="宋体" w:hAnsi="宋体" w:cs="宋体"/>
                <w:color w:val="auto"/>
                <w:szCs w:val="21"/>
                <w:highlight w:val="none"/>
              </w:rPr>
            </w:pPr>
            <w:r>
              <w:rPr>
                <w:rFonts w:hint="eastAsia" w:ascii="宋体" w:hAnsi="宋体" w:cs="宋体"/>
                <w:color w:val="auto"/>
                <w:szCs w:val="21"/>
                <w:highlight w:val="none"/>
              </w:rPr>
              <w:t>2022年1月1日至今所投产品</w:t>
            </w:r>
            <w:r>
              <w:rPr>
                <w:rFonts w:hint="eastAsia" w:cs="宋体" w:asciiTheme="minorEastAsia" w:hAnsiTheme="minorEastAsia" w:eastAsiaTheme="minorEastAsia"/>
                <w:color w:val="auto"/>
                <w:szCs w:val="21"/>
                <w:highlight w:val="none"/>
              </w:rPr>
              <w:t>相同设备</w:t>
            </w:r>
            <w:r>
              <w:rPr>
                <w:rFonts w:hint="eastAsia" w:ascii="宋体" w:hAnsi="宋体" w:cs="宋体"/>
                <w:color w:val="auto"/>
                <w:szCs w:val="21"/>
                <w:highlight w:val="none"/>
              </w:rPr>
              <w:t>（</w:t>
            </w:r>
            <w:r>
              <w:rPr>
                <w:rFonts w:hint="eastAsia" w:cs="宋体" w:asciiTheme="minorEastAsia" w:hAnsiTheme="minorEastAsia" w:eastAsiaTheme="minorEastAsia"/>
                <w:color w:val="auto"/>
                <w:szCs w:val="21"/>
                <w:highlight w:val="none"/>
              </w:rPr>
              <w:t>相同设备指与采购标的相同品牌及型号的设备，业绩乙方可为生产厂家、代理商或经销商，甲方须为产品实际使用用户</w:t>
            </w:r>
            <w:r>
              <w:rPr>
                <w:rFonts w:hint="eastAsia" w:ascii="宋体" w:hAnsi="宋体" w:cs="宋体"/>
                <w:color w:val="auto"/>
                <w:szCs w:val="21"/>
                <w:highlight w:val="none"/>
              </w:rPr>
              <w:t>）业绩，每提供1项得0.5分，满分</w:t>
            </w:r>
            <w:r>
              <w:rPr>
                <w:rFonts w:hint="eastAsia" w:ascii="宋体" w:hAnsi="宋体" w:cs="宋体"/>
                <w:b/>
                <w:color w:val="auto"/>
                <w:szCs w:val="21"/>
                <w:highlight w:val="none"/>
                <w:u w:val="single"/>
              </w:rPr>
              <w:t>1.5</w:t>
            </w:r>
            <w:r>
              <w:rPr>
                <w:rFonts w:hint="eastAsia" w:ascii="宋体" w:hAnsi="宋体" w:cs="宋体"/>
                <w:color w:val="auto"/>
                <w:szCs w:val="21"/>
                <w:highlight w:val="none"/>
              </w:rPr>
              <w:t>分。</w:t>
            </w:r>
          </w:p>
          <w:p>
            <w:pPr>
              <w:spacing w:line="360" w:lineRule="auto"/>
              <w:rPr>
                <w:rFonts w:ascii="宋体" w:hAnsi="宋体" w:cs="宋体"/>
                <w:b/>
                <w:color w:val="auto"/>
                <w:szCs w:val="21"/>
                <w:highlight w:val="none"/>
              </w:rPr>
            </w:pPr>
            <w:r>
              <w:rPr>
                <w:rFonts w:hint="eastAsia" w:ascii="宋体" w:hAnsi="宋体" w:cs="宋体"/>
                <w:b/>
                <w:color w:val="auto"/>
                <w:szCs w:val="21"/>
                <w:highlight w:val="none"/>
              </w:rPr>
              <w:t>注：投标文件中提供有效的中标/成交通知书或合同扫描件或验收报告作为证明材料，材料需清晰体现签订时间、买卖双方信息、产品品牌型号，任一关键信息未提供、不全或不清晰的，不予以计分。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5</w:t>
            </w:r>
          </w:p>
        </w:tc>
        <w:tc>
          <w:tcPr>
            <w:tcW w:w="104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政策功能分（1分）</w:t>
            </w:r>
          </w:p>
        </w:tc>
        <w:tc>
          <w:tcPr>
            <w:tcW w:w="132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节能、环保分</w:t>
            </w: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szCs w:val="21"/>
                <w:highlight w:val="none"/>
              </w:rPr>
              <w:t>满分1分</w:t>
            </w:r>
            <w:r>
              <w:rPr>
                <w:rFonts w:hint="eastAsia" w:asciiTheme="minorEastAsia" w:hAnsiTheme="minorEastAsia" w:eastAsiaTheme="minorEastAsia" w:cstheme="minorEastAsia"/>
                <w:bCs/>
                <w:color w:val="auto"/>
                <w:szCs w:val="21"/>
                <w:highlight w:val="none"/>
              </w:rPr>
              <w:t>）</w:t>
            </w:r>
          </w:p>
        </w:tc>
        <w:tc>
          <w:tcPr>
            <w:tcW w:w="6570" w:type="dxa"/>
            <w:tcBorders>
              <w:top w:val="single" w:color="auto" w:sz="4" w:space="0"/>
              <w:left w:val="single" w:color="auto" w:sz="4" w:space="0"/>
              <w:bottom w:val="single" w:color="auto" w:sz="4" w:space="0"/>
              <w:right w:val="single" w:color="auto" w:sz="4" w:space="0"/>
            </w:tcBorders>
            <w:noWrap/>
          </w:tcPr>
          <w:p>
            <w:pPr>
              <w:widowControl/>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属于财政部《节能产品政府采购品目清单》内优先采购（清单内未标注“▲”的品目）的产品[投标文件中提供有效的认证证书复印件（或扫描件）及品目清单（标注出投标产品在品目清单中所属的品目），并加盖投标人电子签章]，根据其所占项目（或分标）金额比例得0-0.5分。</w:t>
            </w:r>
          </w:p>
          <w:p>
            <w:pPr>
              <w:widowControl/>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属于财政部《环境标志产品政府采购品目清单》内的产品[投标文件中提供有效的认证证书复印件（或扫描件）及品目清单（标注出投标产品在品目清单中所属的品目），并加盖投标人电子签章]，根据其所占项目（或分标）金额比例得0-0.5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510"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ind w:firstLine="42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
                <w:bCs/>
                <w:color w:val="auto"/>
                <w:szCs w:val="21"/>
                <w:highlight w:val="none"/>
              </w:rPr>
              <w:t>总得分=1+2+3+4+5。</w:t>
            </w:r>
          </w:p>
        </w:tc>
      </w:tr>
    </w:tbl>
    <w:p>
      <w:pPr>
        <w:spacing w:line="360" w:lineRule="auto"/>
        <w:rPr>
          <w:rFonts w:asciiTheme="minorEastAsia" w:hAnsiTheme="minorEastAsia" w:eastAsiaTheme="minorEastAsia" w:cstheme="minorEastAsia"/>
          <w:color w:val="auto"/>
          <w:highlight w:val="none"/>
        </w:rPr>
      </w:pPr>
    </w:p>
    <w:p>
      <w:pPr>
        <w:spacing w:line="360" w:lineRule="auto"/>
        <w:rPr>
          <w:rFonts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注：计分方法按四舍五入取至百分位</w:t>
      </w:r>
    </w:p>
    <w:p>
      <w:pP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br w:type="page"/>
      </w:r>
    </w:p>
    <w:p>
      <w:pPr>
        <w:spacing w:line="360" w:lineRule="auto"/>
        <w:jc w:val="left"/>
        <w:outlineLvl w:val="2"/>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highlight w:val="none"/>
        </w:rPr>
        <w:t>2分标：综合评分法</w:t>
      </w:r>
    </w:p>
    <w:tbl>
      <w:tblPr>
        <w:tblStyle w:val="52"/>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048"/>
        <w:gridCol w:w="1329"/>
        <w:gridCol w:w="6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611" w:type="dxa"/>
            <w:gridSpan w:val="2"/>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序号</w:t>
            </w:r>
          </w:p>
        </w:tc>
        <w:tc>
          <w:tcPr>
            <w:tcW w:w="1329"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评分因素</w:t>
            </w:r>
          </w:p>
        </w:tc>
        <w:tc>
          <w:tcPr>
            <w:tcW w:w="6461"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w:t>
            </w:r>
          </w:p>
        </w:tc>
        <w:tc>
          <w:tcPr>
            <w:tcW w:w="1048"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价格分</w:t>
            </w:r>
          </w:p>
          <w:p>
            <w:pPr>
              <w:adjustRightInd w:val="0"/>
              <w:spacing w:line="360" w:lineRule="auto"/>
              <w:jc w:val="center"/>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（30分）</w:t>
            </w:r>
          </w:p>
        </w:tc>
        <w:tc>
          <w:tcPr>
            <w:tcW w:w="1329"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投标报价（满分30分）</w:t>
            </w:r>
          </w:p>
        </w:tc>
        <w:tc>
          <w:tcPr>
            <w:tcW w:w="6461" w:type="dxa"/>
            <w:tcBorders>
              <w:top w:val="single" w:color="auto" w:sz="4" w:space="0"/>
              <w:left w:val="single" w:color="auto" w:sz="4" w:space="0"/>
              <w:bottom w:val="single" w:color="auto" w:sz="4" w:space="0"/>
              <w:right w:val="single" w:color="auto" w:sz="4" w:space="0"/>
            </w:tcBorders>
            <w:noWrap/>
            <w:vAlign w:val="center"/>
          </w:tcPr>
          <w:p>
            <w:pPr>
              <w:snapToGrid w:val="0"/>
              <w:spacing w:line="360" w:lineRule="auto"/>
              <w:ind w:firstLine="420" w:firstLineChars="20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（1）评标报价为投标人的投标报价进行政策性扣除后的价格，评标报价只是作为评标时使用。最终中标人的中标金额等于投标报价。</w:t>
            </w:r>
          </w:p>
          <w:p>
            <w:pPr>
              <w:snapToGrid w:val="0"/>
              <w:spacing w:line="360" w:lineRule="auto"/>
              <w:ind w:firstLine="420" w:firstLineChars="20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（2）政策性扣除计算方法。</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根据《政府采购促进中小企业发展管理办法》（财库〔2020〕46号）及</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Cs/>
                <w:color w:val="auto"/>
                <w:szCs w:val="21"/>
                <w:highlight w:val="none"/>
              </w:rPr>
              <w:t>广西壮族自治区财政厅关于持续优化政府采购营商环境推动高质量发展的通知</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Cs/>
                <w:color w:val="auto"/>
                <w:szCs w:val="21"/>
                <w:highlight w:val="none"/>
              </w:rPr>
              <w:t>桂财采〔2024〕55号</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Cs/>
                <w:color w:val="auto"/>
                <w:szCs w:val="21"/>
                <w:highlight w:val="none"/>
              </w:rPr>
              <w:t>的规定，投标人在其投标文件中提供《中小企业声明函》，且其投标全部货物由小微企业制造的，对其投标报价给予</w:t>
            </w:r>
            <w:r>
              <w:rPr>
                <w:rFonts w:hint="eastAsia" w:asciiTheme="minorEastAsia" w:hAnsiTheme="minorEastAsia" w:eastAsiaTheme="minorEastAsia" w:cstheme="minorEastAsia"/>
                <w:bCs/>
                <w:color w:val="auto"/>
                <w:szCs w:val="21"/>
                <w:highlight w:val="none"/>
                <w:u w:val="single"/>
              </w:rPr>
              <w:t>10%</w:t>
            </w:r>
            <w:r>
              <w:rPr>
                <w:rFonts w:hint="eastAsia" w:asciiTheme="minorEastAsia" w:hAnsiTheme="minorEastAsia" w:eastAsiaTheme="minorEastAsia" w:cstheme="minorEastAsia"/>
                <w:bCs/>
                <w:color w:val="auto"/>
                <w:szCs w:val="21"/>
                <w:highlight w:val="none"/>
              </w:rPr>
              <w:t>（范围为10%-20%）的扣除，扣除后的价格为评标报价，即评标报价=投标报价×（1-</w:t>
            </w:r>
            <w:r>
              <w:rPr>
                <w:rFonts w:hint="eastAsia" w:asciiTheme="minorEastAsia" w:hAnsiTheme="minorEastAsia" w:eastAsiaTheme="minorEastAsia" w:cstheme="minorEastAsia"/>
                <w:bCs/>
                <w:color w:val="auto"/>
                <w:szCs w:val="21"/>
                <w:highlight w:val="none"/>
                <w:u w:val="single"/>
              </w:rPr>
              <w:t>10</w:t>
            </w:r>
            <w:r>
              <w:rPr>
                <w:rFonts w:hint="eastAsia" w:asciiTheme="minorEastAsia" w:hAnsiTheme="minorEastAsia" w:eastAsiaTheme="minorEastAsia" w:cstheme="minorEastAsia"/>
                <w:bCs/>
                <w:color w:val="auto"/>
                <w:szCs w:val="21"/>
                <w:highlight w:val="none"/>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Theme="minorEastAsia" w:hAnsiTheme="minorEastAsia" w:eastAsiaTheme="minorEastAsia" w:cstheme="minorEastAsia"/>
                <w:bCs/>
                <w:color w:val="auto"/>
                <w:szCs w:val="21"/>
                <w:highlight w:val="none"/>
                <w:u w:val="single"/>
              </w:rPr>
              <w:t>4</w:t>
            </w:r>
            <w:r>
              <w:rPr>
                <w:rFonts w:hint="eastAsia" w:asciiTheme="minorEastAsia" w:hAnsiTheme="minorEastAsia" w:eastAsiaTheme="minorEastAsia" w:cstheme="minorEastAsia"/>
                <w:bCs/>
                <w:color w:val="auto"/>
                <w:szCs w:val="21"/>
                <w:highlight w:val="none"/>
              </w:rPr>
              <w:t>%（范围为4%-6%）的扣除，用扣除后的价格参加评审，扣除后的价格为评标报价，即评标报价=投标报价×（1-</w:t>
            </w:r>
            <w:r>
              <w:rPr>
                <w:rFonts w:hint="eastAsia" w:asciiTheme="minorEastAsia" w:hAnsiTheme="minorEastAsia" w:eastAsiaTheme="minorEastAsia" w:cstheme="minorEastAsia"/>
                <w:bCs/>
                <w:color w:val="auto"/>
                <w:szCs w:val="21"/>
                <w:highlight w:val="none"/>
                <w:u w:val="single"/>
              </w:rPr>
              <w:t>4</w:t>
            </w:r>
            <w:r>
              <w:rPr>
                <w:rFonts w:hint="eastAsia" w:asciiTheme="minorEastAsia" w:hAnsiTheme="minorEastAsia" w:eastAsiaTheme="minorEastAsia" w:cstheme="minorEastAsia"/>
                <w:bCs/>
                <w:color w:val="auto"/>
                <w:szCs w:val="21"/>
                <w:highlight w:val="none"/>
              </w:rPr>
              <w:t>%）。除上述情况外，评标报价=投标报价。</w:t>
            </w:r>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宋体" w:hAnsi="宋体" w:cs="宋体"/>
                <w:color w:val="auto"/>
                <w:szCs w:val="21"/>
                <w:highlight w:val="none"/>
              </w:rPr>
              <w:t>当采购项目或者采购包中含有多种产品，投标人为该采购项目或者采购包提供的符合本国产品标准的产品成本之和占该投标人提供的全部产品成本之和的比例达到80%以上时，依法对该</w:t>
            </w:r>
            <w:r>
              <w:rPr>
                <w:rFonts w:hint="eastAsia" w:ascii="宋体" w:hAnsi="宋体" w:cs="宋体"/>
                <w:bCs/>
                <w:color w:val="auto"/>
                <w:szCs w:val="21"/>
                <w:highlight w:val="none"/>
              </w:rPr>
              <w:t>投标人</w:t>
            </w:r>
            <w:r>
              <w:rPr>
                <w:rFonts w:hint="eastAsia" w:ascii="宋体" w:hAnsi="宋体" w:cs="宋体"/>
                <w:color w:val="auto"/>
                <w:szCs w:val="21"/>
                <w:highlight w:val="none"/>
              </w:rPr>
              <w:t>提供的全部产品给予价格评审优惠，即对该</w:t>
            </w:r>
            <w:r>
              <w:rPr>
                <w:rFonts w:hint="eastAsia" w:ascii="宋体" w:hAnsi="宋体" w:cs="宋体"/>
                <w:bCs/>
                <w:color w:val="auto"/>
                <w:szCs w:val="21"/>
                <w:highlight w:val="none"/>
              </w:rPr>
              <w:t>投标人</w:t>
            </w:r>
            <w:r>
              <w:rPr>
                <w:rFonts w:hint="eastAsia" w:ascii="宋体" w:hAnsi="宋体" w:cs="宋体"/>
                <w:color w:val="auto"/>
                <w:szCs w:val="21"/>
                <w:highlight w:val="none"/>
              </w:rPr>
              <w:t>提供的全部产品的总报价给予20%的价格扣除，用扣除后的价格参与评审。</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（4）按照《财政部、司法部关于政府采购支持监狱企业发展有关问题的通知》（财库〔2014〕68号）的规定，监狱企业视同小型、微型企业，享受预留份额、评审中价格扣除等促进中小企业发展的政府采购政策。</w:t>
            </w:r>
            <w:r>
              <w:rPr>
                <w:rFonts w:hint="eastAsia" w:asciiTheme="minorEastAsia" w:hAnsiTheme="minorEastAsia" w:eastAsiaTheme="minorEastAsia" w:cstheme="minorEastAsia"/>
                <w:color w:val="auto"/>
                <w:szCs w:val="21"/>
                <w:highlight w:val="none"/>
              </w:rPr>
              <w:t>监狱企业参加政府采购活动时，应当提供由省级以上监狱管理局、戒毒管理局（含新疆生产建设兵团）出具的属于监狱企业的证明文件。</w:t>
            </w:r>
            <w:r>
              <w:rPr>
                <w:rFonts w:hint="eastAsia" w:asciiTheme="minorEastAsia" w:hAnsiTheme="minorEastAsia" w:eastAsiaTheme="minorEastAsia" w:cstheme="minorEastAsia"/>
                <w:bCs/>
                <w:color w:val="auto"/>
                <w:szCs w:val="21"/>
                <w:highlight w:val="none"/>
              </w:rPr>
              <w:t>监狱企业属于小型、微型企业的，不重复享受政策。</w:t>
            </w:r>
          </w:p>
          <w:p>
            <w:pPr>
              <w:snapToGrid w:val="0"/>
              <w:spacing w:line="360" w:lineRule="auto"/>
              <w:ind w:firstLine="420" w:firstLineChars="20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（5）按照</w:t>
            </w:r>
            <w:r>
              <w:rPr>
                <w:rFonts w:hint="eastAsia" w:asciiTheme="minorEastAsia" w:hAnsiTheme="minorEastAsia" w:eastAsiaTheme="minorEastAsia" w:cstheme="minorEastAsia"/>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Theme="minorEastAsia" w:hAnsiTheme="minorEastAsia" w:eastAsiaTheme="minorEastAsia" w:cstheme="minorEastAsia"/>
                <w:color w:val="auto"/>
                <w:szCs w:val="21"/>
                <w:highlight w:val="none"/>
              </w:rPr>
              <w:t>残疾人福利性单位参加政府采购活动时，应当提供该通知规定的《残疾人福利性单位声明函》，并对声明的真实性负责。</w:t>
            </w:r>
            <w:r>
              <w:rPr>
                <w:rFonts w:hint="eastAsia" w:asciiTheme="minorEastAsia" w:hAnsiTheme="minorEastAsia" w:eastAsiaTheme="minorEastAsia" w:cstheme="minorEastAsia"/>
                <w:bCs/>
                <w:color w:val="auto"/>
                <w:szCs w:val="21"/>
                <w:highlight w:val="none"/>
              </w:rPr>
              <w:t>残疾人福利性单位属于小型、微型企业的，不重复享受政策。</w:t>
            </w:r>
          </w:p>
          <w:p>
            <w:pPr>
              <w:snapToGrid w:val="0"/>
              <w:spacing w:line="360" w:lineRule="auto"/>
              <w:ind w:firstLine="420" w:firstLineChars="20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（6）满足招标文件要求且评标报价最低的评标报价为评标基准价，其价格分为满分。</w:t>
            </w:r>
          </w:p>
          <w:p>
            <w:pPr>
              <w:snapToGrid w:val="0"/>
              <w:spacing w:line="360" w:lineRule="auto"/>
              <w:ind w:firstLine="420" w:firstLineChars="200"/>
              <w:jc w:val="left"/>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 xml:space="preserve">（7）价格分计算公式： </w:t>
            </w:r>
            <w:r>
              <w:rPr>
                <w:rFonts w:hint="eastAsia" w:asciiTheme="minorEastAsia" w:hAnsiTheme="minorEastAsia" w:eastAsiaTheme="minorEastAsia" w:cstheme="minorEastAsia"/>
                <w:bCs/>
                <w:color w:val="auto"/>
                <w:highlight w:val="none"/>
              </w:rPr>
              <w:t>价格分=（评标基准价／评标报价）×</w:t>
            </w:r>
            <w:r>
              <w:rPr>
                <w:rFonts w:hint="eastAsia" w:asciiTheme="minorEastAsia" w:hAnsiTheme="minorEastAsia" w:eastAsiaTheme="minorEastAsia" w:cstheme="minorEastAsia"/>
                <w:bCs/>
                <w:color w:val="auto"/>
                <w:highlight w:val="none"/>
                <w:u w:val="single"/>
              </w:rPr>
              <w:t>30</w:t>
            </w:r>
            <w:r>
              <w:rPr>
                <w:rFonts w:hint="eastAsia" w:asciiTheme="minorEastAsia" w:hAnsiTheme="minorEastAsia" w:eastAsiaTheme="minorEastAsia" w:cstheme="minorEastAsia"/>
                <w:bCs/>
                <w:color w:val="auto"/>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restart"/>
            <w:tcBorders>
              <w:top w:val="single" w:color="auto" w:sz="4" w:space="0"/>
              <w:left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w:t>
            </w:r>
          </w:p>
        </w:tc>
        <w:tc>
          <w:tcPr>
            <w:tcW w:w="1048" w:type="dxa"/>
            <w:vMerge w:val="restart"/>
            <w:tcBorders>
              <w:top w:val="single" w:color="auto" w:sz="4" w:space="0"/>
              <w:left w:val="single" w:color="auto" w:sz="4" w:space="0"/>
              <w:right w:val="single" w:color="auto" w:sz="4" w:space="0"/>
            </w:tcBorders>
            <w:noWrap/>
            <w:vAlign w:val="center"/>
          </w:tcPr>
          <w:p>
            <w:pPr>
              <w:adjustRightInd w:val="0"/>
              <w:spacing w:line="360" w:lineRule="auto"/>
              <w:ind w:left="-105" w:leftChars="-50" w:right="-105" w:rightChars="-50"/>
              <w:jc w:val="center"/>
              <w:textAlignment w:val="baseline"/>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技术分</w:t>
            </w:r>
          </w:p>
          <w:p>
            <w:pPr>
              <w:adjustRightInd w:val="0"/>
              <w:spacing w:line="360" w:lineRule="auto"/>
              <w:ind w:left="-105" w:leftChars="-50" w:right="-105" w:rightChars="-50"/>
              <w:jc w:val="center"/>
              <w:textAlignment w:val="baseline"/>
              <w:rPr>
                <w:rFonts w:asciiTheme="minorEastAsia" w:hAnsiTheme="minorEastAsia" w:eastAsiaTheme="minorEastAsia" w:cstheme="minorEastAsia"/>
                <w:color w:val="auto"/>
                <w:spacing w:val="-18"/>
                <w:szCs w:val="21"/>
                <w:highlight w:val="none"/>
              </w:rPr>
            </w:pP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
                <w:color w:val="auto"/>
                <w:szCs w:val="21"/>
                <w:highlight w:val="none"/>
              </w:rPr>
              <w:t>满分</w:t>
            </w:r>
            <w:r>
              <w:rPr>
                <w:rFonts w:hint="eastAsia" w:asciiTheme="minorEastAsia" w:hAnsiTheme="minorEastAsia" w:eastAsiaTheme="minorEastAsia" w:cstheme="minorEastAsia"/>
                <w:b/>
                <w:color w:val="auto"/>
                <w:szCs w:val="21"/>
                <w:highlight w:val="none"/>
                <w:u w:val="single"/>
              </w:rPr>
              <w:t>62.5</w:t>
            </w:r>
            <w:r>
              <w:rPr>
                <w:rFonts w:hint="eastAsia" w:asciiTheme="minorEastAsia" w:hAnsiTheme="minorEastAsia" w:eastAsiaTheme="minorEastAsia" w:cstheme="minorEastAsia"/>
                <w:b/>
                <w:bCs/>
                <w:color w:val="auto"/>
                <w:szCs w:val="21"/>
                <w:highlight w:val="none"/>
              </w:rPr>
              <w:t>分）</w:t>
            </w:r>
          </w:p>
        </w:tc>
        <w:tc>
          <w:tcPr>
            <w:tcW w:w="132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一般技术参数要求响应得分（满分</w:t>
            </w:r>
            <w:r>
              <w:rPr>
                <w:rFonts w:hint="eastAsia" w:asciiTheme="minorEastAsia" w:hAnsiTheme="minorEastAsia" w:eastAsiaTheme="minorEastAsia" w:cstheme="minorEastAsia"/>
                <w:bCs/>
                <w:color w:val="auto"/>
                <w:szCs w:val="21"/>
                <w:highlight w:val="none"/>
                <w:u w:val="single"/>
              </w:rPr>
              <w:t>22</w:t>
            </w:r>
            <w:r>
              <w:rPr>
                <w:rFonts w:hint="eastAsia" w:asciiTheme="minorEastAsia" w:hAnsiTheme="minorEastAsia" w:eastAsiaTheme="minorEastAsia" w:cstheme="minorEastAsia"/>
                <w:bCs/>
                <w:color w:val="auto"/>
                <w:szCs w:val="21"/>
                <w:highlight w:val="none"/>
              </w:rPr>
              <w:t>分）</w:t>
            </w:r>
          </w:p>
        </w:tc>
        <w:tc>
          <w:tcPr>
            <w:tcW w:w="6461"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一般技术参数要求响应得分（共计55项目）</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宋体" w:hAnsi="宋体" w:cs="宋体"/>
                <w:bCs/>
                <w:color w:val="auto"/>
                <w:szCs w:val="21"/>
                <w:highlight w:val="none"/>
              </w:rPr>
              <w:t>一般技术参数要求每有1项满足或优于要求的，得0.4分，全部满足要求的，得</w:t>
            </w:r>
            <w:r>
              <w:rPr>
                <w:rFonts w:hint="eastAsia" w:ascii="宋体" w:hAnsi="宋体" w:cs="宋体"/>
                <w:b/>
                <w:color w:val="auto"/>
                <w:szCs w:val="21"/>
                <w:highlight w:val="none"/>
                <w:u w:val="single"/>
              </w:rPr>
              <w:t>22</w:t>
            </w:r>
            <w:r>
              <w:rPr>
                <w:rFonts w:hint="eastAsia" w:ascii="宋体" w:hAnsi="宋体" w:cs="宋体"/>
                <w:bCs/>
                <w:color w:val="auto"/>
                <w:szCs w:val="21"/>
                <w:highlight w:val="none"/>
              </w:rPr>
              <w:t>分。</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注：1、一般技术参数要求是指技术参数要求中未标注“▲”、“●”的技术参数。</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2、专用名称不作为评审项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continue"/>
            <w:tcBorders>
              <w:left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b/>
                <w:color w:val="auto"/>
                <w:szCs w:val="21"/>
                <w:highlight w:val="none"/>
              </w:rPr>
            </w:pPr>
          </w:p>
        </w:tc>
        <w:tc>
          <w:tcPr>
            <w:tcW w:w="1048" w:type="dxa"/>
            <w:vMerge w:val="continue"/>
            <w:tcBorders>
              <w:left w:val="single" w:color="auto" w:sz="4" w:space="0"/>
              <w:right w:val="single" w:color="auto" w:sz="4" w:space="0"/>
            </w:tcBorders>
            <w:noWrap/>
            <w:vAlign w:val="center"/>
          </w:tcPr>
          <w:p>
            <w:pPr>
              <w:adjustRightInd w:val="0"/>
              <w:spacing w:line="360" w:lineRule="auto"/>
              <w:ind w:left="-105" w:leftChars="-50" w:right="-105" w:rightChars="-50"/>
              <w:jc w:val="center"/>
              <w:textAlignment w:val="baseline"/>
              <w:rPr>
                <w:rFonts w:asciiTheme="minorEastAsia" w:hAnsiTheme="minorEastAsia" w:eastAsiaTheme="minorEastAsia" w:cstheme="minorEastAsia"/>
                <w:b/>
                <w:bCs/>
                <w:color w:val="auto"/>
                <w:szCs w:val="21"/>
                <w:highlight w:val="none"/>
              </w:rPr>
            </w:pPr>
          </w:p>
        </w:tc>
        <w:tc>
          <w:tcPr>
            <w:tcW w:w="1329" w:type="dxa"/>
            <w:tcBorders>
              <w:left w:val="single" w:color="auto" w:sz="4" w:space="0"/>
              <w:right w:val="single" w:color="auto" w:sz="4" w:space="0"/>
            </w:tcBorders>
            <w:noWrap/>
            <w:vAlign w:val="center"/>
          </w:tcPr>
          <w:p>
            <w:pPr>
              <w:spacing w:line="360" w:lineRule="auto"/>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重要技术参数要求响应得分（满分</w:t>
            </w:r>
            <w:r>
              <w:rPr>
                <w:rFonts w:hint="eastAsia" w:asciiTheme="minorEastAsia" w:hAnsiTheme="minorEastAsia" w:eastAsiaTheme="minorEastAsia" w:cstheme="minorEastAsia"/>
                <w:bCs/>
                <w:color w:val="auto"/>
                <w:szCs w:val="21"/>
                <w:highlight w:val="none"/>
                <w:u w:val="single"/>
              </w:rPr>
              <w:t>27</w:t>
            </w:r>
            <w:r>
              <w:rPr>
                <w:rFonts w:hint="eastAsia" w:asciiTheme="minorEastAsia" w:hAnsiTheme="minorEastAsia" w:eastAsiaTheme="minorEastAsia" w:cstheme="minorEastAsia"/>
                <w:bCs/>
                <w:color w:val="auto"/>
                <w:szCs w:val="21"/>
                <w:highlight w:val="none"/>
              </w:rPr>
              <w:t>分）</w:t>
            </w:r>
          </w:p>
        </w:tc>
        <w:tc>
          <w:tcPr>
            <w:tcW w:w="6461" w:type="dxa"/>
            <w:tcBorders>
              <w:top w:val="single" w:color="auto" w:sz="4" w:space="0"/>
              <w:left w:val="single" w:color="auto" w:sz="4" w:space="0"/>
              <w:right w:val="single" w:color="auto" w:sz="4" w:space="0"/>
            </w:tcBorders>
            <w:noWrap/>
            <w:vAlign w:val="center"/>
          </w:tcPr>
          <w:p>
            <w:pPr>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重要技术参数要求响应得分（共计6项目）；</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（1）投标人所投设备满足或优于技术要求“●4.1探测器材料：非晶硅或非晶硒”的得4.5分。</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（2）投标人所投设备满足或优于技术要求“●4.3高分辨率采集矩阵≥3072×3840”的得4.5分。</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（3）投标人所投设备满足或优于技术要求“●4.4像素尺寸≤77微米”的得4.5分。</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（4）投标人所投设备满足或优于技术要求“●4.6空间分辨率≥6lp/mm”的得4.5分。</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（5）投标人所投设备满足或优于技术要求“●5.8具备感应式智能压迫功能”的得4分。</w:t>
            </w:r>
          </w:p>
          <w:p>
            <w:pPr>
              <w:spacing w:line="360" w:lineRule="auto"/>
              <w:ind w:firstLine="420"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（6）投标人所投设备满足或优于技术要求“●7.3实现三维断层摄影、三维断层融合合成二维功能，无需加装外置组件”的得5分。</w:t>
            </w:r>
          </w:p>
          <w:p>
            <w:pPr>
              <w:spacing w:line="360" w:lineRule="auto"/>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注：1、重要参数是指第技术参数中标注“●”的技术参数。必须提供相关证明材料，否则评标委员会可以视为负偏离或不响应。证明材料指对外公开的产品彩页或说明书（体现技术参数，可以是从生产厂家网页下载的PDF或HTM文件或在食品药品监督管理部门备案的技术参数或检测报告或生产厂家盖章的技术参数证明材料）</w:t>
            </w:r>
          </w:p>
          <w:p>
            <w:pPr>
              <w:spacing w:line="360" w:lineRule="auto"/>
              <w:ind w:firstLine="422" w:firstLineChars="20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
                <w:color w:val="auto"/>
                <w:szCs w:val="21"/>
                <w:highlight w:val="none"/>
              </w:rPr>
              <w:t>2、专用名称不作为评审项。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continue"/>
            <w:tcBorders>
              <w:left w:val="single" w:color="auto" w:sz="4" w:space="0"/>
              <w:right w:val="single" w:color="auto" w:sz="4" w:space="0"/>
            </w:tcBorders>
            <w:noWrap/>
            <w:vAlign w:val="center"/>
          </w:tcPr>
          <w:p>
            <w:pPr>
              <w:widowControl/>
              <w:spacing w:line="360" w:lineRule="auto"/>
              <w:jc w:val="left"/>
              <w:rPr>
                <w:rFonts w:asciiTheme="minorEastAsia" w:hAnsiTheme="minorEastAsia" w:eastAsiaTheme="minorEastAsia" w:cstheme="minorEastAsia"/>
                <w:b/>
                <w:color w:val="auto"/>
                <w:szCs w:val="21"/>
                <w:highlight w:val="none"/>
              </w:rPr>
            </w:pPr>
          </w:p>
        </w:tc>
        <w:tc>
          <w:tcPr>
            <w:tcW w:w="1048" w:type="dxa"/>
            <w:vMerge w:val="continue"/>
            <w:tcBorders>
              <w:left w:val="single" w:color="auto" w:sz="4" w:space="0"/>
              <w:right w:val="single" w:color="auto" w:sz="4" w:space="0"/>
            </w:tcBorders>
            <w:noWrap/>
            <w:vAlign w:val="center"/>
          </w:tcPr>
          <w:p>
            <w:pPr>
              <w:widowControl/>
              <w:spacing w:line="360" w:lineRule="auto"/>
              <w:jc w:val="left"/>
              <w:rPr>
                <w:rFonts w:asciiTheme="minorEastAsia" w:hAnsiTheme="minorEastAsia" w:eastAsiaTheme="minorEastAsia" w:cstheme="minorEastAsia"/>
                <w:color w:val="auto"/>
                <w:spacing w:val="-18"/>
                <w:szCs w:val="21"/>
                <w:highlight w:val="none"/>
              </w:rPr>
            </w:pPr>
          </w:p>
        </w:tc>
        <w:tc>
          <w:tcPr>
            <w:tcW w:w="1329"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bCs/>
                <w:color w:val="auto"/>
                <w:szCs w:val="21"/>
                <w:highlight w:val="none"/>
              </w:rPr>
            </w:pPr>
            <w:r>
              <w:rPr>
                <w:rFonts w:hint="eastAsia" w:ascii="宋体" w:hAnsi="宋体" w:cs="宋体"/>
                <w:bCs/>
                <w:color w:val="auto"/>
                <w:szCs w:val="21"/>
                <w:highlight w:val="none"/>
              </w:rPr>
              <w:t>项目实施方案分（满分9分）</w:t>
            </w:r>
          </w:p>
        </w:tc>
        <w:tc>
          <w:tcPr>
            <w:tcW w:w="6461"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ind w:firstLine="420" w:firstLineChars="200"/>
              <w:textAlignment w:val="baseline"/>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根据投标文件中投标人技术及项目实施方案内容独立评分，未提供方案、方案内容未达一档要求、方案内容有前后矛盾等明显错误的，本项不得分。</w:t>
            </w:r>
          </w:p>
          <w:p>
            <w:pPr>
              <w:spacing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一档（3分）：方案需至少包含项目实施管理组织架构、实施管理措施、实施流程及进度安排、设备配送方案、配送团队配置、安装方案、验收方案、质量保证措施这八项基础模块。</w:t>
            </w:r>
          </w:p>
          <w:p>
            <w:pPr>
              <w:spacing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二档（6分）：在满足一档的基础上，提出了有利于项目执行的初步框架，满足医院采购的合规性与功能性要求，有具体执行细节，不仅对各项基础模块赋予了明确的执行规则、时间节点、人员资质与操作标准，还有针对项目的专项应急方案，内容包括采购服务对接机制、涵盖设备破损与延误等场景的应急处理措施，以及包含性能检测与争议处理的标准化验收流程。</w:t>
            </w:r>
          </w:p>
          <w:p>
            <w:pPr>
              <w:spacing w:line="360" w:lineRule="auto"/>
              <w:ind w:firstLine="420" w:firstLineChars="200"/>
              <w:rPr>
                <w:rFonts w:cs="宋体" w:asciiTheme="minorEastAsia" w:hAnsiTheme="minorEastAsia" w:eastAsiaTheme="minorEastAsia"/>
                <w:bCs/>
                <w:color w:val="auto"/>
                <w:szCs w:val="21"/>
                <w:highlight w:val="none"/>
              </w:rPr>
            </w:pPr>
            <w:r>
              <w:rPr>
                <w:rFonts w:hint="eastAsia" w:asciiTheme="minorEastAsia" w:hAnsiTheme="minorEastAsia" w:eastAsiaTheme="minorEastAsia"/>
                <w:color w:val="auto"/>
                <w:szCs w:val="21"/>
                <w:highlight w:val="none"/>
              </w:rPr>
              <w:t>三档（9分）：在满足二档的基础上，有能应对覆盖本项目所涉区内县域医共体使用单位的集采配送方案。方案须包含至少≥2项由数据或案例支撑的优化建议（如验收效率提升）。整个方案形成目标、标准、责任人、节点与考核指标闭环管理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continue"/>
            <w:tcBorders>
              <w:left w:val="single" w:color="auto" w:sz="4" w:space="0"/>
              <w:right w:val="single" w:color="auto" w:sz="4" w:space="0"/>
            </w:tcBorders>
            <w:noWrap/>
            <w:vAlign w:val="center"/>
          </w:tcPr>
          <w:p>
            <w:pPr>
              <w:widowControl/>
              <w:spacing w:line="360" w:lineRule="auto"/>
              <w:jc w:val="left"/>
              <w:rPr>
                <w:rFonts w:asciiTheme="minorEastAsia" w:hAnsiTheme="minorEastAsia" w:eastAsiaTheme="minorEastAsia" w:cstheme="minorEastAsia"/>
                <w:b/>
                <w:color w:val="auto"/>
                <w:szCs w:val="21"/>
                <w:highlight w:val="none"/>
              </w:rPr>
            </w:pPr>
          </w:p>
        </w:tc>
        <w:tc>
          <w:tcPr>
            <w:tcW w:w="1048" w:type="dxa"/>
            <w:vMerge w:val="continue"/>
            <w:tcBorders>
              <w:left w:val="single" w:color="auto" w:sz="4" w:space="0"/>
              <w:right w:val="single" w:color="auto" w:sz="4" w:space="0"/>
            </w:tcBorders>
            <w:noWrap/>
            <w:vAlign w:val="center"/>
          </w:tcPr>
          <w:p>
            <w:pPr>
              <w:widowControl/>
              <w:spacing w:line="360" w:lineRule="auto"/>
              <w:jc w:val="left"/>
              <w:rPr>
                <w:rFonts w:asciiTheme="minorEastAsia" w:hAnsiTheme="minorEastAsia" w:eastAsiaTheme="minorEastAsia" w:cstheme="minorEastAsia"/>
                <w:color w:val="auto"/>
                <w:spacing w:val="-18"/>
                <w:szCs w:val="21"/>
                <w:highlight w:val="none"/>
              </w:rPr>
            </w:pPr>
          </w:p>
        </w:tc>
        <w:tc>
          <w:tcPr>
            <w:tcW w:w="1329"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拟投入技术人员分（满分2分）</w:t>
            </w:r>
          </w:p>
        </w:tc>
        <w:tc>
          <w:tcPr>
            <w:tcW w:w="6461"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根据投标文件中投标人拟投入技术人员方案内容独立评分</w:t>
            </w:r>
            <w:r>
              <w:rPr>
                <w:rFonts w:hint="eastAsia" w:cs="宋体" w:asciiTheme="minorEastAsia" w:hAnsiTheme="minorEastAsia" w:eastAsiaTheme="minorEastAsia"/>
                <w:bCs/>
                <w:color w:val="auto"/>
                <w:szCs w:val="21"/>
                <w:highlight w:val="none"/>
              </w:rPr>
              <w:t>，未提供方案或未达一档要求的，本项不得分。</w:t>
            </w:r>
            <w:r>
              <w:rPr>
                <w:rFonts w:hint="eastAsia" w:cs="宋体" w:asciiTheme="minorEastAsia" w:hAnsiTheme="minorEastAsia" w:eastAsiaTheme="minorEastAsia"/>
                <w:color w:val="auto"/>
                <w:szCs w:val="21"/>
                <w:highlight w:val="none"/>
              </w:rPr>
              <w:t xml:space="preserve">   </w:t>
            </w:r>
          </w:p>
          <w:p>
            <w:pPr>
              <w:spacing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一档（1分）：明确安装调试及验收阶段拟投入≥1名的服务专职服务人员，且人员需提供医疗器械相关专业背景证明或制造商技术技能认证，数量与资质满足项目实施需求。</w:t>
            </w:r>
          </w:p>
          <w:p>
            <w:pPr>
              <w:spacing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二档（2分）：满足一档全部要求基础上，额外明确安装调试及验收阶段配置覆盖所有使用单位不少于1人的专家技术梯队，梯队成员需提供3年以上本项目设备服务经验证明且至少1人主导过2个及以上同类设备项目成功部署证明；同时承诺质保期内配置常驻广西壮族自治区，常驻支持团队人数不少于1人，所有成员均提供制造商技术技能认证，至少1人提供医疗器械相关专业中级及以上职称证书，且明确团队服务热线及响应时限、驻点地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continue"/>
            <w:tcBorders>
              <w:left w:val="single" w:color="auto" w:sz="4" w:space="0"/>
              <w:bottom w:val="single" w:color="auto" w:sz="4" w:space="0"/>
              <w:right w:val="single" w:color="auto" w:sz="4" w:space="0"/>
            </w:tcBorders>
            <w:noWrap/>
            <w:vAlign w:val="center"/>
          </w:tcPr>
          <w:p>
            <w:pPr>
              <w:widowControl/>
              <w:spacing w:line="360" w:lineRule="auto"/>
              <w:jc w:val="left"/>
              <w:rPr>
                <w:rFonts w:asciiTheme="minorEastAsia" w:hAnsiTheme="minorEastAsia" w:eastAsiaTheme="minorEastAsia" w:cstheme="minorEastAsia"/>
                <w:b/>
                <w:color w:val="auto"/>
                <w:szCs w:val="21"/>
                <w:highlight w:val="none"/>
              </w:rPr>
            </w:pPr>
          </w:p>
        </w:tc>
        <w:tc>
          <w:tcPr>
            <w:tcW w:w="1048" w:type="dxa"/>
            <w:vMerge w:val="continue"/>
            <w:tcBorders>
              <w:left w:val="single" w:color="auto" w:sz="4" w:space="0"/>
              <w:bottom w:val="single" w:color="auto" w:sz="4" w:space="0"/>
              <w:right w:val="single" w:color="auto" w:sz="4" w:space="0"/>
            </w:tcBorders>
            <w:noWrap/>
            <w:vAlign w:val="center"/>
          </w:tcPr>
          <w:p>
            <w:pPr>
              <w:widowControl/>
              <w:spacing w:line="360" w:lineRule="auto"/>
              <w:jc w:val="left"/>
              <w:rPr>
                <w:rFonts w:asciiTheme="minorEastAsia" w:hAnsiTheme="minorEastAsia" w:eastAsiaTheme="minorEastAsia" w:cstheme="minorEastAsia"/>
                <w:color w:val="auto"/>
                <w:spacing w:val="-18"/>
                <w:szCs w:val="21"/>
                <w:highlight w:val="none"/>
              </w:rPr>
            </w:pPr>
          </w:p>
        </w:tc>
        <w:tc>
          <w:tcPr>
            <w:tcW w:w="1329"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cs="宋体"/>
                <w:bCs/>
                <w:color w:val="auto"/>
                <w:szCs w:val="21"/>
                <w:highlight w:val="none"/>
              </w:rPr>
            </w:pPr>
            <w:r>
              <w:rPr>
                <w:rFonts w:hint="eastAsia" w:ascii="宋体" w:hAnsi="宋体" w:cs="宋体"/>
                <w:bCs/>
                <w:color w:val="auto"/>
                <w:szCs w:val="21"/>
                <w:highlight w:val="none"/>
              </w:rPr>
              <w:t>培训计划分（满分2分）</w:t>
            </w:r>
          </w:p>
        </w:tc>
        <w:tc>
          <w:tcPr>
            <w:tcW w:w="6461"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根据投标文件中投标人培训方案内容独立评分，未提供方案或</w:t>
            </w:r>
            <w:r>
              <w:rPr>
                <w:rFonts w:hint="eastAsia" w:cs="宋体" w:asciiTheme="minorEastAsia" w:hAnsiTheme="minorEastAsia" w:eastAsiaTheme="minorEastAsia"/>
                <w:bCs/>
                <w:color w:val="auto"/>
                <w:szCs w:val="21"/>
                <w:highlight w:val="none"/>
              </w:rPr>
              <w:t>未达一档要求</w:t>
            </w:r>
            <w:r>
              <w:rPr>
                <w:rFonts w:hint="eastAsia" w:ascii="宋体" w:hAnsi="宋体" w:cs="宋体"/>
                <w:bCs/>
                <w:color w:val="auto"/>
                <w:szCs w:val="21"/>
                <w:highlight w:val="none"/>
              </w:rPr>
              <w:t>的，本项不得分。</w:t>
            </w:r>
          </w:p>
          <w:p>
            <w:pPr>
              <w:adjustRightInd w:val="0"/>
              <w:spacing w:line="360" w:lineRule="auto"/>
              <w:ind w:firstLine="420" w:firstLineChars="200"/>
              <w:textAlignment w:val="baseline"/>
              <w:rPr>
                <w:rFonts w:ascii="宋体" w:hAnsi="宋体"/>
                <w:bCs/>
                <w:color w:val="auto"/>
                <w:szCs w:val="21"/>
                <w:highlight w:val="none"/>
              </w:rPr>
            </w:pPr>
            <w:r>
              <w:rPr>
                <w:rFonts w:hint="eastAsia" w:ascii="宋体" w:hAnsi="宋体"/>
                <w:bCs/>
                <w:color w:val="auto"/>
                <w:szCs w:val="21"/>
                <w:highlight w:val="none"/>
              </w:rPr>
              <w:t>一档（1分）：提供覆盖本项目所涉区内所有县域医共体使用单位的培训初步计划，明确承诺为每个使用单位提供不少于1次现场培训，列出的培训课程核心提纲需包含设备基本原理、标准操作流程、日常保养规范内容，覆盖所有使用单位基础标准化操作指导需求。</w:t>
            </w:r>
          </w:p>
          <w:p>
            <w:pPr>
              <w:adjustRightInd w:val="0"/>
              <w:spacing w:line="360" w:lineRule="auto"/>
              <w:ind w:firstLine="420" w:firstLineChars="200"/>
              <w:textAlignment w:val="baseline"/>
              <w:rPr>
                <w:rFonts w:ascii="宋体" w:hAnsi="宋体"/>
                <w:bCs/>
                <w:color w:val="auto"/>
                <w:szCs w:val="21"/>
                <w:highlight w:val="none"/>
              </w:rPr>
            </w:pPr>
            <w:r>
              <w:rPr>
                <w:rFonts w:hint="eastAsia" w:ascii="宋体" w:hAnsi="宋体"/>
                <w:bCs/>
                <w:color w:val="auto"/>
                <w:szCs w:val="21"/>
                <w:highlight w:val="none"/>
              </w:rPr>
              <w:t>二档（2分）：满足一档全部要求基础上，额外明确拟派培训人员需具备</w:t>
            </w:r>
            <w:r>
              <w:rPr>
                <w:rFonts w:hint="eastAsia"/>
                <w:color w:val="auto"/>
                <w:szCs w:val="21"/>
                <w:highlight w:val="none"/>
              </w:rPr>
              <w:t>3</w:t>
            </w:r>
            <w:r>
              <w:rPr>
                <w:rFonts w:hint="eastAsia" w:ascii="宋体" w:hAnsi="宋体"/>
                <w:bCs/>
                <w:color w:val="auto"/>
                <w:szCs w:val="21"/>
                <w:highlight w:val="none"/>
              </w:rPr>
              <w:t>年以上同类医疗设备培训经验，拟派培训人员姓名及资质证明、每个使用单位培训具体时间、单次培训覆盖人数，培训形式含实操、考核环节，培训内容增加设备功能理论讲解、简单故障排除，同时提供培训资料，形成全流程覆盖的完整培训体系，且培训内容、人员、时间与所有使用单位需求完全匹配，支撑人员独立完成设备操作与基础故障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vMerge w:val="restart"/>
            <w:tcBorders>
              <w:top w:val="single" w:color="auto" w:sz="4" w:space="0"/>
              <w:left w:val="single" w:color="auto" w:sz="4" w:space="0"/>
              <w:right w:val="single" w:color="auto" w:sz="4" w:space="0"/>
            </w:tcBorders>
            <w:noWrap/>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 3</w:t>
            </w:r>
          </w:p>
        </w:tc>
        <w:tc>
          <w:tcPr>
            <w:tcW w:w="1048" w:type="dxa"/>
            <w:vMerge w:val="restart"/>
            <w:tcBorders>
              <w:top w:val="single" w:color="auto" w:sz="4" w:space="0"/>
              <w:left w:val="single" w:color="auto" w:sz="4" w:space="0"/>
              <w:right w:val="single" w:color="auto" w:sz="4" w:space="0"/>
            </w:tcBorders>
            <w:noWrap/>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Cs w:val="21"/>
                <w:highlight w:val="none"/>
              </w:rPr>
              <w:t>售后服务分（</w:t>
            </w:r>
            <w:r>
              <w:rPr>
                <w:rFonts w:hint="eastAsia" w:asciiTheme="minorEastAsia" w:hAnsiTheme="minorEastAsia" w:eastAsiaTheme="minorEastAsia" w:cstheme="minorEastAsia"/>
                <w:b/>
                <w:color w:val="auto"/>
                <w:szCs w:val="21"/>
                <w:highlight w:val="none"/>
              </w:rPr>
              <w:t>满分</w:t>
            </w:r>
            <w:r>
              <w:rPr>
                <w:rFonts w:hint="eastAsia" w:asciiTheme="minorEastAsia" w:hAnsiTheme="minorEastAsia" w:eastAsiaTheme="minorEastAsia" w:cstheme="minorEastAsia"/>
                <w:b/>
                <w:color w:val="auto"/>
                <w:szCs w:val="21"/>
                <w:highlight w:val="none"/>
                <w:u w:val="single"/>
              </w:rPr>
              <w:t>4</w:t>
            </w:r>
            <w:r>
              <w:rPr>
                <w:rFonts w:hint="eastAsia" w:asciiTheme="minorEastAsia" w:hAnsiTheme="minorEastAsia" w:eastAsiaTheme="minorEastAsia" w:cstheme="minorEastAsia"/>
                <w:b/>
                <w:color w:val="auto"/>
                <w:szCs w:val="21"/>
                <w:highlight w:val="none"/>
              </w:rPr>
              <w:t>分</w:t>
            </w:r>
            <w:r>
              <w:rPr>
                <w:rFonts w:hint="eastAsia" w:asciiTheme="minorEastAsia" w:hAnsiTheme="minorEastAsia" w:eastAsiaTheme="minorEastAsia" w:cstheme="minorEastAsia"/>
                <w:b/>
                <w:bCs/>
                <w:color w:val="auto"/>
                <w:szCs w:val="21"/>
                <w:highlight w:val="none"/>
              </w:rPr>
              <w:t>）</w:t>
            </w:r>
          </w:p>
        </w:tc>
        <w:tc>
          <w:tcPr>
            <w:tcW w:w="1329" w:type="dxa"/>
            <w:tcBorders>
              <w:top w:val="single" w:color="auto" w:sz="4" w:space="0"/>
              <w:left w:val="single" w:color="auto" w:sz="4" w:space="0"/>
              <w:bottom w:val="single" w:color="auto" w:sz="4" w:space="0"/>
              <w:right w:val="single" w:color="auto" w:sz="4" w:space="0"/>
            </w:tcBorders>
            <w:noWrap/>
            <w:tcMar>
              <w:top w:w="0" w:type="dxa"/>
              <w:left w:w="57" w:type="dxa"/>
              <w:bottom w:w="0" w:type="dxa"/>
              <w:right w:w="57" w:type="dxa"/>
            </w:tcMar>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售后服务方案分（满分2分）</w:t>
            </w:r>
          </w:p>
        </w:tc>
        <w:tc>
          <w:tcPr>
            <w:tcW w:w="6461" w:type="dxa"/>
            <w:tcBorders>
              <w:top w:val="single" w:color="auto" w:sz="4" w:space="0"/>
              <w:left w:val="single" w:color="auto" w:sz="4" w:space="0"/>
              <w:bottom w:val="single" w:color="auto" w:sz="4" w:space="0"/>
              <w:right w:val="single" w:color="auto" w:sz="4" w:space="0"/>
            </w:tcBorders>
            <w:noWrap/>
            <w:vAlign w:val="center"/>
          </w:tcPr>
          <w:p>
            <w:pPr>
              <w:spacing w:line="360" w:lineRule="auto"/>
              <w:ind w:firstLine="420" w:firstLineChars="200"/>
              <w:rPr>
                <w:rFonts w:asciiTheme="minorEastAsia" w:hAnsiTheme="minorEastAsia" w:cstheme="minorEastAsia"/>
                <w:color w:val="auto"/>
                <w:szCs w:val="21"/>
                <w:highlight w:val="none"/>
              </w:rPr>
            </w:pPr>
            <w:r>
              <w:rPr>
                <w:rFonts w:hint="eastAsia" w:ascii="宋体" w:hAnsi="宋体" w:cs="宋体"/>
                <w:bCs/>
                <w:color w:val="auto"/>
                <w:szCs w:val="21"/>
                <w:highlight w:val="none"/>
              </w:rPr>
              <w:t>根据投标文件中投标人</w:t>
            </w:r>
            <w:r>
              <w:rPr>
                <w:rFonts w:hint="eastAsia" w:ascii="宋体" w:hAnsi="宋体" w:cs="宋体"/>
                <w:color w:val="auto"/>
                <w:szCs w:val="21"/>
                <w:highlight w:val="none"/>
              </w:rPr>
              <w:t>售后服务方案</w:t>
            </w:r>
            <w:r>
              <w:rPr>
                <w:rFonts w:hint="eastAsia" w:ascii="宋体" w:hAnsi="宋体" w:cs="宋体"/>
                <w:bCs/>
                <w:color w:val="auto"/>
                <w:szCs w:val="21"/>
                <w:highlight w:val="none"/>
              </w:rPr>
              <w:t>独立评分，未提供或</w:t>
            </w:r>
            <w:r>
              <w:rPr>
                <w:rFonts w:hint="eastAsia" w:cs="宋体" w:asciiTheme="minorEastAsia" w:hAnsiTheme="minorEastAsia" w:eastAsiaTheme="minorEastAsia"/>
                <w:bCs/>
                <w:color w:val="auto"/>
                <w:szCs w:val="21"/>
                <w:highlight w:val="none"/>
              </w:rPr>
              <w:t>未达一档要求</w:t>
            </w:r>
            <w:r>
              <w:rPr>
                <w:rFonts w:hint="eastAsia" w:ascii="宋体" w:hAnsi="宋体" w:cs="宋体"/>
                <w:bCs/>
                <w:color w:val="auto"/>
                <w:szCs w:val="21"/>
                <w:highlight w:val="none"/>
              </w:rPr>
              <w:t>的，本项不得分。</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一档（1分）：能提供售后服务方案，内容包含但不限于售后服务管理制度、售后服务管理组织架构、售后服务流程，满足招标文件基本要求。</w:t>
            </w:r>
          </w:p>
          <w:p>
            <w:pPr>
              <w:spacing w:line="360" w:lineRule="auto"/>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档（2分）：在满足一档的基础上，还提供有具体的售后服务团队配置情况、服务团队职责分工明确，有售后应急预案、发生故障时提供备用机或其他替代解决的具体措施、售后服务质量保障方案，售后服务方案详细、合理、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7" w:hRule="atLeast"/>
          <w:jc w:val="center"/>
        </w:trPr>
        <w:tc>
          <w:tcPr>
            <w:tcW w:w="563" w:type="dxa"/>
            <w:vMerge w:val="continue"/>
            <w:tcBorders>
              <w:left w:val="single" w:color="auto" w:sz="4" w:space="0"/>
              <w:right w:val="single" w:color="auto" w:sz="4" w:space="0"/>
            </w:tcBorders>
            <w:noWrap/>
            <w:vAlign w:val="center"/>
          </w:tcPr>
          <w:p>
            <w:pPr>
              <w:spacing w:line="360" w:lineRule="auto"/>
              <w:jc w:val="center"/>
              <w:rPr>
                <w:rFonts w:asciiTheme="minorEastAsia" w:hAnsiTheme="minorEastAsia" w:eastAsiaTheme="minorEastAsia" w:cstheme="minorEastAsia"/>
                <w:b/>
                <w:color w:val="auto"/>
                <w:szCs w:val="21"/>
                <w:highlight w:val="none"/>
              </w:rPr>
            </w:pPr>
          </w:p>
        </w:tc>
        <w:tc>
          <w:tcPr>
            <w:tcW w:w="1048" w:type="dxa"/>
            <w:vMerge w:val="continue"/>
            <w:tcBorders>
              <w:left w:val="single" w:color="auto" w:sz="4" w:space="0"/>
              <w:right w:val="single" w:color="auto" w:sz="4" w:space="0"/>
            </w:tcBorders>
            <w:noWrap/>
            <w:vAlign w:val="center"/>
          </w:tcPr>
          <w:p>
            <w:pPr>
              <w:spacing w:line="360" w:lineRule="auto"/>
              <w:jc w:val="center"/>
              <w:rPr>
                <w:rFonts w:asciiTheme="minorEastAsia" w:hAnsiTheme="minorEastAsia" w:eastAsiaTheme="minorEastAsia" w:cstheme="minorEastAsia"/>
                <w:b/>
                <w:bCs/>
                <w:color w:val="auto"/>
                <w:szCs w:val="21"/>
                <w:highlight w:val="none"/>
              </w:rPr>
            </w:pPr>
          </w:p>
        </w:tc>
        <w:tc>
          <w:tcPr>
            <w:tcW w:w="1329" w:type="dxa"/>
            <w:tcBorders>
              <w:top w:val="single" w:color="auto" w:sz="4" w:space="0"/>
              <w:left w:val="single" w:color="auto" w:sz="4" w:space="0"/>
              <w:bottom w:val="single" w:color="auto" w:sz="4" w:space="0"/>
              <w:right w:val="single" w:color="auto" w:sz="4" w:space="0"/>
            </w:tcBorders>
            <w:noWrap/>
            <w:tcMar>
              <w:top w:w="0" w:type="dxa"/>
              <w:left w:w="57" w:type="dxa"/>
              <w:bottom w:w="0" w:type="dxa"/>
              <w:right w:w="57" w:type="dxa"/>
            </w:tcMar>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质保期（包修期）（满分</w:t>
            </w:r>
            <w:r>
              <w:rPr>
                <w:rFonts w:hint="eastAsia" w:asciiTheme="minorEastAsia" w:hAnsiTheme="minorEastAsia" w:eastAsiaTheme="minorEastAsia" w:cstheme="minorEastAsia"/>
                <w:b/>
                <w:color w:val="auto"/>
                <w:szCs w:val="21"/>
                <w:highlight w:val="none"/>
                <w:u w:val="single"/>
              </w:rPr>
              <w:t>2</w:t>
            </w:r>
            <w:r>
              <w:rPr>
                <w:rFonts w:hint="eastAsia" w:asciiTheme="minorEastAsia" w:hAnsiTheme="minorEastAsia" w:eastAsiaTheme="minorEastAsia" w:cstheme="minorEastAsia"/>
                <w:color w:val="auto"/>
                <w:szCs w:val="21"/>
                <w:highlight w:val="none"/>
              </w:rPr>
              <w:t>分）</w:t>
            </w:r>
          </w:p>
        </w:tc>
        <w:tc>
          <w:tcPr>
            <w:tcW w:w="6461"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ind w:firstLine="420" w:firstLineChars="200"/>
              <w:textAlignment w:val="baseline"/>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整机在满足基本质保期（包修期）（</w:t>
            </w:r>
            <w:r>
              <w:rPr>
                <w:rFonts w:hint="eastAsia" w:asciiTheme="minorEastAsia" w:hAnsiTheme="minorEastAsia" w:eastAsiaTheme="minorEastAsia" w:cstheme="minorEastAsia"/>
                <w:b/>
                <w:color w:val="auto"/>
                <w:szCs w:val="21"/>
                <w:highlight w:val="none"/>
                <w:u w:val="single"/>
              </w:rPr>
              <w:t>5</w:t>
            </w:r>
            <w:r>
              <w:rPr>
                <w:rFonts w:hint="eastAsia" w:asciiTheme="minorEastAsia" w:hAnsiTheme="minorEastAsia" w:eastAsiaTheme="minorEastAsia" w:cstheme="minorEastAsia"/>
                <w:bCs/>
                <w:color w:val="auto"/>
                <w:szCs w:val="21"/>
                <w:highlight w:val="none"/>
              </w:rPr>
              <w:t>年）的基础上，免费保修期每延长6个月得</w:t>
            </w:r>
            <w:r>
              <w:rPr>
                <w:rFonts w:hint="eastAsia" w:asciiTheme="minorEastAsia" w:hAnsiTheme="minorEastAsia" w:eastAsiaTheme="minorEastAsia" w:cstheme="minorEastAsia"/>
                <w:b/>
                <w:color w:val="auto"/>
                <w:szCs w:val="21"/>
                <w:highlight w:val="none"/>
                <w:u w:val="single"/>
              </w:rPr>
              <w:t>0.5</w:t>
            </w:r>
            <w:r>
              <w:rPr>
                <w:rFonts w:hint="eastAsia" w:asciiTheme="minorEastAsia" w:hAnsiTheme="minorEastAsia" w:eastAsiaTheme="minorEastAsia" w:cstheme="minorEastAsia"/>
                <w:bCs/>
                <w:color w:val="auto"/>
                <w:szCs w:val="21"/>
                <w:highlight w:val="none"/>
              </w:rPr>
              <w:t>分（以设备生产厂家承诺为准，投标文件中提供厂家证明文件复印件加盖投标单位公章），满分2分。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4</w:t>
            </w:r>
          </w:p>
        </w:tc>
        <w:tc>
          <w:tcPr>
            <w:tcW w:w="1048" w:type="dxa"/>
            <w:tcBorders>
              <w:top w:val="single" w:color="auto" w:sz="4" w:space="0"/>
              <w:left w:val="single" w:color="auto" w:sz="4" w:space="0"/>
              <w:bottom w:val="single" w:color="auto" w:sz="4" w:space="0"/>
              <w:right w:val="single" w:color="auto" w:sz="4" w:space="0"/>
            </w:tcBorders>
            <w:noWrap/>
            <w:vAlign w:val="center"/>
          </w:tcPr>
          <w:p>
            <w:pPr>
              <w:adjustRightInd w:val="0"/>
              <w:spacing w:line="360" w:lineRule="auto"/>
              <w:jc w:val="center"/>
              <w:textAlignment w:val="baseline"/>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Cs w:val="21"/>
                <w:highlight w:val="none"/>
              </w:rPr>
              <w:t>业绩分（</w:t>
            </w:r>
            <w:r>
              <w:rPr>
                <w:rFonts w:hint="eastAsia" w:asciiTheme="minorEastAsia" w:hAnsiTheme="minorEastAsia" w:eastAsiaTheme="minorEastAsia" w:cstheme="minorEastAsia"/>
                <w:b/>
                <w:color w:val="auto"/>
                <w:szCs w:val="21"/>
                <w:highlight w:val="none"/>
              </w:rPr>
              <w:t>满分</w:t>
            </w:r>
            <w:r>
              <w:rPr>
                <w:rFonts w:hint="eastAsia" w:asciiTheme="minorEastAsia" w:hAnsiTheme="minorEastAsia" w:eastAsiaTheme="minorEastAsia" w:cstheme="minorEastAsia"/>
                <w:b/>
                <w:color w:val="auto"/>
                <w:szCs w:val="21"/>
                <w:highlight w:val="none"/>
                <w:u w:val="single"/>
              </w:rPr>
              <w:t>3</w:t>
            </w:r>
            <w:r>
              <w:rPr>
                <w:rFonts w:hint="eastAsia" w:asciiTheme="minorEastAsia" w:hAnsiTheme="minorEastAsia" w:eastAsiaTheme="minorEastAsia" w:cstheme="minorEastAsia"/>
                <w:b/>
                <w:color w:val="auto"/>
                <w:szCs w:val="21"/>
                <w:highlight w:val="none"/>
              </w:rPr>
              <w:t>分</w:t>
            </w:r>
            <w:r>
              <w:rPr>
                <w:rFonts w:hint="eastAsia" w:asciiTheme="minorEastAsia" w:hAnsiTheme="minorEastAsia" w:eastAsiaTheme="minorEastAsia" w:cstheme="minorEastAsia"/>
                <w:b/>
                <w:bCs/>
                <w:color w:val="auto"/>
                <w:szCs w:val="21"/>
                <w:highlight w:val="none"/>
              </w:rPr>
              <w:t>）</w:t>
            </w:r>
          </w:p>
        </w:tc>
        <w:tc>
          <w:tcPr>
            <w:tcW w:w="1329" w:type="dxa"/>
            <w:tcBorders>
              <w:top w:val="single" w:color="auto" w:sz="4" w:space="0"/>
              <w:left w:val="single" w:color="auto" w:sz="4" w:space="0"/>
              <w:bottom w:val="single" w:color="auto" w:sz="4" w:space="0"/>
              <w:right w:val="single" w:color="auto" w:sz="4" w:space="0"/>
            </w:tcBorders>
            <w:noWrap/>
            <w:tcMar>
              <w:top w:w="0" w:type="dxa"/>
              <w:left w:w="57" w:type="dxa"/>
              <w:bottom w:w="0" w:type="dxa"/>
              <w:right w:w="57" w:type="dxa"/>
            </w:tcMar>
            <w:vAlign w:val="center"/>
          </w:tcPr>
          <w:p>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业绩</w:t>
            </w:r>
            <w:r>
              <w:rPr>
                <w:rFonts w:hint="eastAsia" w:ascii="宋体" w:hAnsi="宋体" w:cs="宋体"/>
                <w:bCs/>
                <w:color w:val="auto"/>
                <w:szCs w:val="21"/>
                <w:highlight w:val="none"/>
              </w:rPr>
              <w:t>（</w:t>
            </w:r>
            <w:r>
              <w:rPr>
                <w:rFonts w:hint="eastAsia" w:ascii="宋体" w:hAnsi="宋体" w:cs="宋体"/>
                <w:color w:val="auto"/>
                <w:szCs w:val="21"/>
                <w:highlight w:val="none"/>
              </w:rPr>
              <w:t>满分</w:t>
            </w:r>
            <w:r>
              <w:rPr>
                <w:rFonts w:hint="eastAsia" w:ascii="宋体" w:hAnsi="宋体" w:cs="宋体"/>
                <w:b/>
                <w:color w:val="auto"/>
                <w:szCs w:val="21"/>
                <w:highlight w:val="none"/>
                <w:u w:val="single"/>
              </w:rPr>
              <w:t xml:space="preserve">3 </w:t>
            </w:r>
            <w:r>
              <w:rPr>
                <w:rFonts w:hint="eastAsia" w:ascii="宋体" w:hAnsi="宋体" w:cs="宋体"/>
                <w:color w:val="auto"/>
                <w:szCs w:val="21"/>
                <w:highlight w:val="none"/>
              </w:rPr>
              <w:t>分</w:t>
            </w:r>
            <w:r>
              <w:rPr>
                <w:rFonts w:hint="eastAsia" w:ascii="宋体" w:hAnsi="宋体" w:cs="宋体"/>
                <w:bCs/>
                <w:color w:val="auto"/>
                <w:szCs w:val="21"/>
                <w:highlight w:val="none"/>
              </w:rPr>
              <w:t>）</w:t>
            </w:r>
          </w:p>
        </w:tc>
        <w:tc>
          <w:tcPr>
            <w:tcW w:w="6461" w:type="dxa"/>
            <w:tcBorders>
              <w:top w:val="single" w:color="auto" w:sz="4" w:space="0"/>
              <w:left w:val="single" w:color="auto" w:sz="4" w:space="0"/>
              <w:bottom w:val="single" w:color="auto" w:sz="4" w:space="0"/>
              <w:right w:val="single" w:color="auto" w:sz="4" w:space="0"/>
            </w:tcBorders>
            <w:noWrap/>
          </w:tcPr>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2022年1月1日至今所投产品</w:t>
            </w:r>
            <w:r>
              <w:rPr>
                <w:rFonts w:hint="eastAsia" w:cs="宋体" w:asciiTheme="minorEastAsia" w:hAnsiTheme="minorEastAsia" w:eastAsiaTheme="minorEastAsia"/>
                <w:color w:val="auto"/>
                <w:szCs w:val="21"/>
                <w:highlight w:val="none"/>
              </w:rPr>
              <w:t>相同设备</w:t>
            </w:r>
            <w:r>
              <w:rPr>
                <w:rFonts w:hint="eastAsia" w:ascii="宋体" w:hAnsi="宋体" w:cs="宋体"/>
                <w:color w:val="auto"/>
                <w:szCs w:val="21"/>
                <w:highlight w:val="none"/>
              </w:rPr>
              <w:t>（</w:t>
            </w:r>
            <w:r>
              <w:rPr>
                <w:rFonts w:hint="eastAsia" w:cs="宋体" w:asciiTheme="minorEastAsia" w:hAnsiTheme="minorEastAsia" w:eastAsiaTheme="minorEastAsia"/>
                <w:color w:val="auto"/>
                <w:szCs w:val="21"/>
                <w:highlight w:val="none"/>
              </w:rPr>
              <w:t>相同设备指与采购标的相同品牌及型号的设备，业绩乙方可为生产厂家、代理商或经销商，甲方须为产品实际使用用户</w:t>
            </w:r>
            <w:r>
              <w:rPr>
                <w:rFonts w:hint="eastAsia" w:ascii="宋体" w:hAnsi="宋体" w:cs="宋体"/>
                <w:color w:val="auto"/>
                <w:szCs w:val="21"/>
                <w:highlight w:val="none"/>
              </w:rPr>
              <w:t>）业绩，每提供1项得0.5分，满分</w:t>
            </w:r>
            <w:r>
              <w:rPr>
                <w:rFonts w:hint="eastAsia" w:ascii="宋体" w:hAnsi="宋体" w:cs="宋体"/>
                <w:b/>
                <w:color w:val="auto"/>
                <w:szCs w:val="21"/>
                <w:highlight w:val="none"/>
                <w:u w:val="single"/>
              </w:rPr>
              <w:t>3</w:t>
            </w:r>
            <w:r>
              <w:rPr>
                <w:rFonts w:hint="eastAsia" w:ascii="宋体" w:hAnsi="宋体" w:cs="宋体"/>
                <w:color w:val="auto"/>
                <w:szCs w:val="21"/>
                <w:highlight w:val="none"/>
              </w:rPr>
              <w:t>分。</w:t>
            </w:r>
          </w:p>
          <w:p>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注：投标文件中提供有效的中标/成交通知书或合同扫描件或验收报告作为证明材料，材料需清晰体现签订时间、买卖双方信息、产品品牌型号，任一关键信息未提供、不全或不清晰的，不予以计分。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563"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5</w:t>
            </w:r>
          </w:p>
        </w:tc>
        <w:tc>
          <w:tcPr>
            <w:tcW w:w="1048"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政策功能分（1分）</w:t>
            </w:r>
          </w:p>
        </w:tc>
        <w:tc>
          <w:tcPr>
            <w:tcW w:w="1329" w:type="dxa"/>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节能、环保分</w:t>
            </w:r>
            <w:r>
              <w:rPr>
                <w:rFonts w:hint="eastAsia" w:asciiTheme="minorEastAsia" w:hAnsiTheme="minorEastAsia" w:eastAsiaTheme="minorEastAsia" w:cstheme="minorEastAsia"/>
                <w:bCs/>
                <w:color w:val="auto"/>
                <w:szCs w:val="21"/>
                <w:highlight w:val="none"/>
              </w:rPr>
              <w:t>（</w:t>
            </w:r>
            <w:r>
              <w:rPr>
                <w:rFonts w:hint="eastAsia" w:asciiTheme="minorEastAsia" w:hAnsiTheme="minorEastAsia" w:eastAsiaTheme="minorEastAsia" w:cstheme="minorEastAsia"/>
                <w:color w:val="auto"/>
                <w:szCs w:val="21"/>
                <w:highlight w:val="none"/>
              </w:rPr>
              <w:t>满分1分</w:t>
            </w:r>
            <w:r>
              <w:rPr>
                <w:rFonts w:hint="eastAsia" w:asciiTheme="minorEastAsia" w:hAnsiTheme="minorEastAsia" w:eastAsiaTheme="minorEastAsia" w:cstheme="minorEastAsia"/>
                <w:bCs/>
                <w:color w:val="auto"/>
                <w:szCs w:val="21"/>
                <w:highlight w:val="none"/>
              </w:rPr>
              <w:t>）</w:t>
            </w:r>
          </w:p>
        </w:tc>
        <w:tc>
          <w:tcPr>
            <w:tcW w:w="6461" w:type="dxa"/>
            <w:tcBorders>
              <w:top w:val="single" w:color="auto" w:sz="4" w:space="0"/>
              <w:left w:val="single" w:color="auto" w:sz="4" w:space="0"/>
              <w:bottom w:val="single" w:color="auto" w:sz="4" w:space="0"/>
              <w:right w:val="single" w:color="auto" w:sz="4" w:space="0"/>
            </w:tcBorders>
            <w:noWrap/>
          </w:tcPr>
          <w:p>
            <w:pPr>
              <w:widowControl/>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属于财政部《节能产品政府采购品目清单》内优先采购（清单内未标注“▲”的品目）的产品[投标文件中提供有效的认证证书复印件（或扫描件）及品目清单（标注出投标产品在品目清单中所属的品目），并加盖投标人电子签章]，根据其所占项目（或分标）金额比例得0-0.5分。</w:t>
            </w:r>
          </w:p>
          <w:p>
            <w:pPr>
              <w:widowControl/>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属于财政部《环境标志产品政府采购品目清单》内的产品[投标文件中提供有效的认证证书复印件（或扫描件）及品目清单（标注出投标产品在品目清单中所属的品目），并加盖投标人电子签章]，根据其所占项目（或分标）金额比例得0-0.5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401" w:type="dxa"/>
            <w:gridSpan w:val="4"/>
            <w:tcBorders>
              <w:top w:val="single" w:color="auto" w:sz="4" w:space="0"/>
              <w:left w:val="single" w:color="auto" w:sz="4" w:space="0"/>
              <w:bottom w:val="single" w:color="auto" w:sz="4" w:space="0"/>
              <w:right w:val="single" w:color="auto" w:sz="4" w:space="0"/>
            </w:tcBorders>
            <w:noWrap/>
            <w:vAlign w:val="center"/>
          </w:tcPr>
          <w:p>
            <w:pPr>
              <w:spacing w:line="360" w:lineRule="auto"/>
              <w:ind w:firstLine="420"/>
              <w:rPr>
                <w:rFonts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
                <w:bCs/>
                <w:color w:val="auto"/>
                <w:szCs w:val="21"/>
                <w:highlight w:val="none"/>
              </w:rPr>
              <w:t>总得分=1+2+3+4+5。</w:t>
            </w:r>
          </w:p>
        </w:tc>
      </w:tr>
    </w:tbl>
    <w:p>
      <w:pPr>
        <w:pStyle w:val="51"/>
        <w:ind w:firstLine="0" w:firstLineChars="0"/>
        <w:rPr>
          <w:rFonts w:asciiTheme="minorEastAsia" w:hAnsiTheme="minorEastAsia" w:eastAsiaTheme="minorEastAsia" w:cstheme="minorEastAsia"/>
          <w:color w:val="auto"/>
          <w:highlight w:val="none"/>
        </w:rPr>
      </w:pPr>
    </w:p>
    <w:p>
      <w:pPr>
        <w:widowControl/>
        <w:spacing w:line="360" w:lineRule="auto"/>
        <w:jc w:val="center"/>
        <w:outlineLvl w:val="1"/>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30"/>
          <w:szCs w:val="30"/>
          <w:highlight w:val="none"/>
        </w:rPr>
        <w:br w:type="page"/>
      </w:r>
      <w:bookmarkStart w:id="143" w:name="_Toc29020"/>
      <w:bookmarkStart w:id="144" w:name="_Toc27969"/>
      <w:bookmarkStart w:id="145" w:name="_Toc25918"/>
      <w:bookmarkStart w:id="146" w:name="_Toc6392"/>
      <w:r>
        <w:rPr>
          <w:rFonts w:hint="eastAsia" w:asciiTheme="minorEastAsia" w:hAnsiTheme="minorEastAsia" w:eastAsiaTheme="minorEastAsia" w:cstheme="minorEastAsia"/>
          <w:b/>
          <w:bCs/>
          <w:color w:val="auto"/>
          <w:sz w:val="30"/>
          <w:szCs w:val="30"/>
          <w:highlight w:val="none"/>
        </w:rPr>
        <w:t>四、中标候选人推荐</w:t>
      </w:r>
      <w:bookmarkEnd w:id="143"/>
      <w:bookmarkEnd w:id="144"/>
      <w:bookmarkEnd w:id="145"/>
      <w:bookmarkEnd w:id="146"/>
    </w:p>
    <w:p>
      <w:pPr>
        <w:pStyle w:val="27"/>
        <w:spacing w:line="360" w:lineRule="auto"/>
        <w:ind w:firstLine="482"/>
        <w:contextualSpacing/>
        <w:rPr>
          <w:rFonts w:asciiTheme="minorEastAsia" w:hAnsiTheme="minorEastAsia" w:eastAsiaTheme="minorEastAsia" w:cstheme="minorEastAsia"/>
          <w:b/>
          <w:bCs/>
          <w:color w:val="auto"/>
          <w:sz w:val="24"/>
          <w:szCs w:val="24"/>
          <w:highlight w:val="none"/>
        </w:rPr>
      </w:pPr>
    </w:p>
    <w:p>
      <w:pPr>
        <w:pStyle w:val="27"/>
        <w:spacing w:line="360" w:lineRule="auto"/>
        <w:ind w:firstLine="482"/>
        <w:contextualSpacing/>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综合评分法</w:t>
      </w:r>
    </w:p>
    <w:p>
      <w:pPr>
        <w:pStyle w:val="27"/>
        <w:spacing w:line="360" w:lineRule="auto"/>
        <w:ind w:firstLine="420" w:firstLineChars="200"/>
        <w:contextualSpacing/>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1.评标委员会根据原始评标记录和评标结果编写评标报告，并通过电子交易平台向采购人、采购代理机构提交。</w:t>
      </w:r>
    </w:p>
    <w:p>
      <w:pPr>
        <w:pStyle w:val="27"/>
        <w:spacing w:line="360" w:lineRule="auto"/>
        <w:ind w:firstLine="420" w:firstLineChars="200"/>
        <w:contextualSpacing/>
        <w:rPr>
          <w:rFonts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评标委员会将根据总得分由高到低排列次序并推荐中标候选人。得分相同的，以投标报价由低到高顺序排列。得分相同且投标报价相同的并列，投标文件满足招标文件全部实质性要求，且按照评审因素的量化指标评审得分最高的投标人为排名第一的中标候选人。</w:t>
      </w:r>
    </w:p>
    <w:p>
      <w:pPr>
        <w:spacing w:beforeLines="50" w:afterLines="50" w:line="360" w:lineRule="auto"/>
        <w:rPr>
          <w:rFonts w:asciiTheme="minorEastAsia" w:hAnsiTheme="minorEastAsia" w:eastAsiaTheme="minorEastAsia" w:cstheme="minorEastAsia"/>
          <w:b/>
          <w:color w:val="auto"/>
          <w:sz w:val="24"/>
          <w:highlight w:val="none"/>
        </w:rPr>
      </w:pPr>
    </w:p>
    <w:p>
      <w:pPr>
        <w:spacing w:beforeLines="50" w:afterLines="50" w:line="360" w:lineRule="auto"/>
        <w:rPr>
          <w:rFonts w:asciiTheme="minorEastAsia" w:hAnsiTheme="minorEastAsia" w:eastAsiaTheme="minorEastAsia" w:cstheme="minorEastAsia"/>
          <w:b/>
          <w:color w:val="auto"/>
          <w:sz w:val="24"/>
          <w:highlight w:val="none"/>
        </w:rPr>
      </w:pPr>
    </w:p>
    <w:p>
      <w:pPr>
        <w:spacing w:beforeLines="50" w:afterLines="50" w:line="360" w:lineRule="auto"/>
        <w:rPr>
          <w:rFonts w:asciiTheme="minorEastAsia" w:hAnsiTheme="minorEastAsia" w:eastAsiaTheme="minorEastAsia" w:cstheme="minorEastAsia"/>
          <w:b/>
          <w:color w:val="auto"/>
          <w:sz w:val="24"/>
          <w:highlight w:val="none"/>
        </w:rPr>
      </w:pPr>
    </w:p>
    <w:p>
      <w:pPr>
        <w:spacing w:beforeLines="50" w:afterLines="50" w:line="360" w:lineRule="auto"/>
        <w:rPr>
          <w:rFonts w:asciiTheme="minorEastAsia" w:hAnsiTheme="minorEastAsia" w:eastAsiaTheme="minorEastAsia" w:cstheme="minorEastAsia"/>
          <w:b/>
          <w:color w:val="auto"/>
          <w:sz w:val="24"/>
          <w:highlight w:val="none"/>
        </w:rPr>
      </w:pPr>
    </w:p>
    <w:p>
      <w:pPr>
        <w:spacing w:beforeLines="50" w:afterLines="50" w:line="360" w:lineRule="auto"/>
        <w:rPr>
          <w:rFonts w:asciiTheme="minorEastAsia" w:hAnsiTheme="minorEastAsia" w:eastAsiaTheme="minorEastAsia" w:cstheme="minorEastAsia"/>
          <w:b/>
          <w:color w:val="auto"/>
          <w:sz w:val="24"/>
          <w:highlight w:val="none"/>
        </w:rPr>
      </w:pPr>
    </w:p>
    <w:p>
      <w:pPr>
        <w:spacing w:beforeLines="50" w:afterLines="50" w:line="360" w:lineRule="auto"/>
        <w:rPr>
          <w:rFonts w:asciiTheme="minorEastAsia" w:hAnsiTheme="minorEastAsia" w:eastAsiaTheme="minorEastAsia" w:cstheme="minorEastAsia"/>
          <w:b/>
          <w:color w:val="auto"/>
          <w:sz w:val="24"/>
          <w:highlight w:val="none"/>
        </w:rPr>
      </w:pPr>
    </w:p>
    <w:p>
      <w:pPr>
        <w:spacing w:beforeLines="50" w:afterLines="50" w:line="360" w:lineRule="auto"/>
        <w:rPr>
          <w:rFonts w:asciiTheme="minorEastAsia" w:hAnsiTheme="minorEastAsia" w:eastAsiaTheme="minorEastAsia" w:cstheme="minorEastAsia"/>
          <w:b/>
          <w:color w:val="auto"/>
          <w:sz w:val="24"/>
          <w:highlight w:val="none"/>
        </w:rPr>
      </w:pPr>
    </w:p>
    <w:p>
      <w:pPr>
        <w:spacing w:beforeLines="50" w:afterLines="50" w:line="360" w:lineRule="auto"/>
        <w:rPr>
          <w:rFonts w:asciiTheme="minorEastAsia" w:hAnsiTheme="minorEastAsia" w:eastAsiaTheme="minorEastAsia" w:cstheme="minorEastAsia"/>
          <w:b/>
          <w:color w:val="auto"/>
          <w:sz w:val="24"/>
          <w:highlight w:val="none"/>
        </w:rPr>
      </w:pPr>
    </w:p>
    <w:p>
      <w:pPr>
        <w:spacing w:beforeLines="50" w:afterLines="50" w:line="360" w:lineRule="auto"/>
        <w:rPr>
          <w:rFonts w:asciiTheme="minorEastAsia" w:hAnsiTheme="minorEastAsia" w:eastAsiaTheme="minorEastAsia" w:cstheme="minorEastAsia"/>
          <w:b/>
          <w:color w:val="auto"/>
          <w:sz w:val="24"/>
          <w:highlight w:val="none"/>
        </w:rPr>
      </w:pPr>
    </w:p>
    <w:p>
      <w:pPr>
        <w:spacing w:beforeLines="50" w:afterLines="50" w:line="360" w:lineRule="auto"/>
        <w:rPr>
          <w:rFonts w:asciiTheme="minorEastAsia" w:hAnsiTheme="minorEastAsia" w:eastAsiaTheme="minorEastAsia" w:cstheme="minorEastAsia"/>
          <w:b/>
          <w:color w:val="auto"/>
          <w:sz w:val="24"/>
          <w:highlight w:val="none"/>
        </w:rPr>
      </w:pPr>
    </w:p>
    <w:p>
      <w:pPr>
        <w:spacing w:line="360" w:lineRule="auto"/>
        <w:rPr>
          <w:rFonts w:asciiTheme="minorEastAsia" w:hAnsiTheme="minorEastAsia" w:eastAsiaTheme="minorEastAsia" w:cstheme="minorEastAsia"/>
          <w:color w:val="auto"/>
          <w:highlight w:val="none"/>
        </w:rPr>
      </w:pPr>
    </w:p>
    <w:p>
      <w:pPr>
        <w:spacing w:line="360" w:lineRule="auto"/>
        <w:jc w:val="center"/>
        <w:rPr>
          <w:rFonts w:asciiTheme="minorEastAsia" w:hAnsiTheme="minorEastAsia" w:eastAsiaTheme="minorEastAsia" w:cstheme="minorEastAsia"/>
          <w:color w:val="auto"/>
          <w:highlight w:val="none"/>
        </w:rPr>
      </w:pPr>
    </w:p>
    <w:p>
      <w:pPr>
        <w:spacing w:line="360" w:lineRule="auto"/>
        <w:jc w:val="center"/>
        <w:rPr>
          <w:rFonts w:asciiTheme="minorEastAsia" w:hAnsiTheme="minorEastAsia" w:eastAsiaTheme="minorEastAsia" w:cstheme="minorEastAsia"/>
          <w:color w:val="auto"/>
          <w:highlight w:val="none"/>
        </w:rPr>
      </w:pPr>
    </w:p>
    <w:p>
      <w:pPr>
        <w:spacing w:line="360" w:lineRule="auto"/>
        <w:jc w:val="center"/>
        <w:rPr>
          <w:rFonts w:asciiTheme="minorEastAsia" w:hAnsiTheme="minorEastAsia" w:eastAsiaTheme="minorEastAsia" w:cstheme="minorEastAsia"/>
          <w:color w:val="auto"/>
          <w:highlight w:val="none"/>
        </w:rPr>
      </w:pPr>
    </w:p>
    <w:p>
      <w:pPr>
        <w:rPr>
          <w:rFonts w:asciiTheme="minorEastAsia" w:hAnsiTheme="minorEastAsia" w:eastAsiaTheme="minorEastAsia" w:cstheme="minorEastAsia"/>
          <w:color w:val="auto"/>
          <w:highlight w:val="none"/>
        </w:rPr>
      </w:pPr>
      <w:r>
        <w:rPr>
          <w:rFonts w:asciiTheme="minorEastAsia" w:hAnsiTheme="minorEastAsia" w:eastAsiaTheme="minorEastAsia" w:cstheme="minorEastAsia"/>
          <w:color w:val="auto"/>
          <w:highlight w:val="none"/>
        </w:rPr>
        <w:br w:type="page"/>
      </w: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pStyle w:val="3"/>
        <w:spacing w:line="360" w:lineRule="auto"/>
        <w:jc w:val="center"/>
        <w:rPr>
          <w:rFonts w:asciiTheme="minorEastAsia" w:hAnsiTheme="minorEastAsia" w:eastAsiaTheme="minorEastAsia" w:cstheme="minorEastAsia"/>
          <w:color w:val="auto"/>
          <w:highlight w:val="none"/>
        </w:rPr>
      </w:pPr>
      <w:bookmarkStart w:id="147" w:name="_Toc14837"/>
      <w:bookmarkStart w:id="148" w:name="_Toc7515"/>
      <w:r>
        <w:rPr>
          <w:rFonts w:hint="eastAsia" w:asciiTheme="minorEastAsia" w:hAnsiTheme="minorEastAsia" w:eastAsiaTheme="minorEastAsia" w:cstheme="minorEastAsia"/>
          <w:color w:val="auto"/>
          <w:highlight w:val="none"/>
        </w:rPr>
        <w:t>第五章  拟签订的合同文本</w:t>
      </w:r>
      <w:bookmarkEnd w:id="147"/>
      <w:bookmarkEnd w:id="148"/>
    </w:p>
    <w:p>
      <w:pPr>
        <w:snapToGrid w:val="0"/>
        <w:spacing w:line="360" w:lineRule="auto"/>
        <w:jc w:val="center"/>
        <w:rPr>
          <w:rFonts w:asciiTheme="minorEastAsia" w:hAnsiTheme="minorEastAsia" w:eastAsiaTheme="minorEastAsia" w:cstheme="minorEastAsia"/>
          <w:bCs/>
          <w:color w:val="auto"/>
          <w:sz w:val="32"/>
          <w:szCs w:val="32"/>
          <w:highlight w:val="none"/>
        </w:rPr>
      </w:pPr>
    </w:p>
    <w:p>
      <w:pPr>
        <w:snapToGrid w:val="0"/>
        <w:spacing w:line="360" w:lineRule="auto"/>
        <w:jc w:val="center"/>
        <w:rPr>
          <w:rFonts w:asciiTheme="minorEastAsia" w:hAnsiTheme="minorEastAsia" w:eastAsiaTheme="minorEastAsia" w:cstheme="minorEastAsia"/>
          <w:bCs/>
          <w:color w:val="auto"/>
          <w:sz w:val="32"/>
          <w:szCs w:val="32"/>
          <w:highlight w:val="none"/>
        </w:rPr>
      </w:pPr>
    </w:p>
    <w:p>
      <w:pPr>
        <w:snapToGrid w:val="0"/>
        <w:spacing w:line="360" w:lineRule="auto"/>
        <w:jc w:val="center"/>
        <w:rPr>
          <w:rFonts w:asciiTheme="minorEastAsia" w:hAnsiTheme="minorEastAsia" w:eastAsiaTheme="minorEastAsia" w:cstheme="minorEastAsia"/>
          <w:bCs/>
          <w:color w:val="auto"/>
          <w:sz w:val="32"/>
          <w:szCs w:val="32"/>
          <w:highlight w:val="none"/>
        </w:rPr>
      </w:pPr>
    </w:p>
    <w:p>
      <w:pPr>
        <w:snapToGrid w:val="0"/>
        <w:spacing w:line="360" w:lineRule="auto"/>
        <w:jc w:val="center"/>
        <w:rPr>
          <w:rFonts w:asciiTheme="minorEastAsia" w:hAnsiTheme="minorEastAsia" w:eastAsiaTheme="minorEastAsia" w:cstheme="minorEastAsia"/>
          <w:bCs/>
          <w:color w:val="auto"/>
          <w:sz w:val="32"/>
          <w:szCs w:val="32"/>
          <w:highlight w:val="none"/>
        </w:rPr>
      </w:pPr>
    </w:p>
    <w:p>
      <w:pPr>
        <w:snapToGrid w:val="0"/>
        <w:spacing w:line="360" w:lineRule="auto"/>
        <w:jc w:val="center"/>
        <w:rPr>
          <w:rFonts w:asciiTheme="minorEastAsia" w:hAnsiTheme="minorEastAsia" w:eastAsiaTheme="minorEastAsia" w:cstheme="minorEastAsia"/>
          <w:bCs/>
          <w:color w:val="auto"/>
          <w:sz w:val="32"/>
          <w:szCs w:val="32"/>
          <w:highlight w:val="none"/>
        </w:rPr>
      </w:pPr>
    </w:p>
    <w:p>
      <w:pPr>
        <w:snapToGrid w:val="0"/>
        <w:spacing w:line="360" w:lineRule="auto"/>
        <w:jc w:val="center"/>
        <w:rPr>
          <w:rFonts w:asciiTheme="minorEastAsia" w:hAnsiTheme="minorEastAsia" w:eastAsiaTheme="minorEastAsia" w:cstheme="minorEastAsia"/>
          <w:bCs/>
          <w:color w:val="auto"/>
          <w:sz w:val="32"/>
          <w:szCs w:val="32"/>
          <w:highlight w:val="none"/>
        </w:rPr>
      </w:pPr>
    </w:p>
    <w:p>
      <w:pPr>
        <w:snapToGrid w:val="0"/>
        <w:spacing w:line="360" w:lineRule="auto"/>
        <w:jc w:val="center"/>
        <w:rPr>
          <w:rFonts w:asciiTheme="minorEastAsia" w:hAnsiTheme="minorEastAsia" w:eastAsiaTheme="minorEastAsia" w:cstheme="minorEastAsia"/>
          <w:bCs/>
          <w:color w:val="auto"/>
          <w:sz w:val="32"/>
          <w:szCs w:val="32"/>
          <w:highlight w:val="none"/>
        </w:rPr>
      </w:pPr>
    </w:p>
    <w:p>
      <w:pPr>
        <w:snapToGrid w:val="0"/>
        <w:spacing w:line="360" w:lineRule="auto"/>
        <w:jc w:val="center"/>
        <w:rPr>
          <w:rFonts w:asciiTheme="minorEastAsia" w:hAnsiTheme="minorEastAsia" w:eastAsiaTheme="minorEastAsia" w:cstheme="minorEastAsia"/>
          <w:bCs/>
          <w:color w:val="auto"/>
          <w:sz w:val="32"/>
          <w:szCs w:val="32"/>
          <w:highlight w:val="none"/>
        </w:rPr>
      </w:pPr>
    </w:p>
    <w:p>
      <w:pPr>
        <w:snapToGrid w:val="0"/>
        <w:spacing w:line="360" w:lineRule="auto"/>
        <w:jc w:val="center"/>
        <w:rPr>
          <w:rFonts w:asciiTheme="minorEastAsia" w:hAnsiTheme="minorEastAsia" w:eastAsiaTheme="minorEastAsia" w:cstheme="minorEastAsia"/>
          <w:bCs/>
          <w:color w:val="auto"/>
          <w:sz w:val="32"/>
          <w:szCs w:val="32"/>
          <w:highlight w:val="none"/>
        </w:rPr>
      </w:pPr>
    </w:p>
    <w:p>
      <w:pPr>
        <w:snapToGrid w:val="0"/>
        <w:spacing w:line="360" w:lineRule="auto"/>
        <w:jc w:val="center"/>
        <w:rPr>
          <w:rFonts w:asciiTheme="minorEastAsia" w:hAnsiTheme="minorEastAsia" w:eastAsiaTheme="minorEastAsia" w:cstheme="minorEastAsia"/>
          <w:bCs/>
          <w:color w:val="auto"/>
          <w:sz w:val="32"/>
          <w:szCs w:val="32"/>
          <w:highlight w:val="none"/>
        </w:rPr>
      </w:pPr>
    </w:p>
    <w:p>
      <w:pPr>
        <w:snapToGrid w:val="0"/>
        <w:spacing w:line="360" w:lineRule="auto"/>
        <w:jc w:val="center"/>
        <w:rPr>
          <w:rFonts w:asciiTheme="minorEastAsia" w:hAnsiTheme="minorEastAsia" w:eastAsiaTheme="minorEastAsia" w:cstheme="minorEastAsia"/>
          <w:bCs/>
          <w:color w:val="auto"/>
          <w:sz w:val="32"/>
          <w:szCs w:val="32"/>
          <w:highlight w:val="none"/>
        </w:rPr>
      </w:pPr>
    </w:p>
    <w:p>
      <w:pPr>
        <w:snapToGrid w:val="0"/>
        <w:spacing w:line="360" w:lineRule="auto"/>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 w:val="32"/>
          <w:szCs w:val="32"/>
          <w:highlight w:val="none"/>
        </w:rPr>
        <w:br w:type="page"/>
      </w:r>
    </w:p>
    <w:p>
      <w:pPr>
        <w:snapToGrid w:val="0"/>
        <w:spacing w:line="360" w:lineRule="auto"/>
        <w:rPr>
          <w:rFonts w:asciiTheme="minorEastAsia" w:hAnsiTheme="minorEastAsia" w:eastAsiaTheme="minorEastAsia" w:cstheme="minorEastAsia"/>
          <w:color w:val="auto"/>
          <w:szCs w:val="21"/>
          <w:highlight w:val="none"/>
        </w:rPr>
      </w:pPr>
    </w:p>
    <w:p>
      <w:pPr>
        <w:ind w:left="1764" w:hanging="924"/>
        <w:jc w:val="center"/>
        <w:rPr>
          <w:b/>
          <w:bCs/>
          <w:color w:val="auto"/>
          <w:sz w:val="36"/>
          <w:szCs w:val="36"/>
          <w:highlight w:val="none"/>
        </w:rPr>
      </w:pPr>
      <w:r>
        <w:rPr>
          <w:rFonts w:hint="eastAsia"/>
          <w:b/>
          <w:bCs/>
          <w:color w:val="auto"/>
          <w:sz w:val="36"/>
          <w:szCs w:val="36"/>
          <w:highlight w:val="none"/>
        </w:rPr>
        <w:t>政府采购货物买卖合同</w:t>
      </w:r>
    </w:p>
    <w:p>
      <w:pPr>
        <w:ind w:left="1764" w:hanging="924"/>
        <w:rPr>
          <w:color w:val="auto"/>
          <w:sz w:val="32"/>
          <w:szCs w:val="32"/>
          <w:highlight w:val="none"/>
        </w:rPr>
      </w:pPr>
    </w:p>
    <w:p>
      <w:pPr>
        <w:rPr>
          <w:color w:val="auto"/>
          <w:sz w:val="32"/>
          <w:szCs w:val="32"/>
          <w:highlight w:val="none"/>
        </w:rPr>
      </w:pPr>
    </w:p>
    <w:p>
      <w:pPr>
        <w:rPr>
          <w:color w:val="auto"/>
          <w:sz w:val="32"/>
          <w:szCs w:val="32"/>
          <w:highlight w:val="none"/>
        </w:rPr>
      </w:pPr>
    </w:p>
    <w:p>
      <w:pPr>
        <w:rPr>
          <w:color w:val="auto"/>
          <w:sz w:val="32"/>
          <w:szCs w:val="32"/>
          <w:highlight w:val="none"/>
        </w:rPr>
      </w:pPr>
    </w:p>
    <w:p>
      <w:pPr>
        <w:spacing w:line="360" w:lineRule="auto"/>
        <w:ind w:left="420" w:leftChars="200"/>
        <w:rPr>
          <w:color w:val="auto"/>
          <w:sz w:val="32"/>
          <w:szCs w:val="32"/>
          <w:highlight w:val="none"/>
        </w:rPr>
      </w:pPr>
      <w:r>
        <w:rPr>
          <w:rFonts w:hint="eastAsia"/>
          <w:color w:val="auto"/>
          <w:sz w:val="32"/>
          <w:szCs w:val="32"/>
          <w:highlight w:val="none"/>
        </w:rPr>
        <w:t xml:space="preserve">项目名称：                             </w:t>
      </w:r>
    </w:p>
    <w:p>
      <w:pPr>
        <w:spacing w:line="360" w:lineRule="auto"/>
        <w:ind w:left="420" w:leftChars="200"/>
        <w:rPr>
          <w:color w:val="auto"/>
          <w:sz w:val="32"/>
          <w:szCs w:val="32"/>
          <w:highlight w:val="none"/>
        </w:rPr>
      </w:pPr>
      <w:r>
        <w:rPr>
          <w:rFonts w:hint="eastAsia"/>
          <w:color w:val="auto"/>
          <w:sz w:val="32"/>
          <w:szCs w:val="32"/>
          <w:highlight w:val="none"/>
        </w:rPr>
        <w:t xml:space="preserve">合同编号：                             </w:t>
      </w:r>
    </w:p>
    <w:p>
      <w:pPr>
        <w:spacing w:line="360" w:lineRule="auto"/>
        <w:ind w:left="420" w:leftChars="200"/>
        <w:rPr>
          <w:color w:val="auto"/>
          <w:sz w:val="32"/>
          <w:szCs w:val="32"/>
          <w:highlight w:val="none"/>
        </w:rPr>
      </w:pPr>
      <w:r>
        <w:rPr>
          <w:rFonts w:hint="eastAsia"/>
          <w:color w:val="auto"/>
          <w:sz w:val="32"/>
          <w:szCs w:val="32"/>
          <w:highlight w:val="none"/>
        </w:rPr>
        <w:t xml:space="preserve">甲    方：                             </w:t>
      </w:r>
    </w:p>
    <w:p>
      <w:pPr>
        <w:spacing w:line="360" w:lineRule="auto"/>
        <w:ind w:left="420" w:leftChars="200"/>
        <w:rPr>
          <w:color w:val="auto"/>
          <w:sz w:val="32"/>
          <w:szCs w:val="32"/>
          <w:highlight w:val="none"/>
        </w:rPr>
      </w:pPr>
      <w:r>
        <w:rPr>
          <w:rFonts w:hint="eastAsia"/>
          <w:color w:val="auto"/>
          <w:sz w:val="32"/>
          <w:szCs w:val="32"/>
          <w:highlight w:val="none"/>
        </w:rPr>
        <w:t xml:space="preserve">乙    方：                             </w:t>
      </w:r>
    </w:p>
    <w:p>
      <w:pPr>
        <w:spacing w:line="360" w:lineRule="auto"/>
        <w:ind w:left="420" w:leftChars="200"/>
        <w:rPr>
          <w:color w:val="auto"/>
          <w:sz w:val="32"/>
          <w:szCs w:val="32"/>
          <w:highlight w:val="none"/>
        </w:rPr>
      </w:pPr>
      <w:r>
        <w:rPr>
          <w:rFonts w:hint="eastAsia"/>
          <w:color w:val="auto"/>
          <w:sz w:val="32"/>
          <w:szCs w:val="32"/>
          <w:highlight w:val="none"/>
        </w:rPr>
        <w:t xml:space="preserve">签订时间：      </w:t>
      </w:r>
      <w:r>
        <w:rPr>
          <w:color w:val="auto"/>
          <w:sz w:val="32"/>
          <w:szCs w:val="32"/>
          <w:highlight w:val="none"/>
        </w:rPr>
        <w:t xml:space="preserve">           </w:t>
      </w:r>
      <w:r>
        <w:rPr>
          <w:rFonts w:hint="eastAsia"/>
          <w:color w:val="auto"/>
          <w:sz w:val="32"/>
          <w:szCs w:val="32"/>
          <w:highlight w:val="none"/>
        </w:rPr>
        <w:t xml:space="preserve">            </w:t>
      </w:r>
    </w:p>
    <w:p>
      <w:pPr>
        <w:rPr>
          <w:color w:val="auto"/>
          <w:sz w:val="32"/>
          <w:szCs w:val="32"/>
          <w:highlight w:val="none"/>
        </w:rPr>
      </w:pPr>
    </w:p>
    <w:p>
      <w:pPr>
        <w:rPr>
          <w:color w:val="auto"/>
          <w:sz w:val="32"/>
          <w:szCs w:val="32"/>
          <w:highlight w:val="none"/>
        </w:rPr>
        <w:sectPr>
          <w:footerReference r:id="rId3" w:type="default"/>
          <w:pgSz w:w="11906" w:h="16838"/>
          <w:pgMar w:top="1440" w:right="1080" w:bottom="1440" w:left="1080" w:header="851" w:footer="992" w:gutter="0"/>
          <w:pgNumType w:start="1"/>
          <w:cols w:space="720" w:num="1"/>
          <w:docGrid w:type="lines" w:linePitch="312" w:charSpace="0"/>
        </w:sectPr>
      </w:pPr>
    </w:p>
    <w:p>
      <w:pPr>
        <w:keepNext/>
        <w:keepLines/>
        <w:adjustRightInd w:val="0"/>
        <w:snapToGrid w:val="0"/>
        <w:spacing w:before="260" w:after="260" w:line="400" w:lineRule="exact"/>
        <w:jc w:val="center"/>
        <w:outlineLvl w:val="1"/>
        <w:rPr>
          <w:rFonts w:ascii="宋体" w:hAnsi="宋体" w:cs="宋体"/>
          <w:color w:val="auto"/>
          <w:sz w:val="28"/>
          <w:szCs w:val="28"/>
          <w:highlight w:val="none"/>
        </w:rPr>
      </w:pPr>
      <w:bookmarkStart w:id="149" w:name="_Toc11615"/>
      <w:bookmarkStart w:id="150" w:name="_Toc24535"/>
      <w:bookmarkStart w:id="151" w:name="_Toc210311314"/>
      <w:r>
        <w:rPr>
          <w:rFonts w:hint="eastAsia" w:ascii="宋体" w:hAnsi="宋体" w:cs="宋体"/>
          <w:color w:val="auto"/>
          <w:sz w:val="28"/>
          <w:szCs w:val="28"/>
          <w:highlight w:val="none"/>
        </w:rPr>
        <w:t>第一节 政府采购合同协议书</w:t>
      </w:r>
      <w:bookmarkEnd w:id="149"/>
      <w:bookmarkEnd w:id="150"/>
      <w:bookmarkEnd w:id="151"/>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甲方1（采购人）：</w:t>
      </w:r>
      <w:r>
        <w:rPr>
          <w:rFonts w:hint="eastAsia" w:ascii="宋体" w:hAnsi="宋体"/>
          <w:color w:val="auto"/>
          <w:szCs w:val="21"/>
          <w:highlight w:val="none"/>
          <w:u w:val="single"/>
        </w:rPr>
        <w:t>广西壮族自治区卫生健康委员会</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甲方2（使用单位）：</w:t>
      </w:r>
      <w:r>
        <w:rPr>
          <w:rFonts w:hint="eastAsia" w:ascii="宋体" w:hAnsi="宋体"/>
          <w:color w:val="auto"/>
          <w:szCs w:val="21"/>
          <w:highlight w:val="none"/>
          <w:u w:val="single"/>
        </w:rPr>
        <w:t>详见附件《xx 地市 xx 县（市区）xx 医共体甲方 2 使用单位名单》</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乙方（供应商）：</w:t>
      </w:r>
      <w:r>
        <w:rPr>
          <w:rFonts w:hint="eastAsia" w:ascii="宋体" w:hAnsi="宋体"/>
          <w:color w:val="auto"/>
          <w:szCs w:val="21"/>
          <w:highlight w:val="none"/>
          <w:u w:val="single"/>
        </w:rPr>
        <w:t xml:space="preserve">                       </w:t>
      </w:r>
    </w:p>
    <w:p>
      <w:pPr>
        <w:spacing w:line="360" w:lineRule="auto"/>
        <w:rPr>
          <w:color w:val="auto"/>
          <w:highlight w:val="none"/>
        </w:rPr>
      </w:pP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依据《中华人民共和国民法典》、《中华人民共和国政府采购法》等有关的法律法规，以及本采购项目采购文件、乙方的《投标文件》及《中标通知书》，甲乙双方同意签订本合同。具体情况及要求如下：     </w:t>
      </w:r>
    </w:p>
    <w:p>
      <w:pPr>
        <w:numPr>
          <w:ilvl w:val="0"/>
          <w:numId w:val="4"/>
        </w:numPr>
        <w:adjustRightInd w:val="0"/>
        <w:snapToGrid w:val="0"/>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项目信息</w:t>
      </w:r>
    </w:p>
    <w:p>
      <w:pPr>
        <w:numPr>
          <w:ilvl w:val="0"/>
          <w:numId w:val="5"/>
        </w:num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采购项目名称：</w:t>
      </w:r>
      <w:r>
        <w:rPr>
          <w:rFonts w:ascii="宋体" w:hAnsi="宋体"/>
          <w:color w:val="auto"/>
          <w:szCs w:val="21"/>
          <w:highlight w:val="none"/>
        </w:rPr>
        <w:t xml:space="preserve"> </w:t>
      </w:r>
      <w:r>
        <w:rPr>
          <w:rFonts w:hint="eastAsia" w:ascii="宋体" w:hAnsi="宋体"/>
          <w:color w:val="auto"/>
          <w:szCs w:val="21"/>
          <w:highlight w:val="none"/>
          <w:u w:val="single"/>
        </w:rPr>
        <w:t>广西壮族自治区2024年县域医共体设备更新项目（数字化X射线摄影系统-移动式DR及数字乳腺X射线摄影系统）（重3）</w:t>
      </w:r>
      <w:r>
        <w:rPr>
          <w:rFonts w:ascii="宋体" w:hAnsi="宋体"/>
          <w:color w:val="auto"/>
          <w:szCs w:val="21"/>
          <w:highlight w:val="none"/>
        </w:rPr>
        <w:t xml:space="preserve"> </w:t>
      </w:r>
    </w:p>
    <w:p>
      <w:pPr>
        <w:tabs>
          <w:tab w:val="left" w:pos="999"/>
        </w:tabs>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         采购项目编号：</w:t>
      </w:r>
      <w:r>
        <w:rPr>
          <w:rFonts w:hint="eastAsia" w:ascii="宋体" w:hAnsi="宋体"/>
          <w:color w:val="auto"/>
          <w:szCs w:val="21"/>
          <w:highlight w:val="none"/>
          <w:u w:val="single"/>
        </w:rPr>
        <w:t>GXZC2026-G1-000555-KWZB</w:t>
      </w:r>
      <w:r>
        <w:rPr>
          <w:rFonts w:ascii="宋体" w:hAnsi="宋体"/>
          <w:color w:val="auto"/>
          <w:szCs w:val="21"/>
          <w:highlight w:val="none"/>
        </w:rPr>
        <w:t xml:space="preserve"> </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（2）采购计划编号：</w:t>
      </w:r>
      <w:r>
        <w:rPr>
          <w:rFonts w:ascii="宋体" w:hAnsi="宋体"/>
          <w:color w:val="auto"/>
          <w:szCs w:val="21"/>
          <w:highlight w:val="none"/>
          <w:u w:val="single"/>
        </w:rPr>
        <w:t xml:space="preserve">                               </w:t>
      </w:r>
      <w:r>
        <w:rPr>
          <w:rFonts w:ascii="宋体" w:hAnsi="宋体"/>
          <w:color w:val="auto"/>
          <w:szCs w:val="21"/>
          <w:highlight w:val="none"/>
        </w:rPr>
        <w:t xml:space="preserve">  </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（3）项目内容：</w:t>
      </w:r>
    </w:p>
    <w:p>
      <w:pPr>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 xml:space="preserve">     采购标的及数量（台）：</w:t>
      </w:r>
      <w:r>
        <w:rPr>
          <w:rFonts w:hint="eastAsia" w:ascii="宋体" w:hAnsi="宋体"/>
          <w:color w:val="auto"/>
          <w:szCs w:val="21"/>
          <w:highlight w:val="none"/>
          <w:u w:val="single"/>
        </w:rPr>
        <w:t xml:space="preserve">                              </w:t>
      </w:r>
    </w:p>
    <w:p>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 xml:space="preserve">     </w:t>
      </w:r>
      <w:r>
        <w:rPr>
          <w:rFonts w:hint="eastAsia" w:ascii="宋体" w:hAnsi="宋体" w:cs="宋体"/>
          <w:color w:val="auto"/>
          <w:szCs w:val="21"/>
          <w:highlight w:val="none"/>
        </w:rPr>
        <w:t>品牌：</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规格型号：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p>
    <w:p>
      <w:pPr>
        <w:adjustRightInd w:val="0"/>
        <w:snapToGrid w:val="0"/>
        <w:spacing w:line="360" w:lineRule="auto"/>
        <w:ind w:firstLine="945" w:firstLineChars="450"/>
        <w:rPr>
          <w:rFonts w:ascii="宋体" w:hAnsi="宋体"/>
          <w:color w:val="auto"/>
          <w:szCs w:val="21"/>
          <w:highlight w:val="none"/>
          <w:u w:val="single"/>
        </w:rPr>
      </w:pPr>
      <w:r>
        <w:rPr>
          <w:rFonts w:hint="eastAsia" w:ascii="宋体" w:hAnsi="宋体"/>
          <w:color w:val="auto"/>
          <w:szCs w:val="21"/>
          <w:highlight w:val="none"/>
        </w:rPr>
        <w:t>采购标的的技术要求、商务要求具体见附件。</w:t>
      </w:r>
    </w:p>
    <w:p>
      <w:pPr>
        <w:numPr>
          <w:ilvl w:val="0"/>
          <w:numId w:val="4"/>
        </w:num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合同金额</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（1）合同金额小写：</w:t>
      </w:r>
      <w:r>
        <w:rPr>
          <w:rFonts w:hint="eastAsia" w:ascii="宋体" w:hAnsi="宋体"/>
          <w:color w:val="auto"/>
          <w:szCs w:val="21"/>
          <w:highlight w:val="none"/>
          <w:u w:val="single"/>
        </w:rPr>
        <w:t xml:space="preserve">                           </w:t>
      </w:r>
    </w:p>
    <w:p>
      <w:pPr>
        <w:adjustRightInd w:val="0"/>
        <w:snapToGrid w:val="0"/>
        <w:spacing w:line="360" w:lineRule="auto"/>
        <w:rPr>
          <w:rFonts w:ascii="宋体" w:hAnsi="宋体"/>
          <w:color w:val="auto"/>
          <w:szCs w:val="21"/>
          <w:highlight w:val="none"/>
          <w:u w:val="single"/>
        </w:rPr>
      </w:pPr>
      <w:r>
        <w:rPr>
          <w:rFonts w:hint="eastAsia" w:ascii="宋体" w:hAnsi="宋体"/>
          <w:color w:val="auto"/>
          <w:szCs w:val="21"/>
          <w:highlight w:val="none"/>
        </w:rPr>
        <w:t xml:space="preserve">                 大写：</w:t>
      </w:r>
      <w:r>
        <w:rPr>
          <w:rFonts w:hint="eastAsia" w:ascii="宋体" w:hAnsi="宋体"/>
          <w:color w:val="auto"/>
          <w:szCs w:val="21"/>
          <w:highlight w:val="none"/>
          <w:u w:val="single"/>
        </w:rPr>
        <w:t xml:space="preserve">                           </w:t>
      </w:r>
    </w:p>
    <w:p>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    （2）合同定价方式（采用组合定价方式的，可以勾选多项）：</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iCs/>
          <w:color w:val="auto"/>
          <w:szCs w:val="21"/>
          <w:highlight w:val="none"/>
        </w:rPr>
        <w:t xml:space="preserve">  </w:t>
      </w:r>
      <w:r>
        <w:rPr>
          <w:rFonts w:hint="eastAsia" w:ascii="宋体" w:hAnsi="宋体"/>
          <w:iCs/>
          <w:color w:val="auto"/>
          <w:szCs w:val="21"/>
          <w:highlight w:val="none"/>
        </w:rPr>
        <w:sym w:font="Wingdings 2" w:char="F052"/>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固定费率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绩效激励 </w:t>
      </w:r>
      <w:r>
        <w:rPr>
          <w:rFonts w:hint="eastAsia" w:ascii="宋体" w:hAnsi="宋体"/>
          <w:iCs/>
          <w:color w:val="auto"/>
          <w:szCs w:val="21"/>
          <w:highlight w:val="none"/>
        </w:rPr>
        <w:sym w:font="Wingdings" w:char="00A8"/>
      </w:r>
      <w:r>
        <w:rPr>
          <w:rFonts w:hint="eastAsia" w:ascii="宋体" w:hAnsi="宋体"/>
          <w:iCs/>
          <w:color w:val="auto"/>
          <w:szCs w:val="21"/>
          <w:highlight w:val="none"/>
        </w:rPr>
        <w:t>其他</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（3）付款方式（按项目实际勾选填写）：</w:t>
      </w:r>
    </w:p>
    <w:p>
      <w:pPr>
        <w:snapToGrid w:val="0"/>
        <w:spacing w:line="360" w:lineRule="auto"/>
        <w:ind w:firstLine="630" w:firstLineChars="300"/>
        <w:rPr>
          <w:color w:val="auto"/>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全额付款：</w:t>
      </w:r>
      <w:r>
        <w:rPr>
          <w:rFonts w:hint="eastAsia" w:ascii="宋体" w:hAnsi="宋体"/>
          <w:color w:val="auto"/>
          <w:szCs w:val="21"/>
          <w:highlight w:val="none"/>
          <w:u w:val="single"/>
        </w:rPr>
        <w:t xml:space="preserve">               </w:t>
      </w:r>
    </w:p>
    <w:p>
      <w:pPr>
        <w:snapToGrid w:val="0"/>
        <w:spacing w:line="360" w:lineRule="auto"/>
        <w:ind w:firstLine="630" w:firstLineChars="300"/>
        <w:rPr>
          <w:rFonts w:ascii="宋体" w:hAnsi="宋体"/>
          <w:color w:val="auto"/>
          <w:szCs w:val="21"/>
          <w:highlight w:val="none"/>
          <w:u w:val="single"/>
        </w:rPr>
      </w:pPr>
      <w:r>
        <w:rPr>
          <w:rFonts w:hint="eastAsia" w:ascii="宋体" w:hAnsi="宋体"/>
          <w:iCs/>
          <w:color w:val="auto"/>
          <w:szCs w:val="21"/>
          <w:highlight w:val="none"/>
        </w:rPr>
        <w:sym w:font="Wingdings 2" w:char="F052"/>
      </w:r>
      <w:r>
        <w:rPr>
          <w:rFonts w:hint="eastAsia" w:ascii="宋体" w:hAnsi="宋体"/>
          <w:color w:val="auto"/>
          <w:szCs w:val="21"/>
          <w:highlight w:val="none"/>
        </w:rPr>
        <w:t>分期付款：</w:t>
      </w:r>
    </w:p>
    <w:p>
      <w:pPr>
        <w:snapToGrid w:val="0"/>
        <w:spacing w:line="360" w:lineRule="auto"/>
        <w:ind w:firstLine="630" w:firstLineChars="300"/>
        <w:rPr>
          <w:rFonts w:ascii="宋体" w:hAnsi="宋体"/>
          <w:color w:val="auto"/>
          <w:szCs w:val="21"/>
          <w:highlight w:val="none"/>
          <w:u w:val="single"/>
        </w:rPr>
      </w:pPr>
      <w:r>
        <w:rPr>
          <w:rFonts w:hint="eastAsia" w:ascii="宋体" w:hAnsi="宋体"/>
          <w:color w:val="auto"/>
          <w:szCs w:val="21"/>
          <w:highlight w:val="none"/>
          <w:u w:val="single"/>
        </w:rPr>
        <w:t>本项目合同金额分三期支付：第一期（</w:t>
      </w:r>
      <w:r>
        <w:rPr>
          <w:rFonts w:ascii="宋体" w:hAnsi="宋体"/>
          <w:color w:val="auto"/>
          <w:szCs w:val="21"/>
          <w:highlight w:val="none"/>
          <w:u w:val="single"/>
        </w:rPr>
        <w:t>30%</w:t>
      </w:r>
      <w:r>
        <w:rPr>
          <w:rFonts w:hint="eastAsia" w:ascii="宋体" w:hAnsi="宋体"/>
          <w:color w:val="auto"/>
          <w:szCs w:val="21"/>
          <w:highlight w:val="none"/>
          <w:u w:val="single"/>
        </w:rPr>
        <w:t>）、第二期（</w:t>
      </w:r>
      <w:r>
        <w:rPr>
          <w:rFonts w:ascii="宋体" w:hAnsi="宋体"/>
          <w:color w:val="auto"/>
          <w:szCs w:val="21"/>
          <w:highlight w:val="none"/>
          <w:u w:val="single"/>
        </w:rPr>
        <w:t>50%</w:t>
      </w:r>
      <w:r>
        <w:rPr>
          <w:rFonts w:hint="eastAsia" w:ascii="宋体" w:hAnsi="宋体"/>
          <w:color w:val="auto"/>
          <w:szCs w:val="21"/>
          <w:highlight w:val="none"/>
          <w:u w:val="single"/>
        </w:rPr>
        <w:t>）：由甲方</w:t>
      </w:r>
      <w:r>
        <w:rPr>
          <w:rFonts w:ascii="宋体" w:hAnsi="宋体"/>
          <w:color w:val="auto"/>
          <w:szCs w:val="21"/>
          <w:highlight w:val="none"/>
          <w:u w:val="single"/>
        </w:rPr>
        <w:t xml:space="preserve"> 1</w:t>
      </w:r>
      <w:r>
        <w:rPr>
          <w:rFonts w:hint="eastAsia" w:ascii="宋体" w:hAnsi="宋体"/>
          <w:color w:val="auto"/>
          <w:szCs w:val="21"/>
          <w:highlight w:val="none"/>
          <w:u w:val="single"/>
        </w:rPr>
        <w:t>（广西壮族自治区卫生健康委员会）集中支付；</w:t>
      </w:r>
      <w:r>
        <w:rPr>
          <w:rFonts w:hint="eastAsia" w:ascii="MS Gothic" w:hAnsi="MS Gothic" w:eastAsia="MS Gothic" w:cs="MS Gothic"/>
          <w:color w:val="auto"/>
          <w:szCs w:val="21"/>
          <w:highlight w:val="none"/>
          <w:u w:val="single"/>
        </w:rPr>
        <w:t>​</w:t>
      </w:r>
      <w:r>
        <w:rPr>
          <w:rFonts w:hint="eastAsia" w:ascii="宋体" w:hAnsi="宋体"/>
          <w:color w:val="auto"/>
          <w:szCs w:val="21"/>
          <w:highlight w:val="none"/>
          <w:u w:val="single"/>
        </w:rPr>
        <w:t xml:space="preserve">第三期（20%）：由甲方2各使用单位（详见附件）按对应设备金额单独支付。 </w:t>
      </w:r>
    </w:p>
    <w:p>
      <w:pPr>
        <w:snapToGrid w:val="0"/>
        <w:spacing w:line="360" w:lineRule="auto"/>
        <w:ind w:firstLine="630" w:firstLineChars="300"/>
        <w:rPr>
          <w:color w:val="auto"/>
          <w:highlight w:val="none"/>
          <w:u w:val="single"/>
        </w:rPr>
      </w:pPr>
      <w:r>
        <w:rPr>
          <w:rFonts w:hint="eastAsia"/>
          <w:color w:val="auto"/>
          <w:highlight w:val="none"/>
          <w:u w:val="single"/>
        </w:rPr>
        <w:t>1.第一期付款（合同金额 30%）</w:t>
      </w:r>
    </w:p>
    <w:p>
      <w:pPr>
        <w:snapToGrid w:val="0"/>
        <w:spacing w:line="360" w:lineRule="auto"/>
        <w:ind w:firstLine="630" w:firstLineChars="300"/>
        <w:rPr>
          <w:color w:val="auto"/>
          <w:highlight w:val="none"/>
          <w:u w:val="single"/>
        </w:rPr>
      </w:pPr>
      <w:r>
        <w:rPr>
          <w:rFonts w:hint="eastAsia"/>
          <w:color w:val="auto"/>
          <w:highlight w:val="none"/>
          <w:u w:val="single"/>
        </w:rPr>
        <w:t>触发条件：乙方提交等额合法发票（抬头：广西壮族自治区卫生健康委员会）。</w:t>
      </w:r>
    </w:p>
    <w:p>
      <w:pPr>
        <w:snapToGrid w:val="0"/>
        <w:spacing w:line="360" w:lineRule="auto"/>
        <w:ind w:firstLine="630" w:firstLineChars="300"/>
        <w:rPr>
          <w:color w:val="auto"/>
          <w:highlight w:val="none"/>
          <w:u w:val="single"/>
        </w:rPr>
      </w:pPr>
      <w:r>
        <w:rPr>
          <w:rFonts w:hint="eastAsia"/>
          <w:color w:val="auto"/>
          <w:highlight w:val="none"/>
          <w:u w:val="single"/>
        </w:rPr>
        <w:t>付款期限： 甲方 1在满足全部条件后10 个工作日内支付。</w:t>
      </w:r>
    </w:p>
    <w:p>
      <w:pPr>
        <w:snapToGrid w:val="0"/>
        <w:spacing w:line="360" w:lineRule="auto"/>
        <w:ind w:firstLine="630" w:firstLineChars="300"/>
        <w:rPr>
          <w:color w:val="auto"/>
          <w:highlight w:val="none"/>
          <w:u w:val="single"/>
        </w:rPr>
      </w:pPr>
      <w:r>
        <w:rPr>
          <w:rFonts w:hint="eastAsia"/>
          <w:color w:val="auto"/>
          <w:highlight w:val="none"/>
          <w:u w:val="single"/>
        </w:rPr>
        <w:t>2.第二期付款（合同金额 50%）</w:t>
      </w:r>
    </w:p>
    <w:p>
      <w:pPr>
        <w:snapToGrid w:val="0"/>
        <w:spacing w:line="360" w:lineRule="auto"/>
        <w:ind w:firstLine="630" w:firstLineChars="300"/>
        <w:rPr>
          <w:color w:val="auto"/>
          <w:highlight w:val="none"/>
          <w:u w:val="single"/>
        </w:rPr>
      </w:pPr>
      <w:r>
        <w:rPr>
          <w:rFonts w:hint="eastAsia"/>
          <w:color w:val="auto"/>
          <w:highlight w:val="none"/>
          <w:u w:val="single"/>
        </w:rPr>
        <w:t>触发条件：①乙方将全部设备运抵甲方 2 ，并经到货验收合格（甲方 2 出具《设备到货确认单》并提交甲方 1）；②乙方提交等额合法发票（抬头同第一期）。</w:t>
      </w:r>
    </w:p>
    <w:p>
      <w:pPr>
        <w:snapToGrid w:val="0"/>
        <w:spacing w:line="360" w:lineRule="auto"/>
        <w:ind w:firstLine="630" w:firstLineChars="300"/>
        <w:rPr>
          <w:color w:val="auto"/>
          <w:highlight w:val="none"/>
          <w:u w:val="single"/>
        </w:rPr>
      </w:pPr>
      <w:r>
        <w:rPr>
          <w:rFonts w:hint="eastAsia"/>
          <w:color w:val="auto"/>
          <w:highlight w:val="none"/>
          <w:u w:val="single"/>
        </w:rPr>
        <w:t>付款期限：甲方 1 在收到验收确认单及发票后 10 个工作日内支付。</w:t>
      </w:r>
    </w:p>
    <w:p>
      <w:pPr>
        <w:snapToGrid w:val="0"/>
        <w:spacing w:line="360" w:lineRule="auto"/>
        <w:ind w:firstLine="630" w:firstLineChars="300"/>
        <w:rPr>
          <w:color w:val="auto"/>
          <w:highlight w:val="none"/>
          <w:u w:val="single"/>
        </w:rPr>
      </w:pPr>
      <w:r>
        <w:rPr>
          <w:rFonts w:hint="eastAsia"/>
          <w:color w:val="auto"/>
          <w:highlight w:val="none"/>
          <w:u w:val="single"/>
        </w:rPr>
        <w:t>3.第三期付款（合同金额 20%）</w:t>
      </w:r>
    </w:p>
    <w:p>
      <w:pPr>
        <w:snapToGrid w:val="0"/>
        <w:spacing w:line="360" w:lineRule="auto"/>
        <w:ind w:firstLine="630" w:firstLineChars="300"/>
        <w:rPr>
          <w:color w:val="auto"/>
          <w:highlight w:val="none"/>
          <w:u w:val="single"/>
        </w:rPr>
      </w:pPr>
      <w:r>
        <w:rPr>
          <w:rFonts w:hint="eastAsia"/>
          <w:color w:val="auto"/>
          <w:highlight w:val="none"/>
          <w:u w:val="single"/>
        </w:rPr>
        <w:t>触发条件：①由验收小组出具通过最终验收的《设备最终验收单》；②乙方按各甲方 2 要求，提交对应抬头的等额合法发票。</w:t>
      </w:r>
    </w:p>
    <w:p>
      <w:pPr>
        <w:snapToGrid w:val="0"/>
        <w:spacing w:line="360" w:lineRule="auto"/>
        <w:ind w:firstLine="630" w:firstLineChars="300"/>
        <w:rPr>
          <w:color w:val="auto"/>
          <w:highlight w:val="none"/>
          <w:u w:val="single"/>
        </w:rPr>
      </w:pPr>
      <w:r>
        <w:rPr>
          <w:rFonts w:hint="eastAsia"/>
          <w:color w:val="auto"/>
          <w:highlight w:val="none"/>
          <w:u w:val="single"/>
        </w:rPr>
        <w:t>付款期限：甲方 2 收到《设备最终验收单》及发票后 10 个工作日内支付；甲方 1 监督付款进度。</w:t>
      </w:r>
    </w:p>
    <w:p>
      <w:pPr>
        <w:adjustRightInd w:val="0"/>
        <w:snapToGrid w:val="0"/>
        <w:spacing w:line="360" w:lineRule="auto"/>
        <w:ind w:firstLine="630" w:firstLineChars="300"/>
        <w:rPr>
          <w:rFonts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成本补偿：</w:t>
      </w:r>
      <w:r>
        <w:rPr>
          <w:rFonts w:hint="eastAsia" w:ascii="宋体" w:hAnsi="宋体"/>
          <w:color w:val="auto"/>
          <w:szCs w:val="21"/>
          <w:highlight w:val="none"/>
          <w:u w:val="single"/>
        </w:rPr>
        <w:t xml:space="preserve">         </w:t>
      </w:r>
    </w:p>
    <w:p>
      <w:pPr>
        <w:adjustRightInd w:val="0"/>
        <w:snapToGrid w:val="0"/>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绩效激励：</w:t>
      </w:r>
      <w:r>
        <w:rPr>
          <w:rFonts w:hint="eastAsia" w:ascii="宋体" w:hAnsi="宋体"/>
          <w:color w:val="auto"/>
          <w:szCs w:val="21"/>
          <w:highlight w:val="none"/>
          <w:u w:val="single"/>
        </w:rPr>
        <w:t xml:space="preserve">         </w:t>
      </w:r>
    </w:p>
    <w:p>
      <w:pPr>
        <w:numPr>
          <w:ilvl w:val="0"/>
          <w:numId w:val="4"/>
        </w:numPr>
        <w:adjustRightInd w:val="0"/>
        <w:snapToGrid w:val="0"/>
        <w:spacing w:line="360" w:lineRule="auto"/>
        <w:ind w:firstLine="422" w:firstLineChars="200"/>
        <w:rPr>
          <w:rFonts w:ascii="宋体" w:hAnsi="宋体"/>
          <w:b/>
          <w:color w:val="auto"/>
          <w:szCs w:val="21"/>
          <w:highlight w:val="none"/>
          <w:u w:val="single"/>
        </w:rPr>
      </w:pPr>
      <w:r>
        <w:rPr>
          <w:rFonts w:hint="eastAsia" w:ascii="宋体" w:hAnsi="宋体"/>
          <w:b/>
          <w:color w:val="auto"/>
          <w:szCs w:val="21"/>
          <w:highlight w:val="none"/>
        </w:rPr>
        <w:t>合同履行</w:t>
      </w:r>
    </w:p>
    <w:p>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（1）起始日期：</w:t>
      </w:r>
      <w:r>
        <w:rPr>
          <w:rFonts w:hint="eastAsia" w:ascii="宋体" w:hAnsi="宋体" w:cs="宋体"/>
          <w:color w:val="auto"/>
          <w:szCs w:val="21"/>
          <w:highlight w:val="none"/>
          <w:u w:val="single"/>
        </w:rPr>
        <w:t>按合同签订时间填写</w:t>
      </w:r>
      <w:r>
        <w:rPr>
          <w:rFonts w:hint="eastAsia" w:ascii="宋体" w:hAnsi="宋体" w:cs="宋体"/>
          <w:color w:val="auto"/>
          <w:szCs w:val="21"/>
          <w:highlight w:val="none"/>
        </w:rPr>
        <w:t>，完成日期：</w:t>
      </w:r>
      <w:r>
        <w:rPr>
          <w:rFonts w:hint="eastAsia" w:ascii="宋体" w:hAnsi="宋体" w:cs="宋体"/>
          <w:color w:val="auto"/>
          <w:szCs w:val="21"/>
          <w:highlight w:val="none"/>
          <w:u w:val="single"/>
        </w:rPr>
        <w:t>质保期结束之日</w:t>
      </w:r>
      <w:r>
        <w:rPr>
          <w:rFonts w:hint="eastAsia" w:ascii="宋体" w:hAnsi="宋体" w:cs="宋体"/>
          <w:color w:val="auto"/>
          <w:szCs w:val="21"/>
          <w:highlight w:val="none"/>
        </w:rPr>
        <w:t>。</w:t>
      </w:r>
    </w:p>
    <w:p>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设备交付期：自合同生效之日起</w:t>
      </w:r>
      <w:r>
        <w:rPr>
          <w:rFonts w:hint="eastAsia" w:ascii="宋体" w:hAnsi="宋体" w:cs="宋体"/>
          <w:color w:val="auto"/>
          <w:szCs w:val="21"/>
          <w:highlight w:val="none"/>
          <w:u w:val="single"/>
        </w:rPr>
        <w:t>（按采购需求或乙方承诺填写）</w:t>
      </w:r>
      <w:r>
        <w:rPr>
          <w:rFonts w:hint="eastAsia" w:ascii="宋体" w:hAnsi="宋体" w:cs="宋体"/>
          <w:color w:val="auto"/>
          <w:szCs w:val="21"/>
          <w:highlight w:val="none"/>
        </w:rPr>
        <w:t>天内，完成全部设备向各甲方2的交付；</w:t>
      </w:r>
    </w:p>
    <w:p>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安装调试期：设备交付至甲方2后</w:t>
      </w:r>
      <w:r>
        <w:rPr>
          <w:rFonts w:hint="eastAsia" w:ascii="宋体" w:hAnsi="宋体" w:cs="宋体"/>
          <w:color w:val="auto"/>
          <w:szCs w:val="21"/>
          <w:highlight w:val="none"/>
          <w:u w:val="single"/>
        </w:rPr>
        <w:t>（按采购需求或乙方承诺填写）</w:t>
      </w:r>
      <w:r>
        <w:rPr>
          <w:rFonts w:hint="eastAsia" w:ascii="宋体" w:hAnsi="宋体" w:cs="宋体"/>
          <w:color w:val="auto"/>
          <w:szCs w:val="21"/>
          <w:highlight w:val="none"/>
        </w:rPr>
        <w:t>天内，完成安装调试并达到可正常使用状态。</w:t>
      </w:r>
    </w:p>
    <w:p>
      <w:pPr>
        <w:adjustRightInd w:val="0"/>
        <w:snapToGrid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（2）履约地点</w:t>
      </w:r>
      <w:r>
        <w:rPr>
          <w:rFonts w:hint="eastAsia" w:ascii="宋体" w:hAnsi="宋体" w:cs="宋体"/>
          <w:bCs/>
          <w:color w:val="auto"/>
          <w:szCs w:val="21"/>
          <w:highlight w:val="none"/>
        </w:rPr>
        <w:t>：</w:t>
      </w:r>
      <w:r>
        <w:rPr>
          <w:rFonts w:hint="eastAsia" w:ascii="宋体" w:hAnsi="宋体" w:cs="宋体"/>
          <w:bCs/>
          <w:color w:val="auto"/>
          <w:szCs w:val="21"/>
          <w:highlight w:val="none"/>
          <w:u w:val="single"/>
        </w:rPr>
        <w:t>甲方1指定抽查验收地点、各甲方2指定设备交付及使用地点</w:t>
      </w:r>
      <w:r>
        <w:rPr>
          <w:rFonts w:hint="eastAsia" w:ascii="宋体" w:hAnsi="宋体" w:cs="宋体"/>
          <w:color w:val="auto"/>
          <w:szCs w:val="21"/>
          <w:highlight w:val="none"/>
          <w:u w:val="single"/>
        </w:rPr>
        <w:t>。</w:t>
      </w:r>
    </w:p>
    <w:p>
      <w:pPr>
        <w:adjustRightInd w:val="0"/>
        <w:snapToGrid w:val="0"/>
        <w:spacing w:line="360" w:lineRule="auto"/>
        <w:ind w:firstLine="420" w:firstLineChars="200"/>
        <w:rPr>
          <w:rFonts w:ascii="宋体" w:hAnsi="宋体" w:cs="宋体"/>
          <w:strike/>
          <w:color w:val="auto"/>
          <w:szCs w:val="21"/>
          <w:highlight w:val="none"/>
        </w:rPr>
      </w:pPr>
      <w:r>
        <w:rPr>
          <w:rFonts w:hint="eastAsia" w:ascii="宋体" w:hAnsi="宋体" w:cs="宋体"/>
          <w:color w:val="auto"/>
          <w:highlight w:val="none"/>
        </w:rPr>
        <w:t>（3）</w:t>
      </w:r>
      <w:r>
        <w:rPr>
          <w:rFonts w:hint="eastAsia" w:ascii="宋体" w:hAnsi="宋体" w:cs="宋体"/>
          <w:bCs/>
          <w:color w:val="auto"/>
          <w:szCs w:val="21"/>
          <w:highlight w:val="none"/>
        </w:rPr>
        <w:t>履约担保：</w:t>
      </w:r>
      <w:r>
        <w:rPr>
          <w:rFonts w:hint="eastAsia" w:ascii="宋体" w:hAnsi="宋体" w:cs="宋体"/>
          <w:color w:val="auto"/>
          <w:highlight w:val="none"/>
        </w:rPr>
        <w:t>是否收取履约保证金：</w:t>
      </w:r>
      <w:r>
        <w:rPr>
          <w:rFonts w:hint="eastAsia" w:ascii="宋体" w:hAnsi="宋体"/>
          <w:iCs/>
          <w:color w:val="auto"/>
          <w:szCs w:val="21"/>
          <w:highlight w:val="none"/>
        </w:rPr>
        <w:sym w:font="Wingdings 2" w:char="F052"/>
      </w:r>
      <w:r>
        <w:rPr>
          <w:rFonts w:hint="eastAsia" w:ascii="宋体" w:hAnsi="宋体" w:cs="宋体"/>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cs="宋体"/>
          <w:color w:val="auto"/>
          <w:szCs w:val="21"/>
          <w:highlight w:val="none"/>
        </w:rPr>
        <w:t>否</w:t>
      </w:r>
    </w:p>
    <w:p>
      <w:pPr>
        <w:snapToGrid w:val="0"/>
        <w:spacing w:line="360" w:lineRule="exact"/>
        <w:ind w:firstLine="420" w:firstLineChars="200"/>
        <w:rPr>
          <w:rFonts w:hint="eastAsia" w:ascii="宋体" w:hAnsi="宋体" w:cs="Calibri"/>
          <w:color w:val="auto"/>
          <w:szCs w:val="21"/>
          <w:highlight w:val="none"/>
        </w:rPr>
      </w:pPr>
      <w:r>
        <w:rPr>
          <w:rFonts w:hint="eastAsia" w:ascii="宋体" w:hAnsi="宋体" w:cs="Calibri"/>
          <w:color w:val="auto"/>
          <w:szCs w:val="21"/>
          <w:highlight w:val="none"/>
        </w:rPr>
        <w:t>履约保证金金额：</w:t>
      </w:r>
    </w:p>
    <w:p>
      <w:pPr>
        <w:snapToGrid w:val="0"/>
        <w:spacing w:line="360" w:lineRule="exact"/>
        <w:ind w:firstLine="420" w:firstLineChars="200"/>
        <w:rPr>
          <w:rFonts w:ascii="宋体" w:hAnsi="宋体" w:cs="Calibri"/>
          <w:szCs w:val="21"/>
          <w:highlight w:val="none"/>
        </w:rPr>
      </w:pPr>
      <w:r>
        <w:rPr>
          <w:rFonts w:ascii="宋体" w:hAnsi="宋体" w:cs="Calibri"/>
          <w:szCs w:val="21"/>
          <w:highlight w:val="none"/>
        </w:rPr>
        <w:t>1.履约保证金金额：按中标金额的5%（如中标供应商为中小微企业，按中标金额的2%）</w:t>
      </w:r>
      <w:r>
        <w:rPr>
          <w:rFonts w:hint="eastAsia" w:ascii="宋体" w:hAnsi="宋体" w:cs="Calibri"/>
          <w:szCs w:val="21"/>
          <w:highlight w:val="none"/>
        </w:rPr>
        <w:t>，</w:t>
      </w:r>
      <w:r>
        <w:rPr>
          <w:rFonts w:ascii="宋体" w:hAnsi="宋体" w:cs="Calibri"/>
          <w:szCs w:val="21"/>
          <w:highlight w:val="none"/>
        </w:rPr>
        <w:t>如投标人以金融机构出具的无条件见索即付的独立保函形式提交的履约保证金，采购人不得拒收。</w:t>
      </w:r>
    </w:p>
    <w:p>
      <w:pPr>
        <w:snapToGrid w:val="0"/>
        <w:spacing w:line="360" w:lineRule="exact"/>
        <w:ind w:firstLine="420" w:firstLineChars="200"/>
        <w:rPr>
          <w:rFonts w:ascii="宋体" w:hAnsi="宋体" w:cs="Calibri"/>
          <w:szCs w:val="21"/>
          <w:highlight w:val="none"/>
        </w:rPr>
      </w:pPr>
      <w:r>
        <w:rPr>
          <w:rFonts w:ascii="宋体" w:hAnsi="宋体" w:cs="Calibri"/>
          <w:szCs w:val="21"/>
          <w:highlight w:val="none"/>
        </w:rPr>
        <w:t>2.</w:t>
      </w:r>
      <w:r>
        <w:rPr>
          <w:rFonts w:hint="eastAsia" w:ascii="宋体" w:hAnsi="宋体" w:cs="Calibri"/>
          <w:szCs w:val="21"/>
          <w:highlight w:val="none"/>
        </w:rPr>
        <w:t>在签订合同之前，</w:t>
      </w:r>
      <w:r>
        <w:rPr>
          <w:rFonts w:ascii="宋体" w:hAnsi="宋体" w:cs="Calibri"/>
          <w:szCs w:val="21"/>
          <w:highlight w:val="none"/>
        </w:rPr>
        <w:t>中标供应商</w:t>
      </w:r>
      <w:r>
        <w:rPr>
          <w:rFonts w:hint="eastAsia" w:ascii="宋体" w:hAnsi="宋体" w:cs="Calibri"/>
          <w:szCs w:val="21"/>
          <w:highlight w:val="none"/>
        </w:rPr>
        <w:t>应按要求以约定的履约保证金提交方式足额支付履约保证金或提交</w:t>
      </w:r>
      <w:r>
        <w:rPr>
          <w:rFonts w:hint="eastAsia" w:ascii="宋体" w:hAnsi="宋体"/>
          <w:szCs w:val="21"/>
          <w:highlight w:val="none"/>
        </w:rPr>
        <w:t>金融机构出具的无条件见索即付的独立保函（含电子保函）</w:t>
      </w:r>
      <w:r>
        <w:rPr>
          <w:rFonts w:hint="eastAsia" w:ascii="宋体" w:hAnsi="宋体" w:cs="Calibri"/>
          <w:szCs w:val="21"/>
          <w:highlight w:val="none"/>
        </w:rPr>
        <w:t>，否则不予签订本项目合同。</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3.履约保证金提交方式：</w:t>
      </w:r>
    </w:p>
    <w:p>
      <w:pPr>
        <w:snapToGrid w:val="0"/>
        <w:spacing w:line="360" w:lineRule="exact"/>
        <w:ind w:firstLine="420" w:firstLineChars="200"/>
        <w:rPr>
          <w:rFonts w:ascii="宋体" w:hAnsi="宋体" w:cs="Calibri"/>
          <w:szCs w:val="21"/>
          <w:highlight w:val="none"/>
        </w:rPr>
      </w:pPr>
      <w:r>
        <w:rPr>
          <w:rFonts w:ascii="宋体" w:hAnsi="宋体" w:cs="Calibri"/>
          <w:szCs w:val="21"/>
          <w:highlight w:val="none"/>
        </w:rPr>
        <w:t>中标供应商</w:t>
      </w:r>
      <w:r>
        <w:rPr>
          <w:rFonts w:hint="eastAsia" w:ascii="宋体" w:hAnsi="宋体" w:cs="宋体"/>
          <w:szCs w:val="21"/>
          <w:highlight w:val="none"/>
        </w:rPr>
        <w:t>可以以下两种方式缴纳履约保证金：</w:t>
      </w:r>
    </w:p>
    <w:p>
      <w:pPr>
        <w:snapToGrid w:val="0"/>
        <w:spacing w:line="360" w:lineRule="exact"/>
        <w:ind w:firstLine="420" w:firstLineChars="200"/>
        <w:rPr>
          <w:rFonts w:ascii="宋体" w:hAnsi="宋体" w:cs="宋体"/>
          <w:szCs w:val="21"/>
          <w:highlight w:val="none"/>
        </w:rPr>
      </w:pPr>
      <w:r>
        <w:rPr>
          <w:rFonts w:hint="eastAsia" w:ascii="宋体" w:hAnsi="宋体" w:cs="宋体"/>
          <w:szCs w:val="21"/>
          <w:highlight w:val="none"/>
        </w:rPr>
        <w:t>方式一：支票、汇票、本票、银行转账方式支付。</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履约保证金缴纳的账号信息：</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 xml:space="preserve">户名：广西壮族自治区卫生健康委员会 </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基本户银行账号：</w:t>
      </w:r>
      <w:r>
        <w:rPr>
          <w:rFonts w:ascii="宋体" w:hAnsi="宋体" w:cs="Calibri"/>
          <w:szCs w:val="21"/>
          <w:highlight w:val="none"/>
        </w:rPr>
        <w:t>2102108109264001189</w:t>
      </w:r>
    </w:p>
    <w:p>
      <w:pPr>
        <w:snapToGrid w:val="0"/>
        <w:spacing w:line="360" w:lineRule="exact"/>
        <w:ind w:firstLine="420" w:firstLineChars="200"/>
        <w:rPr>
          <w:highlight w:val="none"/>
        </w:rPr>
      </w:pPr>
      <w:r>
        <w:rPr>
          <w:rFonts w:hint="eastAsia" w:ascii="宋体" w:hAnsi="宋体" w:cs="Calibri"/>
          <w:szCs w:val="21"/>
          <w:highlight w:val="none"/>
        </w:rPr>
        <w:t>基本户开户行：中国工商银行股份有限公司南宁市桃源支行</w:t>
      </w:r>
    </w:p>
    <w:p>
      <w:pPr>
        <w:snapToGrid w:val="0"/>
        <w:spacing w:line="360" w:lineRule="exact"/>
        <w:ind w:firstLine="420" w:firstLineChars="200"/>
        <w:rPr>
          <w:rFonts w:ascii="宋体" w:hAnsi="宋体" w:cs="宋体"/>
          <w:szCs w:val="21"/>
          <w:highlight w:val="none"/>
        </w:rPr>
      </w:pPr>
      <w:r>
        <w:rPr>
          <w:rFonts w:hint="eastAsia" w:ascii="宋体" w:hAnsi="宋体" w:cs="宋体"/>
          <w:szCs w:val="21"/>
          <w:highlight w:val="none"/>
        </w:rPr>
        <w:t>方式二：</w:t>
      </w:r>
      <w:r>
        <w:rPr>
          <w:rFonts w:hint="eastAsia" w:ascii="宋体" w:hAnsi="宋体"/>
          <w:szCs w:val="21"/>
          <w:highlight w:val="none"/>
        </w:rPr>
        <w:t>金融机构出具的无条件见索即付的独立保函（含电子保函）。</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（1）受益人：广西壮族自治区卫生健康委员会。</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（2）递交要求：保函原件（或带有CA验签的电子保函打印件）须交至采购人指定联系人处。</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（3）特别约定：保函须注明“不可撤销、无条件见索即付”；未经采购人书面同意，不得单方面撤销或修改。</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（4）履约</w:t>
      </w:r>
      <w:r>
        <w:rPr>
          <w:rFonts w:hint="eastAsia" w:ascii="宋体" w:hAnsi="宋体" w:cs="Calibri"/>
          <w:szCs w:val="21"/>
          <w:highlight w:val="none"/>
        </w:rPr>
        <w:t>保证</w:t>
      </w:r>
      <w:r>
        <w:rPr>
          <w:rFonts w:hint="eastAsia" w:ascii="宋体" w:hAnsi="宋体" w:cs="宋体"/>
          <w:szCs w:val="21"/>
          <w:highlight w:val="none"/>
        </w:rPr>
        <w:t>期限：</w:t>
      </w:r>
      <w:r>
        <w:rPr>
          <w:rFonts w:hint="eastAsia" w:ascii="宋体" w:hAnsi="宋体"/>
          <w:szCs w:val="21"/>
          <w:highlight w:val="none"/>
        </w:rPr>
        <w:t>自合同生效之日起至供应商按招标文件售后服务要求履行完义务为止。</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 xml:space="preserve">（5）有下列情形之一的，视为履约保证金提交无效： </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①未按规定方式缴纳，或未足额缴纳（含保函额度不足）；</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②转账凭证模糊、保函存在涂改、伪造、印章不清或背书瑕疵；</w:t>
      </w:r>
    </w:p>
    <w:p>
      <w:pPr>
        <w:spacing w:line="400" w:lineRule="exact"/>
        <w:ind w:firstLine="420" w:firstLineChars="200"/>
        <w:rPr>
          <w:rFonts w:ascii="宋体" w:hAnsi="宋体" w:cs="宋体"/>
          <w:szCs w:val="21"/>
          <w:highlight w:val="none"/>
        </w:rPr>
      </w:pPr>
      <w:r>
        <w:rPr>
          <w:rFonts w:hint="eastAsia" w:ascii="宋体" w:hAnsi="宋体" w:cs="宋体"/>
          <w:szCs w:val="21"/>
          <w:highlight w:val="none"/>
        </w:rPr>
        <w:t>③</w:t>
      </w:r>
      <w:r>
        <w:rPr>
          <w:rFonts w:hint="eastAsia" w:ascii="宋体" w:hAnsi="宋体"/>
          <w:highlight w:val="none"/>
        </w:rPr>
        <w:t>保函担保期限短于售后维保服务期限</w:t>
      </w:r>
      <w:r>
        <w:rPr>
          <w:rFonts w:hint="eastAsia" w:ascii="宋体" w:hAnsi="宋体" w:cs="宋体"/>
          <w:szCs w:val="21"/>
          <w:highlight w:val="none"/>
        </w:rPr>
        <w:t>；</w:t>
      </w:r>
    </w:p>
    <w:p>
      <w:pPr>
        <w:spacing w:line="360" w:lineRule="exact"/>
        <w:ind w:firstLine="420" w:firstLineChars="200"/>
        <w:rPr>
          <w:rFonts w:ascii="宋体" w:hAnsi="宋体" w:cs="Calibri"/>
          <w:szCs w:val="21"/>
          <w:highlight w:val="none"/>
        </w:rPr>
      </w:pPr>
      <w:r>
        <w:rPr>
          <w:rFonts w:hint="eastAsia" w:ascii="宋体" w:hAnsi="宋体" w:cs="宋体"/>
          <w:szCs w:val="21"/>
          <w:highlight w:val="none"/>
        </w:rPr>
        <w:t>④保函内容含有“需经法院判决后才赔付”等限制“见索即付”效力条款的。</w:t>
      </w:r>
    </w:p>
    <w:p>
      <w:pPr>
        <w:spacing w:line="360" w:lineRule="exact"/>
        <w:ind w:firstLine="420" w:firstLineChars="200"/>
        <w:rPr>
          <w:rFonts w:ascii="宋体" w:hAnsi="宋体" w:cs="Calibri"/>
          <w:szCs w:val="21"/>
          <w:highlight w:val="none"/>
        </w:rPr>
      </w:pPr>
      <w:r>
        <w:rPr>
          <w:rFonts w:hint="eastAsia" w:ascii="宋体" w:hAnsi="宋体" w:cs="Calibri"/>
          <w:szCs w:val="21"/>
          <w:highlight w:val="none"/>
        </w:rPr>
        <w:t>4.履约保证金退付方式、时间及条件：</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（1）</w:t>
      </w:r>
      <w:r>
        <w:rPr>
          <w:rFonts w:hint="eastAsia" w:ascii="宋体" w:hAnsi="宋体" w:cs="Calibri"/>
          <w:szCs w:val="21"/>
          <w:highlight w:val="none"/>
        </w:rPr>
        <w:t>以支</w:t>
      </w:r>
      <w:r>
        <w:rPr>
          <w:rFonts w:hint="eastAsia" w:ascii="宋体" w:hAnsi="宋体" w:cs="宋体"/>
          <w:szCs w:val="21"/>
          <w:highlight w:val="none"/>
        </w:rPr>
        <w:t>票、汇票、本票、银行转账缴纳履约保证金的，</w:t>
      </w:r>
      <w:r>
        <w:rPr>
          <w:rFonts w:hint="eastAsia" w:ascii="宋体" w:hAnsi="宋体" w:cs="Calibri"/>
          <w:szCs w:val="21"/>
          <w:highlight w:val="none"/>
        </w:rPr>
        <w:t>自项目验收合格后，待供应商履行完售后维保服务义务且无违约或在违约索赔已结清的情况下，由供应商提出书面申请后，在5个工作日内采购人无息退还。</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（2）对于以</w:t>
      </w:r>
      <w:r>
        <w:rPr>
          <w:rFonts w:hint="eastAsia" w:ascii="宋体" w:hAnsi="宋体"/>
          <w:szCs w:val="21"/>
          <w:highlight w:val="none"/>
        </w:rPr>
        <w:t>金融机构出具的保函（含电子保函）</w:t>
      </w:r>
      <w:r>
        <w:rPr>
          <w:rFonts w:hint="eastAsia" w:ascii="宋体" w:hAnsi="宋体" w:cs="Calibri"/>
          <w:szCs w:val="21"/>
          <w:highlight w:val="none"/>
        </w:rPr>
        <w:t>方式</w:t>
      </w:r>
      <w:r>
        <w:rPr>
          <w:rFonts w:hint="eastAsia" w:ascii="宋体" w:hAnsi="宋体" w:cs="Calibri"/>
          <w:szCs w:val="21"/>
          <w:highlight w:val="none"/>
          <w:lang w:val="en-US" w:eastAsia="zh-CN"/>
        </w:rPr>
        <w:t>提交</w:t>
      </w:r>
      <w:r>
        <w:rPr>
          <w:rFonts w:hint="eastAsia" w:ascii="宋体" w:hAnsi="宋体" w:cs="Calibri"/>
          <w:szCs w:val="21"/>
          <w:highlight w:val="none"/>
        </w:rPr>
        <w:t>的履约保证金的，待供应商履行完售后维保服务义务且无违约或在违约索赔已结清的情况下，保函有效期届满后自动失效，采购人退还原件或系统确认失效。</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5.在履行合同过程中，未能按照合同约定履行合同义务的（不可抗力除外），若因此导致采购人或使用单位合同权益受损的，采购人有权扣除履约保证金。采购人有权依据项目合同及履约保证金凭证（无论转账或保函），</w:t>
      </w:r>
      <w:r>
        <w:rPr>
          <w:rFonts w:ascii="宋体" w:hAnsi="宋体"/>
          <w:szCs w:val="21"/>
          <w:highlight w:val="none"/>
        </w:rPr>
        <w:t>向供应商或</w:t>
      </w:r>
      <w:r>
        <w:rPr>
          <w:rFonts w:hint="eastAsia" w:ascii="宋体" w:hAnsi="宋体"/>
          <w:szCs w:val="21"/>
          <w:highlight w:val="none"/>
        </w:rPr>
        <w:t>金融机构</w:t>
      </w:r>
      <w:r>
        <w:rPr>
          <w:rFonts w:ascii="宋体" w:hAnsi="宋体"/>
          <w:szCs w:val="21"/>
          <w:highlight w:val="none"/>
        </w:rPr>
        <w:t>主张权利</w:t>
      </w:r>
      <w:r>
        <w:rPr>
          <w:rFonts w:hint="eastAsia" w:ascii="宋体" w:hAnsi="宋体" w:cs="Calibri"/>
          <w:szCs w:val="21"/>
          <w:highlight w:val="none"/>
        </w:rPr>
        <w:t>：</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①</w:t>
      </w:r>
      <w:r>
        <w:rPr>
          <w:rFonts w:hint="eastAsia" w:ascii="宋体" w:hAnsi="宋体" w:cs="Calibri"/>
          <w:szCs w:val="21"/>
          <w:highlight w:val="none"/>
        </w:rPr>
        <w:t>对于以支票、汇票、本票、银行转账缴纳履约保证金的供应商：</w:t>
      </w:r>
      <w:r>
        <w:rPr>
          <w:rFonts w:hint="eastAsia"/>
          <w:highlight w:val="none"/>
        </w:rPr>
        <w:t>如未按约定履行合同义务导致使用单位合同权益受损</w:t>
      </w:r>
      <w:r>
        <w:rPr>
          <w:rFonts w:hint="eastAsia" w:ascii="宋体" w:hAnsi="宋体" w:cs="Calibri"/>
          <w:szCs w:val="21"/>
          <w:highlight w:val="none"/>
        </w:rPr>
        <w:t>，采购人有权直接从已缴纳的保证金中扣除赔偿金。扣除后，若余额不足，供应商需在接到通知后3个工作日内补足。</w:t>
      </w:r>
    </w:p>
    <w:p>
      <w:pPr>
        <w:snapToGrid w:val="0"/>
        <w:spacing w:line="360" w:lineRule="exact"/>
        <w:ind w:firstLine="420" w:firstLineChars="200"/>
        <w:rPr>
          <w:rFonts w:ascii="宋体" w:hAnsi="宋体" w:cs="Calibri"/>
          <w:szCs w:val="21"/>
          <w:highlight w:val="none"/>
        </w:rPr>
      </w:pPr>
      <w:r>
        <w:rPr>
          <w:rFonts w:hint="eastAsia" w:ascii="宋体" w:hAnsi="宋体" w:cs="宋体"/>
          <w:szCs w:val="21"/>
          <w:highlight w:val="none"/>
        </w:rPr>
        <w:t>②</w:t>
      </w:r>
      <w:r>
        <w:rPr>
          <w:rFonts w:hint="eastAsia" w:ascii="宋体" w:hAnsi="宋体" w:cs="Calibri"/>
          <w:szCs w:val="21"/>
          <w:highlight w:val="none"/>
        </w:rPr>
        <w:t>对于以</w:t>
      </w:r>
      <w:r>
        <w:rPr>
          <w:rFonts w:hint="eastAsia" w:ascii="宋体" w:hAnsi="宋体"/>
          <w:szCs w:val="21"/>
          <w:highlight w:val="none"/>
        </w:rPr>
        <w:t>金融机构出具的保函（含电子保函）</w:t>
      </w:r>
      <w:r>
        <w:rPr>
          <w:rFonts w:hint="eastAsia" w:ascii="宋体" w:hAnsi="宋体" w:cs="Calibri"/>
          <w:szCs w:val="21"/>
          <w:highlight w:val="none"/>
          <w:lang w:val="en-US" w:eastAsia="zh-CN"/>
        </w:rPr>
        <w:t>提交</w:t>
      </w:r>
      <w:r>
        <w:rPr>
          <w:rFonts w:hint="eastAsia" w:ascii="宋体" w:hAnsi="宋体" w:cs="Calibri"/>
          <w:szCs w:val="21"/>
          <w:highlight w:val="none"/>
        </w:rPr>
        <w:t>履约保证金</w:t>
      </w:r>
      <w:r>
        <w:rPr>
          <w:rFonts w:hint="eastAsia" w:ascii="宋体" w:hAnsi="宋体" w:cs="Calibri"/>
          <w:szCs w:val="21"/>
          <w:highlight w:val="none"/>
        </w:rPr>
        <w:t>的供应商：</w:t>
      </w:r>
      <w:r>
        <w:rPr>
          <w:rFonts w:hint="eastAsia"/>
          <w:highlight w:val="none"/>
        </w:rPr>
        <w:t>如未按约定履行合同义务导致使用单位合同权益受损</w:t>
      </w:r>
      <w:r>
        <w:rPr>
          <w:rFonts w:hint="eastAsia" w:ascii="宋体" w:hAnsi="宋体" w:cs="Calibri"/>
          <w:szCs w:val="21"/>
          <w:highlight w:val="none"/>
        </w:rPr>
        <w:t>，采购人有权依据保函向</w:t>
      </w:r>
      <w:r>
        <w:rPr>
          <w:rFonts w:hint="eastAsia" w:ascii="宋体" w:hAnsi="宋体"/>
          <w:szCs w:val="21"/>
          <w:highlight w:val="none"/>
        </w:rPr>
        <w:t>金融机构</w:t>
      </w:r>
      <w:r>
        <w:rPr>
          <w:rFonts w:hint="eastAsia" w:ascii="宋体" w:hAnsi="宋体" w:cs="Calibri"/>
          <w:szCs w:val="21"/>
          <w:highlight w:val="none"/>
        </w:rPr>
        <w:t>索赔。索赔成功后保函失效。供应商需在接到通知后3个工作日内，重新开具一张同等额度的新保函或转为现金缴纳，以覆盖</w:t>
      </w:r>
      <w:r>
        <w:rPr>
          <w:rFonts w:hint="eastAsia" w:ascii="宋体" w:hAnsi="宋体" w:cs="宋体"/>
          <w:szCs w:val="21"/>
          <w:highlight w:val="none"/>
        </w:rPr>
        <w:t>保函额度不足的</w:t>
      </w:r>
      <w:r>
        <w:rPr>
          <w:rFonts w:hint="eastAsia" w:ascii="宋体" w:hAnsi="宋体" w:cs="Calibri"/>
          <w:szCs w:val="21"/>
          <w:highlight w:val="none"/>
        </w:rPr>
        <w:t>风险。</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③如供应商无法按时补足同等效力担保的，采购人有权直接从应付该供应商的其他款项中扣除，或视为供应商根本违约，采购人有权单方解除合同并追究违约责任。</w:t>
      </w:r>
    </w:p>
    <w:p>
      <w:pPr>
        <w:snapToGrid w:val="0"/>
        <w:spacing w:line="360" w:lineRule="exact"/>
        <w:ind w:firstLine="420" w:firstLineChars="200"/>
        <w:rPr>
          <w:rFonts w:ascii="宋体" w:hAnsi="宋体" w:cs="Calibri"/>
          <w:szCs w:val="21"/>
          <w:highlight w:val="none"/>
        </w:rPr>
      </w:pPr>
      <w:r>
        <w:rPr>
          <w:rFonts w:hint="eastAsia" w:ascii="宋体" w:hAnsi="宋体" w:cs="Calibri"/>
          <w:szCs w:val="21"/>
          <w:highlight w:val="none"/>
        </w:rPr>
        <w:t>6.风险处置措施和替代方案：若乙方因自身原因（如资金、生产能力等）无法按约履约，需在违约情形发生后24小时内书面通知甲方，甲方1有权选择：①要求乙方在5天内恢复履约</w:t>
      </w:r>
      <w:r>
        <w:rPr>
          <w:rFonts w:hint="eastAsia" w:asciiTheme="minorEastAsia" w:hAnsiTheme="minorEastAsia" w:eastAsiaTheme="minorEastAsia"/>
          <w:color w:val="000000"/>
          <w:highlight w:val="none"/>
        </w:rPr>
        <w:t>，供应商应按合同约定承担相应的违约责任；</w:t>
      </w:r>
      <w:r>
        <w:rPr>
          <w:rFonts w:hint="eastAsia" w:ascii="宋体" w:hAnsi="宋体" w:cs="Calibri"/>
          <w:szCs w:val="21"/>
          <w:highlight w:val="none"/>
        </w:rPr>
        <w:t>②解除合同，乙方承担合同金额10%的违约金，并赔偿甲方2实际造成的损失。</w:t>
      </w:r>
    </w:p>
    <w:p>
      <w:pPr>
        <w:snapToGrid w:val="0"/>
        <w:spacing w:line="360" w:lineRule="exact"/>
        <w:ind w:firstLine="420" w:firstLineChars="200"/>
        <w:rPr>
          <w:rFonts w:ascii="宋体" w:hAnsi="宋体" w:cs="Calibri"/>
          <w:color w:val="auto"/>
          <w:szCs w:val="21"/>
          <w:highlight w:val="none"/>
        </w:rPr>
      </w:pPr>
      <w:r>
        <w:rPr>
          <w:rFonts w:hint="eastAsia" w:ascii="宋体" w:hAnsi="宋体" w:cs="Calibri"/>
          <w:szCs w:val="21"/>
          <w:highlight w:val="none"/>
        </w:rPr>
        <w:t>若因不可抗力导致履约受阻，双方需在不可抗力发生后7个工作日内协商调整履约计划，互不承担违约责任。</w:t>
      </w:r>
    </w:p>
    <w:p>
      <w:pPr>
        <w:numPr>
          <w:ilvl w:val="0"/>
          <w:numId w:val="4"/>
        </w:num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合同验收</w:t>
      </w:r>
    </w:p>
    <w:p>
      <w:pPr>
        <w:adjustRightInd w:val="0"/>
        <w:snapToGrid w:val="0"/>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（1）参加验收的人员</w:t>
      </w:r>
    </w:p>
    <w:p>
      <w:pPr>
        <w:adjustRightInd w:val="0"/>
        <w:snapToGrid w:val="0"/>
        <w:spacing w:line="400" w:lineRule="exact"/>
        <w:ind w:firstLine="420" w:firstLineChars="200"/>
        <w:rPr>
          <w:rFonts w:ascii="宋体" w:hAnsi="宋体"/>
          <w:b/>
          <w:color w:val="auto"/>
          <w:szCs w:val="21"/>
          <w:highlight w:val="none"/>
        </w:rPr>
      </w:pPr>
      <w:r>
        <w:rPr>
          <w:rFonts w:hint="eastAsia" w:ascii="宋体" w:hAnsi="宋体"/>
          <w:bCs/>
          <w:color w:val="auto"/>
          <w:szCs w:val="21"/>
          <w:highlight w:val="none"/>
        </w:rPr>
        <w:t>验收主体：</w:t>
      </w:r>
      <w:r>
        <w:rPr>
          <w:rFonts w:hint="eastAsia"/>
          <w:color w:val="auto"/>
          <w:highlight w:val="none"/>
          <w:u w:val="single"/>
        </w:rPr>
        <w:t>甲方 1（负责初步验收、抽查验收）、甲方 2（负责初步查验、最终验收）</w:t>
      </w:r>
      <w:r>
        <w:rPr>
          <w:rFonts w:hint="eastAsia" w:ascii="宋体" w:hAnsi="宋体"/>
          <w:bCs/>
          <w:color w:val="auto"/>
          <w:szCs w:val="21"/>
          <w:highlight w:val="none"/>
          <w:u w:val="single"/>
        </w:rPr>
        <w:t xml:space="preserve"> </w:t>
      </w:r>
    </w:p>
    <w:p>
      <w:pPr>
        <w:adjustRightInd w:val="0"/>
        <w:snapToGrid w:val="0"/>
        <w:spacing w:line="400" w:lineRule="exact"/>
        <w:ind w:firstLine="405"/>
        <w:rPr>
          <w:rFonts w:ascii="宋体" w:hAnsi="宋体"/>
          <w:bCs/>
          <w:color w:val="auto"/>
          <w:szCs w:val="21"/>
          <w:highlight w:val="none"/>
        </w:rPr>
      </w:pPr>
      <w:r>
        <w:rPr>
          <w:rFonts w:hint="eastAsia" w:ascii="宋体" w:hAnsi="宋体"/>
          <w:bCs/>
          <w:color w:val="auto"/>
          <w:szCs w:val="21"/>
          <w:highlight w:val="none"/>
        </w:rPr>
        <w:t>是否邀请本项目的其他供应商参加验收：</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FE"/>
      </w:r>
      <w:r>
        <w:rPr>
          <w:rFonts w:hint="eastAsia" w:ascii="宋体" w:hAnsi="宋体"/>
          <w:bCs/>
          <w:color w:val="auto"/>
          <w:szCs w:val="21"/>
          <w:highlight w:val="none"/>
        </w:rPr>
        <w:t>否</w:t>
      </w:r>
    </w:p>
    <w:p>
      <w:pPr>
        <w:adjustRightInd w:val="0"/>
        <w:snapToGrid w:val="0"/>
        <w:spacing w:line="400" w:lineRule="exact"/>
        <w:ind w:firstLine="405"/>
        <w:rPr>
          <w:rFonts w:ascii="宋体" w:hAnsi="宋体"/>
          <w:bCs/>
          <w:color w:val="auto"/>
          <w:szCs w:val="21"/>
          <w:highlight w:val="none"/>
        </w:rPr>
      </w:pPr>
      <w:r>
        <w:rPr>
          <w:rFonts w:hint="eastAsia" w:ascii="宋体" w:hAnsi="宋体"/>
          <w:bCs/>
          <w:color w:val="auto"/>
          <w:szCs w:val="21"/>
          <w:highlight w:val="none"/>
        </w:rPr>
        <w:t>是否邀请专家参加验收：</w:t>
      </w:r>
      <w:r>
        <w:rPr>
          <w:rFonts w:hint="eastAsia" w:ascii="宋体" w:hAnsi="宋体" w:cs="宋体"/>
          <w:color w:val="auto"/>
          <w:szCs w:val="21"/>
          <w:highlight w:val="none"/>
        </w:rPr>
        <w:sym w:font="Wingdings" w:char="00FE"/>
      </w:r>
      <w:r>
        <w:rPr>
          <w:rFonts w:hint="eastAsia" w:ascii="宋体" w:hAnsi="宋体"/>
          <w:bCs/>
          <w:color w:val="auto"/>
          <w:szCs w:val="21"/>
          <w:highlight w:val="none"/>
        </w:rPr>
        <w:t xml:space="preserve">是（专家需为医疗器械领域专业人员，人数不少于 3 人）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pPr>
        <w:adjustRightInd w:val="0"/>
        <w:snapToGrid w:val="0"/>
        <w:spacing w:line="400" w:lineRule="exact"/>
        <w:ind w:firstLine="405"/>
        <w:rPr>
          <w:rFonts w:ascii="宋体" w:hAnsi="宋体"/>
          <w:bCs/>
          <w:color w:val="auto"/>
          <w:szCs w:val="21"/>
          <w:highlight w:val="none"/>
        </w:rPr>
      </w:pPr>
      <w:r>
        <w:rPr>
          <w:rFonts w:hint="eastAsia" w:ascii="宋体" w:hAnsi="宋体"/>
          <w:bCs/>
          <w:color w:val="auto"/>
          <w:szCs w:val="21"/>
          <w:highlight w:val="none"/>
        </w:rPr>
        <w:t>是否邀请服务对象参加验收：</w:t>
      </w:r>
      <w:r>
        <w:rPr>
          <w:rFonts w:hint="eastAsia" w:ascii="宋体" w:hAnsi="宋体" w:cs="宋体"/>
          <w:color w:val="auto"/>
          <w:szCs w:val="21"/>
          <w:highlight w:val="none"/>
        </w:rPr>
        <w:sym w:font="Wingdings" w:char="00FE"/>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pPr>
        <w:adjustRightInd w:val="0"/>
        <w:snapToGrid w:val="0"/>
        <w:spacing w:line="400" w:lineRule="exact"/>
        <w:ind w:firstLine="405"/>
        <w:rPr>
          <w:rFonts w:ascii="宋体" w:hAnsi="宋体"/>
          <w:bCs/>
          <w:color w:val="auto"/>
          <w:szCs w:val="21"/>
          <w:highlight w:val="none"/>
        </w:rPr>
      </w:pPr>
      <w:r>
        <w:rPr>
          <w:rFonts w:hint="eastAsia" w:ascii="宋体" w:hAnsi="宋体"/>
          <w:bCs/>
          <w:color w:val="auto"/>
          <w:szCs w:val="21"/>
          <w:highlight w:val="none"/>
        </w:rPr>
        <w:t>是否邀请第三方检测机构参加验收：</w:t>
      </w:r>
      <w:r>
        <w:rPr>
          <w:rFonts w:hint="eastAsia" w:ascii="宋体" w:hAnsi="宋体" w:cs="宋体"/>
          <w:color w:val="auto"/>
          <w:szCs w:val="21"/>
          <w:highlight w:val="none"/>
        </w:rPr>
        <w:sym w:font="Wingdings" w:char="00FE"/>
      </w:r>
      <w:r>
        <w:rPr>
          <w:rFonts w:hint="eastAsia" w:ascii="宋体" w:hAnsi="宋体"/>
          <w:bCs/>
          <w:color w:val="auto"/>
          <w:szCs w:val="21"/>
          <w:highlight w:val="none"/>
        </w:rPr>
        <w:t xml:space="preserve">是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否（甲方1有权邀请第三方检测机构参加验收，如邀请第三方验收的，由此产生的费用由乙方承担）</w:t>
      </w:r>
    </w:p>
    <w:p>
      <w:pPr>
        <w:adjustRightInd w:val="0"/>
        <w:snapToGrid w:val="0"/>
        <w:spacing w:line="400" w:lineRule="exact"/>
        <w:ind w:firstLine="405"/>
        <w:rPr>
          <w:rFonts w:ascii="宋体" w:hAnsi="宋体"/>
          <w:bCs/>
          <w:color w:val="auto"/>
          <w:szCs w:val="21"/>
          <w:highlight w:val="none"/>
        </w:rPr>
      </w:pPr>
      <w:r>
        <w:rPr>
          <w:rFonts w:hint="eastAsia" w:ascii="宋体" w:hAnsi="宋体"/>
          <w:bCs/>
          <w:color w:val="auto"/>
          <w:szCs w:val="21"/>
          <w:highlight w:val="none"/>
        </w:rPr>
        <w:t>是否进行抽查检测：</w:t>
      </w:r>
      <w:r>
        <w:rPr>
          <w:rFonts w:hint="eastAsia" w:ascii="宋体" w:hAnsi="宋体" w:cs="宋体"/>
          <w:color w:val="auto"/>
          <w:szCs w:val="21"/>
          <w:highlight w:val="none"/>
        </w:rPr>
        <w:sym w:font="Wingdings" w:char="00FE"/>
      </w:r>
      <w:r>
        <w:rPr>
          <w:rFonts w:hint="eastAsia" w:ascii="宋体" w:hAnsi="宋体"/>
          <w:bCs/>
          <w:color w:val="auto"/>
          <w:szCs w:val="21"/>
          <w:highlight w:val="none"/>
        </w:rPr>
        <w:t>是</w:t>
      </w:r>
      <w:r>
        <w:rPr>
          <w:rFonts w:hint="eastAsia" w:ascii="宋体" w:hAnsi="宋体"/>
          <w:bCs/>
          <w:color w:val="auto"/>
          <w:szCs w:val="21"/>
          <w:highlight w:val="none"/>
          <w:u w:val="single"/>
        </w:rPr>
        <w:t>甲方1组织验收专家组对验收情况进行抽查</w:t>
      </w:r>
      <w:r>
        <w:rPr>
          <w:rFonts w:hint="eastAsia" w:ascii="宋体" w:hAnsi="宋体"/>
          <w:bCs/>
          <w:color w:val="auto"/>
          <w:szCs w:val="21"/>
          <w:highlight w:val="none"/>
        </w:rPr>
        <w:t xml:space="preserve"> </w:t>
      </w:r>
      <w:r>
        <w:rPr>
          <w:rFonts w:hint="eastAsia" w:ascii="宋体" w:hAnsi="宋体" w:cs="宋体"/>
          <w:color w:val="auto"/>
          <w:szCs w:val="21"/>
          <w:highlight w:val="none"/>
        </w:rPr>
        <w:sym w:font="Wingdings" w:char="00A8"/>
      </w:r>
      <w:r>
        <w:rPr>
          <w:rFonts w:hint="eastAsia" w:ascii="宋体" w:hAnsi="宋体"/>
          <w:bCs/>
          <w:color w:val="auto"/>
          <w:szCs w:val="21"/>
          <w:highlight w:val="none"/>
        </w:rPr>
        <w:t>否</w:t>
      </w:r>
    </w:p>
    <w:p>
      <w:pPr>
        <w:adjustRightInd w:val="0"/>
        <w:snapToGrid w:val="0"/>
        <w:spacing w:line="400" w:lineRule="exact"/>
        <w:ind w:firstLine="405"/>
        <w:rPr>
          <w:rFonts w:ascii="宋体" w:hAnsi="宋体"/>
          <w:bCs/>
          <w:color w:val="auto"/>
          <w:szCs w:val="21"/>
          <w:highlight w:val="none"/>
        </w:rPr>
      </w:pPr>
      <w:r>
        <w:rPr>
          <w:rFonts w:hint="eastAsia" w:ascii="宋体" w:hAnsi="宋体"/>
          <w:bCs/>
          <w:color w:val="auto"/>
          <w:szCs w:val="21"/>
          <w:highlight w:val="none"/>
        </w:rPr>
        <w:t>是否存在破坏性检测：</w:t>
      </w:r>
      <w:r>
        <w:rPr>
          <w:rFonts w:hint="eastAsia" w:ascii="宋体" w:hAnsi="宋体" w:cs="宋体"/>
          <w:color w:val="auto"/>
          <w:szCs w:val="21"/>
          <w:highlight w:val="none"/>
        </w:rPr>
        <w:sym w:font="Wingdings" w:char="00A8"/>
      </w:r>
      <w:r>
        <w:rPr>
          <w:rFonts w:hint="eastAsia" w:ascii="宋体" w:hAnsi="宋体"/>
          <w:bCs/>
          <w:color w:val="auto"/>
          <w:szCs w:val="21"/>
          <w:highlight w:val="none"/>
        </w:rPr>
        <w:t>是，</w:t>
      </w:r>
      <w:r>
        <w:rPr>
          <w:rFonts w:hint="eastAsia" w:ascii="宋体" w:hAnsi="宋体"/>
          <w:bCs/>
          <w:color w:val="auto"/>
          <w:szCs w:val="21"/>
          <w:highlight w:val="none"/>
          <w:u w:val="single"/>
        </w:rPr>
        <w:t>（被破坏检测产品的处理方式：由乙方免费更换同型号合格产品，检测费用由乙方承担）</w:t>
      </w:r>
      <w:r>
        <w:rPr>
          <w:rFonts w:hint="eastAsia" w:ascii="宋体" w:hAnsi="宋体"/>
          <w:bCs/>
          <w:color w:val="auto"/>
          <w:szCs w:val="21"/>
          <w:highlight w:val="none"/>
        </w:rPr>
        <w:t xml:space="preserve">   </w:t>
      </w:r>
      <w:r>
        <w:rPr>
          <w:rFonts w:hint="eastAsia" w:ascii="宋体" w:hAnsi="宋体" w:cs="宋体"/>
          <w:color w:val="auto"/>
          <w:szCs w:val="21"/>
          <w:highlight w:val="none"/>
        </w:rPr>
        <w:sym w:font="Wingdings" w:char="00FE"/>
      </w:r>
      <w:r>
        <w:rPr>
          <w:rFonts w:hint="eastAsia" w:ascii="宋体" w:hAnsi="宋体"/>
          <w:bCs/>
          <w:color w:val="auto"/>
          <w:szCs w:val="21"/>
          <w:highlight w:val="none"/>
        </w:rPr>
        <w:t>否</w:t>
      </w:r>
    </w:p>
    <w:p>
      <w:pPr>
        <w:adjustRightInd w:val="0"/>
        <w:snapToGrid w:val="0"/>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rPr>
        <w:t>验收组织的其他事项：</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p>
    <w:p>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（2）验收时间：</w:t>
      </w:r>
    </w:p>
    <w:p>
      <w:pPr>
        <w:adjustRightInd w:val="0"/>
        <w:snapToGrid w:val="0"/>
        <w:spacing w:line="360" w:lineRule="auto"/>
        <w:ind w:firstLine="850" w:firstLineChars="405"/>
        <w:rPr>
          <w:rFonts w:ascii="宋体" w:hAnsi="宋体"/>
          <w:bCs/>
          <w:color w:val="auto"/>
          <w:szCs w:val="21"/>
          <w:highlight w:val="none"/>
          <w:u w:val="single"/>
        </w:rPr>
      </w:pPr>
      <w:r>
        <w:rPr>
          <w:rFonts w:hint="eastAsia" w:ascii="宋体" w:hAnsi="宋体"/>
          <w:bCs/>
          <w:color w:val="auto"/>
          <w:szCs w:val="21"/>
          <w:highlight w:val="none"/>
          <w:u w:val="single"/>
        </w:rPr>
        <w:t>到货验收：设备运抵甲方</w:t>
      </w:r>
      <w:r>
        <w:rPr>
          <w:rFonts w:ascii="宋体" w:hAnsi="宋体"/>
          <w:bCs/>
          <w:color w:val="auto"/>
          <w:szCs w:val="21"/>
          <w:highlight w:val="none"/>
          <w:u w:val="single"/>
        </w:rPr>
        <w:t>2指定地点并安装调试完成后，乙方提请验收申请，甲方2在</w:t>
      </w:r>
      <w:r>
        <w:rPr>
          <w:rFonts w:hint="eastAsia" w:ascii="宋体" w:hAnsi="宋体"/>
          <w:bCs/>
          <w:color w:val="auto"/>
          <w:szCs w:val="21"/>
          <w:highlight w:val="none"/>
          <w:u w:val="single"/>
          <w:lang w:val="en-US" w:eastAsia="zh-CN"/>
        </w:rPr>
        <w:t>2</w:t>
      </w:r>
      <w:r>
        <w:rPr>
          <w:rFonts w:ascii="宋体" w:hAnsi="宋体"/>
          <w:bCs/>
          <w:color w:val="auto"/>
          <w:szCs w:val="21"/>
          <w:highlight w:val="none"/>
          <w:u w:val="single"/>
        </w:rPr>
        <w:t>个工作日内组织</w:t>
      </w:r>
      <w:r>
        <w:rPr>
          <w:rFonts w:hint="eastAsia" w:ascii="宋体" w:hAnsi="宋体"/>
          <w:bCs/>
          <w:color w:val="auto"/>
          <w:szCs w:val="21"/>
          <w:highlight w:val="none"/>
          <w:u w:val="single"/>
        </w:rPr>
        <w:t>到货</w:t>
      </w:r>
      <w:r>
        <w:rPr>
          <w:rFonts w:ascii="宋体" w:hAnsi="宋体"/>
          <w:bCs/>
          <w:color w:val="auto"/>
          <w:szCs w:val="21"/>
          <w:highlight w:val="none"/>
          <w:u w:val="single"/>
        </w:rPr>
        <w:t>验收工作</w:t>
      </w:r>
      <w:r>
        <w:rPr>
          <w:rFonts w:hint="eastAsia" w:ascii="宋体" w:hAnsi="宋体"/>
          <w:bCs/>
          <w:color w:val="auto"/>
          <w:szCs w:val="21"/>
          <w:highlight w:val="none"/>
          <w:u w:val="single"/>
        </w:rPr>
        <w:t>。</w:t>
      </w:r>
    </w:p>
    <w:p>
      <w:pPr>
        <w:adjustRightInd w:val="0"/>
        <w:snapToGrid w:val="0"/>
        <w:spacing w:line="360" w:lineRule="auto"/>
        <w:ind w:firstLine="850" w:firstLineChars="405"/>
        <w:rPr>
          <w:rFonts w:ascii="宋体" w:hAnsi="宋体"/>
          <w:bCs/>
          <w:color w:val="auto"/>
          <w:szCs w:val="21"/>
          <w:highlight w:val="none"/>
          <w:u w:val="single"/>
        </w:rPr>
      </w:pPr>
      <w:r>
        <w:rPr>
          <w:rFonts w:hint="eastAsia" w:ascii="宋体" w:hAnsi="宋体"/>
          <w:bCs/>
          <w:color w:val="auto"/>
          <w:szCs w:val="21"/>
          <w:highlight w:val="none"/>
          <w:u w:val="single"/>
        </w:rPr>
        <w:t>最终验收：设备</w:t>
      </w:r>
      <w:bookmarkStart w:id="152" w:name="_Hlk212749001"/>
      <w:r>
        <w:rPr>
          <w:rFonts w:hint="eastAsia" w:ascii="宋体" w:hAnsi="宋体"/>
          <w:bCs/>
          <w:color w:val="auto"/>
          <w:szCs w:val="21"/>
          <w:highlight w:val="none"/>
          <w:u w:val="single"/>
        </w:rPr>
        <w:t>安装调试完成</w:t>
      </w:r>
      <w:bookmarkEnd w:id="152"/>
      <w:r>
        <w:rPr>
          <w:rFonts w:hint="eastAsia" w:ascii="宋体" w:hAnsi="宋体"/>
          <w:bCs/>
          <w:color w:val="auto"/>
          <w:szCs w:val="21"/>
          <w:highlight w:val="none"/>
          <w:u w:val="single"/>
        </w:rPr>
        <w:t>后，</w:t>
      </w:r>
      <w:bookmarkStart w:id="153" w:name="_Hlk212749015"/>
      <w:r>
        <w:rPr>
          <w:rFonts w:ascii="宋体" w:hAnsi="宋体"/>
          <w:bCs/>
          <w:color w:val="auto"/>
          <w:szCs w:val="21"/>
          <w:highlight w:val="none"/>
          <w:u w:val="single"/>
        </w:rPr>
        <w:t>乙方提请验收申请，</w:t>
      </w:r>
      <w:bookmarkEnd w:id="153"/>
      <w:r>
        <w:rPr>
          <w:rFonts w:hint="eastAsia" w:ascii="宋体" w:hAnsi="宋体"/>
          <w:bCs/>
          <w:color w:val="auto"/>
          <w:szCs w:val="21"/>
          <w:highlight w:val="none"/>
          <w:u w:val="single"/>
        </w:rPr>
        <w:t>甲方</w:t>
      </w:r>
      <w:r>
        <w:rPr>
          <w:rFonts w:ascii="宋体" w:hAnsi="宋体"/>
          <w:bCs/>
          <w:color w:val="auto"/>
          <w:szCs w:val="21"/>
          <w:highlight w:val="none"/>
          <w:u w:val="single"/>
        </w:rPr>
        <w:t>2在</w:t>
      </w:r>
      <w:r>
        <w:rPr>
          <w:rFonts w:hint="eastAsia" w:ascii="宋体" w:hAnsi="宋体"/>
          <w:bCs/>
          <w:color w:val="auto"/>
          <w:szCs w:val="21"/>
          <w:highlight w:val="none"/>
          <w:u w:val="single"/>
          <w:lang w:val="en-US" w:eastAsia="zh-CN"/>
        </w:rPr>
        <w:t>5</w:t>
      </w:r>
      <w:r>
        <w:rPr>
          <w:rFonts w:ascii="宋体" w:hAnsi="宋体"/>
          <w:bCs/>
          <w:color w:val="auto"/>
          <w:szCs w:val="21"/>
          <w:highlight w:val="none"/>
          <w:u w:val="single"/>
        </w:rPr>
        <w:t>个工作日内组织</w:t>
      </w:r>
      <w:r>
        <w:rPr>
          <w:rFonts w:hint="eastAsia" w:ascii="宋体" w:hAnsi="宋体"/>
          <w:bCs/>
          <w:color w:val="auto"/>
          <w:szCs w:val="21"/>
          <w:highlight w:val="none"/>
          <w:u w:val="single"/>
        </w:rPr>
        <w:t>最终验收工作。</w:t>
      </w:r>
    </w:p>
    <w:p>
      <w:pPr>
        <w:adjustRightInd w:val="0"/>
        <w:snapToGrid w:val="0"/>
        <w:spacing w:line="360" w:lineRule="auto"/>
        <w:ind w:firstLine="850" w:firstLineChars="405"/>
        <w:rPr>
          <w:rFonts w:ascii="宋体" w:hAnsi="宋体"/>
          <w:bCs/>
          <w:color w:val="auto"/>
          <w:szCs w:val="21"/>
          <w:highlight w:val="none"/>
          <w:u w:val="single"/>
        </w:rPr>
      </w:pPr>
      <w:r>
        <w:rPr>
          <w:rFonts w:hint="eastAsia" w:ascii="宋体" w:hAnsi="宋体"/>
          <w:bCs/>
          <w:color w:val="auto"/>
          <w:szCs w:val="21"/>
          <w:highlight w:val="none"/>
          <w:u w:val="single"/>
        </w:rPr>
        <w:t>如委托第三方机构组织项目验收的，其验收时间以该项目验收方案确定的验收时间为准。</w:t>
      </w:r>
    </w:p>
    <w:p>
      <w:pPr>
        <w:spacing w:line="360" w:lineRule="auto"/>
        <w:ind w:firstLine="420" w:firstLineChars="200"/>
        <w:jc w:val="left"/>
        <w:rPr>
          <w:rFonts w:ascii="宋体" w:hAnsi="宋体" w:cs="宋体"/>
          <w:color w:val="auto"/>
          <w:szCs w:val="21"/>
          <w:highlight w:val="none"/>
          <w:u w:val="single"/>
        </w:rPr>
      </w:pPr>
      <w:r>
        <w:rPr>
          <w:rFonts w:hint="eastAsia"/>
          <w:color w:val="auto"/>
          <w:highlight w:val="none"/>
        </w:rPr>
        <w:t>（3）验收地点：</w:t>
      </w:r>
      <w:r>
        <w:rPr>
          <w:rFonts w:hint="eastAsia" w:ascii="宋体" w:hAnsi="宋体" w:cs="宋体"/>
          <w:color w:val="auto"/>
          <w:szCs w:val="21"/>
          <w:highlight w:val="none"/>
          <w:u w:val="single"/>
        </w:rPr>
        <w:t>甲方2指定地点。</w:t>
      </w:r>
    </w:p>
    <w:p>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（4）验收方式：</w:t>
      </w:r>
      <w:r>
        <w:rPr>
          <w:rFonts w:hint="eastAsia" w:ascii="宋体" w:hAnsi="宋体" w:cs="宋体"/>
          <w:color w:val="auto"/>
          <w:szCs w:val="21"/>
          <w:highlight w:val="none"/>
        </w:rPr>
        <w:sym w:font="Wingdings" w:char="00A8"/>
      </w:r>
      <w:r>
        <w:rPr>
          <w:rFonts w:hint="eastAsia" w:ascii="宋体" w:hAnsi="宋体"/>
          <w:bCs/>
          <w:color w:val="auto"/>
          <w:szCs w:val="21"/>
          <w:highlight w:val="none"/>
        </w:rPr>
        <w:t xml:space="preserve">一次性验收         </w:t>
      </w:r>
    </w:p>
    <w:p>
      <w:pPr>
        <w:adjustRightInd w:val="0"/>
        <w:snapToGrid w:val="0"/>
        <w:spacing w:line="360" w:lineRule="auto"/>
        <w:rPr>
          <w:rFonts w:ascii="宋体" w:hAnsi="宋体"/>
          <w:bCs/>
          <w:color w:val="auto"/>
          <w:szCs w:val="21"/>
          <w:highlight w:val="none"/>
        </w:rPr>
      </w:pPr>
      <w:r>
        <w:rPr>
          <w:rFonts w:hint="eastAsia" w:ascii="宋体" w:hAnsi="宋体"/>
          <w:bCs/>
          <w:color w:val="auto"/>
          <w:szCs w:val="21"/>
          <w:highlight w:val="none"/>
        </w:rPr>
        <w:t xml:space="preserve">                       </w:t>
      </w:r>
      <w:r>
        <w:rPr>
          <w:rFonts w:hint="eastAsia" w:ascii="宋体" w:hAnsi="宋体"/>
          <w:iCs/>
          <w:color w:val="auto"/>
          <w:szCs w:val="21"/>
          <w:highlight w:val="none"/>
        </w:rPr>
        <w:sym w:font="Wingdings 2" w:char="F052"/>
      </w:r>
      <w:r>
        <w:rPr>
          <w:rFonts w:hint="eastAsia" w:ascii="宋体" w:hAnsi="宋体"/>
          <w:bCs/>
          <w:color w:val="auto"/>
          <w:szCs w:val="21"/>
          <w:highlight w:val="none"/>
        </w:rPr>
        <w:t>分期/分项验收：</w:t>
      </w:r>
      <w:r>
        <w:rPr>
          <w:rFonts w:hint="eastAsia" w:ascii="宋体" w:hAnsi="宋体"/>
          <w:bCs/>
          <w:color w:val="auto"/>
          <w:szCs w:val="21"/>
          <w:highlight w:val="none"/>
          <w:u w:val="single"/>
        </w:rPr>
        <w:t xml:space="preserve">到货验收、最终验收 </w:t>
      </w:r>
    </w:p>
    <w:p>
      <w:pPr>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（5）验收程序：</w:t>
      </w:r>
    </w:p>
    <w:p>
      <w:pPr>
        <w:snapToGrid w:val="0"/>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u w:val="single"/>
        </w:rPr>
        <w:t>①到货验收：合同签订后（签订合同时根据采购需求或乙方承诺填写）日历日内，乙方交付设备到甲方</w:t>
      </w:r>
      <w:r>
        <w:rPr>
          <w:rFonts w:ascii="宋体" w:hAnsi="宋体"/>
          <w:bCs/>
          <w:color w:val="auto"/>
          <w:szCs w:val="21"/>
          <w:highlight w:val="none"/>
          <w:u w:val="single"/>
        </w:rPr>
        <w:t>2</w:t>
      </w:r>
      <w:r>
        <w:rPr>
          <w:rFonts w:hint="eastAsia" w:ascii="宋体" w:hAnsi="宋体"/>
          <w:bCs/>
          <w:color w:val="auto"/>
          <w:szCs w:val="21"/>
          <w:highlight w:val="none"/>
          <w:u w:val="single"/>
        </w:rPr>
        <w:t>指定地点。设备交付完成后，乙方向甲方</w:t>
      </w:r>
      <w:r>
        <w:rPr>
          <w:rFonts w:ascii="宋体" w:hAnsi="宋体"/>
          <w:bCs/>
          <w:color w:val="auto"/>
          <w:szCs w:val="21"/>
          <w:highlight w:val="none"/>
          <w:u w:val="single"/>
        </w:rPr>
        <w:t>2</w:t>
      </w:r>
      <w:r>
        <w:rPr>
          <w:rFonts w:hint="eastAsia" w:ascii="宋体" w:hAnsi="宋体"/>
          <w:bCs/>
          <w:color w:val="auto"/>
          <w:szCs w:val="21"/>
          <w:highlight w:val="none"/>
          <w:u w:val="single"/>
        </w:rPr>
        <w:t>申请验收，到货验收合格后甲方</w:t>
      </w:r>
      <w:r>
        <w:rPr>
          <w:rFonts w:ascii="宋体" w:hAnsi="宋体"/>
          <w:bCs/>
          <w:color w:val="auto"/>
          <w:szCs w:val="21"/>
          <w:highlight w:val="none"/>
          <w:u w:val="single"/>
        </w:rPr>
        <w:t>2</w:t>
      </w:r>
      <w:r>
        <w:rPr>
          <w:rFonts w:hint="eastAsia" w:ascii="宋体" w:hAnsi="宋体"/>
          <w:bCs/>
          <w:color w:val="auto"/>
          <w:szCs w:val="21"/>
          <w:highlight w:val="none"/>
          <w:u w:val="single"/>
        </w:rPr>
        <w:t>出具</w:t>
      </w:r>
      <w:bookmarkStart w:id="154" w:name="_Hlk212749290"/>
      <w:r>
        <w:rPr>
          <w:rFonts w:hint="eastAsia" w:ascii="宋体" w:hAnsi="宋体"/>
          <w:bCs/>
          <w:color w:val="auto"/>
          <w:szCs w:val="21"/>
          <w:highlight w:val="none"/>
          <w:u w:val="single"/>
        </w:rPr>
        <w:t>《</w:t>
      </w:r>
      <w:r>
        <w:rPr>
          <w:rFonts w:hint="eastAsia"/>
          <w:color w:val="auto"/>
          <w:highlight w:val="none"/>
          <w:u w:val="single"/>
        </w:rPr>
        <w:t>设备到货确认单</w:t>
      </w:r>
      <w:r>
        <w:rPr>
          <w:rFonts w:hint="eastAsia" w:ascii="宋体" w:hAnsi="宋体"/>
          <w:bCs/>
          <w:color w:val="auto"/>
          <w:szCs w:val="21"/>
          <w:highlight w:val="none"/>
          <w:u w:val="single"/>
        </w:rPr>
        <w:t>》</w:t>
      </w:r>
      <w:bookmarkEnd w:id="154"/>
      <w:r>
        <w:rPr>
          <w:rFonts w:hint="eastAsia" w:ascii="宋体" w:hAnsi="宋体"/>
          <w:bCs/>
          <w:color w:val="auto"/>
          <w:szCs w:val="21"/>
          <w:highlight w:val="none"/>
          <w:u w:val="single"/>
        </w:rPr>
        <w:t>。</w:t>
      </w:r>
    </w:p>
    <w:p>
      <w:pPr>
        <w:snapToGrid w:val="0"/>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u w:val="single"/>
        </w:rPr>
        <w:t>②最终验收：设备安装调试完成后，乙方向甲方2（或医共体牵头单位）申请验收，</w:t>
      </w:r>
      <w:bookmarkStart w:id="155" w:name="_Hlk212749612"/>
      <w:r>
        <w:rPr>
          <w:rFonts w:hint="eastAsia" w:ascii="宋体" w:hAnsi="宋体"/>
          <w:bCs/>
          <w:color w:val="auto"/>
          <w:szCs w:val="21"/>
          <w:highlight w:val="none"/>
          <w:u w:val="single"/>
        </w:rPr>
        <w:t>最终验收合格后由验收小组出具《</w:t>
      </w:r>
      <w:r>
        <w:rPr>
          <w:rFonts w:hint="eastAsia"/>
          <w:color w:val="auto"/>
          <w:highlight w:val="none"/>
          <w:u w:val="single"/>
        </w:rPr>
        <w:t>设备最终验收单</w:t>
      </w:r>
      <w:r>
        <w:rPr>
          <w:rFonts w:hint="eastAsia" w:ascii="宋体" w:hAnsi="宋体"/>
          <w:bCs/>
          <w:color w:val="auto"/>
          <w:szCs w:val="21"/>
          <w:highlight w:val="none"/>
          <w:u w:val="single"/>
        </w:rPr>
        <w:t>》，验收小组汇总提交甲方1。</w:t>
      </w:r>
      <w:bookmarkEnd w:id="155"/>
    </w:p>
    <w:p>
      <w:pPr>
        <w:snapToGrid w:val="0"/>
        <w:spacing w:line="400" w:lineRule="exact"/>
        <w:ind w:firstLine="420" w:firstLineChars="200"/>
        <w:rPr>
          <w:rFonts w:ascii="宋体" w:hAnsi="宋体"/>
          <w:bCs/>
          <w:color w:val="auto"/>
          <w:szCs w:val="21"/>
          <w:highlight w:val="none"/>
          <w:u w:val="single"/>
        </w:rPr>
      </w:pPr>
      <w:r>
        <w:rPr>
          <w:rFonts w:ascii="宋体" w:hAnsi="宋体"/>
          <w:bCs/>
          <w:color w:val="auto"/>
          <w:szCs w:val="21"/>
          <w:highlight w:val="none"/>
          <w:u w:val="single"/>
        </w:rPr>
        <w:fldChar w:fldCharType="begin"/>
      </w:r>
      <w:r>
        <w:rPr>
          <w:rFonts w:ascii="宋体" w:hAnsi="宋体"/>
          <w:bCs/>
          <w:color w:val="auto"/>
          <w:szCs w:val="21"/>
          <w:highlight w:val="none"/>
          <w:u w:val="single"/>
        </w:rPr>
        <w:instrText xml:space="preserve"> </w:instrText>
      </w:r>
      <w:r>
        <w:rPr>
          <w:rFonts w:hint="eastAsia" w:ascii="宋体" w:hAnsi="宋体"/>
          <w:bCs/>
          <w:color w:val="auto"/>
          <w:szCs w:val="21"/>
          <w:highlight w:val="none"/>
          <w:u w:val="single"/>
        </w:rPr>
        <w:instrText xml:space="preserve">= 3 \* GB3</w:instrText>
      </w:r>
      <w:r>
        <w:rPr>
          <w:rFonts w:ascii="宋体" w:hAnsi="宋体"/>
          <w:bCs/>
          <w:color w:val="auto"/>
          <w:szCs w:val="21"/>
          <w:highlight w:val="none"/>
          <w:u w:val="single"/>
        </w:rPr>
        <w:instrText xml:space="preserve"> </w:instrText>
      </w:r>
      <w:r>
        <w:rPr>
          <w:rFonts w:ascii="宋体" w:hAnsi="宋体"/>
          <w:bCs/>
          <w:color w:val="auto"/>
          <w:szCs w:val="21"/>
          <w:highlight w:val="none"/>
          <w:u w:val="single"/>
        </w:rPr>
        <w:fldChar w:fldCharType="separate"/>
      </w:r>
      <w:r>
        <w:rPr>
          <w:rFonts w:hint="eastAsia" w:ascii="宋体" w:hAnsi="宋体"/>
          <w:bCs/>
          <w:color w:val="auto"/>
          <w:szCs w:val="21"/>
          <w:highlight w:val="none"/>
          <w:u w:val="single"/>
        </w:rPr>
        <w:t>③</w:t>
      </w:r>
      <w:r>
        <w:rPr>
          <w:rFonts w:ascii="宋体" w:hAnsi="宋体"/>
          <w:bCs/>
          <w:color w:val="auto"/>
          <w:szCs w:val="21"/>
          <w:highlight w:val="none"/>
          <w:u w:val="single"/>
        </w:rPr>
        <w:fldChar w:fldCharType="end"/>
      </w:r>
      <w:r>
        <w:rPr>
          <w:rFonts w:hint="eastAsia" w:ascii="宋体" w:hAnsi="宋体"/>
          <w:bCs/>
          <w:color w:val="auto"/>
          <w:szCs w:val="21"/>
          <w:highlight w:val="none"/>
          <w:u w:val="single"/>
        </w:rPr>
        <w:t>验收抽查：验收期间，甲方1组织验收专家组对验收情况进行抽查，如在抽查过程中发现乙方有违约问题，可暂缓资金结算，待违约问题解决后，方可办理资金结算事宜，在此期间，甲方1、2不承担逾期付款责任。</w:t>
      </w:r>
    </w:p>
    <w:p>
      <w:pPr>
        <w:snapToGrid w:val="0"/>
        <w:spacing w:line="400" w:lineRule="exact"/>
        <w:ind w:firstLine="420" w:firstLineChars="200"/>
        <w:rPr>
          <w:rFonts w:ascii="宋体" w:hAnsi="宋体"/>
          <w:bCs/>
          <w:color w:val="auto"/>
          <w:szCs w:val="21"/>
          <w:highlight w:val="none"/>
          <w:u w:val="single"/>
        </w:rPr>
      </w:pPr>
      <w:r>
        <w:rPr>
          <w:rFonts w:ascii="宋体" w:hAnsi="宋体"/>
          <w:bCs/>
          <w:color w:val="auto"/>
          <w:szCs w:val="21"/>
          <w:highlight w:val="none"/>
          <w:u w:val="single"/>
        </w:rPr>
        <w:fldChar w:fldCharType="begin"/>
      </w:r>
      <w:r>
        <w:rPr>
          <w:rFonts w:ascii="宋体" w:hAnsi="宋体"/>
          <w:bCs/>
          <w:color w:val="auto"/>
          <w:szCs w:val="21"/>
          <w:highlight w:val="none"/>
          <w:u w:val="single"/>
        </w:rPr>
        <w:instrText xml:space="preserve"> </w:instrText>
      </w:r>
      <w:r>
        <w:rPr>
          <w:rFonts w:hint="eastAsia" w:ascii="宋体" w:hAnsi="宋体"/>
          <w:bCs/>
          <w:color w:val="auto"/>
          <w:szCs w:val="21"/>
          <w:highlight w:val="none"/>
          <w:u w:val="single"/>
        </w:rPr>
        <w:instrText xml:space="preserve">= 4 \* GB3</w:instrText>
      </w:r>
      <w:r>
        <w:rPr>
          <w:rFonts w:ascii="宋体" w:hAnsi="宋体"/>
          <w:bCs/>
          <w:color w:val="auto"/>
          <w:szCs w:val="21"/>
          <w:highlight w:val="none"/>
          <w:u w:val="single"/>
        </w:rPr>
        <w:instrText xml:space="preserve"> </w:instrText>
      </w:r>
      <w:r>
        <w:rPr>
          <w:rFonts w:ascii="宋体" w:hAnsi="宋体"/>
          <w:bCs/>
          <w:color w:val="auto"/>
          <w:szCs w:val="21"/>
          <w:highlight w:val="none"/>
          <w:u w:val="single"/>
        </w:rPr>
        <w:fldChar w:fldCharType="separate"/>
      </w:r>
      <w:r>
        <w:rPr>
          <w:rFonts w:hint="eastAsia" w:ascii="宋体" w:hAnsi="宋体"/>
          <w:bCs/>
          <w:color w:val="auto"/>
          <w:szCs w:val="21"/>
          <w:highlight w:val="none"/>
          <w:u w:val="single"/>
        </w:rPr>
        <w:t>④</w:t>
      </w:r>
      <w:r>
        <w:rPr>
          <w:rFonts w:ascii="宋体" w:hAnsi="宋体"/>
          <w:bCs/>
          <w:color w:val="auto"/>
          <w:szCs w:val="21"/>
          <w:highlight w:val="none"/>
          <w:u w:val="single"/>
        </w:rPr>
        <w:fldChar w:fldCharType="end"/>
      </w:r>
      <w:r>
        <w:rPr>
          <w:rFonts w:hint="eastAsia" w:ascii="宋体" w:hAnsi="宋体"/>
          <w:bCs/>
          <w:color w:val="auto"/>
          <w:szCs w:val="21"/>
          <w:highlight w:val="none"/>
          <w:u w:val="single"/>
        </w:rPr>
        <w:t>验收不合格处理：单项验收（到货验收、最终验收任一环节）不合格的，乙方需在 5 个工作日内制定整改方案（明确整改措施、时间），并在方案约定时间内完成整改（如补充交付、更换配件、重新调试）</w:t>
      </w:r>
    </w:p>
    <w:p>
      <w:pPr>
        <w:snapToGrid w:val="0"/>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u w:val="single"/>
        </w:rPr>
        <w:t>整改后重新验收仍不合格的，视为乙方最终验收不合格，甲方1有权：①解除合同，要求乙方退还已支付款项，并支付合同金额 10% 的违约金；②要求乙方更换全部不合格设备，且更换设备的质保期重新计算，同时乙方需承担因此导致的甲方损失。</w:t>
      </w:r>
    </w:p>
    <w:p>
      <w:pPr>
        <w:snapToGrid w:val="0"/>
        <w:spacing w:line="400" w:lineRule="exact"/>
        <w:ind w:firstLine="420" w:firstLineChars="200"/>
        <w:rPr>
          <w:rFonts w:ascii="宋体" w:hAnsi="宋体"/>
          <w:bCs/>
          <w:color w:val="auto"/>
          <w:szCs w:val="21"/>
          <w:highlight w:val="none"/>
          <w:u w:val="single"/>
        </w:rPr>
      </w:pPr>
      <w:r>
        <w:rPr>
          <w:rFonts w:ascii="宋体" w:hAnsi="宋体"/>
          <w:bCs/>
          <w:color w:val="auto"/>
          <w:szCs w:val="21"/>
          <w:highlight w:val="none"/>
          <w:u w:val="single"/>
        </w:rPr>
        <w:fldChar w:fldCharType="begin"/>
      </w:r>
      <w:r>
        <w:rPr>
          <w:rFonts w:ascii="宋体" w:hAnsi="宋体"/>
          <w:bCs/>
          <w:color w:val="auto"/>
          <w:szCs w:val="21"/>
          <w:highlight w:val="none"/>
          <w:u w:val="single"/>
        </w:rPr>
        <w:instrText xml:space="preserve"> </w:instrText>
      </w:r>
      <w:r>
        <w:rPr>
          <w:rFonts w:hint="eastAsia" w:ascii="宋体" w:hAnsi="宋体"/>
          <w:bCs/>
          <w:color w:val="auto"/>
          <w:szCs w:val="21"/>
          <w:highlight w:val="none"/>
          <w:u w:val="single"/>
        </w:rPr>
        <w:instrText xml:space="preserve">= 5 \* GB3</w:instrText>
      </w:r>
      <w:r>
        <w:rPr>
          <w:rFonts w:ascii="宋体" w:hAnsi="宋体"/>
          <w:bCs/>
          <w:color w:val="auto"/>
          <w:szCs w:val="21"/>
          <w:highlight w:val="none"/>
          <w:u w:val="single"/>
        </w:rPr>
        <w:instrText xml:space="preserve"> </w:instrText>
      </w:r>
      <w:r>
        <w:rPr>
          <w:rFonts w:ascii="宋体" w:hAnsi="宋体"/>
          <w:bCs/>
          <w:color w:val="auto"/>
          <w:szCs w:val="21"/>
          <w:highlight w:val="none"/>
          <w:u w:val="single"/>
        </w:rPr>
        <w:fldChar w:fldCharType="separate"/>
      </w:r>
      <w:r>
        <w:rPr>
          <w:rFonts w:hint="eastAsia" w:ascii="宋体" w:hAnsi="宋体"/>
          <w:bCs/>
          <w:color w:val="auto"/>
          <w:szCs w:val="21"/>
          <w:highlight w:val="none"/>
          <w:u w:val="single"/>
        </w:rPr>
        <w:t>⑤</w:t>
      </w:r>
      <w:r>
        <w:rPr>
          <w:rFonts w:ascii="宋体" w:hAnsi="宋体"/>
          <w:bCs/>
          <w:color w:val="auto"/>
          <w:szCs w:val="21"/>
          <w:highlight w:val="none"/>
          <w:u w:val="single"/>
        </w:rPr>
        <w:fldChar w:fldCharType="end"/>
      </w:r>
      <w:r>
        <w:rPr>
          <w:rFonts w:ascii="宋体" w:hAnsi="宋体"/>
          <w:bCs/>
          <w:color w:val="auto"/>
          <w:szCs w:val="21"/>
          <w:highlight w:val="none"/>
          <w:u w:val="single"/>
        </w:rPr>
        <w:t xml:space="preserve"> </w:t>
      </w:r>
      <w:r>
        <w:rPr>
          <w:rFonts w:hint="eastAsia" w:ascii="宋体" w:hAnsi="宋体"/>
          <w:bCs/>
          <w:color w:val="auto"/>
          <w:szCs w:val="21"/>
          <w:highlight w:val="none"/>
          <w:u w:val="single"/>
        </w:rPr>
        <w:t>异议处理：乙方对验收结果有异议的，需在验收现场以书面形式提出，逾期未提出视为认可验收结果；双方争议需在 7 个工作日内协商解决，协商不成的，委托第三方检测机构重新检测，检测费用由乙方先支付，检测结果为最终依据，费用由责任方承担。</w:t>
      </w:r>
    </w:p>
    <w:p>
      <w:pPr>
        <w:snapToGrid w:val="0"/>
        <w:spacing w:line="400" w:lineRule="exact"/>
        <w:ind w:firstLine="420" w:firstLineChars="200"/>
        <w:rPr>
          <w:rFonts w:ascii="宋体" w:hAnsi="宋体"/>
          <w:bCs/>
          <w:color w:val="auto"/>
          <w:szCs w:val="21"/>
          <w:highlight w:val="none"/>
          <w:u w:val="single"/>
        </w:rPr>
      </w:pPr>
      <w:r>
        <w:rPr>
          <w:rFonts w:ascii="宋体" w:hAnsi="宋体"/>
          <w:bCs/>
          <w:color w:val="auto"/>
          <w:szCs w:val="21"/>
          <w:highlight w:val="none"/>
          <w:u w:val="single"/>
        </w:rPr>
        <w:fldChar w:fldCharType="begin"/>
      </w:r>
      <w:r>
        <w:rPr>
          <w:rFonts w:ascii="宋体" w:hAnsi="宋体"/>
          <w:bCs/>
          <w:color w:val="auto"/>
          <w:szCs w:val="21"/>
          <w:highlight w:val="none"/>
          <w:u w:val="single"/>
        </w:rPr>
        <w:instrText xml:space="preserve"> </w:instrText>
      </w:r>
      <w:r>
        <w:rPr>
          <w:rFonts w:hint="eastAsia" w:ascii="宋体" w:hAnsi="宋体"/>
          <w:bCs/>
          <w:color w:val="auto"/>
          <w:szCs w:val="21"/>
          <w:highlight w:val="none"/>
          <w:u w:val="single"/>
        </w:rPr>
        <w:instrText xml:space="preserve">= 6 \* GB3</w:instrText>
      </w:r>
      <w:r>
        <w:rPr>
          <w:rFonts w:ascii="宋体" w:hAnsi="宋体"/>
          <w:bCs/>
          <w:color w:val="auto"/>
          <w:szCs w:val="21"/>
          <w:highlight w:val="none"/>
          <w:u w:val="single"/>
        </w:rPr>
        <w:instrText xml:space="preserve"> </w:instrText>
      </w:r>
      <w:r>
        <w:rPr>
          <w:rFonts w:ascii="宋体" w:hAnsi="宋体"/>
          <w:bCs/>
          <w:color w:val="auto"/>
          <w:szCs w:val="21"/>
          <w:highlight w:val="none"/>
          <w:u w:val="single"/>
        </w:rPr>
        <w:fldChar w:fldCharType="separate"/>
      </w:r>
      <w:r>
        <w:rPr>
          <w:rFonts w:hint="eastAsia" w:ascii="宋体" w:hAnsi="宋体"/>
          <w:bCs/>
          <w:color w:val="auto"/>
          <w:szCs w:val="21"/>
          <w:highlight w:val="none"/>
          <w:u w:val="single"/>
        </w:rPr>
        <w:t>⑥</w:t>
      </w:r>
      <w:r>
        <w:rPr>
          <w:rFonts w:ascii="宋体" w:hAnsi="宋体"/>
          <w:bCs/>
          <w:color w:val="auto"/>
          <w:szCs w:val="21"/>
          <w:highlight w:val="none"/>
          <w:u w:val="single"/>
        </w:rPr>
        <w:fldChar w:fldCharType="end"/>
      </w:r>
      <w:r>
        <w:rPr>
          <w:rFonts w:hint="eastAsia" w:ascii="宋体" w:hAnsi="宋体"/>
          <w:bCs/>
          <w:color w:val="auto"/>
          <w:szCs w:val="21"/>
          <w:highlight w:val="none"/>
          <w:u w:val="single"/>
        </w:rPr>
        <w:t>验收文件：在任一单项验收环节，甲方2（含医共体牵头单位，具体详见第二章采购需求三、与实现项目目标相关的其他要求“（六）本项目所涉区内县域医共体使用单位”）、乙方均应在场，交付的货物及相关资料、备品备件等符合验收标准的为单项验收合格，不符合验收标准的为单项验收不合格。验收结果由甲方</w:t>
      </w:r>
      <w:r>
        <w:rPr>
          <w:rFonts w:ascii="宋体" w:hAnsi="宋体"/>
          <w:bCs/>
          <w:color w:val="auto"/>
          <w:szCs w:val="21"/>
          <w:highlight w:val="none"/>
          <w:u w:val="single"/>
        </w:rPr>
        <w:t>2</w:t>
      </w:r>
      <w:r>
        <w:rPr>
          <w:rFonts w:hint="eastAsia" w:ascii="宋体" w:hAnsi="宋体"/>
          <w:bCs/>
          <w:color w:val="auto"/>
          <w:szCs w:val="21"/>
          <w:highlight w:val="none"/>
          <w:u w:val="single"/>
        </w:rPr>
        <w:t>出具《</w:t>
      </w:r>
      <w:r>
        <w:rPr>
          <w:rFonts w:hint="eastAsia"/>
          <w:color w:val="auto"/>
          <w:highlight w:val="none"/>
          <w:u w:val="single"/>
        </w:rPr>
        <w:t>设备到货确认单</w:t>
      </w:r>
      <w:r>
        <w:rPr>
          <w:rFonts w:hint="eastAsia" w:ascii="宋体" w:hAnsi="宋体"/>
          <w:bCs/>
          <w:color w:val="auto"/>
          <w:szCs w:val="21"/>
          <w:highlight w:val="none"/>
          <w:u w:val="single"/>
        </w:rPr>
        <w:t>》、《</w:t>
      </w:r>
      <w:r>
        <w:rPr>
          <w:rFonts w:hint="eastAsia"/>
          <w:color w:val="auto"/>
          <w:highlight w:val="none"/>
          <w:u w:val="single"/>
        </w:rPr>
        <w:t>设备最终验收单</w:t>
      </w:r>
      <w:r>
        <w:rPr>
          <w:rFonts w:hint="eastAsia" w:ascii="宋体" w:hAnsi="宋体"/>
          <w:bCs/>
          <w:color w:val="auto"/>
          <w:szCs w:val="21"/>
          <w:highlight w:val="none"/>
          <w:u w:val="single"/>
        </w:rPr>
        <w:t>》，列明各项标准的验收情况，由甲方2（含医共体牵头单位）、乙方共同签字确认。</w:t>
      </w:r>
    </w:p>
    <w:p>
      <w:pPr>
        <w:snapToGrid w:val="0"/>
        <w:spacing w:line="400" w:lineRule="exact"/>
        <w:ind w:firstLine="420" w:firstLineChars="200"/>
        <w:rPr>
          <w:rFonts w:ascii="宋体" w:hAnsi="宋体"/>
          <w:bCs/>
          <w:color w:val="auto"/>
          <w:szCs w:val="21"/>
          <w:highlight w:val="none"/>
          <w:u w:val="single"/>
        </w:rPr>
      </w:pPr>
      <w:r>
        <w:rPr>
          <w:rFonts w:hint="eastAsia" w:ascii="宋体" w:hAnsi="宋体"/>
          <w:bCs/>
          <w:color w:val="auto"/>
          <w:szCs w:val="21"/>
          <w:highlight w:val="none"/>
        </w:rPr>
        <w:t>（6）验收的内容：</w:t>
      </w:r>
    </w:p>
    <w:p>
      <w:pPr>
        <w:spacing w:line="400" w:lineRule="exact"/>
        <w:ind w:firstLine="420" w:firstLineChars="200"/>
        <w:jc w:val="left"/>
        <w:rPr>
          <w:rFonts w:ascii="宋体" w:hAnsi="宋体" w:cs="宋体"/>
          <w:iCs/>
          <w:color w:val="auto"/>
          <w:szCs w:val="21"/>
          <w:highlight w:val="none"/>
          <w:u w:val="single"/>
        </w:rPr>
      </w:pPr>
      <w:r>
        <w:rPr>
          <w:rFonts w:hint="eastAsia" w:ascii="宋体" w:hAnsi="宋体" w:cs="宋体"/>
          <w:color w:val="auto"/>
          <w:szCs w:val="21"/>
          <w:highlight w:val="none"/>
          <w:u w:val="single"/>
        </w:rPr>
        <w:t>商务验收内容：对采购标的交付的情况、财务和服务要求，包括交付（实施）的时间（期限）和地点（范围），付款条件（进度和方式），包装和运输，文件完整性（含产品合格证、说明书、保修卡、检测报告等），售后服务（培训安排、响应时间），保险等进行验收。</w:t>
      </w:r>
    </w:p>
    <w:p>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技术验收内容：对采购标的的功能和质量要求，包括性能、材料、结构、外观、安全、运行稳定性、兼容性（与甲方2现有医疗系统的对接情况），或者服务内容和标准等进行验收。</w:t>
      </w:r>
    </w:p>
    <w:p>
      <w:pPr>
        <w:spacing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szCs w:val="21"/>
          <w:highlight w:val="none"/>
          <w:u w:val="single"/>
        </w:rPr>
        <w:t>其余按第二章采购需求的商务要求中《验收标准、验收方法及方案》规定执行。</w:t>
      </w:r>
    </w:p>
    <w:p>
      <w:pPr>
        <w:snapToGrid w:val="0"/>
        <w:spacing w:line="400" w:lineRule="exact"/>
        <w:ind w:firstLine="420" w:firstLineChars="200"/>
        <w:rPr>
          <w:color w:val="auto"/>
          <w:highlight w:val="none"/>
          <w:u w:val="single"/>
        </w:rPr>
      </w:pPr>
      <w:r>
        <w:rPr>
          <w:rFonts w:hint="eastAsia" w:ascii="宋体" w:hAnsi="宋体"/>
          <w:bCs/>
          <w:color w:val="auto"/>
          <w:szCs w:val="21"/>
          <w:highlight w:val="none"/>
        </w:rPr>
        <w:t>（7）验收标准：</w:t>
      </w:r>
      <w:r>
        <w:rPr>
          <w:rFonts w:hint="eastAsia"/>
          <w:color w:val="auto"/>
          <w:highlight w:val="none"/>
          <w:u w:val="single"/>
        </w:rPr>
        <w:t>按甲方招标文件的采购需求、乙方的投标文件响应及承诺与本合同约定的要求进行验收，但应同时</w:t>
      </w:r>
      <w:r>
        <w:rPr>
          <w:rFonts w:hint="eastAsia" w:ascii="宋体" w:hAnsi="宋体" w:cs="宋体"/>
          <w:color w:val="auto"/>
          <w:szCs w:val="21"/>
          <w:highlight w:val="none"/>
          <w:u w:val="single"/>
        </w:rPr>
        <w:t>符合与本项目关联的法规以及国家、行业、地方标准</w:t>
      </w:r>
      <w:r>
        <w:rPr>
          <w:rFonts w:hint="eastAsia"/>
          <w:color w:val="auto"/>
          <w:highlight w:val="none"/>
          <w:u w:val="single"/>
        </w:rPr>
        <w:t>；若招标文件与投标文件要求不一致，以更优标准为准；若国家、行业、地方标准更新，需符合更新后标准；若货物中有执行国家强制标准的，则验收标准不得低于国家强制标准。</w:t>
      </w:r>
      <w:r>
        <w:rPr>
          <w:rFonts w:hint="eastAsia" w:ascii="宋体" w:hAnsi="宋体"/>
          <w:bCs/>
          <w:color w:val="auto"/>
          <w:szCs w:val="21"/>
          <w:highlight w:val="none"/>
          <w:u w:val="single"/>
        </w:rPr>
        <w:t xml:space="preserve"> </w:t>
      </w:r>
    </w:p>
    <w:p>
      <w:pPr>
        <w:snapToGrid w:val="0"/>
        <w:spacing w:line="400" w:lineRule="exact"/>
        <w:ind w:firstLine="420" w:firstLineChars="200"/>
        <w:rPr>
          <w:color w:val="auto"/>
          <w:highlight w:val="none"/>
          <w:u w:val="single"/>
        </w:rPr>
      </w:pPr>
      <w:r>
        <w:rPr>
          <w:rFonts w:hint="eastAsia"/>
          <w:color w:val="auto"/>
          <w:highlight w:val="none"/>
          <w:u w:val="single"/>
        </w:rPr>
        <w:t>（8）是否以采购活动中供应商提供的样品作为参考：</w:t>
      </w:r>
      <w:r>
        <w:rPr>
          <w:rFonts w:hint="eastAsia"/>
          <w:color w:val="auto"/>
          <w:highlight w:val="none"/>
          <w:u w:val="single"/>
        </w:rPr>
        <w:sym w:font="Wingdings" w:char="00A8"/>
      </w:r>
      <w:r>
        <w:rPr>
          <w:rFonts w:hint="eastAsia"/>
          <w:color w:val="auto"/>
          <w:highlight w:val="none"/>
          <w:u w:val="single"/>
        </w:rPr>
        <w:t xml:space="preserve">是  </w:t>
      </w:r>
      <w:r>
        <w:rPr>
          <w:rFonts w:hint="eastAsia"/>
          <w:color w:val="auto"/>
          <w:highlight w:val="none"/>
          <w:u w:val="single"/>
        </w:rPr>
        <w:sym w:font="Wingdings 2" w:char="F052"/>
      </w:r>
      <w:r>
        <w:rPr>
          <w:rFonts w:hint="eastAsia"/>
          <w:color w:val="auto"/>
          <w:highlight w:val="none"/>
          <w:u w:val="single"/>
        </w:rPr>
        <w:t>否</w:t>
      </w:r>
    </w:p>
    <w:p>
      <w:pPr>
        <w:snapToGrid w:val="0"/>
        <w:spacing w:line="400" w:lineRule="exact"/>
        <w:ind w:firstLine="420" w:firstLineChars="200"/>
        <w:rPr>
          <w:color w:val="auto"/>
          <w:highlight w:val="none"/>
          <w:u w:val="single"/>
        </w:rPr>
      </w:pPr>
      <w:r>
        <w:rPr>
          <w:rFonts w:hint="eastAsia"/>
          <w:color w:val="auto"/>
          <w:highlight w:val="none"/>
          <w:u w:val="single"/>
        </w:rPr>
        <w:t>（9）验收其他事项：其他未尽事宜应严格按照《关于印发广西壮族自治区政府采购项目履约验收管理办法的通知》[桂财采〔2015〕22号]以及《财政部关于进一步加强政府采购需求和履约验收管理的指导意见》[财库〔2016〕205号]规定执行。</w:t>
      </w:r>
    </w:p>
    <w:p>
      <w:pPr>
        <w:adjustRightInd w:val="0"/>
        <w:snapToGrid w:val="0"/>
        <w:spacing w:afterLines="50"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5.售后服务及质保要求</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（1）质保期(包修期)：</w:t>
      </w:r>
      <w:r>
        <w:rPr>
          <w:rFonts w:hint="eastAsia" w:asciiTheme="minorEastAsia" w:hAnsiTheme="minorEastAsia" w:eastAsiaTheme="minorEastAsia" w:cstheme="minorEastAsia"/>
          <w:color w:val="auto"/>
          <w:szCs w:val="21"/>
          <w:highlight w:val="none"/>
          <w:u w:val="single"/>
        </w:rPr>
        <w:t>按乙方承诺，但是不得低于国家相关标准</w:t>
      </w:r>
      <w:r>
        <w:rPr>
          <w:rFonts w:hint="eastAsia" w:asciiTheme="minorEastAsia" w:hAnsiTheme="minorEastAsia" w:eastAsiaTheme="minorEastAsia" w:cstheme="minorEastAsia"/>
          <w:color w:val="auto"/>
          <w:szCs w:val="21"/>
          <w:highlight w:val="none"/>
        </w:rPr>
        <w:t>。</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（2）货物质量缺陷响应时间：接到甲方通知后在</w:t>
      </w:r>
      <w:r>
        <w:rPr>
          <w:rFonts w:hint="eastAsia" w:asciiTheme="minorEastAsia" w:hAnsiTheme="minorEastAsia" w:eastAsiaTheme="minorEastAsia" w:cstheme="minorEastAsia"/>
          <w:color w:val="auto"/>
          <w:szCs w:val="21"/>
          <w:highlight w:val="none"/>
          <w:u w:val="single"/>
        </w:rPr>
        <w:t xml:space="preserve"> </w:t>
      </w:r>
      <w:r>
        <w:rPr>
          <w:rFonts w:hint="eastAsia" w:ascii="宋体" w:hAnsi="宋体" w:cs="宋体"/>
          <w:color w:val="auto"/>
          <w:szCs w:val="21"/>
          <w:highlight w:val="none"/>
          <w:u w:val="single"/>
        </w:rPr>
        <w:t>（按采购需求或乙方承诺填写）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小时内到达甲方现场。</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（3）乙方提供的其他服务：乙方负责甲方有关人员的培训。培训时间、地点：</w:t>
      </w:r>
      <w:r>
        <w:rPr>
          <w:rFonts w:hint="eastAsia" w:asciiTheme="minorEastAsia" w:hAnsiTheme="minorEastAsia" w:eastAsiaTheme="minorEastAsia" w:cstheme="minorEastAsia"/>
          <w:color w:val="auto"/>
          <w:szCs w:val="21"/>
          <w:highlight w:val="none"/>
          <w:u w:val="single"/>
        </w:rPr>
        <w:t>由甲方决定</w:t>
      </w:r>
      <w:r>
        <w:rPr>
          <w:rFonts w:hint="eastAsia" w:asciiTheme="minorEastAsia" w:hAnsiTheme="minorEastAsia" w:eastAsiaTheme="minorEastAsia" w:cstheme="minorEastAsia"/>
          <w:color w:val="auto"/>
          <w:szCs w:val="21"/>
          <w:highlight w:val="none"/>
        </w:rPr>
        <w:t>。</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（4）修理、重做、更换相关具体规定：按【政府采购合同专用条款】规定执行。</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（5）乙方提供</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7*24</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小时售后服务，质保期内仪器设备出现故障，在接到电话通知后，</w:t>
      </w:r>
      <w:r>
        <w:rPr>
          <w:rFonts w:hint="eastAsia" w:asciiTheme="minorEastAsia" w:hAnsiTheme="minorEastAsia" w:eastAsiaTheme="minorEastAsia" w:cstheme="minorEastAsia"/>
          <w:color w:val="auto"/>
          <w:szCs w:val="21"/>
          <w:highlight w:val="none"/>
          <w:u w:val="single"/>
        </w:rPr>
        <w:t xml:space="preserve">  </w:t>
      </w:r>
      <w:r>
        <w:rPr>
          <w:rFonts w:hint="eastAsia" w:ascii="宋体" w:hAnsi="宋体" w:cs="宋体"/>
          <w:color w:val="auto"/>
          <w:szCs w:val="21"/>
          <w:highlight w:val="none"/>
          <w:u w:val="single"/>
        </w:rPr>
        <w:t>（按采购需求或乙方承诺填写）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小时内做出响应（远程解决或做出预备维护动作），</w:t>
      </w:r>
      <w:r>
        <w:rPr>
          <w:rFonts w:hint="eastAsia" w:asciiTheme="minorEastAsia" w:hAnsiTheme="minorEastAsia" w:eastAsiaTheme="minorEastAsia" w:cstheme="minorEastAsia"/>
          <w:color w:val="auto"/>
          <w:szCs w:val="21"/>
          <w:highlight w:val="none"/>
          <w:u w:val="single"/>
        </w:rPr>
        <w:t xml:space="preserve">  </w:t>
      </w:r>
      <w:r>
        <w:rPr>
          <w:rFonts w:hint="eastAsia" w:ascii="宋体" w:hAnsi="宋体" w:cs="宋体"/>
          <w:color w:val="auto"/>
          <w:szCs w:val="21"/>
          <w:highlight w:val="none"/>
          <w:u w:val="single"/>
        </w:rPr>
        <w:t>（按采购需求或乙方承诺填写）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小时内到达维修现场。一般问题应在</w:t>
      </w:r>
      <w:r>
        <w:rPr>
          <w:rFonts w:hint="eastAsia" w:asciiTheme="minorEastAsia" w:hAnsiTheme="minorEastAsia" w:eastAsiaTheme="minorEastAsia" w:cstheme="minorEastAsia"/>
          <w:color w:val="auto"/>
          <w:szCs w:val="21"/>
          <w:highlight w:val="none"/>
          <w:u w:val="single"/>
        </w:rPr>
        <w:t xml:space="preserve">  </w:t>
      </w:r>
      <w:r>
        <w:rPr>
          <w:rFonts w:hint="eastAsia" w:ascii="宋体" w:hAnsi="宋体" w:cs="宋体"/>
          <w:color w:val="auto"/>
          <w:szCs w:val="21"/>
          <w:highlight w:val="none"/>
          <w:u w:val="single"/>
        </w:rPr>
        <w:t>（按采购需求或乙方承诺填写）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小时内解决，以保证甲方的正常工作。重大问题或其它无法迅速解决的问题应在</w:t>
      </w:r>
      <w:r>
        <w:rPr>
          <w:rFonts w:hint="eastAsia" w:asciiTheme="minorEastAsia" w:hAnsiTheme="minorEastAsia" w:eastAsiaTheme="minorEastAsia" w:cstheme="minorEastAsia"/>
          <w:color w:val="auto"/>
          <w:szCs w:val="21"/>
          <w:highlight w:val="none"/>
          <w:u w:val="single"/>
        </w:rPr>
        <w:t xml:space="preserve"> </w:t>
      </w:r>
      <w:r>
        <w:rPr>
          <w:rFonts w:hint="eastAsia" w:ascii="宋体" w:hAnsi="宋体" w:cs="宋体"/>
          <w:color w:val="auto"/>
          <w:szCs w:val="21"/>
          <w:highlight w:val="none"/>
          <w:u w:val="single"/>
        </w:rPr>
        <w:t>（按采购需求或乙方承诺填写）</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 xml:space="preserve">个工作日内解决，乙方在接到甲方通知后拒不响应或解决故障的，甲方有权聘请第三方进行维修，由此产生的费用由乙方承担。 </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（6）乙方提供维护手册、维修手册、软件备份、故障代码表、备件清单。质保期外，乙方提供维修密码及</w:t>
      </w:r>
      <w:r>
        <w:rPr>
          <w:rFonts w:hint="eastAsia" w:ascii="宋体" w:hAnsi="宋体" w:cs="宋体"/>
          <w:color w:val="auto"/>
          <w:szCs w:val="21"/>
          <w:highlight w:val="none"/>
        </w:rPr>
        <w:t>设备交付验收时配置的所有软件</w:t>
      </w:r>
      <w:r>
        <w:rPr>
          <w:rFonts w:hint="eastAsia" w:asciiTheme="minorEastAsia" w:hAnsiTheme="minorEastAsia" w:eastAsiaTheme="minorEastAsia" w:cstheme="minorEastAsia"/>
          <w:color w:val="auto"/>
          <w:szCs w:val="21"/>
          <w:highlight w:val="none"/>
        </w:rPr>
        <w:t>在该项目的永久使用权并承担相应费用。</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（7）相关人员培训：标的包含医护人员及工程人员的培训计划费用，设备装机验收后，现场提供对甲方进行≥1次的基本培训，使甲方使用人员及工程人员熟练掌握全部功能及基本维修。</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乙方承诺的质保期内的所有售后服务，包括原厂商服务和非原厂商服务，其中硬件的售后服务包括但不限于硬件维护维修、配件更换、硬件升级；应用软件的售后服务包括但不限于应用软件维护升级以及非结构性修改；乙方承诺的质保期内售后服务所产生的费用均由乙方承担。</w:t>
      </w:r>
    </w:p>
    <w:p>
      <w:pPr>
        <w:widowControl/>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（9）乙方提供的设备如因甲方业务需要而接入甲方信息网络(含信息网、无线网、设备网、物联网、HIS、PACS 等系统),乙方需积极配合并承担相关费用。</w:t>
      </w:r>
    </w:p>
    <w:p>
      <w:pPr>
        <w:adjustRightInd w:val="0"/>
        <w:snapToGrid w:val="0"/>
        <w:spacing w:line="400" w:lineRule="exact"/>
        <w:ind w:firstLine="420" w:firstLineChars="200"/>
        <w:rPr>
          <w:rFonts w:ascii="宋体" w:hAnsi="宋体" w:cs="宋体"/>
          <w:color w:val="auto"/>
          <w:szCs w:val="21"/>
          <w:highlight w:val="none"/>
        </w:rPr>
      </w:pPr>
      <w:r>
        <w:rPr>
          <w:rFonts w:hint="eastAsia" w:asciiTheme="minorEastAsia" w:hAnsiTheme="minorEastAsia" w:eastAsiaTheme="minorEastAsia" w:cstheme="minorEastAsia"/>
          <w:color w:val="auto"/>
          <w:szCs w:val="21"/>
          <w:highlight w:val="none"/>
        </w:rPr>
        <w:t>（10）团队人员：乙方拟投入的专业技术工程师及售后服务人员，负责向使用单位提供安装、调试、维护、故障排除、业务咨询、培训、售后等服务。</w:t>
      </w:r>
    </w:p>
    <w:p>
      <w:pPr>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（11）其余售后服务及质保要求按采购需求、投标文件响应、政府采购合同专用条款规定执行。</w:t>
      </w:r>
    </w:p>
    <w:p>
      <w:pPr>
        <w:adjustRightInd w:val="0"/>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6.违约责任</w:t>
      </w:r>
    </w:p>
    <w:p>
      <w:pPr>
        <w:adjustRightInd w:val="0"/>
        <w:snapToGrid w:val="0"/>
        <w:spacing w:line="400" w:lineRule="exact"/>
        <w:ind w:firstLine="420" w:firstLineChars="200"/>
        <w:rPr>
          <w:rFonts w:ascii="宋体" w:hAnsi="宋体"/>
          <w:color w:val="auto"/>
          <w:szCs w:val="21"/>
          <w:highlight w:val="none"/>
        </w:rPr>
      </w:pPr>
      <w:r>
        <w:rPr>
          <w:rFonts w:hint="eastAsia" w:ascii="宋体" w:hAnsi="宋体" w:cs="宋体"/>
          <w:bCs/>
          <w:color w:val="auto"/>
          <w:szCs w:val="21"/>
          <w:highlight w:val="none"/>
        </w:rPr>
        <w:t>（1）</w:t>
      </w:r>
      <w:r>
        <w:rPr>
          <w:rFonts w:hint="eastAsia" w:ascii="宋体" w:hAnsi="宋体"/>
          <w:bCs/>
          <w:color w:val="auto"/>
          <w:szCs w:val="21"/>
          <w:highlight w:val="none"/>
        </w:rPr>
        <w:t>质量瑕疵的违约责任：</w:t>
      </w:r>
      <w:r>
        <w:rPr>
          <w:rFonts w:hint="eastAsia" w:ascii="宋体" w:hAnsi="宋体"/>
          <w:color w:val="auto"/>
          <w:szCs w:val="21"/>
          <w:highlight w:val="none"/>
        </w:rPr>
        <w:t>乙方提供的产品不符合合同约定的质量标准或存在产品质量缺陷，甲方有权要求乙方根据</w:t>
      </w:r>
      <w:r>
        <w:rPr>
          <w:rFonts w:hint="eastAsia" w:ascii="宋体" w:hAnsi="宋体"/>
          <w:b/>
          <w:color w:val="auto"/>
          <w:szCs w:val="21"/>
          <w:highlight w:val="none"/>
        </w:rPr>
        <w:t>【政府采购合同专用条款】</w:t>
      </w:r>
      <w:r>
        <w:rPr>
          <w:rFonts w:hint="eastAsia" w:ascii="宋体" w:hAnsi="宋体"/>
          <w:bCs/>
          <w:color w:val="auto"/>
          <w:szCs w:val="21"/>
          <w:highlight w:val="none"/>
        </w:rPr>
        <w:t>要求</w:t>
      </w:r>
      <w:r>
        <w:rPr>
          <w:rFonts w:hint="eastAsia" w:ascii="宋体" w:hAnsi="宋体"/>
          <w:color w:val="auto"/>
          <w:szCs w:val="21"/>
          <w:highlight w:val="none"/>
        </w:rPr>
        <w:t>及时修理、重作、更换，并承担由此给甲方造成的损失。</w:t>
      </w:r>
    </w:p>
    <w:p>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hint="eastAsia" w:ascii="宋体" w:hAnsi="宋体"/>
          <w:bCs/>
          <w:color w:val="auto"/>
          <w:szCs w:val="21"/>
          <w:highlight w:val="none"/>
        </w:rPr>
        <w:t>迟延交货的违约责任：</w:t>
      </w:r>
      <w:r>
        <w:rPr>
          <w:rFonts w:hint="eastAsia" w:ascii="宋体" w:hAnsi="宋体"/>
          <w:color w:val="auto"/>
          <w:szCs w:val="21"/>
          <w:highlight w:val="none"/>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如果乙方没有按照合同规定的时间交货和提供相关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规定执行。如果涉及公共利益，且赔偿金额无法弥补公共利益损失，甲方可要求继续履行或者采取其他补救措施。</w:t>
      </w:r>
    </w:p>
    <w:p>
      <w:pPr>
        <w:adjustRightInd w:val="0"/>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（3）迟延支付的违约责任：</w:t>
      </w:r>
      <w:r>
        <w:rPr>
          <w:rFonts w:asciiTheme="minorEastAsia" w:hAnsiTheme="minorEastAsia" w:eastAsiaTheme="minorEastAsia"/>
          <w:color w:val="auto"/>
          <w:highlight w:val="none"/>
        </w:rPr>
        <w:t>甲方（甲方</w:t>
      </w:r>
      <w:r>
        <w:rPr>
          <w:rFonts w:hint="eastAsia" w:asciiTheme="minorEastAsia" w:hAnsiTheme="minorEastAsia" w:eastAsiaTheme="minorEastAsia"/>
          <w:color w:val="auto"/>
          <w:highlight w:val="none"/>
        </w:rPr>
        <w:t>1</w:t>
      </w:r>
      <w:r>
        <w:rPr>
          <w:rFonts w:asciiTheme="minorEastAsia" w:hAnsiTheme="minorEastAsia" w:eastAsiaTheme="minorEastAsia"/>
          <w:color w:val="auto"/>
          <w:highlight w:val="none"/>
        </w:rPr>
        <w:t>、甲方</w:t>
      </w:r>
      <w:r>
        <w:rPr>
          <w:rFonts w:hint="eastAsia" w:asciiTheme="minorEastAsia" w:hAnsiTheme="minorEastAsia" w:eastAsiaTheme="minorEastAsia"/>
          <w:color w:val="auto"/>
          <w:highlight w:val="none"/>
        </w:rPr>
        <w:t>2</w:t>
      </w:r>
      <w:r>
        <w:rPr>
          <w:rFonts w:asciiTheme="minorEastAsia" w:hAnsiTheme="minorEastAsia" w:eastAsiaTheme="minorEastAsia"/>
          <w:color w:val="auto"/>
          <w:highlight w:val="none"/>
        </w:rPr>
        <w:t>）</w:t>
      </w:r>
      <w:r>
        <w:rPr>
          <w:rFonts w:hint="eastAsia" w:ascii="宋体" w:hAnsi="宋体"/>
          <w:color w:val="auto"/>
          <w:szCs w:val="21"/>
          <w:highlight w:val="none"/>
        </w:rPr>
        <w:t>存在迟延支付乙方合同款项的，</w:t>
      </w:r>
      <w:r>
        <w:rPr>
          <w:rFonts w:asciiTheme="minorEastAsia" w:hAnsiTheme="minorEastAsia" w:eastAsiaTheme="minorEastAsia"/>
          <w:color w:val="auto"/>
          <w:highlight w:val="none"/>
        </w:rPr>
        <w:t>违约责任方应当</w:t>
      </w:r>
      <w:r>
        <w:rPr>
          <w:rFonts w:hint="eastAsia" w:ascii="宋体" w:hAnsi="宋体"/>
          <w:color w:val="auto"/>
          <w:szCs w:val="21"/>
          <w:highlight w:val="none"/>
        </w:rPr>
        <w:t>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pPr>
        <w:adjustRightInd w:val="0"/>
        <w:snapToGrid w:val="0"/>
        <w:spacing w:line="400" w:lineRule="exact"/>
        <w:ind w:firstLine="420" w:firstLineChars="200"/>
        <w:rPr>
          <w:rFonts w:ascii="宋体" w:hAnsi="宋体" w:cs="宋体"/>
          <w:bCs/>
          <w:color w:val="auto"/>
          <w:szCs w:val="21"/>
          <w:highlight w:val="none"/>
        </w:rPr>
      </w:pPr>
      <w:r>
        <w:rPr>
          <w:rFonts w:hint="eastAsia" w:ascii="宋体" w:hAnsi="宋体"/>
          <w:color w:val="auto"/>
          <w:szCs w:val="21"/>
          <w:highlight w:val="none"/>
        </w:rPr>
        <w:t>（4）</w:t>
      </w:r>
      <w:r>
        <w:rPr>
          <w:rFonts w:hint="eastAsia" w:ascii="宋体" w:hAnsi="宋体"/>
          <w:bCs/>
          <w:color w:val="auto"/>
          <w:szCs w:val="21"/>
          <w:highlight w:val="none"/>
        </w:rPr>
        <w:t>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pPr>
        <w:adjustRightInd w:val="0"/>
        <w:snapToGrid w:val="0"/>
        <w:spacing w:line="360" w:lineRule="auto"/>
        <w:ind w:firstLine="420"/>
        <w:rPr>
          <w:rFonts w:ascii="宋体" w:hAnsi="宋体"/>
          <w:b/>
          <w:color w:val="auto"/>
          <w:szCs w:val="21"/>
          <w:highlight w:val="none"/>
        </w:rPr>
      </w:pPr>
      <w:r>
        <w:rPr>
          <w:rFonts w:hint="eastAsia" w:ascii="宋体" w:hAnsi="宋体"/>
          <w:b/>
          <w:color w:val="auto"/>
          <w:szCs w:val="21"/>
          <w:highlight w:val="none"/>
        </w:rPr>
        <w:t>7.组成合同的文件</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（1）政府采购合同协议书及其变更、补充协议；</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（2）政府采购合同专用条款；</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（3）政府采购合同通用条款；</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（4）中标通知书；</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（5）投标文件；</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（6）招标文件；</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（7）有关技术文件，图纸；</w:t>
      </w:r>
    </w:p>
    <w:p>
      <w:pPr>
        <w:widowControl/>
        <w:autoSpaceDE w:val="0"/>
        <w:autoSpaceDN w:val="0"/>
        <w:adjustRightInd w:val="0"/>
        <w:spacing w:line="360" w:lineRule="auto"/>
        <w:ind w:firstLine="440"/>
        <w:jc w:val="left"/>
        <w:rPr>
          <w:rFonts w:ascii="宋体" w:hAnsi="宋体" w:cs="宋体"/>
          <w:color w:val="auto"/>
          <w:szCs w:val="21"/>
          <w:highlight w:val="none"/>
        </w:rPr>
      </w:pPr>
      <w:r>
        <w:rPr>
          <w:rFonts w:hint="eastAsia" w:ascii="宋体" w:hAnsi="宋体" w:cs="宋体"/>
          <w:color w:val="auto"/>
          <w:kern w:val="0"/>
          <w:szCs w:val="21"/>
          <w:highlight w:val="none"/>
        </w:rPr>
        <w:t>（8）</w:t>
      </w:r>
      <w:r>
        <w:rPr>
          <w:rFonts w:hint="eastAsia" w:ascii="宋体" w:hAnsi="宋体" w:cs="宋体"/>
          <w:color w:val="auto"/>
          <w:szCs w:val="21"/>
          <w:highlight w:val="none"/>
        </w:rPr>
        <w:t>国家法律、行政法规和规章制度规定或合同约定的作为合同组成部分的其他文件。</w:t>
      </w:r>
    </w:p>
    <w:p>
      <w:pPr>
        <w:adjustRightInd w:val="0"/>
        <w:snapToGrid w:val="0"/>
        <w:spacing w:line="360" w:lineRule="auto"/>
        <w:ind w:firstLine="420"/>
        <w:rPr>
          <w:rFonts w:ascii="宋体" w:hAnsi="宋体"/>
          <w:b/>
          <w:color w:val="auto"/>
          <w:szCs w:val="21"/>
          <w:highlight w:val="none"/>
        </w:rPr>
      </w:pPr>
      <w:r>
        <w:rPr>
          <w:rFonts w:hint="eastAsia" w:ascii="宋体" w:hAnsi="宋体"/>
          <w:b/>
          <w:color w:val="auto"/>
          <w:szCs w:val="21"/>
          <w:highlight w:val="none"/>
        </w:rPr>
        <w:t>8.合同生效</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本合同自</w:t>
      </w:r>
      <w:r>
        <w:rPr>
          <w:rFonts w:hint="eastAsia" w:ascii="宋体" w:hAnsi="宋体"/>
          <w:color w:val="auto"/>
          <w:szCs w:val="21"/>
          <w:highlight w:val="none"/>
          <w:u w:val="single"/>
        </w:rPr>
        <w:t>甲乙双方法定代表人或委托代理人签字并加盖单位公章后</w:t>
      </w:r>
      <w:r>
        <w:rPr>
          <w:rFonts w:hint="eastAsia" w:ascii="宋体" w:hAnsi="宋体"/>
          <w:color w:val="auto"/>
          <w:szCs w:val="21"/>
          <w:highlight w:val="none"/>
        </w:rPr>
        <w:t>生效。</w:t>
      </w:r>
    </w:p>
    <w:p>
      <w:pPr>
        <w:adjustRightInd w:val="0"/>
        <w:snapToGrid w:val="0"/>
        <w:spacing w:line="360" w:lineRule="auto"/>
        <w:ind w:firstLine="420"/>
        <w:rPr>
          <w:rFonts w:ascii="宋体" w:hAnsi="宋体"/>
          <w:b/>
          <w:color w:val="auto"/>
          <w:szCs w:val="21"/>
          <w:highlight w:val="none"/>
        </w:rPr>
      </w:pPr>
      <w:r>
        <w:rPr>
          <w:rFonts w:hint="eastAsia" w:ascii="宋体" w:hAnsi="宋体"/>
          <w:b/>
          <w:color w:val="auto"/>
          <w:szCs w:val="21"/>
          <w:highlight w:val="none"/>
        </w:rPr>
        <w:t>9.合同份数</w:t>
      </w:r>
    </w:p>
    <w:p>
      <w:pPr>
        <w:pStyle w:val="70"/>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8</w:t>
      </w:r>
      <w:r>
        <w:rPr>
          <w:rFonts w:hint="eastAsia" w:ascii="宋体" w:hAnsi="宋体"/>
          <w:color w:val="auto"/>
          <w:szCs w:val="21"/>
          <w:highlight w:val="none"/>
          <w:u w:val="single"/>
        </w:rPr>
        <w:t xml:space="preserve">  </w:t>
      </w:r>
      <w:r>
        <w:rPr>
          <w:rFonts w:hint="eastAsia" w:ascii="宋体" w:hAnsi="宋体"/>
          <w:color w:val="auto"/>
          <w:szCs w:val="21"/>
          <w:highlight w:val="none"/>
        </w:rPr>
        <w:t>份，甲方1执</w:t>
      </w:r>
      <w:r>
        <w:rPr>
          <w:rFonts w:hint="eastAsia" w:ascii="宋体" w:hAnsi="宋体"/>
          <w:color w:val="auto"/>
          <w:szCs w:val="21"/>
          <w:highlight w:val="none"/>
          <w:u w:val="single"/>
        </w:rPr>
        <w:t xml:space="preserve"> 3 </w:t>
      </w:r>
      <w:r>
        <w:rPr>
          <w:rFonts w:hint="eastAsia" w:ascii="宋体" w:hAnsi="宋体"/>
          <w:color w:val="auto"/>
          <w:szCs w:val="21"/>
          <w:highlight w:val="none"/>
        </w:rPr>
        <w:t>份，甲方2各使用单位合计执</w:t>
      </w:r>
      <w:r>
        <w:rPr>
          <w:rFonts w:hint="eastAsia" w:ascii="宋体" w:hAnsi="宋体"/>
          <w:color w:val="auto"/>
          <w:szCs w:val="21"/>
          <w:highlight w:val="none"/>
          <w:u w:val="single"/>
        </w:rPr>
        <w:t>2</w:t>
      </w:r>
      <w:r>
        <w:rPr>
          <w:rFonts w:hint="eastAsia" w:ascii="宋体" w:hAnsi="宋体"/>
          <w:color w:val="auto"/>
          <w:szCs w:val="21"/>
          <w:highlight w:val="none"/>
        </w:rPr>
        <w:t>份（由甲方1统一保管分发），乙方执</w:t>
      </w:r>
      <w:r>
        <w:rPr>
          <w:rFonts w:hint="eastAsia" w:ascii="宋体" w:hAnsi="宋体"/>
          <w:color w:val="auto"/>
          <w:szCs w:val="21"/>
          <w:highlight w:val="none"/>
          <w:u w:val="single"/>
        </w:rPr>
        <w:t xml:space="preserve"> 2 </w:t>
      </w:r>
      <w:r>
        <w:rPr>
          <w:rFonts w:hint="eastAsia" w:ascii="宋体" w:hAnsi="宋体"/>
          <w:color w:val="auto"/>
          <w:szCs w:val="21"/>
          <w:highlight w:val="none"/>
        </w:rPr>
        <w:t>份，采购代理机构执</w:t>
      </w:r>
      <w:r>
        <w:rPr>
          <w:rFonts w:hint="eastAsia" w:ascii="宋体" w:hAnsi="宋体"/>
          <w:color w:val="auto"/>
          <w:szCs w:val="21"/>
          <w:highlight w:val="none"/>
          <w:u w:val="single"/>
        </w:rPr>
        <w:t>1</w:t>
      </w:r>
      <w:r>
        <w:rPr>
          <w:rFonts w:hint="eastAsia" w:ascii="宋体" w:hAnsi="宋体"/>
          <w:color w:val="auto"/>
          <w:szCs w:val="21"/>
          <w:highlight w:val="none"/>
        </w:rPr>
        <w:t>份，具有同等法律效力；附件与本合同具有同等法律效力。</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合同订立时间：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rPr>
        <w:t>广西南宁市青秀区</w:t>
      </w:r>
    </w:p>
    <w:p>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附件：1、</w:t>
      </w:r>
      <w:r>
        <w:rPr>
          <w:rFonts w:hint="eastAsia" w:ascii="宋体" w:hAnsi="宋体"/>
          <w:color w:val="auto"/>
          <w:szCs w:val="21"/>
          <w:highlight w:val="none"/>
          <w:u w:val="single"/>
        </w:rPr>
        <w:t>《县域医共体甲方 2 使用单位名单》</w:t>
      </w:r>
    </w:p>
    <w:p>
      <w:pPr>
        <w:adjustRightInd w:val="0"/>
        <w:snapToGrid w:val="0"/>
        <w:spacing w:line="360" w:lineRule="auto"/>
        <w:ind w:firstLine="1050" w:firstLineChars="500"/>
        <w:rPr>
          <w:rFonts w:ascii="宋体" w:hAnsi="宋体"/>
          <w:color w:val="auto"/>
          <w:szCs w:val="21"/>
          <w:highlight w:val="none"/>
        </w:rPr>
      </w:pPr>
      <w:r>
        <w:rPr>
          <w:rFonts w:hint="eastAsia" w:ascii="宋体" w:hAnsi="宋体"/>
          <w:color w:val="auto"/>
          <w:szCs w:val="21"/>
          <w:highlight w:val="none"/>
        </w:rPr>
        <w:t>2、具体标的及其技术要求和商务要求等。</w:t>
      </w:r>
    </w:p>
    <w:p>
      <w:pPr>
        <w:rPr>
          <w:rFonts w:ascii="宋体" w:hAnsi="宋体"/>
          <w:color w:val="auto"/>
          <w:szCs w:val="21"/>
          <w:highlight w:val="none"/>
        </w:rPr>
      </w:pPr>
      <w:r>
        <w:rPr>
          <w:rFonts w:hint="eastAsia" w:ascii="宋体" w:hAnsi="宋体"/>
          <w:color w:val="auto"/>
          <w:szCs w:val="21"/>
          <w:highlight w:val="none"/>
        </w:rPr>
        <w:br w:type="page"/>
      </w:r>
    </w:p>
    <w:p>
      <w:pPr>
        <w:pStyle w:val="59"/>
        <w:rPr>
          <w:color w:val="auto"/>
          <w:highlight w:val="none"/>
        </w:rPr>
      </w:pPr>
    </w:p>
    <w:tbl>
      <w:tblPr>
        <w:tblStyle w:val="52"/>
        <w:tblW w:w="955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569"/>
        <w:gridCol w:w="3294"/>
        <w:gridCol w:w="1690"/>
        <w:gridCol w:w="2995"/>
        <w:gridCol w:w="10"/>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gridAfter w:val="1"/>
          <w:wAfter w:w="10" w:type="dxa"/>
          <w:trHeight w:val="567" w:hRule="atLeast"/>
        </w:trPr>
        <w:tc>
          <w:tcPr>
            <w:tcW w:w="4863" w:type="dxa"/>
            <w:gridSpan w:val="2"/>
            <w:tcBorders>
              <w:bottom w:val="single" w:color="auto" w:sz="2" w:space="0"/>
              <w:right w:val="single" w:color="auto" w:sz="2" w:space="0"/>
            </w:tcBorders>
            <w:vAlign w:val="center"/>
          </w:tcPr>
          <w:p>
            <w:pPr>
              <w:adjustRightInd w:val="0"/>
              <w:snapToGrid w:val="0"/>
              <w:spacing w:line="300" w:lineRule="exact"/>
              <w:jc w:val="left"/>
              <w:rPr>
                <w:color w:val="auto"/>
                <w:highlight w:val="none"/>
              </w:rPr>
            </w:pPr>
            <w:r>
              <w:rPr>
                <w:color w:val="auto"/>
                <w:szCs w:val="21"/>
                <w:highlight w:val="none"/>
              </w:rPr>
              <w:t>甲方</w:t>
            </w:r>
            <w:r>
              <w:rPr>
                <w:rFonts w:hint="eastAsia"/>
                <w:color w:val="auto"/>
                <w:szCs w:val="21"/>
                <w:highlight w:val="none"/>
              </w:rPr>
              <w:t>1（采购人）</w:t>
            </w:r>
          </w:p>
        </w:tc>
        <w:tc>
          <w:tcPr>
            <w:tcW w:w="4685" w:type="dxa"/>
            <w:gridSpan w:val="2"/>
            <w:tcBorders>
              <w:left w:val="single" w:color="auto" w:sz="2" w:space="0"/>
              <w:bottom w:val="single" w:color="auto" w:sz="2" w:space="0"/>
            </w:tcBorders>
            <w:vAlign w:val="center"/>
          </w:tcPr>
          <w:p>
            <w:pPr>
              <w:adjustRightInd w:val="0"/>
              <w:snapToGrid w:val="0"/>
              <w:spacing w:line="300" w:lineRule="exact"/>
              <w:jc w:val="left"/>
              <w:rPr>
                <w:color w:val="auto"/>
                <w:highlight w:val="none"/>
              </w:rPr>
            </w:pPr>
            <w:r>
              <w:rPr>
                <w:color w:val="auto"/>
                <w:szCs w:val="21"/>
                <w:highlight w:val="none"/>
              </w:rPr>
              <w:t>乙方</w:t>
            </w:r>
            <w:r>
              <w:rPr>
                <w:rFonts w:hint="eastAsia"/>
                <w:color w:val="auto"/>
                <w:szCs w:val="21"/>
                <w:highlight w:val="none"/>
              </w:rPr>
              <w:t>（供应商）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2135"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广西壮族自治区卫生健康委员会</w:t>
            </w: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单位名称</w:t>
            </w:r>
            <w:r>
              <w:rPr>
                <w:rFonts w:hint="eastAsia"/>
                <w:color w:val="auto"/>
                <w:szCs w:val="21"/>
                <w:highlight w:val="none"/>
              </w:rPr>
              <w:t>（公章）</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1182" w:hRule="atLeast"/>
        </w:trPr>
        <w:tc>
          <w:tcPr>
            <w:tcW w:w="1569" w:type="dxa"/>
            <w:tcBorders>
              <w:top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法定代表人</w:t>
            </w:r>
          </w:p>
          <w:p>
            <w:pPr>
              <w:adjustRightInd w:val="0"/>
              <w:snapToGrid w:val="0"/>
              <w:spacing w:line="300" w:lineRule="exact"/>
              <w:ind w:firstLine="100" w:firstLineChars="48"/>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（签章/签字）</w:t>
            </w:r>
          </w:p>
        </w:tc>
        <w:tc>
          <w:tcPr>
            <w:tcW w:w="3294" w:type="dxa"/>
            <w:tcBorders>
              <w:top w:val="single" w:color="auto" w:sz="2" w:space="0"/>
              <w:left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法定代表人</w:t>
            </w:r>
          </w:p>
          <w:p>
            <w:pPr>
              <w:adjustRightInd w:val="0"/>
              <w:snapToGrid w:val="0"/>
              <w:spacing w:line="300" w:lineRule="exact"/>
              <w:jc w:val="center"/>
              <w:rPr>
                <w:color w:val="auto"/>
                <w:szCs w:val="21"/>
                <w:highlight w:val="none"/>
              </w:rPr>
            </w:pPr>
            <w:r>
              <w:rPr>
                <w:rFonts w:hint="eastAsia"/>
                <w:color w:val="auto"/>
                <w:szCs w:val="21"/>
                <w:highlight w:val="none"/>
              </w:rPr>
              <w:t>或其</w:t>
            </w:r>
            <w:r>
              <w:rPr>
                <w:color w:val="auto"/>
                <w:szCs w:val="21"/>
                <w:highlight w:val="none"/>
              </w:rPr>
              <w:t>委托代理人</w:t>
            </w:r>
            <w:r>
              <w:rPr>
                <w:rFonts w:hint="eastAsia"/>
                <w:color w:val="auto"/>
                <w:szCs w:val="21"/>
                <w:highlight w:val="none"/>
              </w:rPr>
              <w:t>（签章/签字）</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487"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联 系 人</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联 系 人</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487"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联系电话</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联系电话</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487"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通信地址</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通信地址</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487"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邮政编码</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邮政编码</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487"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电子邮箱</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电子邮箱</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487"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统一社会信用代码</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rFonts w:hint="eastAsia"/>
                <w:color w:val="auto"/>
                <w:szCs w:val="21"/>
                <w:highlight w:val="none"/>
              </w:rPr>
              <w:t>统一社会信用代码</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487"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开户名称</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开户名称</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487"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开户银行</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开户银行</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Ex>
        <w:trPr>
          <w:trHeight w:val="487" w:hRule="atLeast"/>
        </w:trPr>
        <w:tc>
          <w:tcPr>
            <w:tcW w:w="1569"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银行账号</w:t>
            </w:r>
          </w:p>
        </w:tc>
        <w:tc>
          <w:tcPr>
            <w:tcW w:w="329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p>
        </w:tc>
        <w:tc>
          <w:tcPr>
            <w:tcW w:w="1690"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color w:val="auto"/>
                <w:szCs w:val="21"/>
                <w:highlight w:val="none"/>
              </w:rPr>
            </w:pPr>
            <w:r>
              <w:rPr>
                <w:color w:val="auto"/>
                <w:szCs w:val="21"/>
                <w:highlight w:val="none"/>
              </w:rPr>
              <w:t>银行账号</w:t>
            </w:r>
          </w:p>
        </w:tc>
        <w:tc>
          <w:tcPr>
            <w:tcW w:w="3005" w:type="dxa"/>
            <w:gridSpan w:val="2"/>
            <w:tcBorders>
              <w:top w:val="single" w:color="auto" w:sz="2" w:space="0"/>
              <w:left w:val="single" w:color="auto" w:sz="2" w:space="0"/>
              <w:bottom w:val="single" w:color="auto" w:sz="2" w:space="0"/>
            </w:tcBorders>
            <w:vAlign w:val="center"/>
          </w:tcPr>
          <w:p>
            <w:pPr>
              <w:adjustRightInd w:val="0"/>
              <w:snapToGrid w:val="0"/>
              <w:spacing w:line="300" w:lineRule="exact"/>
              <w:jc w:val="center"/>
              <w:rPr>
                <w:color w:val="auto"/>
                <w:spacing w:val="20"/>
                <w:szCs w:val="21"/>
                <w:highlight w:val="none"/>
              </w:rPr>
            </w:pPr>
          </w:p>
        </w:tc>
      </w:tr>
    </w:tbl>
    <w:p>
      <w:pPr>
        <w:ind w:firstLine="420" w:firstLineChars="200"/>
        <w:rPr>
          <w:rFonts w:ascii="宋体" w:hAnsi="宋体"/>
          <w:color w:val="auto"/>
          <w:highlight w:val="none"/>
        </w:rPr>
      </w:pPr>
    </w:p>
    <w:p>
      <w:pPr>
        <w:ind w:firstLine="420" w:firstLineChars="200"/>
        <w:rPr>
          <w:rFonts w:ascii="宋体" w:hAnsi="宋体"/>
          <w:color w:val="auto"/>
          <w:highlight w:val="none"/>
        </w:rPr>
        <w:sectPr>
          <w:headerReference r:id="rId4" w:type="first"/>
          <w:pgSz w:w="11906" w:h="16838"/>
          <w:pgMar w:top="1418" w:right="1133" w:bottom="1246" w:left="1418" w:header="851" w:footer="992" w:gutter="0"/>
          <w:cols w:space="720" w:num="1"/>
          <w:docGrid w:linePitch="312" w:charSpace="0"/>
        </w:sectPr>
      </w:pPr>
    </w:p>
    <w:p>
      <w:pPr>
        <w:jc w:val="center"/>
        <w:rPr>
          <w:rFonts w:ascii="宋体" w:hAnsi="宋体"/>
          <w:b/>
          <w:bCs/>
          <w:color w:val="auto"/>
          <w:sz w:val="24"/>
          <w:highlight w:val="none"/>
        </w:rPr>
      </w:pPr>
      <w:r>
        <w:rPr>
          <w:rFonts w:hint="eastAsia" w:ascii="宋体" w:hAnsi="宋体"/>
          <w:b/>
          <w:bCs/>
          <w:color w:val="auto"/>
          <w:sz w:val="24"/>
          <w:highlight w:val="none"/>
          <w:u w:val="single"/>
        </w:rPr>
        <w:t>x</w:t>
      </w:r>
      <w:r>
        <w:rPr>
          <w:rFonts w:ascii="宋体" w:hAnsi="宋体"/>
          <w:b/>
          <w:bCs/>
          <w:color w:val="auto"/>
          <w:sz w:val="24"/>
          <w:highlight w:val="none"/>
          <w:u w:val="single"/>
        </w:rPr>
        <w:t>x1</w:t>
      </w:r>
      <w:r>
        <w:rPr>
          <w:rFonts w:hint="eastAsia" w:ascii="宋体" w:hAnsi="宋体"/>
          <w:b/>
          <w:bCs/>
          <w:color w:val="auto"/>
          <w:sz w:val="24"/>
          <w:highlight w:val="none"/>
          <w:u w:val="single"/>
        </w:rPr>
        <w:t>地市x</w:t>
      </w:r>
      <w:r>
        <w:rPr>
          <w:rFonts w:ascii="宋体" w:hAnsi="宋体"/>
          <w:b/>
          <w:bCs/>
          <w:color w:val="auto"/>
          <w:sz w:val="24"/>
          <w:highlight w:val="none"/>
          <w:u w:val="single"/>
        </w:rPr>
        <w:t>x1</w:t>
      </w:r>
      <w:r>
        <w:rPr>
          <w:rFonts w:hint="eastAsia" w:ascii="宋体" w:hAnsi="宋体"/>
          <w:b/>
          <w:bCs/>
          <w:color w:val="auto"/>
          <w:sz w:val="24"/>
          <w:highlight w:val="none"/>
          <w:u w:val="single"/>
        </w:rPr>
        <w:t>县（市区）</w:t>
      </w:r>
      <w:r>
        <w:rPr>
          <w:rFonts w:ascii="宋体" w:hAnsi="宋体"/>
          <w:b/>
          <w:bCs/>
          <w:color w:val="auto"/>
          <w:sz w:val="24"/>
          <w:highlight w:val="none"/>
          <w:u w:val="single"/>
        </w:rPr>
        <w:t>xx1</w:t>
      </w:r>
      <w:r>
        <w:rPr>
          <w:rFonts w:hint="eastAsia" w:ascii="宋体" w:hAnsi="宋体"/>
          <w:b/>
          <w:bCs/>
          <w:color w:val="auto"/>
          <w:sz w:val="24"/>
          <w:highlight w:val="none"/>
          <w:u w:val="single"/>
        </w:rPr>
        <w:t>医共体</w:t>
      </w:r>
      <w:r>
        <w:rPr>
          <w:rFonts w:hint="eastAsia" w:ascii="宋体" w:hAnsi="宋体"/>
          <w:b/>
          <w:bCs/>
          <w:color w:val="auto"/>
          <w:sz w:val="24"/>
          <w:highlight w:val="none"/>
        </w:rPr>
        <w:t>甲方2使用单位名单</w:t>
      </w:r>
    </w:p>
    <w:tbl>
      <w:tblPr>
        <w:tblStyle w:val="52"/>
        <w:tblW w:w="1044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83"/>
        <w:gridCol w:w="2639"/>
        <w:gridCol w:w="1651"/>
        <w:gridCol w:w="1427"/>
        <w:gridCol w:w="1427"/>
        <w:gridCol w:w="1706"/>
        <w:gridCol w:w="10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8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b/>
                <w:bCs/>
                <w:color w:val="auto"/>
                <w:szCs w:val="21"/>
                <w:highlight w:val="none"/>
              </w:rPr>
            </w:pPr>
            <w:r>
              <w:rPr>
                <w:rFonts w:hint="eastAsia"/>
                <w:b/>
                <w:bCs/>
                <w:color w:val="auto"/>
                <w:szCs w:val="21"/>
                <w:highlight w:val="none"/>
              </w:rPr>
              <w:t>序号</w:t>
            </w:r>
          </w:p>
        </w:tc>
        <w:tc>
          <w:tcPr>
            <w:tcW w:w="2639" w:type="dxa"/>
            <w:tcBorders>
              <w:top w:val="single" w:color="auto" w:sz="4" w:space="0"/>
              <w:left w:val="nil"/>
              <w:bottom w:val="single" w:color="auto" w:sz="4" w:space="0"/>
              <w:right w:val="single" w:color="auto" w:sz="4" w:space="0"/>
            </w:tcBorders>
            <w:vAlign w:val="center"/>
          </w:tcPr>
          <w:p>
            <w:pPr>
              <w:spacing w:line="360" w:lineRule="exact"/>
              <w:jc w:val="center"/>
              <w:rPr>
                <w:b/>
                <w:bCs/>
                <w:color w:val="auto"/>
                <w:szCs w:val="21"/>
                <w:highlight w:val="none"/>
              </w:rPr>
            </w:pPr>
            <w:r>
              <w:rPr>
                <w:rFonts w:hint="eastAsia"/>
                <w:b/>
                <w:bCs/>
                <w:color w:val="auto"/>
                <w:szCs w:val="21"/>
                <w:highlight w:val="none"/>
              </w:rPr>
              <w:t>使用单位名称（公章）</w:t>
            </w:r>
          </w:p>
        </w:tc>
        <w:tc>
          <w:tcPr>
            <w:tcW w:w="1651" w:type="dxa"/>
            <w:tcBorders>
              <w:top w:val="single" w:color="auto" w:sz="4" w:space="0"/>
              <w:left w:val="nil"/>
              <w:bottom w:val="single" w:color="auto" w:sz="4" w:space="0"/>
              <w:right w:val="single" w:color="auto" w:sz="4" w:space="0"/>
            </w:tcBorders>
            <w:vAlign w:val="center"/>
          </w:tcPr>
          <w:p>
            <w:pPr>
              <w:tabs>
                <w:tab w:val="left" w:pos="65"/>
              </w:tabs>
              <w:spacing w:line="360" w:lineRule="exact"/>
              <w:ind w:right="-204" w:rightChars="-97"/>
              <w:jc w:val="center"/>
              <w:rPr>
                <w:b/>
                <w:bCs/>
                <w:color w:val="auto"/>
                <w:spacing w:val="-20"/>
                <w:szCs w:val="21"/>
                <w:highlight w:val="none"/>
              </w:rPr>
            </w:pPr>
            <w:r>
              <w:rPr>
                <w:rFonts w:hint="eastAsia"/>
                <w:b/>
                <w:bCs/>
                <w:color w:val="auto"/>
                <w:spacing w:val="-20"/>
                <w:szCs w:val="21"/>
                <w:highlight w:val="none"/>
              </w:rPr>
              <w:t>法定代表人</w:t>
            </w:r>
          </w:p>
          <w:p>
            <w:pPr>
              <w:spacing w:line="360" w:lineRule="exact"/>
              <w:ind w:right="29" w:rightChars="14"/>
              <w:jc w:val="center"/>
              <w:rPr>
                <w:b/>
                <w:bCs/>
                <w:color w:val="auto"/>
                <w:szCs w:val="21"/>
                <w:highlight w:val="none"/>
              </w:rPr>
            </w:pPr>
            <w:r>
              <w:rPr>
                <w:rFonts w:hint="eastAsia"/>
                <w:b/>
                <w:bCs/>
                <w:color w:val="auto"/>
                <w:spacing w:val="-20"/>
                <w:szCs w:val="21"/>
                <w:highlight w:val="none"/>
              </w:rPr>
              <w:t>或其委托代理人（签章/签字）</w:t>
            </w:r>
          </w:p>
        </w:tc>
        <w:tc>
          <w:tcPr>
            <w:tcW w:w="1427" w:type="dxa"/>
            <w:tcBorders>
              <w:top w:val="single" w:color="auto" w:sz="4" w:space="0"/>
              <w:left w:val="nil"/>
              <w:bottom w:val="single" w:color="auto" w:sz="4" w:space="0"/>
              <w:right w:val="single" w:color="auto" w:sz="4" w:space="0"/>
            </w:tcBorders>
            <w:vAlign w:val="center"/>
          </w:tcPr>
          <w:p>
            <w:pPr>
              <w:spacing w:line="360" w:lineRule="exact"/>
              <w:ind w:right="29" w:rightChars="14"/>
              <w:jc w:val="center"/>
              <w:rPr>
                <w:b/>
                <w:bCs/>
                <w:color w:val="auto"/>
                <w:szCs w:val="21"/>
                <w:highlight w:val="none"/>
              </w:rPr>
            </w:pPr>
            <w:r>
              <w:rPr>
                <w:rFonts w:hint="eastAsia"/>
                <w:b/>
                <w:bCs/>
                <w:color w:val="auto"/>
                <w:szCs w:val="21"/>
                <w:highlight w:val="none"/>
              </w:rPr>
              <w:t>联系人</w:t>
            </w:r>
          </w:p>
        </w:tc>
        <w:tc>
          <w:tcPr>
            <w:tcW w:w="1427" w:type="dxa"/>
            <w:tcBorders>
              <w:top w:val="single" w:color="auto" w:sz="4" w:space="0"/>
              <w:left w:val="nil"/>
              <w:bottom w:val="single" w:color="auto" w:sz="4" w:space="0"/>
              <w:right w:val="single" w:color="auto" w:sz="4" w:space="0"/>
            </w:tcBorders>
            <w:vAlign w:val="center"/>
          </w:tcPr>
          <w:p>
            <w:pPr>
              <w:spacing w:line="360" w:lineRule="exact"/>
              <w:ind w:right="29" w:rightChars="14"/>
              <w:jc w:val="center"/>
              <w:rPr>
                <w:b/>
                <w:bCs/>
                <w:color w:val="auto"/>
                <w:szCs w:val="21"/>
                <w:highlight w:val="none"/>
              </w:rPr>
            </w:pPr>
            <w:r>
              <w:rPr>
                <w:rFonts w:hint="eastAsia"/>
                <w:b/>
                <w:bCs/>
                <w:color w:val="auto"/>
                <w:szCs w:val="21"/>
                <w:highlight w:val="none"/>
              </w:rPr>
              <w:t>联系电话</w:t>
            </w:r>
          </w:p>
        </w:tc>
        <w:tc>
          <w:tcPr>
            <w:tcW w:w="1706" w:type="dxa"/>
            <w:tcBorders>
              <w:top w:val="single" w:color="auto" w:sz="4" w:space="0"/>
              <w:left w:val="nil"/>
              <w:bottom w:val="single" w:color="auto" w:sz="4" w:space="0"/>
              <w:right w:val="single" w:color="auto" w:sz="4" w:space="0"/>
            </w:tcBorders>
            <w:vAlign w:val="center"/>
          </w:tcPr>
          <w:p>
            <w:pPr>
              <w:spacing w:line="360" w:lineRule="exact"/>
              <w:ind w:right="29" w:rightChars="14"/>
              <w:jc w:val="center"/>
              <w:rPr>
                <w:b/>
                <w:bCs/>
                <w:color w:val="auto"/>
                <w:szCs w:val="21"/>
                <w:highlight w:val="none"/>
              </w:rPr>
            </w:pPr>
            <w:r>
              <w:rPr>
                <w:rFonts w:hint="eastAsia"/>
                <w:b/>
                <w:bCs/>
                <w:color w:val="auto"/>
                <w:szCs w:val="21"/>
                <w:highlight w:val="none"/>
              </w:rPr>
              <w:t>联系地址</w:t>
            </w:r>
          </w:p>
        </w:tc>
        <w:tc>
          <w:tcPr>
            <w:tcW w:w="1015" w:type="dxa"/>
            <w:tcBorders>
              <w:top w:val="single" w:color="auto" w:sz="4" w:space="0"/>
              <w:left w:val="nil"/>
              <w:bottom w:val="single" w:color="auto" w:sz="4" w:space="0"/>
              <w:right w:val="single" w:color="auto" w:sz="4" w:space="0"/>
            </w:tcBorders>
            <w:vAlign w:val="center"/>
          </w:tcPr>
          <w:p>
            <w:pPr>
              <w:spacing w:line="360" w:lineRule="exact"/>
              <w:ind w:right="29" w:rightChars="14"/>
              <w:jc w:val="center"/>
              <w:rPr>
                <w:b/>
                <w:bCs/>
                <w:color w:val="auto"/>
                <w:szCs w:val="21"/>
                <w:highlight w:val="none"/>
              </w:rPr>
            </w:pPr>
            <w:r>
              <w:rPr>
                <w:rFonts w:hint="eastAsia"/>
                <w:b/>
                <w:bCs/>
                <w:color w:val="auto"/>
                <w:szCs w:val="21"/>
                <w:highlight w:val="none"/>
              </w:rPr>
              <w:t>接收设备数量（台）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35" w:hRule="atLeast"/>
          <w:jc w:val="center"/>
        </w:trPr>
        <w:tc>
          <w:tcPr>
            <w:tcW w:w="58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Cs w:val="21"/>
                <w:highlight w:val="none"/>
              </w:rPr>
            </w:pPr>
            <w:r>
              <w:rPr>
                <w:rFonts w:hint="eastAsia"/>
                <w:color w:val="auto"/>
                <w:szCs w:val="21"/>
                <w:highlight w:val="none"/>
              </w:rPr>
              <w:t>1</w:t>
            </w:r>
          </w:p>
        </w:tc>
        <w:tc>
          <w:tcPr>
            <w:tcW w:w="2639"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651"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427"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427"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706"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015"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35" w:hRule="atLeast"/>
          <w:jc w:val="center"/>
        </w:trPr>
        <w:tc>
          <w:tcPr>
            <w:tcW w:w="58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Cs w:val="21"/>
                <w:highlight w:val="none"/>
              </w:rPr>
            </w:pPr>
            <w:r>
              <w:rPr>
                <w:rFonts w:hint="eastAsia"/>
                <w:color w:val="auto"/>
                <w:szCs w:val="21"/>
                <w:highlight w:val="none"/>
              </w:rPr>
              <w:t>2</w:t>
            </w:r>
          </w:p>
        </w:tc>
        <w:tc>
          <w:tcPr>
            <w:tcW w:w="2639"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651"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427"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427"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706"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015"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35" w:hRule="atLeast"/>
          <w:jc w:val="center"/>
        </w:trPr>
        <w:tc>
          <w:tcPr>
            <w:tcW w:w="58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Cs w:val="21"/>
                <w:highlight w:val="none"/>
              </w:rPr>
            </w:pPr>
            <w:r>
              <w:rPr>
                <w:rFonts w:hint="eastAsia"/>
                <w:color w:val="auto"/>
                <w:szCs w:val="21"/>
                <w:highlight w:val="none"/>
              </w:rPr>
              <w:t>3</w:t>
            </w:r>
          </w:p>
        </w:tc>
        <w:tc>
          <w:tcPr>
            <w:tcW w:w="2639"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651"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427"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427"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706"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015"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35" w:hRule="atLeast"/>
          <w:jc w:val="center"/>
        </w:trPr>
        <w:tc>
          <w:tcPr>
            <w:tcW w:w="58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Cs w:val="21"/>
                <w:highlight w:val="none"/>
              </w:rPr>
            </w:pPr>
            <w:r>
              <w:rPr>
                <w:rFonts w:hint="eastAsia"/>
                <w:color w:val="auto"/>
                <w:szCs w:val="21"/>
                <w:highlight w:val="none"/>
              </w:rPr>
              <w:t>4</w:t>
            </w:r>
          </w:p>
        </w:tc>
        <w:tc>
          <w:tcPr>
            <w:tcW w:w="2639"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651"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427"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427"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706"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015"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9433"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jc w:val="center"/>
              <w:rPr>
                <w:b/>
                <w:bCs/>
                <w:color w:val="auto"/>
                <w:szCs w:val="21"/>
                <w:highlight w:val="none"/>
              </w:rPr>
            </w:pPr>
            <w:r>
              <w:rPr>
                <w:rFonts w:hint="eastAsia"/>
                <w:b/>
                <w:bCs/>
                <w:color w:val="auto"/>
                <w:szCs w:val="21"/>
                <w:highlight w:val="none"/>
              </w:rPr>
              <w:t>合计</w:t>
            </w:r>
          </w:p>
        </w:tc>
        <w:tc>
          <w:tcPr>
            <w:tcW w:w="1015"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r>
    </w:tbl>
    <w:p>
      <w:pPr>
        <w:ind w:firstLine="420" w:firstLineChars="200"/>
        <w:rPr>
          <w:rFonts w:ascii="宋体" w:hAnsi="宋体"/>
          <w:color w:val="auto"/>
          <w:highlight w:val="none"/>
        </w:rPr>
      </w:pPr>
    </w:p>
    <w:p>
      <w:pPr>
        <w:ind w:firstLine="420" w:firstLineChars="200"/>
        <w:rPr>
          <w:rFonts w:ascii="宋体" w:hAnsi="宋体"/>
          <w:color w:val="auto"/>
          <w:highlight w:val="none"/>
        </w:rPr>
        <w:sectPr>
          <w:pgSz w:w="11906" w:h="16838"/>
          <w:pgMar w:top="1418" w:right="1133" w:bottom="1246" w:left="1418" w:header="851" w:footer="992" w:gutter="0"/>
          <w:cols w:space="720" w:num="1"/>
          <w:docGrid w:linePitch="312" w:charSpace="0"/>
        </w:sectPr>
      </w:pPr>
    </w:p>
    <w:p>
      <w:pPr>
        <w:jc w:val="center"/>
        <w:rPr>
          <w:rFonts w:ascii="宋体" w:hAnsi="宋体"/>
          <w:b/>
          <w:bCs/>
          <w:color w:val="auto"/>
          <w:sz w:val="24"/>
          <w:highlight w:val="none"/>
        </w:rPr>
      </w:pPr>
      <w:r>
        <w:rPr>
          <w:rFonts w:hint="eastAsia" w:ascii="宋体" w:hAnsi="宋体"/>
          <w:b/>
          <w:bCs/>
          <w:color w:val="auto"/>
          <w:sz w:val="24"/>
          <w:highlight w:val="none"/>
          <w:u w:val="single"/>
        </w:rPr>
        <w:t>x</w:t>
      </w:r>
      <w:r>
        <w:rPr>
          <w:rFonts w:ascii="宋体" w:hAnsi="宋体"/>
          <w:b/>
          <w:bCs/>
          <w:color w:val="auto"/>
          <w:sz w:val="24"/>
          <w:highlight w:val="none"/>
          <w:u w:val="single"/>
        </w:rPr>
        <w:t>x2</w:t>
      </w:r>
      <w:r>
        <w:rPr>
          <w:rFonts w:hint="eastAsia" w:ascii="宋体" w:hAnsi="宋体"/>
          <w:b/>
          <w:bCs/>
          <w:color w:val="auto"/>
          <w:sz w:val="24"/>
          <w:highlight w:val="none"/>
          <w:u w:val="single"/>
        </w:rPr>
        <w:t>市x</w:t>
      </w:r>
      <w:r>
        <w:rPr>
          <w:rFonts w:ascii="宋体" w:hAnsi="宋体"/>
          <w:b/>
          <w:bCs/>
          <w:color w:val="auto"/>
          <w:sz w:val="24"/>
          <w:highlight w:val="none"/>
          <w:u w:val="single"/>
        </w:rPr>
        <w:t>x2</w:t>
      </w:r>
      <w:r>
        <w:rPr>
          <w:rFonts w:hint="eastAsia" w:ascii="宋体" w:hAnsi="宋体"/>
          <w:b/>
          <w:bCs/>
          <w:color w:val="auto"/>
          <w:sz w:val="24"/>
          <w:highlight w:val="none"/>
          <w:u w:val="single"/>
        </w:rPr>
        <w:t>（市区）</w:t>
      </w:r>
      <w:r>
        <w:rPr>
          <w:rFonts w:ascii="宋体" w:hAnsi="宋体"/>
          <w:b/>
          <w:bCs/>
          <w:color w:val="auto"/>
          <w:sz w:val="24"/>
          <w:highlight w:val="none"/>
          <w:u w:val="single"/>
        </w:rPr>
        <w:t>xx2</w:t>
      </w:r>
      <w:r>
        <w:rPr>
          <w:rFonts w:hint="eastAsia" w:ascii="宋体" w:hAnsi="宋体"/>
          <w:b/>
          <w:bCs/>
          <w:color w:val="auto"/>
          <w:sz w:val="24"/>
          <w:highlight w:val="none"/>
          <w:u w:val="single"/>
        </w:rPr>
        <w:t>共体</w:t>
      </w:r>
      <w:r>
        <w:rPr>
          <w:rFonts w:hint="eastAsia" w:ascii="宋体" w:hAnsi="宋体"/>
          <w:b/>
          <w:bCs/>
          <w:color w:val="auto"/>
          <w:sz w:val="24"/>
          <w:highlight w:val="none"/>
        </w:rPr>
        <w:t>甲方2使用单位名单</w:t>
      </w:r>
    </w:p>
    <w:tbl>
      <w:tblPr>
        <w:tblStyle w:val="52"/>
        <w:tblW w:w="1044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83"/>
        <w:gridCol w:w="2639"/>
        <w:gridCol w:w="1651"/>
        <w:gridCol w:w="1427"/>
        <w:gridCol w:w="1427"/>
        <w:gridCol w:w="1706"/>
        <w:gridCol w:w="10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8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b/>
                <w:bCs/>
                <w:color w:val="auto"/>
                <w:szCs w:val="21"/>
                <w:highlight w:val="none"/>
              </w:rPr>
            </w:pPr>
            <w:r>
              <w:rPr>
                <w:rFonts w:hint="eastAsia"/>
                <w:b/>
                <w:bCs/>
                <w:color w:val="auto"/>
                <w:szCs w:val="21"/>
                <w:highlight w:val="none"/>
              </w:rPr>
              <w:t>序号</w:t>
            </w:r>
          </w:p>
        </w:tc>
        <w:tc>
          <w:tcPr>
            <w:tcW w:w="2639" w:type="dxa"/>
            <w:tcBorders>
              <w:top w:val="single" w:color="auto" w:sz="4" w:space="0"/>
              <w:left w:val="nil"/>
              <w:bottom w:val="single" w:color="auto" w:sz="4" w:space="0"/>
              <w:right w:val="single" w:color="auto" w:sz="4" w:space="0"/>
            </w:tcBorders>
            <w:vAlign w:val="center"/>
          </w:tcPr>
          <w:p>
            <w:pPr>
              <w:spacing w:line="360" w:lineRule="exact"/>
              <w:jc w:val="center"/>
              <w:rPr>
                <w:b/>
                <w:bCs/>
                <w:color w:val="auto"/>
                <w:szCs w:val="21"/>
                <w:highlight w:val="none"/>
              </w:rPr>
            </w:pPr>
            <w:r>
              <w:rPr>
                <w:rFonts w:hint="eastAsia"/>
                <w:b/>
                <w:bCs/>
                <w:color w:val="auto"/>
                <w:szCs w:val="21"/>
                <w:highlight w:val="none"/>
              </w:rPr>
              <w:t>使用单位名称（公章）</w:t>
            </w:r>
          </w:p>
        </w:tc>
        <w:tc>
          <w:tcPr>
            <w:tcW w:w="1651" w:type="dxa"/>
            <w:tcBorders>
              <w:top w:val="single" w:color="auto" w:sz="4" w:space="0"/>
              <w:left w:val="nil"/>
              <w:bottom w:val="single" w:color="auto" w:sz="4" w:space="0"/>
              <w:right w:val="single" w:color="auto" w:sz="4" w:space="0"/>
            </w:tcBorders>
            <w:vAlign w:val="center"/>
          </w:tcPr>
          <w:p>
            <w:pPr>
              <w:tabs>
                <w:tab w:val="left" w:pos="65"/>
              </w:tabs>
              <w:spacing w:line="360" w:lineRule="exact"/>
              <w:ind w:right="-204" w:rightChars="-97"/>
              <w:jc w:val="center"/>
              <w:rPr>
                <w:b/>
                <w:bCs/>
                <w:color w:val="auto"/>
                <w:spacing w:val="-20"/>
                <w:szCs w:val="21"/>
                <w:highlight w:val="none"/>
              </w:rPr>
            </w:pPr>
            <w:r>
              <w:rPr>
                <w:rFonts w:hint="eastAsia"/>
                <w:b/>
                <w:bCs/>
                <w:color w:val="auto"/>
                <w:spacing w:val="-20"/>
                <w:szCs w:val="21"/>
                <w:highlight w:val="none"/>
              </w:rPr>
              <w:t>法定代表人</w:t>
            </w:r>
          </w:p>
          <w:p>
            <w:pPr>
              <w:spacing w:line="360" w:lineRule="exact"/>
              <w:ind w:right="29" w:rightChars="14"/>
              <w:jc w:val="center"/>
              <w:rPr>
                <w:b/>
                <w:bCs/>
                <w:color w:val="auto"/>
                <w:szCs w:val="21"/>
                <w:highlight w:val="none"/>
              </w:rPr>
            </w:pPr>
            <w:r>
              <w:rPr>
                <w:rFonts w:hint="eastAsia"/>
                <w:b/>
                <w:bCs/>
                <w:color w:val="auto"/>
                <w:spacing w:val="-20"/>
                <w:szCs w:val="21"/>
                <w:highlight w:val="none"/>
              </w:rPr>
              <w:t>或其委托代理人（签章/签字）</w:t>
            </w:r>
          </w:p>
        </w:tc>
        <w:tc>
          <w:tcPr>
            <w:tcW w:w="1427" w:type="dxa"/>
            <w:tcBorders>
              <w:top w:val="single" w:color="auto" w:sz="4" w:space="0"/>
              <w:left w:val="nil"/>
              <w:bottom w:val="single" w:color="auto" w:sz="4" w:space="0"/>
              <w:right w:val="single" w:color="auto" w:sz="4" w:space="0"/>
            </w:tcBorders>
            <w:vAlign w:val="center"/>
          </w:tcPr>
          <w:p>
            <w:pPr>
              <w:spacing w:line="360" w:lineRule="exact"/>
              <w:ind w:right="29" w:rightChars="14"/>
              <w:jc w:val="center"/>
              <w:rPr>
                <w:b/>
                <w:bCs/>
                <w:color w:val="auto"/>
                <w:szCs w:val="21"/>
                <w:highlight w:val="none"/>
              </w:rPr>
            </w:pPr>
            <w:r>
              <w:rPr>
                <w:rFonts w:hint="eastAsia"/>
                <w:b/>
                <w:bCs/>
                <w:color w:val="auto"/>
                <w:szCs w:val="21"/>
                <w:highlight w:val="none"/>
              </w:rPr>
              <w:t>联系人</w:t>
            </w:r>
          </w:p>
        </w:tc>
        <w:tc>
          <w:tcPr>
            <w:tcW w:w="1427" w:type="dxa"/>
            <w:tcBorders>
              <w:top w:val="single" w:color="auto" w:sz="4" w:space="0"/>
              <w:left w:val="nil"/>
              <w:bottom w:val="single" w:color="auto" w:sz="4" w:space="0"/>
              <w:right w:val="single" w:color="auto" w:sz="4" w:space="0"/>
            </w:tcBorders>
            <w:vAlign w:val="center"/>
          </w:tcPr>
          <w:p>
            <w:pPr>
              <w:spacing w:line="360" w:lineRule="exact"/>
              <w:ind w:right="29" w:rightChars="14"/>
              <w:jc w:val="center"/>
              <w:rPr>
                <w:b/>
                <w:bCs/>
                <w:color w:val="auto"/>
                <w:szCs w:val="21"/>
                <w:highlight w:val="none"/>
              </w:rPr>
            </w:pPr>
            <w:r>
              <w:rPr>
                <w:rFonts w:hint="eastAsia"/>
                <w:b/>
                <w:bCs/>
                <w:color w:val="auto"/>
                <w:szCs w:val="21"/>
                <w:highlight w:val="none"/>
              </w:rPr>
              <w:t>联系电话</w:t>
            </w:r>
          </w:p>
        </w:tc>
        <w:tc>
          <w:tcPr>
            <w:tcW w:w="1706" w:type="dxa"/>
            <w:tcBorders>
              <w:top w:val="single" w:color="auto" w:sz="4" w:space="0"/>
              <w:left w:val="nil"/>
              <w:bottom w:val="single" w:color="auto" w:sz="4" w:space="0"/>
              <w:right w:val="single" w:color="auto" w:sz="4" w:space="0"/>
            </w:tcBorders>
            <w:vAlign w:val="center"/>
          </w:tcPr>
          <w:p>
            <w:pPr>
              <w:spacing w:line="360" w:lineRule="exact"/>
              <w:ind w:right="29" w:rightChars="14"/>
              <w:jc w:val="center"/>
              <w:rPr>
                <w:b/>
                <w:bCs/>
                <w:color w:val="auto"/>
                <w:szCs w:val="21"/>
                <w:highlight w:val="none"/>
              </w:rPr>
            </w:pPr>
            <w:r>
              <w:rPr>
                <w:rFonts w:hint="eastAsia"/>
                <w:b/>
                <w:bCs/>
                <w:color w:val="auto"/>
                <w:szCs w:val="21"/>
                <w:highlight w:val="none"/>
              </w:rPr>
              <w:t>联系地址</w:t>
            </w:r>
          </w:p>
        </w:tc>
        <w:tc>
          <w:tcPr>
            <w:tcW w:w="1015" w:type="dxa"/>
            <w:tcBorders>
              <w:top w:val="single" w:color="auto" w:sz="4" w:space="0"/>
              <w:left w:val="nil"/>
              <w:bottom w:val="single" w:color="auto" w:sz="4" w:space="0"/>
              <w:right w:val="single" w:color="auto" w:sz="4" w:space="0"/>
            </w:tcBorders>
            <w:vAlign w:val="center"/>
          </w:tcPr>
          <w:p>
            <w:pPr>
              <w:spacing w:line="360" w:lineRule="exact"/>
              <w:ind w:right="29" w:rightChars="14"/>
              <w:jc w:val="center"/>
              <w:rPr>
                <w:b/>
                <w:bCs/>
                <w:color w:val="auto"/>
                <w:szCs w:val="21"/>
                <w:highlight w:val="none"/>
              </w:rPr>
            </w:pPr>
            <w:r>
              <w:rPr>
                <w:rFonts w:hint="eastAsia"/>
                <w:b/>
                <w:bCs/>
                <w:color w:val="auto"/>
                <w:szCs w:val="21"/>
                <w:highlight w:val="none"/>
              </w:rPr>
              <w:t>接收设备数量（台）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35" w:hRule="atLeast"/>
          <w:jc w:val="center"/>
        </w:trPr>
        <w:tc>
          <w:tcPr>
            <w:tcW w:w="58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Cs w:val="21"/>
                <w:highlight w:val="none"/>
              </w:rPr>
            </w:pPr>
            <w:r>
              <w:rPr>
                <w:rFonts w:hint="eastAsia"/>
                <w:color w:val="auto"/>
                <w:szCs w:val="21"/>
                <w:highlight w:val="none"/>
              </w:rPr>
              <w:t>1</w:t>
            </w:r>
          </w:p>
        </w:tc>
        <w:tc>
          <w:tcPr>
            <w:tcW w:w="2639"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651"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427"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427"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706"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015"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35" w:hRule="atLeast"/>
          <w:jc w:val="center"/>
        </w:trPr>
        <w:tc>
          <w:tcPr>
            <w:tcW w:w="58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Cs w:val="21"/>
                <w:highlight w:val="none"/>
              </w:rPr>
            </w:pPr>
            <w:r>
              <w:rPr>
                <w:rFonts w:hint="eastAsia"/>
                <w:color w:val="auto"/>
                <w:szCs w:val="21"/>
                <w:highlight w:val="none"/>
              </w:rPr>
              <w:t>2</w:t>
            </w:r>
          </w:p>
        </w:tc>
        <w:tc>
          <w:tcPr>
            <w:tcW w:w="2639"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651"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427"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427"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706"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015"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35" w:hRule="atLeast"/>
          <w:jc w:val="center"/>
        </w:trPr>
        <w:tc>
          <w:tcPr>
            <w:tcW w:w="58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Cs w:val="21"/>
                <w:highlight w:val="none"/>
              </w:rPr>
            </w:pPr>
            <w:r>
              <w:rPr>
                <w:rFonts w:hint="eastAsia"/>
                <w:color w:val="auto"/>
                <w:szCs w:val="21"/>
                <w:highlight w:val="none"/>
              </w:rPr>
              <w:t>3</w:t>
            </w:r>
          </w:p>
        </w:tc>
        <w:tc>
          <w:tcPr>
            <w:tcW w:w="2639"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651"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427"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427"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706"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015"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2835" w:hRule="atLeast"/>
          <w:jc w:val="center"/>
        </w:trPr>
        <w:tc>
          <w:tcPr>
            <w:tcW w:w="583"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color w:val="auto"/>
                <w:szCs w:val="21"/>
                <w:highlight w:val="none"/>
              </w:rPr>
            </w:pPr>
            <w:r>
              <w:rPr>
                <w:rFonts w:hint="eastAsia"/>
                <w:color w:val="auto"/>
                <w:szCs w:val="21"/>
                <w:highlight w:val="none"/>
              </w:rPr>
              <w:t>4</w:t>
            </w:r>
          </w:p>
        </w:tc>
        <w:tc>
          <w:tcPr>
            <w:tcW w:w="2639"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651"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427"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427"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706"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c>
          <w:tcPr>
            <w:tcW w:w="1015"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9433" w:type="dxa"/>
            <w:gridSpan w:val="6"/>
            <w:tcBorders>
              <w:top w:val="single" w:color="auto" w:sz="4" w:space="0"/>
              <w:left w:val="single" w:color="auto" w:sz="4" w:space="0"/>
              <w:bottom w:val="single" w:color="auto" w:sz="4" w:space="0"/>
              <w:right w:val="single" w:color="auto" w:sz="4" w:space="0"/>
            </w:tcBorders>
            <w:vAlign w:val="center"/>
          </w:tcPr>
          <w:p>
            <w:pPr>
              <w:spacing w:line="360" w:lineRule="exact"/>
              <w:jc w:val="center"/>
              <w:rPr>
                <w:b/>
                <w:bCs/>
                <w:color w:val="auto"/>
                <w:szCs w:val="21"/>
                <w:highlight w:val="none"/>
              </w:rPr>
            </w:pPr>
            <w:r>
              <w:rPr>
                <w:rFonts w:hint="eastAsia"/>
                <w:b/>
                <w:bCs/>
                <w:color w:val="auto"/>
                <w:szCs w:val="21"/>
                <w:highlight w:val="none"/>
              </w:rPr>
              <w:t>合计</w:t>
            </w:r>
          </w:p>
        </w:tc>
        <w:tc>
          <w:tcPr>
            <w:tcW w:w="1015" w:type="dxa"/>
            <w:tcBorders>
              <w:top w:val="single" w:color="auto" w:sz="4" w:space="0"/>
              <w:left w:val="nil"/>
              <w:bottom w:val="single" w:color="auto" w:sz="4" w:space="0"/>
              <w:right w:val="single" w:color="auto" w:sz="4" w:space="0"/>
            </w:tcBorders>
            <w:vAlign w:val="center"/>
          </w:tcPr>
          <w:p>
            <w:pPr>
              <w:spacing w:line="360" w:lineRule="exact"/>
              <w:jc w:val="center"/>
              <w:rPr>
                <w:color w:val="auto"/>
                <w:szCs w:val="21"/>
                <w:highlight w:val="none"/>
              </w:rPr>
            </w:pPr>
          </w:p>
        </w:tc>
      </w:tr>
    </w:tbl>
    <w:p>
      <w:pPr>
        <w:ind w:firstLine="420" w:firstLineChars="200"/>
        <w:rPr>
          <w:rFonts w:ascii="宋体" w:hAnsi="宋体" w:cs="宋体"/>
          <w:color w:val="auto"/>
          <w:highlight w:val="none"/>
        </w:rPr>
      </w:pPr>
    </w:p>
    <w:p>
      <w:pPr>
        <w:ind w:firstLine="420" w:firstLineChars="200"/>
        <w:rPr>
          <w:rFonts w:ascii="宋体" w:hAnsi="宋体" w:cs="宋体"/>
          <w:color w:val="auto"/>
          <w:highlight w:val="none"/>
        </w:rPr>
      </w:pPr>
      <w:r>
        <w:rPr>
          <w:rFonts w:hint="eastAsia" w:ascii="宋体" w:hAnsi="宋体" w:cs="宋体"/>
          <w:color w:val="auto"/>
          <w:highlight w:val="none"/>
        </w:rPr>
        <w:t>……</w:t>
      </w:r>
    </w:p>
    <w:p>
      <w:pPr>
        <w:ind w:firstLine="420" w:firstLineChars="200"/>
        <w:rPr>
          <w:rFonts w:ascii="宋体" w:hAnsi="宋体" w:cs="宋体"/>
          <w:color w:val="auto"/>
          <w:highlight w:val="none"/>
        </w:rPr>
        <w:sectPr>
          <w:pgSz w:w="11906" w:h="16838"/>
          <w:pgMar w:top="1418" w:right="1133" w:bottom="1246" w:left="1418" w:header="851" w:footer="992" w:gutter="0"/>
          <w:cols w:space="720" w:num="1"/>
          <w:docGrid w:linePitch="312" w:charSpace="0"/>
        </w:sectPr>
      </w:pPr>
    </w:p>
    <w:p>
      <w:pPr>
        <w:keepNext/>
        <w:keepLines/>
        <w:adjustRightInd w:val="0"/>
        <w:snapToGrid w:val="0"/>
        <w:spacing w:line="360" w:lineRule="auto"/>
        <w:jc w:val="center"/>
        <w:outlineLvl w:val="1"/>
        <w:rPr>
          <w:rFonts w:ascii="宋体" w:hAnsi="宋体" w:cs="宋体"/>
          <w:b/>
          <w:bCs/>
          <w:color w:val="auto"/>
          <w:sz w:val="28"/>
          <w:szCs w:val="28"/>
          <w:highlight w:val="none"/>
        </w:rPr>
      </w:pPr>
      <w:bookmarkStart w:id="156" w:name="_Toc210308725"/>
      <w:bookmarkStart w:id="157" w:name="_Toc28206"/>
      <w:bookmarkStart w:id="158" w:name="_Toc210311315"/>
      <w:bookmarkStart w:id="159" w:name="_Toc21308"/>
      <w:r>
        <w:rPr>
          <w:rFonts w:hint="eastAsia" w:ascii="宋体" w:hAnsi="宋体" w:cs="宋体"/>
          <w:color w:val="auto"/>
          <w:sz w:val="28"/>
          <w:szCs w:val="28"/>
          <w:highlight w:val="none"/>
        </w:rPr>
        <w:t>第二节 政府采购合同通用条款</w:t>
      </w:r>
      <w:bookmarkEnd w:id="156"/>
      <w:bookmarkEnd w:id="157"/>
      <w:bookmarkEnd w:id="158"/>
      <w:bookmarkEnd w:id="159"/>
    </w:p>
    <w:p>
      <w:pPr>
        <w:tabs>
          <w:tab w:val="left" w:pos="8820"/>
          <w:tab w:val="left" w:pos="9345"/>
          <w:tab w:val="left" w:pos="9765"/>
        </w:tabs>
        <w:adjustRightInd w:val="0"/>
        <w:snapToGrid w:val="0"/>
        <w:spacing w:line="400" w:lineRule="exact"/>
        <w:jc w:val="left"/>
        <w:rPr>
          <w:rFonts w:ascii="宋体" w:hAnsi="宋体"/>
          <w:b/>
          <w:bCs/>
          <w:color w:val="auto"/>
          <w:sz w:val="24"/>
          <w:highlight w:val="none"/>
        </w:rPr>
      </w:pPr>
      <w:r>
        <w:rPr>
          <w:rFonts w:hint="eastAsia" w:ascii="宋体" w:hAnsi="宋体"/>
          <w:b/>
          <w:color w:val="auto"/>
          <w:sz w:val="24"/>
          <w:highlight w:val="none"/>
        </w:rPr>
        <w:t xml:space="preserve">1. </w:t>
      </w:r>
      <w:r>
        <w:rPr>
          <w:rFonts w:hint="eastAsia" w:ascii="宋体" w:hAnsi="宋体"/>
          <w:b/>
          <w:bCs/>
          <w:color w:val="auto"/>
          <w:sz w:val="24"/>
          <w:highlight w:val="none"/>
        </w:rPr>
        <w:t>定义</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1.1合同当事人</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（1）采购人（以下称甲方）是指使用财政性资金，通过政府采购方式向供应商购买货物及其相关服务的国家机关、事业单位、团体组织。</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（2）供应商（以下称乙方）是指参加政府采购活动并且中标（成交），向采购人提供合同约定的货物及其相关服务的法人、非法人组织或者自然人。</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cs="宋体"/>
          <w:bCs/>
          <w:color w:val="auto"/>
          <w:szCs w:val="21"/>
          <w:highlight w:val="none"/>
        </w:rPr>
        <w:t>依法参与合同缔结或履行，享有权利、承担义务的合同当事人</w:t>
      </w:r>
      <w:r>
        <w:rPr>
          <w:rFonts w:hint="eastAsia" w:ascii="宋体" w:hAnsi="宋体"/>
          <w:color w:val="auto"/>
          <w:szCs w:val="21"/>
          <w:highlight w:val="none"/>
        </w:rPr>
        <w:t>。</w:t>
      </w:r>
    </w:p>
    <w:p>
      <w:pPr>
        <w:tabs>
          <w:tab w:val="left" w:pos="570"/>
          <w:tab w:val="left" w:pos="9240"/>
          <w:tab w:val="left" w:pos="955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cs="宋体"/>
          <w:bCs/>
          <w:color w:val="auto"/>
          <w:szCs w:val="21"/>
          <w:highlight w:val="none"/>
        </w:rPr>
        <w:t>合同当事人意思表示达成一致的任何协议，包括签署的</w:t>
      </w:r>
      <w:r>
        <w:rPr>
          <w:rFonts w:hint="eastAsia" w:ascii="宋体" w:hAnsi="宋体"/>
          <w:color w:val="auto"/>
          <w:szCs w:val="21"/>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Cs w:val="21"/>
          <w:highlight w:val="none"/>
        </w:rPr>
        <w:t>国家法律、行政法规和规章制度规定或合同约定的作为合同组成部分的其他文件</w:t>
      </w:r>
      <w:r>
        <w:rPr>
          <w:rFonts w:hint="eastAsia" w:ascii="宋体" w:hAnsi="宋体"/>
          <w:color w:val="auto"/>
          <w:szCs w:val="21"/>
          <w:highlight w:val="none"/>
        </w:rPr>
        <w:t>。</w:t>
      </w:r>
    </w:p>
    <w:p>
      <w:pPr>
        <w:tabs>
          <w:tab w:val="left" w:pos="570"/>
          <w:tab w:val="left" w:pos="9240"/>
          <w:tab w:val="left" w:pos="955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（2）“合同价款”系指根据本合同规定乙方在全面履行合同义务后甲方应支付给乙方的价款。</w:t>
      </w:r>
    </w:p>
    <w:p>
      <w:pPr>
        <w:tabs>
          <w:tab w:val="left" w:pos="570"/>
          <w:tab w:val="left" w:pos="9240"/>
          <w:tab w:val="left" w:pos="955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（3）“货物”系指乙方根据本合同规定须向甲方提供的各种形态和种类的物品，包括原材料、设备、产品（包括软件）及相关的备品备件、工具、手册及</w:t>
      </w:r>
      <w:r>
        <w:rPr>
          <w:rFonts w:ascii="宋体" w:hAnsi="宋体"/>
          <w:color w:val="auto"/>
          <w:szCs w:val="21"/>
          <w:highlight w:val="none"/>
        </w:rPr>
        <w:t>其他</w:t>
      </w:r>
      <w:r>
        <w:rPr>
          <w:rFonts w:hint="eastAsia" w:ascii="宋体" w:hAnsi="宋体"/>
          <w:color w:val="auto"/>
          <w:szCs w:val="21"/>
          <w:highlight w:val="none"/>
        </w:rPr>
        <w:t>技术资料和材料等。</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（4）“相关服务”系指根据合同规定，乙方应提供的与货物有关的技术、管理和</w:t>
      </w:r>
      <w:r>
        <w:rPr>
          <w:rFonts w:ascii="宋体" w:hAnsi="宋体"/>
          <w:color w:val="auto"/>
          <w:szCs w:val="21"/>
          <w:highlight w:val="none"/>
        </w:rPr>
        <w:t>其他</w:t>
      </w:r>
      <w:r>
        <w:rPr>
          <w:rFonts w:hint="eastAsia" w:ascii="宋体" w:hAnsi="宋体"/>
          <w:color w:val="auto"/>
          <w:szCs w:val="21"/>
          <w:highlight w:val="none"/>
        </w:rPr>
        <w:t>服务，包括但不限于：管理和质量保证、运输、保险、检验、现场准备、安装、集成、调试、培训、维修、废弃处置、技术支持等以及合同中规定乙方应承担的</w:t>
      </w:r>
      <w:r>
        <w:rPr>
          <w:rFonts w:ascii="宋体" w:hAnsi="宋体"/>
          <w:color w:val="auto"/>
          <w:szCs w:val="21"/>
          <w:highlight w:val="none"/>
        </w:rPr>
        <w:t>其他</w:t>
      </w:r>
      <w:r>
        <w:rPr>
          <w:rFonts w:hint="eastAsia" w:ascii="宋体" w:hAnsi="宋体"/>
          <w:color w:val="auto"/>
          <w:szCs w:val="21"/>
          <w:highlight w:val="none"/>
        </w:rPr>
        <w:t>义务。</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（5）“分包”系指中标（成交）供应商按采购文件、投标（响应）文件的规定，根据分包意向协议，将中标（成交）项目中的部分履约内容，分给具有相应资质条件的供应商履行合同的行为。</w:t>
      </w:r>
    </w:p>
    <w:p>
      <w:pPr>
        <w:tabs>
          <w:tab w:val="left" w:pos="570"/>
          <w:tab w:val="left" w:pos="9240"/>
          <w:tab w:val="left" w:pos="955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pPr>
        <w:tabs>
          <w:tab w:val="left" w:pos="570"/>
          <w:tab w:val="left" w:pos="9240"/>
          <w:tab w:val="left" w:pos="9555"/>
        </w:tabs>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（7）其他术语解释，见【</w:t>
      </w:r>
      <w:r>
        <w:rPr>
          <w:rFonts w:hint="eastAsia" w:ascii="宋体" w:hAnsi="宋体"/>
          <w:b/>
          <w:bCs/>
          <w:color w:val="auto"/>
          <w:szCs w:val="21"/>
          <w:highlight w:val="none"/>
        </w:rPr>
        <w:t>政府采购合同专用条款</w:t>
      </w:r>
      <w:r>
        <w:rPr>
          <w:rFonts w:hint="eastAsia" w:ascii="宋体" w:hAnsi="宋体"/>
          <w:color w:val="auto"/>
          <w:szCs w:val="21"/>
          <w:highlight w:val="none"/>
        </w:rPr>
        <w:t>】。</w:t>
      </w:r>
    </w:p>
    <w:p>
      <w:pPr>
        <w:numPr>
          <w:ilvl w:val="0"/>
          <w:numId w:val="6"/>
        </w:num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color w:val="auto"/>
          <w:sz w:val="24"/>
          <w:highlight w:val="none"/>
        </w:rPr>
        <w:t>合同标的及金额</w:t>
      </w:r>
    </w:p>
    <w:p>
      <w:pPr>
        <w:autoSpaceDE w:val="0"/>
        <w:autoSpaceDN w:val="0"/>
        <w:adjustRightInd w:val="0"/>
        <w:snapToGrid w:val="0"/>
        <w:spacing w:line="400" w:lineRule="exact"/>
        <w:ind w:firstLine="420" w:firstLineChars="200"/>
        <w:jc w:val="left"/>
        <w:rPr>
          <w:rFonts w:ascii="宋体" w:hAnsi="宋体"/>
          <w:b/>
          <w:bCs/>
          <w:i/>
          <w:iCs/>
          <w:color w:val="auto"/>
          <w:szCs w:val="21"/>
          <w:highlight w:val="none"/>
        </w:rPr>
      </w:pPr>
      <w:r>
        <w:rPr>
          <w:rFonts w:hint="eastAsia" w:ascii="宋体" w:hAnsi="宋体"/>
          <w:color w:val="auto"/>
          <w:szCs w:val="21"/>
          <w:highlight w:val="none"/>
        </w:rPr>
        <w:t>2.1 合同标的及金额应与中标（成交）结果一致。乙方为履行本合同而发生的所有费用均应包含在合同价款中，甲方不再另行支付</w:t>
      </w:r>
      <w:r>
        <w:rPr>
          <w:rFonts w:ascii="宋体" w:hAnsi="宋体"/>
          <w:color w:val="auto"/>
          <w:szCs w:val="21"/>
          <w:highlight w:val="none"/>
        </w:rPr>
        <w:t>其他</w:t>
      </w:r>
      <w:r>
        <w:rPr>
          <w:rFonts w:hint="eastAsia" w:ascii="宋体" w:hAnsi="宋体"/>
          <w:color w:val="auto"/>
          <w:szCs w:val="21"/>
          <w:highlight w:val="none"/>
        </w:rPr>
        <w:t>任何费用。</w:t>
      </w:r>
    </w:p>
    <w:p>
      <w:pPr>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3. 履行合同的时间、地点和方式</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3.1 </w:t>
      </w:r>
      <w:r>
        <w:rPr>
          <w:rFonts w:hint="eastAsia" w:ascii="宋体" w:hAnsi="宋体" w:cs="宋体"/>
          <w:color w:val="auto"/>
          <w:szCs w:val="21"/>
          <w:highlight w:val="none"/>
        </w:rPr>
        <w:t>乙方应当在约定的时间、地点，按照约定方式履行合同。</w:t>
      </w:r>
    </w:p>
    <w:p>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4. 甲方的权利和义务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4.1</w:t>
      </w:r>
      <w:r>
        <w:rPr>
          <w:rFonts w:ascii="宋体" w:hAnsi="宋体"/>
          <w:color w:val="auto"/>
          <w:szCs w:val="21"/>
          <w:highlight w:val="none"/>
        </w:rPr>
        <w:t xml:space="preserve"> 签署合同后，甲方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r>
        <w:rPr>
          <w:rFonts w:hint="eastAsia" w:ascii="宋体" w:hAnsi="宋体"/>
          <w:color w:val="auto"/>
          <w:szCs w:val="21"/>
          <w:highlight w:val="none"/>
        </w:rPr>
        <w:t>甲方有权对乙方的履约行为进行检查，并</w:t>
      </w:r>
      <w:r>
        <w:rPr>
          <w:rFonts w:ascii="宋体" w:hAnsi="宋体"/>
          <w:color w:val="auto"/>
          <w:szCs w:val="21"/>
          <w:highlight w:val="none"/>
        </w:rPr>
        <w:t>及时确认乙方提交的事项</w:t>
      </w:r>
      <w:r>
        <w:rPr>
          <w:rFonts w:hint="eastAsia" w:ascii="宋体" w:hAnsi="宋体"/>
          <w:color w:val="auto"/>
          <w:szCs w:val="21"/>
          <w:highlight w:val="none"/>
        </w:rPr>
        <w:t>。甲方应当</w:t>
      </w:r>
      <w:r>
        <w:rPr>
          <w:rFonts w:ascii="宋体" w:hAnsi="宋体"/>
          <w:color w:val="auto"/>
          <w:szCs w:val="21"/>
          <w:highlight w:val="none"/>
        </w:rPr>
        <w:t>配合乙方完成</w:t>
      </w:r>
      <w:r>
        <w:rPr>
          <w:rFonts w:hint="eastAsia" w:ascii="宋体" w:hAnsi="宋体"/>
          <w:color w:val="auto"/>
          <w:szCs w:val="21"/>
          <w:highlight w:val="none"/>
        </w:rPr>
        <w:t>相关项目</w:t>
      </w:r>
      <w:r>
        <w:rPr>
          <w:rFonts w:ascii="宋体" w:hAnsi="宋体"/>
          <w:color w:val="auto"/>
          <w:szCs w:val="21"/>
          <w:highlight w:val="none"/>
        </w:rPr>
        <w:t>实施工作。</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4.2 </w:t>
      </w:r>
      <w:r>
        <w:rPr>
          <w:rFonts w:ascii="宋体" w:hAnsi="宋体"/>
          <w:color w:val="auto"/>
          <w:szCs w:val="21"/>
          <w:highlight w:val="none"/>
        </w:rPr>
        <w:t>甲方有权要求乙方按时提交各阶段有关</w:t>
      </w:r>
      <w:r>
        <w:rPr>
          <w:rFonts w:hint="eastAsia" w:ascii="宋体" w:hAnsi="宋体"/>
          <w:color w:val="auto"/>
          <w:szCs w:val="21"/>
          <w:highlight w:val="none"/>
        </w:rPr>
        <w:t>安排计划</w:t>
      </w:r>
      <w:r>
        <w:rPr>
          <w:rFonts w:ascii="宋体" w:hAnsi="宋体"/>
          <w:color w:val="auto"/>
          <w:szCs w:val="21"/>
          <w:highlight w:val="none"/>
        </w:rPr>
        <w:t>，并有权</w:t>
      </w:r>
      <w:r>
        <w:rPr>
          <w:rFonts w:hint="eastAsia" w:ascii="宋体" w:hAnsi="宋体"/>
          <w:color w:val="auto"/>
          <w:szCs w:val="21"/>
          <w:highlight w:val="none"/>
        </w:rPr>
        <w:t>定期核对乙方提供货物数量、规格、质量等内容。甲方</w:t>
      </w:r>
      <w:r>
        <w:rPr>
          <w:rFonts w:ascii="宋体" w:hAnsi="宋体"/>
          <w:color w:val="auto"/>
          <w:szCs w:val="21"/>
          <w:highlight w:val="none"/>
        </w:rPr>
        <w:t>有权督促乙方工作并要求乙方</w:t>
      </w:r>
      <w:r>
        <w:rPr>
          <w:rFonts w:hint="eastAsia" w:ascii="宋体" w:hAnsi="宋体"/>
          <w:color w:val="auto"/>
          <w:szCs w:val="21"/>
          <w:highlight w:val="none"/>
        </w:rPr>
        <w:t>更</w:t>
      </w:r>
      <w:r>
        <w:rPr>
          <w:rFonts w:ascii="宋体" w:hAnsi="宋体"/>
          <w:color w:val="auto"/>
          <w:szCs w:val="21"/>
          <w:highlight w:val="none"/>
        </w:rPr>
        <w:t>换不符合要求的</w:t>
      </w:r>
      <w:r>
        <w:rPr>
          <w:rFonts w:hint="eastAsia" w:ascii="宋体" w:hAnsi="宋体"/>
          <w:color w:val="auto"/>
          <w:szCs w:val="21"/>
          <w:highlight w:val="none"/>
        </w:rPr>
        <w:t>货物</w:t>
      </w:r>
      <w:r>
        <w:rPr>
          <w:rFonts w:ascii="宋体" w:hAnsi="宋体"/>
          <w:color w:val="auto"/>
          <w:szCs w:val="21"/>
          <w:highlight w:val="none"/>
        </w:rPr>
        <w:t>。</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3</w:t>
      </w:r>
      <w:r>
        <w:rPr>
          <w:rFonts w:hint="eastAsia" w:ascii="宋体" w:hAnsi="宋体"/>
          <w:color w:val="auto"/>
          <w:szCs w:val="21"/>
          <w:highlight w:val="none"/>
        </w:rPr>
        <w:t xml:space="preserve"> </w:t>
      </w:r>
      <w:r>
        <w:rPr>
          <w:rFonts w:ascii="宋体" w:hAnsi="宋体"/>
          <w:color w:val="auto"/>
          <w:szCs w:val="21"/>
          <w:highlight w:val="none"/>
        </w:rPr>
        <w:t>甲方</w:t>
      </w:r>
      <w:r>
        <w:rPr>
          <w:rFonts w:hint="eastAsia" w:ascii="宋体" w:hAnsi="宋体"/>
          <w:color w:val="auto"/>
          <w:szCs w:val="21"/>
          <w:highlight w:val="none"/>
        </w:rPr>
        <w:t>有权要求乙方对缺陷部分予以修复，并按合同约定享有货物保修及其他合同约定的权利。</w:t>
      </w:r>
    </w:p>
    <w:p>
      <w:pPr>
        <w:snapToGrid w:val="0"/>
        <w:spacing w:line="400" w:lineRule="exact"/>
        <w:ind w:firstLine="420" w:firstLineChars="200"/>
        <w:rPr>
          <w:rFonts w:eastAsia="华文楷体"/>
          <w:color w:val="auto"/>
          <w:highlight w:val="none"/>
        </w:rPr>
      </w:pPr>
      <w:r>
        <w:rPr>
          <w:rFonts w:ascii="宋体" w:hAnsi="宋体"/>
          <w:color w:val="auto"/>
          <w:szCs w:val="21"/>
          <w:highlight w:val="none"/>
        </w:rPr>
        <w:t>4.4 甲方应当按照合同约定及时对交付的货物进行验收</w:t>
      </w:r>
      <w:r>
        <w:rPr>
          <w:rFonts w:hint="eastAsia" w:ascii="宋体" w:hAnsi="宋体"/>
          <w:color w:val="auto"/>
          <w:szCs w:val="21"/>
          <w:highlight w:val="none"/>
        </w:rPr>
        <w:t>，</w:t>
      </w:r>
      <w:r>
        <w:rPr>
          <w:rFonts w:hint="eastAsia" w:ascii="宋体" w:hAnsi="宋体" w:cs="宋体"/>
          <w:color w:val="auto"/>
          <w:szCs w:val="21"/>
          <w:highlight w:val="none"/>
        </w:rPr>
        <w:t>未</w:t>
      </w:r>
      <w:r>
        <w:rPr>
          <w:rFonts w:hint="eastAsia" w:ascii="宋体" w:hAnsi="宋体"/>
          <w:color w:val="auto"/>
          <w:szCs w:val="21"/>
          <w:highlight w:val="none"/>
        </w:rPr>
        <w:t>在</w:t>
      </w:r>
      <w:r>
        <w:rPr>
          <w:rFonts w:hint="eastAsia" w:ascii="宋体" w:hAnsi="宋体" w:cs="宋体"/>
          <w:b/>
          <w:bCs/>
          <w:color w:val="auto"/>
          <w:szCs w:val="21"/>
          <w:highlight w:val="none"/>
        </w:rPr>
        <w:t>【政府采购合同专用条款】</w:t>
      </w:r>
      <w:r>
        <w:rPr>
          <w:rFonts w:hint="eastAsia" w:ascii="宋体" w:hAnsi="宋体" w:cs="宋体"/>
          <w:color w:val="auto"/>
          <w:szCs w:val="21"/>
          <w:highlight w:val="none"/>
        </w:rPr>
        <w:t>约定的期限内对乙方履约提出任何异议或者向乙方作出任何说明的，</w:t>
      </w:r>
      <w:r>
        <w:rPr>
          <w:rFonts w:hint="eastAsia" w:ascii="宋体" w:hAnsi="宋体"/>
          <w:color w:val="auto"/>
          <w:szCs w:val="21"/>
          <w:highlight w:val="none"/>
        </w:rPr>
        <w:t>视为验收通过。</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w:t>
      </w:r>
      <w:r>
        <w:rPr>
          <w:rFonts w:ascii="宋体" w:hAnsi="宋体"/>
          <w:color w:val="auto"/>
          <w:szCs w:val="21"/>
          <w:highlight w:val="none"/>
        </w:rPr>
        <w:t xml:space="preserve">5 </w:t>
      </w:r>
      <w:r>
        <w:rPr>
          <w:rFonts w:hint="eastAsia" w:ascii="宋体" w:hAnsi="宋体"/>
          <w:color w:val="auto"/>
          <w:szCs w:val="21"/>
          <w:highlight w:val="none"/>
        </w:rPr>
        <w:t>甲方应当根据合同约定及时向乙方支付合同价款</w:t>
      </w:r>
      <w:r>
        <w:rPr>
          <w:rFonts w:ascii="宋体" w:hAnsi="宋体"/>
          <w:color w:val="auto"/>
          <w:szCs w:val="21"/>
          <w:highlight w:val="none"/>
        </w:rPr>
        <w:t>，不得以内部人员变更、履行内部付款流程等为由，拒绝或迟延支付。</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4.6</w:t>
      </w:r>
      <w:r>
        <w:rPr>
          <w:rFonts w:ascii="宋体" w:hAnsi="宋体"/>
          <w:color w:val="auto"/>
          <w:szCs w:val="21"/>
          <w:highlight w:val="none"/>
        </w:rPr>
        <w:t xml:space="preserve"> </w:t>
      </w:r>
      <w:r>
        <w:rPr>
          <w:rFonts w:hint="eastAsia" w:ascii="宋体" w:hAnsi="宋体"/>
          <w:color w:val="auto"/>
          <w:szCs w:val="21"/>
          <w:highlight w:val="none"/>
        </w:rPr>
        <w:t>国家法律法规规定及</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约定应由甲方承担的其他义务和责任。</w:t>
      </w:r>
    </w:p>
    <w:p>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5. 乙方的权利和义务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5.1 </w:t>
      </w:r>
      <w:r>
        <w:rPr>
          <w:rFonts w:ascii="宋体" w:hAnsi="宋体"/>
          <w:color w:val="auto"/>
          <w:szCs w:val="21"/>
          <w:highlight w:val="none"/>
        </w:rPr>
        <w:t>签署合同后，乙方</w:t>
      </w:r>
      <w:r>
        <w:rPr>
          <w:rFonts w:hint="eastAsia" w:ascii="宋体" w:hAnsi="宋体"/>
          <w:color w:val="auto"/>
          <w:szCs w:val="21"/>
          <w:highlight w:val="none"/>
        </w:rPr>
        <w:t>应</w:t>
      </w:r>
      <w:r>
        <w:rPr>
          <w:rFonts w:ascii="宋体" w:hAnsi="宋体"/>
          <w:color w:val="auto"/>
          <w:szCs w:val="21"/>
          <w:highlight w:val="none"/>
        </w:rPr>
        <w:t>确定</w:t>
      </w:r>
      <w:r>
        <w:rPr>
          <w:rFonts w:hint="eastAsia" w:ascii="宋体" w:hAnsi="宋体"/>
          <w:color w:val="auto"/>
          <w:szCs w:val="21"/>
          <w:highlight w:val="none"/>
        </w:rPr>
        <w:t>项目负责人（或项目联系人）</w:t>
      </w:r>
      <w:r>
        <w:rPr>
          <w:rFonts w:ascii="宋体" w:hAnsi="宋体"/>
          <w:color w:val="auto"/>
          <w:szCs w:val="21"/>
          <w:highlight w:val="none"/>
        </w:rPr>
        <w:t>，负责与本合同有关的事务。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2 乙方应按照合同要求</w:t>
      </w:r>
      <w:r>
        <w:rPr>
          <w:rFonts w:hint="eastAsia" w:ascii="宋体" w:hAnsi="宋体"/>
          <w:color w:val="auto"/>
          <w:szCs w:val="21"/>
          <w:highlight w:val="none"/>
        </w:rPr>
        <w:t>履约</w:t>
      </w:r>
      <w:r>
        <w:rPr>
          <w:rFonts w:ascii="宋体" w:hAnsi="宋体"/>
          <w:color w:val="auto"/>
          <w:szCs w:val="21"/>
          <w:highlight w:val="none"/>
        </w:rPr>
        <w:t>，充分合理安排，确保</w:t>
      </w:r>
      <w:r>
        <w:rPr>
          <w:rFonts w:hint="eastAsia" w:ascii="宋体" w:hAnsi="宋体"/>
          <w:color w:val="auto"/>
          <w:szCs w:val="21"/>
          <w:highlight w:val="none"/>
        </w:rPr>
        <w:t>提供的货物及相关服务符合合同有关</w:t>
      </w:r>
      <w:r>
        <w:rPr>
          <w:rFonts w:ascii="宋体" w:hAnsi="宋体"/>
          <w:color w:val="auto"/>
          <w:szCs w:val="21"/>
          <w:highlight w:val="none"/>
        </w:rPr>
        <w:t>要求</w:t>
      </w:r>
      <w:r>
        <w:rPr>
          <w:rFonts w:hint="eastAsia" w:ascii="宋体" w:hAnsi="宋体"/>
          <w:color w:val="auto"/>
          <w:szCs w:val="21"/>
          <w:highlight w:val="none"/>
        </w:rPr>
        <w:t>。接受项目行业管理部门及政府有关部门的指导，配合甲方的履约检查及验收，并</w:t>
      </w:r>
      <w:r>
        <w:rPr>
          <w:rFonts w:ascii="宋体" w:hAnsi="宋体"/>
          <w:color w:val="auto"/>
          <w:szCs w:val="21"/>
          <w:highlight w:val="none"/>
        </w:rPr>
        <w:t>负责项目实施过程中的所有协调工作。</w:t>
      </w:r>
    </w:p>
    <w:p>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3</w:t>
      </w:r>
      <w:r>
        <w:rPr>
          <w:rFonts w:hint="eastAsia" w:ascii="宋体" w:hAnsi="宋体"/>
          <w:color w:val="auto"/>
          <w:szCs w:val="21"/>
          <w:highlight w:val="none"/>
        </w:rPr>
        <w:t>乙方有权根据合同约定向甲方收取合同价款。</w:t>
      </w:r>
    </w:p>
    <w:p>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5.</w:t>
      </w:r>
      <w:r>
        <w:rPr>
          <w:rFonts w:ascii="宋体" w:hAnsi="宋体"/>
          <w:color w:val="auto"/>
          <w:szCs w:val="21"/>
          <w:highlight w:val="none"/>
        </w:rPr>
        <w:t>4</w:t>
      </w:r>
      <w:r>
        <w:rPr>
          <w:rFonts w:hint="eastAsia" w:ascii="宋体" w:hAnsi="宋体"/>
          <w:color w:val="auto"/>
          <w:szCs w:val="21"/>
          <w:highlight w:val="none"/>
        </w:rPr>
        <w:t>国家法律法规规定及</w:t>
      </w:r>
      <w:r>
        <w:rPr>
          <w:rFonts w:hint="eastAsia" w:ascii="宋体" w:hAnsi="宋体" w:cs="宋体"/>
          <w:b/>
          <w:bCs/>
          <w:color w:val="auto"/>
          <w:sz w:val="22"/>
          <w:szCs w:val="20"/>
          <w:highlight w:val="none"/>
        </w:rPr>
        <w:t>【政府采购合同专用条款】</w:t>
      </w:r>
      <w:r>
        <w:rPr>
          <w:rFonts w:hint="eastAsia" w:ascii="宋体" w:hAnsi="宋体"/>
          <w:color w:val="auto"/>
          <w:szCs w:val="21"/>
          <w:highlight w:val="none"/>
        </w:rPr>
        <w:t>约定应由乙方承担的其他义务和责任。</w:t>
      </w:r>
    </w:p>
    <w:p>
      <w:pPr>
        <w:numPr>
          <w:ilvl w:val="0"/>
          <w:numId w:val="7"/>
        </w:num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合同履行</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6.1 甲乙双方应当按照</w:t>
      </w:r>
      <w:r>
        <w:rPr>
          <w:rFonts w:hint="eastAsia" w:ascii="宋体" w:hAnsi="宋体" w:cs="宋体"/>
          <w:b/>
          <w:bCs/>
          <w:color w:val="auto"/>
          <w:szCs w:val="21"/>
          <w:highlight w:val="none"/>
        </w:rPr>
        <w:t>【政府采购合同专用条款】</w:t>
      </w:r>
      <w:r>
        <w:rPr>
          <w:rFonts w:hint="eastAsia" w:ascii="宋体" w:hAnsi="宋体"/>
          <w:color w:val="auto"/>
          <w:szCs w:val="21"/>
          <w:highlight w:val="none"/>
        </w:rPr>
        <w:t>约定顺序履行合同义务；如果没有先后顺序的，应当同时履行。</w:t>
      </w:r>
    </w:p>
    <w:p>
      <w:pPr>
        <w:autoSpaceDE w:val="0"/>
        <w:autoSpaceDN w:val="0"/>
        <w:adjustRightInd w:val="0"/>
        <w:snapToGrid w:val="0"/>
        <w:spacing w:line="400" w:lineRule="exact"/>
        <w:ind w:firstLine="420" w:firstLineChars="200"/>
        <w:jc w:val="left"/>
        <w:rPr>
          <w:color w:val="auto"/>
          <w:highlight w:val="none"/>
        </w:rPr>
      </w:pPr>
      <w:r>
        <w:rPr>
          <w:rFonts w:hint="eastAsia" w:ascii="宋体" w:hAnsi="宋体"/>
          <w:color w:val="auto"/>
          <w:szCs w:val="21"/>
          <w:highlight w:val="none"/>
        </w:rPr>
        <w:t>6.2 甲乙双方按照合同约定顺序履行合同义务时，应当先履行一方未履行的，后履行一方有权拒绝其履行请求。先履行一方履行不符合约定的，后履行一方有权拒绝其相应的履行请求。</w:t>
      </w:r>
    </w:p>
    <w:p>
      <w:pPr>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7. 货物包装、运输、保险和交付要求</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7.1 本合同</w:t>
      </w:r>
      <w:r>
        <w:rPr>
          <w:rFonts w:hint="eastAsia" w:ascii="宋体" w:hAnsi="宋体"/>
          <w:bCs/>
          <w:color w:val="auto"/>
          <w:szCs w:val="21"/>
          <w:highlight w:val="none"/>
        </w:rPr>
        <w:t>涉及商品包装、快递包装的，</w:t>
      </w:r>
      <w:r>
        <w:rPr>
          <w:rFonts w:hint="eastAsia" w:ascii="宋体" w:hAnsi="宋体"/>
          <w:color w:val="auto"/>
          <w:szCs w:val="21"/>
          <w:highlight w:val="none"/>
        </w:rPr>
        <w:t>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包装应适应远距离运输、防潮、防震、防锈和防野蛮装卸等要求，确保货物安全无损地运抵</w:t>
      </w:r>
      <w:r>
        <w:rPr>
          <w:rFonts w:hint="eastAsia" w:ascii="宋体" w:hAnsi="宋体"/>
          <w:b/>
          <w:color w:val="auto"/>
          <w:szCs w:val="21"/>
          <w:highlight w:val="none"/>
        </w:rPr>
        <w:t>【政府采购合同专用条款】</w:t>
      </w:r>
      <w:r>
        <w:rPr>
          <w:rFonts w:hint="eastAsia" w:ascii="宋体" w:hAnsi="宋体"/>
          <w:bCs/>
          <w:color w:val="auto"/>
          <w:szCs w:val="21"/>
          <w:highlight w:val="none"/>
        </w:rPr>
        <w:t>约定的</w:t>
      </w:r>
      <w:r>
        <w:rPr>
          <w:rFonts w:hint="eastAsia" w:ascii="宋体" w:hAnsi="宋体"/>
          <w:color w:val="auto"/>
          <w:szCs w:val="21"/>
          <w:highlight w:val="none"/>
        </w:rPr>
        <w:t>指定现场。</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7.2 除</w:t>
      </w:r>
      <w:r>
        <w:rPr>
          <w:rFonts w:hint="eastAsia" w:ascii="宋体" w:hAnsi="宋体"/>
          <w:b/>
          <w:color w:val="auto"/>
          <w:szCs w:val="21"/>
          <w:highlight w:val="none"/>
        </w:rPr>
        <w:t>【政府采购合同专用条款】</w:t>
      </w:r>
      <w:r>
        <w:rPr>
          <w:rFonts w:hint="eastAsia" w:ascii="宋体" w:hAnsi="宋体"/>
          <w:bCs/>
          <w:color w:val="auto"/>
          <w:szCs w:val="21"/>
          <w:highlight w:val="none"/>
        </w:rPr>
        <w:t>另有约定外，</w:t>
      </w:r>
      <w:r>
        <w:rPr>
          <w:rFonts w:hint="eastAsia" w:ascii="宋体" w:hAnsi="宋体"/>
          <w:color w:val="auto"/>
          <w:szCs w:val="21"/>
          <w:highlight w:val="none"/>
        </w:rPr>
        <w:t>乙方负责办理将货物运抵本合同规定的交货地点，并装卸、交付至甲方的一切运输事项，相关费用应包含在合同价款中。</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7.3 货物保险要求按</w:t>
      </w:r>
      <w:r>
        <w:rPr>
          <w:rFonts w:hint="eastAsia" w:ascii="宋体" w:hAnsi="宋体"/>
          <w:b/>
          <w:color w:val="auto"/>
          <w:szCs w:val="21"/>
          <w:highlight w:val="none"/>
        </w:rPr>
        <w:t>【政府采购合同专用条款】</w:t>
      </w:r>
      <w:r>
        <w:rPr>
          <w:rFonts w:hint="eastAsia" w:ascii="宋体" w:hAnsi="宋体"/>
          <w:bCs/>
          <w:color w:val="auto"/>
          <w:szCs w:val="21"/>
          <w:highlight w:val="none"/>
        </w:rPr>
        <w:t>规定执行</w:t>
      </w:r>
      <w:r>
        <w:rPr>
          <w:rFonts w:hint="eastAsia" w:ascii="宋体" w:hAnsi="宋体"/>
          <w:color w:val="auto"/>
          <w:szCs w:val="21"/>
          <w:highlight w:val="none"/>
        </w:rPr>
        <w:t>。</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7.5 </w:t>
      </w:r>
      <w:r>
        <w:rPr>
          <w:rFonts w:hint="eastAsia" w:ascii="宋体" w:hAnsi="宋体" w:cs="宋体"/>
          <w:color w:val="auto"/>
          <w:szCs w:val="21"/>
          <w:highlight w:val="none"/>
        </w:rPr>
        <w:t>乙方在运输到达之前应提前通知甲方，并提示货物运输装卸的注意事项，甲方配合乙方做好货物的接收工作。</w:t>
      </w:r>
    </w:p>
    <w:p>
      <w:pPr>
        <w:widowControl/>
        <w:autoSpaceDE w:val="0"/>
        <w:autoSpaceDN w:val="0"/>
        <w:adjustRightInd w:val="0"/>
        <w:spacing w:line="400" w:lineRule="exact"/>
        <w:ind w:firstLine="440"/>
        <w:jc w:val="left"/>
        <w:rPr>
          <w:rFonts w:ascii="华文楷体" w:hAnsi="华文楷体" w:eastAsia="华文楷体" w:cs="华文楷体"/>
          <w:color w:val="auto"/>
          <w:kern w:val="0"/>
          <w:szCs w:val="21"/>
          <w:highlight w:val="none"/>
        </w:rPr>
      </w:pPr>
      <w:r>
        <w:rPr>
          <w:rFonts w:hint="eastAsia" w:ascii="宋体" w:hAnsi="宋体"/>
          <w:color w:val="auto"/>
          <w:szCs w:val="21"/>
          <w:highlight w:val="none"/>
        </w:rPr>
        <w:t>7.6 如因包装、运输问题导致货物损毁、丢失或者品质下降，甲方有权要求降价、换货、拒收部分或整批货物，由此产生的费用和损失，均由乙方承担。</w:t>
      </w:r>
    </w:p>
    <w:p>
      <w:pPr>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8. 质量标准和保证</w:t>
      </w:r>
    </w:p>
    <w:p>
      <w:pPr>
        <w:adjustRightInd w:val="0"/>
        <w:snapToGrid w:val="0"/>
        <w:spacing w:line="400" w:lineRule="exact"/>
        <w:ind w:firstLine="420" w:firstLineChars="200"/>
        <w:jc w:val="left"/>
        <w:rPr>
          <w:rFonts w:hAnsi="宋体"/>
          <w:b/>
          <w:color w:val="auto"/>
          <w:highlight w:val="none"/>
        </w:rPr>
      </w:pPr>
      <w:r>
        <w:rPr>
          <w:rFonts w:hint="eastAsia" w:hAnsi="宋体"/>
          <w:color w:val="auto"/>
          <w:highlight w:val="none"/>
        </w:rPr>
        <w:t>8.1 质量标准</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（1）本合同下提供的货物应符合合同</w:t>
      </w:r>
      <w:r>
        <w:rPr>
          <w:rFonts w:hint="eastAsia" w:ascii="宋体" w:hAnsi="宋体" w:cs="宋体"/>
          <w:color w:val="auto"/>
          <w:szCs w:val="21"/>
          <w:highlight w:val="none"/>
        </w:rPr>
        <w:t>约定的品牌、规格型号、技术性能、配置、质量、数量等要求。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adjustRightInd w:val="0"/>
        <w:snapToGrid w:val="0"/>
        <w:spacing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（3）乙方所提供的货物应符合国家有关安全、环保、卫生的规定。</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（4）乙方应向甲方提交所提供货物的技术文件，包括相应的中文技术文件，如：产品目录、图纸、操作手册、使用说明、维护手册或服务指南等。上述文件应包装好随货物一同发运。</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8.2 保证</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（1）乙方应保证提供的货物完全符合合同规定的质量、规格和性能要求。乙方应保证货物在正确安装、正常使用和保养条件下，</w:t>
      </w:r>
      <w:r>
        <w:rPr>
          <w:rFonts w:hint="eastAsia" w:ascii="宋体" w:hAnsi="宋体" w:cs="宋体"/>
          <w:color w:val="auto"/>
          <w:szCs w:val="21"/>
          <w:highlight w:val="none"/>
        </w:rPr>
        <w:t>在其使用寿命期内具备合同约定的性能</w:t>
      </w:r>
      <w:r>
        <w:rPr>
          <w:rFonts w:hint="eastAsia" w:ascii="宋体" w:hAnsi="宋体"/>
          <w:color w:val="auto"/>
          <w:szCs w:val="21"/>
          <w:highlight w:val="none"/>
        </w:rPr>
        <w:t>。存在质量保证期的，货物最终交付验收合格后在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规定或乙方书面承诺（两者以较长的为准）的质量保证期内，本保证保持有效。</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pPr>
        <w:adjustRightInd w:val="0"/>
        <w:snapToGrid w:val="0"/>
        <w:spacing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（5）乙方在约定的时间内未能弥补缺陷，甲方可采取必要的补救措施，但其风险和费用将由乙方承担，甲方根据合同约定对乙方行使的其他权利不受影响。</w:t>
      </w:r>
    </w:p>
    <w:p>
      <w:pPr>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9. 权利瑕疵担保</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9.1 乙方保证对其出售的货物享有合法的权利。</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9.2 </w:t>
      </w:r>
      <w:r>
        <w:rPr>
          <w:rFonts w:hint="eastAsia" w:ascii="宋体" w:hAnsi="宋体" w:cs="宋体"/>
          <w:color w:val="auto"/>
          <w:szCs w:val="15"/>
          <w:highlight w:val="none"/>
        </w:rPr>
        <w:t>乙方保证在交付的货物上不存在抵押权等担保物权。</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9.3 如甲方使用上述货物构成对第三人侵权的，则由乙方承担全部责任。</w:t>
      </w:r>
    </w:p>
    <w:p>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10. 知识产权保护</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10.1 乙方对其所销售的货物应当享有知识产权或经权利人合法授权，保证没有侵犯任何第三人的知识产权等权利。</w:t>
      </w:r>
      <w:r>
        <w:rPr>
          <w:rFonts w:hint="eastAsia" w:ascii="宋体" w:hAnsi="宋体" w:cs="宋体"/>
          <w:color w:val="auto"/>
          <w:szCs w:val="15"/>
          <w:highlight w:val="none"/>
        </w:rPr>
        <w:t>因违反前述约定对第三人构成侵权的，应当由乙方向第三人承担法律责任；甲方依法向第三人赔偿后，有权向乙方追偿。甲方有其他损失的，乙方应当赔偿</w:t>
      </w:r>
      <w:r>
        <w:rPr>
          <w:rFonts w:hint="eastAsia" w:ascii="宋体" w:hAnsi="宋体"/>
          <w:color w:val="auto"/>
          <w:szCs w:val="21"/>
          <w:highlight w:val="none"/>
        </w:rPr>
        <w:t>。</w:t>
      </w:r>
    </w:p>
    <w:p>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11. 保密义务</w:t>
      </w:r>
    </w:p>
    <w:p>
      <w:pPr>
        <w:autoSpaceDE w:val="0"/>
        <w:autoSpaceDN w:val="0"/>
        <w:adjustRightInd w:val="0"/>
        <w:snapToGrid w:val="0"/>
        <w:spacing w:line="400" w:lineRule="exact"/>
        <w:ind w:firstLine="420" w:firstLineChars="200"/>
        <w:jc w:val="left"/>
        <w:rPr>
          <w:rFonts w:ascii="宋体" w:hAnsi="宋体" w:cs="宋体"/>
          <w:color w:val="auto"/>
          <w:szCs w:val="15"/>
          <w:highlight w:val="none"/>
        </w:rPr>
      </w:pPr>
      <w:r>
        <w:rPr>
          <w:rFonts w:hint="eastAsia" w:ascii="宋体" w:hAnsi="宋体" w:cs="宋体"/>
          <w:color w:val="auto"/>
          <w:szCs w:val="15"/>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中约定。</w:t>
      </w:r>
    </w:p>
    <w:p>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12. 合同价款支付</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12.1 合同价款支付按照国库集中支付制度及财政管理相关规定执行。</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pPr>
        <w:spacing w:line="400" w:lineRule="exact"/>
        <w:rPr>
          <w:rFonts w:ascii="宋体" w:hAnsi="宋体"/>
          <w:b/>
          <w:bCs/>
          <w:color w:val="auto"/>
          <w:highlight w:val="none"/>
        </w:rPr>
      </w:pPr>
      <w:r>
        <w:rPr>
          <w:rFonts w:hint="eastAsia" w:ascii="宋体" w:hAnsi="宋体"/>
          <w:b/>
          <w:bCs/>
          <w:color w:val="auto"/>
          <w:highlight w:val="none"/>
        </w:rPr>
        <w:t>13. 履约保证金</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13.1 </w:t>
      </w:r>
      <w:r>
        <w:rPr>
          <w:rFonts w:hint="eastAsia" w:ascii="宋体" w:hAnsi="宋体" w:cs="宋体"/>
          <w:color w:val="auto"/>
          <w:szCs w:val="15"/>
          <w:highlight w:val="none"/>
        </w:rPr>
        <w:t>乙方应当以支票、汇票、本票或者金融机构、担保机构出具的保函等非现金形式提交。</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13.2 如果乙方出现</w:t>
      </w:r>
      <w:r>
        <w:rPr>
          <w:rFonts w:hint="eastAsia" w:ascii="宋体" w:hAnsi="宋体" w:cs="宋体"/>
          <w:b/>
          <w:bCs/>
          <w:color w:val="auto"/>
          <w:szCs w:val="15"/>
          <w:highlight w:val="none"/>
        </w:rPr>
        <w:t>【政府采购合同专用条款】</w:t>
      </w:r>
      <w:r>
        <w:rPr>
          <w:rFonts w:hint="eastAsia" w:ascii="宋体" w:hAnsi="宋体" w:cs="宋体"/>
          <w:color w:val="auto"/>
          <w:szCs w:val="15"/>
          <w:highlight w:val="none"/>
        </w:rPr>
        <w:t>约定情形的</w:t>
      </w:r>
      <w:r>
        <w:rPr>
          <w:rFonts w:hint="eastAsia" w:ascii="宋体" w:hAnsi="宋体"/>
          <w:color w:val="auto"/>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pPr>
        <w:spacing w:line="400" w:lineRule="exact"/>
        <w:ind w:firstLine="420"/>
        <w:rPr>
          <w:color w:val="auto"/>
          <w:highlight w:val="none"/>
        </w:rPr>
      </w:pPr>
      <w:r>
        <w:rPr>
          <w:rFonts w:hint="eastAsia" w:ascii="宋体" w:hAnsi="宋体"/>
          <w:color w:val="auto"/>
          <w:szCs w:val="21"/>
          <w:highlight w:val="none"/>
        </w:rPr>
        <w:t>13.3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pPr>
        <w:autoSpaceDE w:val="0"/>
        <w:autoSpaceDN w:val="0"/>
        <w:adjustRightInd w:val="0"/>
        <w:snapToGrid w:val="0"/>
        <w:spacing w:line="400" w:lineRule="exact"/>
        <w:jc w:val="left"/>
        <w:rPr>
          <w:rFonts w:ascii="宋体" w:hAnsi="宋体"/>
          <w:b/>
          <w:color w:val="auto"/>
          <w:sz w:val="24"/>
          <w:highlight w:val="none"/>
        </w:rPr>
      </w:pPr>
      <w:r>
        <w:rPr>
          <w:rFonts w:hint="eastAsia" w:ascii="宋体" w:hAnsi="宋体"/>
          <w:b/>
          <w:bCs/>
          <w:color w:val="auto"/>
          <w:sz w:val="24"/>
          <w:highlight w:val="none"/>
        </w:rPr>
        <w:t xml:space="preserve">14. </w:t>
      </w:r>
      <w:r>
        <w:rPr>
          <w:rFonts w:hint="eastAsia"/>
          <w:b/>
          <w:color w:val="auto"/>
          <w:sz w:val="24"/>
          <w:highlight w:val="none"/>
        </w:rPr>
        <w:t>售后</w:t>
      </w:r>
      <w:r>
        <w:rPr>
          <w:rFonts w:hint="eastAsia" w:ascii="宋体" w:hAnsi="宋体"/>
          <w:b/>
          <w:color w:val="auto"/>
          <w:sz w:val="24"/>
          <w:highlight w:val="none"/>
        </w:rPr>
        <w:t>服务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14.1 除项目不涉及或采购活动中明确约定无须承担外，乙方还应提供下列服务：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cs="宋体"/>
          <w:b/>
          <w:bCs/>
          <w:color w:val="auto"/>
          <w:szCs w:val="15"/>
          <w:highlight w:val="none"/>
        </w:rPr>
        <w:t>【政府采购合同专用条款】</w:t>
      </w:r>
      <w:r>
        <w:rPr>
          <w:rFonts w:hint="eastAsia" w:ascii="宋体" w:hAnsi="宋体"/>
          <w:color w:val="auto"/>
          <w:szCs w:val="21"/>
          <w:highlight w:val="none"/>
        </w:rPr>
        <w:t>约定的期限内对所有的货物实施运行监督、维修，但前提条件是该服务并不能免除乙方在质量保证期内所承担的义务；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（4）在制造商所在地或指定现场就货物的安装、启动、运营、维护、废弃处置等对甲方操作人员进行培训</w:t>
      </w:r>
      <w:r>
        <w:rPr>
          <w:rFonts w:hint="eastAsia" w:ascii="宋体" w:hAnsi="宋体" w:cs="宋体"/>
          <w:color w:val="auto"/>
          <w:szCs w:val="15"/>
          <w:highlight w:val="none"/>
        </w:rPr>
        <w:t>；</w:t>
      </w:r>
    </w:p>
    <w:p>
      <w:pPr>
        <w:widowControl/>
        <w:autoSpaceDE w:val="0"/>
        <w:autoSpaceDN w:val="0"/>
        <w:adjustRightInd w:val="0"/>
        <w:spacing w:line="400" w:lineRule="exact"/>
        <w:ind w:firstLine="440"/>
        <w:jc w:val="left"/>
        <w:rPr>
          <w:rFonts w:ascii="宋体" w:hAnsi="宋体" w:cs="宋体"/>
          <w:color w:val="auto"/>
          <w:kern w:val="0"/>
          <w:szCs w:val="21"/>
          <w:highlight w:val="none"/>
        </w:rPr>
      </w:pPr>
      <w:r>
        <w:rPr>
          <w:rFonts w:hint="eastAsia" w:ascii="宋体" w:hAnsi="宋体" w:cs="宋体"/>
          <w:color w:val="auto"/>
          <w:kern w:val="0"/>
          <w:szCs w:val="21"/>
          <w:highlight w:val="none"/>
        </w:rPr>
        <w:t>（5）依照法律、行政法规的规定或者按照</w:t>
      </w:r>
      <w:r>
        <w:rPr>
          <w:rFonts w:hint="eastAsia" w:ascii="宋体" w:hAnsi="宋体" w:cs="宋体"/>
          <w:b/>
          <w:bCs/>
          <w:color w:val="auto"/>
          <w:kern w:val="0"/>
          <w:szCs w:val="21"/>
          <w:highlight w:val="none"/>
        </w:rPr>
        <w:t>【政府采购合同专用条款】</w:t>
      </w:r>
      <w:r>
        <w:rPr>
          <w:rFonts w:hint="eastAsia" w:ascii="宋体" w:hAnsi="宋体" w:cs="宋体"/>
          <w:color w:val="auto"/>
          <w:kern w:val="0"/>
          <w:szCs w:val="21"/>
          <w:highlight w:val="none"/>
        </w:rPr>
        <w:t>约定，货物在有效使用年限届满后应予回收的，乙方负有自行或者委托第三人对货物予以回收的义务；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（6）</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14.2 乙方提供的售后服务的费用已包含在合同价款中，甲方不再另行支付。</w:t>
      </w:r>
    </w:p>
    <w:p>
      <w:pPr>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15. 违约责任</w:t>
      </w:r>
    </w:p>
    <w:p>
      <w:pPr>
        <w:adjustRightInd w:val="0"/>
        <w:snapToGrid w:val="0"/>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15.1质量瑕疵的违约责任</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乙方提供的产品不符合合同约定的质量标准或存在产品质量缺陷，甲方有权要求乙方根据</w:t>
      </w:r>
      <w:r>
        <w:rPr>
          <w:rFonts w:hint="eastAsia" w:ascii="宋体" w:hAnsi="宋体"/>
          <w:b/>
          <w:color w:val="auto"/>
          <w:szCs w:val="21"/>
          <w:highlight w:val="none"/>
        </w:rPr>
        <w:t>【政府采购合同专用条款】</w:t>
      </w:r>
      <w:r>
        <w:rPr>
          <w:rFonts w:hint="eastAsia" w:ascii="宋体" w:hAnsi="宋体"/>
          <w:bCs/>
          <w:color w:val="auto"/>
          <w:szCs w:val="21"/>
          <w:highlight w:val="none"/>
        </w:rPr>
        <w:t>要求</w:t>
      </w:r>
      <w:r>
        <w:rPr>
          <w:rFonts w:hint="eastAsia" w:ascii="宋体" w:hAnsi="宋体"/>
          <w:color w:val="auto"/>
          <w:szCs w:val="21"/>
          <w:highlight w:val="none"/>
        </w:rPr>
        <w:t>及时修理、重作、更换，并承担由此给甲方造成的损失。</w:t>
      </w:r>
    </w:p>
    <w:p>
      <w:pPr>
        <w:autoSpaceDE w:val="0"/>
        <w:autoSpaceDN w:val="0"/>
        <w:adjustRightInd w:val="0"/>
        <w:snapToGrid w:val="0"/>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15.2 迟延交货的违约责任</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规定执行。如果涉及公共利益，且赔偿金额无法弥补公共利益损失，甲方可要求继续履行或者采取其他补救措施。</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15.3 迟延支付的违约责任</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15.4其他违约责任根据项目实际需要按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pPr>
        <w:numPr>
          <w:ilvl w:val="0"/>
          <w:numId w:val="8"/>
        </w:numPr>
        <w:autoSpaceDE w:val="0"/>
        <w:autoSpaceDN w:val="0"/>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合同变更、中止与终止</w:t>
      </w:r>
    </w:p>
    <w:p>
      <w:pPr>
        <w:adjustRightInd w:val="0"/>
        <w:snapToGrid w:val="0"/>
        <w:spacing w:line="400" w:lineRule="exact"/>
        <w:jc w:val="left"/>
        <w:rPr>
          <w:rFonts w:ascii="宋体" w:hAnsi="宋体"/>
          <w:color w:val="auto"/>
          <w:szCs w:val="21"/>
          <w:highlight w:val="none"/>
        </w:rPr>
      </w:pPr>
      <w:r>
        <w:rPr>
          <w:rFonts w:hint="eastAsia" w:ascii="宋体" w:hAnsi="宋体"/>
          <w:color w:val="auto"/>
          <w:szCs w:val="21"/>
          <w:highlight w:val="none"/>
        </w:rPr>
        <w:t xml:space="preserve">    16.1合同的变更</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政府采购合同履行中，在不改变合同其他条款的前提下，甲方可以在合同价款10%的范围内追加与合同标的相同的货物，并就此与乙方协商一致后签订补充协议。</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16.2合同的中止</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（1）合同履行过程中因供应商就采购文件、采购过程或结果提起投诉的，甲方认为有必要的，可以中止合同的履行。</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widowControl/>
        <w:autoSpaceDE w:val="0"/>
        <w:autoSpaceDN w:val="0"/>
        <w:adjustRightInd w:val="0"/>
        <w:spacing w:line="400" w:lineRule="exact"/>
        <w:ind w:firstLine="440"/>
        <w:rPr>
          <w:rFonts w:ascii="华文楷体" w:hAnsi="华文楷体" w:eastAsia="华文楷体" w:cs="华文楷体"/>
          <w:color w:val="auto"/>
          <w:kern w:val="0"/>
          <w:szCs w:val="21"/>
          <w:highlight w:val="none"/>
        </w:rPr>
      </w:pPr>
      <w:r>
        <w:rPr>
          <w:rFonts w:hint="eastAsia" w:ascii="宋体" w:hAnsi="宋体" w:cs="宋体"/>
          <w:color w:val="auto"/>
          <w:kern w:val="0"/>
          <w:szCs w:val="21"/>
          <w:highlight w:val="none"/>
        </w:rPr>
        <w:t>（3）乙方分立、合并或者变更住所的，应当及时以书面形式告知甲方。乙方没有及时告知甲方，致使合同履行发生困难的，甲方可以中止合同履行并要求乙方承担由此给甲方造成的损失。</w:t>
      </w:r>
    </w:p>
    <w:p>
      <w:pPr>
        <w:snapToGrid w:val="0"/>
        <w:spacing w:line="400" w:lineRule="exact"/>
        <w:ind w:firstLine="420" w:firstLineChars="200"/>
        <w:jc w:val="left"/>
        <w:rPr>
          <w:color w:val="auto"/>
          <w:highlight w:val="none"/>
        </w:rPr>
      </w:pPr>
      <w:r>
        <w:rPr>
          <w:rFonts w:hint="eastAsia" w:ascii="宋体" w:hAnsi="宋体"/>
          <w:color w:val="auto"/>
          <w:szCs w:val="21"/>
          <w:highlight w:val="none"/>
        </w:rPr>
        <w:t>（4）甲方不得以行政区划调整、政府换届、机构或者职能调整以及相关责任人更替为由中止合同。</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16.3合同的终止</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pPr>
        <w:snapToGrid w:val="0"/>
        <w:spacing w:line="400" w:lineRule="exact"/>
        <w:ind w:firstLine="420" w:firstLineChars="200"/>
        <w:rPr>
          <w:rFonts w:ascii="宋体" w:hAnsi="宋体" w:cs="宋体"/>
          <w:color w:val="auto"/>
          <w:szCs w:val="21"/>
          <w:highlight w:val="none"/>
        </w:rPr>
      </w:pPr>
      <w:r>
        <w:rPr>
          <w:rFonts w:hint="eastAsia" w:ascii="宋体" w:hAnsi="宋体"/>
          <w:color w:val="auto"/>
          <w:szCs w:val="21"/>
          <w:highlight w:val="none"/>
        </w:rPr>
        <w:t>（2）乙方未按合同约定履行，构成根本性违约的，甲方有权终止合同，</w:t>
      </w:r>
      <w:r>
        <w:rPr>
          <w:rFonts w:hint="eastAsia" w:ascii="宋体" w:hAnsi="宋体" w:cs="宋体"/>
          <w:color w:val="auto"/>
          <w:szCs w:val="21"/>
          <w:highlight w:val="none"/>
        </w:rPr>
        <w:t>并追究乙方的违约责任</w:t>
      </w:r>
      <w:r>
        <w:rPr>
          <w:rFonts w:hint="eastAsia" w:ascii="宋体" w:hAnsi="宋体"/>
          <w:color w:val="auto"/>
          <w:szCs w:val="21"/>
          <w:highlight w:val="none"/>
        </w:rPr>
        <w:t>。</w:t>
      </w:r>
    </w:p>
    <w:p>
      <w:pPr>
        <w:widowControl/>
        <w:autoSpaceDE w:val="0"/>
        <w:autoSpaceDN w:val="0"/>
        <w:adjustRightInd w:val="0"/>
        <w:spacing w:line="400" w:lineRule="exact"/>
        <w:ind w:firstLine="440" w:firstLineChars="200"/>
        <w:jc w:val="left"/>
        <w:rPr>
          <w:rFonts w:ascii="宋体" w:hAnsi="宋体" w:eastAsia="华文楷体" w:cs="华文楷体"/>
          <w:color w:val="auto"/>
          <w:kern w:val="0"/>
          <w:sz w:val="22"/>
          <w:szCs w:val="21"/>
          <w:highlight w:val="none"/>
        </w:rPr>
      </w:pPr>
      <w:r>
        <w:rPr>
          <w:rFonts w:hint="eastAsia" w:ascii="宋体" w:hAnsi="宋体" w:eastAsia="华文楷体" w:cs="华文楷体"/>
          <w:color w:val="auto"/>
          <w:kern w:val="0"/>
          <w:sz w:val="22"/>
          <w:szCs w:val="21"/>
          <w:highlight w:val="none"/>
        </w:rPr>
        <w:t xml:space="preserve">16.4 </w:t>
      </w:r>
      <w:r>
        <w:rPr>
          <w:rFonts w:hint="eastAsia" w:ascii="宋体" w:hAnsi="宋体"/>
          <w:color w:val="auto"/>
          <w:szCs w:val="21"/>
          <w:highlight w:val="none"/>
        </w:rPr>
        <w:t>涉及国家利益、社会公共利益的情形</w:t>
      </w:r>
    </w:p>
    <w:p>
      <w:pPr>
        <w:widowControl/>
        <w:autoSpaceDE w:val="0"/>
        <w:autoSpaceDN w:val="0"/>
        <w:adjustRightInd w:val="0"/>
        <w:spacing w:line="400" w:lineRule="exact"/>
        <w:ind w:firstLine="440"/>
        <w:rPr>
          <w:rFonts w:ascii="华文楷体" w:hAnsi="华文楷体" w:eastAsia="华文楷体" w:cs="华文楷体"/>
          <w:color w:val="auto"/>
          <w:kern w:val="0"/>
          <w:szCs w:val="21"/>
          <w:highlight w:val="none"/>
        </w:rPr>
      </w:pPr>
      <w:r>
        <w:rPr>
          <w:rFonts w:hint="eastAsia" w:ascii="宋体" w:hAnsi="宋体" w:cs="宋体"/>
          <w:color w:val="auto"/>
          <w:kern w:val="0"/>
          <w:szCs w:val="21"/>
          <w:highlight w:val="none"/>
        </w:rPr>
        <w:t>政府采购合同继续履行将损害国家利益和社会公共利益的，双方当事人应当变更、中止或者终止合同。有过错的一方应当承担赔偿责任，双方都有过错的，各自承担相应的责任。</w:t>
      </w:r>
    </w:p>
    <w:p>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17. 合同分包</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17.1 乙方不得将合同转包给其他供应商。涉及合同分包的，乙方应根据采购文件和投标（响应）文件规定进行合同分包。</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17.2 乙方执行政府采购政策向中小企业依法分包的，乙方应当按采购文件和投标（响应）文件签订分包意向协议，分包意向协议属于本合同组成部分。</w:t>
      </w:r>
    </w:p>
    <w:p>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18. 不可抗力</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18.1 不可抗力是指合同双方不能预见、不能避免且不能克服的客观情况。</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18.2 任何一方对由于不可抗力造成的部分或全部不能履行合同不承担违约责任。但迟延履行后发生不可抗力的，不能免除责任。</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autoSpaceDE w:val="0"/>
        <w:autoSpaceDN w:val="0"/>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19. 解决争议的方法</w:t>
      </w:r>
    </w:p>
    <w:p>
      <w:pPr>
        <w:widowControl/>
        <w:autoSpaceDE w:val="0"/>
        <w:autoSpaceDN w:val="0"/>
        <w:adjustRightInd w:val="0"/>
        <w:spacing w:line="400" w:lineRule="exact"/>
        <w:ind w:firstLine="440"/>
        <w:rPr>
          <w:rFonts w:ascii="宋体" w:hAnsi="宋体" w:cs="宋体"/>
          <w:color w:val="auto"/>
          <w:kern w:val="0"/>
          <w:szCs w:val="21"/>
          <w:highlight w:val="none"/>
        </w:rPr>
      </w:pPr>
      <w:r>
        <w:rPr>
          <w:rFonts w:hint="eastAsia" w:ascii="宋体" w:hAnsi="宋体" w:cs="宋体"/>
          <w:color w:val="auto"/>
          <w:kern w:val="0"/>
          <w:szCs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pPr>
        <w:widowControl/>
        <w:autoSpaceDE w:val="0"/>
        <w:autoSpaceDN w:val="0"/>
        <w:adjustRightInd w:val="0"/>
        <w:spacing w:line="400" w:lineRule="exact"/>
        <w:ind w:firstLine="440"/>
        <w:rPr>
          <w:rFonts w:ascii="宋体" w:hAnsi="宋体" w:cs="宋体"/>
          <w:color w:val="auto"/>
          <w:kern w:val="0"/>
          <w:szCs w:val="21"/>
          <w:highlight w:val="none"/>
        </w:rPr>
      </w:pPr>
      <w:r>
        <w:rPr>
          <w:rFonts w:hint="eastAsia" w:ascii="宋体" w:hAnsi="宋体" w:cs="宋体"/>
          <w:color w:val="auto"/>
          <w:kern w:val="0"/>
          <w:szCs w:val="21"/>
          <w:highlight w:val="none"/>
        </w:rPr>
        <w:t>19.2 选择仲裁的，应在</w:t>
      </w:r>
      <w:r>
        <w:rPr>
          <w:rFonts w:hint="eastAsia" w:ascii="宋体" w:hAnsi="宋体" w:cs="宋体"/>
          <w:b/>
          <w:bCs/>
          <w:color w:val="auto"/>
          <w:kern w:val="0"/>
          <w:szCs w:val="21"/>
          <w:highlight w:val="none"/>
        </w:rPr>
        <w:t>【政府采购合同专用条款】</w:t>
      </w:r>
      <w:r>
        <w:rPr>
          <w:rFonts w:hint="eastAsia" w:ascii="宋体" w:hAnsi="宋体" w:cs="宋体"/>
          <w:color w:val="auto"/>
          <w:kern w:val="0"/>
          <w:szCs w:val="21"/>
          <w:highlight w:val="none"/>
        </w:rPr>
        <w:t>中明确仲裁机构及仲裁地；通过诉讼方式解决的，可以在</w:t>
      </w:r>
      <w:r>
        <w:rPr>
          <w:rFonts w:hint="eastAsia" w:ascii="宋体" w:hAnsi="宋体" w:cs="宋体"/>
          <w:b/>
          <w:bCs/>
          <w:color w:val="auto"/>
          <w:kern w:val="0"/>
          <w:szCs w:val="21"/>
          <w:highlight w:val="none"/>
        </w:rPr>
        <w:t>【政府采购合同专用条款】</w:t>
      </w:r>
      <w:r>
        <w:rPr>
          <w:rFonts w:hint="eastAsia" w:ascii="宋体" w:hAnsi="宋体" w:cs="宋体"/>
          <w:color w:val="auto"/>
          <w:kern w:val="0"/>
          <w:szCs w:val="21"/>
          <w:highlight w:val="none"/>
        </w:rPr>
        <w:t>中进一步约定选择与争议有实际联系的地点的人民法院管辖，但管辖法院的约定不得违反级别管辖和专属管辖的规定。</w:t>
      </w:r>
    </w:p>
    <w:p>
      <w:pPr>
        <w:widowControl/>
        <w:autoSpaceDE w:val="0"/>
        <w:autoSpaceDN w:val="0"/>
        <w:adjustRightInd w:val="0"/>
        <w:spacing w:line="400" w:lineRule="exact"/>
        <w:ind w:firstLine="440"/>
        <w:rPr>
          <w:rFonts w:ascii="宋体" w:hAnsi="宋体" w:cs="宋体"/>
          <w:color w:val="auto"/>
          <w:kern w:val="0"/>
          <w:szCs w:val="21"/>
          <w:highlight w:val="none"/>
        </w:rPr>
      </w:pPr>
      <w:r>
        <w:rPr>
          <w:rFonts w:hint="eastAsia" w:ascii="宋体" w:hAnsi="宋体" w:cs="宋体"/>
          <w:color w:val="auto"/>
          <w:kern w:val="0"/>
          <w:szCs w:val="21"/>
          <w:highlight w:val="none"/>
        </w:rPr>
        <w:t>19.3 如甲乙双方有争议的事项不影响合同其他部分的履行，在争议解决期间，合同其他部分应当继续履行。</w:t>
      </w:r>
    </w:p>
    <w:p>
      <w:pPr>
        <w:autoSpaceDE w:val="0"/>
        <w:autoSpaceDN w:val="0"/>
        <w:adjustRightInd w:val="0"/>
        <w:snapToGrid w:val="0"/>
        <w:spacing w:line="400" w:lineRule="exact"/>
        <w:jc w:val="left"/>
        <w:rPr>
          <w:rFonts w:ascii="宋体" w:hAnsi="宋体"/>
          <w:color w:val="auto"/>
          <w:sz w:val="24"/>
          <w:highlight w:val="none"/>
        </w:rPr>
      </w:pPr>
      <w:r>
        <w:rPr>
          <w:rFonts w:hint="eastAsia" w:ascii="宋体" w:hAnsi="宋体"/>
          <w:b/>
          <w:color w:val="auto"/>
          <w:sz w:val="24"/>
          <w:highlight w:val="none"/>
        </w:rPr>
        <w:t>20. 政府采购政策</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 xml:space="preserve">20.1 </w:t>
      </w:r>
      <w:r>
        <w:rPr>
          <w:rFonts w:hint="eastAsia" w:ascii="宋体" w:hAnsi="宋体" w:cs="宋体"/>
          <w:color w:val="auto"/>
          <w:highlight w:val="none"/>
          <w:lang w:val="en-GB"/>
        </w:rPr>
        <w:t>本合同应当按照规定执行政府采购政策。</w:t>
      </w:r>
    </w:p>
    <w:p>
      <w:pPr>
        <w:autoSpaceDE w:val="0"/>
        <w:autoSpaceDN w:val="0"/>
        <w:adjustRightInd w:val="0"/>
        <w:snapToGrid w:val="0"/>
        <w:spacing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0.2 本合同依法执行政府采购政策的方式和内容，属于合同履约验收的范围。</w:t>
      </w:r>
      <w:r>
        <w:rPr>
          <w:rFonts w:hint="eastAsia" w:ascii="宋体" w:hAnsi="宋体" w:cs="宋体"/>
          <w:color w:val="auto"/>
          <w:highlight w:val="none"/>
        </w:rPr>
        <w:t>甲乙双方</w:t>
      </w:r>
      <w:r>
        <w:rPr>
          <w:rFonts w:hint="eastAsia" w:ascii="宋体" w:hAnsi="宋体" w:cs="宋体"/>
          <w:color w:val="auto"/>
          <w:highlight w:val="none"/>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pPr>
        <w:spacing w:line="40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21. 法律适用</w:t>
      </w:r>
    </w:p>
    <w:p>
      <w:pPr>
        <w:widowControl/>
        <w:autoSpaceDE w:val="0"/>
        <w:autoSpaceDN w:val="0"/>
        <w:adjustRightInd w:val="0"/>
        <w:spacing w:line="400" w:lineRule="exact"/>
        <w:ind w:firstLine="440"/>
        <w:rPr>
          <w:rFonts w:ascii="宋体" w:hAnsi="宋体" w:cs="宋体"/>
          <w:color w:val="auto"/>
          <w:kern w:val="0"/>
          <w:szCs w:val="21"/>
          <w:highlight w:val="none"/>
        </w:rPr>
      </w:pPr>
      <w:r>
        <w:rPr>
          <w:rFonts w:hint="eastAsia" w:ascii="宋体" w:hAnsi="宋体" w:cs="宋体"/>
          <w:color w:val="auto"/>
          <w:kern w:val="0"/>
          <w:szCs w:val="21"/>
          <w:highlight w:val="none"/>
        </w:rPr>
        <w:t>21.1 本合同的订立、生效、解释、履行及与本合同有关的争议解决，均适用法律、行政法规。</w:t>
      </w:r>
    </w:p>
    <w:p>
      <w:pPr>
        <w:widowControl/>
        <w:autoSpaceDE w:val="0"/>
        <w:autoSpaceDN w:val="0"/>
        <w:adjustRightInd w:val="0"/>
        <w:spacing w:line="400" w:lineRule="exact"/>
        <w:ind w:firstLine="440"/>
        <w:rPr>
          <w:rFonts w:ascii="宋体" w:hAnsi="宋体" w:cs="宋体"/>
          <w:color w:val="auto"/>
          <w:kern w:val="0"/>
          <w:szCs w:val="21"/>
          <w:highlight w:val="none"/>
        </w:rPr>
      </w:pPr>
      <w:r>
        <w:rPr>
          <w:rFonts w:hint="eastAsia" w:ascii="宋体" w:hAnsi="宋体" w:cs="宋体"/>
          <w:color w:val="auto"/>
          <w:kern w:val="0"/>
          <w:szCs w:val="21"/>
          <w:highlight w:val="none"/>
        </w:rPr>
        <w:t>21.2 本合同条款与法律、行政法规的强制性规定不一致的，双方当事人应按照法律、行政法规的强制性规定修改本合同的相关条款。</w:t>
      </w:r>
    </w:p>
    <w:p>
      <w:pPr>
        <w:autoSpaceDE w:val="0"/>
        <w:autoSpaceDN w:val="0"/>
        <w:adjustRightInd w:val="0"/>
        <w:snapToGrid w:val="0"/>
        <w:spacing w:line="400" w:lineRule="exact"/>
        <w:jc w:val="left"/>
        <w:rPr>
          <w:rFonts w:ascii="宋体" w:hAnsi="宋体"/>
          <w:b/>
          <w:color w:val="auto"/>
          <w:sz w:val="24"/>
          <w:highlight w:val="none"/>
        </w:rPr>
      </w:pPr>
      <w:r>
        <w:rPr>
          <w:rFonts w:hint="eastAsia" w:ascii="宋体" w:hAnsi="宋体"/>
          <w:b/>
          <w:color w:val="auto"/>
          <w:sz w:val="24"/>
          <w:highlight w:val="none"/>
        </w:rPr>
        <w:t>22. 通知</w:t>
      </w:r>
    </w:p>
    <w:p>
      <w:pPr>
        <w:widowControl/>
        <w:autoSpaceDE w:val="0"/>
        <w:autoSpaceDN w:val="0"/>
        <w:adjustRightInd w:val="0"/>
        <w:spacing w:line="400" w:lineRule="exact"/>
        <w:ind w:firstLine="440"/>
        <w:rPr>
          <w:rFonts w:ascii="宋体" w:hAnsi="宋体" w:cs="宋体"/>
          <w:color w:val="auto"/>
          <w:kern w:val="0"/>
          <w:szCs w:val="21"/>
          <w:highlight w:val="none"/>
        </w:rPr>
      </w:pPr>
      <w:r>
        <w:rPr>
          <w:rFonts w:hint="eastAsia" w:ascii="宋体" w:hAnsi="宋体" w:cs="宋体"/>
          <w:color w:val="auto"/>
          <w:kern w:val="0"/>
          <w:szCs w:val="21"/>
          <w:highlight w:val="none"/>
        </w:rPr>
        <w:t>22.1 本合同任何一方向对方发出的通知、信件、数据电文等，应当发送至本合同第一部分《政府采购合同协议书》所约定的通讯地址、联系人、联系电话或电子邮箱。</w:t>
      </w:r>
    </w:p>
    <w:p>
      <w:pPr>
        <w:widowControl/>
        <w:autoSpaceDE w:val="0"/>
        <w:autoSpaceDN w:val="0"/>
        <w:adjustRightInd w:val="0"/>
        <w:spacing w:line="400" w:lineRule="exact"/>
        <w:ind w:firstLine="440"/>
        <w:rPr>
          <w:rFonts w:ascii="华文楷体" w:hAnsi="华文楷体" w:eastAsia="华文楷体" w:cs="华文楷体"/>
          <w:color w:val="auto"/>
          <w:kern w:val="0"/>
          <w:szCs w:val="21"/>
          <w:highlight w:val="none"/>
        </w:rPr>
      </w:pPr>
      <w:r>
        <w:rPr>
          <w:rFonts w:hint="eastAsia" w:ascii="宋体" w:hAnsi="宋体" w:cs="宋体"/>
          <w:color w:val="auto"/>
          <w:kern w:val="0"/>
          <w:szCs w:val="21"/>
          <w:highlight w:val="none"/>
        </w:rPr>
        <w:t>22.2 一方当事人变更名称、住所、联系人、联系电话或电子邮箱等信息的，应当在变更后3日内及时书面通知对方，对方实际收到变更通知前的送达仍为有效送达。</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22.3本合同一方给另一方的通知均应采用书面形式，传真或快递送到本合同中规定的对方的地址和办理签收手续。</w:t>
      </w:r>
    </w:p>
    <w:p>
      <w:pPr>
        <w:adjustRightInd w:val="0"/>
        <w:snapToGrid w:val="0"/>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22.4通知以送达之日或通知书中规定的生效之日起生效，两者中以较迟之日为准。</w:t>
      </w:r>
    </w:p>
    <w:p>
      <w:pPr>
        <w:numPr>
          <w:ilvl w:val="0"/>
          <w:numId w:val="9"/>
        </w:numPr>
        <w:adjustRightInd w:val="0"/>
        <w:snapToGrid w:val="0"/>
        <w:spacing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pPr>
        <w:adjustRightInd w:val="0"/>
        <w:snapToGrid w:val="0"/>
        <w:spacing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pPr>
        <w:adjustRightInd w:val="0"/>
        <w:snapToGrid w:val="0"/>
        <w:spacing w:line="400" w:lineRule="exact"/>
        <w:jc w:val="left"/>
        <w:rPr>
          <w:rFonts w:ascii="黑体" w:hAnsi="华文中宋" w:eastAsia="黑体"/>
          <w:color w:val="auto"/>
          <w:sz w:val="28"/>
          <w:szCs w:val="28"/>
          <w:highlight w:val="none"/>
        </w:rPr>
      </w:pPr>
      <w:r>
        <w:rPr>
          <w:rFonts w:hint="eastAsia" w:ascii="宋体" w:hAnsi="宋体"/>
          <w:bCs/>
          <w:color w:val="auto"/>
          <w:szCs w:val="21"/>
          <w:highlight w:val="none"/>
        </w:rPr>
        <w:t xml:space="preserve">    23.2 合同附件与合同正文具有同等的法律效力。</w:t>
      </w:r>
    </w:p>
    <w:p>
      <w:pPr>
        <w:adjustRightInd w:val="0"/>
        <w:snapToGrid w:val="0"/>
        <w:jc w:val="center"/>
        <w:rPr>
          <w:rFonts w:ascii="宋体" w:hAnsi="宋体" w:cs="宋体"/>
          <w:color w:val="auto"/>
          <w:sz w:val="28"/>
          <w:szCs w:val="28"/>
          <w:highlight w:val="none"/>
        </w:rPr>
      </w:pPr>
      <w:r>
        <w:rPr>
          <w:rFonts w:hint="eastAsia" w:ascii="宋体" w:hAnsi="宋体" w:cs="宋体"/>
          <w:color w:val="auto"/>
          <w:sz w:val="28"/>
          <w:szCs w:val="28"/>
          <w:highlight w:val="none"/>
        </w:rPr>
        <w:br w:type="page"/>
      </w:r>
    </w:p>
    <w:p>
      <w:pPr>
        <w:keepNext/>
        <w:keepLines/>
        <w:adjustRightInd w:val="0"/>
        <w:snapToGrid w:val="0"/>
        <w:spacing w:before="260" w:after="260" w:line="413" w:lineRule="auto"/>
        <w:jc w:val="center"/>
        <w:outlineLvl w:val="1"/>
        <w:rPr>
          <w:rFonts w:ascii="宋体" w:hAnsi="宋体" w:cs="宋体"/>
          <w:color w:val="auto"/>
          <w:sz w:val="28"/>
          <w:szCs w:val="28"/>
          <w:highlight w:val="none"/>
        </w:rPr>
      </w:pPr>
      <w:bookmarkStart w:id="160" w:name="_Toc6038"/>
      <w:bookmarkStart w:id="161" w:name="_Toc31461"/>
      <w:bookmarkStart w:id="162" w:name="_Toc210308726"/>
      <w:bookmarkStart w:id="163" w:name="_Toc210311316"/>
      <w:r>
        <w:rPr>
          <w:rFonts w:hint="eastAsia" w:ascii="宋体" w:hAnsi="宋体" w:cs="宋体"/>
          <w:color w:val="auto"/>
          <w:sz w:val="28"/>
          <w:szCs w:val="28"/>
          <w:highlight w:val="none"/>
        </w:rPr>
        <w:t>第三节 政府采购合同专用条款</w:t>
      </w:r>
      <w:bookmarkEnd w:id="160"/>
      <w:bookmarkEnd w:id="161"/>
      <w:bookmarkEnd w:id="162"/>
      <w:bookmarkEnd w:id="163"/>
    </w:p>
    <w:tbl>
      <w:tblPr>
        <w:tblStyle w:val="52"/>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1813"/>
        <w:gridCol w:w="5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第1.2（6）项</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联合体具体要求</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第1.2（7）项</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其他术语解释</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采购文件由采购人负责解释。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第4.4款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履约验收中甲方提出异议或作出说明的期限</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履约验收过程中甲方1或甲方2发现问题，应于3个工作日内提出异议或作出说明。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第4.6款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约定甲方承担的其他义务和责任</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甲方应根据货物交付、安装调试等需求，提前向乙方提供准确的场地信息（如场地面积、承重、电源接口位置等）、货物接收联系人及联系方式，并确保交付场地具备基本履约条件（如通路、通电、通水等）。</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2、若货物需适配甲方现有系统或设备，应在合同约定的期限内提供现有系统参数、设备型号等相关技术资料，确保乙方准确对接。</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在乙方按合同约定送达货物后，甲方应指定专人在约定到货时间内到场核对货物的名称、型号、规格、数量、包装完整性等，确认无误后签署《到货确认单》；若发现货物短缺、破损等问题，应立即书面通知乙方，并共同查验，留存相关证据。</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olor w:val="auto"/>
                <w:szCs w:val="21"/>
                <w:highlight w:val="none"/>
              </w:rPr>
              <w:t>按照合同约定的验收标准（如国家/行业标准、采购文件要求、乙方投标响应承诺等），在货物安装调试完成并达到最终验收状态后，</w:t>
            </w:r>
            <w:r>
              <w:rPr>
                <w:rFonts w:hint="eastAsia" w:ascii="宋体" w:hAnsi="宋体"/>
                <w:color w:val="auto"/>
                <w:szCs w:val="21"/>
                <w:highlight w:val="none"/>
                <w:u w:val="single"/>
              </w:rPr>
              <w:t xml:space="preserve"> </w:t>
            </w:r>
            <w:r>
              <w:rPr>
                <w:rFonts w:hint="eastAsia"/>
                <w:color w:val="auto"/>
                <w:highlight w:val="none"/>
                <w:u w:val="single"/>
              </w:rPr>
              <w:t>5</w:t>
            </w:r>
            <w:r>
              <w:rPr>
                <w:rFonts w:hint="eastAsia" w:ascii="宋体" w:hAnsi="宋体"/>
                <w:color w:val="auto"/>
                <w:szCs w:val="21"/>
                <w:highlight w:val="none"/>
                <w:u w:val="single"/>
              </w:rPr>
              <w:t xml:space="preserve"> </w:t>
            </w:r>
            <w:r>
              <w:rPr>
                <w:rFonts w:hint="eastAsia" w:ascii="宋体" w:hAnsi="宋体"/>
                <w:color w:val="auto"/>
                <w:szCs w:val="21"/>
                <w:highlight w:val="none"/>
              </w:rPr>
              <w:t>个工作日内组织验收小组（成员应包含技术人员、使用部门人员等，必要时可邀请第三方专业机构参与）开展验收</w:t>
            </w:r>
            <w:r>
              <w:rPr>
                <w:rFonts w:hint="eastAsia" w:ascii="宋体" w:hAnsi="宋体" w:cs="宋体"/>
                <w:color w:val="auto"/>
                <w:szCs w:val="21"/>
                <w:highlight w:val="none"/>
              </w:rPr>
              <w:t>。</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5、若甲方因自身需求需变更合同内容（如货物规格、交付时间等），应提前书面通知乙方，并与乙方协商变更方案及相关费用、工期调整，签订补充协议后方可执行，不得单方面强制要求乙方变更履约内容。</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6、对乙方在履约过程中提供的技术资料、价格信息、生产工艺等商业秘密严格保密，不得向任何第三方泄露，合同终止后保密义务依然有效，直至该信息成为公开信息。</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7、若因甲方提供的资料虚假、不准确，导致乙方履约错误或货物无法正常使用，甲方应自行承担后果，不得要求乙方退换货或减免费用，若因此给乙方造成损失，还应承担赔偿责任。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snapToGrid w:val="0"/>
              <w:jc w:val="center"/>
              <w:rPr>
                <w:rFonts w:ascii="宋体" w:hAnsi="宋体" w:cs="宋体"/>
                <w:color w:val="auto"/>
                <w:highlight w:val="none"/>
              </w:rPr>
            </w:pPr>
            <w:r>
              <w:rPr>
                <w:rFonts w:hint="eastAsia" w:ascii="宋体" w:hAnsi="宋体" w:cs="宋体"/>
                <w:color w:val="auto"/>
                <w:szCs w:val="21"/>
                <w:highlight w:val="none"/>
              </w:rPr>
              <w:t>第5.4款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约定乙方承担的其他义务和责任</w:t>
            </w:r>
          </w:p>
        </w:tc>
        <w:tc>
          <w:tcPr>
            <w:tcW w:w="5758" w:type="dxa"/>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1、未经甲方书面同意，乙方不得擅自转让其应履行的合同义务。</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2、乙方应保证所提供货物在使用时不会侵犯任何第三方的专利权、商标权、工业设计权或其他权利。</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3、乙方应按采购文件规定的时间向甲方提供使用货物的有关技术资料。</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5、乙方保证所交付的货物的所有权完全属于乙方且无任何抵押、质押、查封等产权问题。</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6、乙方应按照国家有关法律法规和“三包”规定以及招标文件、投标文件和本合同附件，为甲方提供售后服务。</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7、乙方所提供的货物必须是全新、未使用的原装产品，且在正常安装、使用和保养条件下，其使用寿命期内各项指标均达到招标文件要求。</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乙方不得因投标报价较低，减少设备随机配件（如原装耦合剂、操作手册、维修工具等）的数量或降低品质，配件清单需与投标文件一致，若发现短缺或劣质配件，乙方需在3个工作日内补足或更换，且每出现1次该情形，支付合同总金额 1% 的违约金。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snapToGrid w:val="0"/>
              <w:jc w:val="center"/>
              <w:rPr>
                <w:rFonts w:ascii="宋体" w:hAnsi="宋体" w:cs="宋体"/>
                <w:color w:val="auto"/>
                <w:szCs w:val="21"/>
                <w:highlight w:val="none"/>
              </w:rPr>
            </w:pPr>
            <w:r>
              <w:rPr>
                <w:rFonts w:hint="eastAsia" w:ascii="宋体" w:hAnsi="宋体" w:cs="宋体"/>
                <w:color w:val="auto"/>
                <w:szCs w:val="21"/>
                <w:highlight w:val="none"/>
              </w:rPr>
              <w:t>第6.1款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履行合同义务的顺序</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同时履行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Merge w:val="restart"/>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第7.1款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包装特殊要求</w:t>
            </w:r>
          </w:p>
        </w:tc>
        <w:tc>
          <w:tcPr>
            <w:tcW w:w="5758" w:type="dxa"/>
            <w:vAlign w:val="center"/>
          </w:tcPr>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1、乙方提供的货物均应按招标文件要求的包装材料、包装标准、包装方式进行包装，每一包装单元内应附详细的装箱单和质量合格证。 </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2、使用说明书、质量检验证明书、随配附件和工具以及清单一并附于货物内。</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3、乙方应确保包装要求满足运输距离、防潮、防震、防锈和防破损装卸等要求，以保证货物安全运达甲方指定地点。</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4、乙方提供的货物包装及快递包装应满足《财政部等三部门联合印发商品包装和快递包装政府采购需求标准（试行）》财办库〔2020〕123号文要求。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Merge w:val="continue"/>
            <w:vAlign w:val="center"/>
          </w:tcPr>
          <w:p>
            <w:pPr>
              <w:adjustRightInd w:val="0"/>
              <w:snapToGrid w:val="0"/>
              <w:jc w:val="center"/>
              <w:rPr>
                <w:rFonts w:ascii="宋体" w:hAnsi="宋体" w:cs="宋体"/>
                <w:color w:val="auto"/>
                <w:szCs w:val="21"/>
                <w:highlight w:val="none"/>
              </w:rPr>
            </w:pP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指定现场</w:t>
            </w:r>
          </w:p>
        </w:tc>
        <w:tc>
          <w:tcPr>
            <w:tcW w:w="5758" w:type="dxa"/>
            <w:vAlign w:val="center"/>
          </w:tcPr>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甲方2指定的地点。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第7.2款</w:t>
            </w:r>
          </w:p>
        </w:tc>
        <w:tc>
          <w:tcPr>
            <w:tcW w:w="1813"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运输特殊要求</w:t>
            </w:r>
          </w:p>
        </w:tc>
        <w:tc>
          <w:tcPr>
            <w:tcW w:w="5758" w:type="dxa"/>
            <w:vAlign w:val="center"/>
          </w:tcPr>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1、乙方在货物发运手续办理完毕后二十四小时内或货到甲方2四十八小时前通知甲方2，以准备交付。</w:t>
            </w:r>
          </w:p>
          <w:p>
            <w:pPr>
              <w:spacing w:line="360" w:lineRule="auto"/>
              <w:ind w:firstLine="420" w:firstLineChars="200"/>
              <w:rPr>
                <w:rFonts w:ascii="宋体" w:hAnsi="宋体" w:cs="宋体"/>
                <w:color w:val="auto"/>
                <w:highlight w:val="none"/>
                <w:u w:val="single"/>
              </w:rPr>
            </w:pPr>
            <w:r>
              <w:rPr>
                <w:rFonts w:hint="eastAsia" w:ascii="宋体" w:hAnsi="宋体" w:cs="宋体"/>
                <w:color w:val="auto"/>
                <w:highlight w:val="none"/>
              </w:rPr>
              <w:t>2、货物的运输方式：</w:t>
            </w:r>
            <w:r>
              <w:rPr>
                <w:rFonts w:hint="eastAsia" w:ascii="宋体" w:hAnsi="宋体" w:cs="宋体"/>
                <w:color w:val="auto"/>
                <w:highlight w:val="none"/>
                <w:u w:val="single"/>
              </w:rPr>
              <w:t>乙方自定。</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3、乙方负责货物运输，货物运输合理损耗及计算方法：</w:t>
            </w:r>
            <w:r>
              <w:rPr>
                <w:rFonts w:hint="eastAsia" w:ascii="宋体" w:hAnsi="宋体" w:cs="宋体"/>
                <w:color w:val="auto"/>
                <w:highlight w:val="none"/>
                <w:u w:val="single"/>
              </w:rPr>
              <w:t xml:space="preserve">由乙方负责 </w:t>
            </w:r>
            <w:r>
              <w:rPr>
                <w:rFonts w:hint="eastAsia" w:ascii="宋体" w:hAnsi="宋体" w:cs="宋体"/>
                <w:color w:val="auto"/>
                <w:highlight w:val="none"/>
              </w:rPr>
              <w:t>。</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4、货物在交付甲方2前发生的风险均由乙方负责。</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5、货物在规定的交付期限内由乙方送达甲方2指定的地点并初步查验合格后视为交付，乙方同时需通知甲方2货物已送达。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第7.3款</w:t>
            </w:r>
          </w:p>
        </w:tc>
        <w:tc>
          <w:tcPr>
            <w:tcW w:w="1813"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保险要求</w:t>
            </w:r>
          </w:p>
        </w:tc>
        <w:tc>
          <w:tcPr>
            <w:tcW w:w="5758" w:type="dxa"/>
            <w:vAlign w:val="center"/>
          </w:tcPr>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乙方负责办理运输和保险，将货物运抵交货地点。与运输、保险相关的费用由供应商承担。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第8.2（1）项</w:t>
            </w:r>
          </w:p>
        </w:tc>
        <w:tc>
          <w:tcPr>
            <w:tcW w:w="1813"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质量保证期</w:t>
            </w:r>
          </w:p>
        </w:tc>
        <w:tc>
          <w:tcPr>
            <w:tcW w:w="5758" w:type="dxa"/>
            <w:vAlign w:val="center"/>
          </w:tcPr>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按乙方承诺，但是不得低于国家相关标准。</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（与商务要求一致）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第8.2（3）项</w:t>
            </w:r>
          </w:p>
        </w:tc>
        <w:tc>
          <w:tcPr>
            <w:tcW w:w="1813"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货物质量缺陷响应时间</w:t>
            </w:r>
          </w:p>
        </w:tc>
        <w:tc>
          <w:tcPr>
            <w:tcW w:w="5758" w:type="dxa"/>
            <w:vAlign w:val="center"/>
          </w:tcPr>
          <w:p>
            <w:pPr>
              <w:adjustRightInd w:val="0"/>
              <w:snapToGri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接到甲方通知后在</w:t>
            </w:r>
            <w:r>
              <w:rPr>
                <w:rFonts w:hint="eastAsia" w:ascii="宋体" w:hAnsi="宋体" w:cs="宋体"/>
                <w:color w:val="auto"/>
                <w:highlight w:val="none"/>
                <w:u w:val="single"/>
              </w:rPr>
              <w:t xml:space="preserve">    </w:t>
            </w:r>
            <w:r>
              <w:rPr>
                <w:color w:val="auto"/>
                <w:highlight w:val="none"/>
                <w:u w:val="single"/>
              </w:rPr>
              <w:t xml:space="preserve">    </w:t>
            </w:r>
            <w:r>
              <w:rPr>
                <w:rFonts w:hint="eastAsia"/>
                <w:color w:val="auto"/>
                <w:highlight w:val="none"/>
                <w:u w:val="single"/>
              </w:rPr>
              <w:t>（按乙方投标响应承诺）</w:t>
            </w:r>
            <w:r>
              <w:rPr>
                <w:rFonts w:hint="eastAsia" w:ascii="宋体" w:hAnsi="宋体" w:cs="宋体"/>
                <w:color w:val="auto"/>
                <w:highlight w:val="none"/>
              </w:rPr>
              <w:t>小时内到达甲方现场。</w:t>
            </w:r>
          </w:p>
          <w:p>
            <w:pPr>
              <w:adjustRightInd w:val="0"/>
              <w:snapToGri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（与商务要求一致）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第8.2（6）项</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低价中标设备质量强化保证</w:t>
            </w:r>
          </w:p>
        </w:tc>
        <w:tc>
          <w:tcPr>
            <w:tcW w:w="5758" w:type="dxa"/>
            <w:vAlign w:val="center"/>
          </w:tcPr>
          <w:p>
            <w:pPr>
              <w:adjustRightInd w:val="0"/>
              <w:snapToGrid w:val="0"/>
              <w:spacing w:line="360" w:lineRule="auto"/>
              <w:ind w:firstLine="420" w:firstLineChars="200"/>
              <w:jc w:val="left"/>
              <w:rPr>
                <w:color w:val="auto"/>
                <w:highlight w:val="none"/>
              </w:rPr>
            </w:pPr>
            <w:r>
              <w:rPr>
                <w:rFonts w:hint="eastAsia"/>
                <w:color w:val="auto"/>
                <w:highlight w:val="none"/>
              </w:rPr>
              <w:t>若乙方投标报价属于招标文件第三章投标人须知前附表28.5异常低价审查的情形之一的，乙方需额外提供 “质量兜底承诺函”，明确：</w:t>
            </w:r>
          </w:p>
          <w:p>
            <w:pPr>
              <w:adjustRightInd w:val="0"/>
              <w:snapToGrid w:val="0"/>
              <w:spacing w:line="360" w:lineRule="auto"/>
              <w:ind w:firstLine="420" w:firstLineChars="200"/>
              <w:jc w:val="left"/>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1 \* GB3</w:instrText>
            </w:r>
            <w:r>
              <w:rPr>
                <w:color w:val="auto"/>
                <w:highlight w:val="none"/>
              </w:rPr>
              <w:instrText xml:space="preserve"> </w:instrText>
            </w:r>
            <w:r>
              <w:rPr>
                <w:color w:val="auto"/>
                <w:highlight w:val="none"/>
              </w:rPr>
              <w:fldChar w:fldCharType="separate"/>
            </w:r>
            <w:r>
              <w:rPr>
                <w:rFonts w:hint="eastAsia"/>
                <w:color w:val="auto"/>
                <w:highlight w:val="none"/>
              </w:rPr>
              <w:t>①</w:t>
            </w:r>
            <w:r>
              <w:rPr>
                <w:color w:val="auto"/>
                <w:highlight w:val="none"/>
              </w:rPr>
              <w:fldChar w:fldCharType="end"/>
            </w:r>
            <w:r>
              <w:rPr>
                <w:rFonts w:hint="eastAsia"/>
                <w:color w:val="auto"/>
                <w:highlight w:val="none"/>
              </w:rPr>
              <w:t>质保期内若设备因设计、材料或工艺缺陷导致故障，且维修次数超过2次（单台设备），乙方需免费更换同型号全新设备，更换后设备的质保期重新计算（自更换验收合格之日起算）；</w:t>
            </w:r>
          </w:p>
          <w:p>
            <w:pPr>
              <w:adjustRightInd w:val="0"/>
              <w:snapToGrid w:val="0"/>
              <w:spacing w:line="360" w:lineRule="auto"/>
              <w:ind w:firstLine="420" w:firstLineChars="200"/>
              <w:jc w:val="left"/>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2 \* GB3</w:instrText>
            </w:r>
            <w:r>
              <w:rPr>
                <w:color w:val="auto"/>
                <w:highlight w:val="none"/>
              </w:rPr>
              <w:instrText xml:space="preserve"> </w:instrText>
            </w:r>
            <w:r>
              <w:rPr>
                <w:color w:val="auto"/>
                <w:highlight w:val="none"/>
              </w:rPr>
              <w:fldChar w:fldCharType="separate"/>
            </w:r>
            <w:r>
              <w:rPr>
                <w:rFonts w:hint="eastAsia"/>
                <w:color w:val="auto"/>
                <w:highlight w:val="none"/>
              </w:rPr>
              <w:t>②</w:t>
            </w:r>
            <w:r>
              <w:rPr>
                <w:color w:val="auto"/>
                <w:highlight w:val="none"/>
              </w:rPr>
              <w:fldChar w:fldCharType="end"/>
            </w:r>
            <w:r>
              <w:rPr>
                <w:rFonts w:hint="eastAsia"/>
                <w:color w:val="auto"/>
                <w:highlight w:val="none"/>
              </w:rPr>
              <w:t>质保期结束后</w:t>
            </w:r>
            <w:r>
              <w:rPr>
                <w:color w:val="auto"/>
                <w:highlight w:val="none"/>
              </w:rPr>
              <w:t>2</w:t>
            </w:r>
            <w:r>
              <w:rPr>
                <w:rFonts w:hint="eastAsia"/>
                <w:color w:val="auto"/>
                <w:highlight w:val="none"/>
              </w:rPr>
              <w:t>年内，设备核心部件（主机、球管、探测器）出现故障的，乙方提供维修服务时仅收取成本价（需提供维修成本明细供甲方核查），不得高于同行业平均维修价的</w:t>
            </w:r>
            <w:r>
              <w:rPr>
                <w:color w:val="auto"/>
                <w:highlight w:val="none"/>
              </w:rPr>
              <w:t>80</w:t>
            </w:r>
            <w:r>
              <w:rPr>
                <w:rFonts w:hint="eastAsia"/>
                <w:color w:val="auto"/>
                <w:highlight w:val="none"/>
              </w:rPr>
              <w:t>%；</w:t>
            </w:r>
          </w:p>
          <w:p>
            <w:pPr>
              <w:adjustRightInd w:val="0"/>
              <w:snapToGrid w:val="0"/>
              <w:spacing w:line="360" w:lineRule="auto"/>
              <w:ind w:firstLine="420" w:firstLineChars="200"/>
              <w:jc w:val="left"/>
              <w:rPr>
                <w:rFonts w:ascii="宋体" w:hAnsi="宋体" w:cs="宋体"/>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3 \* GB3</w:instrText>
            </w:r>
            <w:r>
              <w:rPr>
                <w:color w:val="auto"/>
                <w:highlight w:val="none"/>
              </w:rPr>
              <w:instrText xml:space="preserve"> </w:instrText>
            </w:r>
            <w:r>
              <w:rPr>
                <w:color w:val="auto"/>
                <w:highlight w:val="none"/>
              </w:rPr>
              <w:fldChar w:fldCharType="separate"/>
            </w:r>
            <w:r>
              <w:rPr>
                <w:rFonts w:hint="eastAsia"/>
                <w:color w:val="auto"/>
                <w:highlight w:val="none"/>
              </w:rPr>
              <w:t>③</w:t>
            </w:r>
            <w:r>
              <w:rPr>
                <w:color w:val="auto"/>
                <w:highlight w:val="none"/>
              </w:rPr>
              <w:fldChar w:fldCharType="end"/>
            </w:r>
            <w:r>
              <w:rPr>
                <w:rFonts w:hint="eastAsia"/>
                <w:color w:val="auto"/>
                <w:highlight w:val="none"/>
              </w:rPr>
              <w:t>若设备在使用寿命期内（自最终验收合格之日起不少于5年）因质量问题无法正常使用，且维修成本超过设备原值 50% 的，乙方需以设备原值30%的价格为甲方提供同型号替换设备。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widowControl/>
              <w:autoSpaceDE w:val="0"/>
              <w:autoSpaceDN w:val="0"/>
              <w:adjustRightInd w:val="0"/>
              <w:spacing w:line="400" w:lineRule="exact"/>
              <w:ind w:left="420"/>
              <w:jc w:val="center"/>
              <w:rPr>
                <w:rFonts w:ascii="宋体" w:hAnsi="宋体" w:cs="宋体"/>
                <w:color w:val="auto"/>
                <w:kern w:val="0"/>
                <w:sz w:val="22"/>
                <w:szCs w:val="21"/>
                <w:highlight w:val="none"/>
              </w:rPr>
            </w:pPr>
            <w:r>
              <w:rPr>
                <w:rFonts w:hint="eastAsia" w:ascii="宋体" w:hAnsi="宋体" w:cs="宋体"/>
                <w:color w:val="auto"/>
                <w:kern w:val="0"/>
                <w:sz w:val="22"/>
                <w:szCs w:val="21"/>
                <w:highlight w:val="none"/>
              </w:rPr>
              <w:t>第11.1款</w:t>
            </w:r>
          </w:p>
        </w:tc>
        <w:tc>
          <w:tcPr>
            <w:tcW w:w="1813" w:type="dxa"/>
            <w:vAlign w:val="center"/>
          </w:tcPr>
          <w:p>
            <w:pPr>
              <w:adjustRightInd w:val="0"/>
              <w:snapToGrid w:val="0"/>
              <w:rPr>
                <w:rFonts w:ascii="宋体" w:hAnsi="宋体" w:cs="宋体"/>
                <w:color w:val="auto"/>
                <w:szCs w:val="21"/>
                <w:highlight w:val="none"/>
              </w:rPr>
            </w:pPr>
            <w:r>
              <w:rPr>
                <w:rFonts w:hint="eastAsia" w:ascii="宋体" w:hAnsi="宋体" w:cs="宋体"/>
                <w:color w:val="auto"/>
                <w:szCs w:val="21"/>
                <w:highlight w:val="none"/>
              </w:rPr>
              <w:t>其他应当保密的信息</w:t>
            </w:r>
          </w:p>
        </w:tc>
        <w:tc>
          <w:tcPr>
            <w:tcW w:w="5758" w:type="dxa"/>
            <w:vAlign w:val="center"/>
          </w:tcPr>
          <w:p>
            <w:pPr>
              <w:adjustRightInd w:val="0"/>
              <w:snapToGrid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对在合同履行及产品使用过程中获取的相关信息（文件、数据资料等）均应保密。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第12.2款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合同价款支付时间</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olor w:val="auto"/>
                <w:szCs w:val="21"/>
                <w:highlight w:val="none"/>
              </w:rPr>
              <w:t>与政府采购合同协议书一致。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第13.2款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履约保证金不予退还的情形</w:t>
            </w:r>
          </w:p>
        </w:tc>
        <w:tc>
          <w:tcPr>
            <w:tcW w:w="5758" w:type="dxa"/>
            <w:vAlign w:val="center"/>
          </w:tcPr>
          <w:p>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（1）乙方提供虚假凭证的或不履行合同约定的义务或其履行不符合合同的约定，甲方有权扣划全部或相应金额的履约保证金。</w:t>
            </w:r>
          </w:p>
          <w:p>
            <w:pP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（2）若乙方投标报价属于招标文件第三章投标人须知前附表</w:t>
            </w:r>
            <w:r>
              <w:rPr>
                <w:rFonts w:ascii="宋体" w:hAnsi="宋体"/>
                <w:color w:val="auto"/>
                <w:szCs w:val="21"/>
                <w:highlight w:val="none"/>
              </w:rPr>
              <w:t>28.5</w:t>
            </w:r>
            <w:r>
              <w:rPr>
                <w:rFonts w:hint="eastAsia" w:ascii="宋体" w:hAnsi="宋体"/>
                <w:color w:val="auto"/>
                <w:szCs w:val="21"/>
                <w:highlight w:val="none"/>
              </w:rPr>
              <w:t>异常低价审查的情形之一的，且存在以下履约瑕疵，甲方有权按对应比例扣除履约保证金：</w:t>
            </w:r>
          </w:p>
          <w:p>
            <w:pPr>
              <w:adjustRightInd w:val="0"/>
              <w:snapToGri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 1 \* GB3</w:instrText>
            </w:r>
            <w:r>
              <w:rPr>
                <w:rFonts w:ascii="宋体" w:hAnsi="宋体"/>
                <w:color w:val="auto"/>
                <w:szCs w:val="21"/>
                <w:highlight w:val="none"/>
              </w:rPr>
              <w:instrText xml:space="preserve"> </w:instrText>
            </w:r>
            <w:r>
              <w:rPr>
                <w:rFonts w:ascii="宋体" w:hAnsi="宋体"/>
                <w:color w:val="auto"/>
                <w:szCs w:val="21"/>
                <w:highlight w:val="none"/>
              </w:rPr>
              <w:fldChar w:fldCharType="separate"/>
            </w:r>
            <w:r>
              <w:rPr>
                <w:rFonts w:hint="eastAsia" w:ascii="宋体" w:hAnsi="宋体"/>
                <w:color w:val="auto"/>
                <w:szCs w:val="21"/>
                <w:highlight w:val="none"/>
              </w:rPr>
              <w:t>①</w:t>
            </w:r>
            <w:r>
              <w:rPr>
                <w:rFonts w:ascii="宋体" w:hAnsi="宋体"/>
                <w:color w:val="auto"/>
                <w:szCs w:val="21"/>
                <w:highlight w:val="none"/>
              </w:rPr>
              <w:fldChar w:fldCharType="end"/>
            </w:r>
            <w:r>
              <w:rPr>
                <w:rFonts w:hint="eastAsia" w:ascii="宋体" w:hAnsi="宋体"/>
                <w:color w:val="auto"/>
                <w:szCs w:val="21"/>
                <w:highlight w:val="none"/>
              </w:rPr>
              <w:t>设备初步查验不合格率超过5%的，扣除履约保证金的20%；</w:t>
            </w:r>
          </w:p>
          <w:p>
            <w:pPr>
              <w:adjustRightInd w:val="0"/>
              <w:snapToGri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 2 \* GB3</w:instrText>
            </w:r>
            <w:r>
              <w:rPr>
                <w:rFonts w:ascii="宋体" w:hAnsi="宋体"/>
                <w:color w:val="auto"/>
                <w:szCs w:val="21"/>
                <w:highlight w:val="none"/>
              </w:rPr>
              <w:instrText xml:space="preserve"> </w:instrText>
            </w:r>
            <w:r>
              <w:rPr>
                <w:rFonts w:ascii="宋体" w:hAnsi="宋体"/>
                <w:color w:val="auto"/>
                <w:szCs w:val="21"/>
                <w:highlight w:val="none"/>
              </w:rPr>
              <w:fldChar w:fldCharType="separate"/>
            </w:r>
            <w:r>
              <w:rPr>
                <w:rFonts w:hint="eastAsia" w:ascii="宋体" w:hAnsi="宋体"/>
                <w:color w:val="auto"/>
                <w:szCs w:val="21"/>
                <w:highlight w:val="none"/>
              </w:rPr>
              <w:t>②</w:t>
            </w:r>
            <w:r>
              <w:rPr>
                <w:rFonts w:ascii="宋体" w:hAnsi="宋体"/>
                <w:color w:val="auto"/>
                <w:szCs w:val="21"/>
                <w:highlight w:val="none"/>
              </w:rPr>
              <w:fldChar w:fldCharType="end"/>
            </w:r>
            <w:r>
              <w:rPr>
                <w:rFonts w:hint="eastAsia" w:ascii="宋体" w:hAnsi="宋体"/>
                <w:color w:val="auto"/>
                <w:szCs w:val="21"/>
                <w:highlight w:val="none"/>
              </w:rPr>
              <w:t>逾期交付设备超过15天的，扣除履约保证金的30%，乙方未按投标文件承诺的实施方案履行合同义务，且未在甲方要求的合理期限内改正的，甲方1有权扣除履约保证金总额的10%；</w:t>
            </w:r>
          </w:p>
          <w:p>
            <w:pPr>
              <w:adjustRightInd w:val="0"/>
              <w:snapToGri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 3 \* GB3</w:instrText>
            </w:r>
            <w:r>
              <w:rPr>
                <w:rFonts w:ascii="宋体" w:hAnsi="宋体"/>
                <w:color w:val="auto"/>
                <w:szCs w:val="21"/>
                <w:highlight w:val="none"/>
              </w:rPr>
              <w:instrText xml:space="preserve"> </w:instrText>
            </w:r>
            <w:r>
              <w:rPr>
                <w:rFonts w:ascii="宋体" w:hAnsi="宋体"/>
                <w:color w:val="auto"/>
                <w:szCs w:val="21"/>
                <w:highlight w:val="none"/>
              </w:rPr>
              <w:fldChar w:fldCharType="separate"/>
            </w:r>
            <w:r>
              <w:rPr>
                <w:rFonts w:hint="eastAsia" w:ascii="宋体" w:hAnsi="宋体"/>
                <w:color w:val="auto"/>
                <w:szCs w:val="21"/>
                <w:highlight w:val="none"/>
              </w:rPr>
              <w:t>③</w:t>
            </w:r>
            <w:r>
              <w:rPr>
                <w:rFonts w:ascii="宋体" w:hAnsi="宋体"/>
                <w:color w:val="auto"/>
                <w:szCs w:val="21"/>
                <w:highlight w:val="none"/>
              </w:rPr>
              <w:fldChar w:fldCharType="end"/>
            </w:r>
            <w:r>
              <w:rPr>
                <w:rFonts w:hint="eastAsia" w:ascii="宋体" w:hAnsi="宋体"/>
                <w:color w:val="auto"/>
                <w:szCs w:val="21"/>
                <w:highlight w:val="none"/>
              </w:rPr>
              <w:t>最终验收时核心性能指标未达标的，扣除剩余履约保证金。</w:t>
            </w:r>
          </w:p>
          <w:p>
            <w:pPr>
              <w:adjustRightInd w:val="0"/>
              <w:snapToGri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fldChar w:fldCharType="begin"/>
            </w:r>
            <w:r>
              <w:rPr>
                <w:rFonts w:ascii="宋体" w:hAnsi="宋体"/>
                <w:color w:val="auto"/>
                <w:szCs w:val="21"/>
                <w:highlight w:val="none"/>
              </w:rPr>
              <w:instrText xml:space="preserve"> </w:instrText>
            </w:r>
            <w:r>
              <w:rPr>
                <w:rFonts w:hint="eastAsia" w:ascii="宋体" w:hAnsi="宋体"/>
                <w:color w:val="auto"/>
                <w:szCs w:val="21"/>
                <w:highlight w:val="none"/>
              </w:rPr>
              <w:instrText xml:space="preserve">= 4 \* GB3</w:instrText>
            </w:r>
            <w:r>
              <w:rPr>
                <w:rFonts w:ascii="宋体" w:hAnsi="宋体"/>
                <w:color w:val="auto"/>
                <w:szCs w:val="21"/>
                <w:highlight w:val="none"/>
              </w:rPr>
              <w:instrText xml:space="preserve"> </w:instrText>
            </w:r>
            <w:r>
              <w:rPr>
                <w:rFonts w:ascii="宋体" w:hAnsi="宋体"/>
                <w:color w:val="auto"/>
                <w:szCs w:val="21"/>
                <w:highlight w:val="none"/>
              </w:rPr>
              <w:fldChar w:fldCharType="separate"/>
            </w:r>
            <w:r>
              <w:rPr>
                <w:rFonts w:hint="eastAsia" w:ascii="宋体" w:hAnsi="宋体"/>
                <w:color w:val="auto"/>
                <w:szCs w:val="21"/>
                <w:highlight w:val="none"/>
              </w:rPr>
              <w:t>④</w:t>
            </w:r>
            <w:r>
              <w:rPr>
                <w:rFonts w:ascii="宋体" w:hAnsi="宋体"/>
                <w:color w:val="auto"/>
                <w:szCs w:val="21"/>
                <w:highlight w:val="none"/>
              </w:rPr>
              <w:fldChar w:fldCharType="end"/>
            </w:r>
            <w:r>
              <w:rPr>
                <w:rFonts w:hint="eastAsia" w:ascii="宋体" w:hAnsi="宋体"/>
                <w:color w:val="auto"/>
                <w:szCs w:val="21"/>
                <w:highlight w:val="none"/>
              </w:rPr>
              <w:t>履约保证金扣除后，乙方需在5个工作日内补足，逾期未补足的，甲方有权暂停付款，直至补足保证金为止。</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olor w:val="auto"/>
                <w:szCs w:val="21"/>
                <w:highlight w:val="none"/>
              </w:rPr>
              <w:t>（3）若是因乙方原因导致本合同解除（终止）或甲方行使约定（法定）合同解除权解除本合同的，履约担保由甲方予以全额扣除、不予退还。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第13.3款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履约保证金退还时间及逾期退还的违约金</w:t>
            </w:r>
          </w:p>
        </w:tc>
        <w:tc>
          <w:tcPr>
            <w:tcW w:w="5758" w:type="dxa"/>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若乙方投标报价属于招标文件第三章投标人须知前附表28.5异常低价审查情形的，履约保证金退还需附加条件：甲方需确认乙方已完成全部设备的最终验收，且质保期内前2年无重大质量问题（重大质量问题指设备停机超过 7 天或维修次数超过3次）。</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履约保证金符合退还条件的，甲方在收到乙方提交的履约保证金退付申请之日起5天内退还履约保证金，如未在规定时间内退还的，乙方可予以催告，甲方应按中国人民银行发布的同期同类贷款基准利率向乙方支付自催告日期起的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第14.1（3）项</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运行监督、维修期限</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质量保证期</w:t>
            </w:r>
            <w:r>
              <w:rPr>
                <w:rFonts w:hint="eastAsia" w:ascii="宋体" w:hAnsi="宋体"/>
                <w:color w:val="auto"/>
                <w:szCs w:val="21"/>
                <w:highlight w:val="none"/>
              </w:rPr>
              <w:t>（包修期）</w:t>
            </w:r>
            <w:r>
              <w:rPr>
                <w:rFonts w:hint="eastAsia" w:ascii="宋体" w:hAnsi="宋体" w:cs="宋体"/>
                <w:color w:val="auto"/>
                <w:szCs w:val="21"/>
                <w:highlight w:val="none"/>
              </w:rPr>
              <w:t>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第14.1（5）项</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货物回收的约定</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本项目产品不做回收。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第14.1（6）项</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乙方提供的其他服务</w:t>
            </w:r>
          </w:p>
        </w:tc>
        <w:tc>
          <w:tcPr>
            <w:tcW w:w="5758" w:type="dxa"/>
            <w:vAlign w:val="center"/>
          </w:tcPr>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1、乙方负责甲方有关人员的培训。培训时间、地点： </w:t>
            </w:r>
            <w:r>
              <w:rPr>
                <w:rFonts w:hint="eastAsia" w:ascii="宋体" w:hAnsi="宋体" w:cs="宋体"/>
                <w:color w:val="auto"/>
                <w:highlight w:val="none"/>
                <w:u w:val="single"/>
              </w:rPr>
              <w:t>由甲方决定。</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2、本合同执行中相关的一切税费均由乙方承担。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第15.1款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修理、重做、更换相关具体规定</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1、在质保期内因货物本身的质量问题发生故障，乙方应负责免费修理和更换零部件。对达不到技术要求者，根据实际情况，经双方协商，可按以下办法处理：</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（1）更换：</w:t>
            </w:r>
            <w:r>
              <w:rPr>
                <w:rFonts w:hint="eastAsia" w:ascii="宋体" w:hAnsi="宋体" w:cs="宋体"/>
                <w:color w:val="auto"/>
                <w:kern w:val="0"/>
                <w:szCs w:val="21"/>
                <w:highlight w:val="none"/>
              </w:rPr>
              <w:t>球管、探测器</w:t>
            </w:r>
            <w:r>
              <w:rPr>
                <w:rFonts w:hint="eastAsia" w:ascii="宋体" w:hAnsi="宋体" w:cs="宋体"/>
                <w:color w:val="auto"/>
                <w:szCs w:val="21"/>
                <w:highlight w:val="none"/>
              </w:rPr>
              <w:t>只换原装全新不修理。</w:t>
            </w:r>
            <w:r>
              <w:rPr>
                <w:rFonts w:hint="eastAsia" w:ascii="宋体" w:hAnsi="宋体"/>
                <w:color w:val="auto"/>
                <w:szCs w:val="21"/>
                <w:highlight w:val="none"/>
              </w:rPr>
              <w:t>产品出现质量问题、经乙方维修</w:t>
            </w:r>
            <w:r>
              <w:rPr>
                <w:rFonts w:hint="eastAsia"/>
                <w:color w:val="auto"/>
                <w:highlight w:val="none"/>
              </w:rPr>
              <w:t>超过2次</w:t>
            </w:r>
            <w:r>
              <w:rPr>
                <w:rFonts w:hint="eastAsia" w:ascii="宋体" w:hAnsi="宋体"/>
                <w:color w:val="auto"/>
                <w:szCs w:val="21"/>
                <w:highlight w:val="none"/>
              </w:rPr>
              <w:t>仍不能达到合同约定的质量标准的，甲方2有权更换，</w:t>
            </w:r>
            <w:r>
              <w:rPr>
                <w:rFonts w:hint="eastAsia" w:ascii="宋体" w:hAnsi="宋体" w:cs="宋体"/>
                <w:color w:val="auto"/>
                <w:szCs w:val="21"/>
                <w:highlight w:val="none"/>
              </w:rPr>
              <w:t>并由乙方承担所发生的全部费用。</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退货处理：产品出现严重质量问题（如主部件损坏、反应迟钝、无法满足需求、更换一次后仍出现质量问题）的，甲方有权退货，乙方应退还甲方支付的合同款，同时承担退货所发生的所有费用（运输、保险、检验、货款利息及银行手续费等），并视作乙方不能交付货物而须支付违约赔偿金给甲方，甲方还可依法追究乙方的违约责任，且甲方有权终止合同，由此造成的损失由乙方负责。</w:t>
            </w:r>
          </w:p>
          <w:p>
            <w:pPr>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olor w:val="auto"/>
                <w:szCs w:val="21"/>
                <w:highlight w:val="none"/>
              </w:rPr>
              <w:t>2、如在使用过程中出现故障，乙方应在接到甲方2通知后</w:t>
            </w:r>
            <w:r>
              <w:rPr>
                <w:rFonts w:hint="eastAsia" w:ascii="宋体" w:hAnsi="宋体"/>
                <w:color w:val="auto"/>
                <w:szCs w:val="21"/>
                <w:highlight w:val="none"/>
                <w:u w:val="single"/>
              </w:rPr>
              <w:t xml:space="preserve">  </w:t>
            </w:r>
            <w:r>
              <w:rPr>
                <w:color w:val="auto"/>
                <w:highlight w:val="none"/>
                <w:u w:val="single"/>
              </w:rPr>
              <w:t xml:space="preserve">  </w:t>
            </w:r>
            <w:r>
              <w:rPr>
                <w:rFonts w:hint="eastAsia"/>
                <w:color w:val="auto"/>
                <w:highlight w:val="none"/>
                <w:u w:val="single"/>
              </w:rPr>
              <w:t>（按乙方投标响应承诺）</w:t>
            </w:r>
            <w:r>
              <w:rPr>
                <w:rFonts w:hint="eastAsia" w:ascii="宋体" w:hAnsi="宋体"/>
                <w:color w:val="auto"/>
                <w:szCs w:val="21"/>
                <w:highlight w:val="none"/>
              </w:rPr>
              <w:t>小时内响应，</w:t>
            </w:r>
            <w:r>
              <w:rPr>
                <w:rFonts w:hint="eastAsia" w:ascii="宋体" w:hAnsi="宋体"/>
                <w:color w:val="auto"/>
                <w:szCs w:val="21"/>
                <w:highlight w:val="none"/>
                <w:u w:val="single"/>
              </w:rPr>
              <w:t xml:space="preserve">    </w:t>
            </w:r>
            <w:r>
              <w:rPr>
                <w:rFonts w:hint="eastAsia"/>
                <w:color w:val="auto"/>
                <w:highlight w:val="none"/>
                <w:u w:val="single"/>
              </w:rPr>
              <w:t>（按乙方投标响应承诺）</w:t>
            </w:r>
            <w:r>
              <w:rPr>
                <w:rFonts w:hint="eastAsia" w:ascii="宋体" w:hAnsi="宋体"/>
                <w:color w:val="auto"/>
                <w:szCs w:val="21"/>
                <w:highlight w:val="none"/>
              </w:rPr>
              <w:t>小时内解决故障，</w:t>
            </w:r>
            <w:r>
              <w:rPr>
                <w:rFonts w:hint="eastAsia" w:ascii="宋体" w:hAnsi="宋体" w:cs="宋体"/>
                <w:color w:val="auto"/>
                <w:szCs w:val="21"/>
                <w:highlight w:val="none"/>
              </w:rPr>
              <w:t>否则须在</w:t>
            </w:r>
            <w:r>
              <w:rPr>
                <w:rFonts w:hint="eastAsia"/>
                <w:color w:val="auto"/>
                <w:highlight w:val="none"/>
              </w:rPr>
              <w:t>60日</w:t>
            </w:r>
            <w:r>
              <w:rPr>
                <w:rFonts w:hint="eastAsia" w:ascii="宋体" w:hAnsi="宋体" w:cs="宋体"/>
                <w:color w:val="auto"/>
                <w:szCs w:val="21"/>
                <w:highlight w:val="none"/>
              </w:rPr>
              <w:t>内提供与原设备技术参数要求相同或高于原设备技术参数要求的备用产品，以保证甲方2的正常工作。乙方在接到甲方2通知后拒不响应或解决故障的，甲方2有权聘请第三方进行维修，由此产生的费用由乙方承担。</w:t>
            </w:r>
          </w:p>
          <w:p>
            <w:pPr>
              <w:widowControl/>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在质保期内，乙方应对货物出现的质量及安全问题负责处理解决并承担一切费用。如有产品质量争议，则按照国家相关法律法规及行业标准、地方标准等标准、规范解决（上述标准、规范有出入的，以较严格为准），如采购文件中明确对货物提出更高的技术要求的，乙方还应当确保符合采购文件提出的技术要求。</w:t>
            </w:r>
          </w:p>
          <w:p>
            <w:pPr>
              <w:widowControl/>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4、上述的货物因人为因素出现的故障不在免费保修范围内。超过质保期的机器设备，终生维修，维修时只收取部件成本费。</w:t>
            </w:r>
          </w:p>
          <w:p>
            <w:pPr>
              <w:widowControl/>
              <w:adjustRightIn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5、乙方提供的服务承诺和售后服务及质保期责任等其他具体约定事项。</w:t>
            </w:r>
          </w:p>
          <w:p>
            <w:pPr>
              <w:widowControl/>
              <w:adjustRightInd w:val="0"/>
              <w:spacing w:line="360" w:lineRule="auto"/>
              <w:ind w:firstLine="420" w:firstLineChars="200"/>
              <w:jc w:val="left"/>
              <w:rPr>
                <w:rFonts w:ascii="宋体" w:hAnsi="宋体" w:cs="宋体"/>
                <w:color w:val="auto"/>
                <w:kern w:val="0"/>
                <w:sz w:val="22"/>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乙方</w:t>
            </w:r>
            <w:r>
              <w:rPr>
                <w:rFonts w:hint="eastAsia" w:ascii="宋体" w:hAnsi="宋体" w:cs="宋体"/>
                <w:color w:val="auto"/>
                <w:szCs w:val="21"/>
                <w:highlight w:val="none"/>
              </w:rPr>
              <w:t>在设备验收合格之日起一年内对同一故障进行2次维修仍不能达到合同约定的质量标准和厂家的质量标准，</w:t>
            </w:r>
            <w:r>
              <w:rPr>
                <w:rFonts w:hint="eastAsia" w:ascii="宋体" w:hAnsi="宋体"/>
                <w:color w:val="auto"/>
                <w:szCs w:val="21"/>
                <w:highlight w:val="none"/>
              </w:rPr>
              <w:t>乙方需免费更换该台设备的核心部件（如主机、球管、探测器），更换后部件的质保期重新计算。若更换后甲方仍无法正常使用，乙方需优先提供同品牌型号的备用设备（备用设备到位时间不得超过48小时），直至原设备修复完成并符合约定标准；若无法按时提供备用设备，乙方需按该台设备日使用价值（设备单价÷365）的 2 倍向甲方支付违约金（日使用价值不足1000元的，按1000元/日计算）</w:t>
            </w:r>
            <w:r>
              <w:rPr>
                <w:rFonts w:hint="eastAsia" w:ascii="宋体" w:hAnsi="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第15.2（2）项</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迟延交货赔偿费</w:t>
            </w:r>
          </w:p>
        </w:tc>
        <w:tc>
          <w:tcPr>
            <w:tcW w:w="5758" w:type="dxa"/>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逾期交货的，应向甲方1支付违约金，标准为每天向甲方偿付违约货款额0.4‰的违约金，但违约金累计不得超过延期货款额5%。如果迟延交货超过30天，甲方1有权解除合同，且乙方必须退还甲方1已支付的合同预付款。</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2.乙方未按本合同和投标文件中规定的服务承诺提供售后服务的，乙方应按本合同总金额 5%向甲方1支付违约金。</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3.乙方提供的货物在质量保证期内，因设计、工艺或材料的缺陷和其他质量原因造成的问题，由乙方负责，费用从剩余支付货款中扣除，剩余支付货款不足以支付的，由乙方另行支付。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第15.2（2）项</w:t>
            </w:r>
          </w:p>
        </w:tc>
        <w:tc>
          <w:tcPr>
            <w:tcW w:w="1813" w:type="dxa"/>
            <w:vAlign w:val="center"/>
          </w:tcPr>
          <w:p>
            <w:pPr>
              <w:adjustRightInd w:val="0"/>
              <w:snapToGrid w:val="0"/>
              <w:jc w:val="left"/>
              <w:rPr>
                <w:rFonts w:ascii="宋体" w:hAnsi="宋体" w:cs="宋体"/>
                <w:color w:val="auto"/>
                <w:szCs w:val="21"/>
                <w:highlight w:val="none"/>
              </w:rPr>
            </w:pPr>
            <w:r>
              <w:rPr>
                <w:rFonts w:hint="eastAsia"/>
                <w:color w:val="auto"/>
                <w:szCs w:val="21"/>
                <w:highlight w:val="none"/>
              </w:rPr>
              <w:t>低价中标后的迟延交货加重责任</w:t>
            </w:r>
          </w:p>
        </w:tc>
        <w:tc>
          <w:tcPr>
            <w:tcW w:w="5758" w:type="dxa"/>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若乙方投标报价属于招标文件第三章投标人须知前附表28.5异常低价审查情形的，其逾期交货违约金标准调整为：每逾期1天，按违约货款额的 0.8‰支付违约金（原标准为 0.4‰），违约金累计上限调整为延期货款额的10%（原上限为 5%）；逾期超过 20 天的，甲方有权直接解除合同，无需另行催告。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第15.3款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逾期付款利息</w:t>
            </w:r>
          </w:p>
        </w:tc>
        <w:tc>
          <w:tcPr>
            <w:tcW w:w="5758" w:type="dxa"/>
            <w:vAlign w:val="center"/>
          </w:tcPr>
          <w:p>
            <w:pPr>
              <w:adjustRightInd w:val="0"/>
              <w:snapToGrid w:val="0"/>
              <w:spacing w:line="360" w:lineRule="auto"/>
              <w:ind w:firstLine="420" w:firstLineChars="200"/>
              <w:jc w:val="left"/>
              <w:rPr>
                <w:rFonts w:ascii="宋体" w:hAnsi="宋体" w:cs="宋体"/>
                <w:color w:val="auto"/>
                <w:szCs w:val="21"/>
                <w:highlight w:val="none"/>
                <w:u w:val="single"/>
              </w:rPr>
            </w:pPr>
            <w:r>
              <w:rPr>
                <w:color w:val="auto"/>
                <w:highlight w:val="none"/>
              </w:rPr>
              <w:t>甲方（甲方</w:t>
            </w:r>
            <w:r>
              <w:rPr>
                <w:rFonts w:hint="eastAsia"/>
                <w:color w:val="auto"/>
                <w:highlight w:val="none"/>
              </w:rPr>
              <w:t>1</w:t>
            </w:r>
            <w:r>
              <w:rPr>
                <w:color w:val="auto"/>
                <w:highlight w:val="none"/>
              </w:rPr>
              <w:t>、甲方</w:t>
            </w:r>
            <w:r>
              <w:rPr>
                <w:rFonts w:hint="eastAsia"/>
                <w:color w:val="auto"/>
                <w:highlight w:val="none"/>
              </w:rPr>
              <w:t>2</w:t>
            </w:r>
            <w:r>
              <w:rPr>
                <w:color w:val="auto"/>
                <w:highlight w:val="none"/>
              </w:rPr>
              <w:t>）</w:t>
            </w:r>
            <w:r>
              <w:rPr>
                <w:color w:val="auto"/>
                <w:szCs w:val="21"/>
                <w:highlight w:val="none"/>
              </w:rPr>
              <w:t>延</w:t>
            </w:r>
            <w:r>
              <w:rPr>
                <w:rFonts w:hint="eastAsia"/>
                <w:color w:val="auto"/>
                <w:szCs w:val="21"/>
                <w:highlight w:val="none"/>
              </w:rPr>
              <w:t>期支</w:t>
            </w:r>
            <w:r>
              <w:rPr>
                <w:color w:val="auto"/>
                <w:szCs w:val="21"/>
                <w:highlight w:val="none"/>
              </w:rPr>
              <w:t>付货款的，</w:t>
            </w:r>
            <w:r>
              <w:rPr>
                <w:color w:val="auto"/>
                <w:highlight w:val="none"/>
              </w:rPr>
              <w:t>违约责任方应当</w:t>
            </w:r>
            <w:r>
              <w:rPr>
                <w:color w:val="auto"/>
                <w:szCs w:val="21"/>
                <w:highlight w:val="none"/>
              </w:rPr>
              <w:t>向乙方</w:t>
            </w:r>
            <w:r>
              <w:rPr>
                <w:rFonts w:hint="eastAsia"/>
                <w:color w:val="auto"/>
                <w:szCs w:val="21"/>
                <w:highlight w:val="none"/>
              </w:rPr>
              <w:t>支</w:t>
            </w:r>
            <w:r>
              <w:rPr>
                <w:color w:val="auto"/>
                <w:szCs w:val="21"/>
                <w:highlight w:val="none"/>
              </w:rPr>
              <w:t>付延期滞纳金</w:t>
            </w:r>
            <w:r>
              <w:rPr>
                <w:rFonts w:hint="eastAsia"/>
                <w:color w:val="auto"/>
                <w:szCs w:val="21"/>
                <w:highlight w:val="none"/>
              </w:rPr>
              <w:t>，标准为每天向乙方偿付延期货款额0.01‰违约金</w:t>
            </w:r>
            <w:r>
              <w:rPr>
                <w:color w:val="auto"/>
                <w:szCs w:val="21"/>
                <w:highlight w:val="none"/>
              </w:rPr>
              <w:t>，但滞纳金累计不得超过延期货款额5%</w:t>
            </w:r>
            <w:r>
              <w:rPr>
                <w:rFonts w:hint="eastAsia" w:ascii="宋体" w:hAnsi="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第15.4款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color w:val="auto"/>
                <w:szCs w:val="21"/>
                <w:highlight w:val="none"/>
              </w:rPr>
              <w:t>其他违约责任</w:t>
            </w:r>
          </w:p>
        </w:tc>
        <w:tc>
          <w:tcPr>
            <w:tcW w:w="5758" w:type="dxa"/>
            <w:vAlign w:val="center"/>
          </w:tcPr>
          <w:p>
            <w:pPr>
              <w:spacing w:line="360" w:lineRule="auto"/>
              <w:ind w:firstLine="420" w:firstLineChars="200"/>
              <w:rPr>
                <w:color w:val="auto"/>
                <w:highlight w:val="none"/>
              </w:rPr>
            </w:pPr>
            <w:r>
              <w:rPr>
                <w:color w:val="auto"/>
                <w:highlight w:val="none"/>
              </w:rPr>
              <w:t>1</w:t>
            </w:r>
            <w:r>
              <w:rPr>
                <w:rFonts w:hint="eastAsia"/>
                <w:color w:val="auto"/>
                <w:highlight w:val="none"/>
              </w:rPr>
              <w:t>、除了本合同主文已明确可不作为违约的情形外，违反本合同任何条款均属违约，违约方应承担本合同约定的违约责任以及因违约行为造成的各方损失（违约金不足以弥补相对方损失的应按损失赔偿相对方），但仍应履行因违约行为导致未能履行到位的义务。</w:t>
            </w:r>
          </w:p>
          <w:p>
            <w:pPr>
              <w:spacing w:line="360" w:lineRule="auto"/>
              <w:ind w:firstLine="420" w:firstLineChars="200"/>
              <w:rPr>
                <w:color w:val="auto"/>
                <w:highlight w:val="none"/>
              </w:rPr>
            </w:pPr>
            <w:r>
              <w:rPr>
                <w:rFonts w:hint="eastAsia"/>
                <w:color w:val="auto"/>
                <w:highlight w:val="none"/>
              </w:rPr>
              <w:t xml:space="preserve">2、有下列情形之一的（其中的“以上”均包含本数），乙方应按合同总金额的20%向甲方支付违约金，同时，甲方可单方解除本合同： </w:t>
            </w:r>
          </w:p>
          <w:p>
            <w:pPr>
              <w:spacing w:line="360" w:lineRule="auto"/>
              <w:ind w:firstLine="420" w:firstLineChars="200"/>
              <w:rPr>
                <w:color w:val="auto"/>
                <w:highlight w:val="none"/>
              </w:rPr>
            </w:pPr>
            <w:r>
              <w:rPr>
                <w:rFonts w:hint="eastAsia"/>
                <w:color w:val="auto"/>
                <w:highlight w:val="none"/>
              </w:rPr>
              <w:t>（1）在签订本合同后发现乙方不具备或不再具备与履行本合同相关的资质（资格）的，或乙方在本项目政府采购时用于中标的资格部分或完全丧失的。</w:t>
            </w:r>
          </w:p>
          <w:p>
            <w:pPr>
              <w:spacing w:line="360" w:lineRule="auto"/>
              <w:ind w:firstLine="420" w:firstLineChars="200"/>
              <w:rPr>
                <w:color w:val="auto"/>
                <w:highlight w:val="none"/>
              </w:rPr>
            </w:pPr>
            <w:r>
              <w:rPr>
                <w:rFonts w:hint="eastAsia"/>
                <w:color w:val="auto"/>
                <w:highlight w:val="none"/>
              </w:rPr>
              <w:t>（2）乙方终止履行合同的，或乙方明确表示、以行为表明不履行义务的，或因乙方原因导致甲方无法实现合同目的的。</w:t>
            </w:r>
          </w:p>
          <w:p>
            <w:pPr>
              <w:spacing w:line="360" w:lineRule="auto"/>
              <w:ind w:firstLine="420" w:firstLineChars="200"/>
              <w:rPr>
                <w:color w:val="auto"/>
                <w:highlight w:val="none"/>
              </w:rPr>
            </w:pPr>
            <w:r>
              <w:rPr>
                <w:rFonts w:hint="eastAsia"/>
                <w:color w:val="auto"/>
                <w:highlight w:val="none"/>
              </w:rPr>
              <w:t>（3）乙方交付时间逾期达约定交付时间50%以上仍无法交付项目成果的，或乙方迟延履行义务经甲方书面催告后在5日内仍未履行的。</w:t>
            </w:r>
          </w:p>
          <w:p>
            <w:pPr>
              <w:spacing w:line="360" w:lineRule="auto"/>
              <w:ind w:firstLine="420" w:firstLineChars="200"/>
              <w:rPr>
                <w:color w:val="auto"/>
                <w:highlight w:val="none"/>
              </w:rPr>
            </w:pPr>
            <w:r>
              <w:rPr>
                <w:rFonts w:hint="eastAsia"/>
                <w:color w:val="auto"/>
                <w:highlight w:val="none"/>
              </w:rPr>
              <w:t>（4）因乙方提供虚假发票造成项目实施进度延期或逾期交付的，且延期达约定实施进度50%以上或逾期达约定交付时间50%以上。</w:t>
            </w:r>
          </w:p>
          <w:p>
            <w:pPr>
              <w:spacing w:line="360" w:lineRule="auto"/>
              <w:ind w:firstLine="420" w:firstLineChars="200"/>
              <w:rPr>
                <w:color w:val="auto"/>
                <w:highlight w:val="none"/>
              </w:rPr>
            </w:pPr>
            <w:r>
              <w:rPr>
                <w:rFonts w:hint="eastAsia"/>
                <w:color w:val="auto"/>
                <w:highlight w:val="none"/>
              </w:rPr>
              <w:t>（5）占合同货物价款50%以上的货物未通过任一单项验收的，或项目最终验收不合格的。</w:t>
            </w:r>
          </w:p>
          <w:p>
            <w:pPr>
              <w:spacing w:line="360" w:lineRule="auto"/>
              <w:ind w:firstLine="420" w:firstLineChars="200"/>
              <w:rPr>
                <w:color w:val="auto"/>
                <w:highlight w:val="none"/>
              </w:rPr>
            </w:pPr>
            <w:r>
              <w:rPr>
                <w:rFonts w:hint="eastAsia"/>
                <w:color w:val="auto"/>
                <w:highlight w:val="none"/>
              </w:rPr>
              <w:t xml:space="preserve">（6）若甲方发现乙方存在以下“降配履约”情形，视为严重违约： </w:t>
            </w:r>
          </w:p>
          <w:p>
            <w:pPr>
              <w:spacing w:line="360" w:lineRule="auto"/>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1 \* GB3</w:instrText>
            </w:r>
            <w:r>
              <w:rPr>
                <w:color w:val="auto"/>
                <w:highlight w:val="none"/>
              </w:rPr>
              <w:instrText xml:space="preserve"> </w:instrText>
            </w:r>
            <w:r>
              <w:rPr>
                <w:color w:val="auto"/>
                <w:highlight w:val="none"/>
              </w:rPr>
              <w:fldChar w:fldCharType="separate"/>
            </w:r>
            <w:r>
              <w:rPr>
                <w:rFonts w:hint="eastAsia"/>
                <w:color w:val="auto"/>
                <w:highlight w:val="none"/>
              </w:rPr>
              <w:t>①</w:t>
            </w:r>
            <w:r>
              <w:rPr>
                <w:color w:val="auto"/>
                <w:highlight w:val="none"/>
              </w:rPr>
              <w:fldChar w:fldCharType="end"/>
            </w:r>
            <w:r>
              <w:rPr>
                <w:rFonts w:hint="eastAsia"/>
                <w:color w:val="auto"/>
                <w:highlight w:val="none"/>
              </w:rPr>
              <w:t>交付设备的核心部件（如主机、球管、探测器）型号、参数与投标文件不一致，且未获甲方书面同意；</w:t>
            </w:r>
          </w:p>
          <w:p>
            <w:pPr>
              <w:spacing w:line="360" w:lineRule="auto"/>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2 \* GB3</w:instrText>
            </w:r>
            <w:r>
              <w:rPr>
                <w:color w:val="auto"/>
                <w:highlight w:val="none"/>
              </w:rPr>
              <w:instrText xml:space="preserve"> </w:instrText>
            </w:r>
            <w:r>
              <w:rPr>
                <w:color w:val="auto"/>
                <w:highlight w:val="none"/>
              </w:rPr>
              <w:fldChar w:fldCharType="separate"/>
            </w:r>
            <w:r>
              <w:rPr>
                <w:rFonts w:hint="eastAsia"/>
                <w:color w:val="auto"/>
                <w:highlight w:val="none"/>
              </w:rPr>
              <w:t>②</w:t>
            </w:r>
            <w:r>
              <w:rPr>
                <w:color w:val="auto"/>
                <w:highlight w:val="none"/>
              </w:rPr>
              <w:fldChar w:fldCharType="end"/>
            </w:r>
            <w:r>
              <w:rPr>
                <w:rFonts w:hint="eastAsia"/>
                <w:color w:val="auto"/>
                <w:highlight w:val="none"/>
              </w:rPr>
              <w:t>售后服务响应时间、维修周期超出投标承诺标准（如承诺24 小时内修复，实际超过48小时）；</w:t>
            </w:r>
          </w:p>
          <w:p>
            <w:pPr>
              <w:spacing w:line="360" w:lineRule="auto"/>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3 \* GB3</w:instrText>
            </w:r>
            <w:r>
              <w:rPr>
                <w:color w:val="auto"/>
                <w:highlight w:val="none"/>
              </w:rPr>
              <w:instrText xml:space="preserve"> </w:instrText>
            </w:r>
            <w:r>
              <w:rPr>
                <w:color w:val="auto"/>
                <w:highlight w:val="none"/>
              </w:rPr>
              <w:fldChar w:fldCharType="separate"/>
            </w:r>
            <w:r>
              <w:rPr>
                <w:rFonts w:hint="eastAsia"/>
                <w:color w:val="auto"/>
                <w:highlight w:val="none"/>
              </w:rPr>
              <w:t>③</w:t>
            </w:r>
            <w:r>
              <w:rPr>
                <w:color w:val="auto"/>
                <w:highlight w:val="none"/>
              </w:rPr>
              <w:fldChar w:fldCharType="end"/>
            </w:r>
            <w:r>
              <w:rPr>
                <w:rFonts w:hint="eastAsia"/>
                <w:color w:val="auto"/>
                <w:highlight w:val="none"/>
              </w:rPr>
              <w:t>培训及维保服务次数、内容未达到合同约定（如承诺2次操作培训，实际仅提供1次）。</w:t>
            </w:r>
          </w:p>
          <w:p>
            <w:pPr>
              <w:spacing w:line="360" w:lineRule="auto"/>
              <w:ind w:firstLine="420" w:firstLineChars="200"/>
              <w:rPr>
                <w:color w:val="auto"/>
                <w:highlight w:val="none"/>
              </w:rPr>
            </w:pPr>
            <w:r>
              <w:rPr>
                <w:rFonts w:hint="eastAsia"/>
                <w:color w:val="auto"/>
                <w:highlight w:val="none"/>
              </w:rPr>
              <w:t>（6）本项目质保期内，经5 次以上维修（整改）无法实现合同目的的。</w:t>
            </w:r>
          </w:p>
          <w:p>
            <w:pPr>
              <w:spacing w:line="360" w:lineRule="auto"/>
              <w:ind w:firstLine="420" w:firstLineChars="200"/>
              <w:rPr>
                <w:color w:val="auto"/>
                <w:highlight w:val="none"/>
              </w:rPr>
            </w:pPr>
            <w:r>
              <w:rPr>
                <w:rFonts w:hint="eastAsia"/>
                <w:color w:val="auto"/>
                <w:highlight w:val="none"/>
              </w:rPr>
              <w:t>（7）除经甲方书面同意的符合《政府采购法》第四十八条规定的分包外，乙方转让或变相转让本合同全部或部分权利义务的，或乙方将本项目进行任何形式的整体或肢解转包、分包的，或乙方为第三方提供挂靠的。</w:t>
            </w:r>
          </w:p>
          <w:p>
            <w:pPr>
              <w:spacing w:line="360" w:lineRule="auto"/>
              <w:ind w:firstLine="420" w:firstLineChars="200"/>
              <w:rPr>
                <w:color w:val="auto"/>
                <w:highlight w:val="none"/>
              </w:rPr>
            </w:pPr>
            <w:r>
              <w:rPr>
                <w:rFonts w:hint="eastAsia"/>
                <w:color w:val="auto"/>
                <w:highlight w:val="none"/>
              </w:rPr>
              <w:t>（8）乙方提供虚假资料或证明的，或乙方采用不正当竞争手段谋取本项目政府采购中标的，或乙方向甲方或甲方工作人员行贿或提供回扣的。</w:t>
            </w:r>
          </w:p>
          <w:p>
            <w:pPr>
              <w:spacing w:line="360" w:lineRule="auto"/>
              <w:ind w:firstLine="420" w:firstLineChars="200"/>
              <w:rPr>
                <w:color w:val="auto"/>
                <w:highlight w:val="none"/>
              </w:rPr>
            </w:pPr>
            <w:r>
              <w:rPr>
                <w:rFonts w:hint="eastAsia"/>
                <w:color w:val="auto"/>
                <w:highlight w:val="none"/>
              </w:rPr>
              <w:t>（9）在甲方完成合同价款支付前，乙方被列为失信被执行人或在本合同主文中的指定收款账户被依法查封（冻结）的。</w:t>
            </w:r>
          </w:p>
          <w:p>
            <w:pPr>
              <w:spacing w:line="360" w:lineRule="auto"/>
              <w:ind w:firstLine="420" w:firstLineChars="200"/>
              <w:rPr>
                <w:color w:val="auto"/>
                <w:highlight w:val="none"/>
              </w:rPr>
            </w:pPr>
            <w:r>
              <w:rPr>
                <w:rFonts w:hint="eastAsia"/>
                <w:color w:val="auto"/>
                <w:highlight w:val="none"/>
              </w:rPr>
              <w:t>（10）依照本合同条款或法律规定明确约定，甲方可单方解除合同的情形。</w:t>
            </w:r>
          </w:p>
          <w:p>
            <w:pPr>
              <w:spacing w:line="360" w:lineRule="auto"/>
              <w:ind w:firstLine="420" w:firstLineChars="200"/>
              <w:rPr>
                <w:color w:val="auto"/>
                <w:highlight w:val="none"/>
              </w:rPr>
            </w:pPr>
            <w:r>
              <w:rPr>
                <w:rFonts w:hint="eastAsia"/>
                <w:color w:val="auto"/>
                <w:highlight w:val="none"/>
              </w:rPr>
              <w:t>3、乙方提供的货物如侵犯了第三方合法权益而引发的任何纠纷或诉讼，均由乙方负责交涉并承担全部责任。</w:t>
            </w:r>
          </w:p>
          <w:p>
            <w:pPr>
              <w:spacing w:line="360" w:lineRule="auto"/>
              <w:ind w:firstLine="420" w:firstLineChars="200"/>
              <w:rPr>
                <w:color w:val="auto"/>
                <w:highlight w:val="none"/>
              </w:rPr>
            </w:pPr>
            <w:r>
              <w:rPr>
                <w:rFonts w:hint="eastAsia"/>
                <w:color w:val="auto"/>
                <w:highlight w:val="none"/>
              </w:rPr>
              <w:t>4、其他违约行为按违约货款额5%收取违约金并赔偿经济损失。</w:t>
            </w:r>
          </w:p>
          <w:p>
            <w:pPr>
              <w:snapToGrid w:val="0"/>
              <w:spacing w:line="360" w:lineRule="auto"/>
              <w:ind w:firstLine="420" w:firstLineChars="200"/>
              <w:rPr>
                <w:color w:val="auto"/>
                <w:highlight w:val="none"/>
              </w:rPr>
            </w:pPr>
            <w:r>
              <w:rPr>
                <w:rFonts w:hint="eastAsia"/>
                <w:color w:val="auto"/>
                <w:highlight w:val="none"/>
              </w:rPr>
              <w:t>5、因甲方原因导致变更、中止或者终止政府采购合同的，应当依照合同约定对乙方受到的损失予以赔偿或者补偿。赔偿（补偿）标准：</w:t>
            </w:r>
            <w:r>
              <w:rPr>
                <w:rFonts w:hint="eastAsia"/>
                <w:color w:val="auto"/>
                <w:highlight w:val="none"/>
                <w:u w:val="single"/>
              </w:rPr>
              <w:t>按实际损失赔偿</w:t>
            </w:r>
            <w:r>
              <w:rPr>
                <w:rFonts w:hint="eastAsia"/>
                <w:color w:val="auto"/>
                <w:highlight w:val="none"/>
              </w:rPr>
              <w:t>。</w:t>
            </w:r>
          </w:p>
          <w:p>
            <w:pPr>
              <w:snapToGrid w:val="0"/>
              <w:spacing w:line="360" w:lineRule="auto"/>
              <w:ind w:firstLine="420" w:firstLineChars="200"/>
              <w:rPr>
                <w:color w:val="auto"/>
                <w:highlight w:val="none"/>
              </w:rPr>
            </w:pPr>
            <w:r>
              <w:rPr>
                <w:color w:val="auto"/>
                <w:highlight w:val="none"/>
              </w:rPr>
              <w:t>6</w:t>
            </w:r>
            <w:r>
              <w:rPr>
                <w:rFonts w:hint="eastAsia"/>
                <w:color w:val="auto"/>
                <w:highlight w:val="none"/>
              </w:rPr>
              <w:t>、若乙方投标报价属于招标文件第三章投标人须知前附表</w:t>
            </w:r>
            <w:r>
              <w:rPr>
                <w:rFonts w:ascii="宋体" w:hAnsi="宋体"/>
                <w:color w:val="auto"/>
                <w:szCs w:val="21"/>
                <w:highlight w:val="none"/>
              </w:rPr>
              <w:t>28.5</w:t>
            </w:r>
            <w:r>
              <w:rPr>
                <w:rFonts w:hint="eastAsia"/>
                <w:color w:val="auto"/>
                <w:highlight w:val="none"/>
              </w:rPr>
              <w:t>异常低价审查的情形之一的，且乙方存在下列情形之一的，视为严重违约，需按合同总金额的25%支付违约金，甲方有权解除合同：</w:t>
            </w:r>
          </w:p>
          <w:p>
            <w:pPr>
              <w:snapToGrid w:val="0"/>
              <w:spacing w:line="360" w:lineRule="auto"/>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1 \* GB3</w:instrText>
            </w:r>
            <w:r>
              <w:rPr>
                <w:color w:val="auto"/>
                <w:highlight w:val="none"/>
              </w:rPr>
              <w:instrText xml:space="preserve"> </w:instrText>
            </w:r>
            <w:r>
              <w:rPr>
                <w:color w:val="auto"/>
                <w:highlight w:val="none"/>
              </w:rPr>
              <w:fldChar w:fldCharType="separate"/>
            </w:r>
            <w:r>
              <w:rPr>
                <w:rFonts w:hint="eastAsia"/>
                <w:color w:val="auto"/>
                <w:highlight w:val="none"/>
              </w:rPr>
              <w:t>①</w:t>
            </w:r>
            <w:r>
              <w:rPr>
                <w:color w:val="auto"/>
                <w:highlight w:val="none"/>
              </w:rPr>
              <w:fldChar w:fldCharType="end"/>
            </w:r>
            <w:r>
              <w:rPr>
                <w:rFonts w:hint="eastAsia"/>
                <w:color w:val="auto"/>
                <w:highlight w:val="none"/>
              </w:rPr>
              <w:t>提供虚假成本凭证，掩盖报价低于成本事实的；</w:t>
            </w:r>
          </w:p>
          <w:p>
            <w:pPr>
              <w:snapToGrid w:val="0"/>
              <w:spacing w:line="360" w:lineRule="auto"/>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2 \* GB3</w:instrText>
            </w:r>
            <w:r>
              <w:rPr>
                <w:color w:val="auto"/>
                <w:highlight w:val="none"/>
              </w:rPr>
              <w:instrText xml:space="preserve"> </w:instrText>
            </w:r>
            <w:r>
              <w:rPr>
                <w:color w:val="auto"/>
                <w:highlight w:val="none"/>
              </w:rPr>
              <w:fldChar w:fldCharType="separate"/>
            </w:r>
            <w:r>
              <w:rPr>
                <w:rFonts w:hint="eastAsia"/>
                <w:color w:val="auto"/>
                <w:highlight w:val="none"/>
              </w:rPr>
              <w:t>②</w:t>
            </w:r>
            <w:r>
              <w:rPr>
                <w:color w:val="auto"/>
                <w:highlight w:val="none"/>
              </w:rPr>
              <w:fldChar w:fldCharType="end"/>
            </w:r>
            <w:r>
              <w:rPr>
                <w:rFonts w:hint="eastAsia"/>
                <w:color w:val="auto"/>
                <w:highlight w:val="none"/>
              </w:rPr>
              <w:t>为降低成本擅自更换设备核心部件的；</w:t>
            </w:r>
          </w:p>
          <w:p>
            <w:pPr>
              <w:snapToGrid w:val="0"/>
              <w:spacing w:line="360" w:lineRule="auto"/>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3 \* GB3</w:instrText>
            </w:r>
            <w:r>
              <w:rPr>
                <w:color w:val="auto"/>
                <w:highlight w:val="none"/>
              </w:rPr>
              <w:instrText xml:space="preserve"> </w:instrText>
            </w:r>
            <w:r>
              <w:rPr>
                <w:color w:val="auto"/>
                <w:highlight w:val="none"/>
              </w:rPr>
              <w:fldChar w:fldCharType="separate"/>
            </w:r>
            <w:r>
              <w:rPr>
                <w:rFonts w:hint="eastAsia"/>
                <w:color w:val="auto"/>
                <w:highlight w:val="none"/>
              </w:rPr>
              <w:t>③</w:t>
            </w:r>
            <w:r>
              <w:rPr>
                <w:color w:val="auto"/>
                <w:highlight w:val="none"/>
              </w:rPr>
              <w:fldChar w:fldCharType="end"/>
            </w:r>
            <w:r>
              <w:rPr>
                <w:rFonts w:hint="eastAsia"/>
                <w:color w:val="auto"/>
                <w:highlight w:val="none"/>
              </w:rPr>
              <w:t>因报价过低导致资金链断裂，无法继续履行合同的；</w:t>
            </w:r>
          </w:p>
          <w:p>
            <w:pPr>
              <w:snapToGrid w:val="0"/>
              <w:spacing w:line="360" w:lineRule="auto"/>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4 \* GB3</w:instrText>
            </w:r>
            <w:r>
              <w:rPr>
                <w:color w:val="auto"/>
                <w:highlight w:val="none"/>
              </w:rPr>
              <w:instrText xml:space="preserve"> </w:instrText>
            </w:r>
            <w:r>
              <w:rPr>
                <w:color w:val="auto"/>
                <w:highlight w:val="none"/>
              </w:rPr>
              <w:fldChar w:fldCharType="separate"/>
            </w:r>
            <w:r>
              <w:rPr>
                <w:rFonts w:hint="eastAsia"/>
                <w:color w:val="auto"/>
                <w:highlight w:val="none"/>
              </w:rPr>
              <w:t>④</w:t>
            </w:r>
            <w:r>
              <w:rPr>
                <w:color w:val="auto"/>
                <w:highlight w:val="none"/>
              </w:rPr>
              <w:fldChar w:fldCharType="end"/>
            </w:r>
            <w:r>
              <w:rPr>
                <w:rFonts w:hint="eastAsia"/>
                <w:color w:val="auto"/>
                <w:highlight w:val="none"/>
              </w:rPr>
              <w:t>质保期内设备开机率低于95%，显著低于行业平均水平，且无法通过维修改善的。</w:t>
            </w:r>
          </w:p>
          <w:p>
            <w:pPr>
              <w:snapToGrid w:val="0"/>
              <w:spacing w:line="360" w:lineRule="auto"/>
              <w:ind w:firstLine="420" w:firstLineChars="200"/>
              <w:rPr>
                <w:rFonts w:ascii="宋体" w:hAnsi="宋体" w:cs="宋体"/>
                <w:color w:val="auto"/>
                <w:highlight w:val="none"/>
              </w:rPr>
            </w:pPr>
            <w:r>
              <w:rPr>
                <w:rFonts w:hint="eastAsia"/>
                <w:color w:val="auto"/>
                <w:highlight w:val="none"/>
              </w:rPr>
              <w:t>7、甲方在合同履行期间发现乙方存在低价中标后“以次充好”（如使用翻新零部件、非原厂配件）的，乙方需立即更换所有问题设备，且每台问题设备支付合同总金额2% 的违约金，同时甲方有权将乙方不良行为上报政府采购监管部门，列入不良行为记录名单。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第19.2款</w:t>
            </w:r>
          </w:p>
        </w:tc>
        <w:tc>
          <w:tcPr>
            <w:tcW w:w="1813" w:type="dxa"/>
            <w:vAlign w:val="center"/>
          </w:tcPr>
          <w:p>
            <w:pPr>
              <w:adjustRightInd w:val="0"/>
              <w:snapToGrid w:val="0"/>
              <w:jc w:val="left"/>
              <w:rPr>
                <w:rFonts w:ascii="宋体" w:hAnsi="宋体"/>
                <w:color w:val="auto"/>
                <w:szCs w:val="21"/>
                <w:highlight w:val="none"/>
              </w:rPr>
            </w:pPr>
            <w:r>
              <w:rPr>
                <w:rFonts w:hint="eastAsia" w:ascii="宋体" w:hAnsi="宋体"/>
                <w:color w:val="auto"/>
                <w:szCs w:val="21"/>
                <w:highlight w:val="none"/>
              </w:rPr>
              <w:t>解决争议的方法</w:t>
            </w:r>
          </w:p>
        </w:tc>
        <w:tc>
          <w:tcPr>
            <w:tcW w:w="5758" w:type="dxa"/>
            <w:vAlign w:val="center"/>
          </w:tcPr>
          <w:p>
            <w:pPr>
              <w:autoSpaceDE w:val="0"/>
              <w:autoSpaceDN w:val="0"/>
              <w:adjustRightInd w:val="0"/>
              <w:snapToGrid w:val="0"/>
              <w:spacing w:line="400" w:lineRule="exact"/>
              <w:jc w:val="left"/>
              <w:rPr>
                <w:rFonts w:ascii="宋体" w:hAnsi="宋体" w:cs="宋体"/>
                <w:iCs/>
                <w:color w:val="auto"/>
                <w:szCs w:val="21"/>
                <w:highlight w:val="none"/>
              </w:rPr>
            </w:pPr>
            <w:r>
              <w:rPr>
                <w:rFonts w:hint="eastAsia" w:ascii="宋体" w:hAnsi="宋体" w:cs="宋体"/>
                <w:iCs/>
                <w:color w:val="auto"/>
                <w:szCs w:val="21"/>
                <w:highlight w:val="none"/>
              </w:rPr>
              <w:t>因本合同及合同有关事项发生的争议，按下列第</w:t>
            </w:r>
            <w:r>
              <w:rPr>
                <w:rFonts w:hint="eastAsia" w:ascii="宋体" w:hAnsi="宋体" w:cs="宋体"/>
                <w:iCs/>
                <w:color w:val="auto"/>
                <w:szCs w:val="21"/>
                <w:highlight w:val="none"/>
                <w:u w:val="single"/>
              </w:rPr>
              <w:t xml:space="preserve"> 2 </w:t>
            </w:r>
            <w:r>
              <w:rPr>
                <w:rFonts w:hint="eastAsia" w:ascii="宋体" w:hAnsi="宋体" w:cs="宋体"/>
                <w:iCs/>
                <w:color w:val="auto"/>
                <w:szCs w:val="21"/>
                <w:highlight w:val="none"/>
              </w:rPr>
              <w:t>种方式解决：</w:t>
            </w:r>
          </w:p>
          <w:p>
            <w:pPr>
              <w:autoSpaceDE w:val="0"/>
              <w:autoSpaceDN w:val="0"/>
              <w:adjustRightInd w:val="0"/>
              <w:snapToGrid w:val="0"/>
              <w:spacing w:line="400" w:lineRule="exact"/>
              <w:jc w:val="left"/>
              <w:rPr>
                <w:rFonts w:ascii="宋体" w:hAnsi="宋体" w:cs="宋体"/>
                <w:iCs/>
                <w:color w:val="auto"/>
                <w:szCs w:val="21"/>
                <w:highlight w:val="none"/>
              </w:rPr>
            </w:pPr>
            <w:r>
              <w:rPr>
                <w:rFonts w:hint="eastAsia" w:ascii="宋体" w:hAnsi="宋体" w:cs="宋体"/>
                <w:iCs/>
                <w:color w:val="auto"/>
                <w:szCs w:val="21"/>
                <w:highlight w:val="none"/>
              </w:rPr>
              <w:t>（1）向</w:t>
            </w:r>
            <w:r>
              <w:rPr>
                <w:rFonts w:hint="eastAsia" w:ascii="宋体" w:hAnsi="宋体" w:cs="宋体"/>
                <w:iCs/>
                <w:color w:val="auto"/>
                <w:szCs w:val="21"/>
                <w:highlight w:val="none"/>
                <w:u w:val="single"/>
              </w:rPr>
              <w:t xml:space="preserve"> / </w:t>
            </w:r>
            <w:r>
              <w:rPr>
                <w:rFonts w:hint="eastAsia" w:ascii="宋体" w:hAnsi="宋体" w:cs="宋体"/>
                <w:iCs/>
                <w:color w:val="auto"/>
                <w:szCs w:val="21"/>
                <w:highlight w:val="none"/>
              </w:rPr>
              <w:t>仲裁委员会申请仲裁，仲裁地点为</w:t>
            </w:r>
            <w:r>
              <w:rPr>
                <w:rFonts w:hint="eastAsia" w:ascii="宋体" w:hAnsi="宋体" w:cs="宋体"/>
                <w:iCs/>
                <w:color w:val="auto"/>
                <w:szCs w:val="21"/>
                <w:highlight w:val="none"/>
                <w:u w:val="single"/>
              </w:rPr>
              <w:t xml:space="preserve"> / </w:t>
            </w:r>
            <w:r>
              <w:rPr>
                <w:rFonts w:hint="eastAsia" w:ascii="宋体" w:hAnsi="宋体" w:cs="宋体"/>
                <w:iCs/>
                <w:color w:val="auto"/>
                <w:szCs w:val="21"/>
                <w:highlight w:val="none"/>
              </w:rPr>
              <w:t>；</w:t>
            </w:r>
          </w:p>
          <w:p>
            <w:pPr>
              <w:adjustRightInd w:val="0"/>
              <w:snapToGrid w:val="0"/>
              <w:jc w:val="left"/>
              <w:rPr>
                <w:rFonts w:ascii="宋体" w:hAnsi="宋体" w:cs="宋体"/>
                <w:iCs/>
                <w:color w:val="auto"/>
                <w:szCs w:val="21"/>
                <w:highlight w:val="none"/>
              </w:rPr>
            </w:pPr>
            <w:r>
              <w:rPr>
                <w:rFonts w:hint="eastAsia" w:ascii="宋体" w:hAnsi="宋体" w:cs="宋体"/>
                <w:iCs/>
                <w:color w:val="auto"/>
                <w:szCs w:val="21"/>
                <w:highlight w:val="none"/>
              </w:rPr>
              <w:t>（2）向</w:t>
            </w:r>
            <w:r>
              <w:rPr>
                <w:rFonts w:hint="eastAsia" w:ascii="宋体" w:hAnsi="宋体" w:cs="宋体"/>
                <w:iCs/>
                <w:color w:val="auto"/>
                <w:szCs w:val="21"/>
                <w:highlight w:val="none"/>
                <w:u w:val="single"/>
              </w:rPr>
              <w:t xml:space="preserve">      甲方1所在地    </w:t>
            </w:r>
            <w:r>
              <w:rPr>
                <w:rFonts w:hint="eastAsia" w:ascii="宋体" w:hAnsi="宋体" w:cs="宋体"/>
                <w:iCs/>
                <w:color w:val="auto"/>
                <w:szCs w:val="21"/>
                <w:highlight w:val="none"/>
              </w:rPr>
              <w:t>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1672" w:type="dxa"/>
            <w:vAlign w:val="center"/>
          </w:tcPr>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第二节</w:t>
            </w:r>
          </w:p>
          <w:p>
            <w:pPr>
              <w:adjustRightInd w:val="0"/>
              <w:snapToGrid w:val="0"/>
              <w:jc w:val="center"/>
              <w:rPr>
                <w:rFonts w:ascii="宋体" w:hAnsi="宋体" w:cs="宋体"/>
                <w:color w:val="auto"/>
                <w:szCs w:val="21"/>
                <w:highlight w:val="none"/>
              </w:rPr>
            </w:pPr>
            <w:r>
              <w:rPr>
                <w:rFonts w:hint="eastAsia" w:ascii="宋体" w:hAnsi="宋体" w:cs="宋体"/>
                <w:color w:val="auto"/>
                <w:szCs w:val="21"/>
                <w:highlight w:val="none"/>
              </w:rPr>
              <w:t>第23.1款</w:t>
            </w:r>
          </w:p>
        </w:tc>
        <w:tc>
          <w:tcPr>
            <w:tcW w:w="1813" w:type="dxa"/>
            <w:vAlign w:val="center"/>
          </w:tcPr>
          <w:p>
            <w:pPr>
              <w:adjustRightInd w:val="0"/>
              <w:snapToGrid w:val="0"/>
              <w:jc w:val="left"/>
              <w:rPr>
                <w:rFonts w:ascii="宋体" w:hAnsi="宋体" w:cs="宋体"/>
                <w:color w:val="auto"/>
                <w:szCs w:val="21"/>
                <w:highlight w:val="none"/>
              </w:rPr>
            </w:pPr>
            <w:r>
              <w:rPr>
                <w:rFonts w:hint="eastAsia" w:ascii="宋体" w:hAnsi="宋体" w:cs="宋体"/>
                <w:bCs/>
                <w:color w:val="auto"/>
                <w:szCs w:val="21"/>
                <w:highlight w:val="none"/>
              </w:rPr>
              <w:t>其他专用条款</w:t>
            </w:r>
          </w:p>
        </w:tc>
        <w:tc>
          <w:tcPr>
            <w:tcW w:w="5758" w:type="dxa"/>
            <w:vAlign w:val="center"/>
          </w:tcPr>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1、如采购项目涉及采购标的的知识产权归属的，产权归属为：</w:t>
            </w:r>
            <w:r>
              <w:rPr>
                <w:rFonts w:hint="eastAsia" w:ascii="宋体" w:hAnsi="宋体" w:cs="宋体"/>
                <w:color w:val="auto"/>
                <w:szCs w:val="21"/>
                <w:highlight w:val="none"/>
                <w:u w:val="single"/>
              </w:rPr>
              <w:t>甲方。</w:t>
            </w:r>
            <w:r>
              <w:rPr>
                <w:rFonts w:hint="eastAsia" w:ascii="宋体" w:hAnsi="宋体" w:cs="宋体"/>
                <w:color w:val="auto"/>
                <w:szCs w:val="21"/>
                <w:highlight w:val="none"/>
              </w:rPr>
              <w:t xml:space="preserve"> </w:t>
            </w:r>
          </w:p>
          <w:p>
            <w:pPr>
              <w:snapToGrid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2、产权纠纷处理方式：</w:t>
            </w:r>
            <w:r>
              <w:rPr>
                <w:rFonts w:hint="eastAsia" w:ascii="宋体" w:hAnsi="宋体" w:cs="宋体"/>
                <w:color w:val="auto"/>
                <w:szCs w:val="21"/>
                <w:highlight w:val="none"/>
                <w:u w:val="single"/>
              </w:rPr>
              <w:t>甲方在中华人民共和国境内使用乙方提供的产品及服务时免受第三方提出的侵犯其专利权或其他知识产权的起诉。如果第三方提出侵权指控，乙方应妥善处理纠纷并承担由此而引起的一切法律责任和费用。</w:t>
            </w:r>
          </w:p>
          <w:p>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highlight w:val="none"/>
              </w:rPr>
              <w:t>3</w:t>
            </w:r>
            <w:r>
              <w:rPr>
                <w:rFonts w:hint="eastAsia" w:ascii="宋体" w:hAnsi="宋体" w:cs="宋体"/>
                <w:color w:val="auto"/>
                <w:szCs w:val="21"/>
                <w:highlight w:val="none"/>
              </w:rPr>
              <w:t>、除《中华人民共和国政府采购法》第五十条规定的情形外，本合同一经签订，甲乙双方不得擅自变更、中止或终止。如依照政府采购法确需变更合同内容的，甲方应当自合同变更之日起2个工作日内在省级以上财政部门指定的媒体上发布合同变更公告。</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4、合同执行中涉及采购资金和采购内容修改或补充的，须报财政部门备案，经财政部门同意后签订书面补充协议。</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5、如无特别说明，本合同使用货币币制为人民币，使用单位为中国国家法定计量单位。</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6、本合同中提及的招标与谈判、磋商、询价、单一来源采购为同一含义，提及的投标与响应为同一含义，提及的中标与成交为同一含义。</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7、不可抗力事件的处理：</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（1）在合同有效期内，任何一方因不可抗力事件导致不能履行合同，则合同履行期可延长，其延长期与不可抗力影响期相同。</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（2）不可抗力事件发生后，应立即通知对方，并寄送有关权威机构出具的证明。</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（3）不可抗力事件延续一百二十天以上，双方应通过友好协商，确定是否继续履行合同。</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（4）针对甲方因政策变化、规范调整而不履行合同约定，造成乙方合法利益受损的情形，甲方应当视情况给予一定补偿救济。</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8、履约监管：</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 1 \* GB3 </w:instrText>
            </w:r>
            <w:r>
              <w:rPr>
                <w:rFonts w:hint="eastAsia" w:ascii="宋体" w:hAnsi="宋体" w:cs="宋体"/>
                <w:color w:val="auto"/>
                <w:highlight w:val="none"/>
              </w:rPr>
              <w:fldChar w:fldCharType="separate"/>
            </w:r>
            <w:r>
              <w:rPr>
                <w:rFonts w:hint="eastAsia" w:ascii="宋体" w:hAnsi="宋体" w:cs="宋体"/>
                <w:color w:val="auto"/>
                <w:highlight w:val="none"/>
              </w:rPr>
              <w:t>①</w:t>
            </w:r>
            <w:r>
              <w:rPr>
                <w:rFonts w:hint="eastAsia" w:ascii="宋体" w:hAnsi="宋体" w:cs="宋体"/>
                <w:color w:val="auto"/>
                <w:highlight w:val="none"/>
              </w:rPr>
              <w:fldChar w:fldCharType="end"/>
            </w:r>
            <w:r>
              <w:rPr>
                <w:rFonts w:hint="eastAsia" w:ascii="宋体" w:hAnsi="宋体" w:cs="宋体"/>
                <w:color w:val="auto"/>
                <w:highlight w:val="none"/>
              </w:rPr>
              <w:t>甲方1有权每季度对乙方履约情况进行专项核查，核查内容包括设备运行状态、售后服务记录、配件更换情况等，乙方需配合提供设备运行日志、维修记录等资料；</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 2 \* GB3 </w:instrText>
            </w:r>
            <w:r>
              <w:rPr>
                <w:rFonts w:hint="eastAsia" w:ascii="宋体" w:hAnsi="宋体" w:cs="宋体"/>
                <w:color w:val="auto"/>
                <w:highlight w:val="none"/>
              </w:rPr>
              <w:fldChar w:fldCharType="separate"/>
            </w:r>
            <w:r>
              <w:rPr>
                <w:rFonts w:hint="eastAsia" w:ascii="宋体" w:hAnsi="宋体" w:cs="宋体"/>
                <w:color w:val="auto"/>
                <w:highlight w:val="none"/>
              </w:rPr>
              <w:t>②</w:t>
            </w:r>
            <w:r>
              <w:rPr>
                <w:rFonts w:hint="eastAsia" w:ascii="宋体" w:hAnsi="宋体" w:cs="宋体"/>
                <w:color w:val="auto"/>
                <w:highlight w:val="none"/>
              </w:rPr>
              <w:fldChar w:fldCharType="end"/>
            </w:r>
            <w:r>
              <w:rPr>
                <w:rFonts w:hint="eastAsia" w:ascii="宋体" w:hAnsi="宋体" w:cs="宋体"/>
                <w:color w:val="auto"/>
                <w:highlight w:val="none"/>
              </w:rPr>
              <w:t>若本项目涉及的设备中，有超过 10% 的设备在质保期内出现重大质量问题，甲方1可启动整体履约评估，委托第三方机构对所有设备进行质量检测，检测费用由乙方承担。</w:t>
            </w:r>
          </w:p>
          <w:p>
            <w:pPr>
              <w:snapToGrid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8、合同未尽事项由双方协商另行签订补充协议，补充协议作为本合同附件，与合同具有同等的法律效力。</w:t>
            </w:r>
          </w:p>
        </w:tc>
      </w:tr>
    </w:tbl>
    <w:p>
      <w:pPr>
        <w:rPr>
          <w:rFonts w:ascii="宋体" w:hAnsi="宋体" w:cs="宋体"/>
          <w:color w:val="auto"/>
          <w:highlight w:val="none"/>
        </w:rPr>
      </w:pPr>
    </w:p>
    <w:p>
      <w:pPr>
        <w:widowControl/>
        <w:jc w:val="left"/>
        <w:rPr>
          <w:rFonts w:ascii="宋体" w:hAnsi="宋体" w:cs="宋体"/>
          <w:color w:val="auto"/>
          <w:highlight w:val="none"/>
        </w:rPr>
        <w:sectPr>
          <w:headerReference r:id="rId5" w:type="first"/>
          <w:pgSz w:w="11906" w:h="16838"/>
          <w:pgMar w:top="1418" w:right="1133" w:bottom="1246" w:left="1418" w:header="851" w:footer="992" w:gutter="0"/>
          <w:cols w:space="720" w:num="1"/>
          <w:docGrid w:linePitch="312" w:charSpace="0"/>
        </w:sectPr>
      </w:pPr>
    </w:p>
    <w:p>
      <w:pPr>
        <w:widowControl/>
        <w:jc w:val="left"/>
        <w:rPr>
          <w:rFonts w:ascii="宋体" w:hAnsi="宋体" w:cs="宋体"/>
          <w:color w:val="auto"/>
          <w:highlight w:val="none"/>
        </w:rPr>
      </w:pPr>
    </w:p>
    <w:p>
      <w:pPr>
        <w:spacing w:before="120" w:line="320" w:lineRule="atLeast"/>
        <w:jc w:val="left"/>
        <w:outlineLvl w:val="1"/>
        <w:rPr>
          <w:b/>
          <w:bCs/>
          <w:color w:val="auto"/>
          <w:kern w:val="0"/>
          <w:szCs w:val="21"/>
          <w:highlight w:val="none"/>
        </w:rPr>
      </w:pPr>
      <w:bookmarkStart w:id="164" w:name="_Toc19762"/>
      <w:r>
        <w:rPr>
          <w:b/>
          <w:bCs/>
          <w:color w:val="auto"/>
          <w:kern w:val="0"/>
          <w:szCs w:val="21"/>
          <w:highlight w:val="none"/>
        </w:rPr>
        <w:t>合同附件1</w:t>
      </w:r>
      <w:bookmarkEnd w:id="164"/>
    </w:p>
    <w:p>
      <w:pPr>
        <w:snapToGrid w:val="0"/>
        <w:spacing w:line="360" w:lineRule="exact"/>
        <w:jc w:val="center"/>
        <w:rPr>
          <w:b/>
          <w:bCs/>
          <w:color w:val="auto"/>
          <w:szCs w:val="21"/>
          <w:highlight w:val="none"/>
        </w:rPr>
      </w:pPr>
      <w:r>
        <w:rPr>
          <w:b/>
          <w:bCs/>
          <w:color w:val="auto"/>
          <w:szCs w:val="21"/>
          <w:highlight w:val="none"/>
        </w:rPr>
        <w:t>政府采购项目履约保证金退付意见书</w:t>
      </w:r>
    </w:p>
    <w:p>
      <w:pPr>
        <w:jc w:val="center"/>
        <w:rPr>
          <w:color w:val="auto"/>
          <w:sz w:val="36"/>
          <w:szCs w:val="36"/>
          <w:highlight w:val="none"/>
        </w:rPr>
      </w:pPr>
    </w:p>
    <w:tbl>
      <w:tblPr>
        <w:tblStyle w:val="52"/>
        <w:tblW w:w="907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8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2" w:hRule="atLeast"/>
          <w:jc w:val="center"/>
        </w:trPr>
        <w:tc>
          <w:tcPr>
            <w:tcW w:w="948" w:type="dxa"/>
            <w:vMerge w:val="restart"/>
            <w:vAlign w:val="center"/>
          </w:tcPr>
          <w:p>
            <w:pPr>
              <w:jc w:val="center"/>
              <w:rPr>
                <w:color w:val="auto"/>
                <w:szCs w:val="21"/>
                <w:highlight w:val="none"/>
              </w:rPr>
            </w:pPr>
            <w:r>
              <w:rPr>
                <w:color w:val="auto"/>
                <w:szCs w:val="21"/>
                <w:highlight w:val="none"/>
              </w:rPr>
              <w:t>供</w:t>
            </w:r>
          </w:p>
          <w:p>
            <w:pPr>
              <w:jc w:val="center"/>
              <w:rPr>
                <w:color w:val="auto"/>
                <w:szCs w:val="21"/>
                <w:highlight w:val="none"/>
              </w:rPr>
            </w:pPr>
            <w:r>
              <w:rPr>
                <w:color w:val="auto"/>
                <w:szCs w:val="21"/>
                <w:highlight w:val="none"/>
              </w:rPr>
              <w:t>应</w:t>
            </w:r>
          </w:p>
          <w:p>
            <w:pPr>
              <w:jc w:val="center"/>
              <w:rPr>
                <w:color w:val="auto"/>
                <w:szCs w:val="21"/>
                <w:highlight w:val="none"/>
              </w:rPr>
            </w:pPr>
            <w:r>
              <w:rPr>
                <w:color w:val="auto"/>
                <w:szCs w:val="21"/>
                <w:highlight w:val="none"/>
              </w:rPr>
              <w:t>商</w:t>
            </w:r>
          </w:p>
          <w:p>
            <w:pPr>
              <w:jc w:val="center"/>
              <w:rPr>
                <w:color w:val="auto"/>
                <w:szCs w:val="21"/>
                <w:highlight w:val="none"/>
              </w:rPr>
            </w:pPr>
            <w:r>
              <w:rPr>
                <w:color w:val="auto"/>
                <w:szCs w:val="21"/>
                <w:highlight w:val="none"/>
              </w:rPr>
              <w:t>申</w:t>
            </w:r>
          </w:p>
          <w:p>
            <w:pPr>
              <w:jc w:val="center"/>
              <w:rPr>
                <w:color w:val="auto"/>
                <w:szCs w:val="21"/>
                <w:highlight w:val="none"/>
              </w:rPr>
            </w:pPr>
            <w:r>
              <w:rPr>
                <w:color w:val="auto"/>
                <w:szCs w:val="21"/>
                <w:highlight w:val="none"/>
              </w:rPr>
              <w:t>请</w:t>
            </w:r>
          </w:p>
        </w:tc>
        <w:tc>
          <w:tcPr>
            <w:tcW w:w="8130" w:type="dxa"/>
            <w:vAlign w:val="center"/>
          </w:tcPr>
          <w:p>
            <w:pPr>
              <w:rPr>
                <w:color w:val="auto"/>
                <w:szCs w:val="21"/>
                <w:highlight w:val="none"/>
              </w:rPr>
            </w:pPr>
            <w:r>
              <w:rPr>
                <w:color w:val="auto"/>
                <w:szCs w:val="21"/>
                <w:highlight w:val="none"/>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5" w:hRule="atLeast"/>
          <w:jc w:val="center"/>
        </w:trPr>
        <w:tc>
          <w:tcPr>
            <w:tcW w:w="948" w:type="dxa"/>
            <w:vMerge w:val="continue"/>
            <w:vAlign w:val="center"/>
          </w:tcPr>
          <w:p>
            <w:pPr>
              <w:rPr>
                <w:color w:val="auto"/>
                <w:szCs w:val="21"/>
                <w:highlight w:val="none"/>
              </w:rPr>
            </w:pPr>
          </w:p>
        </w:tc>
        <w:tc>
          <w:tcPr>
            <w:tcW w:w="8130" w:type="dxa"/>
            <w:vAlign w:val="center"/>
          </w:tcPr>
          <w:p>
            <w:pPr>
              <w:rPr>
                <w:color w:val="auto"/>
                <w:szCs w:val="21"/>
                <w:highlight w:val="none"/>
              </w:rPr>
            </w:pPr>
            <w:r>
              <w:rPr>
                <w:color w:val="auto"/>
                <w:szCs w:val="21"/>
                <w:highlight w:val="none"/>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3" w:hRule="atLeast"/>
          <w:jc w:val="center"/>
        </w:trPr>
        <w:tc>
          <w:tcPr>
            <w:tcW w:w="948" w:type="dxa"/>
            <w:vMerge w:val="continue"/>
          </w:tcPr>
          <w:p>
            <w:pPr>
              <w:rPr>
                <w:color w:val="auto"/>
                <w:szCs w:val="21"/>
                <w:highlight w:val="none"/>
              </w:rPr>
            </w:pPr>
          </w:p>
        </w:tc>
        <w:tc>
          <w:tcPr>
            <w:tcW w:w="8130" w:type="dxa"/>
          </w:tcPr>
          <w:p>
            <w:pPr>
              <w:rPr>
                <w:color w:val="auto"/>
                <w:szCs w:val="21"/>
                <w:highlight w:val="none"/>
              </w:rPr>
            </w:pPr>
            <w:r>
              <w:rPr>
                <w:color w:val="auto"/>
                <w:szCs w:val="21"/>
                <w:highlight w:val="none"/>
              </w:rPr>
              <w:t xml:space="preserve">  </w:t>
            </w:r>
          </w:p>
          <w:p>
            <w:pPr>
              <w:spacing w:line="400" w:lineRule="exact"/>
              <w:ind w:firstLine="420" w:firstLineChars="200"/>
              <w:rPr>
                <w:color w:val="auto"/>
                <w:szCs w:val="21"/>
                <w:highlight w:val="none"/>
              </w:rPr>
            </w:pPr>
            <w:r>
              <w:rPr>
                <w:color w:val="auto"/>
                <w:szCs w:val="21"/>
                <w:highlight w:val="none"/>
              </w:rPr>
              <w:t>该项目已于</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日验收并交付使用。根据合同规定，该项目的履约保证金期限于</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日已满，请将履约保证金</w:t>
            </w:r>
          </w:p>
          <w:p>
            <w:pPr>
              <w:spacing w:line="400" w:lineRule="exact"/>
              <w:rPr>
                <w:color w:val="auto"/>
                <w:szCs w:val="21"/>
                <w:highlight w:val="none"/>
              </w:rPr>
            </w:pPr>
            <w:r>
              <w:rPr>
                <w:color w:val="auto"/>
                <w:szCs w:val="21"/>
                <w:highlight w:val="none"/>
                <w:u w:val="single"/>
              </w:rPr>
              <w:t xml:space="preserve">                                        </w:t>
            </w:r>
            <w:r>
              <w:rPr>
                <w:color w:val="auto"/>
                <w:szCs w:val="21"/>
                <w:highlight w:val="none"/>
              </w:rPr>
              <w:t>（大写）¥</w:t>
            </w:r>
            <w:r>
              <w:rPr>
                <w:color w:val="auto"/>
                <w:szCs w:val="21"/>
                <w:highlight w:val="none"/>
                <w:u w:val="single"/>
              </w:rPr>
              <w:t xml:space="preserve">          </w:t>
            </w:r>
            <w:r>
              <w:rPr>
                <w:color w:val="auto"/>
                <w:szCs w:val="21"/>
                <w:highlight w:val="none"/>
              </w:rPr>
              <w:t>（小写）退付到达以下账户。</w:t>
            </w:r>
          </w:p>
          <w:p>
            <w:pPr>
              <w:spacing w:line="400" w:lineRule="exact"/>
              <w:ind w:firstLine="705"/>
              <w:rPr>
                <w:color w:val="auto"/>
                <w:szCs w:val="21"/>
                <w:highlight w:val="none"/>
              </w:rPr>
            </w:pPr>
            <w:r>
              <w:rPr>
                <w:color w:val="auto"/>
                <w:szCs w:val="21"/>
                <w:highlight w:val="none"/>
              </w:rPr>
              <w:t>单位名称：</w:t>
            </w:r>
          </w:p>
          <w:p>
            <w:pPr>
              <w:spacing w:line="400" w:lineRule="exact"/>
              <w:ind w:firstLine="705"/>
              <w:rPr>
                <w:color w:val="auto"/>
                <w:szCs w:val="21"/>
                <w:highlight w:val="none"/>
              </w:rPr>
            </w:pPr>
            <w:r>
              <w:rPr>
                <w:color w:val="auto"/>
                <w:szCs w:val="21"/>
                <w:highlight w:val="none"/>
              </w:rPr>
              <w:t>开户银行：</w:t>
            </w:r>
          </w:p>
          <w:p>
            <w:pPr>
              <w:spacing w:line="400" w:lineRule="exact"/>
              <w:ind w:firstLine="705"/>
              <w:rPr>
                <w:color w:val="auto"/>
                <w:szCs w:val="21"/>
                <w:highlight w:val="none"/>
              </w:rPr>
            </w:pPr>
            <w:r>
              <w:rPr>
                <w:color w:val="auto"/>
                <w:szCs w:val="21"/>
                <w:highlight w:val="none"/>
              </w:rPr>
              <w:t>账   号：</w:t>
            </w:r>
          </w:p>
          <w:p>
            <w:pPr>
              <w:spacing w:line="400" w:lineRule="exact"/>
              <w:rPr>
                <w:color w:val="auto"/>
                <w:szCs w:val="21"/>
                <w:highlight w:val="none"/>
              </w:rPr>
            </w:pPr>
            <w:r>
              <w:rPr>
                <w:color w:val="auto"/>
                <w:szCs w:val="21"/>
                <w:highlight w:val="none"/>
              </w:rPr>
              <w:t>联系人及电话：</w:t>
            </w:r>
          </w:p>
          <w:p>
            <w:pPr>
              <w:spacing w:line="400" w:lineRule="exact"/>
              <w:rPr>
                <w:color w:val="auto"/>
                <w:szCs w:val="21"/>
                <w:highlight w:val="none"/>
              </w:rPr>
            </w:pPr>
          </w:p>
          <w:p>
            <w:pPr>
              <w:spacing w:line="520" w:lineRule="exact"/>
              <w:jc w:val="center"/>
              <w:rPr>
                <w:color w:val="auto"/>
                <w:szCs w:val="21"/>
                <w:highlight w:val="none"/>
              </w:rPr>
            </w:pPr>
            <w:r>
              <w:rPr>
                <w:color w:val="auto"/>
                <w:szCs w:val="21"/>
                <w:highlight w:val="none"/>
              </w:rPr>
              <w:t xml:space="preserve">                                     供应商</w:t>
            </w:r>
            <w:r>
              <w:rPr>
                <w:rFonts w:hint="eastAsia"/>
                <w:color w:val="auto"/>
                <w:szCs w:val="21"/>
                <w:highlight w:val="none"/>
              </w:rPr>
              <w:t>公</w:t>
            </w:r>
            <w:r>
              <w:rPr>
                <w:color w:val="auto"/>
                <w:szCs w:val="21"/>
                <w:highlight w:val="none"/>
              </w:rPr>
              <w:t>章：</w:t>
            </w:r>
          </w:p>
          <w:p>
            <w:pPr>
              <w:spacing w:line="520" w:lineRule="exact"/>
              <w:jc w:val="center"/>
              <w:rPr>
                <w:color w:val="auto"/>
                <w:szCs w:val="21"/>
                <w:highlight w:val="none"/>
              </w:rPr>
            </w:pPr>
            <w:r>
              <w:rPr>
                <w:color w:val="auto"/>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3" w:hRule="atLeast"/>
          <w:jc w:val="center"/>
        </w:trPr>
        <w:tc>
          <w:tcPr>
            <w:tcW w:w="948" w:type="dxa"/>
            <w:vAlign w:val="center"/>
          </w:tcPr>
          <w:p>
            <w:pPr>
              <w:jc w:val="center"/>
              <w:rPr>
                <w:color w:val="auto"/>
                <w:szCs w:val="21"/>
                <w:highlight w:val="none"/>
              </w:rPr>
            </w:pPr>
            <w:r>
              <w:rPr>
                <w:color w:val="auto"/>
                <w:szCs w:val="21"/>
                <w:highlight w:val="none"/>
              </w:rPr>
              <w:t>采</w:t>
            </w:r>
          </w:p>
          <w:p>
            <w:pPr>
              <w:jc w:val="center"/>
              <w:rPr>
                <w:color w:val="auto"/>
                <w:szCs w:val="21"/>
                <w:highlight w:val="none"/>
              </w:rPr>
            </w:pPr>
            <w:r>
              <w:rPr>
                <w:color w:val="auto"/>
                <w:szCs w:val="21"/>
                <w:highlight w:val="none"/>
              </w:rPr>
              <w:t>购</w:t>
            </w:r>
          </w:p>
          <w:p>
            <w:pPr>
              <w:jc w:val="center"/>
              <w:rPr>
                <w:color w:val="auto"/>
                <w:szCs w:val="21"/>
                <w:highlight w:val="none"/>
              </w:rPr>
            </w:pPr>
            <w:r>
              <w:rPr>
                <w:color w:val="auto"/>
                <w:szCs w:val="21"/>
                <w:highlight w:val="none"/>
              </w:rPr>
              <w:t>单</w:t>
            </w:r>
          </w:p>
          <w:p>
            <w:pPr>
              <w:jc w:val="center"/>
              <w:rPr>
                <w:color w:val="auto"/>
                <w:szCs w:val="21"/>
                <w:highlight w:val="none"/>
              </w:rPr>
            </w:pPr>
            <w:r>
              <w:rPr>
                <w:color w:val="auto"/>
                <w:szCs w:val="21"/>
                <w:highlight w:val="none"/>
              </w:rPr>
              <w:t>位</w:t>
            </w:r>
          </w:p>
          <w:p>
            <w:pPr>
              <w:jc w:val="center"/>
              <w:rPr>
                <w:color w:val="auto"/>
                <w:szCs w:val="21"/>
                <w:highlight w:val="none"/>
              </w:rPr>
            </w:pPr>
            <w:r>
              <w:rPr>
                <w:color w:val="auto"/>
                <w:szCs w:val="21"/>
                <w:highlight w:val="none"/>
              </w:rPr>
              <w:t>意</w:t>
            </w:r>
          </w:p>
          <w:p>
            <w:pPr>
              <w:jc w:val="center"/>
              <w:rPr>
                <w:color w:val="auto"/>
                <w:szCs w:val="21"/>
                <w:highlight w:val="none"/>
              </w:rPr>
            </w:pPr>
            <w:r>
              <w:rPr>
                <w:color w:val="auto"/>
                <w:szCs w:val="21"/>
                <w:highlight w:val="none"/>
              </w:rPr>
              <w:t>见</w:t>
            </w:r>
          </w:p>
        </w:tc>
        <w:tc>
          <w:tcPr>
            <w:tcW w:w="8130" w:type="dxa"/>
          </w:tcPr>
          <w:p>
            <w:pPr>
              <w:rPr>
                <w:color w:val="auto"/>
                <w:szCs w:val="21"/>
                <w:highlight w:val="none"/>
              </w:rPr>
            </w:pPr>
          </w:p>
          <w:p>
            <w:pPr>
              <w:rPr>
                <w:color w:val="auto"/>
                <w:szCs w:val="21"/>
                <w:highlight w:val="none"/>
              </w:rPr>
            </w:pPr>
            <w:r>
              <w:rPr>
                <w:color w:val="auto"/>
                <w:szCs w:val="21"/>
                <w:highlight w:val="none"/>
              </w:rPr>
              <w:t>退付意见：是否同意退付履约保证金及退付金额：</w:t>
            </w:r>
          </w:p>
          <w:p>
            <w:pPr>
              <w:rPr>
                <w:color w:val="auto"/>
                <w:szCs w:val="21"/>
                <w:highlight w:val="none"/>
              </w:rPr>
            </w:pPr>
          </w:p>
          <w:p>
            <w:pPr>
              <w:rPr>
                <w:color w:val="auto"/>
                <w:szCs w:val="21"/>
                <w:highlight w:val="none"/>
              </w:rPr>
            </w:pPr>
          </w:p>
          <w:p>
            <w:pPr>
              <w:spacing w:line="520" w:lineRule="exact"/>
              <w:rPr>
                <w:color w:val="auto"/>
                <w:szCs w:val="21"/>
                <w:highlight w:val="none"/>
              </w:rPr>
            </w:pPr>
            <w:r>
              <w:rPr>
                <w:color w:val="auto"/>
                <w:szCs w:val="21"/>
                <w:highlight w:val="none"/>
              </w:rPr>
              <w:t>联系人及电话：                                 采购单位</w:t>
            </w:r>
            <w:r>
              <w:rPr>
                <w:rFonts w:hint="eastAsia"/>
                <w:color w:val="auto"/>
                <w:szCs w:val="21"/>
                <w:highlight w:val="none"/>
              </w:rPr>
              <w:t>公</w:t>
            </w:r>
            <w:r>
              <w:rPr>
                <w:color w:val="auto"/>
                <w:szCs w:val="21"/>
                <w:highlight w:val="none"/>
              </w:rPr>
              <w:t>章</w:t>
            </w:r>
          </w:p>
          <w:p>
            <w:pPr>
              <w:spacing w:line="520" w:lineRule="exact"/>
              <w:jc w:val="center"/>
              <w:rPr>
                <w:color w:val="auto"/>
                <w:szCs w:val="21"/>
                <w:highlight w:val="none"/>
              </w:rPr>
            </w:pPr>
            <w:r>
              <w:rPr>
                <w:color w:val="auto"/>
                <w:szCs w:val="21"/>
                <w:highlight w:val="none"/>
              </w:rPr>
              <w:t xml:space="preserve">                                        年    月     日</w:t>
            </w:r>
          </w:p>
        </w:tc>
      </w:tr>
    </w:tbl>
    <w:p>
      <w:pPr>
        <w:ind w:left="450" w:leftChars="114" w:hanging="211" w:hangingChars="100"/>
        <w:rPr>
          <w:rFonts w:ascii="宋体" w:hAnsi="宋体" w:cs="宋体"/>
          <w:b/>
          <w:bCs/>
          <w:color w:val="auto"/>
          <w:szCs w:val="21"/>
          <w:highlight w:val="none"/>
        </w:rPr>
      </w:pPr>
    </w:p>
    <w:p>
      <w:pPr>
        <w:widowControl/>
        <w:jc w:val="left"/>
        <w:rPr>
          <w:rFonts w:ascii="宋体" w:hAnsi="宋体" w:cs="宋体"/>
          <w:color w:val="auto"/>
          <w:highlight w:val="none"/>
        </w:rPr>
      </w:pPr>
      <w:r>
        <w:rPr>
          <w:rFonts w:hint="eastAsia" w:ascii="宋体" w:hAnsi="宋体" w:cs="宋体"/>
          <w:color w:val="auto"/>
          <w:highlight w:val="none"/>
        </w:rPr>
        <w:br w:type="page"/>
      </w:r>
    </w:p>
    <w:p>
      <w:pPr>
        <w:spacing w:before="120" w:line="320" w:lineRule="atLeast"/>
        <w:jc w:val="left"/>
        <w:outlineLvl w:val="1"/>
        <w:rPr>
          <w:rFonts w:ascii="宋体" w:hAnsi="宋体" w:cs="宋体"/>
          <w:b/>
          <w:bCs/>
          <w:color w:val="auto"/>
          <w:kern w:val="0"/>
          <w:szCs w:val="21"/>
          <w:highlight w:val="none"/>
        </w:rPr>
      </w:pPr>
      <w:bookmarkStart w:id="165" w:name="_Toc210311318"/>
      <w:bookmarkStart w:id="166" w:name="_Toc21330"/>
      <w:bookmarkStart w:id="167" w:name="_Toc210308728"/>
      <w:bookmarkStart w:id="168" w:name="_Toc27081"/>
      <w:r>
        <w:rPr>
          <w:rFonts w:hint="eastAsia" w:ascii="宋体" w:hAnsi="宋体" w:cs="宋体"/>
          <w:b/>
          <w:bCs/>
          <w:color w:val="auto"/>
          <w:kern w:val="0"/>
          <w:szCs w:val="21"/>
          <w:highlight w:val="none"/>
        </w:rPr>
        <w:t>合同附件2</w:t>
      </w:r>
      <w:bookmarkEnd w:id="165"/>
      <w:bookmarkEnd w:id="166"/>
      <w:bookmarkEnd w:id="167"/>
      <w:bookmarkEnd w:id="168"/>
    </w:p>
    <w:tbl>
      <w:tblPr>
        <w:tblStyle w:val="52"/>
        <w:tblW w:w="9836" w:type="dxa"/>
        <w:jc w:val="center"/>
        <w:tblInd w:w="0" w:type="dxa"/>
        <w:tblLayout w:type="fixed"/>
        <w:tblCellMar>
          <w:top w:w="0" w:type="dxa"/>
          <w:left w:w="108" w:type="dxa"/>
          <w:bottom w:w="0" w:type="dxa"/>
          <w:right w:w="108" w:type="dxa"/>
        </w:tblCellMar>
      </w:tblPr>
      <w:tblGrid>
        <w:gridCol w:w="1338"/>
        <w:gridCol w:w="1384"/>
        <w:gridCol w:w="764"/>
        <w:gridCol w:w="426"/>
        <w:gridCol w:w="1290"/>
        <w:gridCol w:w="1400"/>
        <w:gridCol w:w="919"/>
        <w:gridCol w:w="1281"/>
        <w:gridCol w:w="1034"/>
      </w:tblGrid>
      <w:tr>
        <w:tblPrEx>
          <w:tblLayout w:type="fixed"/>
          <w:tblCellMar>
            <w:top w:w="0" w:type="dxa"/>
            <w:left w:w="108" w:type="dxa"/>
            <w:bottom w:w="0" w:type="dxa"/>
            <w:right w:w="108" w:type="dxa"/>
          </w:tblCellMar>
        </w:tblPrEx>
        <w:trPr>
          <w:trHeight w:val="540" w:hRule="atLeast"/>
          <w:jc w:val="center"/>
        </w:trPr>
        <w:tc>
          <w:tcPr>
            <w:tcW w:w="9836" w:type="dxa"/>
            <w:gridSpan w:val="9"/>
            <w:tcBorders>
              <w:top w:val="nil"/>
              <w:left w:val="nil"/>
              <w:bottom w:val="nil"/>
              <w:right w:val="nil"/>
            </w:tcBorders>
            <w:shd w:val="clear" w:color="auto" w:fill="auto"/>
            <w:noWrap/>
            <w:vAlign w:val="center"/>
          </w:tcPr>
          <w:p>
            <w:pPr>
              <w:widowControl/>
              <w:jc w:val="center"/>
              <w:rPr>
                <w:rFonts w:ascii="宋体" w:hAnsi="宋体" w:cs="宋体"/>
                <w:color w:val="auto"/>
                <w:kern w:val="0"/>
                <w:sz w:val="44"/>
                <w:szCs w:val="44"/>
                <w:highlight w:val="none"/>
              </w:rPr>
            </w:pPr>
            <w:r>
              <w:rPr>
                <w:rFonts w:hint="eastAsia" w:ascii="宋体" w:hAnsi="宋体" w:cs="宋体"/>
                <w:color w:val="auto"/>
                <w:kern w:val="0"/>
                <w:sz w:val="44"/>
                <w:szCs w:val="44"/>
                <w:highlight w:val="none"/>
              </w:rPr>
              <w:t>2024年县域医共体设备更新项目设备验收单</w:t>
            </w:r>
          </w:p>
        </w:tc>
      </w:tr>
      <w:tr>
        <w:tblPrEx>
          <w:tblLayout w:type="fixed"/>
          <w:tblCellMar>
            <w:top w:w="0" w:type="dxa"/>
            <w:left w:w="108" w:type="dxa"/>
            <w:bottom w:w="0" w:type="dxa"/>
            <w:right w:w="108" w:type="dxa"/>
          </w:tblCellMar>
        </w:tblPrEx>
        <w:trPr>
          <w:trHeight w:val="285" w:hRule="atLeast"/>
          <w:jc w:val="center"/>
        </w:trPr>
        <w:tc>
          <w:tcPr>
            <w:tcW w:w="1338" w:type="dxa"/>
            <w:tcBorders>
              <w:top w:val="nil"/>
              <w:left w:val="nil"/>
              <w:bottom w:val="nil"/>
              <w:right w:val="nil"/>
            </w:tcBorders>
            <w:shd w:val="clear" w:color="auto" w:fill="auto"/>
            <w:noWrap/>
            <w:vAlign w:val="bottom"/>
          </w:tcPr>
          <w:p>
            <w:pPr>
              <w:widowControl/>
              <w:jc w:val="left"/>
              <w:rPr>
                <w:rFonts w:ascii="宋体" w:hAnsi="宋体" w:cs="宋体"/>
                <w:color w:val="auto"/>
                <w:kern w:val="0"/>
                <w:sz w:val="18"/>
                <w:szCs w:val="18"/>
                <w:highlight w:val="none"/>
              </w:rPr>
            </w:pPr>
          </w:p>
        </w:tc>
        <w:tc>
          <w:tcPr>
            <w:tcW w:w="1384" w:type="dxa"/>
            <w:tcBorders>
              <w:top w:val="nil"/>
              <w:left w:val="nil"/>
              <w:bottom w:val="nil"/>
              <w:right w:val="nil"/>
            </w:tcBorders>
            <w:shd w:val="clear" w:color="auto" w:fill="auto"/>
            <w:noWrap/>
            <w:vAlign w:val="bottom"/>
          </w:tcPr>
          <w:p>
            <w:pPr>
              <w:widowControl/>
              <w:rPr>
                <w:rFonts w:ascii="宋体" w:hAnsi="宋体" w:cs="宋体"/>
                <w:color w:val="auto"/>
                <w:kern w:val="0"/>
                <w:sz w:val="24"/>
                <w:highlight w:val="none"/>
              </w:rPr>
            </w:pPr>
          </w:p>
        </w:tc>
        <w:tc>
          <w:tcPr>
            <w:tcW w:w="3880" w:type="dxa"/>
            <w:gridSpan w:val="4"/>
            <w:tcBorders>
              <w:top w:val="nil"/>
              <w:left w:val="nil"/>
              <w:bottom w:val="nil"/>
              <w:right w:val="nil"/>
            </w:tcBorders>
            <w:shd w:val="clear" w:color="auto" w:fill="auto"/>
            <w:noWrap/>
            <w:vAlign w:val="bottom"/>
          </w:tcPr>
          <w:p>
            <w:pPr>
              <w:widowControl/>
              <w:rPr>
                <w:rFonts w:ascii="宋体" w:hAnsi="宋体" w:cs="宋体"/>
                <w:color w:val="auto"/>
                <w:kern w:val="0"/>
                <w:sz w:val="24"/>
                <w:highlight w:val="none"/>
              </w:rPr>
            </w:pPr>
          </w:p>
        </w:tc>
        <w:tc>
          <w:tcPr>
            <w:tcW w:w="3234" w:type="dxa"/>
            <w:gridSpan w:val="3"/>
            <w:tcBorders>
              <w:top w:val="nil"/>
              <w:left w:val="nil"/>
              <w:bottom w:val="nil"/>
              <w:right w:val="nil"/>
            </w:tcBorders>
            <w:shd w:val="clear" w:color="auto" w:fill="auto"/>
            <w:noWrap/>
            <w:vAlign w:val="bottom"/>
          </w:tcPr>
          <w:p>
            <w:pPr>
              <w:widowControl/>
              <w:jc w:val="center"/>
              <w:rPr>
                <w:rFonts w:ascii="宋体" w:hAnsi="宋体" w:cs="宋体"/>
                <w:color w:val="auto"/>
                <w:kern w:val="0"/>
                <w:sz w:val="20"/>
                <w:szCs w:val="20"/>
                <w:highlight w:val="none"/>
              </w:rPr>
            </w:pPr>
          </w:p>
        </w:tc>
      </w:tr>
      <w:tr>
        <w:tblPrEx>
          <w:tblLayout w:type="fixed"/>
          <w:tblCellMar>
            <w:top w:w="0" w:type="dxa"/>
            <w:left w:w="108" w:type="dxa"/>
            <w:bottom w:w="0" w:type="dxa"/>
            <w:right w:w="108" w:type="dxa"/>
          </w:tblCellMar>
        </w:tblPrEx>
        <w:trPr>
          <w:trHeight w:val="285" w:hRule="atLeast"/>
          <w:jc w:val="center"/>
        </w:trPr>
        <w:tc>
          <w:tcPr>
            <w:tcW w:w="9836" w:type="dxa"/>
            <w:gridSpan w:val="9"/>
            <w:tcBorders>
              <w:top w:val="nil"/>
              <w:left w:val="nil"/>
              <w:bottom w:val="nil"/>
              <w:right w:val="nil"/>
            </w:tcBorders>
            <w:shd w:val="clear" w:color="auto" w:fill="auto"/>
            <w:noWrap/>
            <w:vAlign w:val="bottom"/>
          </w:tcPr>
          <w:p>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项目名称：</w:t>
            </w:r>
            <w:r>
              <w:rPr>
                <w:rFonts w:hint="eastAsia" w:ascii="宋体" w:hAnsi="宋体" w:cs="宋体"/>
                <w:color w:val="auto"/>
                <w:kern w:val="0"/>
                <w:sz w:val="20"/>
                <w:szCs w:val="20"/>
                <w:highlight w:val="none"/>
                <w:u w:val="single"/>
              </w:rPr>
              <w:t xml:space="preserve">                                                      </w:t>
            </w:r>
          </w:p>
        </w:tc>
      </w:tr>
      <w:tr>
        <w:tblPrEx>
          <w:tblLayout w:type="fixed"/>
          <w:tblCellMar>
            <w:top w:w="0" w:type="dxa"/>
            <w:left w:w="108" w:type="dxa"/>
            <w:bottom w:w="0" w:type="dxa"/>
            <w:right w:w="108" w:type="dxa"/>
          </w:tblCellMar>
        </w:tblPrEx>
        <w:trPr>
          <w:trHeight w:val="285" w:hRule="atLeast"/>
          <w:jc w:val="center"/>
        </w:trPr>
        <w:tc>
          <w:tcPr>
            <w:tcW w:w="9836" w:type="dxa"/>
            <w:gridSpan w:val="9"/>
            <w:tcBorders>
              <w:top w:val="nil"/>
              <w:left w:val="nil"/>
              <w:bottom w:val="nil"/>
              <w:right w:val="nil"/>
            </w:tcBorders>
            <w:shd w:val="clear" w:color="auto" w:fill="auto"/>
            <w:noWrap/>
            <w:vAlign w:val="bottom"/>
          </w:tcPr>
          <w:p>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合同编号：</w:t>
            </w:r>
            <w:r>
              <w:rPr>
                <w:rFonts w:hint="eastAsia" w:ascii="宋体" w:hAnsi="宋体" w:cs="宋体"/>
                <w:color w:val="auto"/>
                <w:kern w:val="0"/>
                <w:sz w:val="20"/>
                <w:szCs w:val="20"/>
                <w:highlight w:val="none"/>
                <w:u w:val="single"/>
              </w:rPr>
              <w:t xml:space="preserve">                                                      </w:t>
            </w:r>
            <w:r>
              <w:rPr>
                <w:rFonts w:hint="eastAsia" w:ascii="宋体" w:hAnsi="宋体" w:cs="宋体"/>
                <w:color w:val="auto"/>
                <w:kern w:val="0"/>
                <w:sz w:val="20"/>
                <w:szCs w:val="20"/>
                <w:highlight w:val="none"/>
              </w:rPr>
              <w:t xml:space="preserve">        </w:t>
            </w:r>
          </w:p>
        </w:tc>
      </w:tr>
      <w:tr>
        <w:tblPrEx>
          <w:tblLayout w:type="fixed"/>
          <w:tblCellMar>
            <w:top w:w="0" w:type="dxa"/>
            <w:left w:w="108" w:type="dxa"/>
            <w:bottom w:w="0" w:type="dxa"/>
            <w:right w:w="108" w:type="dxa"/>
          </w:tblCellMar>
        </w:tblPrEx>
        <w:trPr>
          <w:trHeight w:val="300" w:hRule="atLeast"/>
          <w:jc w:val="center"/>
        </w:trPr>
        <w:tc>
          <w:tcPr>
            <w:tcW w:w="9836" w:type="dxa"/>
            <w:gridSpan w:val="9"/>
            <w:tcBorders>
              <w:top w:val="nil"/>
              <w:left w:val="nil"/>
              <w:bottom w:val="single" w:color="000000" w:sz="4" w:space="0"/>
              <w:right w:val="nil"/>
            </w:tcBorders>
            <w:shd w:val="clear" w:color="auto" w:fill="auto"/>
            <w:noWrap/>
            <w:vAlign w:val="bottom"/>
          </w:tcPr>
          <w:p>
            <w:pPr>
              <w:widowControl/>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供货一览表</w:t>
            </w:r>
          </w:p>
        </w:tc>
      </w:tr>
      <w:tr>
        <w:tblPrEx>
          <w:tblLayout w:type="fixed"/>
          <w:tblCellMar>
            <w:top w:w="0" w:type="dxa"/>
            <w:left w:w="108" w:type="dxa"/>
            <w:bottom w:w="0" w:type="dxa"/>
            <w:right w:w="108" w:type="dxa"/>
          </w:tblCellMar>
        </w:tblPrEx>
        <w:trPr>
          <w:trHeight w:val="285" w:hRule="atLeast"/>
          <w:jc w:val="center"/>
        </w:trPr>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序号</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产品名称</w:t>
            </w:r>
          </w:p>
        </w:tc>
        <w:tc>
          <w:tcPr>
            <w:tcW w:w="11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商标品牌</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规格型号</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生产厂家</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数量</w:t>
            </w: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单价(元)</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金额(元)</w:t>
            </w:r>
          </w:p>
        </w:tc>
      </w:tr>
      <w:tr>
        <w:tblPrEx>
          <w:tblLayout w:type="fixed"/>
          <w:tblCellMar>
            <w:top w:w="0" w:type="dxa"/>
            <w:left w:w="108" w:type="dxa"/>
            <w:bottom w:w="0" w:type="dxa"/>
            <w:right w:w="108" w:type="dxa"/>
          </w:tblCellMar>
        </w:tblPrEx>
        <w:trPr>
          <w:trHeight w:val="300" w:hRule="atLeast"/>
          <w:jc w:val="center"/>
        </w:trPr>
        <w:tc>
          <w:tcPr>
            <w:tcW w:w="133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color w:val="auto"/>
                <w:kern w:val="0"/>
                <w:sz w:val="24"/>
                <w:highlight w:val="none"/>
              </w:rPr>
            </w:pPr>
          </w:p>
        </w:tc>
        <w:tc>
          <w:tcPr>
            <w:tcW w:w="138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1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2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40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单位</w:t>
            </w:r>
          </w:p>
        </w:tc>
        <w:tc>
          <w:tcPr>
            <w:tcW w:w="128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0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1190"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w:t>
            </w:r>
          </w:p>
        </w:tc>
      </w:tr>
      <w:tr>
        <w:tblPrEx>
          <w:tblLayout w:type="fixed"/>
          <w:tblCellMar>
            <w:top w:w="0" w:type="dxa"/>
            <w:left w:w="108" w:type="dxa"/>
            <w:bottom w:w="0" w:type="dxa"/>
            <w:right w:w="108" w:type="dxa"/>
          </w:tblCellMar>
        </w:tblPrEx>
        <w:trPr>
          <w:trHeight w:val="570" w:hRule="atLeast"/>
          <w:jc w:val="center"/>
        </w:trPr>
        <w:tc>
          <w:tcPr>
            <w:tcW w:w="983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人民币合计金额（含税）(大写)            元整(小写)（¥               ）</w:t>
            </w:r>
          </w:p>
        </w:tc>
      </w:tr>
      <w:tr>
        <w:tblPrEx>
          <w:tblLayout w:type="fixed"/>
          <w:tblCellMar>
            <w:top w:w="0" w:type="dxa"/>
            <w:left w:w="108" w:type="dxa"/>
            <w:bottom w:w="0" w:type="dxa"/>
            <w:right w:w="108" w:type="dxa"/>
          </w:tblCellMar>
        </w:tblPrEx>
        <w:trPr>
          <w:trHeight w:val="300" w:hRule="atLeast"/>
          <w:jc w:val="center"/>
        </w:trPr>
        <w:tc>
          <w:tcPr>
            <w:tcW w:w="9836" w:type="dxa"/>
            <w:gridSpan w:val="9"/>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验收方式：</w:t>
            </w:r>
            <w:r>
              <w:rPr>
                <w:rFonts w:hint="eastAsia" w:ascii="宋体" w:hAnsi="宋体" w:cs="宋体"/>
                <w:color w:val="auto"/>
                <w:kern w:val="0"/>
                <w:sz w:val="24"/>
                <w:highlight w:val="none"/>
              </w:rPr>
              <w:t xml:space="preserve">   </w:t>
            </w:r>
            <w:r>
              <w:rPr>
                <w:rFonts w:hint="eastAsia" w:ascii="宋体" w:hAnsi="宋体" w:cs="宋体"/>
                <w:color w:val="auto"/>
                <w:kern w:val="0"/>
                <w:sz w:val="22"/>
                <w:szCs w:val="22"/>
                <w:highlight w:val="none"/>
              </w:rPr>
              <w:t>□自主验收         □委托验收</w:t>
            </w:r>
          </w:p>
        </w:tc>
      </w:tr>
      <w:tr>
        <w:tblPrEx>
          <w:tblLayout w:type="fixed"/>
          <w:tblCellMar>
            <w:top w:w="0" w:type="dxa"/>
            <w:left w:w="108" w:type="dxa"/>
            <w:bottom w:w="0" w:type="dxa"/>
            <w:right w:w="108" w:type="dxa"/>
          </w:tblCellMar>
        </w:tblPrEx>
        <w:trPr>
          <w:trHeight w:val="300"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单位名称：</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c>
          <w:tcPr>
            <w:tcW w:w="31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使用科室：</w:t>
            </w:r>
          </w:p>
        </w:tc>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设备名称：</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c>
          <w:tcPr>
            <w:tcW w:w="31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型号：</w:t>
            </w:r>
          </w:p>
        </w:tc>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数量：</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c>
          <w:tcPr>
            <w:tcW w:w="31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注册证/备案证号：</w:t>
            </w:r>
          </w:p>
        </w:tc>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生产日期：</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c>
          <w:tcPr>
            <w:tcW w:w="31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设备制造序列号：</w:t>
            </w:r>
          </w:p>
        </w:tc>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生产厂家：</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c>
          <w:tcPr>
            <w:tcW w:w="31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产地：</w:t>
            </w:r>
          </w:p>
        </w:tc>
        <w:tc>
          <w:tcPr>
            <w:tcW w:w="323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供应商：</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c>
          <w:tcPr>
            <w:tcW w:w="17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使用期限：</w:t>
            </w:r>
          </w:p>
        </w:tc>
        <w:tc>
          <w:tcPr>
            <w:tcW w:w="231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年</w:t>
            </w:r>
          </w:p>
        </w:tc>
        <w:tc>
          <w:tcPr>
            <w:tcW w:w="12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质保期：</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年</w:t>
            </w:r>
          </w:p>
        </w:tc>
      </w:tr>
      <w:tr>
        <w:tblPrEx>
          <w:tblLayout w:type="fixed"/>
          <w:tblCellMar>
            <w:top w:w="0" w:type="dxa"/>
            <w:left w:w="108" w:type="dxa"/>
            <w:bottom w:w="0" w:type="dxa"/>
            <w:right w:w="108" w:type="dxa"/>
          </w:tblCellMar>
        </w:tblPrEx>
        <w:trPr>
          <w:trHeight w:val="300"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电话：</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p>
        </w:tc>
        <w:tc>
          <w:tcPr>
            <w:tcW w:w="171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验收时间：</w:t>
            </w:r>
          </w:p>
        </w:tc>
        <w:tc>
          <w:tcPr>
            <w:tcW w:w="463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年    月    日</w:t>
            </w:r>
          </w:p>
        </w:tc>
      </w:tr>
      <w:tr>
        <w:tblPrEx>
          <w:tblLayout w:type="fixed"/>
          <w:tblCellMar>
            <w:top w:w="0" w:type="dxa"/>
            <w:left w:w="108" w:type="dxa"/>
            <w:bottom w:w="0" w:type="dxa"/>
            <w:right w:w="108" w:type="dxa"/>
          </w:tblCellMar>
        </w:tblPrEx>
        <w:trPr>
          <w:trHeight w:val="555" w:hRule="atLeast"/>
          <w:jc w:val="center"/>
        </w:trPr>
        <w:tc>
          <w:tcPr>
            <w:tcW w:w="13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附属设备：</w:t>
            </w:r>
          </w:p>
        </w:tc>
        <w:tc>
          <w:tcPr>
            <w:tcW w:w="21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有□  无□</w:t>
            </w:r>
          </w:p>
        </w:tc>
        <w:tc>
          <w:tcPr>
            <w:tcW w:w="635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附属设备请在附属设备配置清单中列明</w:t>
            </w:r>
          </w:p>
        </w:tc>
      </w:tr>
      <w:tr>
        <w:tblPrEx>
          <w:tblLayout w:type="fixed"/>
          <w:tblCellMar>
            <w:top w:w="0" w:type="dxa"/>
            <w:left w:w="108" w:type="dxa"/>
            <w:bottom w:w="0" w:type="dxa"/>
            <w:right w:w="108" w:type="dxa"/>
          </w:tblCellMar>
        </w:tblPrEx>
        <w:trPr>
          <w:trHeight w:val="300" w:hRule="atLeast"/>
          <w:jc w:val="center"/>
        </w:trPr>
        <w:tc>
          <w:tcPr>
            <w:tcW w:w="9836"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验收要求</w:t>
            </w:r>
          </w:p>
        </w:tc>
      </w:tr>
      <w:tr>
        <w:tblPrEx>
          <w:tblLayout w:type="fixed"/>
          <w:tblCellMar>
            <w:top w:w="0" w:type="dxa"/>
            <w:left w:w="108" w:type="dxa"/>
            <w:bottom w:w="0" w:type="dxa"/>
            <w:right w:w="108" w:type="dxa"/>
          </w:tblCellMar>
        </w:tblPrEx>
        <w:trPr>
          <w:trHeight w:val="285" w:hRule="atLeast"/>
          <w:jc w:val="center"/>
        </w:trPr>
        <w:tc>
          <w:tcPr>
            <w:tcW w:w="9836" w:type="dxa"/>
            <w:gridSpan w:val="9"/>
            <w:tcBorders>
              <w:top w:val="single" w:color="000000" w:sz="4" w:space="0"/>
              <w:left w:val="single" w:color="000000" w:sz="4" w:space="0"/>
              <w:right w:val="single" w:color="000000" w:sz="4" w:space="0"/>
            </w:tcBorders>
            <w:shd w:val="clear" w:color="auto" w:fill="auto"/>
            <w:noWrap/>
            <w:vAlign w:val="bottom"/>
          </w:tcPr>
          <w:p>
            <w:pPr>
              <w:widowControl/>
              <w:spacing w:line="360" w:lineRule="auto"/>
              <w:rPr>
                <w:rFonts w:ascii="宋体" w:hAnsi="宋体" w:cs="宋体"/>
                <w:color w:val="auto"/>
                <w:kern w:val="0"/>
                <w:sz w:val="22"/>
                <w:szCs w:val="22"/>
                <w:highlight w:val="none"/>
              </w:rPr>
            </w:pPr>
            <w:r>
              <w:rPr>
                <w:rFonts w:hint="eastAsia" w:ascii="宋体" w:hAnsi="宋体" w:cs="宋体"/>
                <w:color w:val="auto"/>
                <w:kern w:val="0"/>
                <w:sz w:val="22"/>
                <w:szCs w:val="22"/>
                <w:highlight w:val="none"/>
              </w:rPr>
              <w:t>1、外观是否完好                                                      （是□    否□）</w:t>
            </w:r>
          </w:p>
        </w:tc>
      </w:tr>
      <w:tr>
        <w:tblPrEx>
          <w:tblLayout w:type="fixed"/>
          <w:tblCellMar>
            <w:top w:w="0" w:type="dxa"/>
            <w:left w:w="108" w:type="dxa"/>
            <w:bottom w:w="0" w:type="dxa"/>
            <w:right w:w="108" w:type="dxa"/>
          </w:tblCellMar>
        </w:tblPrEx>
        <w:trPr>
          <w:trHeight w:val="540" w:hRule="atLeast"/>
          <w:jc w:val="center"/>
        </w:trPr>
        <w:tc>
          <w:tcPr>
            <w:tcW w:w="9836" w:type="dxa"/>
            <w:gridSpan w:val="9"/>
            <w:tcBorders>
              <w:left w:val="single" w:color="000000" w:sz="4" w:space="0"/>
              <w:right w:val="single" w:color="000000" w:sz="4" w:space="0"/>
            </w:tcBorders>
            <w:shd w:val="clear" w:color="auto" w:fill="auto"/>
            <w:vAlign w:val="center"/>
          </w:tcPr>
          <w:p>
            <w:pPr>
              <w:widowControl/>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2、设备名称、规格型号及生产厂家等是否与医疗器械注册证内容一致        （是□    否□）</w:t>
            </w:r>
          </w:p>
        </w:tc>
      </w:tr>
      <w:tr>
        <w:tblPrEx>
          <w:tblLayout w:type="fixed"/>
          <w:tblCellMar>
            <w:top w:w="0" w:type="dxa"/>
            <w:left w:w="108" w:type="dxa"/>
            <w:bottom w:w="0" w:type="dxa"/>
            <w:right w:w="108" w:type="dxa"/>
          </w:tblCellMar>
        </w:tblPrEx>
        <w:trPr>
          <w:trHeight w:val="285" w:hRule="atLeast"/>
          <w:jc w:val="center"/>
        </w:trPr>
        <w:tc>
          <w:tcPr>
            <w:tcW w:w="9836" w:type="dxa"/>
            <w:gridSpan w:val="9"/>
            <w:tcBorders>
              <w:left w:val="single" w:color="000000" w:sz="4" w:space="0"/>
              <w:right w:val="single" w:color="000000" w:sz="4" w:space="0"/>
            </w:tcBorders>
            <w:shd w:val="clear" w:color="auto" w:fill="auto"/>
            <w:noWrap/>
            <w:vAlign w:val="bottom"/>
          </w:tcPr>
          <w:p>
            <w:pPr>
              <w:widowControl/>
              <w:spacing w:line="360" w:lineRule="auto"/>
              <w:rPr>
                <w:rFonts w:ascii="宋体" w:hAnsi="宋体" w:cs="宋体"/>
                <w:color w:val="auto"/>
                <w:kern w:val="0"/>
                <w:sz w:val="22"/>
                <w:szCs w:val="22"/>
                <w:highlight w:val="none"/>
              </w:rPr>
            </w:pPr>
            <w:r>
              <w:rPr>
                <w:rFonts w:hint="eastAsia" w:ascii="宋体" w:hAnsi="宋体" w:cs="宋体"/>
                <w:color w:val="auto"/>
                <w:kern w:val="0"/>
                <w:sz w:val="22"/>
                <w:szCs w:val="22"/>
                <w:highlight w:val="none"/>
              </w:rPr>
              <w:t>3、是否随机配有产品合格证</w:t>
            </w:r>
            <w:r>
              <w:rPr>
                <w:rFonts w:hint="eastAsia" w:ascii="等线" w:hAnsi="等线" w:eastAsia="等线" w:cs="宋体"/>
                <w:color w:val="auto"/>
                <w:kern w:val="0"/>
                <w:sz w:val="22"/>
                <w:szCs w:val="22"/>
                <w:highlight w:val="none"/>
              </w:rPr>
              <w:t xml:space="preserve">                                            </w:t>
            </w:r>
            <w:r>
              <w:rPr>
                <w:rFonts w:hint="eastAsia" w:ascii="宋体" w:hAnsi="宋体" w:cs="宋体"/>
                <w:color w:val="auto"/>
                <w:kern w:val="0"/>
                <w:sz w:val="22"/>
                <w:szCs w:val="22"/>
                <w:highlight w:val="none"/>
              </w:rPr>
              <w:t xml:space="preserve">（是□    否□） </w:t>
            </w:r>
          </w:p>
        </w:tc>
      </w:tr>
      <w:tr>
        <w:tblPrEx>
          <w:tblLayout w:type="fixed"/>
          <w:tblCellMar>
            <w:top w:w="0" w:type="dxa"/>
            <w:left w:w="108" w:type="dxa"/>
            <w:bottom w:w="0" w:type="dxa"/>
            <w:right w:w="108" w:type="dxa"/>
          </w:tblCellMar>
        </w:tblPrEx>
        <w:trPr>
          <w:trHeight w:val="540" w:hRule="atLeast"/>
          <w:jc w:val="center"/>
        </w:trPr>
        <w:tc>
          <w:tcPr>
            <w:tcW w:w="9836" w:type="dxa"/>
            <w:gridSpan w:val="9"/>
            <w:tcBorders>
              <w:left w:val="single" w:color="000000" w:sz="4" w:space="0"/>
              <w:right w:val="single" w:color="000000" w:sz="4" w:space="0"/>
            </w:tcBorders>
            <w:shd w:val="clear" w:color="auto" w:fill="auto"/>
            <w:vAlign w:val="center"/>
          </w:tcPr>
          <w:p>
            <w:pPr>
              <w:widowControl/>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4、设备生产日期是否在医疗器械注册证、产品合格证等有效期内            （是□    否□）                                                                           </w:t>
            </w:r>
          </w:p>
        </w:tc>
      </w:tr>
      <w:tr>
        <w:tblPrEx>
          <w:tblLayout w:type="fixed"/>
          <w:tblCellMar>
            <w:top w:w="0" w:type="dxa"/>
            <w:left w:w="108" w:type="dxa"/>
            <w:bottom w:w="0" w:type="dxa"/>
            <w:right w:w="108" w:type="dxa"/>
          </w:tblCellMar>
        </w:tblPrEx>
        <w:trPr>
          <w:trHeight w:val="285" w:hRule="atLeast"/>
          <w:jc w:val="center"/>
        </w:trPr>
        <w:tc>
          <w:tcPr>
            <w:tcW w:w="9836" w:type="dxa"/>
            <w:gridSpan w:val="9"/>
            <w:tcBorders>
              <w:left w:val="single" w:color="000000" w:sz="4" w:space="0"/>
              <w:right w:val="single" w:color="000000" w:sz="4" w:space="0"/>
            </w:tcBorders>
            <w:shd w:val="clear" w:color="auto" w:fill="auto"/>
            <w:noWrap/>
            <w:vAlign w:val="center"/>
          </w:tcPr>
          <w:p>
            <w:pPr>
              <w:widowControl/>
              <w:spacing w:line="360" w:lineRule="auto"/>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5、设备配置开箱清点后是否与合同中设备配置一致  </w:t>
            </w:r>
            <w:r>
              <w:rPr>
                <w:rFonts w:hint="eastAsia" w:ascii="等线" w:hAnsi="等线" w:eastAsia="等线" w:cs="宋体"/>
                <w:color w:val="auto"/>
                <w:kern w:val="0"/>
                <w:sz w:val="22"/>
                <w:szCs w:val="22"/>
                <w:highlight w:val="none"/>
              </w:rPr>
              <w:t xml:space="preserve">                      </w:t>
            </w:r>
            <w:r>
              <w:rPr>
                <w:rFonts w:hint="eastAsia" w:ascii="宋体" w:hAnsi="宋体" w:cs="宋体"/>
                <w:color w:val="auto"/>
                <w:kern w:val="0"/>
                <w:sz w:val="22"/>
                <w:szCs w:val="22"/>
                <w:highlight w:val="none"/>
              </w:rPr>
              <w:t xml:space="preserve">（是□    否□）                        </w:t>
            </w:r>
          </w:p>
        </w:tc>
      </w:tr>
      <w:tr>
        <w:tblPrEx>
          <w:tblLayout w:type="fixed"/>
          <w:tblCellMar>
            <w:top w:w="0" w:type="dxa"/>
            <w:left w:w="108" w:type="dxa"/>
            <w:bottom w:w="0" w:type="dxa"/>
            <w:right w:w="108" w:type="dxa"/>
          </w:tblCellMar>
        </w:tblPrEx>
        <w:trPr>
          <w:trHeight w:val="285" w:hRule="atLeast"/>
          <w:jc w:val="center"/>
        </w:trPr>
        <w:tc>
          <w:tcPr>
            <w:tcW w:w="9836" w:type="dxa"/>
            <w:gridSpan w:val="9"/>
            <w:tcBorders>
              <w:left w:val="single" w:color="000000" w:sz="4" w:space="0"/>
              <w:right w:val="single" w:color="000000" w:sz="4" w:space="0"/>
            </w:tcBorders>
            <w:shd w:val="clear" w:color="auto" w:fill="auto"/>
            <w:noWrap/>
            <w:vAlign w:val="center"/>
          </w:tcPr>
          <w:p>
            <w:pPr>
              <w:widowControl/>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6、设备操作使用说明书或使用手册、保养手册是否随设备存放于使用科室    （是□    否□）</w:t>
            </w:r>
          </w:p>
        </w:tc>
      </w:tr>
      <w:tr>
        <w:tblPrEx>
          <w:tblLayout w:type="fixed"/>
          <w:tblCellMar>
            <w:top w:w="0" w:type="dxa"/>
            <w:left w:w="108" w:type="dxa"/>
            <w:bottom w:w="0" w:type="dxa"/>
            <w:right w:w="108" w:type="dxa"/>
          </w:tblCellMar>
        </w:tblPrEx>
        <w:trPr>
          <w:trHeight w:val="285" w:hRule="atLeast"/>
          <w:jc w:val="center"/>
        </w:trPr>
        <w:tc>
          <w:tcPr>
            <w:tcW w:w="9836" w:type="dxa"/>
            <w:gridSpan w:val="9"/>
            <w:tcBorders>
              <w:left w:val="single" w:color="000000" w:sz="4" w:space="0"/>
              <w:right w:val="single" w:color="000000" w:sz="4" w:space="0"/>
            </w:tcBorders>
            <w:shd w:val="clear" w:color="auto" w:fill="auto"/>
            <w:noWrap/>
            <w:vAlign w:val="center"/>
          </w:tcPr>
          <w:p>
            <w:pPr>
              <w:widowControl/>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7、设备安装地的水电、环境是否达到设备的安装要求                      （是□    否□）</w:t>
            </w:r>
          </w:p>
        </w:tc>
      </w:tr>
      <w:tr>
        <w:tblPrEx>
          <w:tblLayout w:type="fixed"/>
          <w:tblCellMar>
            <w:top w:w="0" w:type="dxa"/>
            <w:left w:w="108" w:type="dxa"/>
            <w:bottom w:w="0" w:type="dxa"/>
            <w:right w:w="108" w:type="dxa"/>
          </w:tblCellMar>
        </w:tblPrEx>
        <w:trPr>
          <w:trHeight w:val="285" w:hRule="atLeast"/>
          <w:jc w:val="center"/>
        </w:trPr>
        <w:tc>
          <w:tcPr>
            <w:tcW w:w="9836" w:type="dxa"/>
            <w:gridSpan w:val="9"/>
            <w:tcBorders>
              <w:left w:val="single" w:color="000000" w:sz="4" w:space="0"/>
              <w:right w:val="single" w:color="000000" w:sz="4" w:space="0"/>
            </w:tcBorders>
            <w:shd w:val="clear" w:color="auto" w:fill="auto"/>
            <w:noWrap/>
            <w:vAlign w:val="center"/>
          </w:tcPr>
          <w:p>
            <w:pPr>
              <w:widowControl/>
              <w:spacing w:line="360" w:lineRule="auto"/>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8、设备及附件安装调试后各项性能及技术指标是否达到合同要求            （是□    否□）</w:t>
            </w:r>
          </w:p>
        </w:tc>
      </w:tr>
      <w:tr>
        <w:tblPrEx>
          <w:tblLayout w:type="fixed"/>
          <w:tblCellMar>
            <w:top w:w="0" w:type="dxa"/>
            <w:left w:w="108" w:type="dxa"/>
            <w:bottom w:w="0" w:type="dxa"/>
            <w:right w:w="108" w:type="dxa"/>
          </w:tblCellMar>
        </w:tblPrEx>
        <w:trPr>
          <w:trHeight w:val="300" w:hRule="atLeast"/>
          <w:jc w:val="center"/>
        </w:trPr>
        <w:tc>
          <w:tcPr>
            <w:tcW w:w="9836" w:type="dxa"/>
            <w:gridSpan w:val="9"/>
            <w:tcBorders>
              <w:left w:val="single" w:color="000000" w:sz="4" w:space="0"/>
              <w:bottom w:val="single" w:color="000000" w:sz="4" w:space="0"/>
              <w:right w:val="single" w:color="000000" w:sz="4" w:space="0"/>
            </w:tcBorders>
            <w:shd w:val="clear" w:color="auto" w:fill="auto"/>
            <w:noWrap/>
            <w:vAlign w:val="center"/>
          </w:tcPr>
          <w:p>
            <w:pPr>
              <w:widowControl/>
              <w:spacing w:line="360" w:lineRule="auto"/>
              <w:rPr>
                <w:rFonts w:ascii="宋体" w:hAnsi="宋体" w:cs="宋体"/>
                <w:color w:val="auto"/>
                <w:kern w:val="0"/>
                <w:sz w:val="22"/>
                <w:szCs w:val="22"/>
                <w:highlight w:val="none"/>
              </w:rPr>
            </w:pPr>
            <w:r>
              <w:rPr>
                <w:rFonts w:hint="eastAsia" w:ascii="宋体" w:hAnsi="宋体" w:cs="宋体"/>
                <w:color w:val="auto"/>
                <w:kern w:val="0"/>
                <w:sz w:val="22"/>
                <w:szCs w:val="22"/>
                <w:highlight w:val="none"/>
              </w:rPr>
              <w:t>9、生产厂家是否进行设备操作培训及设备日常维护、保养培训              （是□    否□）</w:t>
            </w:r>
          </w:p>
        </w:tc>
      </w:tr>
    </w:tbl>
    <w:p>
      <w:pPr>
        <w:widowControl/>
        <w:jc w:val="left"/>
        <w:rPr>
          <w:rFonts w:asciiTheme="minorEastAsia" w:hAnsiTheme="minorEastAsia" w:eastAsiaTheme="minorEastAsia"/>
          <w:b/>
          <w:bCs/>
          <w:color w:val="auto"/>
          <w:kern w:val="44"/>
          <w:sz w:val="44"/>
          <w:szCs w:val="44"/>
          <w:highlight w:val="none"/>
        </w:rPr>
      </w:pPr>
    </w:p>
    <w:p>
      <w:pPr>
        <w:widowControl/>
        <w:jc w:val="left"/>
        <w:rPr>
          <w:rFonts w:ascii="宋体" w:hAnsi="宋体" w:cs="宋体"/>
          <w:b/>
          <w:bCs/>
          <w:color w:val="auto"/>
          <w:sz w:val="24"/>
          <w:highlight w:val="none"/>
        </w:rPr>
      </w:pPr>
      <w:r>
        <w:rPr>
          <w:rFonts w:asciiTheme="minorEastAsia" w:hAnsiTheme="minorEastAsia" w:eastAsiaTheme="minorEastAsia"/>
          <w:color w:val="auto"/>
          <w:highlight w:val="none"/>
        </w:rPr>
        <w:br w:type="page"/>
      </w:r>
    </w:p>
    <w:tbl>
      <w:tblPr>
        <w:tblStyle w:val="52"/>
        <w:tblpPr w:leftFromText="180" w:rightFromText="180" w:vertAnchor="page" w:horzAnchor="page" w:tblpXSpec="center" w:tblpY="1119"/>
        <w:tblOverlap w:val="never"/>
        <w:tblW w:w="9750" w:type="dxa"/>
        <w:jc w:val="center"/>
        <w:tblInd w:w="0" w:type="dxa"/>
        <w:tblLayout w:type="fixed"/>
        <w:tblCellMar>
          <w:top w:w="0" w:type="dxa"/>
          <w:left w:w="108" w:type="dxa"/>
          <w:bottom w:w="0" w:type="dxa"/>
          <w:right w:w="108" w:type="dxa"/>
        </w:tblCellMar>
      </w:tblPr>
      <w:tblGrid>
        <w:gridCol w:w="1791"/>
        <w:gridCol w:w="2943"/>
        <w:gridCol w:w="2175"/>
        <w:gridCol w:w="2841"/>
      </w:tblGrid>
      <w:tr>
        <w:tblPrEx>
          <w:tblLayout w:type="fixed"/>
          <w:tblCellMar>
            <w:top w:w="0" w:type="dxa"/>
            <w:left w:w="108" w:type="dxa"/>
            <w:bottom w:w="0" w:type="dxa"/>
            <w:right w:w="108" w:type="dxa"/>
          </w:tblCellMar>
        </w:tblPrEx>
        <w:trPr>
          <w:trHeight w:val="464" w:hRule="atLeast"/>
          <w:jc w:val="center"/>
        </w:trPr>
        <w:tc>
          <w:tcPr>
            <w:tcW w:w="9750" w:type="dxa"/>
            <w:gridSpan w:val="4"/>
            <w:tcBorders>
              <w:top w:val="nil"/>
              <w:left w:val="nil"/>
              <w:bottom w:val="single" w:color="auto" w:sz="4" w:space="0"/>
              <w:right w:val="nil"/>
            </w:tcBorders>
            <w:shd w:val="clear" w:color="auto" w:fill="auto"/>
            <w:noWrap/>
            <w:vAlign w:val="center"/>
          </w:tcPr>
          <w:p>
            <w:pPr>
              <w:widowControl/>
              <w:jc w:val="center"/>
              <w:textAlignment w:val="center"/>
              <w:rPr>
                <w:rFonts w:ascii="宋体" w:hAnsi="宋体" w:cs="宋体"/>
                <w:color w:val="auto"/>
                <w:sz w:val="22"/>
                <w:szCs w:val="22"/>
                <w:highlight w:val="none"/>
              </w:rPr>
            </w:pPr>
            <w:r>
              <w:rPr>
                <w:rFonts w:hint="eastAsia" w:ascii="宋体" w:hAnsi="宋体" w:cs="宋体"/>
                <w:b/>
                <w:bCs/>
                <w:color w:val="auto"/>
                <w:sz w:val="24"/>
                <w:highlight w:val="none"/>
              </w:rPr>
              <w:t>验收意见</w:t>
            </w:r>
          </w:p>
        </w:tc>
      </w:tr>
      <w:tr>
        <w:tblPrEx>
          <w:tblLayout w:type="fixed"/>
          <w:tblCellMar>
            <w:top w:w="0" w:type="dxa"/>
            <w:left w:w="108" w:type="dxa"/>
            <w:bottom w:w="0" w:type="dxa"/>
            <w:right w:w="108" w:type="dxa"/>
          </w:tblCellMar>
        </w:tblPrEx>
        <w:trPr>
          <w:trHeight w:val="926" w:hRule="atLeast"/>
          <w:jc w:val="center"/>
        </w:trPr>
        <w:tc>
          <w:tcPr>
            <w:tcW w:w="1791" w:type="dxa"/>
            <w:vMerge w:val="restart"/>
            <w:tcBorders>
              <w:top w:val="single" w:color="auto" w:sz="4" w:space="0"/>
              <w:left w:val="single" w:color="000000" w:sz="4" w:space="0"/>
              <w:right w:val="single" w:color="auto" w:sz="4" w:space="0"/>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验收小组意见</w:t>
            </w:r>
          </w:p>
        </w:tc>
        <w:tc>
          <w:tcPr>
            <w:tcW w:w="7959"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验收合格□</w:t>
            </w:r>
          </w:p>
          <w:p>
            <w:pPr>
              <w:widowControl/>
              <w:jc w:val="left"/>
              <w:textAlignment w:val="center"/>
              <w:rPr>
                <w:rFonts w:ascii="宋体" w:hAnsi="宋体" w:cs="宋体"/>
                <w:color w:val="auto"/>
                <w:sz w:val="22"/>
                <w:szCs w:val="22"/>
                <w:highlight w:val="none"/>
              </w:rPr>
            </w:pPr>
          </w:p>
          <w:p>
            <w:pPr>
              <w:widowControl/>
              <w:jc w:val="left"/>
              <w:textAlignment w:val="center"/>
              <w:rPr>
                <w:rFonts w:ascii="宋体" w:hAnsi="宋体" w:cs="宋体"/>
                <w:color w:val="auto"/>
                <w:sz w:val="22"/>
                <w:szCs w:val="22"/>
                <w:highlight w:val="none"/>
              </w:rPr>
            </w:pPr>
            <w:r>
              <w:rPr>
                <w:rFonts w:hint="eastAsia" w:ascii="宋体" w:hAnsi="宋体" w:cs="宋体"/>
                <w:color w:val="auto"/>
                <w:sz w:val="22"/>
                <w:szCs w:val="22"/>
                <w:highlight w:val="none"/>
              </w:rPr>
              <w:t>验收小组成员签字：</w:t>
            </w:r>
          </w:p>
          <w:p>
            <w:pPr>
              <w:widowControl/>
              <w:jc w:val="left"/>
              <w:textAlignment w:val="center"/>
              <w:rPr>
                <w:rFonts w:ascii="宋体" w:hAnsi="宋体" w:cs="宋体"/>
                <w:color w:val="auto"/>
                <w:sz w:val="22"/>
                <w:szCs w:val="22"/>
                <w:highlight w:val="none"/>
              </w:rPr>
            </w:pPr>
            <w:r>
              <w:rPr>
                <w:rFonts w:hint="eastAsia" w:ascii="宋体" w:hAnsi="宋体" w:cs="宋体"/>
                <w:color w:val="auto"/>
                <w:sz w:val="22"/>
                <w:szCs w:val="22"/>
                <w:highlight w:val="none"/>
              </w:rPr>
              <w:t xml:space="preserve"> </w:t>
            </w:r>
          </w:p>
          <w:p>
            <w:pPr>
              <w:widowControl/>
              <w:jc w:val="left"/>
              <w:textAlignment w:val="center"/>
              <w:rPr>
                <w:rFonts w:ascii="宋体" w:hAnsi="宋体" w:cs="宋体"/>
                <w:color w:val="auto"/>
                <w:sz w:val="22"/>
                <w:szCs w:val="22"/>
                <w:highlight w:val="none"/>
              </w:rPr>
            </w:pPr>
            <w:r>
              <w:rPr>
                <w:rFonts w:hint="eastAsia" w:ascii="宋体" w:hAnsi="宋体" w:cs="宋体"/>
                <w:color w:val="auto"/>
                <w:sz w:val="22"/>
                <w:szCs w:val="22"/>
                <w:highlight w:val="none"/>
              </w:rPr>
              <w:t xml:space="preserve">                                                        年    月    日</w:t>
            </w:r>
          </w:p>
        </w:tc>
      </w:tr>
      <w:tr>
        <w:tblPrEx>
          <w:tblLayout w:type="fixed"/>
          <w:tblCellMar>
            <w:top w:w="0" w:type="dxa"/>
            <w:left w:w="108" w:type="dxa"/>
            <w:bottom w:w="0" w:type="dxa"/>
            <w:right w:w="108" w:type="dxa"/>
          </w:tblCellMar>
        </w:tblPrEx>
        <w:trPr>
          <w:trHeight w:val="726" w:hRule="atLeast"/>
          <w:jc w:val="center"/>
        </w:trPr>
        <w:tc>
          <w:tcPr>
            <w:tcW w:w="1791" w:type="dxa"/>
            <w:vMerge w:val="continue"/>
            <w:tcBorders>
              <w:left w:val="single" w:color="000000" w:sz="4" w:space="0"/>
              <w:right w:val="single" w:color="auto" w:sz="4" w:space="0"/>
            </w:tcBorders>
            <w:shd w:val="clear" w:color="auto" w:fill="auto"/>
            <w:noWrap/>
            <w:vAlign w:val="center"/>
          </w:tcPr>
          <w:p>
            <w:pPr>
              <w:jc w:val="left"/>
              <w:rPr>
                <w:rFonts w:ascii="宋体" w:hAnsi="宋体" w:cs="宋体"/>
                <w:color w:val="auto"/>
                <w:sz w:val="22"/>
                <w:szCs w:val="22"/>
                <w:highlight w:val="none"/>
              </w:rPr>
            </w:pPr>
          </w:p>
        </w:tc>
        <w:tc>
          <w:tcPr>
            <w:tcW w:w="7959" w:type="dxa"/>
            <w:gridSpan w:val="3"/>
            <w:tcBorders>
              <w:top w:val="single" w:color="auto" w:sz="4" w:space="0"/>
              <w:left w:val="single" w:color="auto"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验收不合格□</w:t>
            </w: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意见及理由：</w:t>
            </w:r>
          </w:p>
          <w:p>
            <w:pPr>
              <w:widowControl/>
              <w:jc w:val="left"/>
              <w:textAlignment w:val="center"/>
              <w:rPr>
                <w:rFonts w:ascii="宋体" w:hAnsi="宋体" w:cs="宋体"/>
                <w:color w:val="auto"/>
                <w:kern w:val="0"/>
                <w:sz w:val="22"/>
                <w:szCs w:val="22"/>
                <w:highlight w:val="none"/>
              </w:rPr>
            </w:pPr>
          </w:p>
          <w:p>
            <w:pPr>
              <w:widowControl/>
              <w:jc w:val="left"/>
              <w:textAlignment w:val="center"/>
              <w:rPr>
                <w:rFonts w:ascii="宋体" w:hAnsi="宋体" w:cs="宋体"/>
                <w:color w:val="auto"/>
                <w:kern w:val="0"/>
                <w:sz w:val="22"/>
                <w:szCs w:val="22"/>
                <w:highlight w:val="none"/>
              </w:rPr>
            </w:pP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 xml:space="preserve">验收小组成员签字： </w:t>
            </w:r>
          </w:p>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年    月    日</w:t>
            </w:r>
          </w:p>
        </w:tc>
      </w:tr>
      <w:tr>
        <w:tblPrEx>
          <w:tblLayout w:type="fixed"/>
          <w:tblCellMar>
            <w:top w:w="0" w:type="dxa"/>
            <w:left w:w="108" w:type="dxa"/>
            <w:bottom w:w="0" w:type="dxa"/>
            <w:right w:w="108" w:type="dxa"/>
          </w:tblCellMar>
        </w:tblPrEx>
        <w:trPr>
          <w:trHeight w:val="726" w:hRule="atLeast"/>
          <w:jc w:val="center"/>
        </w:trPr>
        <w:tc>
          <w:tcPr>
            <w:tcW w:w="1791" w:type="dxa"/>
            <w:vMerge w:val="continue"/>
            <w:tcBorders>
              <w:left w:val="single" w:color="000000" w:sz="4" w:space="0"/>
              <w:bottom w:val="single" w:color="000000" w:sz="4" w:space="0"/>
              <w:right w:val="single" w:color="auto" w:sz="4" w:space="0"/>
            </w:tcBorders>
            <w:shd w:val="clear" w:color="auto" w:fill="auto"/>
            <w:noWrap/>
            <w:vAlign w:val="center"/>
          </w:tcPr>
          <w:p>
            <w:pPr>
              <w:jc w:val="left"/>
              <w:rPr>
                <w:rFonts w:ascii="宋体" w:hAnsi="宋体" w:cs="宋体"/>
                <w:color w:val="auto"/>
                <w:sz w:val="22"/>
                <w:szCs w:val="22"/>
                <w:highlight w:val="none"/>
              </w:rPr>
            </w:pPr>
          </w:p>
        </w:tc>
        <w:tc>
          <w:tcPr>
            <w:tcW w:w="7959" w:type="dxa"/>
            <w:gridSpan w:val="3"/>
            <w:tcBorders>
              <w:top w:val="single" w:color="auto" w:sz="4" w:space="0"/>
              <w:left w:val="single" w:color="auto"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监督人员意见：合格□   不合格□</w:t>
            </w:r>
          </w:p>
          <w:p>
            <w:pPr>
              <w:widowControl/>
              <w:jc w:val="left"/>
              <w:textAlignment w:val="center"/>
              <w:rPr>
                <w:rFonts w:ascii="宋体" w:hAnsi="宋体" w:cs="宋体"/>
                <w:color w:val="auto"/>
                <w:kern w:val="0"/>
                <w:sz w:val="22"/>
                <w:szCs w:val="22"/>
                <w:highlight w:val="none"/>
              </w:rPr>
            </w:pP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监督人员签字：</w:t>
            </w: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年    月    日</w:t>
            </w:r>
          </w:p>
        </w:tc>
      </w:tr>
      <w:tr>
        <w:tblPrEx>
          <w:tblLayout w:type="fixed"/>
          <w:tblCellMar>
            <w:top w:w="0" w:type="dxa"/>
            <w:left w:w="108" w:type="dxa"/>
            <w:bottom w:w="0" w:type="dxa"/>
            <w:right w:w="108" w:type="dxa"/>
          </w:tblCellMar>
        </w:tblPrEx>
        <w:trPr>
          <w:trHeight w:val="1238" w:hRule="atLeast"/>
          <w:jc w:val="center"/>
        </w:trPr>
        <w:tc>
          <w:tcPr>
            <w:tcW w:w="9750" w:type="dxa"/>
            <w:gridSpan w:val="4"/>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top"/>
              <w:rPr>
                <w:rFonts w:ascii="宋体" w:hAnsi="宋体" w:cs="宋体"/>
                <w:color w:val="auto"/>
                <w:kern w:val="0"/>
                <w:sz w:val="22"/>
                <w:szCs w:val="22"/>
                <w:highlight w:val="none"/>
              </w:rPr>
            </w:pPr>
            <w:r>
              <w:rPr>
                <w:rFonts w:hint="eastAsia" w:ascii="宋体" w:hAnsi="宋体" w:cs="宋体"/>
                <w:color w:val="auto"/>
                <w:sz w:val="22"/>
                <w:szCs w:val="22"/>
                <w:highlight w:val="none"/>
              </w:rPr>
              <w:t>受邀单位或公司验收意见：</w:t>
            </w:r>
            <w:r>
              <w:rPr>
                <w:rFonts w:hint="eastAsia" w:ascii="宋体" w:hAnsi="宋体" w:cs="宋体"/>
                <w:color w:val="auto"/>
                <w:kern w:val="0"/>
                <w:sz w:val="22"/>
                <w:szCs w:val="22"/>
                <w:highlight w:val="none"/>
              </w:rPr>
              <w:t xml:space="preserve">合格□   不合格□ </w:t>
            </w:r>
          </w:p>
          <w:p>
            <w:pPr>
              <w:widowControl/>
              <w:jc w:val="left"/>
              <w:textAlignment w:val="top"/>
              <w:rPr>
                <w:rFonts w:ascii="宋体" w:hAnsi="宋体" w:cs="宋体"/>
                <w:color w:val="auto"/>
                <w:kern w:val="0"/>
                <w:sz w:val="22"/>
                <w:szCs w:val="22"/>
                <w:highlight w:val="none"/>
              </w:rPr>
            </w:pPr>
          </w:p>
          <w:p>
            <w:pPr>
              <w:widowControl/>
              <w:jc w:val="left"/>
              <w:textAlignment w:val="top"/>
              <w:rPr>
                <w:rFonts w:ascii="宋体" w:hAnsi="宋体" w:cs="宋体"/>
                <w:color w:val="auto"/>
                <w:kern w:val="0"/>
                <w:sz w:val="22"/>
                <w:szCs w:val="22"/>
                <w:highlight w:val="none"/>
              </w:rPr>
            </w:pPr>
          </w:p>
          <w:p>
            <w:pPr>
              <w:widowControl/>
              <w:jc w:val="left"/>
              <w:textAlignment w:val="top"/>
              <w:rPr>
                <w:rFonts w:ascii="宋体" w:hAnsi="宋体" w:cs="宋体"/>
                <w:color w:val="auto"/>
                <w:kern w:val="0"/>
                <w:sz w:val="22"/>
                <w:szCs w:val="22"/>
                <w:highlight w:val="none"/>
              </w:rPr>
            </w:pPr>
            <w:r>
              <w:rPr>
                <w:rFonts w:hint="eastAsia" w:ascii="宋体" w:hAnsi="宋体" w:cs="宋体"/>
                <w:color w:val="auto"/>
                <w:sz w:val="22"/>
                <w:szCs w:val="22"/>
                <w:highlight w:val="none"/>
              </w:rPr>
              <w:t>受邀单位或公司代表：</w:t>
            </w: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年    月    日  </w:t>
            </w:r>
          </w:p>
        </w:tc>
      </w:tr>
      <w:tr>
        <w:tblPrEx>
          <w:tblLayout w:type="fixed"/>
          <w:tblCellMar>
            <w:top w:w="0" w:type="dxa"/>
            <w:left w:w="108" w:type="dxa"/>
            <w:bottom w:w="0" w:type="dxa"/>
            <w:right w:w="108" w:type="dxa"/>
          </w:tblCellMar>
        </w:tblPrEx>
        <w:trPr>
          <w:trHeight w:val="1238" w:hRule="atLeast"/>
          <w:jc w:val="center"/>
        </w:trPr>
        <w:tc>
          <w:tcPr>
            <w:tcW w:w="9750" w:type="dxa"/>
            <w:gridSpan w:val="4"/>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top"/>
              <w:rPr>
                <w:rFonts w:ascii="宋体" w:hAnsi="宋体" w:cs="宋体"/>
                <w:color w:val="auto"/>
                <w:kern w:val="0"/>
                <w:sz w:val="22"/>
                <w:szCs w:val="22"/>
                <w:highlight w:val="none"/>
              </w:rPr>
            </w:pPr>
            <w:r>
              <w:rPr>
                <w:rFonts w:hint="eastAsia" w:ascii="宋体" w:hAnsi="宋体" w:cs="宋体"/>
                <w:color w:val="auto"/>
                <w:kern w:val="0"/>
                <w:sz w:val="22"/>
                <w:szCs w:val="22"/>
                <w:highlight w:val="none"/>
              </w:rPr>
              <w:t>厂家或供应商代表</w:t>
            </w:r>
            <w:r>
              <w:rPr>
                <w:rFonts w:hint="eastAsia" w:ascii="宋体" w:hAnsi="宋体" w:cs="宋体"/>
                <w:color w:val="auto"/>
                <w:sz w:val="22"/>
                <w:szCs w:val="22"/>
                <w:highlight w:val="none"/>
              </w:rPr>
              <w:t>验收意见：</w:t>
            </w:r>
            <w:r>
              <w:rPr>
                <w:rFonts w:hint="eastAsia" w:ascii="宋体" w:hAnsi="宋体" w:cs="宋体"/>
                <w:color w:val="auto"/>
                <w:kern w:val="0"/>
                <w:sz w:val="22"/>
                <w:szCs w:val="22"/>
                <w:highlight w:val="none"/>
              </w:rPr>
              <w:t xml:space="preserve">合格□   不合格□ </w:t>
            </w:r>
          </w:p>
          <w:p>
            <w:pPr>
              <w:widowControl/>
              <w:jc w:val="left"/>
              <w:textAlignment w:val="top"/>
              <w:rPr>
                <w:rFonts w:ascii="宋体" w:hAnsi="宋体" w:cs="宋体"/>
                <w:color w:val="auto"/>
                <w:kern w:val="0"/>
                <w:sz w:val="22"/>
                <w:szCs w:val="22"/>
                <w:highlight w:val="none"/>
              </w:rPr>
            </w:pPr>
          </w:p>
          <w:p>
            <w:pPr>
              <w:widowControl/>
              <w:jc w:val="left"/>
              <w:textAlignment w:val="top"/>
              <w:rPr>
                <w:rFonts w:ascii="宋体" w:hAnsi="宋体" w:cs="宋体"/>
                <w:color w:val="auto"/>
                <w:kern w:val="0"/>
                <w:sz w:val="22"/>
                <w:szCs w:val="22"/>
                <w:highlight w:val="none"/>
              </w:rPr>
            </w:pPr>
          </w:p>
          <w:p>
            <w:pPr>
              <w:widowControl/>
              <w:jc w:val="left"/>
              <w:textAlignment w:val="top"/>
              <w:rPr>
                <w:rFonts w:ascii="宋体" w:hAnsi="宋体" w:cs="宋体"/>
                <w:color w:val="auto"/>
                <w:kern w:val="0"/>
                <w:sz w:val="22"/>
                <w:szCs w:val="22"/>
                <w:highlight w:val="none"/>
              </w:rPr>
            </w:pPr>
            <w:r>
              <w:rPr>
                <w:rFonts w:hint="eastAsia" w:ascii="宋体" w:hAnsi="宋体" w:cs="宋体"/>
                <w:color w:val="auto"/>
                <w:kern w:val="0"/>
                <w:sz w:val="22"/>
                <w:szCs w:val="22"/>
                <w:highlight w:val="none"/>
              </w:rPr>
              <w:t>厂家或供应商代表</w:t>
            </w:r>
            <w:r>
              <w:rPr>
                <w:rFonts w:hint="eastAsia" w:ascii="宋体" w:hAnsi="宋体" w:cs="宋体"/>
                <w:color w:val="auto"/>
                <w:sz w:val="22"/>
                <w:szCs w:val="22"/>
                <w:highlight w:val="none"/>
              </w:rPr>
              <w:t>代表：</w:t>
            </w: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年    月    日  </w:t>
            </w:r>
          </w:p>
        </w:tc>
      </w:tr>
      <w:tr>
        <w:tblPrEx>
          <w:tblLayout w:type="fixed"/>
          <w:tblCellMar>
            <w:top w:w="0" w:type="dxa"/>
            <w:left w:w="108" w:type="dxa"/>
            <w:bottom w:w="0" w:type="dxa"/>
            <w:right w:w="108" w:type="dxa"/>
          </w:tblCellMar>
        </w:tblPrEx>
        <w:trPr>
          <w:trHeight w:val="1201" w:hRule="atLeast"/>
          <w:jc w:val="center"/>
        </w:trPr>
        <w:tc>
          <w:tcPr>
            <w:tcW w:w="1791" w:type="dxa"/>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使用单位或委托代表人验收</w:t>
            </w:r>
            <w:r>
              <w:rPr>
                <w:rFonts w:hint="eastAsia" w:ascii="宋体" w:hAnsi="宋体" w:cs="宋体"/>
                <w:color w:val="auto"/>
                <w:sz w:val="22"/>
                <w:szCs w:val="22"/>
                <w:highlight w:val="none"/>
              </w:rPr>
              <w:t>意见：</w:t>
            </w:r>
          </w:p>
        </w:tc>
        <w:tc>
          <w:tcPr>
            <w:tcW w:w="2943" w:type="dxa"/>
            <w:tcBorders>
              <w:top w:val="single" w:color="000000" w:sz="4" w:space="0"/>
              <w:left w:val="nil"/>
              <w:bottom w:val="nil"/>
              <w:right w:val="single" w:color="000000" w:sz="4" w:space="0"/>
            </w:tcBorders>
            <w:shd w:val="clear" w:color="auto" w:fill="auto"/>
            <w:noWrap/>
            <w:vAlign w:val="center"/>
          </w:tcPr>
          <w:p>
            <w:pPr>
              <w:widowControl/>
              <w:ind w:firstLine="220" w:firstLineChars="100"/>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合格□   不合格□ </w:t>
            </w:r>
          </w:p>
        </w:tc>
        <w:tc>
          <w:tcPr>
            <w:tcW w:w="2175" w:type="dxa"/>
            <w:tcBorders>
              <w:top w:val="single" w:color="000000" w:sz="4" w:space="0"/>
              <w:left w:val="nil"/>
              <w:right w:val="nil"/>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采购人或委托代表人验收</w:t>
            </w:r>
            <w:r>
              <w:rPr>
                <w:rFonts w:hint="eastAsia" w:ascii="宋体" w:hAnsi="宋体" w:cs="宋体"/>
                <w:color w:val="auto"/>
                <w:sz w:val="22"/>
                <w:szCs w:val="22"/>
                <w:highlight w:val="none"/>
              </w:rPr>
              <w:t>意见：</w:t>
            </w:r>
          </w:p>
        </w:tc>
        <w:tc>
          <w:tcPr>
            <w:tcW w:w="2841" w:type="dxa"/>
            <w:tcBorders>
              <w:top w:val="single" w:color="000000" w:sz="4" w:space="0"/>
              <w:left w:val="nil"/>
              <w:right w:val="single" w:color="000000" w:sz="4" w:space="0"/>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合格□  不合格□ </w:t>
            </w:r>
          </w:p>
        </w:tc>
      </w:tr>
      <w:tr>
        <w:tblPrEx>
          <w:tblLayout w:type="fixed"/>
          <w:tblCellMar>
            <w:top w:w="0" w:type="dxa"/>
            <w:left w:w="108" w:type="dxa"/>
            <w:bottom w:w="0" w:type="dxa"/>
            <w:right w:w="108" w:type="dxa"/>
          </w:tblCellMar>
        </w:tblPrEx>
        <w:trPr>
          <w:trHeight w:val="592" w:hRule="atLeast"/>
          <w:jc w:val="center"/>
        </w:trPr>
        <w:tc>
          <w:tcPr>
            <w:tcW w:w="1791" w:type="dxa"/>
            <w:tcBorders>
              <w:top w:val="nil"/>
              <w:left w:val="single" w:color="000000" w:sz="4" w:space="0"/>
              <w:bottom w:val="single" w:color="auto" w:sz="4" w:space="0"/>
              <w:right w:val="nil"/>
            </w:tcBorders>
            <w:shd w:val="clear" w:color="auto" w:fill="auto"/>
            <w:noWrap/>
            <w:vAlign w:val="center"/>
          </w:tcPr>
          <w:p>
            <w:pPr>
              <w:rPr>
                <w:rFonts w:ascii="宋体" w:hAnsi="宋体" w:cs="宋体"/>
                <w:color w:val="auto"/>
                <w:sz w:val="22"/>
                <w:szCs w:val="22"/>
                <w:highlight w:val="none"/>
              </w:rPr>
            </w:pPr>
          </w:p>
        </w:tc>
        <w:tc>
          <w:tcPr>
            <w:tcW w:w="2943" w:type="dxa"/>
            <w:tcBorders>
              <w:top w:val="nil"/>
              <w:left w:val="nil"/>
              <w:bottom w:val="single" w:color="auto" w:sz="4" w:space="0"/>
              <w:right w:val="single" w:color="000000" w:sz="4" w:space="0"/>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年    月    日</w:t>
            </w:r>
          </w:p>
        </w:tc>
        <w:tc>
          <w:tcPr>
            <w:tcW w:w="2175" w:type="dxa"/>
            <w:tcBorders>
              <w:top w:val="nil"/>
              <w:left w:val="nil"/>
              <w:bottom w:val="single" w:color="auto" w:sz="4" w:space="0"/>
              <w:right w:val="nil"/>
            </w:tcBorders>
            <w:shd w:val="clear" w:color="auto" w:fill="auto"/>
            <w:noWrap/>
            <w:vAlign w:val="center"/>
          </w:tcPr>
          <w:p>
            <w:pPr>
              <w:jc w:val="left"/>
              <w:rPr>
                <w:rFonts w:ascii="宋体" w:hAnsi="宋体" w:cs="宋体"/>
                <w:color w:val="auto"/>
                <w:sz w:val="22"/>
                <w:szCs w:val="22"/>
                <w:highlight w:val="none"/>
              </w:rPr>
            </w:pPr>
          </w:p>
        </w:tc>
        <w:tc>
          <w:tcPr>
            <w:tcW w:w="2841" w:type="dxa"/>
            <w:tcBorders>
              <w:top w:val="nil"/>
              <w:left w:val="nil"/>
              <w:bottom w:val="single" w:color="auto" w:sz="4" w:space="0"/>
              <w:right w:val="single" w:color="000000" w:sz="4" w:space="0"/>
            </w:tcBorders>
            <w:shd w:val="clear" w:color="auto" w:fill="auto"/>
            <w:noWrap/>
            <w:vAlign w:val="center"/>
          </w:tcPr>
          <w:p>
            <w:pPr>
              <w:widowControl/>
              <w:ind w:firstLine="220" w:firstLineChars="100"/>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年    月    日</w:t>
            </w:r>
          </w:p>
        </w:tc>
      </w:tr>
      <w:tr>
        <w:tblPrEx>
          <w:tblLayout w:type="fixed"/>
          <w:tblCellMar>
            <w:top w:w="0" w:type="dxa"/>
            <w:left w:w="108" w:type="dxa"/>
            <w:bottom w:w="0" w:type="dxa"/>
            <w:right w:w="108" w:type="dxa"/>
          </w:tblCellMar>
        </w:tblPrEx>
        <w:trPr>
          <w:trHeight w:val="187" w:hRule="atLeast"/>
          <w:jc w:val="center"/>
        </w:trPr>
        <w:tc>
          <w:tcPr>
            <w:tcW w:w="1791" w:type="dxa"/>
            <w:tcBorders>
              <w:top w:val="single" w:color="auto" w:sz="4" w:space="0"/>
              <w:left w:val="nil"/>
              <w:bottom w:val="nil"/>
              <w:right w:val="nil"/>
            </w:tcBorders>
            <w:shd w:val="clear" w:color="auto" w:fill="auto"/>
            <w:noWrap/>
            <w:vAlign w:val="center"/>
          </w:tcPr>
          <w:p>
            <w:pPr>
              <w:rPr>
                <w:rFonts w:ascii="宋体" w:hAnsi="宋体" w:cs="宋体"/>
                <w:color w:val="auto"/>
                <w:sz w:val="22"/>
                <w:szCs w:val="22"/>
                <w:highlight w:val="none"/>
              </w:rPr>
            </w:pPr>
          </w:p>
        </w:tc>
        <w:tc>
          <w:tcPr>
            <w:tcW w:w="2943" w:type="dxa"/>
            <w:tcBorders>
              <w:top w:val="single" w:color="auto" w:sz="4" w:space="0"/>
              <w:left w:val="nil"/>
              <w:bottom w:val="nil"/>
              <w:right w:val="nil"/>
            </w:tcBorders>
            <w:shd w:val="clear" w:color="auto" w:fill="auto"/>
            <w:noWrap/>
            <w:vAlign w:val="center"/>
          </w:tcPr>
          <w:p>
            <w:pPr>
              <w:widowControl/>
              <w:jc w:val="left"/>
              <w:textAlignment w:val="center"/>
              <w:rPr>
                <w:rFonts w:ascii="宋体" w:hAnsi="宋体" w:cs="宋体"/>
                <w:color w:val="auto"/>
                <w:kern w:val="0"/>
                <w:sz w:val="22"/>
                <w:szCs w:val="22"/>
                <w:highlight w:val="none"/>
              </w:rPr>
            </w:pPr>
          </w:p>
        </w:tc>
        <w:tc>
          <w:tcPr>
            <w:tcW w:w="2175" w:type="dxa"/>
            <w:tcBorders>
              <w:top w:val="single" w:color="auto" w:sz="4" w:space="0"/>
              <w:left w:val="nil"/>
              <w:bottom w:val="nil"/>
              <w:right w:val="nil"/>
            </w:tcBorders>
            <w:shd w:val="clear" w:color="auto" w:fill="auto"/>
            <w:noWrap/>
            <w:vAlign w:val="center"/>
          </w:tcPr>
          <w:p>
            <w:pPr>
              <w:jc w:val="left"/>
              <w:rPr>
                <w:rFonts w:ascii="宋体" w:hAnsi="宋体" w:cs="宋体"/>
                <w:color w:val="auto"/>
                <w:sz w:val="22"/>
                <w:szCs w:val="22"/>
                <w:highlight w:val="none"/>
              </w:rPr>
            </w:pPr>
          </w:p>
        </w:tc>
        <w:tc>
          <w:tcPr>
            <w:tcW w:w="2841" w:type="dxa"/>
            <w:tcBorders>
              <w:top w:val="single" w:color="auto" w:sz="4" w:space="0"/>
              <w:left w:val="nil"/>
              <w:bottom w:val="nil"/>
              <w:right w:val="nil"/>
            </w:tcBorders>
            <w:shd w:val="clear" w:color="auto" w:fill="auto"/>
            <w:noWrap/>
            <w:vAlign w:val="center"/>
          </w:tcPr>
          <w:p>
            <w:pPr>
              <w:widowControl/>
              <w:ind w:firstLine="220" w:firstLineChars="100"/>
              <w:textAlignment w:val="center"/>
              <w:rPr>
                <w:rFonts w:ascii="宋体" w:hAnsi="宋体" w:cs="宋体"/>
                <w:color w:val="auto"/>
                <w:kern w:val="0"/>
                <w:sz w:val="22"/>
                <w:szCs w:val="22"/>
                <w:highlight w:val="none"/>
              </w:rPr>
            </w:pPr>
          </w:p>
        </w:tc>
      </w:tr>
      <w:tr>
        <w:tblPrEx>
          <w:tblLayout w:type="fixed"/>
          <w:tblCellMar>
            <w:top w:w="0" w:type="dxa"/>
            <w:left w:w="108" w:type="dxa"/>
            <w:bottom w:w="0" w:type="dxa"/>
            <w:right w:w="108" w:type="dxa"/>
          </w:tblCellMar>
        </w:tblPrEx>
        <w:trPr>
          <w:trHeight w:val="592" w:hRule="atLeast"/>
          <w:jc w:val="center"/>
        </w:trPr>
        <w:tc>
          <w:tcPr>
            <w:tcW w:w="9750" w:type="dxa"/>
            <w:gridSpan w:val="4"/>
            <w:tcBorders>
              <w:top w:val="nil"/>
              <w:left w:val="nil"/>
              <w:bottom w:val="nil"/>
              <w:right w:val="nil"/>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b/>
                <w:bCs/>
                <w:color w:val="auto"/>
                <w:kern w:val="0"/>
                <w:sz w:val="22"/>
                <w:szCs w:val="22"/>
                <w:highlight w:val="none"/>
              </w:rPr>
              <w:t>备注：</w:t>
            </w:r>
            <w:r>
              <w:rPr>
                <w:rFonts w:hint="eastAsia" w:ascii="宋体" w:hAnsi="宋体" w:cs="宋体"/>
                <w:color w:val="auto"/>
                <w:kern w:val="0"/>
                <w:sz w:val="22"/>
                <w:szCs w:val="22"/>
                <w:highlight w:val="none"/>
              </w:rPr>
              <w:t>1.本验收单一式三份，验收完成后加盖供应商单位公章并将验收资料及相关证件交使用单位查验。</w:t>
            </w:r>
          </w:p>
          <w:p>
            <w:pPr>
              <w:spacing w:line="0" w:lineRule="atLeast"/>
              <w:rPr>
                <w:rFonts w:ascii="宋体" w:hAnsi="宋体" w:cs="宋体"/>
                <w:color w:val="auto"/>
                <w:kern w:val="0"/>
                <w:sz w:val="22"/>
                <w:szCs w:val="22"/>
                <w:highlight w:val="none"/>
              </w:rPr>
            </w:pPr>
            <w:r>
              <w:rPr>
                <w:rFonts w:hint="eastAsia" w:ascii="宋体" w:hAnsi="宋体" w:cs="宋体"/>
                <w:color w:val="auto"/>
                <w:kern w:val="0"/>
                <w:sz w:val="22"/>
                <w:szCs w:val="22"/>
                <w:highlight w:val="none"/>
              </w:rPr>
              <w:t>2.验收小组成员应由熟悉掌握该采购项目技术需要的技术人员（专家）、使用单位设备使用部门、使用单位资产管理部门、使用单位设备归口管理部门、使用单位采购项目有关人员（财务科、审计科等）组成，验收小组成员不少于5人。</w:t>
            </w:r>
          </w:p>
          <w:p>
            <w:pPr>
              <w:spacing w:line="0" w:lineRule="atLeast"/>
              <w:rPr>
                <w:rFonts w:ascii="宋体" w:hAnsi="宋体" w:cs="宋体"/>
                <w:color w:val="auto"/>
                <w:kern w:val="0"/>
                <w:sz w:val="22"/>
                <w:szCs w:val="22"/>
                <w:highlight w:val="none"/>
              </w:rPr>
            </w:pPr>
            <w:r>
              <w:rPr>
                <w:rFonts w:hint="eastAsia" w:ascii="宋体" w:hAnsi="宋体" w:cs="宋体"/>
                <w:color w:val="auto"/>
                <w:kern w:val="0"/>
                <w:sz w:val="22"/>
                <w:szCs w:val="22"/>
                <w:highlight w:val="none"/>
              </w:rPr>
              <w:t>3.使用单位纪检监察室或审计科负责对采购项目履约验收活动的监督检查，在“监督人员意见”处签字。</w:t>
            </w:r>
          </w:p>
          <w:p>
            <w:pPr>
              <w:widowControl/>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4.如项目邀请</w:t>
            </w:r>
            <w:r>
              <w:rPr>
                <w:rFonts w:hint="eastAsia" w:ascii="宋体" w:hAnsi="宋体" w:cs="宋体"/>
                <w:color w:val="auto"/>
                <w:sz w:val="22"/>
                <w:szCs w:val="22"/>
                <w:highlight w:val="none"/>
              </w:rPr>
              <w:t>第三方单位或公司参与验收，在表格相应位置填写验收意见。</w:t>
            </w:r>
          </w:p>
        </w:tc>
      </w:tr>
    </w:tbl>
    <w:p>
      <w:pPr>
        <w:rPr>
          <w:rFonts w:ascii="仿宋" w:hAnsi="仿宋" w:eastAsia="仿宋"/>
          <w:color w:val="auto"/>
          <w:szCs w:val="21"/>
          <w:highlight w:val="none"/>
          <w:u w:val="single"/>
        </w:rPr>
      </w:pPr>
      <w:r>
        <w:rPr>
          <w:rFonts w:ascii="仿宋" w:hAnsi="仿宋" w:eastAsia="仿宋"/>
          <w:color w:val="auto"/>
          <w:szCs w:val="21"/>
          <w:highlight w:val="none"/>
          <w:u w:val="single"/>
        </w:rPr>
        <w:br w:type="page"/>
      </w:r>
    </w:p>
    <w:p>
      <w:pPr>
        <w:outlineLvl w:val="1"/>
        <w:rPr>
          <w:rFonts w:ascii="宋体" w:hAnsi="宋体" w:cs="宋体"/>
          <w:b/>
          <w:bCs/>
          <w:color w:val="auto"/>
          <w:kern w:val="0"/>
          <w:szCs w:val="21"/>
          <w:highlight w:val="none"/>
        </w:rPr>
      </w:pPr>
      <w:r>
        <w:rPr>
          <w:rFonts w:hint="eastAsia" w:ascii="宋体" w:hAnsi="宋体" w:cs="宋体"/>
          <w:b/>
          <w:bCs/>
          <w:color w:val="auto"/>
          <w:kern w:val="0"/>
          <w:szCs w:val="21"/>
          <w:highlight w:val="none"/>
        </w:rPr>
        <w:t>合同附件3</w:t>
      </w:r>
    </w:p>
    <w:tbl>
      <w:tblPr>
        <w:tblStyle w:val="52"/>
        <w:tblW w:w="9650" w:type="dxa"/>
        <w:jc w:val="center"/>
        <w:tblInd w:w="0" w:type="dxa"/>
        <w:tblLayout w:type="fixed"/>
        <w:tblCellMar>
          <w:top w:w="0" w:type="dxa"/>
          <w:left w:w="108" w:type="dxa"/>
          <w:bottom w:w="0" w:type="dxa"/>
          <w:right w:w="108" w:type="dxa"/>
        </w:tblCellMar>
      </w:tblPr>
      <w:tblGrid>
        <w:gridCol w:w="1263"/>
        <w:gridCol w:w="1384"/>
        <w:gridCol w:w="1190"/>
        <w:gridCol w:w="1275"/>
        <w:gridCol w:w="1276"/>
        <w:gridCol w:w="919"/>
        <w:gridCol w:w="1034"/>
        <w:gridCol w:w="1309"/>
      </w:tblGrid>
      <w:tr>
        <w:tblPrEx>
          <w:tblLayout w:type="fixed"/>
          <w:tblCellMar>
            <w:top w:w="0" w:type="dxa"/>
            <w:left w:w="108" w:type="dxa"/>
            <w:bottom w:w="0" w:type="dxa"/>
            <w:right w:w="108" w:type="dxa"/>
          </w:tblCellMar>
        </w:tblPrEx>
        <w:trPr>
          <w:trHeight w:val="540" w:hRule="atLeast"/>
          <w:jc w:val="center"/>
        </w:trPr>
        <w:tc>
          <w:tcPr>
            <w:tcW w:w="9650" w:type="dxa"/>
            <w:gridSpan w:val="8"/>
            <w:tcBorders>
              <w:top w:val="nil"/>
              <w:left w:val="nil"/>
              <w:bottom w:val="nil"/>
              <w:right w:val="nil"/>
            </w:tcBorders>
            <w:shd w:val="clear" w:color="auto" w:fill="auto"/>
            <w:noWrap/>
            <w:vAlign w:val="center"/>
          </w:tcPr>
          <w:p>
            <w:pPr>
              <w:widowControl/>
              <w:jc w:val="center"/>
              <w:rPr>
                <w:rFonts w:ascii="宋体" w:hAnsi="宋体" w:cs="宋体"/>
                <w:color w:val="auto"/>
                <w:kern w:val="0"/>
                <w:sz w:val="44"/>
                <w:szCs w:val="44"/>
                <w:highlight w:val="none"/>
              </w:rPr>
            </w:pPr>
            <w:r>
              <w:rPr>
                <w:rFonts w:hint="eastAsia" w:ascii="宋体" w:hAnsi="宋体" w:cs="宋体"/>
                <w:color w:val="auto"/>
                <w:kern w:val="0"/>
                <w:sz w:val="44"/>
                <w:szCs w:val="44"/>
                <w:highlight w:val="none"/>
              </w:rPr>
              <w:t>2024年县域医共体设备更新项目设备到货确认单</w:t>
            </w:r>
          </w:p>
        </w:tc>
      </w:tr>
      <w:tr>
        <w:tblPrEx>
          <w:tblLayout w:type="fixed"/>
          <w:tblCellMar>
            <w:top w:w="0" w:type="dxa"/>
            <w:left w:w="108" w:type="dxa"/>
            <w:bottom w:w="0" w:type="dxa"/>
            <w:right w:w="108" w:type="dxa"/>
          </w:tblCellMar>
        </w:tblPrEx>
        <w:trPr>
          <w:trHeight w:val="285" w:hRule="atLeast"/>
          <w:jc w:val="center"/>
        </w:trPr>
        <w:tc>
          <w:tcPr>
            <w:tcW w:w="1263" w:type="dxa"/>
            <w:tcBorders>
              <w:top w:val="nil"/>
              <w:left w:val="nil"/>
              <w:bottom w:val="nil"/>
              <w:right w:val="nil"/>
            </w:tcBorders>
            <w:shd w:val="clear" w:color="auto" w:fill="auto"/>
            <w:noWrap/>
            <w:vAlign w:val="bottom"/>
          </w:tcPr>
          <w:p>
            <w:pPr>
              <w:widowControl/>
              <w:jc w:val="left"/>
              <w:rPr>
                <w:rFonts w:ascii="宋体" w:hAnsi="宋体" w:cs="宋体"/>
                <w:color w:val="auto"/>
                <w:kern w:val="0"/>
                <w:sz w:val="18"/>
                <w:szCs w:val="18"/>
                <w:highlight w:val="none"/>
              </w:rPr>
            </w:pPr>
          </w:p>
        </w:tc>
        <w:tc>
          <w:tcPr>
            <w:tcW w:w="1384" w:type="dxa"/>
            <w:tcBorders>
              <w:top w:val="nil"/>
              <w:left w:val="nil"/>
              <w:bottom w:val="nil"/>
              <w:right w:val="nil"/>
            </w:tcBorders>
            <w:shd w:val="clear" w:color="auto" w:fill="auto"/>
            <w:noWrap/>
            <w:vAlign w:val="bottom"/>
          </w:tcPr>
          <w:p>
            <w:pPr>
              <w:widowControl/>
              <w:rPr>
                <w:rFonts w:ascii="宋体" w:hAnsi="宋体" w:cs="宋体"/>
                <w:color w:val="auto"/>
                <w:kern w:val="0"/>
                <w:sz w:val="24"/>
                <w:highlight w:val="none"/>
              </w:rPr>
            </w:pPr>
          </w:p>
        </w:tc>
        <w:tc>
          <w:tcPr>
            <w:tcW w:w="3741" w:type="dxa"/>
            <w:gridSpan w:val="3"/>
            <w:tcBorders>
              <w:top w:val="nil"/>
              <w:left w:val="nil"/>
              <w:bottom w:val="nil"/>
              <w:right w:val="nil"/>
            </w:tcBorders>
            <w:shd w:val="clear" w:color="auto" w:fill="auto"/>
            <w:noWrap/>
            <w:vAlign w:val="bottom"/>
          </w:tcPr>
          <w:p>
            <w:pPr>
              <w:widowControl/>
              <w:rPr>
                <w:rFonts w:ascii="宋体" w:hAnsi="宋体" w:cs="宋体"/>
                <w:color w:val="auto"/>
                <w:kern w:val="0"/>
                <w:sz w:val="24"/>
                <w:highlight w:val="none"/>
              </w:rPr>
            </w:pPr>
          </w:p>
        </w:tc>
        <w:tc>
          <w:tcPr>
            <w:tcW w:w="3262" w:type="dxa"/>
            <w:gridSpan w:val="3"/>
            <w:tcBorders>
              <w:top w:val="nil"/>
              <w:left w:val="nil"/>
              <w:bottom w:val="nil"/>
              <w:right w:val="nil"/>
            </w:tcBorders>
            <w:shd w:val="clear" w:color="auto" w:fill="auto"/>
            <w:noWrap/>
            <w:vAlign w:val="bottom"/>
          </w:tcPr>
          <w:p>
            <w:pPr>
              <w:widowControl/>
              <w:jc w:val="center"/>
              <w:rPr>
                <w:rFonts w:ascii="宋体" w:hAnsi="宋体" w:cs="宋体"/>
                <w:color w:val="auto"/>
                <w:kern w:val="0"/>
                <w:sz w:val="20"/>
                <w:szCs w:val="20"/>
                <w:highlight w:val="none"/>
              </w:rPr>
            </w:pPr>
          </w:p>
        </w:tc>
      </w:tr>
      <w:tr>
        <w:tblPrEx>
          <w:tblLayout w:type="fixed"/>
          <w:tblCellMar>
            <w:top w:w="0" w:type="dxa"/>
            <w:left w:w="108" w:type="dxa"/>
            <w:bottom w:w="0" w:type="dxa"/>
            <w:right w:w="108" w:type="dxa"/>
          </w:tblCellMar>
        </w:tblPrEx>
        <w:trPr>
          <w:trHeight w:val="285" w:hRule="atLeast"/>
          <w:jc w:val="center"/>
        </w:trPr>
        <w:tc>
          <w:tcPr>
            <w:tcW w:w="9650" w:type="dxa"/>
            <w:gridSpan w:val="8"/>
            <w:tcBorders>
              <w:top w:val="nil"/>
              <w:left w:val="nil"/>
              <w:bottom w:val="nil"/>
              <w:right w:val="nil"/>
            </w:tcBorders>
            <w:shd w:val="clear" w:color="auto" w:fill="auto"/>
            <w:noWrap/>
            <w:vAlign w:val="bottom"/>
          </w:tcPr>
          <w:p>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项目名称：</w:t>
            </w:r>
            <w:r>
              <w:rPr>
                <w:rFonts w:hint="eastAsia" w:ascii="宋体" w:hAnsi="宋体" w:cs="宋体"/>
                <w:color w:val="auto"/>
                <w:kern w:val="0"/>
                <w:sz w:val="20"/>
                <w:szCs w:val="20"/>
                <w:highlight w:val="none"/>
                <w:u w:val="single"/>
              </w:rPr>
              <w:t xml:space="preserve">                                                      </w:t>
            </w:r>
          </w:p>
        </w:tc>
      </w:tr>
      <w:tr>
        <w:tblPrEx>
          <w:tblLayout w:type="fixed"/>
          <w:tblCellMar>
            <w:top w:w="0" w:type="dxa"/>
            <w:left w:w="108" w:type="dxa"/>
            <w:bottom w:w="0" w:type="dxa"/>
            <w:right w:w="108" w:type="dxa"/>
          </w:tblCellMar>
        </w:tblPrEx>
        <w:trPr>
          <w:trHeight w:val="285" w:hRule="atLeast"/>
          <w:jc w:val="center"/>
        </w:trPr>
        <w:tc>
          <w:tcPr>
            <w:tcW w:w="9650" w:type="dxa"/>
            <w:gridSpan w:val="8"/>
            <w:tcBorders>
              <w:top w:val="nil"/>
              <w:left w:val="nil"/>
              <w:bottom w:val="nil"/>
              <w:right w:val="nil"/>
            </w:tcBorders>
            <w:shd w:val="clear" w:color="auto" w:fill="auto"/>
            <w:noWrap/>
            <w:vAlign w:val="bottom"/>
          </w:tcPr>
          <w:p>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合同编号：</w:t>
            </w:r>
            <w:r>
              <w:rPr>
                <w:rFonts w:hint="eastAsia" w:ascii="宋体" w:hAnsi="宋体" w:cs="宋体"/>
                <w:color w:val="auto"/>
                <w:kern w:val="0"/>
                <w:sz w:val="20"/>
                <w:szCs w:val="20"/>
                <w:highlight w:val="none"/>
                <w:u w:val="single"/>
              </w:rPr>
              <w:t xml:space="preserve">                                                      </w:t>
            </w:r>
            <w:r>
              <w:rPr>
                <w:rFonts w:hint="eastAsia" w:ascii="宋体" w:hAnsi="宋体" w:cs="宋体"/>
                <w:color w:val="auto"/>
                <w:kern w:val="0"/>
                <w:sz w:val="20"/>
                <w:szCs w:val="20"/>
                <w:highlight w:val="none"/>
              </w:rPr>
              <w:t xml:space="preserve">        </w:t>
            </w:r>
          </w:p>
        </w:tc>
      </w:tr>
      <w:tr>
        <w:tblPrEx>
          <w:tblLayout w:type="fixed"/>
          <w:tblCellMar>
            <w:top w:w="0" w:type="dxa"/>
            <w:left w:w="108" w:type="dxa"/>
            <w:bottom w:w="0" w:type="dxa"/>
            <w:right w:w="108" w:type="dxa"/>
          </w:tblCellMar>
        </w:tblPrEx>
        <w:trPr>
          <w:trHeight w:val="300" w:hRule="atLeast"/>
          <w:jc w:val="center"/>
        </w:trPr>
        <w:tc>
          <w:tcPr>
            <w:tcW w:w="3837" w:type="dxa"/>
            <w:gridSpan w:val="3"/>
            <w:tcBorders>
              <w:top w:val="nil"/>
              <w:left w:val="nil"/>
              <w:bottom w:val="single" w:color="000000" w:sz="4" w:space="0"/>
              <w:right w:val="nil"/>
            </w:tcBorders>
            <w:shd w:val="clear" w:color="auto" w:fill="auto"/>
            <w:noWrap/>
            <w:vAlign w:val="bottom"/>
          </w:tcPr>
          <w:p>
            <w:pPr>
              <w:widowControl/>
              <w:jc w:val="left"/>
              <w:rPr>
                <w:rFonts w:ascii="宋体" w:hAnsi="宋体" w:cs="宋体"/>
                <w:b/>
                <w:bCs/>
                <w:color w:val="auto"/>
                <w:kern w:val="0"/>
                <w:sz w:val="24"/>
                <w:highlight w:val="none"/>
              </w:rPr>
            </w:pPr>
            <w:r>
              <w:rPr>
                <w:rFonts w:hint="eastAsia" w:ascii="宋体" w:hAnsi="宋体" w:cs="宋体"/>
                <w:b/>
                <w:bCs/>
                <w:color w:val="auto"/>
                <w:kern w:val="0"/>
                <w:sz w:val="24"/>
                <w:highlight w:val="none"/>
              </w:rPr>
              <w:t>供货一览表</w:t>
            </w:r>
          </w:p>
        </w:tc>
        <w:tc>
          <w:tcPr>
            <w:tcW w:w="5813" w:type="dxa"/>
            <w:gridSpan w:val="5"/>
            <w:tcBorders>
              <w:top w:val="nil"/>
              <w:left w:val="nil"/>
              <w:bottom w:val="single" w:color="000000" w:sz="4" w:space="0"/>
              <w:right w:val="nil"/>
            </w:tcBorders>
            <w:shd w:val="clear" w:color="auto" w:fill="auto"/>
            <w:noWrap/>
            <w:vAlign w:val="bottom"/>
          </w:tcPr>
          <w:p>
            <w:pPr>
              <w:widowControl/>
              <w:rPr>
                <w:rFonts w:ascii="宋体" w:hAnsi="宋体" w:cs="宋体"/>
                <w:color w:val="auto"/>
                <w:kern w:val="0"/>
                <w:sz w:val="24"/>
                <w:highlight w:val="none"/>
              </w:rPr>
            </w:pPr>
            <w:r>
              <w:rPr>
                <w:rFonts w:hint="eastAsia" w:ascii="宋体" w:hAnsi="宋体" w:cs="宋体"/>
                <w:color w:val="auto"/>
                <w:kern w:val="0"/>
                <w:sz w:val="24"/>
                <w:highlight w:val="none"/>
              </w:rPr>
              <w:t>　</w:t>
            </w:r>
          </w:p>
        </w:tc>
      </w:tr>
      <w:tr>
        <w:tblPrEx>
          <w:tblLayout w:type="fixed"/>
          <w:tblCellMar>
            <w:top w:w="0" w:type="dxa"/>
            <w:left w:w="108" w:type="dxa"/>
            <w:bottom w:w="0" w:type="dxa"/>
            <w:right w:w="108" w:type="dxa"/>
          </w:tblCellMar>
        </w:tblPrEx>
        <w:trPr>
          <w:trHeight w:val="285" w:hRule="atLeast"/>
          <w:jc w:val="center"/>
        </w:trPr>
        <w:tc>
          <w:tcPr>
            <w:tcW w:w="12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序号</w:t>
            </w:r>
          </w:p>
        </w:tc>
        <w:tc>
          <w:tcPr>
            <w:tcW w:w="13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产品名称</w:t>
            </w:r>
          </w:p>
        </w:tc>
        <w:tc>
          <w:tcPr>
            <w:tcW w:w="11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商标品牌</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规格型号</w:t>
            </w:r>
          </w:p>
        </w:tc>
        <w:tc>
          <w:tcPr>
            <w:tcW w:w="12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生产厂家</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数量</w:t>
            </w:r>
          </w:p>
        </w:tc>
        <w:tc>
          <w:tcPr>
            <w:tcW w:w="10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单价(元)</w:t>
            </w:r>
          </w:p>
        </w:tc>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金额(元)</w:t>
            </w:r>
          </w:p>
        </w:tc>
      </w:tr>
      <w:tr>
        <w:tblPrEx>
          <w:tblLayout w:type="fixed"/>
          <w:tblCellMar>
            <w:top w:w="0" w:type="dxa"/>
            <w:left w:w="108" w:type="dxa"/>
            <w:bottom w:w="0" w:type="dxa"/>
            <w:right w:w="108" w:type="dxa"/>
          </w:tblCellMar>
        </w:tblPrEx>
        <w:trPr>
          <w:trHeight w:val="300" w:hRule="atLeast"/>
          <w:jc w:val="center"/>
        </w:trPr>
        <w:tc>
          <w:tcPr>
            <w:tcW w:w="126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38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1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27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单位</w:t>
            </w:r>
          </w:p>
        </w:tc>
        <w:tc>
          <w:tcPr>
            <w:tcW w:w="1034"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c>
          <w:tcPr>
            <w:tcW w:w="130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13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p>
        </w:tc>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570" w:hRule="atLeast"/>
          <w:jc w:val="center"/>
        </w:trPr>
        <w:tc>
          <w:tcPr>
            <w:tcW w:w="965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人民币合计金额（含税）(大写)             元整(小写)（¥               ）</w:t>
            </w:r>
          </w:p>
        </w:tc>
      </w:tr>
      <w:tr>
        <w:tblPrEx>
          <w:tblLayout w:type="fixed"/>
          <w:tblCellMar>
            <w:top w:w="0" w:type="dxa"/>
            <w:left w:w="108" w:type="dxa"/>
            <w:bottom w:w="0" w:type="dxa"/>
            <w:right w:w="108" w:type="dxa"/>
          </w:tblCellMar>
        </w:tblPrEx>
        <w:trPr>
          <w:trHeight w:val="300"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rPr>
                <w:rFonts w:ascii="宋体" w:hAnsi="宋体" w:cs="宋体"/>
                <w:color w:val="auto"/>
                <w:kern w:val="0"/>
                <w:sz w:val="24"/>
                <w:highlight w:val="none"/>
              </w:rPr>
            </w:pPr>
            <w:r>
              <w:rPr>
                <w:rFonts w:hint="eastAsia" w:ascii="宋体" w:hAnsi="宋体" w:cs="宋体"/>
                <w:color w:val="auto"/>
                <w:kern w:val="0"/>
                <w:sz w:val="24"/>
                <w:highlight w:val="none"/>
              </w:rPr>
              <w:t>单位名称：</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c>
          <w:tcPr>
            <w:tcW w:w="3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使用科室：</w:t>
            </w:r>
          </w:p>
        </w:tc>
        <w:tc>
          <w:tcPr>
            <w:tcW w:w="32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rPr>
                <w:rFonts w:ascii="宋体" w:hAnsi="宋体" w:cs="宋体"/>
                <w:color w:val="auto"/>
                <w:kern w:val="0"/>
                <w:sz w:val="24"/>
                <w:highlight w:val="none"/>
              </w:rPr>
            </w:pPr>
            <w:r>
              <w:rPr>
                <w:rFonts w:hint="eastAsia" w:ascii="宋体" w:hAnsi="宋体" w:cs="宋体"/>
                <w:color w:val="auto"/>
                <w:kern w:val="0"/>
                <w:sz w:val="24"/>
                <w:highlight w:val="none"/>
              </w:rPr>
              <w:t>设备名称：</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c>
          <w:tcPr>
            <w:tcW w:w="3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型号：</w:t>
            </w:r>
          </w:p>
        </w:tc>
        <w:tc>
          <w:tcPr>
            <w:tcW w:w="32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数量：</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c>
          <w:tcPr>
            <w:tcW w:w="3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注册证/备案证号：</w:t>
            </w:r>
          </w:p>
        </w:tc>
        <w:tc>
          <w:tcPr>
            <w:tcW w:w="32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生产日期：</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c>
          <w:tcPr>
            <w:tcW w:w="3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设备制造序列号：</w:t>
            </w:r>
          </w:p>
        </w:tc>
        <w:tc>
          <w:tcPr>
            <w:tcW w:w="32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生产厂家：</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c>
          <w:tcPr>
            <w:tcW w:w="37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产地：</w:t>
            </w:r>
          </w:p>
        </w:tc>
        <w:tc>
          <w:tcPr>
            <w:tcW w:w="326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r>
      <w:tr>
        <w:tblPrEx>
          <w:tblLayout w:type="fixed"/>
          <w:tblCellMar>
            <w:top w:w="0" w:type="dxa"/>
            <w:left w:w="108" w:type="dxa"/>
            <w:bottom w:w="0" w:type="dxa"/>
            <w:right w:w="108" w:type="dxa"/>
          </w:tblCellMar>
        </w:tblPrEx>
        <w:trPr>
          <w:trHeight w:val="300"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供应商：</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c>
          <w:tcPr>
            <w:tcW w:w="24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使用期限：</w:t>
            </w:r>
          </w:p>
        </w:tc>
        <w:tc>
          <w:tcPr>
            <w:tcW w:w="219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年</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质保期：</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年</w:t>
            </w:r>
          </w:p>
        </w:tc>
      </w:tr>
      <w:tr>
        <w:tblPrEx>
          <w:tblLayout w:type="fixed"/>
          <w:tblCellMar>
            <w:top w:w="0" w:type="dxa"/>
            <w:left w:w="108" w:type="dxa"/>
            <w:bottom w:w="0" w:type="dxa"/>
            <w:right w:w="108" w:type="dxa"/>
          </w:tblCellMar>
        </w:tblPrEx>
        <w:trPr>
          <w:trHeight w:val="300"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电话：</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p>
        </w:tc>
        <w:tc>
          <w:tcPr>
            <w:tcW w:w="246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确认时间：</w:t>
            </w:r>
          </w:p>
        </w:tc>
        <w:tc>
          <w:tcPr>
            <w:tcW w:w="453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年    月    日</w:t>
            </w:r>
          </w:p>
        </w:tc>
      </w:tr>
      <w:tr>
        <w:tblPrEx>
          <w:tblLayout w:type="fixed"/>
          <w:tblCellMar>
            <w:top w:w="0" w:type="dxa"/>
            <w:left w:w="108" w:type="dxa"/>
            <w:bottom w:w="0" w:type="dxa"/>
            <w:right w:w="108" w:type="dxa"/>
          </w:tblCellMar>
        </w:tblPrEx>
        <w:trPr>
          <w:trHeight w:val="555" w:hRule="atLeast"/>
          <w:jc w:val="center"/>
        </w:trPr>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附属设备：</w:t>
            </w:r>
          </w:p>
        </w:tc>
        <w:tc>
          <w:tcPr>
            <w:tcW w:w="13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有□    无□</w:t>
            </w:r>
          </w:p>
        </w:tc>
        <w:tc>
          <w:tcPr>
            <w:tcW w:w="700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附属设备请在附属设备配置清单中列明</w:t>
            </w:r>
          </w:p>
        </w:tc>
      </w:tr>
      <w:tr>
        <w:tblPrEx>
          <w:tblLayout w:type="fixed"/>
          <w:tblCellMar>
            <w:top w:w="0" w:type="dxa"/>
            <w:left w:w="108" w:type="dxa"/>
            <w:bottom w:w="0" w:type="dxa"/>
            <w:right w:w="108" w:type="dxa"/>
          </w:tblCellMar>
        </w:tblPrEx>
        <w:trPr>
          <w:trHeight w:val="300" w:hRule="atLeast"/>
          <w:jc w:val="center"/>
        </w:trPr>
        <w:tc>
          <w:tcPr>
            <w:tcW w:w="9650" w:type="dxa"/>
            <w:gridSpan w:val="8"/>
            <w:tcBorders>
              <w:top w:val="single" w:color="000000" w:sz="4" w:space="0"/>
              <w:left w:val="single" w:color="000000" w:sz="4" w:space="0"/>
              <w:bottom w:val="single" w:color="000000" w:sz="4" w:space="0"/>
              <w:right w:val="single" w:color="000000" w:sz="4" w:space="0"/>
            </w:tcBorders>
            <w:shd w:val="clear" w:color="auto" w:fill="auto"/>
            <w:noWrap/>
          </w:tcPr>
          <w:p>
            <w:pPr>
              <w:widowControl/>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设备到货确认要求</w:t>
            </w:r>
          </w:p>
        </w:tc>
      </w:tr>
      <w:tr>
        <w:tblPrEx>
          <w:tblLayout w:type="fixed"/>
          <w:tblCellMar>
            <w:top w:w="0" w:type="dxa"/>
            <w:left w:w="108" w:type="dxa"/>
            <w:bottom w:w="0" w:type="dxa"/>
            <w:right w:w="108" w:type="dxa"/>
          </w:tblCellMar>
        </w:tblPrEx>
        <w:trPr>
          <w:trHeight w:val="285" w:hRule="atLeast"/>
          <w:jc w:val="center"/>
        </w:trPr>
        <w:tc>
          <w:tcPr>
            <w:tcW w:w="9650" w:type="dxa"/>
            <w:gridSpan w:val="8"/>
            <w:tcBorders>
              <w:top w:val="single" w:color="000000" w:sz="4" w:space="0"/>
              <w:left w:val="single" w:color="000000" w:sz="4" w:space="0"/>
              <w:right w:val="single" w:color="000000" w:sz="4" w:space="0"/>
            </w:tcBorders>
            <w:shd w:val="clear" w:color="auto" w:fill="auto"/>
            <w:noWrap/>
            <w:vAlign w:val="center"/>
          </w:tcPr>
          <w:p>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1、外观是否完好                                                （是□  否□）</w:t>
            </w:r>
          </w:p>
        </w:tc>
      </w:tr>
      <w:tr>
        <w:tblPrEx>
          <w:tblLayout w:type="fixed"/>
          <w:tblCellMar>
            <w:top w:w="0" w:type="dxa"/>
            <w:left w:w="108" w:type="dxa"/>
            <w:bottom w:w="0" w:type="dxa"/>
            <w:right w:w="108" w:type="dxa"/>
          </w:tblCellMar>
        </w:tblPrEx>
        <w:trPr>
          <w:trHeight w:val="540" w:hRule="atLeast"/>
          <w:jc w:val="center"/>
        </w:trPr>
        <w:tc>
          <w:tcPr>
            <w:tcW w:w="9650" w:type="dxa"/>
            <w:gridSpan w:val="8"/>
            <w:tcBorders>
              <w:left w:val="single" w:color="000000" w:sz="4" w:space="0"/>
              <w:right w:val="single" w:color="000000" w:sz="4" w:space="0"/>
            </w:tcBorders>
            <w:shd w:val="clear" w:color="auto" w:fill="auto"/>
            <w:vAlign w:val="center"/>
          </w:tcPr>
          <w:p>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2、设备名称、规格型号及生产厂家等是否与医疗器械注册证内容一致  （是□  否□）</w:t>
            </w:r>
          </w:p>
        </w:tc>
      </w:tr>
      <w:tr>
        <w:tblPrEx>
          <w:tblLayout w:type="fixed"/>
          <w:tblCellMar>
            <w:top w:w="0" w:type="dxa"/>
            <w:left w:w="108" w:type="dxa"/>
            <w:bottom w:w="0" w:type="dxa"/>
            <w:right w:w="108" w:type="dxa"/>
          </w:tblCellMar>
        </w:tblPrEx>
        <w:trPr>
          <w:trHeight w:val="285" w:hRule="atLeast"/>
          <w:jc w:val="center"/>
        </w:trPr>
        <w:tc>
          <w:tcPr>
            <w:tcW w:w="9650" w:type="dxa"/>
            <w:gridSpan w:val="8"/>
            <w:tcBorders>
              <w:left w:val="single" w:color="000000" w:sz="4" w:space="0"/>
              <w:right w:val="single" w:color="000000" w:sz="4" w:space="0"/>
            </w:tcBorders>
            <w:shd w:val="clear" w:color="auto" w:fill="auto"/>
            <w:noWrap/>
            <w:vAlign w:val="center"/>
          </w:tcPr>
          <w:p>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3、是否随机配有产品合格证                                      （是□  否□）</w:t>
            </w:r>
          </w:p>
        </w:tc>
      </w:tr>
      <w:tr>
        <w:tblPrEx>
          <w:tblLayout w:type="fixed"/>
          <w:tblCellMar>
            <w:top w:w="0" w:type="dxa"/>
            <w:left w:w="108" w:type="dxa"/>
            <w:bottom w:w="0" w:type="dxa"/>
            <w:right w:w="108" w:type="dxa"/>
          </w:tblCellMar>
        </w:tblPrEx>
        <w:trPr>
          <w:trHeight w:val="540" w:hRule="atLeast"/>
          <w:jc w:val="center"/>
        </w:trPr>
        <w:tc>
          <w:tcPr>
            <w:tcW w:w="9650" w:type="dxa"/>
            <w:gridSpan w:val="8"/>
            <w:tcBorders>
              <w:left w:val="single" w:color="000000" w:sz="4" w:space="0"/>
              <w:right w:val="single" w:color="000000" w:sz="4" w:space="0"/>
            </w:tcBorders>
            <w:shd w:val="clear" w:color="auto" w:fill="auto"/>
            <w:vAlign w:val="center"/>
          </w:tcPr>
          <w:p>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4、设备生产日期是否在医疗器械注册证、产品合格证等有效期内      （是□  否□）</w:t>
            </w:r>
          </w:p>
        </w:tc>
      </w:tr>
      <w:tr>
        <w:tblPrEx>
          <w:tblLayout w:type="fixed"/>
          <w:tblCellMar>
            <w:top w:w="0" w:type="dxa"/>
            <w:left w:w="108" w:type="dxa"/>
            <w:bottom w:w="0" w:type="dxa"/>
            <w:right w:w="108" w:type="dxa"/>
          </w:tblCellMar>
        </w:tblPrEx>
        <w:trPr>
          <w:trHeight w:val="300" w:hRule="atLeast"/>
          <w:jc w:val="center"/>
        </w:trPr>
        <w:tc>
          <w:tcPr>
            <w:tcW w:w="9650" w:type="dxa"/>
            <w:gridSpan w:val="8"/>
            <w:tcBorders>
              <w:left w:val="single" w:color="000000" w:sz="4" w:space="0"/>
              <w:bottom w:val="single" w:color="000000" w:sz="4" w:space="0"/>
              <w:right w:val="single" w:color="000000" w:sz="4" w:space="0"/>
            </w:tcBorders>
            <w:shd w:val="clear" w:color="auto" w:fill="auto"/>
            <w:noWrap/>
            <w:vAlign w:val="center"/>
          </w:tcPr>
          <w:p>
            <w:pPr>
              <w:widowControl/>
              <w:jc w:val="left"/>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5、设备配置开箱清点后是否与合同中设备配置一致  </w:t>
            </w:r>
            <w:r>
              <w:rPr>
                <w:rFonts w:hint="eastAsia" w:ascii="等线" w:hAnsi="等线" w:eastAsia="等线" w:cs="宋体"/>
                <w:color w:val="auto"/>
                <w:kern w:val="0"/>
                <w:sz w:val="22"/>
                <w:szCs w:val="22"/>
                <w:highlight w:val="none"/>
              </w:rPr>
              <w:t xml:space="preserve">                </w:t>
            </w:r>
            <w:r>
              <w:rPr>
                <w:rFonts w:hint="eastAsia" w:ascii="宋体" w:hAnsi="宋体" w:cs="宋体"/>
                <w:color w:val="auto"/>
                <w:kern w:val="0"/>
                <w:sz w:val="22"/>
                <w:szCs w:val="22"/>
                <w:highlight w:val="none"/>
              </w:rPr>
              <w:t>（是□  否□）</w:t>
            </w:r>
          </w:p>
        </w:tc>
      </w:tr>
    </w:tbl>
    <w:p>
      <w:pPr>
        <w:widowControl/>
        <w:jc w:val="left"/>
        <w:rPr>
          <w:rFonts w:asciiTheme="minorEastAsia" w:hAnsiTheme="minorEastAsia" w:eastAsiaTheme="minorEastAsia"/>
          <w:b/>
          <w:bCs/>
          <w:color w:val="auto"/>
          <w:kern w:val="44"/>
          <w:szCs w:val="21"/>
          <w:highlight w:val="none"/>
        </w:rPr>
      </w:pPr>
    </w:p>
    <w:p>
      <w:pPr>
        <w:widowControl/>
        <w:jc w:val="left"/>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br w:type="page"/>
      </w:r>
    </w:p>
    <w:tbl>
      <w:tblPr>
        <w:tblStyle w:val="52"/>
        <w:tblpPr w:leftFromText="180" w:rightFromText="180" w:vertAnchor="page" w:horzAnchor="page" w:tblpX="1220" w:tblpY="1119"/>
        <w:tblOverlap w:val="never"/>
        <w:tblW w:w="9750" w:type="dxa"/>
        <w:tblInd w:w="0" w:type="dxa"/>
        <w:tblLayout w:type="fixed"/>
        <w:tblCellMar>
          <w:top w:w="0" w:type="dxa"/>
          <w:left w:w="108" w:type="dxa"/>
          <w:bottom w:w="0" w:type="dxa"/>
          <w:right w:w="108" w:type="dxa"/>
        </w:tblCellMar>
      </w:tblPr>
      <w:tblGrid>
        <w:gridCol w:w="1791"/>
        <w:gridCol w:w="2943"/>
        <w:gridCol w:w="2175"/>
        <w:gridCol w:w="2841"/>
      </w:tblGrid>
      <w:tr>
        <w:tblPrEx>
          <w:tblLayout w:type="fixed"/>
          <w:tblCellMar>
            <w:top w:w="0" w:type="dxa"/>
            <w:left w:w="108" w:type="dxa"/>
            <w:bottom w:w="0" w:type="dxa"/>
            <w:right w:w="108" w:type="dxa"/>
          </w:tblCellMar>
        </w:tblPrEx>
        <w:trPr>
          <w:trHeight w:val="464" w:hRule="atLeast"/>
        </w:trPr>
        <w:tc>
          <w:tcPr>
            <w:tcW w:w="9750" w:type="dxa"/>
            <w:gridSpan w:val="4"/>
            <w:tcBorders>
              <w:top w:val="nil"/>
              <w:left w:val="nil"/>
              <w:bottom w:val="single" w:color="auto" w:sz="4" w:space="0"/>
              <w:right w:val="nil"/>
            </w:tcBorders>
            <w:shd w:val="clear" w:color="auto" w:fill="auto"/>
            <w:noWrap/>
            <w:vAlign w:val="center"/>
          </w:tcPr>
          <w:p>
            <w:pPr>
              <w:widowControl/>
              <w:jc w:val="center"/>
              <w:textAlignment w:val="center"/>
              <w:rPr>
                <w:rFonts w:ascii="宋体" w:hAnsi="宋体" w:cs="宋体"/>
                <w:color w:val="auto"/>
                <w:sz w:val="22"/>
                <w:szCs w:val="22"/>
                <w:highlight w:val="none"/>
              </w:rPr>
            </w:pPr>
            <w:r>
              <w:rPr>
                <w:rFonts w:hint="eastAsia" w:ascii="宋体" w:hAnsi="宋体" w:cs="宋体"/>
                <w:b/>
                <w:bCs/>
                <w:color w:val="auto"/>
                <w:sz w:val="24"/>
                <w:highlight w:val="none"/>
              </w:rPr>
              <w:t>设备到货确认意见</w:t>
            </w:r>
          </w:p>
        </w:tc>
      </w:tr>
      <w:tr>
        <w:tblPrEx>
          <w:tblLayout w:type="fixed"/>
          <w:tblCellMar>
            <w:top w:w="0" w:type="dxa"/>
            <w:left w:w="108" w:type="dxa"/>
            <w:bottom w:w="0" w:type="dxa"/>
            <w:right w:w="108" w:type="dxa"/>
          </w:tblCellMar>
        </w:tblPrEx>
        <w:trPr>
          <w:trHeight w:val="926" w:hRule="atLeast"/>
        </w:trPr>
        <w:tc>
          <w:tcPr>
            <w:tcW w:w="1791" w:type="dxa"/>
            <w:vMerge w:val="restart"/>
            <w:tcBorders>
              <w:top w:val="single" w:color="auto" w:sz="4" w:space="0"/>
              <w:left w:val="single" w:color="000000" w:sz="4" w:space="0"/>
              <w:right w:val="single" w:color="auto" w:sz="4" w:space="0"/>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验收小组意见</w:t>
            </w:r>
          </w:p>
        </w:tc>
        <w:tc>
          <w:tcPr>
            <w:tcW w:w="7959"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设备已到货无误□</w:t>
            </w:r>
          </w:p>
          <w:p>
            <w:pPr>
              <w:widowControl/>
              <w:jc w:val="left"/>
              <w:textAlignment w:val="center"/>
              <w:rPr>
                <w:rFonts w:ascii="宋体" w:hAnsi="宋体" w:cs="宋体"/>
                <w:color w:val="auto"/>
                <w:sz w:val="22"/>
                <w:szCs w:val="22"/>
                <w:highlight w:val="none"/>
              </w:rPr>
            </w:pPr>
          </w:p>
          <w:p>
            <w:pPr>
              <w:widowControl/>
              <w:jc w:val="left"/>
              <w:textAlignment w:val="center"/>
              <w:rPr>
                <w:rFonts w:ascii="宋体" w:hAnsi="宋体" w:cs="宋体"/>
                <w:color w:val="auto"/>
                <w:sz w:val="22"/>
                <w:szCs w:val="22"/>
                <w:highlight w:val="none"/>
              </w:rPr>
            </w:pPr>
            <w:r>
              <w:rPr>
                <w:rFonts w:hint="eastAsia" w:ascii="宋体" w:hAnsi="宋体" w:cs="宋体"/>
                <w:color w:val="auto"/>
                <w:sz w:val="22"/>
                <w:szCs w:val="22"/>
                <w:highlight w:val="none"/>
              </w:rPr>
              <w:t>验收人员签字：</w:t>
            </w:r>
          </w:p>
          <w:p>
            <w:pPr>
              <w:widowControl/>
              <w:jc w:val="left"/>
              <w:textAlignment w:val="center"/>
              <w:rPr>
                <w:rFonts w:ascii="宋体" w:hAnsi="宋体" w:cs="宋体"/>
                <w:color w:val="auto"/>
                <w:sz w:val="22"/>
                <w:szCs w:val="22"/>
                <w:highlight w:val="none"/>
              </w:rPr>
            </w:pPr>
            <w:r>
              <w:rPr>
                <w:rFonts w:hint="eastAsia" w:ascii="宋体" w:hAnsi="宋体" w:cs="宋体"/>
                <w:color w:val="auto"/>
                <w:sz w:val="22"/>
                <w:szCs w:val="22"/>
                <w:highlight w:val="none"/>
              </w:rPr>
              <w:t xml:space="preserve"> </w:t>
            </w:r>
          </w:p>
          <w:p>
            <w:pPr>
              <w:widowControl/>
              <w:jc w:val="left"/>
              <w:textAlignment w:val="center"/>
              <w:rPr>
                <w:rFonts w:ascii="宋体" w:hAnsi="宋体" w:cs="宋体"/>
                <w:color w:val="auto"/>
                <w:sz w:val="22"/>
                <w:szCs w:val="22"/>
                <w:highlight w:val="none"/>
              </w:rPr>
            </w:pPr>
            <w:r>
              <w:rPr>
                <w:rFonts w:hint="eastAsia" w:ascii="宋体" w:hAnsi="宋体" w:cs="宋体"/>
                <w:color w:val="auto"/>
                <w:sz w:val="22"/>
                <w:szCs w:val="22"/>
                <w:highlight w:val="none"/>
              </w:rPr>
              <w:t xml:space="preserve">                                                        年    月    日</w:t>
            </w:r>
          </w:p>
        </w:tc>
      </w:tr>
      <w:tr>
        <w:tblPrEx>
          <w:tblLayout w:type="fixed"/>
          <w:tblCellMar>
            <w:top w:w="0" w:type="dxa"/>
            <w:left w:w="108" w:type="dxa"/>
            <w:bottom w:w="0" w:type="dxa"/>
            <w:right w:w="108" w:type="dxa"/>
          </w:tblCellMar>
        </w:tblPrEx>
        <w:trPr>
          <w:trHeight w:val="726" w:hRule="atLeast"/>
        </w:trPr>
        <w:tc>
          <w:tcPr>
            <w:tcW w:w="1791" w:type="dxa"/>
            <w:vMerge w:val="continue"/>
            <w:tcBorders>
              <w:left w:val="single" w:color="000000" w:sz="4" w:space="0"/>
              <w:right w:val="single" w:color="auto" w:sz="4" w:space="0"/>
            </w:tcBorders>
            <w:shd w:val="clear" w:color="auto" w:fill="auto"/>
            <w:noWrap/>
            <w:vAlign w:val="center"/>
          </w:tcPr>
          <w:p>
            <w:pPr>
              <w:jc w:val="left"/>
              <w:rPr>
                <w:rFonts w:ascii="宋体" w:hAnsi="宋体" w:cs="宋体"/>
                <w:color w:val="auto"/>
                <w:sz w:val="22"/>
                <w:szCs w:val="22"/>
                <w:highlight w:val="none"/>
              </w:rPr>
            </w:pPr>
          </w:p>
        </w:tc>
        <w:tc>
          <w:tcPr>
            <w:tcW w:w="7959" w:type="dxa"/>
            <w:gridSpan w:val="3"/>
            <w:tcBorders>
              <w:top w:val="single" w:color="auto" w:sz="4" w:space="0"/>
              <w:left w:val="single" w:color="auto"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设备未按合同要求到货□</w:t>
            </w: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意见及理由：</w:t>
            </w:r>
          </w:p>
          <w:p>
            <w:pPr>
              <w:widowControl/>
              <w:jc w:val="left"/>
              <w:textAlignment w:val="center"/>
              <w:rPr>
                <w:rFonts w:ascii="宋体" w:hAnsi="宋体" w:cs="宋体"/>
                <w:color w:val="auto"/>
                <w:kern w:val="0"/>
                <w:sz w:val="22"/>
                <w:szCs w:val="22"/>
                <w:highlight w:val="none"/>
              </w:rPr>
            </w:pPr>
          </w:p>
          <w:p>
            <w:pPr>
              <w:widowControl/>
              <w:jc w:val="left"/>
              <w:textAlignment w:val="center"/>
              <w:rPr>
                <w:rFonts w:ascii="宋体" w:hAnsi="宋体" w:cs="宋体"/>
                <w:color w:val="auto"/>
                <w:kern w:val="0"/>
                <w:sz w:val="22"/>
                <w:szCs w:val="22"/>
                <w:highlight w:val="none"/>
              </w:rPr>
            </w:pP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sz w:val="22"/>
                <w:szCs w:val="22"/>
                <w:highlight w:val="none"/>
              </w:rPr>
              <w:t xml:space="preserve">验收人员签字： </w:t>
            </w:r>
          </w:p>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年    月    日</w:t>
            </w:r>
          </w:p>
        </w:tc>
      </w:tr>
      <w:tr>
        <w:tblPrEx>
          <w:tblLayout w:type="fixed"/>
          <w:tblCellMar>
            <w:top w:w="0" w:type="dxa"/>
            <w:left w:w="108" w:type="dxa"/>
            <w:bottom w:w="0" w:type="dxa"/>
            <w:right w:w="108" w:type="dxa"/>
          </w:tblCellMar>
        </w:tblPrEx>
        <w:trPr>
          <w:trHeight w:val="726" w:hRule="atLeast"/>
        </w:trPr>
        <w:tc>
          <w:tcPr>
            <w:tcW w:w="1791" w:type="dxa"/>
            <w:vMerge w:val="continue"/>
            <w:tcBorders>
              <w:left w:val="single" w:color="000000" w:sz="4" w:space="0"/>
              <w:bottom w:val="single" w:color="000000" w:sz="4" w:space="0"/>
              <w:right w:val="single" w:color="auto" w:sz="4" w:space="0"/>
            </w:tcBorders>
            <w:shd w:val="clear" w:color="auto" w:fill="auto"/>
            <w:noWrap/>
            <w:vAlign w:val="center"/>
          </w:tcPr>
          <w:p>
            <w:pPr>
              <w:jc w:val="left"/>
              <w:rPr>
                <w:rFonts w:ascii="宋体" w:hAnsi="宋体" w:cs="宋体"/>
                <w:color w:val="auto"/>
                <w:sz w:val="22"/>
                <w:szCs w:val="22"/>
                <w:highlight w:val="none"/>
              </w:rPr>
            </w:pPr>
          </w:p>
        </w:tc>
        <w:tc>
          <w:tcPr>
            <w:tcW w:w="7959" w:type="dxa"/>
            <w:gridSpan w:val="3"/>
            <w:tcBorders>
              <w:top w:val="single" w:color="auto" w:sz="4" w:space="0"/>
              <w:left w:val="single" w:color="auto"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监督人员意见：设备已到货无误□   设备未按合同要求到货□</w:t>
            </w:r>
          </w:p>
          <w:p>
            <w:pPr>
              <w:widowControl/>
              <w:jc w:val="left"/>
              <w:textAlignment w:val="center"/>
              <w:rPr>
                <w:rFonts w:ascii="宋体" w:hAnsi="宋体" w:cs="宋体"/>
                <w:color w:val="auto"/>
                <w:kern w:val="0"/>
                <w:sz w:val="22"/>
                <w:szCs w:val="22"/>
                <w:highlight w:val="none"/>
              </w:rPr>
            </w:pP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监督人员签字：</w:t>
            </w: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年    月    日</w:t>
            </w:r>
          </w:p>
        </w:tc>
      </w:tr>
      <w:tr>
        <w:tblPrEx>
          <w:tblLayout w:type="fixed"/>
          <w:tblCellMar>
            <w:top w:w="0" w:type="dxa"/>
            <w:left w:w="108" w:type="dxa"/>
            <w:bottom w:w="0" w:type="dxa"/>
            <w:right w:w="108" w:type="dxa"/>
          </w:tblCellMar>
        </w:tblPrEx>
        <w:trPr>
          <w:trHeight w:val="1238" w:hRule="atLeast"/>
        </w:trPr>
        <w:tc>
          <w:tcPr>
            <w:tcW w:w="9750" w:type="dxa"/>
            <w:gridSpan w:val="4"/>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厂家或供应商代表</w:t>
            </w:r>
            <w:r>
              <w:rPr>
                <w:rFonts w:hint="eastAsia" w:ascii="宋体" w:hAnsi="宋体" w:cs="宋体"/>
                <w:color w:val="auto"/>
                <w:sz w:val="22"/>
                <w:szCs w:val="22"/>
                <w:highlight w:val="none"/>
              </w:rPr>
              <w:t>验收意见：</w:t>
            </w:r>
            <w:r>
              <w:rPr>
                <w:rFonts w:hint="eastAsia" w:ascii="宋体" w:hAnsi="宋体" w:cs="宋体"/>
                <w:color w:val="auto"/>
                <w:kern w:val="0"/>
                <w:sz w:val="22"/>
                <w:szCs w:val="22"/>
                <w:highlight w:val="none"/>
              </w:rPr>
              <w:t>设备已到货无误□   设备未按合同要求到货□</w:t>
            </w:r>
          </w:p>
          <w:p>
            <w:pPr>
              <w:widowControl/>
              <w:jc w:val="left"/>
              <w:textAlignment w:val="top"/>
              <w:rPr>
                <w:rFonts w:ascii="宋体" w:hAnsi="宋体" w:cs="宋体"/>
                <w:color w:val="auto"/>
                <w:kern w:val="0"/>
                <w:sz w:val="22"/>
                <w:szCs w:val="22"/>
                <w:highlight w:val="none"/>
              </w:rPr>
            </w:pPr>
          </w:p>
          <w:p>
            <w:pPr>
              <w:widowControl/>
              <w:jc w:val="left"/>
              <w:textAlignment w:val="top"/>
              <w:rPr>
                <w:rFonts w:ascii="宋体" w:hAnsi="宋体" w:cs="宋体"/>
                <w:color w:val="auto"/>
                <w:kern w:val="0"/>
                <w:sz w:val="22"/>
                <w:szCs w:val="22"/>
                <w:highlight w:val="none"/>
              </w:rPr>
            </w:pPr>
          </w:p>
          <w:p>
            <w:pPr>
              <w:widowControl/>
              <w:jc w:val="left"/>
              <w:textAlignment w:val="top"/>
              <w:rPr>
                <w:rFonts w:ascii="宋体" w:hAnsi="宋体" w:cs="宋体"/>
                <w:color w:val="auto"/>
                <w:kern w:val="0"/>
                <w:sz w:val="22"/>
                <w:szCs w:val="22"/>
                <w:highlight w:val="none"/>
              </w:rPr>
            </w:pPr>
          </w:p>
          <w:p>
            <w:pPr>
              <w:widowControl/>
              <w:jc w:val="left"/>
              <w:textAlignment w:val="top"/>
              <w:rPr>
                <w:rFonts w:ascii="宋体" w:hAnsi="宋体" w:cs="宋体"/>
                <w:color w:val="auto"/>
                <w:kern w:val="0"/>
                <w:sz w:val="22"/>
                <w:szCs w:val="22"/>
                <w:highlight w:val="none"/>
              </w:rPr>
            </w:pPr>
            <w:r>
              <w:rPr>
                <w:rFonts w:hint="eastAsia" w:ascii="宋体" w:hAnsi="宋体" w:cs="宋体"/>
                <w:color w:val="auto"/>
                <w:kern w:val="0"/>
                <w:sz w:val="22"/>
                <w:szCs w:val="22"/>
                <w:highlight w:val="none"/>
              </w:rPr>
              <w:t>厂家或供应商代表</w:t>
            </w:r>
            <w:r>
              <w:rPr>
                <w:rFonts w:hint="eastAsia" w:ascii="宋体" w:hAnsi="宋体" w:cs="宋体"/>
                <w:color w:val="auto"/>
                <w:sz w:val="22"/>
                <w:szCs w:val="22"/>
                <w:highlight w:val="none"/>
              </w:rPr>
              <w:t>代表：</w:t>
            </w: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                                                                    年    月    日  </w:t>
            </w:r>
          </w:p>
        </w:tc>
      </w:tr>
      <w:tr>
        <w:tblPrEx>
          <w:tblLayout w:type="fixed"/>
          <w:tblCellMar>
            <w:top w:w="0" w:type="dxa"/>
            <w:left w:w="108" w:type="dxa"/>
            <w:bottom w:w="0" w:type="dxa"/>
            <w:right w:w="108" w:type="dxa"/>
          </w:tblCellMar>
        </w:tblPrEx>
        <w:trPr>
          <w:trHeight w:val="1201" w:hRule="atLeast"/>
        </w:trPr>
        <w:tc>
          <w:tcPr>
            <w:tcW w:w="1791" w:type="dxa"/>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使用单位或委托代表人验收</w:t>
            </w:r>
            <w:r>
              <w:rPr>
                <w:rFonts w:hint="eastAsia" w:ascii="宋体" w:hAnsi="宋体" w:cs="宋体"/>
                <w:color w:val="auto"/>
                <w:sz w:val="22"/>
                <w:szCs w:val="22"/>
                <w:highlight w:val="none"/>
              </w:rPr>
              <w:t>意见：</w:t>
            </w:r>
          </w:p>
        </w:tc>
        <w:tc>
          <w:tcPr>
            <w:tcW w:w="2943" w:type="dxa"/>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设备已到货无误□   </w:t>
            </w:r>
          </w:p>
          <w:p>
            <w:pPr>
              <w:widowControl/>
              <w:jc w:val="left"/>
              <w:textAlignment w:val="center"/>
              <w:rPr>
                <w:rFonts w:ascii="宋体" w:hAnsi="宋体" w:cs="宋体"/>
                <w:color w:val="auto"/>
                <w:kern w:val="0"/>
                <w:sz w:val="22"/>
                <w:szCs w:val="22"/>
                <w:highlight w:val="none"/>
              </w:rPr>
            </w:pP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设备未按合同要求到货□</w:t>
            </w:r>
          </w:p>
          <w:p>
            <w:pPr>
              <w:widowControl/>
              <w:ind w:firstLine="220" w:firstLineChars="100"/>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w:t>
            </w:r>
          </w:p>
        </w:tc>
        <w:tc>
          <w:tcPr>
            <w:tcW w:w="2175" w:type="dxa"/>
            <w:tcBorders>
              <w:top w:val="single" w:color="000000" w:sz="4" w:space="0"/>
              <w:left w:val="nil"/>
              <w:right w:val="nil"/>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采购人或委托代表人验收</w:t>
            </w:r>
            <w:r>
              <w:rPr>
                <w:rFonts w:hint="eastAsia" w:ascii="宋体" w:hAnsi="宋体" w:cs="宋体"/>
                <w:color w:val="auto"/>
                <w:sz w:val="22"/>
                <w:szCs w:val="22"/>
                <w:highlight w:val="none"/>
              </w:rPr>
              <w:t>意见：</w:t>
            </w:r>
          </w:p>
        </w:tc>
        <w:tc>
          <w:tcPr>
            <w:tcW w:w="2841" w:type="dxa"/>
            <w:tcBorders>
              <w:top w:val="single" w:color="000000" w:sz="4" w:space="0"/>
              <w:left w:val="nil"/>
              <w:right w:val="single" w:color="000000" w:sz="4" w:space="0"/>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 xml:space="preserve">设备已到货无误□   </w:t>
            </w:r>
          </w:p>
          <w:p>
            <w:pPr>
              <w:widowControl/>
              <w:jc w:val="left"/>
              <w:textAlignment w:val="center"/>
              <w:rPr>
                <w:rFonts w:ascii="宋体" w:hAnsi="宋体" w:cs="宋体"/>
                <w:color w:val="auto"/>
                <w:kern w:val="0"/>
                <w:sz w:val="22"/>
                <w:szCs w:val="22"/>
                <w:highlight w:val="none"/>
              </w:rPr>
            </w:pPr>
          </w:p>
          <w:p>
            <w:pPr>
              <w:widowControl/>
              <w:jc w:val="left"/>
              <w:textAlignment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设备未按合同要求到货□</w:t>
            </w:r>
          </w:p>
          <w:p>
            <w:pPr>
              <w:widowControl/>
              <w:jc w:val="left"/>
              <w:textAlignment w:val="center"/>
              <w:rPr>
                <w:rFonts w:ascii="宋体" w:hAnsi="宋体" w:cs="宋体"/>
                <w:color w:val="auto"/>
                <w:sz w:val="22"/>
                <w:szCs w:val="22"/>
                <w:highlight w:val="none"/>
              </w:rPr>
            </w:pPr>
          </w:p>
        </w:tc>
      </w:tr>
      <w:tr>
        <w:tblPrEx>
          <w:tblLayout w:type="fixed"/>
          <w:tblCellMar>
            <w:top w:w="0" w:type="dxa"/>
            <w:left w:w="108" w:type="dxa"/>
            <w:bottom w:w="0" w:type="dxa"/>
            <w:right w:w="108" w:type="dxa"/>
          </w:tblCellMar>
        </w:tblPrEx>
        <w:trPr>
          <w:trHeight w:val="592" w:hRule="atLeast"/>
        </w:trPr>
        <w:tc>
          <w:tcPr>
            <w:tcW w:w="1791" w:type="dxa"/>
            <w:tcBorders>
              <w:top w:val="nil"/>
              <w:left w:val="single" w:color="000000" w:sz="4" w:space="0"/>
              <w:bottom w:val="single" w:color="auto" w:sz="4" w:space="0"/>
              <w:right w:val="nil"/>
            </w:tcBorders>
            <w:shd w:val="clear" w:color="auto" w:fill="auto"/>
            <w:noWrap/>
            <w:vAlign w:val="center"/>
          </w:tcPr>
          <w:p>
            <w:pPr>
              <w:rPr>
                <w:rFonts w:ascii="宋体" w:hAnsi="宋体" w:cs="宋体"/>
                <w:color w:val="auto"/>
                <w:sz w:val="22"/>
                <w:szCs w:val="22"/>
                <w:highlight w:val="none"/>
              </w:rPr>
            </w:pPr>
          </w:p>
        </w:tc>
        <w:tc>
          <w:tcPr>
            <w:tcW w:w="2943" w:type="dxa"/>
            <w:tcBorders>
              <w:top w:val="nil"/>
              <w:left w:val="nil"/>
              <w:bottom w:val="single" w:color="auto" w:sz="4" w:space="0"/>
              <w:right w:val="single" w:color="000000" w:sz="4" w:space="0"/>
            </w:tcBorders>
            <w:shd w:val="clear" w:color="auto" w:fill="auto"/>
            <w:noWrap/>
            <w:vAlign w:val="center"/>
          </w:tcPr>
          <w:p>
            <w:pPr>
              <w:widowControl/>
              <w:jc w:val="left"/>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年    月    日</w:t>
            </w:r>
          </w:p>
        </w:tc>
        <w:tc>
          <w:tcPr>
            <w:tcW w:w="2175" w:type="dxa"/>
            <w:tcBorders>
              <w:top w:val="nil"/>
              <w:left w:val="nil"/>
              <w:bottom w:val="single" w:color="auto" w:sz="4" w:space="0"/>
              <w:right w:val="nil"/>
            </w:tcBorders>
            <w:shd w:val="clear" w:color="auto" w:fill="auto"/>
            <w:noWrap/>
            <w:vAlign w:val="center"/>
          </w:tcPr>
          <w:p>
            <w:pPr>
              <w:jc w:val="left"/>
              <w:rPr>
                <w:rFonts w:ascii="宋体" w:hAnsi="宋体" w:cs="宋体"/>
                <w:color w:val="auto"/>
                <w:sz w:val="22"/>
                <w:szCs w:val="22"/>
                <w:highlight w:val="none"/>
              </w:rPr>
            </w:pPr>
          </w:p>
        </w:tc>
        <w:tc>
          <w:tcPr>
            <w:tcW w:w="2841" w:type="dxa"/>
            <w:tcBorders>
              <w:top w:val="nil"/>
              <w:left w:val="nil"/>
              <w:bottom w:val="single" w:color="auto" w:sz="4" w:space="0"/>
              <w:right w:val="single" w:color="000000" w:sz="4" w:space="0"/>
            </w:tcBorders>
            <w:shd w:val="clear" w:color="auto" w:fill="auto"/>
            <w:noWrap/>
            <w:vAlign w:val="center"/>
          </w:tcPr>
          <w:p>
            <w:pPr>
              <w:widowControl/>
              <w:ind w:firstLine="220" w:firstLineChars="100"/>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 xml:space="preserve">   年    月    日</w:t>
            </w:r>
          </w:p>
        </w:tc>
      </w:tr>
      <w:tr>
        <w:tblPrEx>
          <w:tblLayout w:type="fixed"/>
          <w:tblCellMar>
            <w:top w:w="0" w:type="dxa"/>
            <w:left w:w="108" w:type="dxa"/>
            <w:bottom w:w="0" w:type="dxa"/>
            <w:right w:w="108" w:type="dxa"/>
          </w:tblCellMar>
        </w:tblPrEx>
        <w:trPr>
          <w:trHeight w:val="187" w:hRule="atLeast"/>
        </w:trPr>
        <w:tc>
          <w:tcPr>
            <w:tcW w:w="1791" w:type="dxa"/>
            <w:tcBorders>
              <w:top w:val="single" w:color="auto" w:sz="4" w:space="0"/>
              <w:left w:val="nil"/>
              <w:bottom w:val="nil"/>
              <w:right w:val="nil"/>
            </w:tcBorders>
            <w:shd w:val="clear" w:color="auto" w:fill="auto"/>
            <w:noWrap/>
            <w:vAlign w:val="center"/>
          </w:tcPr>
          <w:p>
            <w:pPr>
              <w:rPr>
                <w:rFonts w:ascii="宋体" w:hAnsi="宋体" w:cs="宋体"/>
                <w:color w:val="auto"/>
                <w:sz w:val="22"/>
                <w:szCs w:val="22"/>
                <w:highlight w:val="none"/>
              </w:rPr>
            </w:pPr>
          </w:p>
        </w:tc>
        <w:tc>
          <w:tcPr>
            <w:tcW w:w="2943" w:type="dxa"/>
            <w:tcBorders>
              <w:top w:val="single" w:color="auto" w:sz="4" w:space="0"/>
              <w:left w:val="nil"/>
              <w:bottom w:val="nil"/>
              <w:right w:val="nil"/>
            </w:tcBorders>
            <w:shd w:val="clear" w:color="auto" w:fill="auto"/>
            <w:noWrap/>
            <w:vAlign w:val="center"/>
          </w:tcPr>
          <w:p>
            <w:pPr>
              <w:widowControl/>
              <w:jc w:val="left"/>
              <w:textAlignment w:val="center"/>
              <w:rPr>
                <w:rFonts w:ascii="宋体" w:hAnsi="宋体" w:cs="宋体"/>
                <w:color w:val="auto"/>
                <w:kern w:val="0"/>
                <w:sz w:val="22"/>
                <w:szCs w:val="22"/>
                <w:highlight w:val="none"/>
              </w:rPr>
            </w:pPr>
          </w:p>
        </w:tc>
        <w:tc>
          <w:tcPr>
            <w:tcW w:w="2175" w:type="dxa"/>
            <w:tcBorders>
              <w:top w:val="single" w:color="auto" w:sz="4" w:space="0"/>
              <w:left w:val="nil"/>
              <w:bottom w:val="nil"/>
              <w:right w:val="nil"/>
            </w:tcBorders>
            <w:shd w:val="clear" w:color="auto" w:fill="auto"/>
            <w:noWrap/>
            <w:vAlign w:val="center"/>
          </w:tcPr>
          <w:p>
            <w:pPr>
              <w:jc w:val="left"/>
              <w:rPr>
                <w:rFonts w:ascii="宋体" w:hAnsi="宋体" w:cs="宋体"/>
                <w:color w:val="auto"/>
                <w:sz w:val="22"/>
                <w:szCs w:val="22"/>
                <w:highlight w:val="none"/>
              </w:rPr>
            </w:pPr>
          </w:p>
        </w:tc>
        <w:tc>
          <w:tcPr>
            <w:tcW w:w="2841" w:type="dxa"/>
            <w:tcBorders>
              <w:top w:val="single" w:color="auto" w:sz="4" w:space="0"/>
              <w:left w:val="nil"/>
              <w:bottom w:val="nil"/>
              <w:right w:val="nil"/>
            </w:tcBorders>
            <w:shd w:val="clear" w:color="auto" w:fill="auto"/>
            <w:noWrap/>
            <w:vAlign w:val="center"/>
          </w:tcPr>
          <w:p>
            <w:pPr>
              <w:widowControl/>
              <w:ind w:firstLine="220" w:firstLineChars="100"/>
              <w:textAlignment w:val="center"/>
              <w:rPr>
                <w:rFonts w:ascii="宋体" w:hAnsi="宋体" w:cs="宋体"/>
                <w:color w:val="auto"/>
                <w:kern w:val="0"/>
                <w:sz w:val="22"/>
                <w:szCs w:val="22"/>
                <w:highlight w:val="none"/>
              </w:rPr>
            </w:pPr>
          </w:p>
        </w:tc>
      </w:tr>
      <w:tr>
        <w:tblPrEx>
          <w:tblLayout w:type="fixed"/>
          <w:tblCellMar>
            <w:top w:w="0" w:type="dxa"/>
            <w:left w:w="108" w:type="dxa"/>
            <w:bottom w:w="0" w:type="dxa"/>
            <w:right w:w="108" w:type="dxa"/>
          </w:tblCellMar>
        </w:tblPrEx>
        <w:trPr>
          <w:trHeight w:val="592" w:hRule="atLeast"/>
        </w:trPr>
        <w:tc>
          <w:tcPr>
            <w:tcW w:w="9750" w:type="dxa"/>
            <w:gridSpan w:val="4"/>
            <w:tcBorders>
              <w:top w:val="nil"/>
              <w:left w:val="nil"/>
              <w:bottom w:val="nil"/>
              <w:right w:val="nil"/>
            </w:tcBorders>
            <w:shd w:val="clear" w:color="auto" w:fill="auto"/>
            <w:noWrap/>
            <w:vAlign w:val="center"/>
          </w:tcPr>
          <w:p>
            <w:pPr>
              <w:widowControl/>
              <w:jc w:val="left"/>
              <w:textAlignment w:val="center"/>
              <w:rPr>
                <w:rFonts w:ascii="宋体" w:hAnsi="宋体" w:cs="宋体"/>
                <w:color w:val="auto"/>
                <w:kern w:val="0"/>
                <w:sz w:val="22"/>
                <w:szCs w:val="22"/>
                <w:highlight w:val="none"/>
              </w:rPr>
            </w:pPr>
            <w:r>
              <w:rPr>
                <w:rFonts w:hint="eastAsia" w:ascii="宋体" w:hAnsi="宋体" w:cs="宋体"/>
                <w:b/>
                <w:bCs/>
                <w:color w:val="auto"/>
                <w:kern w:val="0"/>
                <w:sz w:val="22"/>
                <w:szCs w:val="22"/>
                <w:highlight w:val="none"/>
              </w:rPr>
              <w:t>备注：</w:t>
            </w:r>
            <w:r>
              <w:rPr>
                <w:rFonts w:hint="eastAsia" w:ascii="宋体" w:hAnsi="宋体" w:cs="宋体"/>
                <w:color w:val="auto"/>
                <w:kern w:val="0"/>
                <w:sz w:val="22"/>
                <w:szCs w:val="22"/>
                <w:highlight w:val="none"/>
              </w:rPr>
              <w:t>1.本验收单一式三份，验收完成后加盖供应商单位公章并将验收资料及相关证件交使用单位查验。</w:t>
            </w:r>
          </w:p>
          <w:p>
            <w:pPr>
              <w:spacing w:line="0" w:lineRule="atLeast"/>
              <w:rPr>
                <w:rFonts w:ascii="宋体" w:hAnsi="宋体" w:cs="宋体"/>
                <w:color w:val="auto"/>
                <w:kern w:val="0"/>
                <w:sz w:val="22"/>
                <w:szCs w:val="22"/>
                <w:highlight w:val="none"/>
              </w:rPr>
            </w:pPr>
            <w:r>
              <w:rPr>
                <w:rFonts w:hint="eastAsia" w:ascii="宋体" w:hAnsi="宋体" w:cs="宋体"/>
                <w:color w:val="auto"/>
                <w:kern w:val="0"/>
                <w:sz w:val="22"/>
                <w:szCs w:val="22"/>
                <w:highlight w:val="none"/>
              </w:rPr>
              <w:t>2.验收成员应由熟悉掌握该采购项目技术需要的技术人员（专家）、使用单位设备使用部门、使用单位资产管理部门、使用单位设备归口管理部门、使用单位采购项目有关人员（财务科、审计科等）组成，验收人员不少于3人。</w:t>
            </w:r>
          </w:p>
          <w:p>
            <w:pPr>
              <w:spacing w:line="0" w:lineRule="atLeast"/>
              <w:rPr>
                <w:rFonts w:ascii="宋体" w:hAnsi="宋体" w:cs="宋体"/>
                <w:color w:val="auto"/>
                <w:kern w:val="0"/>
                <w:sz w:val="22"/>
                <w:szCs w:val="22"/>
                <w:highlight w:val="none"/>
              </w:rPr>
            </w:pPr>
            <w:r>
              <w:rPr>
                <w:rFonts w:hint="eastAsia" w:ascii="宋体" w:hAnsi="宋体" w:cs="宋体"/>
                <w:color w:val="auto"/>
                <w:kern w:val="0"/>
                <w:sz w:val="22"/>
                <w:szCs w:val="22"/>
                <w:highlight w:val="none"/>
              </w:rPr>
              <w:t>3.使用单位纪检监察室或审计科负责对采购项目履约验收活动的监督检查（在“监督人员意见”处签字）。</w:t>
            </w:r>
          </w:p>
        </w:tc>
      </w:tr>
    </w:tbl>
    <w:p>
      <w:pPr>
        <w:rPr>
          <w:rFonts w:ascii="仿宋" w:hAnsi="仿宋" w:eastAsia="仿宋"/>
          <w:color w:val="auto"/>
          <w:szCs w:val="21"/>
          <w:highlight w:val="none"/>
          <w:u w:val="single"/>
        </w:rPr>
      </w:pPr>
      <w:r>
        <w:rPr>
          <w:rFonts w:ascii="仿宋" w:hAnsi="仿宋" w:eastAsia="仿宋"/>
          <w:color w:val="auto"/>
          <w:szCs w:val="21"/>
          <w:highlight w:val="none"/>
          <w:u w:val="single"/>
        </w:rPr>
        <w:br w:type="page"/>
      </w:r>
    </w:p>
    <w:p>
      <w:pPr>
        <w:pStyle w:val="2"/>
        <w:rPr>
          <w:color w:val="auto"/>
          <w:highlight w:val="none"/>
        </w:rPr>
      </w:pPr>
    </w:p>
    <w:p>
      <w:pPr>
        <w:snapToGrid w:val="0"/>
        <w:jc w:val="center"/>
        <w:rPr>
          <w:rFonts w:asciiTheme="minorEastAsia" w:hAnsiTheme="minorEastAsia" w:eastAsiaTheme="minorEastAsia"/>
          <w:color w:val="auto"/>
          <w:szCs w:val="21"/>
          <w:highlight w:val="none"/>
        </w:rPr>
      </w:pPr>
    </w:p>
    <w:p>
      <w:pPr>
        <w:spacing w:line="360" w:lineRule="auto"/>
        <w:jc w:val="center"/>
        <w:rPr>
          <w:rFonts w:asciiTheme="minorEastAsia" w:hAnsiTheme="minorEastAsia" w:eastAsiaTheme="minorEastAsia" w:cstheme="minorEastAsia"/>
          <w:color w:val="auto"/>
          <w:highlight w:val="none"/>
        </w:rPr>
      </w:pPr>
    </w:p>
    <w:p>
      <w:pP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keepNext/>
        <w:keepLines/>
        <w:spacing w:line="360" w:lineRule="auto"/>
        <w:jc w:val="center"/>
        <w:rPr>
          <w:rFonts w:asciiTheme="minorEastAsia" w:hAnsiTheme="minorEastAsia" w:eastAsiaTheme="minorEastAsia" w:cstheme="minorEastAsia"/>
          <w:color w:val="auto"/>
          <w:highlight w:val="none"/>
        </w:rPr>
      </w:pPr>
    </w:p>
    <w:p>
      <w:pPr>
        <w:pStyle w:val="3"/>
        <w:spacing w:line="360" w:lineRule="auto"/>
        <w:jc w:val="center"/>
        <w:rPr>
          <w:rFonts w:asciiTheme="minorEastAsia" w:hAnsiTheme="minorEastAsia" w:eastAsiaTheme="minorEastAsia" w:cstheme="minorEastAsia"/>
          <w:color w:val="auto"/>
          <w:highlight w:val="none"/>
        </w:rPr>
      </w:pPr>
      <w:bookmarkStart w:id="169" w:name="_Toc20261"/>
      <w:bookmarkStart w:id="170" w:name="_Toc2546"/>
      <w:r>
        <w:rPr>
          <w:rFonts w:hint="eastAsia" w:asciiTheme="minorEastAsia" w:hAnsiTheme="minorEastAsia" w:eastAsiaTheme="minorEastAsia" w:cstheme="minorEastAsia"/>
          <w:color w:val="auto"/>
          <w:highlight w:val="none"/>
        </w:rPr>
        <w:t>第六章　投标文件格式</w:t>
      </w:r>
      <w:bookmarkEnd w:id="169"/>
      <w:bookmarkEnd w:id="170"/>
    </w:p>
    <w:p>
      <w:pPr>
        <w:snapToGrid w:val="0"/>
        <w:spacing w:before="50" w:after="50" w:line="360" w:lineRule="auto"/>
        <w:rPr>
          <w:rFonts w:asciiTheme="minorEastAsia" w:hAnsiTheme="minorEastAsia" w:eastAsiaTheme="minorEastAsia" w:cstheme="minorEastAsia"/>
          <w:color w:val="auto"/>
          <w:sz w:val="32"/>
          <w:szCs w:val="20"/>
          <w:highlight w:val="none"/>
        </w:rPr>
      </w:pPr>
    </w:p>
    <w:p>
      <w:pPr>
        <w:snapToGrid w:val="0"/>
        <w:spacing w:before="50" w:after="50" w:line="360" w:lineRule="auto"/>
        <w:rPr>
          <w:rFonts w:asciiTheme="minorEastAsia" w:hAnsiTheme="minorEastAsia" w:eastAsiaTheme="minorEastAsia" w:cstheme="minorEastAsia"/>
          <w:color w:val="auto"/>
          <w:sz w:val="32"/>
          <w:szCs w:val="20"/>
          <w:highlight w:val="none"/>
        </w:rPr>
      </w:pPr>
    </w:p>
    <w:p>
      <w:pPr>
        <w:snapToGrid w:val="0"/>
        <w:spacing w:before="50" w:after="50" w:line="360" w:lineRule="auto"/>
        <w:rPr>
          <w:rFonts w:asciiTheme="minorEastAsia" w:hAnsiTheme="minorEastAsia" w:eastAsiaTheme="minorEastAsia" w:cstheme="minorEastAsia"/>
          <w:color w:val="auto"/>
          <w:sz w:val="32"/>
          <w:szCs w:val="20"/>
          <w:highlight w:val="none"/>
        </w:rPr>
      </w:pPr>
    </w:p>
    <w:p>
      <w:pPr>
        <w:snapToGrid w:val="0"/>
        <w:spacing w:before="50" w:after="50" w:line="360" w:lineRule="auto"/>
        <w:rPr>
          <w:rFonts w:asciiTheme="minorEastAsia" w:hAnsiTheme="minorEastAsia" w:eastAsiaTheme="minorEastAsia" w:cstheme="minorEastAsia"/>
          <w:color w:val="auto"/>
          <w:sz w:val="32"/>
          <w:szCs w:val="20"/>
          <w:highlight w:val="none"/>
        </w:rPr>
      </w:pPr>
    </w:p>
    <w:p>
      <w:pPr>
        <w:spacing w:line="360" w:lineRule="auto"/>
        <w:rPr>
          <w:rFonts w:asciiTheme="minorEastAsia" w:hAnsiTheme="minorEastAsia" w:eastAsiaTheme="minorEastAsia" w:cstheme="minorEastAsia"/>
          <w:b/>
          <w:color w:val="auto"/>
          <w:sz w:val="28"/>
          <w:szCs w:val="28"/>
          <w:highlight w:val="none"/>
        </w:rPr>
      </w:pPr>
      <w:bookmarkStart w:id="171" w:name="_Toc19686836"/>
      <w:bookmarkEnd w:id="171"/>
      <w:bookmarkStart w:id="172" w:name="_Toc254970557"/>
      <w:bookmarkStart w:id="173" w:name="_Toc254970698"/>
      <w:r>
        <w:rPr>
          <w:rFonts w:hint="eastAsia" w:asciiTheme="minorEastAsia" w:hAnsiTheme="minorEastAsia" w:eastAsiaTheme="minorEastAsia" w:cstheme="minorEastAsia"/>
          <w:b/>
          <w:color w:val="auto"/>
          <w:sz w:val="28"/>
          <w:szCs w:val="28"/>
          <w:highlight w:val="none"/>
        </w:rPr>
        <w:br w:type="page"/>
      </w:r>
      <w:r>
        <w:rPr>
          <w:rFonts w:hint="eastAsia" w:asciiTheme="minorEastAsia" w:hAnsiTheme="minorEastAsia" w:eastAsiaTheme="minorEastAsia" w:cstheme="minorEastAsia"/>
          <w:b/>
          <w:color w:val="auto"/>
          <w:sz w:val="28"/>
          <w:szCs w:val="28"/>
          <w:highlight w:val="none"/>
        </w:rPr>
        <w:t>一、报价文件格式</w:t>
      </w:r>
    </w:p>
    <w:p>
      <w:pPr>
        <w:snapToGrid w:val="0"/>
        <w:spacing w:beforeLines="50" w:after="50" w:line="360" w:lineRule="auto"/>
        <w:ind w:left="142"/>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 xml:space="preserve">1. 报价文件封面格式： </w:t>
      </w:r>
    </w:p>
    <w:p>
      <w:pPr>
        <w:snapToGrid w:val="0"/>
        <w:spacing w:beforeLines="50" w:after="50" w:line="360" w:lineRule="auto"/>
        <w:ind w:left="142"/>
        <w:jc w:val="center"/>
        <w:rPr>
          <w:rFonts w:asciiTheme="minorEastAsia" w:hAnsiTheme="minorEastAsia" w:eastAsiaTheme="minorEastAsia" w:cstheme="minorEastAsia"/>
          <w:bCs/>
          <w:color w:val="auto"/>
          <w:sz w:val="48"/>
          <w:szCs w:val="48"/>
          <w:highlight w:val="none"/>
        </w:rPr>
      </w:pPr>
      <w:r>
        <w:rPr>
          <w:rFonts w:hint="eastAsia" w:asciiTheme="minorEastAsia" w:hAnsiTheme="minorEastAsia" w:eastAsiaTheme="minorEastAsia" w:cstheme="minorEastAsia"/>
          <w:bCs/>
          <w:color w:val="auto"/>
          <w:sz w:val="48"/>
          <w:szCs w:val="48"/>
          <w:highlight w:val="none"/>
        </w:rPr>
        <w:t>电子投标文件</w:t>
      </w:r>
    </w:p>
    <w:p>
      <w:pPr>
        <w:snapToGrid w:val="0"/>
        <w:spacing w:beforeLines="50" w:after="50" w:line="360" w:lineRule="auto"/>
        <w:jc w:val="left"/>
        <w:rPr>
          <w:rFonts w:asciiTheme="minorEastAsia" w:hAnsiTheme="minorEastAsia" w:eastAsiaTheme="minorEastAsia" w:cstheme="minorEastAsia"/>
          <w:bCs/>
          <w:color w:val="auto"/>
          <w:sz w:val="48"/>
          <w:szCs w:val="48"/>
          <w:highlight w:val="none"/>
        </w:rPr>
      </w:pPr>
    </w:p>
    <w:p>
      <w:pPr>
        <w:snapToGrid w:val="0"/>
        <w:spacing w:beforeLines="50" w:after="50" w:line="360" w:lineRule="auto"/>
        <w:jc w:val="center"/>
        <w:rPr>
          <w:rFonts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报  价  文  件</w:t>
      </w:r>
    </w:p>
    <w:p>
      <w:pPr>
        <w:snapToGrid w:val="0"/>
        <w:spacing w:beforeLines="50" w:after="50" w:line="360" w:lineRule="auto"/>
        <w:rPr>
          <w:rFonts w:asciiTheme="minorEastAsia" w:hAnsiTheme="minorEastAsia" w:eastAsiaTheme="minorEastAsia" w:cstheme="minorEastAsia"/>
          <w:bCs/>
          <w:color w:val="auto"/>
          <w:sz w:val="24"/>
          <w:szCs w:val="20"/>
          <w:highlight w:val="none"/>
        </w:rPr>
      </w:pPr>
    </w:p>
    <w:p>
      <w:pPr>
        <w:snapToGrid w:val="0"/>
        <w:spacing w:beforeLines="50" w:after="50" w:line="360" w:lineRule="auto"/>
        <w:rPr>
          <w:rFonts w:asciiTheme="minorEastAsia" w:hAnsiTheme="minorEastAsia" w:eastAsiaTheme="minorEastAsia" w:cstheme="minorEastAsia"/>
          <w:bCs/>
          <w:color w:val="auto"/>
          <w:sz w:val="24"/>
          <w:szCs w:val="20"/>
          <w:highlight w:val="none"/>
        </w:rPr>
      </w:pPr>
    </w:p>
    <w:p>
      <w:pPr>
        <w:snapToGrid w:val="0"/>
        <w:spacing w:beforeLines="50" w:after="50" w:line="360" w:lineRule="auto"/>
        <w:rPr>
          <w:rFonts w:asciiTheme="minorEastAsia" w:hAnsiTheme="minorEastAsia" w:eastAsiaTheme="minorEastAsia" w:cstheme="minorEastAsia"/>
          <w:bCs/>
          <w:color w:val="auto"/>
          <w:sz w:val="24"/>
          <w:szCs w:val="20"/>
          <w:highlight w:val="none"/>
        </w:rPr>
      </w:pPr>
    </w:p>
    <w:p>
      <w:pPr>
        <w:snapToGrid w:val="0"/>
        <w:spacing w:beforeLines="50" w:after="50" w:line="360" w:lineRule="auto"/>
        <w:ind w:firstLine="360" w:firstLineChars="150"/>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 xml:space="preserve">项目名称： </w:t>
      </w:r>
    </w:p>
    <w:p>
      <w:pPr>
        <w:snapToGrid w:val="0"/>
        <w:spacing w:beforeLines="50" w:after="50" w:line="360" w:lineRule="auto"/>
        <w:ind w:firstLine="360" w:firstLineChars="150"/>
        <w:rPr>
          <w:rFonts w:asciiTheme="minorEastAsia" w:hAnsiTheme="minorEastAsia" w:eastAsiaTheme="minorEastAsia" w:cstheme="minorEastAsia"/>
          <w:bCs/>
          <w:color w:val="auto"/>
          <w:sz w:val="24"/>
          <w:highlight w:val="none"/>
        </w:rPr>
      </w:pPr>
    </w:p>
    <w:p>
      <w:pPr>
        <w:snapToGrid w:val="0"/>
        <w:spacing w:beforeLines="50" w:after="50" w:line="360" w:lineRule="auto"/>
        <w:ind w:firstLine="360" w:firstLineChars="150"/>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 xml:space="preserve">项目编号： </w:t>
      </w:r>
    </w:p>
    <w:p>
      <w:pPr>
        <w:snapToGrid w:val="0"/>
        <w:spacing w:beforeLines="50" w:after="50" w:line="360" w:lineRule="auto"/>
        <w:ind w:firstLine="360" w:firstLineChars="150"/>
        <w:rPr>
          <w:rFonts w:asciiTheme="minorEastAsia" w:hAnsiTheme="minorEastAsia" w:eastAsiaTheme="minorEastAsia" w:cstheme="minorEastAsia"/>
          <w:bCs/>
          <w:color w:val="auto"/>
          <w:sz w:val="24"/>
          <w:highlight w:val="none"/>
        </w:rPr>
      </w:pPr>
    </w:p>
    <w:p>
      <w:pPr>
        <w:snapToGrid w:val="0"/>
        <w:spacing w:beforeLines="50" w:after="50" w:line="360" w:lineRule="auto"/>
        <w:ind w:firstLine="360" w:firstLineChars="150"/>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所投分标（如有）：</w:t>
      </w:r>
    </w:p>
    <w:p>
      <w:pPr>
        <w:snapToGrid w:val="0"/>
        <w:spacing w:beforeLines="50" w:after="50" w:line="360" w:lineRule="auto"/>
        <w:ind w:firstLine="360" w:firstLineChars="150"/>
        <w:rPr>
          <w:rFonts w:asciiTheme="minorEastAsia" w:hAnsiTheme="minorEastAsia" w:eastAsiaTheme="minorEastAsia" w:cstheme="minorEastAsia"/>
          <w:bCs/>
          <w:color w:val="auto"/>
          <w:sz w:val="24"/>
          <w:highlight w:val="none"/>
        </w:rPr>
      </w:pPr>
    </w:p>
    <w:p>
      <w:pPr>
        <w:snapToGrid w:val="0"/>
        <w:spacing w:beforeLines="50" w:after="50" w:line="360" w:lineRule="auto"/>
        <w:ind w:firstLine="360" w:firstLineChars="150"/>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投标人名称：</w:t>
      </w:r>
    </w:p>
    <w:p>
      <w:pPr>
        <w:snapToGrid w:val="0"/>
        <w:spacing w:beforeLines="50" w:after="50" w:line="360" w:lineRule="auto"/>
        <w:ind w:firstLine="360" w:firstLineChars="150"/>
        <w:rPr>
          <w:rFonts w:asciiTheme="minorEastAsia" w:hAnsiTheme="minorEastAsia" w:eastAsiaTheme="minorEastAsia" w:cstheme="minorEastAsia"/>
          <w:bCs/>
          <w:color w:val="auto"/>
          <w:sz w:val="24"/>
          <w:highlight w:val="none"/>
        </w:rPr>
      </w:pPr>
    </w:p>
    <w:p>
      <w:pPr>
        <w:snapToGrid w:val="0"/>
        <w:spacing w:beforeLines="50" w:after="50" w:line="360" w:lineRule="auto"/>
        <w:ind w:firstLine="360" w:firstLineChars="150"/>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投标人地址：</w:t>
      </w:r>
    </w:p>
    <w:p>
      <w:pPr>
        <w:pStyle w:val="9"/>
        <w:snapToGrid w:val="0"/>
        <w:spacing w:before="50" w:after="50" w:line="360" w:lineRule="auto"/>
        <w:ind w:firstLine="960" w:firstLineChars="400"/>
        <w:rPr>
          <w:rFonts w:asciiTheme="minorEastAsia" w:hAnsiTheme="minorEastAsia" w:eastAsiaTheme="minorEastAsia" w:cstheme="minorEastAsia"/>
          <w:bCs/>
          <w:color w:val="auto"/>
          <w:sz w:val="24"/>
          <w:szCs w:val="24"/>
          <w:highlight w:val="none"/>
        </w:rPr>
      </w:pPr>
    </w:p>
    <w:p>
      <w:pPr>
        <w:snapToGrid w:val="0"/>
        <w:spacing w:beforeLines="50" w:after="50" w:line="360" w:lineRule="auto"/>
        <w:rPr>
          <w:rFonts w:asciiTheme="minorEastAsia" w:hAnsiTheme="minorEastAsia" w:eastAsiaTheme="minorEastAsia" w:cstheme="minorEastAsia"/>
          <w:color w:val="auto"/>
          <w:sz w:val="30"/>
          <w:szCs w:val="20"/>
          <w:highlight w:val="none"/>
        </w:rPr>
      </w:pPr>
      <w:r>
        <w:rPr>
          <w:rFonts w:hint="eastAsia" w:asciiTheme="minorEastAsia" w:hAnsiTheme="minorEastAsia" w:eastAsiaTheme="minorEastAsia" w:cstheme="minorEastAsia"/>
          <w:color w:val="auto"/>
          <w:sz w:val="24"/>
          <w:highlight w:val="none"/>
        </w:rPr>
        <w:t xml:space="preserve">                                   年  月  日</w:t>
      </w:r>
    </w:p>
    <w:p>
      <w:pPr>
        <w:snapToGrid w:val="0"/>
        <w:spacing w:beforeLines="50" w:after="50" w:line="360" w:lineRule="auto"/>
        <w:jc w:val="left"/>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color w:val="auto"/>
          <w:sz w:val="24"/>
          <w:highlight w:val="none"/>
        </w:rPr>
        <w:t>2.</w:t>
      </w:r>
      <w:r>
        <w:rPr>
          <w:rFonts w:hint="eastAsia" w:asciiTheme="minorEastAsia" w:hAnsiTheme="minorEastAsia" w:eastAsiaTheme="minorEastAsia" w:cstheme="minorEastAsia"/>
          <w:b/>
          <w:bCs/>
          <w:color w:val="auto"/>
          <w:sz w:val="24"/>
          <w:highlight w:val="none"/>
        </w:rPr>
        <w:t>报价文件目录</w:t>
      </w:r>
    </w:p>
    <w:p>
      <w:pPr>
        <w:snapToGrid w:val="0"/>
        <w:spacing w:before="50" w:afterLines="50" w:line="360" w:lineRule="auto"/>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Cs w:val="21"/>
          <w:highlight w:val="none"/>
        </w:rPr>
        <w:t>根据招标文件规定及投标人提供的材料自行编写目录。</w:t>
      </w:r>
    </w:p>
    <w:p>
      <w:pPr>
        <w:snapToGrid w:val="0"/>
        <w:spacing w:beforeLines="50" w:after="50" w:line="360" w:lineRule="auto"/>
        <w:rPr>
          <w:rFonts w:asciiTheme="minorEastAsia" w:hAnsiTheme="minorEastAsia" w:eastAsiaTheme="minorEastAsia" w:cstheme="minorEastAsia"/>
          <w:b/>
          <w:color w:val="auto"/>
          <w:sz w:val="24"/>
          <w:highlight w:val="none"/>
        </w:rPr>
      </w:pPr>
    </w:p>
    <w:p>
      <w:pPr>
        <w:snapToGrid w:val="0"/>
        <w:spacing w:beforeLines="50" w:after="50" w:line="360" w:lineRule="auto"/>
        <w:rPr>
          <w:rFonts w:asciiTheme="minorEastAsia" w:hAnsiTheme="minorEastAsia" w:eastAsiaTheme="minorEastAsia" w:cstheme="minorEastAsia"/>
          <w:b/>
          <w:color w:val="auto"/>
          <w:sz w:val="24"/>
          <w:highlight w:val="none"/>
        </w:rPr>
      </w:pPr>
    </w:p>
    <w:p>
      <w:pPr>
        <w:snapToGrid w:val="0"/>
        <w:spacing w:beforeLines="50" w:after="50" w:line="360" w:lineRule="auto"/>
        <w:rPr>
          <w:rFonts w:asciiTheme="minorEastAsia" w:hAnsiTheme="minorEastAsia" w:eastAsiaTheme="minorEastAsia" w:cstheme="minorEastAsia"/>
          <w:b/>
          <w:color w:val="auto"/>
          <w:sz w:val="24"/>
          <w:highlight w:val="none"/>
        </w:rPr>
      </w:pPr>
    </w:p>
    <w:p>
      <w:pPr>
        <w:snapToGrid w:val="0"/>
        <w:spacing w:beforeLines="50" w:after="50" w:line="360" w:lineRule="auto"/>
        <w:ind w:left="142"/>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color w:val="auto"/>
          <w:sz w:val="24"/>
          <w:highlight w:val="none"/>
        </w:rPr>
        <w:t>3. 投标函格式：</w:t>
      </w:r>
    </w:p>
    <w:p>
      <w:pPr>
        <w:snapToGrid w:val="0"/>
        <w:spacing w:line="312" w:lineRule="auto"/>
        <w:jc w:val="center"/>
        <w:rPr>
          <w:rFonts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bCs/>
          <w:color w:val="auto"/>
          <w:sz w:val="44"/>
          <w:szCs w:val="44"/>
          <w:highlight w:val="none"/>
        </w:rPr>
        <w:t>投 标 函</w:t>
      </w:r>
    </w:p>
    <w:p>
      <w:pPr>
        <w:spacing w:line="312"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rPr>
        <w:t>采购人名称</w:t>
      </w:r>
      <w:r>
        <w:rPr>
          <w:rFonts w:hint="eastAsia" w:asciiTheme="minorEastAsia" w:hAnsiTheme="minorEastAsia" w:eastAsiaTheme="minorEastAsia" w:cstheme="minorEastAsia"/>
          <w:color w:val="auto"/>
          <w:sz w:val="24"/>
          <w:highlight w:val="none"/>
        </w:rPr>
        <w:t>：</w:t>
      </w:r>
    </w:p>
    <w:p>
      <w:pPr>
        <w:spacing w:line="312" w:lineRule="auto"/>
        <w:ind w:firstLine="48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根据贵方</w:t>
      </w:r>
      <w:r>
        <w:rPr>
          <w:rFonts w:hint="eastAsia" w:asciiTheme="minorEastAsia" w:hAnsiTheme="minorEastAsia" w:eastAsiaTheme="minorEastAsia" w:cstheme="minorEastAsia"/>
          <w:color w:val="auto"/>
          <w:sz w:val="24"/>
          <w:highlight w:val="none"/>
          <w:u w:val="single"/>
        </w:rPr>
        <w:t xml:space="preserve"> 项目名称</w:t>
      </w:r>
      <w:r>
        <w:rPr>
          <w:rFonts w:hint="eastAsia" w:asciiTheme="minorEastAsia" w:hAnsiTheme="minorEastAsia" w:eastAsiaTheme="minorEastAsia" w:cstheme="minorEastAsia"/>
          <w:color w:val="auto"/>
          <w:sz w:val="24"/>
          <w:highlight w:val="none"/>
        </w:rPr>
        <w:t>（项目编号：）的招标公告，签字代表______（姓名）经正式授权并代表投标人（投标人名称）提交投标文件。</w:t>
      </w:r>
    </w:p>
    <w:p>
      <w:pPr>
        <w:spacing w:line="312"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据此函，我方宣布同意如下：</w:t>
      </w:r>
    </w:p>
    <w:p>
      <w:pPr>
        <w:spacing w:line="312"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1.我方已详细审查全部“招标文件”，包括修改文件（如有的话）以及全部参考资料和有关附件，已经了解我方对于招标文件、采购过程、采购结果有依法进行询问、质疑、投诉的权利及相关渠道和要求。</w:t>
      </w:r>
    </w:p>
    <w:p>
      <w:pPr>
        <w:spacing w:line="312"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2.我方在投标之前已经完全理解并接受招标文件的各项规定和要求，对招标文件的合理性、合法性不再有异议。</w:t>
      </w:r>
    </w:p>
    <w:p>
      <w:pPr>
        <w:spacing w:line="312"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3.本投标有效期自投标截止之日起</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日。</w:t>
      </w:r>
    </w:p>
    <w:p>
      <w:pPr>
        <w:spacing w:line="312"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4.如中标，本投标文件至本项目合同履行完毕止均保持有效，我方将按“招标文件”及政府采购法律、法规的规定履行合同责任和义务。</w:t>
      </w:r>
    </w:p>
    <w:p>
      <w:pPr>
        <w:spacing w:line="312"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5.我方同意按照贵方要求提供与投标有关的一切数据或者资料。</w:t>
      </w:r>
    </w:p>
    <w:p>
      <w:pPr>
        <w:spacing w:line="312"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6.我方向贵方提交的所有投标文件、资料都是准确的和真实的。</w:t>
      </w:r>
    </w:p>
    <w:p>
      <w:pPr>
        <w:spacing w:line="312"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7.以上事项如有虚假或者隐瞒，我方愿意承担一切后果，并不再寻求任何旨在减轻或者免除法律责任的辩解。</w:t>
      </w:r>
    </w:p>
    <w:p>
      <w:pPr>
        <w:spacing w:line="312"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pPr>
        <w:spacing w:line="312"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□我方本次投标文件</w:t>
      </w:r>
      <w:r>
        <w:rPr>
          <w:rFonts w:hint="eastAsia" w:asciiTheme="minorEastAsia" w:hAnsiTheme="minorEastAsia" w:eastAsiaTheme="minorEastAsia" w:cstheme="minorEastAsia"/>
          <w:color w:val="auto"/>
          <w:kern w:val="0"/>
          <w:sz w:val="24"/>
          <w:highlight w:val="none"/>
        </w:rPr>
        <w:t>内容中</w:t>
      </w:r>
      <w:r>
        <w:rPr>
          <w:rFonts w:hint="eastAsia" w:asciiTheme="minorEastAsia" w:hAnsiTheme="minorEastAsia" w:eastAsiaTheme="minorEastAsia" w:cstheme="minorEastAsia"/>
          <w:color w:val="auto"/>
          <w:sz w:val="24"/>
          <w:highlight w:val="none"/>
        </w:rPr>
        <w:t>未</w:t>
      </w:r>
      <w:r>
        <w:rPr>
          <w:rFonts w:hint="eastAsia" w:asciiTheme="minorEastAsia" w:hAnsiTheme="minorEastAsia" w:eastAsiaTheme="minorEastAsia" w:cstheme="minorEastAsia"/>
          <w:color w:val="auto"/>
          <w:kern w:val="0"/>
          <w:sz w:val="24"/>
          <w:highlight w:val="none"/>
        </w:rPr>
        <w:t>涉及商业秘密；</w:t>
      </w:r>
    </w:p>
    <w:p>
      <w:pPr>
        <w:spacing w:line="312"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□我方本次投标文件</w:t>
      </w:r>
      <w:r>
        <w:rPr>
          <w:rFonts w:hint="eastAsia" w:asciiTheme="minorEastAsia" w:hAnsiTheme="minorEastAsia" w:eastAsiaTheme="minorEastAsia" w:cstheme="minorEastAsia"/>
          <w:color w:val="auto"/>
          <w:kern w:val="0"/>
          <w:sz w:val="24"/>
          <w:highlight w:val="none"/>
        </w:rPr>
        <w:t>涉及商业秘密的内容有：；</w:t>
      </w:r>
    </w:p>
    <w:p>
      <w:pPr>
        <w:spacing w:line="312"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9.与本投标有关的一切正式往来信函请寄：</w:t>
      </w:r>
    </w:p>
    <w:p>
      <w:pPr>
        <w:spacing w:line="312" w:lineRule="auto"/>
        <w:ind w:firstLine="480" w:firstLineChars="200"/>
        <w:contextualSpacing/>
        <w:rPr>
          <w:rFonts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地址：邮编：</w:t>
      </w:r>
    </w:p>
    <w:p>
      <w:pPr>
        <w:spacing w:line="312"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电话：传真： 邮箱：</w:t>
      </w:r>
    </w:p>
    <w:p>
      <w:pPr>
        <w:spacing w:line="312"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投标人名称:</w:t>
      </w:r>
    </w:p>
    <w:p>
      <w:pPr>
        <w:spacing w:line="312" w:lineRule="auto"/>
        <w:ind w:firstLine="480" w:firstLineChars="200"/>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开户银行：   银行帐号：</w:t>
      </w:r>
    </w:p>
    <w:p>
      <w:pPr>
        <w:spacing w:line="312" w:lineRule="auto"/>
        <w:ind w:firstLine="480" w:firstLineChars="200"/>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法定代表人或者委托代理人签字/电子签名:___________ </w:t>
      </w:r>
    </w:p>
    <w:p>
      <w:pPr>
        <w:pStyle w:val="27"/>
        <w:spacing w:line="312" w:lineRule="auto"/>
        <w:ind w:firstLine="480"/>
        <w:contextualSpacing/>
        <w:jc w:val="center"/>
        <w:rPr>
          <w:rFonts w:asciiTheme="minorEastAsia" w:hAnsiTheme="minorEastAsia" w:eastAsiaTheme="minorEastAsia" w:cstheme="minorEastAsia"/>
          <w:color w:val="auto"/>
          <w:sz w:val="24"/>
          <w:highlight w:val="none"/>
        </w:rPr>
      </w:pPr>
    </w:p>
    <w:p>
      <w:pPr>
        <w:pStyle w:val="27"/>
        <w:spacing w:line="312" w:lineRule="auto"/>
        <w:ind w:firstLine="480"/>
        <w:contextualSpacing/>
        <w:jc w:val="center"/>
        <w:rPr>
          <w:rFonts w:asciiTheme="minorEastAsia" w:hAnsiTheme="minorEastAsia" w:eastAsiaTheme="minorEastAsia" w:cstheme="minorEastAsia"/>
          <w:color w:val="auto"/>
          <w:sz w:val="24"/>
          <w:highlight w:val="none"/>
        </w:rPr>
      </w:pPr>
    </w:p>
    <w:p>
      <w:pPr>
        <w:pStyle w:val="27"/>
        <w:spacing w:line="312" w:lineRule="auto"/>
        <w:ind w:firstLine="480"/>
        <w:contextualSpacing/>
        <w:jc w:val="right"/>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highlight w:val="none"/>
        </w:rPr>
        <w:t>投标人名称（电子签章）：</w:t>
      </w:r>
    </w:p>
    <w:p>
      <w:pPr>
        <w:pStyle w:val="27"/>
        <w:spacing w:line="312" w:lineRule="auto"/>
        <w:ind w:firstLine="480"/>
        <w:contextualSpacing/>
        <w:jc w:val="righ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年月日</w:t>
      </w:r>
    </w:p>
    <w:p>
      <w:pPr>
        <w:snapToGrid w:val="0"/>
        <w:spacing w:beforeLines="50" w:after="50" w:line="360" w:lineRule="auto"/>
        <w:jc w:val="left"/>
        <w:rPr>
          <w:rFonts w:asciiTheme="minorEastAsia" w:hAnsiTheme="minorEastAsia" w:eastAsiaTheme="minorEastAsia" w:cstheme="minorEastAsia"/>
          <w:b/>
          <w:color w:val="auto"/>
          <w:sz w:val="24"/>
          <w:szCs w:val="20"/>
          <w:highlight w:val="none"/>
        </w:rPr>
      </w:pPr>
      <w:r>
        <w:rPr>
          <w:rFonts w:hint="eastAsia" w:asciiTheme="minorEastAsia" w:hAnsiTheme="minorEastAsia" w:eastAsiaTheme="minorEastAsia" w:cstheme="minorEastAsia"/>
          <w:color w:val="auto"/>
          <w:highlight w:val="none"/>
          <w:u w:val="single"/>
        </w:rPr>
        <w:br w:type="page"/>
      </w:r>
      <w:r>
        <w:rPr>
          <w:rFonts w:hint="eastAsia" w:asciiTheme="minorEastAsia" w:hAnsiTheme="minorEastAsia" w:eastAsiaTheme="minorEastAsia" w:cstheme="minorEastAsia"/>
          <w:b/>
          <w:color w:val="auto"/>
          <w:sz w:val="24"/>
          <w:highlight w:val="none"/>
        </w:rPr>
        <w:t>4. 开标一览表（货物类格式）</w:t>
      </w:r>
    </w:p>
    <w:p>
      <w:pPr>
        <w:snapToGrid w:val="0"/>
        <w:spacing w:before="50" w:after="50" w:line="360" w:lineRule="auto"/>
        <w:jc w:val="center"/>
        <w:rPr>
          <w:rFonts w:asciiTheme="minorEastAsia" w:hAnsiTheme="minorEastAsia" w:eastAsiaTheme="minorEastAsia" w:cstheme="minorEastAsia"/>
          <w:b/>
          <w:color w:val="auto"/>
          <w:sz w:val="30"/>
          <w:highlight w:val="none"/>
        </w:rPr>
      </w:pPr>
      <w:r>
        <w:rPr>
          <w:rFonts w:hint="eastAsia" w:asciiTheme="minorEastAsia" w:hAnsiTheme="minorEastAsia" w:eastAsiaTheme="minorEastAsia" w:cstheme="minorEastAsia"/>
          <w:b/>
          <w:color w:val="auto"/>
          <w:sz w:val="30"/>
          <w:highlight w:val="none"/>
        </w:rPr>
        <w:t>开标一览表</w:t>
      </w:r>
    </w:p>
    <w:p>
      <w:pPr>
        <w:snapToGrid w:val="0"/>
        <w:spacing w:before="50" w:after="50" w:line="360" w:lineRule="auto"/>
        <w:rPr>
          <w:rFonts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项目名称：项目编号：   分标（如有）：</w:t>
      </w:r>
    </w:p>
    <w:p>
      <w:pPr>
        <w:snapToGrid w:val="0"/>
        <w:spacing w:before="50" w:after="50" w:line="360" w:lineRule="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投标人名称：                       单位：元</w:t>
      </w:r>
    </w:p>
    <w:tbl>
      <w:tblPr>
        <w:tblStyle w:val="52"/>
        <w:tblW w:w="872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8"/>
        <w:gridCol w:w="1111"/>
        <w:gridCol w:w="994"/>
        <w:gridCol w:w="849"/>
        <w:gridCol w:w="710"/>
        <w:gridCol w:w="851"/>
        <w:gridCol w:w="992"/>
        <w:gridCol w:w="992"/>
        <w:gridCol w:w="152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6"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序号</w:t>
            </w:r>
          </w:p>
        </w:tc>
        <w:tc>
          <w:tcPr>
            <w:tcW w:w="111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标的的名称</w:t>
            </w:r>
          </w:p>
        </w:tc>
        <w:tc>
          <w:tcPr>
            <w:tcW w:w="99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品牌</w:t>
            </w:r>
          </w:p>
        </w:tc>
        <w:tc>
          <w:tcPr>
            <w:tcW w:w="8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规格型号</w:t>
            </w:r>
          </w:p>
        </w:tc>
        <w:tc>
          <w:tcPr>
            <w:tcW w:w="71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生产厂家</w:t>
            </w: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国别</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数量及单位①</w:t>
            </w: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单价</w:t>
            </w:r>
          </w:p>
          <w:p>
            <w:pPr>
              <w:snapToGrid w:val="0"/>
              <w:spacing w:before="50" w:after="50"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②</w:t>
            </w:r>
          </w:p>
        </w:tc>
        <w:tc>
          <w:tcPr>
            <w:tcW w:w="15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投标报价</w:t>
            </w:r>
          </w:p>
          <w:p>
            <w:pPr>
              <w:snapToGrid w:val="0"/>
              <w:spacing w:before="50" w:after="50"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③=①×②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01"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1</w:t>
            </w:r>
          </w:p>
        </w:tc>
        <w:tc>
          <w:tcPr>
            <w:tcW w:w="111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b/>
                <w:color w:val="auto"/>
                <w:sz w:val="24"/>
                <w:highlight w:val="none"/>
              </w:rPr>
            </w:pPr>
          </w:p>
        </w:tc>
        <w:tc>
          <w:tcPr>
            <w:tcW w:w="99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Theme="minorEastAsia" w:hAnsiTheme="minorEastAsia" w:eastAsiaTheme="minorEastAsia" w:cstheme="minorEastAsia"/>
                <w:color w:val="auto"/>
                <w:sz w:val="24"/>
                <w:highlight w:val="none"/>
              </w:rPr>
            </w:pPr>
          </w:p>
        </w:tc>
        <w:tc>
          <w:tcPr>
            <w:tcW w:w="849"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Theme="minorEastAsia" w:hAnsiTheme="minorEastAsia" w:eastAsiaTheme="minorEastAsia" w:cstheme="minorEastAsia"/>
                <w:color w:val="auto"/>
                <w:sz w:val="24"/>
                <w:highlight w:val="none"/>
              </w:rPr>
            </w:pPr>
          </w:p>
        </w:tc>
        <w:tc>
          <w:tcPr>
            <w:tcW w:w="710"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Theme="minorEastAsia" w:hAnsiTheme="minorEastAsia" w:eastAsiaTheme="minorEastAsia" w:cstheme="minorEastAsia"/>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Theme="minorEastAsia" w:hAnsiTheme="minorEastAsia" w:eastAsiaTheme="minorEastAsia" w:cstheme="minorEastAsia"/>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Theme="minorEastAsia" w:hAnsiTheme="minorEastAsia" w:eastAsiaTheme="minorEastAsia" w:cstheme="minorEastAsia"/>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Theme="minorEastAsia" w:hAnsiTheme="minorEastAsia" w:eastAsiaTheme="minorEastAsia" w:cstheme="minorEastAsia"/>
                <w:color w:val="auto"/>
                <w:sz w:val="24"/>
                <w:highlight w:val="none"/>
              </w:rPr>
            </w:pPr>
          </w:p>
        </w:tc>
        <w:tc>
          <w:tcPr>
            <w:tcW w:w="15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Theme="minorEastAsia" w:hAnsiTheme="minorEastAsia" w:eastAsiaTheme="minorEastAsia" w:cs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02"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w:t>
            </w:r>
          </w:p>
        </w:tc>
        <w:tc>
          <w:tcPr>
            <w:tcW w:w="111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b/>
                <w:color w:val="auto"/>
                <w:sz w:val="24"/>
                <w:highlight w:val="none"/>
              </w:rPr>
            </w:pPr>
          </w:p>
        </w:tc>
        <w:tc>
          <w:tcPr>
            <w:tcW w:w="99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Theme="minorEastAsia" w:hAnsiTheme="minorEastAsia" w:eastAsiaTheme="minorEastAsia" w:cstheme="minorEastAsia"/>
                <w:color w:val="auto"/>
                <w:sz w:val="24"/>
                <w:highlight w:val="none"/>
              </w:rPr>
            </w:pPr>
          </w:p>
        </w:tc>
        <w:tc>
          <w:tcPr>
            <w:tcW w:w="849"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Theme="minorEastAsia" w:hAnsiTheme="minorEastAsia" w:eastAsiaTheme="minorEastAsia" w:cstheme="minorEastAsia"/>
                <w:color w:val="auto"/>
                <w:sz w:val="24"/>
                <w:highlight w:val="none"/>
              </w:rPr>
            </w:pPr>
          </w:p>
        </w:tc>
        <w:tc>
          <w:tcPr>
            <w:tcW w:w="710"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Theme="minorEastAsia" w:hAnsiTheme="minorEastAsia" w:eastAsiaTheme="minorEastAsia" w:cstheme="minorEastAsia"/>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Theme="minorEastAsia" w:hAnsiTheme="minorEastAsia" w:eastAsiaTheme="minorEastAsia" w:cstheme="minorEastAsia"/>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Theme="minorEastAsia" w:hAnsiTheme="minorEastAsia" w:eastAsiaTheme="minorEastAsia" w:cstheme="minorEastAsia"/>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Theme="minorEastAsia" w:hAnsiTheme="minorEastAsia" w:eastAsiaTheme="minorEastAsia" w:cstheme="minorEastAsia"/>
                <w:color w:val="auto"/>
                <w:sz w:val="24"/>
                <w:highlight w:val="none"/>
              </w:rPr>
            </w:pPr>
          </w:p>
        </w:tc>
        <w:tc>
          <w:tcPr>
            <w:tcW w:w="15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Theme="minorEastAsia" w:hAnsiTheme="minorEastAsia" w:eastAsiaTheme="minorEastAsia" w:cs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39" w:hRule="atLeast"/>
          <w:jc w:val="center"/>
        </w:trPr>
        <w:tc>
          <w:tcPr>
            <w:tcW w:w="6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w:t>
            </w:r>
          </w:p>
        </w:tc>
        <w:tc>
          <w:tcPr>
            <w:tcW w:w="111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w:t>
            </w:r>
          </w:p>
        </w:tc>
        <w:tc>
          <w:tcPr>
            <w:tcW w:w="99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Theme="minorEastAsia" w:hAnsiTheme="minorEastAsia" w:eastAsiaTheme="minorEastAsia" w:cstheme="minorEastAsia"/>
                <w:color w:val="auto"/>
                <w:sz w:val="24"/>
                <w:highlight w:val="none"/>
              </w:rPr>
            </w:pPr>
          </w:p>
        </w:tc>
        <w:tc>
          <w:tcPr>
            <w:tcW w:w="849"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Theme="minorEastAsia" w:hAnsiTheme="minorEastAsia" w:eastAsiaTheme="minorEastAsia" w:cstheme="minorEastAsia"/>
                <w:color w:val="auto"/>
                <w:sz w:val="24"/>
                <w:highlight w:val="none"/>
              </w:rPr>
            </w:pPr>
          </w:p>
        </w:tc>
        <w:tc>
          <w:tcPr>
            <w:tcW w:w="710"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Theme="minorEastAsia" w:hAnsiTheme="minorEastAsia" w:eastAsiaTheme="minorEastAsia" w:cstheme="minorEastAsia"/>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Theme="minorEastAsia" w:hAnsiTheme="minorEastAsia" w:eastAsiaTheme="minorEastAsia" w:cstheme="minorEastAsia"/>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Theme="minorEastAsia" w:hAnsiTheme="minorEastAsia" w:eastAsiaTheme="minorEastAsia" w:cstheme="minorEastAsia"/>
                <w:color w:val="auto"/>
                <w:sz w:val="24"/>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Theme="minorEastAsia" w:hAnsiTheme="minorEastAsia" w:eastAsiaTheme="minorEastAsia" w:cstheme="minorEastAsia"/>
                <w:color w:val="auto"/>
                <w:sz w:val="24"/>
                <w:highlight w:val="none"/>
              </w:rPr>
            </w:pPr>
          </w:p>
        </w:tc>
        <w:tc>
          <w:tcPr>
            <w:tcW w:w="15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rPr>
                <w:rFonts w:asciiTheme="minorEastAsia" w:hAnsiTheme="minorEastAsia" w:eastAsiaTheme="minorEastAsia" w:cs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39" w:hRule="atLeast"/>
          <w:jc w:val="center"/>
        </w:trPr>
        <w:tc>
          <w:tcPr>
            <w:tcW w:w="8720" w:type="dxa"/>
            <w:gridSpan w:val="9"/>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合计金额大写：人民币（￥）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39" w:hRule="atLeast"/>
          <w:jc w:val="center"/>
        </w:trPr>
        <w:tc>
          <w:tcPr>
            <w:tcW w:w="8720" w:type="dxa"/>
            <w:gridSpan w:val="9"/>
            <w:tcBorders>
              <w:top w:val="single" w:color="auto" w:sz="4" w:space="0"/>
              <w:left w:val="single" w:color="auto" w:sz="4" w:space="0"/>
              <w:bottom w:val="single" w:color="auto" w:sz="4" w:space="0"/>
              <w:right w:val="single" w:color="auto" w:sz="4" w:space="0"/>
            </w:tcBorders>
          </w:tcPr>
          <w:p>
            <w:pPr>
              <w:snapToGrid w:val="0"/>
              <w:spacing w:before="50" w:after="50" w:line="360" w:lineRule="auto"/>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交货时间：</w:t>
            </w:r>
          </w:p>
        </w:tc>
      </w:tr>
    </w:tbl>
    <w:p>
      <w:pPr>
        <w:snapToGrid w:val="0"/>
        <w:spacing w:line="360" w:lineRule="auto"/>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注: </w:t>
      </w:r>
    </w:p>
    <w:p>
      <w:pPr>
        <w:snapToGrid w:val="0"/>
        <w:spacing w:line="360" w:lineRule="auto"/>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1.投标人的开标一览表必须加盖投标人电子签章并由法定代表人或者委托代理人签字或者电子签名，</w:t>
      </w:r>
      <w:r>
        <w:rPr>
          <w:rFonts w:hint="eastAsia" w:asciiTheme="minorEastAsia" w:hAnsiTheme="minorEastAsia" w:eastAsiaTheme="minorEastAsia" w:cstheme="minorEastAsia"/>
          <w:b/>
          <w:color w:val="auto"/>
          <w:sz w:val="24"/>
          <w:highlight w:val="none"/>
        </w:rPr>
        <w:t>否则其投标作无效标处理</w:t>
      </w:r>
      <w:r>
        <w:rPr>
          <w:rFonts w:hint="eastAsia" w:asciiTheme="minorEastAsia" w:hAnsiTheme="minorEastAsia" w:eastAsiaTheme="minorEastAsia" w:cstheme="minorEastAsia"/>
          <w:color w:val="auto"/>
          <w:sz w:val="24"/>
          <w:highlight w:val="none"/>
        </w:rPr>
        <w:t>。</w:t>
      </w:r>
    </w:p>
    <w:p>
      <w:pPr>
        <w:snapToGrid w:val="0"/>
        <w:spacing w:line="360" w:lineRule="auto"/>
        <w:ind w:firstLine="480" w:firstLineChars="200"/>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Cs/>
          <w:color w:val="auto"/>
          <w:sz w:val="24"/>
          <w:highlight w:val="none"/>
        </w:rPr>
        <w:t>2.</w:t>
      </w:r>
      <w:r>
        <w:rPr>
          <w:rFonts w:hint="eastAsia" w:asciiTheme="minorEastAsia" w:hAnsiTheme="minorEastAsia" w:eastAsiaTheme="minorEastAsia" w:cstheme="minorEastAsia"/>
          <w:color w:val="auto"/>
          <w:sz w:val="24"/>
          <w:highlight w:val="none"/>
        </w:rPr>
        <w:t>报价一经涂改，应在涂改处加盖投标人公章或者由法定代表人或者委托代理人签字（或者电子签名）或者盖章</w:t>
      </w:r>
      <w:r>
        <w:rPr>
          <w:rFonts w:hint="eastAsia" w:asciiTheme="minorEastAsia" w:hAnsiTheme="minorEastAsia" w:eastAsiaTheme="minorEastAsia" w:cstheme="minorEastAsia"/>
          <w:b/>
          <w:color w:val="auto"/>
          <w:sz w:val="24"/>
          <w:highlight w:val="none"/>
        </w:rPr>
        <w:t>，否则其投标作无效标处理。</w:t>
      </w:r>
    </w:p>
    <w:p>
      <w:pPr>
        <w:snapToGrid w:val="0"/>
        <w:spacing w:line="360" w:lineRule="auto"/>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3.招标文件中列明采购专用耗材的，应按招标文件规定的耗材量或者按耗材的常规试用量提供报价。</w:t>
      </w:r>
    </w:p>
    <w:p>
      <w:pPr>
        <w:snapToGrid w:val="0"/>
        <w:spacing w:line="360" w:lineRule="auto"/>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4.如为联合体投标，“投标人名称”处必须列明联合体各方名称，并标注联合体牵头人名称，</w:t>
      </w:r>
      <w:r>
        <w:rPr>
          <w:rFonts w:hint="eastAsia" w:asciiTheme="minorEastAsia" w:hAnsiTheme="minorEastAsia" w:eastAsiaTheme="minorEastAsia" w:cstheme="minorEastAsia"/>
          <w:b/>
          <w:color w:val="auto"/>
          <w:sz w:val="24"/>
          <w:highlight w:val="none"/>
        </w:rPr>
        <w:t>否则其投标作无效标处理。</w:t>
      </w:r>
    </w:p>
    <w:p>
      <w:pPr>
        <w:snapToGrid w:val="0"/>
        <w:spacing w:line="360" w:lineRule="auto"/>
        <w:ind w:firstLine="456" w:firstLineChars="200"/>
        <w:jc w:val="left"/>
        <w:rPr>
          <w:rFonts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5.如为联合体投标，盖章处须加盖联合体牵头人电子签章，</w:t>
      </w:r>
      <w:r>
        <w:rPr>
          <w:rFonts w:hint="eastAsia" w:asciiTheme="minorEastAsia" w:hAnsiTheme="minorEastAsia" w:eastAsiaTheme="minorEastAsia" w:cstheme="minorEastAsia"/>
          <w:b/>
          <w:color w:val="auto"/>
          <w:spacing w:val="-6"/>
          <w:sz w:val="24"/>
          <w:highlight w:val="none"/>
        </w:rPr>
        <w:t>否则其投标作无效标处理。</w:t>
      </w:r>
    </w:p>
    <w:p>
      <w:pPr>
        <w:snapToGrid w:val="0"/>
        <w:spacing w:line="360" w:lineRule="auto"/>
        <w:ind w:firstLine="480" w:firstLineChars="200"/>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6.如有多分标，按分标分别提供开标一览表，</w:t>
      </w:r>
      <w:r>
        <w:rPr>
          <w:rFonts w:hint="eastAsia" w:asciiTheme="minorEastAsia" w:hAnsiTheme="minorEastAsia" w:eastAsiaTheme="minorEastAsia" w:cstheme="minorEastAsia"/>
          <w:b/>
          <w:color w:val="auto"/>
          <w:sz w:val="24"/>
          <w:highlight w:val="none"/>
        </w:rPr>
        <w:t>否则投标无效。</w:t>
      </w:r>
    </w:p>
    <w:p>
      <w:pPr>
        <w:pStyle w:val="2"/>
        <w:spacing w:line="360" w:lineRule="auto"/>
        <w:rPr>
          <w:rFonts w:asciiTheme="minorEastAsia" w:hAnsiTheme="minorEastAsia" w:eastAsiaTheme="minorEastAsia" w:cstheme="minorEastAsia"/>
          <w:color w:val="auto"/>
          <w:highlight w:val="none"/>
        </w:rPr>
      </w:pPr>
    </w:p>
    <w:p>
      <w:pPr>
        <w:pStyle w:val="2"/>
        <w:spacing w:line="360" w:lineRule="auto"/>
        <w:rPr>
          <w:rFonts w:asciiTheme="minorEastAsia" w:hAnsiTheme="minorEastAsia" w:eastAsiaTheme="minorEastAsia" w:cstheme="minorEastAsia"/>
          <w:color w:val="auto"/>
          <w:highlight w:val="none"/>
        </w:rPr>
      </w:pPr>
    </w:p>
    <w:p>
      <w:pPr>
        <w:snapToGrid w:val="0"/>
        <w:spacing w:line="360" w:lineRule="auto"/>
        <w:ind w:left="-2" w:leftChars="-1" w:right="-817" w:rightChars="-389"/>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法定代表人或者委托代理人（签字/电子签名）： </w:t>
      </w:r>
    </w:p>
    <w:p>
      <w:pPr>
        <w:snapToGrid w:val="0"/>
        <w:spacing w:line="360" w:lineRule="auto"/>
        <w:ind w:left="-3" w:leftChars="-15" w:right="-817" w:rightChars="-389" w:hanging="28" w:hangingChars="12"/>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投标人名称（电子签章）：</w:t>
      </w:r>
    </w:p>
    <w:p>
      <w:pPr>
        <w:snapToGrid w:val="0"/>
        <w:spacing w:line="360" w:lineRule="auto"/>
        <w:ind w:left="-3" w:leftChars="-15" w:right="-817" w:rightChars="-389" w:hanging="28" w:hangingChars="12"/>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4"/>
          <w:highlight w:val="none"/>
        </w:rPr>
        <w:t xml:space="preserve">                                  日期：    年   月   日</w:t>
      </w:r>
    </w:p>
    <w:bookmarkEnd w:id="172"/>
    <w:bookmarkEnd w:id="173"/>
    <w:p>
      <w:pPr>
        <w:rPr>
          <w:color w:val="auto"/>
          <w:highlight w:val="none"/>
        </w:rPr>
      </w:pPr>
      <w:bookmarkStart w:id="174" w:name="_Toc19686837"/>
      <w:bookmarkEnd w:id="174"/>
      <w:r>
        <w:rPr>
          <w:rFonts w:hint="eastAsia" w:asciiTheme="minorEastAsia" w:hAnsiTheme="minorEastAsia" w:eastAsiaTheme="minorEastAsia" w:cstheme="minorEastAsia"/>
          <w:b/>
          <w:bCs/>
          <w:color w:val="auto"/>
          <w:sz w:val="24"/>
          <w:highlight w:val="none"/>
        </w:rPr>
        <w:br w:type="page"/>
      </w:r>
      <w:r>
        <w:rPr>
          <w:rFonts w:hint="eastAsia"/>
          <w:color w:val="auto"/>
          <w:highlight w:val="none"/>
        </w:rPr>
        <w:t xml:space="preserve">4-1 </w:t>
      </w:r>
      <w:r>
        <w:rPr>
          <w:color w:val="auto"/>
          <w:highlight w:val="none"/>
        </w:rPr>
        <w:t>投标报价明细表格式：</w:t>
      </w:r>
    </w:p>
    <w:p>
      <w:pPr>
        <w:jc w:val="center"/>
        <w:rPr>
          <w:b/>
          <w:color w:val="auto"/>
          <w:szCs w:val="21"/>
          <w:highlight w:val="none"/>
        </w:rPr>
      </w:pPr>
      <w:r>
        <w:rPr>
          <w:b/>
          <w:color w:val="auto"/>
          <w:szCs w:val="21"/>
          <w:highlight w:val="none"/>
        </w:rPr>
        <w:t>投标报价明细表</w:t>
      </w:r>
    </w:p>
    <w:p>
      <w:pPr>
        <w:ind w:firstLine="2415" w:firstLineChars="1150"/>
        <w:rPr>
          <w:color w:val="auto"/>
          <w:szCs w:val="21"/>
          <w:highlight w:val="none"/>
        </w:rPr>
      </w:pPr>
      <w:r>
        <w:rPr>
          <w:color w:val="auto"/>
          <w:szCs w:val="21"/>
          <w:highlight w:val="none"/>
        </w:rPr>
        <w:t xml:space="preserve">                                    金额单位：人民币（元）</w:t>
      </w:r>
    </w:p>
    <w:tbl>
      <w:tblPr>
        <w:tblStyle w:val="52"/>
        <w:tblW w:w="96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34"/>
        <w:gridCol w:w="709"/>
        <w:gridCol w:w="709"/>
        <w:gridCol w:w="850"/>
        <w:gridCol w:w="740"/>
        <w:gridCol w:w="740"/>
        <w:gridCol w:w="646"/>
        <w:gridCol w:w="850"/>
        <w:gridCol w:w="850"/>
        <w:gridCol w:w="1000"/>
        <w:gridCol w:w="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68"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r>
              <w:rPr>
                <w:rFonts w:hint="eastAsia"/>
                <w:color w:val="auto"/>
                <w:szCs w:val="21"/>
                <w:highlight w:val="none"/>
              </w:rPr>
              <w:t>序号</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r>
              <w:rPr>
                <w:rFonts w:hint="eastAsia"/>
                <w:color w:val="auto"/>
                <w:szCs w:val="21"/>
                <w:highlight w:val="none"/>
              </w:rPr>
              <w:t>产品名称</w:t>
            </w:r>
          </w:p>
        </w:tc>
        <w:tc>
          <w:tcPr>
            <w:tcW w:w="7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r>
              <w:rPr>
                <w:rFonts w:hint="eastAsia"/>
                <w:color w:val="auto"/>
                <w:szCs w:val="21"/>
                <w:highlight w:val="none"/>
              </w:rPr>
              <w:t>商标品牌</w:t>
            </w:r>
          </w:p>
        </w:tc>
        <w:tc>
          <w:tcPr>
            <w:tcW w:w="7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r>
              <w:rPr>
                <w:rFonts w:hint="eastAsia"/>
                <w:color w:val="auto"/>
                <w:szCs w:val="21"/>
                <w:highlight w:val="none"/>
              </w:rPr>
              <w:t>型号参数</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r>
              <w:rPr>
                <w:rFonts w:hint="eastAsia"/>
                <w:color w:val="auto"/>
                <w:szCs w:val="21"/>
                <w:highlight w:val="none"/>
              </w:rPr>
              <w:t>制造商</w:t>
            </w:r>
          </w:p>
        </w:tc>
        <w:tc>
          <w:tcPr>
            <w:tcW w:w="7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r>
              <w:rPr>
                <w:rFonts w:hint="eastAsia"/>
                <w:color w:val="auto"/>
                <w:szCs w:val="21"/>
                <w:highlight w:val="none"/>
              </w:rPr>
              <w:t>产地</w:t>
            </w:r>
          </w:p>
        </w:tc>
        <w:tc>
          <w:tcPr>
            <w:tcW w:w="7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r>
              <w:rPr>
                <w:rFonts w:hint="eastAsia"/>
                <w:color w:val="auto"/>
                <w:szCs w:val="21"/>
                <w:highlight w:val="none"/>
              </w:rPr>
              <w:t>数量</w:t>
            </w:r>
          </w:p>
        </w:tc>
        <w:tc>
          <w:tcPr>
            <w:tcW w:w="646"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r>
              <w:rPr>
                <w:rFonts w:hint="eastAsia"/>
                <w:color w:val="auto"/>
                <w:szCs w:val="21"/>
                <w:highlight w:val="none"/>
              </w:rPr>
              <w:t>单位</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r>
              <w:rPr>
                <w:rFonts w:hint="eastAsia"/>
                <w:color w:val="auto"/>
                <w:szCs w:val="21"/>
                <w:highlight w:val="none"/>
              </w:rPr>
              <w:t>单</w:t>
            </w:r>
            <w:r>
              <w:rPr>
                <w:color w:val="auto"/>
                <w:szCs w:val="21"/>
                <w:highlight w:val="none"/>
              </w:rPr>
              <w:t xml:space="preserve">  </w:t>
            </w:r>
            <w:r>
              <w:rPr>
                <w:rFonts w:hint="eastAsia"/>
                <w:color w:val="auto"/>
                <w:szCs w:val="21"/>
                <w:highlight w:val="none"/>
              </w:rPr>
              <w:t>价</w:t>
            </w:r>
          </w:p>
          <w:p>
            <w:pPr>
              <w:snapToGrid w:val="0"/>
              <w:spacing w:line="360" w:lineRule="exact"/>
              <w:jc w:val="center"/>
              <w:rPr>
                <w:color w:val="auto"/>
                <w:szCs w:val="21"/>
                <w:highlight w:val="none"/>
              </w:rPr>
            </w:pPr>
            <w:r>
              <w:rPr>
                <w:rFonts w:hint="eastAsia"/>
                <w:color w:val="auto"/>
                <w:szCs w:val="21"/>
                <w:highlight w:val="none"/>
              </w:rPr>
              <w:t>（元）</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r>
              <w:rPr>
                <w:rFonts w:hint="eastAsia"/>
                <w:color w:val="auto"/>
                <w:szCs w:val="21"/>
                <w:highlight w:val="none"/>
              </w:rPr>
              <w:t>总</w:t>
            </w:r>
            <w:r>
              <w:rPr>
                <w:color w:val="auto"/>
                <w:szCs w:val="21"/>
                <w:highlight w:val="none"/>
              </w:rPr>
              <w:t xml:space="preserve">  </w:t>
            </w:r>
            <w:r>
              <w:rPr>
                <w:rFonts w:hint="eastAsia"/>
                <w:color w:val="auto"/>
                <w:szCs w:val="21"/>
                <w:highlight w:val="none"/>
              </w:rPr>
              <w:t>价</w:t>
            </w:r>
          </w:p>
          <w:p>
            <w:pPr>
              <w:snapToGrid w:val="0"/>
              <w:spacing w:line="360" w:lineRule="exact"/>
              <w:jc w:val="center"/>
              <w:rPr>
                <w:color w:val="auto"/>
                <w:szCs w:val="21"/>
                <w:highlight w:val="none"/>
              </w:rPr>
            </w:pPr>
            <w:r>
              <w:rPr>
                <w:rFonts w:hint="eastAsia"/>
                <w:color w:val="auto"/>
                <w:szCs w:val="21"/>
                <w:highlight w:val="none"/>
              </w:rPr>
              <w:t>（元）</w:t>
            </w: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r>
              <w:rPr>
                <w:rFonts w:hint="eastAsia"/>
                <w:color w:val="auto"/>
                <w:szCs w:val="21"/>
                <w:highlight w:val="none"/>
              </w:rPr>
              <w:t>制造商规模</w:t>
            </w:r>
          </w:p>
          <w:p>
            <w:pPr>
              <w:snapToGrid w:val="0"/>
              <w:spacing w:line="360" w:lineRule="exact"/>
              <w:jc w:val="center"/>
              <w:rPr>
                <w:color w:val="auto"/>
                <w:szCs w:val="21"/>
                <w:highlight w:val="none"/>
              </w:rPr>
            </w:pPr>
            <w:r>
              <w:rPr>
                <w:rFonts w:hint="eastAsia"/>
                <w:color w:val="auto"/>
                <w:szCs w:val="21"/>
                <w:highlight w:val="none"/>
              </w:rPr>
              <w:t>（大/中/小/微型）</w:t>
            </w:r>
          </w:p>
        </w:tc>
        <w:tc>
          <w:tcPr>
            <w:tcW w:w="7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r>
              <w:rPr>
                <w:rFonts w:hint="eastAsia"/>
                <w:color w:val="auto"/>
                <w:szCs w:val="21"/>
                <w:highlight w:val="none"/>
              </w:rPr>
              <w:t>质保期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r>
              <w:rPr>
                <w:color w:val="auto"/>
                <w:szCs w:val="21"/>
                <w:highlight w:val="none"/>
              </w:rPr>
              <w:t>1</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color w:val="auto"/>
                <w:szCs w:val="21"/>
                <w:highlight w:val="none"/>
              </w:rPr>
            </w:pPr>
          </w:p>
        </w:tc>
        <w:tc>
          <w:tcPr>
            <w:tcW w:w="7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740"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color w:val="auto"/>
                <w:szCs w:val="21"/>
                <w:highlight w:val="none"/>
              </w:rPr>
            </w:pPr>
          </w:p>
        </w:tc>
        <w:tc>
          <w:tcPr>
            <w:tcW w:w="646"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7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r>
              <w:rPr>
                <w:color w:val="auto"/>
                <w:szCs w:val="21"/>
                <w:highlight w:val="none"/>
              </w:rPr>
              <w:t>2</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color w:val="auto"/>
                <w:szCs w:val="21"/>
                <w:highlight w:val="none"/>
              </w:rPr>
            </w:pPr>
          </w:p>
        </w:tc>
        <w:tc>
          <w:tcPr>
            <w:tcW w:w="7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740"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color w:val="auto"/>
                <w:szCs w:val="21"/>
                <w:highlight w:val="none"/>
              </w:rPr>
            </w:pPr>
          </w:p>
        </w:tc>
        <w:tc>
          <w:tcPr>
            <w:tcW w:w="646"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7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r>
              <w:rPr>
                <w:rFonts w:hint="eastAsia"/>
                <w:color w:val="auto"/>
                <w:szCs w:val="21"/>
                <w:highlight w:val="none"/>
              </w:rPr>
              <w:t>…</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r>
              <w:rPr>
                <w:rFonts w:hint="eastAsia"/>
                <w:color w:val="auto"/>
                <w:szCs w:val="21"/>
                <w:highlight w:val="none"/>
              </w:rPr>
              <w:t>……</w:t>
            </w:r>
          </w:p>
        </w:tc>
        <w:tc>
          <w:tcPr>
            <w:tcW w:w="7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color w:val="auto"/>
                <w:szCs w:val="21"/>
                <w:highlight w:val="none"/>
              </w:rPr>
            </w:pPr>
          </w:p>
        </w:tc>
        <w:tc>
          <w:tcPr>
            <w:tcW w:w="7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740"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color w:val="auto"/>
                <w:szCs w:val="21"/>
                <w:highlight w:val="none"/>
              </w:rPr>
            </w:pPr>
          </w:p>
        </w:tc>
        <w:tc>
          <w:tcPr>
            <w:tcW w:w="646" w:type="dxa"/>
            <w:tcBorders>
              <w:top w:val="single" w:color="auto" w:sz="4" w:space="0"/>
              <w:left w:val="single" w:color="auto" w:sz="4" w:space="0"/>
              <w:bottom w:val="single" w:color="auto" w:sz="4" w:space="0"/>
              <w:right w:val="single" w:color="auto" w:sz="4" w:space="0"/>
            </w:tcBorders>
          </w:tcPr>
          <w:p>
            <w:pPr>
              <w:snapToGrid w:val="0"/>
              <w:spacing w:line="36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100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c>
          <w:tcPr>
            <w:tcW w:w="7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color w:val="auto"/>
                <w:szCs w:val="21"/>
                <w:highlight w:val="none"/>
              </w:rPr>
            </w:pPr>
          </w:p>
        </w:tc>
      </w:tr>
    </w:tbl>
    <w:p>
      <w:pPr>
        <w:rPr>
          <w:color w:val="auto"/>
          <w:spacing w:val="20"/>
          <w:szCs w:val="21"/>
          <w:highlight w:val="none"/>
          <w:u w:val="single"/>
        </w:rPr>
      </w:pPr>
    </w:p>
    <w:p>
      <w:pPr>
        <w:spacing w:line="360" w:lineRule="auto"/>
        <w:rPr>
          <w:color w:val="auto"/>
          <w:spacing w:val="20"/>
          <w:szCs w:val="21"/>
          <w:highlight w:val="none"/>
        </w:rPr>
      </w:pPr>
    </w:p>
    <w:p>
      <w:pPr>
        <w:rPr>
          <w:color w:val="auto"/>
          <w:highlight w:val="none"/>
        </w:rPr>
      </w:pPr>
      <w:bookmarkStart w:id="175" w:name="_Hlk88990717"/>
      <w:r>
        <w:rPr>
          <w:color w:val="auto"/>
          <w:szCs w:val="21"/>
          <w:highlight w:val="none"/>
        </w:rPr>
        <w:t>注：</w:t>
      </w:r>
      <w:r>
        <w:rPr>
          <w:rFonts w:hint="eastAsia"/>
          <w:color w:val="auto"/>
          <w:szCs w:val="21"/>
          <w:highlight w:val="none"/>
        </w:rPr>
        <w:t>本表如</w:t>
      </w:r>
      <w:r>
        <w:rPr>
          <w:rFonts w:hint="eastAsia"/>
          <w:color w:val="auto"/>
          <w:highlight w:val="none"/>
        </w:rPr>
        <w:t>与</w:t>
      </w:r>
      <w:r>
        <w:rPr>
          <w:rFonts w:hint="eastAsia"/>
          <w:color w:val="auto"/>
          <w:szCs w:val="21"/>
          <w:highlight w:val="none"/>
        </w:rPr>
        <w:t>广西政府采购云平台</w:t>
      </w:r>
      <w:r>
        <w:rPr>
          <w:rFonts w:hint="eastAsia"/>
          <w:color w:val="auto"/>
          <w:highlight w:val="none"/>
        </w:rPr>
        <w:t>不一致的，以</w:t>
      </w:r>
      <w:r>
        <w:rPr>
          <w:rFonts w:hint="eastAsia"/>
          <w:color w:val="auto"/>
          <w:szCs w:val="21"/>
          <w:highlight w:val="none"/>
        </w:rPr>
        <w:t>广西政府采购云平台</w:t>
      </w:r>
      <w:r>
        <w:rPr>
          <w:rFonts w:hint="eastAsia"/>
          <w:color w:val="auto"/>
          <w:highlight w:val="none"/>
        </w:rPr>
        <w:t>为准。</w:t>
      </w:r>
    </w:p>
    <w:p>
      <w:pPr>
        <w:jc w:val="left"/>
        <w:rPr>
          <w:color w:val="auto"/>
          <w:szCs w:val="21"/>
          <w:highlight w:val="none"/>
        </w:rPr>
      </w:pPr>
    </w:p>
    <w:p>
      <w:pPr>
        <w:spacing w:line="360" w:lineRule="auto"/>
        <w:rPr>
          <w:color w:val="auto"/>
          <w:spacing w:val="20"/>
          <w:szCs w:val="21"/>
          <w:highlight w:val="none"/>
        </w:rPr>
      </w:pPr>
    </w:p>
    <w:p>
      <w:pPr>
        <w:spacing w:line="360" w:lineRule="auto"/>
        <w:rPr>
          <w:color w:val="auto"/>
          <w:szCs w:val="21"/>
          <w:highlight w:val="none"/>
        </w:rPr>
      </w:pPr>
      <w:r>
        <w:rPr>
          <w:color w:val="auto"/>
          <w:szCs w:val="21"/>
          <w:highlight w:val="none"/>
        </w:rPr>
        <w:t>供应商名称（</w:t>
      </w:r>
      <w:r>
        <w:rPr>
          <w:rFonts w:hint="eastAsia"/>
          <w:color w:val="auto"/>
          <w:szCs w:val="21"/>
          <w:highlight w:val="none"/>
        </w:rPr>
        <w:t>电子签章</w:t>
      </w:r>
      <w:r>
        <w:rPr>
          <w:color w:val="auto"/>
          <w:szCs w:val="21"/>
          <w:highlight w:val="none"/>
        </w:rPr>
        <w:t>）：</w:t>
      </w:r>
      <w:r>
        <w:rPr>
          <w:color w:val="auto"/>
          <w:szCs w:val="21"/>
          <w:highlight w:val="none"/>
          <w:u w:val="single"/>
        </w:rPr>
        <w:t xml:space="preserve">                          </w:t>
      </w:r>
    </w:p>
    <w:p>
      <w:pPr>
        <w:spacing w:line="360" w:lineRule="auto"/>
        <w:rPr>
          <w:color w:val="auto"/>
          <w:szCs w:val="21"/>
          <w:highlight w:val="none"/>
        </w:rPr>
      </w:pPr>
      <w:r>
        <w:rPr>
          <w:color w:val="auto"/>
          <w:szCs w:val="21"/>
          <w:highlight w:val="none"/>
        </w:rPr>
        <w:t>日  期</w:t>
      </w:r>
      <w:r>
        <w:rPr>
          <w:rFonts w:hint="eastAsia"/>
          <w:color w:val="auto"/>
          <w:szCs w:val="21"/>
          <w:highlight w:val="none"/>
        </w:rPr>
        <w:t>：</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pPr>
        <w:spacing w:line="360" w:lineRule="auto"/>
        <w:rPr>
          <w:color w:val="auto"/>
          <w:szCs w:val="21"/>
          <w:highlight w:val="none"/>
        </w:rPr>
      </w:pPr>
    </w:p>
    <w:p>
      <w:pPr>
        <w:spacing w:line="360" w:lineRule="auto"/>
        <w:rPr>
          <w:color w:val="auto"/>
          <w:szCs w:val="21"/>
          <w:highlight w:val="none"/>
        </w:rPr>
      </w:pPr>
    </w:p>
    <w:bookmarkEnd w:id="175"/>
    <w:p>
      <w:pPr>
        <w:snapToGrid w:val="0"/>
        <w:spacing w:before="50" w:afterLines="50"/>
        <w:jc w:val="left"/>
        <w:rPr>
          <w:color w:val="auto"/>
          <w:szCs w:val="21"/>
          <w:highlight w:val="none"/>
        </w:rPr>
      </w:pPr>
      <w:r>
        <w:rPr>
          <w:rFonts w:hint="eastAsia"/>
          <w:color w:val="auto"/>
          <w:szCs w:val="21"/>
          <w:highlight w:val="none"/>
        </w:rPr>
        <w:t xml:space="preserve">4-2 </w:t>
      </w:r>
      <w:r>
        <w:rPr>
          <w:color w:val="auto"/>
          <w:szCs w:val="21"/>
          <w:highlight w:val="none"/>
        </w:rPr>
        <w:t>过低报价合理性的说明。（如有）</w:t>
      </w:r>
    </w:p>
    <w:p>
      <w:pPr>
        <w:spacing w:line="360" w:lineRule="auto"/>
        <w:ind w:firstLine="420" w:firstLineChars="200"/>
        <w:rPr>
          <w:color w:val="auto"/>
          <w:szCs w:val="21"/>
          <w:highlight w:val="none"/>
        </w:rPr>
      </w:pPr>
      <w:bookmarkStart w:id="176" w:name="_Hlk211331776"/>
      <w:r>
        <w:rPr>
          <w:rFonts w:hint="eastAsia"/>
          <w:color w:val="auto"/>
          <w:szCs w:val="21"/>
          <w:highlight w:val="none"/>
        </w:rPr>
        <w:t>供应商投标报价可能出现第三章投标人须知前附表28.5异常低价审查的情形的，应提前在投标文件中提供相关成本的说明材料。</w:t>
      </w:r>
    </w:p>
    <w:bookmarkEnd w:id="176"/>
    <w:p>
      <w:pPr>
        <w:spacing w:line="360" w:lineRule="auto"/>
        <w:ind w:firstLine="420" w:firstLineChars="200"/>
        <w:rPr>
          <w:color w:val="auto"/>
          <w:szCs w:val="21"/>
          <w:highlight w:val="none"/>
        </w:rPr>
      </w:pPr>
      <w:bookmarkStart w:id="177" w:name="_Hlk211331823"/>
      <w:r>
        <w:rPr>
          <w:rFonts w:hint="eastAsia"/>
          <w:color w:val="auto"/>
          <w:szCs w:val="21"/>
          <w:highlight w:val="none"/>
        </w:rPr>
        <w:t>评审委员会可以要求供应商就提供货物及服务的直接成本、销售费用、管理费用、财务费用、履约费用（含质</w:t>
      </w:r>
      <w:r>
        <w:rPr>
          <w:rFonts w:ascii="Segoe UI" w:hAnsi="Segoe UI" w:cs="Segoe UI"/>
          <w:color w:val="auto"/>
          <w:highlight w:val="none"/>
          <w:shd w:val="clear" w:color="auto" w:fill="FFFFFF"/>
        </w:rPr>
        <w:t>保期内专用耗材、年度维护、软件升级等后续费用明细</w:t>
      </w:r>
      <w:r>
        <w:rPr>
          <w:rFonts w:hint="eastAsia"/>
          <w:color w:val="auto"/>
          <w:szCs w:val="21"/>
          <w:highlight w:val="none"/>
        </w:rPr>
        <w:t>）、计划利润、税金及附加等成本构成事项进行详细陈述。其中，必须按投标方案中安装调试、验收、人员培训和设备运输的具体响应提供成本计算依据。</w:t>
      </w:r>
    </w:p>
    <w:p>
      <w:pPr>
        <w:widowControl/>
        <w:jc w:val="left"/>
        <w:rPr>
          <w:color w:val="auto"/>
          <w:szCs w:val="21"/>
          <w:highlight w:val="none"/>
        </w:rPr>
      </w:pPr>
      <w:r>
        <w:rPr>
          <w:color w:val="auto"/>
          <w:szCs w:val="21"/>
          <w:highlight w:val="none"/>
        </w:rPr>
        <w:br w:type="page"/>
      </w:r>
    </w:p>
    <w:p>
      <w:pPr>
        <w:ind w:firstLine="422"/>
        <w:jc w:val="center"/>
        <w:rPr>
          <w:b/>
          <w:bCs/>
          <w:color w:val="auto"/>
          <w:highlight w:val="none"/>
        </w:rPr>
      </w:pPr>
      <w:r>
        <w:rPr>
          <w:b/>
          <w:bCs/>
          <w:color w:val="auto"/>
          <w:highlight w:val="none"/>
        </w:rPr>
        <w:t>设备投标</w:t>
      </w:r>
      <w:r>
        <w:rPr>
          <w:rFonts w:hint="eastAsia"/>
          <w:b/>
          <w:bCs/>
          <w:color w:val="auto"/>
          <w:highlight w:val="none"/>
        </w:rPr>
        <w:t>报价</w:t>
      </w:r>
      <w:r>
        <w:rPr>
          <w:b/>
          <w:bCs/>
          <w:color w:val="auto"/>
          <w:highlight w:val="none"/>
        </w:rPr>
        <w:t>成本核算表</w:t>
      </w:r>
    </w:p>
    <w:p>
      <w:pPr>
        <w:jc w:val="center"/>
        <w:rPr>
          <w:color w:val="auto"/>
          <w:highlight w:val="none"/>
        </w:rPr>
      </w:pPr>
    </w:p>
    <w:p>
      <w:pPr>
        <w:rPr>
          <w:color w:val="auto"/>
          <w:highlight w:val="none"/>
        </w:rPr>
      </w:pPr>
      <w:r>
        <w:rPr>
          <w:color w:val="auto"/>
          <w:highlight w:val="none"/>
        </w:rPr>
        <w:t xml:space="preserve">供应商名称（盖章）：____________________  </w:t>
      </w:r>
    </w:p>
    <w:p>
      <w:pPr>
        <w:rPr>
          <w:color w:val="auto"/>
          <w:highlight w:val="none"/>
        </w:rPr>
      </w:pPr>
      <w:r>
        <w:rPr>
          <w:color w:val="auto"/>
          <w:highlight w:val="none"/>
        </w:rPr>
        <w:t>投标产品型号：____________________</w:t>
      </w:r>
    </w:p>
    <w:p>
      <w:pPr>
        <w:rPr>
          <w:color w:val="auto"/>
          <w:highlight w:val="none"/>
        </w:rPr>
      </w:pPr>
      <w:r>
        <w:rPr>
          <w:color w:val="auto"/>
          <w:highlight w:val="none"/>
        </w:rPr>
        <w:t xml:space="preserve">核算日期：____年____月____日                                                                        </w:t>
      </w:r>
    </w:p>
    <w:p>
      <w:pPr>
        <w:rPr>
          <w:color w:val="auto"/>
          <w:highlight w:val="none"/>
        </w:rPr>
      </w:pPr>
    </w:p>
    <w:tbl>
      <w:tblPr>
        <w:tblStyle w:val="52"/>
        <w:tblW w:w="96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3102"/>
        <w:gridCol w:w="2104"/>
        <w:gridCol w:w="2731"/>
        <w:gridCol w:w="1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trPr>
        <w:tc>
          <w:tcPr>
            <w:tcW w:w="3102" w:type="dxa"/>
            <w:tcMar>
              <w:top w:w="60" w:type="dxa"/>
              <w:left w:w="120" w:type="dxa"/>
              <w:bottom w:w="30" w:type="dxa"/>
              <w:right w:w="120" w:type="dxa"/>
            </w:tcMar>
          </w:tcPr>
          <w:p>
            <w:pPr>
              <w:jc w:val="center"/>
              <w:rPr>
                <w:color w:val="auto"/>
                <w:highlight w:val="none"/>
              </w:rPr>
            </w:pPr>
            <w:r>
              <w:rPr>
                <w:color w:val="auto"/>
                <w:highlight w:val="none"/>
              </w:rPr>
              <w:t>成本类别</w:t>
            </w:r>
          </w:p>
        </w:tc>
        <w:tc>
          <w:tcPr>
            <w:tcW w:w="2104" w:type="dxa"/>
            <w:tcMar>
              <w:top w:w="60" w:type="dxa"/>
              <w:left w:w="120" w:type="dxa"/>
              <w:bottom w:w="30" w:type="dxa"/>
              <w:right w:w="120" w:type="dxa"/>
            </w:tcMar>
          </w:tcPr>
          <w:p>
            <w:pPr>
              <w:jc w:val="center"/>
              <w:rPr>
                <w:color w:val="auto"/>
                <w:highlight w:val="none"/>
              </w:rPr>
            </w:pPr>
            <w:r>
              <w:rPr>
                <w:rFonts w:hint="eastAsia"/>
                <w:color w:val="auto"/>
                <w:highlight w:val="none"/>
              </w:rPr>
              <w:t>金额(元)</w:t>
            </w:r>
          </w:p>
        </w:tc>
        <w:tc>
          <w:tcPr>
            <w:tcW w:w="2731" w:type="dxa"/>
            <w:tcMar>
              <w:top w:w="60" w:type="dxa"/>
              <w:left w:w="120" w:type="dxa"/>
              <w:bottom w:w="30" w:type="dxa"/>
              <w:right w:w="120" w:type="dxa"/>
            </w:tcMar>
          </w:tcPr>
          <w:p>
            <w:pPr>
              <w:jc w:val="center"/>
              <w:rPr>
                <w:color w:val="auto"/>
                <w:highlight w:val="none"/>
              </w:rPr>
            </w:pPr>
            <w:r>
              <w:rPr>
                <w:color w:val="auto"/>
                <w:highlight w:val="none"/>
              </w:rPr>
              <w:t>佐证材料</w:t>
            </w:r>
          </w:p>
        </w:tc>
        <w:tc>
          <w:tcPr>
            <w:tcW w:w="1761" w:type="dxa"/>
            <w:tcMar>
              <w:top w:w="60" w:type="dxa"/>
              <w:left w:w="120" w:type="dxa"/>
              <w:bottom w:w="30" w:type="dxa"/>
              <w:right w:w="120" w:type="dxa"/>
            </w:tcMar>
          </w:tcPr>
          <w:p>
            <w:pPr>
              <w:jc w:val="center"/>
              <w:rPr>
                <w:color w:val="auto"/>
                <w:highlight w:val="none"/>
              </w:rPr>
            </w:pPr>
            <w:r>
              <w:rPr>
                <w:rFonts w:hint="eastAsia"/>
                <w:color w:val="auto"/>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trPr>
        <w:tc>
          <w:tcPr>
            <w:tcW w:w="3102" w:type="dxa"/>
            <w:tcMar>
              <w:top w:w="60" w:type="dxa"/>
              <w:left w:w="120" w:type="dxa"/>
              <w:bottom w:w="30" w:type="dxa"/>
              <w:right w:w="120" w:type="dxa"/>
            </w:tcMar>
          </w:tcPr>
          <w:p>
            <w:pPr>
              <w:jc w:val="center"/>
              <w:rPr>
                <w:color w:val="auto"/>
                <w:highlight w:val="none"/>
              </w:rPr>
            </w:pPr>
            <w:r>
              <w:rPr>
                <w:rFonts w:hint="eastAsia"/>
                <w:color w:val="auto"/>
                <w:highlight w:val="none"/>
              </w:rPr>
              <w:t>直接成本</w:t>
            </w:r>
          </w:p>
        </w:tc>
        <w:tc>
          <w:tcPr>
            <w:tcW w:w="2104" w:type="dxa"/>
            <w:tcMar>
              <w:top w:w="60" w:type="dxa"/>
              <w:left w:w="120" w:type="dxa"/>
              <w:bottom w:w="30" w:type="dxa"/>
              <w:right w:w="120" w:type="dxa"/>
            </w:tcMar>
          </w:tcPr>
          <w:p>
            <w:pPr>
              <w:rPr>
                <w:color w:val="auto"/>
                <w:highlight w:val="none"/>
              </w:rPr>
            </w:pPr>
          </w:p>
        </w:tc>
        <w:tc>
          <w:tcPr>
            <w:tcW w:w="2731" w:type="dxa"/>
            <w:tcMar>
              <w:top w:w="60" w:type="dxa"/>
              <w:left w:w="120" w:type="dxa"/>
              <w:bottom w:w="30" w:type="dxa"/>
              <w:right w:w="120" w:type="dxa"/>
            </w:tcMar>
          </w:tcPr>
          <w:p>
            <w:pPr>
              <w:rPr>
                <w:color w:val="auto"/>
                <w:highlight w:val="none"/>
              </w:rPr>
            </w:pPr>
          </w:p>
        </w:tc>
        <w:tc>
          <w:tcPr>
            <w:tcW w:w="1761" w:type="dxa"/>
            <w:tcMar>
              <w:top w:w="60" w:type="dxa"/>
              <w:left w:w="120" w:type="dxa"/>
              <w:bottom w:w="30" w:type="dxa"/>
              <w:right w:w="120" w:type="dxa"/>
            </w:tcMar>
          </w:tcPr>
          <w:p>
            <w:pP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trPr>
        <w:tc>
          <w:tcPr>
            <w:tcW w:w="3102" w:type="dxa"/>
            <w:tcMar>
              <w:top w:w="60" w:type="dxa"/>
              <w:left w:w="120" w:type="dxa"/>
              <w:bottom w:w="30" w:type="dxa"/>
              <w:right w:w="120" w:type="dxa"/>
            </w:tcMar>
          </w:tcPr>
          <w:p>
            <w:pPr>
              <w:jc w:val="center"/>
              <w:rPr>
                <w:color w:val="auto"/>
                <w:highlight w:val="none"/>
              </w:rPr>
            </w:pPr>
            <w:r>
              <w:rPr>
                <w:rFonts w:hint="eastAsia"/>
                <w:color w:val="auto"/>
                <w:highlight w:val="none"/>
              </w:rPr>
              <w:t>销售费用</w:t>
            </w:r>
          </w:p>
        </w:tc>
        <w:tc>
          <w:tcPr>
            <w:tcW w:w="2104" w:type="dxa"/>
            <w:tcMar>
              <w:top w:w="60" w:type="dxa"/>
              <w:left w:w="120" w:type="dxa"/>
              <w:bottom w:w="30" w:type="dxa"/>
              <w:right w:w="120" w:type="dxa"/>
            </w:tcMar>
          </w:tcPr>
          <w:p>
            <w:pPr>
              <w:rPr>
                <w:color w:val="auto"/>
                <w:highlight w:val="none"/>
              </w:rPr>
            </w:pPr>
          </w:p>
        </w:tc>
        <w:tc>
          <w:tcPr>
            <w:tcW w:w="2731" w:type="dxa"/>
            <w:tcMar>
              <w:top w:w="60" w:type="dxa"/>
              <w:left w:w="120" w:type="dxa"/>
              <w:bottom w:w="30" w:type="dxa"/>
              <w:right w:w="120" w:type="dxa"/>
            </w:tcMar>
          </w:tcPr>
          <w:p>
            <w:pPr>
              <w:rPr>
                <w:color w:val="auto"/>
                <w:highlight w:val="none"/>
              </w:rPr>
            </w:pPr>
          </w:p>
        </w:tc>
        <w:tc>
          <w:tcPr>
            <w:tcW w:w="1761" w:type="dxa"/>
            <w:tcMar>
              <w:top w:w="60" w:type="dxa"/>
              <w:left w:w="120" w:type="dxa"/>
              <w:bottom w:w="30" w:type="dxa"/>
              <w:right w:w="120" w:type="dxa"/>
            </w:tcMar>
          </w:tcPr>
          <w:p>
            <w:pP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trPr>
        <w:tc>
          <w:tcPr>
            <w:tcW w:w="3102" w:type="dxa"/>
            <w:tcMar>
              <w:top w:w="60" w:type="dxa"/>
              <w:left w:w="120" w:type="dxa"/>
              <w:bottom w:w="30" w:type="dxa"/>
              <w:right w:w="120" w:type="dxa"/>
            </w:tcMar>
          </w:tcPr>
          <w:p>
            <w:pPr>
              <w:jc w:val="center"/>
              <w:rPr>
                <w:color w:val="auto"/>
                <w:highlight w:val="none"/>
              </w:rPr>
            </w:pPr>
            <w:r>
              <w:rPr>
                <w:color w:val="auto"/>
                <w:highlight w:val="none"/>
              </w:rPr>
              <w:t>管理费用</w:t>
            </w:r>
          </w:p>
        </w:tc>
        <w:tc>
          <w:tcPr>
            <w:tcW w:w="2104" w:type="dxa"/>
            <w:tcMar>
              <w:top w:w="60" w:type="dxa"/>
              <w:left w:w="120" w:type="dxa"/>
              <w:bottom w:w="30" w:type="dxa"/>
              <w:right w:w="120" w:type="dxa"/>
            </w:tcMar>
          </w:tcPr>
          <w:p>
            <w:pPr>
              <w:rPr>
                <w:color w:val="auto"/>
                <w:highlight w:val="none"/>
              </w:rPr>
            </w:pPr>
          </w:p>
        </w:tc>
        <w:tc>
          <w:tcPr>
            <w:tcW w:w="2731" w:type="dxa"/>
            <w:tcMar>
              <w:top w:w="60" w:type="dxa"/>
              <w:left w:w="120" w:type="dxa"/>
              <w:bottom w:w="30" w:type="dxa"/>
              <w:right w:w="120" w:type="dxa"/>
            </w:tcMar>
          </w:tcPr>
          <w:p>
            <w:pPr>
              <w:rPr>
                <w:color w:val="auto"/>
                <w:highlight w:val="none"/>
              </w:rPr>
            </w:pPr>
          </w:p>
        </w:tc>
        <w:tc>
          <w:tcPr>
            <w:tcW w:w="1761" w:type="dxa"/>
            <w:tcMar>
              <w:top w:w="60" w:type="dxa"/>
              <w:left w:w="120" w:type="dxa"/>
              <w:bottom w:w="30" w:type="dxa"/>
              <w:right w:w="120" w:type="dxa"/>
            </w:tcMar>
          </w:tcPr>
          <w:p>
            <w:pP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trPr>
        <w:tc>
          <w:tcPr>
            <w:tcW w:w="3102" w:type="dxa"/>
            <w:tcMar>
              <w:top w:w="60" w:type="dxa"/>
              <w:left w:w="120" w:type="dxa"/>
              <w:bottom w:w="30" w:type="dxa"/>
              <w:right w:w="120" w:type="dxa"/>
            </w:tcMar>
          </w:tcPr>
          <w:p>
            <w:pPr>
              <w:jc w:val="center"/>
              <w:rPr>
                <w:color w:val="auto"/>
                <w:highlight w:val="none"/>
              </w:rPr>
            </w:pPr>
            <w:r>
              <w:rPr>
                <w:rFonts w:hint="eastAsia"/>
                <w:color w:val="auto"/>
                <w:highlight w:val="none"/>
              </w:rPr>
              <w:t>财务费用</w:t>
            </w:r>
          </w:p>
        </w:tc>
        <w:tc>
          <w:tcPr>
            <w:tcW w:w="2104" w:type="dxa"/>
            <w:tcMar>
              <w:top w:w="60" w:type="dxa"/>
              <w:left w:w="120" w:type="dxa"/>
              <w:bottom w:w="30" w:type="dxa"/>
              <w:right w:w="120" w:type="dxa"/>
            </w:tcMar>
          </w:tcPr>
          <w:p>
            <w:pPr>
              <w:rPr>
                <w:color w:val="auto"/>
                <w:highlight w:val="none"/>
              </w:rPr>
            </w:pPr>
          </w:p>
        </w:tc>
        <w:tc>
          <w:tcPr>
            <w:tcW w:w="2731" w:type="dxa"/>
            <w:tcMar>
              <w:top w:w="60" w:type="dxa"/>
              <w:left w:w="120" w:type="dxa"/>
              <w:bottom w:w="30" w:type="dxa"/>
              <w:right w:w="120" w:type="dxa"/>
            </w:tcMar>
          </w:tcPr>
          <w:p>
            <w:pPr>
              <w:rPr>
                <w:color w:val="auto"/>
                <w:highlight w:val="none"/>
              </w:rPr>
            </w:pPr>
          </w:p>
        </w:tc>
        <w:tc>
          <w:tcPr>
            <w:tcW w:w="1761" w:type="dxa"/>
            <w:tcMar>
              <w:top w:w="60" w:type="dxa"/>
              <w:left w:w="120" w:type="dxa"/>
              <w:bottom w:w="30" w:type="dxa"/>
              <w:right w:w="120" w:type="dxa"/>
            </w:tcMar>
          </w:tcPr>
          <w:p>
            <w:pP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trPr>
        <w:tc>
          <w:tcPr>
            <w:tcW w:w="3102" w:type="dxa"/>
            <w:tcMar>
              <w:top w:w="60" w:type="dxa"/>
              <w:left w:w="120" w:type="dxa"/>
              <w:bottom w:w="30" w:type="dxa"/>
              <w:right w:w="120" w:type="dxa"/>
            </w:tcMar>
          </w:tcPr>
          <w:p>
            <w:pPr>
              <w:jc w:val="center"/>
              <w:rPr>
                <w:color w:val="auto"/>
                <w:highlight w:val="none"/>
              </w:rPr>
            </w:pPr>
            <w:r>
              <w:rPr>
                <w:rFonts w:hint="eastAsia"/>
                <w:color w:val="auto"/>
                <w:highlight w:val="none"/>
              </w:rPr>
              <w:t>履约费用</w:t>
            </w:r>
          </w:p>
        </w:tc>
        <w:tc>
          <w:tcPr>
            <w:tcW w:w="2104" w:type="dxa"/>
            <w:tcMar>
              <w:top w:w="60" w:type="dxa"/>
              <w:left w:w="120" w:type="dxa"/>
              <w:bottom w:w="30" w:type="dxa"/>
              <w:right w:w="120" w:type="dxa"/>
            </w:tcMar>
          </w:tcPr>
          <w:p>
            <w:pPr>
              <w:rPr>
                <w:color w:val="auto"/>
                <w:highlight w:val="none"/>
              </w:rPr>
            </w:pPr>
          </w:p>
        </w:tc>
        <w:tc>
          <w:tcPr>
            <w:tcW w:w="2731" w:type="dxa"/>
            <w:tcMar>
              <w:top w:w="60" w:type="dxa"/>
              <w:left w:w="120" w:type="dxa"/>
              <w:bottom w:w="30" w:type="dxa"/>
              <w:right w:w="120" w:type="dxa"/>
            </w:tcMar>
          </w:tcPr>
          <w:p>
            <w:pPr>
              <w:rPr>
                <w:color w:val="auto"/>
                <w:highlight w:val="none"/>
              </w:rPr>
            </w:pPr>
          </w:p>
        </w:tc>
        <w:tc>
          <w:tcPr>
            <w:tcW w:w="1761" w:type="dxa"/>
            <w:tcMar>
              <w:top w:w="60" w:type="dxa"/>
              <w:left w:w="120" w:type="dxa"/>
              <w:bottom w:w="30" w:type="dxa"/>
              <w:right w:w="120" w:type="dxa"/>
            </w:tcMar>
          </w:tcPr>
          <w:p>
            <w:pP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trPr>
        <w:tc>
          <w:tcPr>
            <w:tcW w:w="3102" w:type="dxa"/>
            <w:tcMar>
              <w:top w:w="60" w:type="dxa"/>
              <w:left w:w="120" w:type="dxa"/>
              <w:bottom w:w="30" w:type="dxa"/>
              <w:right w:w="120" w:type="dxa"/>
            </w:tcMar>
          </w:tcPr>
          <w:p>
            <w:pPr>
              <w:jc w:val="center"/>
              <w:rPr>
                <w:color w:val="auto"/>
                <w:highlight w:val="none"/>
              </w:rPr>
            </w:pPr>
            <w:r>
              <w:rPr>
                <w:rFonts w:hint="eastAsia"/>
                <w:color w:val="auto"/>
                <w:highlight w:val="none"/>
              </w:rPr>
              <w:t>计划利润</w:t>
            </w:r>
          </w:p>
        </w:tc>
        <w:tc>
          <w:tcPr>
            <w:tcW w:w="2104" w:type="dxa"/>
            <w:tcMar>
              <w:top w:w="60" w:type="dxa"/>
              <w:left w:w="120" w:type="dxa"/>
              <w:bottom w:w="30" w:type="dxa"/>
              <w:right w:w="120" w:type="dxa"/>
            </w:tcMar>
          </w:tcPr>
          <w:p>
            <w:pPr>
              <w:rPr>
                <w:color w:val="auto"/>
                <w:highlight w:val="none"/>
              </w:rPr>
            </w:pPr>
          </w:p>
        </w:tc>
        <w:tc>
          <w:tcPr>
            <w:tcW w:w="2731" w:type="dxa"/>
            <w:tcMar>
              <w:top w:w="60" w:type="dxa"/>
              <w:left w:w="120" w:type="dxa"/>
              <w:bottom w:w="30" w:type="dxa"/>
              <w:right w:w="120" w:type="dxa"/>
            </w:tcMar>
          </w:tcPr>
          <w:p>
            <w:pPr>
              <w:rPr>
                <w:color w:val="auto"/>
                <w:highlight w:val="none"/>
              </w:rPr>
            </w:pPr>
          </w:p>
        </w:tc>
        <w:tc>
          <w:tcPr>
            <w:tcW w:w="1761" w:type="dxa"/>
            <w:tcMar>
              <w:top w:w="60" w:type="dxa"/>
              <w:left w:w="120" w:type="dxa"/>
              <w:bottom w:w="30" w:type="dxa"/>
              <w:right w:w="120" w:type="dxa"/>
            </w:tcMar>
          </w:tcPr>
          <w:p>
            <w:pP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trPr>
        <w:tc>
          <w:tcPr>
            <w:tcW w:w="3102" w:type="dxa"/>
            <w:tcMar>
              <w:top w:w="60" w:type="dxa"/>
              <w:left w:w="120" w:type="dxa"/>
              <w:bottom w:w="30" w:type="dxa"/>
              <w:right w:w="120" w:type="dxa"/>
            </w:tcMar>
          </w:tcPr>
          <w:p>
            <w:pPr>
              <w:jc w:val="center"/>
              <w:rPr>
                <w:color w:val="auto"/>
                <w:highlight w:val="none"/>
              </w:rPr>
            </w:pPr>
            <w:r>
              <w:rPr>
                <w:rFonts w:hint="eastAsia"/>
                <w:color w:val="auto"/>
                <w:highlight w:val="none"/>
              </w:rPr>
              <w:t>税金及附加</w:t>
            </w:r>
          </w:p>
        </w:tc>
        <w:tc>
          <w:tcPr>
            <w:tcW w:w="2104" w:type="dxa"/>
            <w:tcMar>
              <w:top w:w="60" w:type="dxa"/>
              <w:left w:w="120" w:type="dxa"/>
              <w:bottom w:w="30" w:type="dxa"/>
              <w:right w:w="120" w:type="dxa"/>
            </w:tcMar>
          </w:tcPr>
          <w:p>
            <w:pPr>
              <w:rPr>
                <w:color w:val="auto"/>
                <w:highlight w:val="none"/>
              </w:rPr>
            </w:pPr>
          </w:p>
        </w:tc>
        <w:tc>
          <w:tcPr>
            <w:tcW w:w="2731" w:type="dxa"/>
            <w:tcMar>
              <w:top w:w="60" w:type="dxa"/>
              <w:left w:w="120" w:type="dxa"/>
              <w:bottom w:w="30" w:type="dxa"/>
              <w:right w:w="120" w:type="dxa"/>
            </w:tcMar>
          </w:tcPr>
          <w:p>
            <w:pPr>
              <w:rPr>
                <w:color w:val="auto"/>
                <w:highlight w:val="none"/>
              </w:rPr>
            </w:pPr>
          </w:p>
        </w:tc>
        <w:tc>
          <w:tcPr>
            <w:tcW w:w="1761" w:type="dxa"/>
            <w:tcMar>
              <w:top w:w="60" w:type="dxa"/>
              <w:left w:w="120" w:type="dxa"/>
              <w:bottom w:w="30" w:type="dxa"/>
              <w:right w:w="120" w:type="dxa"/>
            </w:tcMar>
          </w:tcPr>
          <w:p>
            <w:pP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65" w:hRule="atLeast"/>
          <w:tblHeader/>
        </w:trPr>
        <w:tc>
          <w:tcPr>
            <w:tcW w:w="3102" w:type="dxa"/>
            <w:tcMar>
              <w:top w:w="60" w:type="dxa"/>
              <w:left w:w="120" w:type="dxa"/>
              <w:bottom w:w="30" w:type="dxa"/>
              <w:right w:w="120" w:type="dxa"/>
            </w:tcMar>
          </w:tcPr>
          <w:p>
            <w:pPr>
              <w:jc w:val="center"/>
              <w:rPr>
                <w:color w:val="auto"/>
                <w:highlight w:val="none"/>
              </w:rPr>
            </w:pPr>
            <w:r>
              <w:rPr>
                <w:rFonts w:hint="eastAsia"/>
                <w:color w:val="auto"/>
                <w:highlight w:val="none"/>
              </w:rPr>
              <w:t>.......</w:t>
            </w:r>
          </w:p>
        </w:tc>
        <w:tc>
          <w:tcPr>
            <w:tcW w:w="2104" w:type="dxa"/>
            <w:tcMar>
              <w:top w:w="60" w:type="dxa"/>
              <w:left w:w="120" w:type="dxa"/>
              <w:bottom w:w="30" w:type="dxa"/>
              <w:right w:w="120" w:type="dxa"/>
            </w:tcMar>
          </w:tcPr>
          <w:p>
            <w:pPr>
              <w:rPr>
                <w:color w:val="auto"/>
                <w:highlight w:val="none"/>
              </w:rPr>
            </w:pPr>
          </w:p>
        </w:tc>
        <w:tc>
          <w:tcPr>
            <w:tcW w:w="2731" w:type="dxa"/>
            <w:tcMar>
              <w:top w:w="60" w:type="dxa"/>
              <w:left w:w="120" w:type="dxa"/>
              <w:bottom w:w="30" w:type="dxa"/>
              <w:right w:w="120" w:type="dxa"/>
            </w:tcMar>
          </w:tcPr>
          <w:p>
            <w:pPr>
              <w:rPr>
                <w:color w:val="auto"/>
                <w:highlight w:val="none"/>
              </w:rPr>
            </w:pPr>
          </w:p>
        </w:tc>
        <w:tc>
          <w:tcPr>
            <w:tcW w:w="1761" w:type="dxa"/>
            <w:tcMar>
              <w:top w:w="60" w:type="dxa"/>
              <w:left w:w="120" w:type="dxa"/>
              <w:bottom w:w="30" w:type="dxa"/>
              <w:right w:w="120" w:type="dxa"/>
            </w:tcMar>
          </w:tcPr>
          <w:p>
            <w:pP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292" w:hRule="atLeast"/>
          <w:tblHeader/>
        </w:trPr>
        <w:tc>
          <w:tcPr>
            <w:tcW w:w="3102" w:type="dxa"/>
            <w:tcMar>
              <w:top w:w="60" w:type="dxa"/>
              <w:left w:w="120" w:type="dxa"/>
              <w:bottom w:w="30" w:type="dxa"/>
              <w:right w:w="120" w:type="dxa"/>
            </w:tcMar>
          </w:tcPr>
          <w:p>
            <w:pPr>
              <w:jc w:val="center"/>
              <w:rPr>
                <w:color w:val="auto"/>
                <w:highlight w:val="none"/>
              </w:rPr>
            </w:pPr>
            <w:r>
              <w:rPr>
                <w:color w:val="auto"/>
                <w:highlight w:val="none"/>
              </w:rPr>
              <w:t>合计成本</w:t>
            </w:r>
          </w:p>
        </w:tc>
        <w:tc>
          <w:tcPr>
            <w:tcW w:w="2104" w:type="dxa"/>
            <w:tcMar>
              <w:top w:w="60" w:type="dxa"/>
              <w:left w:w="120" w:type="dxa"/>
              <w:bottom w:w="30" w:type="dxa"/>
              <w:right w:w="120" w:type="dxa"/>
            </w:tcMar>
          </w:tcPr>
          <w:p>
            <w:pPr>
              <w:rPr>
                <w:color w:val="auto"/>
                <w:highlight w:val="none"/>
              </w:rPr>
            </w:pPr>
          </w:p>
        </w:tc>
        <w:tc>
          <w:tcPr>
            <w:tcW w:w="2731" w:type="dxa"/>
            <w:tcMar>
              <w:top w:w="60" w:type="dxa"/>
              <w:left w:w="120" w:type="dxa"/>
              <w:bottom w:w="30" w:type="dxa"/>
              <w:right w:w="120" w:type="dxa"/>
            </w:tcMar>
          </w:tcPr>
          <w:p>
            <w:pPr>
              <w:rPr>
                <w:color w:val="auto"/>
                <w:highlight w:val="none"/>
              </w:rPr>
            </w:pPr>
          </w:p>
        </w:tc>
        <w:tc>
          <w:tcPr>
            <w:tcW w:w="1761" w:type="dxa"/>
            <w:tcMar>
              <w:top w:w="60" w:type="dxa"/>
              <w:left w:w="120" w:type="dxa"/>
              <w:bottom w:w="30" w:type="dxa"/>
              <w:right w:w="120" w:type="dxa"/>
            </w:tcMar>
          </w:tcPr>
          <w:p>
            <w:pP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305" w:hRule="atLeast"/>
          <w:tblHeader/>
        </w:trPr>
        <w:tc>
          <w:tcPr>
            <w:tcW w:w="3102" w:type="dxa"/>
            <w:tcMar>
              <w:top w:w="60" w:type="dxa"/>
              <w:left w:w="120" w:type="dxa"/>
              <w:bottom w:w="30" w:type="dxa"/>
              <w:right w:w="120" w:type="dxa"/>
            </w:tcMar>
          </w:tcPr>
          <w:p>
            <w:pPr>
              <w:jc w:val="center"/>
              <w:rPr>
                <w:color w:val="auto"/>
                <w:highlight w:val="none"/>
              </w:rPr>
            </w:pPr>
            <w:r>
              <w:rPr>
                <w:color w:val="auto"/>
                <w:highlight w:val="none"/>
              </w:rPr>
              <w:t>投标</w:t>
            </w:r>
            <w:r>
              <w:rPr>
                <w:rFonts w:hint="eastAsia"/>
                <w:color w:val="auto"/>
                <w:highlight w:val="none"/>
              </w:rPr>
              <w:t>总</w:t>
            </w:r>
            <w:r>
              <w:rPr>
                <w:color w:val="auto"/>
                <w:highlight w:val="none"/>
              </w:rPr>
              <w:t>价</w:t>
            </w:r>
          </w:p>
        </w:tc>
        <w:tc>
          <w:tcPr>
            <w:tcW w:w="2104" w:type="dxa"/>
            <w:tcMar>
              <w:top w:w="60" w:type="dxa"/>
              <w:left w:w="120" w:type="dxa"/>
              <w:bottom w:w="30" w:type="dxa"/>
              <w:right w:w="120" w:type="dxa"/>
            </w:tcMar>
          </w:tcPr>
          <w:p>
            <w:pPr>
              <w:rPr>
                <w:color w:val="auto"/>
                <w:highlight w:val="none"/>
              </w:rPr>
            </w:pPr>
          </w:p>
        </w:tc>
        <w:tc>
          <w:tcPr>
            <w:tcW w:w="2731" w:type="dxa"/>
            <w:tcMar>
              <w:top w:w="60" w:type="dxa"/>
              <w:left w:w="120" w:type="dxa"/>
              <w:bottom w:w="30" w:type="dxa"/>
              <w:right w:w="120" w:type="dxa"/>
            </w:tcMar>
          </w:tcPr>
          <w:p>
            <w:pPr>
              <w:rPr>
                <w:color w:val="auto"/>
                <w:highlight w:val="none"/>
              </w:rPr>
            </w:pPr>
          </w:p>
        </w:tc>
        <w:tc>
          <w:tcPr>
            <w:tcW w:w="1761" w:type="dxa"/>
            <w:tcMar>
              <w:top w:w="60" w:type="dxa"/>
              <w:left w:w="120" w:type="dxa"/>
              <w:bottom w:w="30" w:type="dxa"/>
              <w:right w:w="120" w:type="dxa"/>
            </w:tcMar>
          </w:tcPr>
          <w:p>
            <w:pPr>
              <w:rPr>
                <w:color w:val="auto"/>
                <w:highlight w:val="none"/>
              </w:rPr>
            </w:pPr>
          </w:p>
        </w:tc>
      </w:tr>
    </w:tbl>
    <w:p>
      <w:pPr>
        <w:spacing w:line="360" w:lineRule="auto"/>
        <w:ind w:firstLine="420" w:firstLineChars="200"/>
        <w:rPr>
          <w:color w:val="auto"/>
          <w:szCs w:val="21"/>
          <w:highlight w:val="none"/>
        </w:rPr>
      </w:pPr>
    </w:p>
    <w:bookmarkEnd w:id="177"/>
    <w:p>
      <w:pPr>
        <w:snapToGrid w:val="0"/>
        <w:ind w:left="-6" w:leftChars="-15" w:right="-817" w:rightChars="-389" w:hanging="25" w:hangingChars="12"/>
        <w:rPr>
          <w:rFonts w:asciiTheme="minorEastAsia" w:hAnsiTheme="minorEastAsia" w:eastAsiaTheme="minorEastAsia"/>
          <w:color w:val="auto"/>
          <w:szCs w:val="21"/>
          <w:highlight w:val="none"/>
        </w:rPr>
      </w:pPr>
    </w:p>
    <w:p>
      <w:pPr>
        <w:spacing w:line="360" w:lineRule="auto"/>
        <w:rPr>
          <w:rFonts w:asciiTheme="minorEastAsia" w:hAnsiTheme="minorEastAsia" w:eastAsiaTheme="minorEastAsia" w:cstheme="minorEastAsia"/>
          <w:b/>
          <w:color w:val="auto"/>
          <w:sz w:val="28"/>
          <w:szCs w:val="28"/>
          <w:highlight w:val="none"/>
        </w:rPr>
      </w:pPr>
      <w:r>
        <w:rPr>
          <w:rFonts w:asciiTheme="minorEastAsia" w:hAnsiTheme="minorEastAsia" w:eastAsiaTheme="minorEastAsia"/>
          <w:b/>
          <w:bCs/>
          <w:color w:val="auto"/>
          <w:sz w:val="24"/>
          <w:highlight w:val="none"/>
        </w:rPr>
        <w:br w:type="page"/>
      </w:r>
      <w:r>
        <w:rPr>
          <w:rFonts w:hint="eastAsia" w:asciiTheme="minorEastAsia" w:hAnsiTheme="minorEastAsia" w:eastAsiaTheme="minorEastAsia" w:cstheme="minorEastAsia"/>
          <w:b/>
          <w:color w:val="auto"/>
          <w:sz w:val="28"/>
          <w:szCs w:val="28"/>
          <w:highlight w:val="none"/>
        </w:rPr>
        <w:t>二、资格证明文件格式</w:t>
      </w:r>
    </w:p>
    <w:p>
      <w:pPr>
        <w:numPr>
          <w:ilvl w:val="2"/>
          <w:numId w:val="10"/>
        </w:numPr>
        <w:snapToGrid w:val="0"/>
        <w:spacing w:beforeLines="50" w:after="50" w:line="360" w:lineRule="auto"/>
        <w:ind w:left="0" w:firstLine="0"/>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 xml:space="preserve">资格证明文件封面格式： </w:t>
      </w:r>
    </w:p>
    <w:p>
      <w:pPr>
        <w:snapToGrid w:val="0"/>
        <w:spacing w:beforeLines="50" w:after="50" w:line="360" w:lineRule="auto"/>
        <w:jc w:val="center"/>
        <w:rPr>
          <w:rFonts w:asciiTheme="minorEastAsia" w:hAnsiTheme="minorEastAsia" w:eastAsiaTheme="minorEastAsia" w:cstheme="minorEastAsia"/>
          <w:bCs/>
          <w:color w:val="auto"/>
          <w:sz w:val="48"/>
          <w:szCs w:val="48"/>
          <w:highlight w:val="none"/>
        </w:rPr>
      </w:pPr>
    </w:p>
    <w:p>
      <w:pPr>
        <w:snapToGrid w:val="0"/>
        <w:spacing w:beforeLines="50" w:after="50" w:line="360" w:lineRule="auto"/>
        <w:jc w:val="center"/>
        <w:rPr>
          <w:rFonts w:asciiTheme="minorEastAsia" w:hAnsiTheme="minorEastAsia" w:eastAsiaTheme="minorEastAsia" w:cstheme="minorEastAsia"/>
          <w:bCs/>
          <w:color w:val="auto"/>
          <w:sz w:val="48"/>
          <w:szCs w:val="48"/>
          <w:highlight w:val="none"/>
        </w:rPr>
      </w:pPr>
      <w:r>
        <w:rPr>
          <w:rFonts w:hint="eastAsia" w:asciiTheme="minorEastAsia" w:hAnsiTheme="minorEastAsia" w:eastAsiaTheme="minorEastAsia" w:cstheme="minorEastAsia"/>
          <w:bCs/>
          <w:color w:val="auto"/>
          <w:sz w:val="48"/>
          <w:szCs w:val="48"/>
          <w:highlight w:val="none"/>
        </w:rPr>
        <w:t>电子投标文件</w:t>
      </w:r>
    </w:p>
    <w:p>
      <w:pPr>
        <w:pStyle w:val="2"/>
        <w:spacing w:line="360" w:lineRule="auto"/>
        <w:rPr>
          <w:rFonts w:asciiTheme="minorEastAsia" w:hAnsiTheme="minorEastAsia" w:eastAsiaTheme="minorEastAsia" w:cstheme="minorEastAsia"/>
          <w:color w:val="auto"/>
          <w:highlight w:val="none"/>
        </w:rPr>
      </w:pPr>
    </w:p>
    <w:p>
      <w:pPr>
        <w:snapToGrid w:val="0"/>
        <w:spacing w:beforeLines="50" w:after="50" w:line="360" w:lineRule="auto"/>
        <w:jc w:val="center"/>
        <w:rPr>
          <w:rFonts w:asciiTheme="minorEastAsia" w:hAnsiTheme="minorEastAsia" w:eastAsiaTheme="minorEastAsia" w:cstheme="minorEastAsia"/>
          <w:b/>
          <w:color w:val="auto"/>
          <w:sz w:val="24"/>
          <w:szCs w:val="20"/>
          <w:highlight w:val="none"/>
        </w:rPr>
      </w:pPr>
      <w:r>
        <w:rPr>
          <w:rFonts w:hint="eastAsia" w:asciiTheme="minorEastAsia" w:hAnsiTheme="minorEastAsia" w:eastAsiaTheme="minorEastAsia" w:cstheme="minorEastAsia"/>
          <w:b/>
          <w:color w:val="auto"/>
          <w:sz w:val="32"/>
          <w:szCs w:val="32"/>
          <w:highlight w:val="none"/>
        </w:rPr>
        <w:t>资格证明文件</w:t>
      </w:r>
    </w:p>
    <w:p>
      <w:pPr>
        <w:snapToGrid w:val="0"/>
        <w:spacing w:beforeLines="50" w:after="50" w:line="360" w:lineRule="auto"/>
        <w:rPr>
          <w:rFonts w:asciiTheme="minorEastAsia" w:hAnsiTheme="minorEastAsia" w:eastAsiaTheme="minorEastAsia" w:cstheme="minorEastAsia"/>
          <w:bCs/>
          <w:color w:val="auto"/>
          <w:sz w:val="24"/>
          <w:szCs w:val="20"/>
          <w:highlight w:val="none"/>
        </w:rPr>
      </w:pPr>
    </w:p>
    <w:p>
      <w:pPr>
        <w:snapToGrid w:val="0"/>
        <w:spacing w:beforeLines="50" w:after="50" w:line="360" w:lineRule="auto"/>
        <w:rPr>
          <w:rFonts w:asciiTheme="minorEastAsia" w:hAnsiTheme="minorEastAsia" w:eastAsiaTheme="minorEastAsia" w:cstheme="minorEastAsia"/>
          <w:bCs/>
          <w:color w:val="auto"/>
          <w:sz w:val="24"/>
          <w:szCs w:val="20"/>
          <w:highlight w:val="none"/>
        </w:rPr>
      </w:pPr>
    </w:p>
    <w:p>
      <w:pPr>
        <w:snapToGrid w:val="0"/>
        <w:spacing w:beforeLines="50" w:after="50" w:line="360" w:lineRule="auto"/>
        <w:rPr>
          <w:rFonts w:asciiTheme="minorEastAsia" w:hAnsiTheme="minorEastAsia" w:eastAsiaTheme="minorEastAsia" w:cstheme="minorEastAsia"/>
          <w:bCs/>
          <w:color w:val="auto"/>
          <w:sz w:val="24"/>
          <w:szCs w:val="20"/>
          <w:highlight w:val="none"/>
        </w:rPr>
      </w:pPr>
    </w:p>
    <w:p>
      <w:pPr>
        <w:snapToGrid w:val="0"/>
        <w:spacing w:beforeLines="50" w:after="50" w:line="360" w:lineRule="auto"/>
        <w:rPr>
          <w:rFonts w:asciiTheme="minorEastAsia" w:hAnsiTheme="minorEastAsia" w:eastAsiaTheme="minorEastAsia" w:cstheme="minorEastAsia"/>
          <w:bCs/>
          <w:color w:val="auto"/>
          <w:sz w:val="24"/>
          <w:szCs w:val="20"/>
          <w:highlight w:val="none"/>
        </w:rPr>
      </w:pPr>
    </w:p>
    <w:p>
      <w:pPr>
        <w:snapToGrid w:val="0"/>
        <w:spacing w:beforeLines="50" w:after="50" w:line="360" w:lineRule="auto"/>
        <w:rPr>
          <w:rFonts w:asciiTheme="minorEastAsia" w:hAnsiTheme="minorEastAsia" w:eastAsiaTheme="minorEastAsia" w:cstheme="minorEastAsia"/>
          <w:bCs/>
          <w:color w:val="auto"/>
          <w:sz w:val="24"/>
          <w:szCs w:val="20"/>
          <w:highlight w:val="none"/>
        </w:rPr>
      </w:pPr>
    </w:p>
    <w:p>
      <w:pPr>
        <w:snapToGrid w:val="0"/>
        <w:spacing w:beforeLines="50" w:after="50" w:line="360" w:lineRule="auto"/>
        <w:ind w:firstLine="540" w:firstLineChars="225"/>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项目名称：</w:t>
      </w:r>
    </w:p>
    <w:p>
      <w:pPr>
        <w:snapToGrid w:val="0"/>
        <w:spacing w:beforeLines="50" w:after="50" w:line="360" w:lineRule="auto"/>
        <w:ind w:firstLine="540" w:firstLineChars="225"/>
        <w:rPr>
          <w:rFonts w:asciiTheme="minorEastAsia" w:hAnsiTheme="minorEastAsia" w:eastAsiaTheme="minorEastAsia" w:cstheme="minorEastAsia"/>
          <w:bCs/>
          <w:color w:val="auto"/>
          <w:sz w:val="24"/>
          <w:szCs w:val="20"/>
          <w:highlight w:val="none"/>
        </w:rPr>
      </w:pPr>
    </w:p>
    <w:p>
      <w:pPr>
        <w:snapToGrid w:val="0"/>
        <w:spacing w:beforeLines="50" w:after="50" w:line="360" w:lineRule="auto"/>
        <w:ind w:firstLine="540" w:firstLineChars="225"/>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项目编号：</w:t>
      </w:r>
    </w:p>
    <w:p>
      <w:pPr>
        <w:snapToGrid w:val="0"/>
        <w:spacing w:beforeLines="50" w:after="50" w:line="360" w:lineRule="auto"/>
        <w:ind w:firstLine="540" w:firstLineChars="225"/>
        <w:rPr>
          <w:rFonts w:asciiTheme="minorEastAsia" w:hAnsiTheme="minorEastAsia" w:eastAsiaTheme="minorEastAsia" w:cstheme="minorEastAsia"/>
          <w:bCs/>
          <w:color w:val="auto"/>
          <w:sz w:val="24"/>
          <w:szCs w:val="20"/>
          <w:highlight w:val="none"/>
        </w:rPr>
      </w:pPr>
    </w:p>
    <w:p>
      <w:pPr>
        <w:snapToGrid w:val="0"/>
        <w:spacing w:beforeLines="50" w:after="50" w:line="360" w:lineRule="auto"/>
        <w:ind w:firstLine="540" w:firstLineChars="225"/>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所投分标</w:t>
      </w:r>
      <w:r>
        <w:rPr>
          <w:rFonts w:hint="eastAsia" w:asciiTheme="minorEastAsia" w:hAnsiTheme="minorEastAsia" w:eastAsiaTheme="minorEastAsia" w:cstheme="minorEastAsia"/>
          <w:color w:val="auto"/>
          <w:sz w:val="24"/>
          <w:highlight w:val="none"/>
        </w:rPr>
        <w:t>（如有）</w:t>
      </w:r>
      <w:r>
        <w:rPr>
          <w:rFonts w:hint="eastAsia" w:asciiTheme="minorEastAsia" w:hAnsiTheme="minorEastAsia" w:eastAsiaTheme="minorEastAsia" w:cstheme="minorEastAsia"/>
          <w:bCs/>
          <w:color w:val="auto"/>
          <w:sz w:val="24"/>
          <w:highlight w:val="none"/>
        </w:rPr>
        <w:t>：</w:t>
      </w:r>
    </w:p>
    <w:p>
      <w:pPr>
        <w:pStyle w:val="9"/>
        <w:snapToGrid w:val="0"/>
        <w:spacing w:before="50" w:after="50" w:line="360" w:lineRule="auto"/>
        <w:ind w:firstLine="540" w:firstLineChars="225"/>
        <w:rPr>
          <w:rFonts w:asciiTheme="minorEastAsia" w:hAnsiTheme="minorEastAsia" w:eastAsiaTheme="minorEastAsia" w:cstheme="minorEastAsia"/>
          <w:bCs/>
          <w:color w:val="auto"/>
          <w:sz w:val="24"/>
          <w:szCs w:val="24"/>
          <w:highlight w:val="none"/>
        </w:rPr>
      </w:pPr>
    </w:p>
    <w:p>
      <w:pPr>
        <w:pStyle w:val="9"/>
        <w:snapToGrid w:val="0"/>
        <w:spacing w:before="50" w:after="50" w:line="360" w:lineRule="auto"/>
        <w:ind w:firstLine="540" w:firstLineChars="225"/>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投标人名称：</w:t>
      </w:r>
    </w:p>
    <w:p>
      <w:pPr>
        <w:pStyle w:val="9"/>
        <w:snapToGrid w:val="0"/>
        <w:spacing w:before="50" w:after="50" w:line="360" w:lineRule="auto"/>
        <w:ind w:firstLine="540" w:firstLineChars="225"/>
        <w:rPr>
          <w:rFonts w:asciiTheme="minorEastAsia" w:hAnsiTheme="minorEastAsia" w:eastAsiaTheme="minorEastAsia" w:cstheme="minorEastAsia"/>
          <w:bCs/>
          <w:color w:val="auto"/>
          <w:sz w:val="24"/>
          <w:szCs w:val="24"/>
          <w:highlight w:val="none"/>
        </w:rPr>
      </w:pPr>
    </w:p>
    <w:p>
      <w:pPr>
        <w:pStyle w:val="9"/>
        <w:snapToGrid w:val="0"/>
        <w:spacing w:before="50" w:after="50" w:line="360" w:lineRule="auto"/>
        <w:ind w:firstLine="960" w:firstLineChars="400"/>
        <w:rPr>
          <w:rFonts w:asciiTheme="minorEastAsia" w:hAnsiTheme="minorEastAsia" w:eastAsiaTheme="minorEastAsia" w:cstheme="minorEastAsia"/>
          <w:bCs/>
          <w:color w:val="auto"/>
          <w:sz w:val="24"/>
          <w:szCs w:val="24"/>
          <w:highlight w:val="none"/>
        </w:rPr>
      </w:pPr>
    </w:p>
    <w:p>
      <w:pPr>
        <w:snapToGrid w:val="0"/>
        <w:spacing w:beforeLines="50" w:after="50" w:line="360" w:lineRule="auto"/>
        <w:ind w:firstLine="645"/>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  月  日</w:t>
      </w:r>
    </w:p>
    <w:p>
      <w:pPr>
        <w:snapToGrid w:val="0"/>
        <w:spacing w:beforeLines="50" w:after="50" w:line="360" w:lineRule="auto"/>
        <w:rPr>
          <w:rFonts w:asciiTheme="minorEastAsia" w:hAnsiTheme="minorEastAsia" w:eastAsiaTheme="minorEastAsia" w:cstheme="minorEastAsia"/>
          <w:color w:val="auto"/>
          <w:sz w:val="24"/>
          <w:szCs w:val="20"/>
          <w:highlight w:val="none"/>
        </w:rPr>
      </w:pPr>
    </w:p>
    <w:p>
      <w:pPr>
        <w:numPr>
          <w:ilvl w:val="2"/>
          <w:numId w:val="10"/>
        </w:numPr>
        <w:snapToGrid w:val="0"/>
        <w:spacing w:beforeLines="50" w:after="50" w:line="360" w:lineRule="auto"/>
        <w:ind w:left="0" w:firstLine="0"/>
        <w:jc w:val="left"/>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b/>
          <w:bCs/>
          <w:color w:val="auto"/>
          <w:sz w:val="24"/>
          <w:highlight w:val="none"/>
        </w:rPr>
        <w:t>资格证明文件目录</w:t>
      </w:r>
    </w:p>
    <w:p>
      <w:pPr>
        <w:snapToGrid w:val="0"/>
        <w:spacing w:line="360" w:lineRule="auto"/>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根据招标文件规定及投标人提供的材料自行编写目录。</w:t>
      </w:r>
    </w:p>
    <w:p>
      <w:pPr>
        <w:snapToGrid w:val="0"/>
        <w:spacing w:before="50" w:afterLines="50" w:line="360" w:lineRule="auto"/>
        <w:jc w:val="left"/>
        <w:rPr>
          <w:rFonts w:asciiTheme="minorEastAsia" w:hAnsiTheme="minorEastAsia" w:eastAsiaTheme="minorEastAsia" w:cstheme="minorEastAsia"/>
          <w:color w:val="auto"/>
          <w:sz w:val="24"/>
          <w:highlight w:val="none"/>
        </w:rPr>
      </w:pPr>
    </w:p>
    <w:p>
      <w:pPr>
        <w:snapToGrid w:val="0"/>
        <w:spacing w:before="50" w:afterLines="50" w:line="360" w:lineRule="auto"/>
        <w:jc w:val="left"/>
        <w:rPr>
          <w:rFonts w:asciiTheme="minorEastAsia" w:hAnsiTheme="minorEastAsia" w:eastAsiaTheme="minorEastAsia" w:cstheme="minorEastAsia"/>
          <w:color w:val="auto"/>
          <w:sz w:val="24"/>
          <w:highlight w:val="none"/>
        </w:rPr>
      </w:pPr>
    </w:p>
    <w:p>
      <w:pPr>
        <w:numPr>
          <w:ilvl w:val="2"/>
          <w:numId w:val="10"/>
        </w:numPr>
        <w:snapToGrid w:val="0"/>
        <w:spacing w:beforeLines="50" w:after="50" w:line="360" w:lineRule="auto"/>
        <w:ind w:left="0" w:firstLine="0"/>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color w:val="auto"/>
          <w:sz w:val="28"/>
          <w:szCs w:val="28"/>
          <w:highlight w:val="none"/>
        </w:rPr>
        <w:t>投标人直接控股、管理关系信息表</w:t>
      </w:r>
    </w:p>
    <w:p>
      <w:pPr>
        <w:snapToGrid w:val="0"/>
        <w:spacing w:before="50" w:afterLines="50" w:line="360" w:lineRule="auto"/>
        <w:jc w:val="center"/>
        <w:rPr>
          <w:rFonts w:asciiTheme="minorEastAsia" w:hAnsiTheme="minorEastAsia" w:eastAsiaTheme="minorEastAsia" w:cstheme="minorEastAsia"/>
          <w:b/>
          <w:color w:val="auto"/>
          <w:sz w:val="28"/>
          <w:szCs w:val="28"/>
          <w:highlight w:val="none"/>
        </w:rPr>
      </w:pPr>
    </w:p>
    <w:p>
      <w:pPr>
        <w:snapToGrid w:val="0"/>
        <w:spacing w:before="50" w:afterLines="50" w:line="360" w:lineRule="auto"/>
        <w:jc w:val="center"/>
        <w:rPr>
          <w:rFonts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投标人直接控股股东信息表</w:t>
      </w:r>
    </w:p>
    <w:tbl>
      <w:tblPr>
        <w:tblStyle w:val="52"/>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4006"/>
        <w:gridCol w:w="1134"/>
      </w:tblGrid>
      <w:tr>
        <w:tblPrEx>
          <w:shd w:val="clear" w:color="auto" w:fill="FBFBFB"/>
          <w:tblLayout w:type="fixed"/>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出资比例</w:t>
            </w:r>
          </w:p>
        </w:tc>
        <w:tc>
          <w:tcPr>
            <w:tcW w:w="4006"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身份证号码或者统一社会信用代码</w:t>
            </w:r>
          </w:p>
        </w:tc>
        <w:tc>
          <w:tcPr>
            <w:tcW w:w="113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tblPrEx>
          <w:tblLayout w:type="fixed"/>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400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113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r>
      <w:tr>
        <w:tblPrEx>
          <w:tblLayout w:type="fixed"/>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400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113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r>
      <w:tr>
        <w:tblPrEx>
          <w:tblLayout w:type="fixed"/>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400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113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r>
    </w:tbl>
    <w:p>
      <w:pPr>
        <w:snapToGrid w:val="0"/>
        <w:spacing w:line="360" w:lineRule="auto"/>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w:t>
      </w:r>
    </w:p>
    <w:p>
      <w:pPr>
        <w:snapToGrid w:val="0"/>
        <w:spacing w:line="360" w:lineRule="auto"/>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napToGrid w:val="0"/>
        <w:spacing w:line="360" w:lineRule="auto"/>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2.本表所指的控股关系仅限于直接控股关系，不包括间接的控股关系。公司实际控制人与公司之间的关系不属于本表所指的直接控股关系。</w:t>
      </w:r>
    </w:p>
    <w:p>
      <w:pPr>
        <w:snapToGrid w:val="0"/>
        <w:spacing w:line="360" w:lineRule="auto"/>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3.供应商不存在直接控股股东的，则在“</w:t>
      </w:r>
      <w:r>
        <w:rPr>
          <w:rFonts w:hint="eastAsia" w:asciiTheme="minorEastAsia" w:hAnsiTheme="minorEastAsia" w:eastAsiaTheme="minorEastAsia" w:cstheme="minorEastAsia"/>
          <w:b/>
          <w:bCs/>
          <w:color w:val="auto"/>
          <w:kern w:val="0"/>
          <w:sz w:val="24"/>
          <w:highlight w:val="none"/>
        </w:rPr>
        <w:t>直接控股股东名称</w:t>
      </w:r>
      <w:r>
        <w:rPr>
          <w:rFonts w:hint="eastAsia" w:asciiTheme="minorEastAsia" w:hAnsiTheme="minorEastAsia" w:eastAsiaTheme="minorEastAsia" w:cstheme="minorEastAsia"/>
          <w:color w:val="auto"/>
          <w:sz w:val="24"/>
          <w:highlight w:val="none"/>
        </w:rPr>
        <w:t>”中填“无”。</w:t>
      </w:r>
    </w:p>
    <w:p>
      <w:pPr>
        <w:snapToGrid w:val="0"/>
        <w:spacing w:line="360" w:lineRule="auto"/>
        <w:jc w:val="left"/>
        <w:rPr>
          <w:rFonts w:asciiTheme="minorEastAsia" w:hAnsiTheme="minorEastAsia" w:eastAsiaTheme="minorEastAsia" w:cstheme="minorEastAsia"/>
          <w:color w:val="auto"/>
          <w:sz w:val="24"/>
          <w:highlight w:val="none"/>
        </w:rPr>
      </w:pPr>
    </w:p>
    <w:p>
      <w:pPr>
        <w:snapToGrid w:val="0"/>
        <w:spacing w:line="360" w:lineRule="auto"/>
        <w:ind w:left="-2" w:leftChars="-1" w:right="-817" w:rightChars="-389"/>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法定代表人或者委托代理人（签字/电子签名）： </w:t>
      </w:r>
    </w:p>
    <w:p>
      <w:pPr>
        <w:snapToGrid w:val="0"/>
        <w:spacing w:line="360" w:lineRule="auto"/>
        <w:ind w:left="-3" w:leftChars="-15" w:right="-817" w:rightChars="-389" w:hanging="28" w:hangingChars="12"/>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投标人名称（电子签章）：</w:t>
      </w:r>
    </w:p>
    <w:p>
      <w:pPr>
        <w:snapToGrid w:val="0"/>
        <w:spacing w:line="36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4"/>
          <w:highlight w:val="none"/>
        </w:rPr>
        <w:t xml:space="preserve">                                    日期：    年   月   日</w:t>
      </w:r>
    </w:p>
    <w:p>
      <w:pPr>
        <w:snapToGrid w:val="0"/>
        <w:spacing w:line="360" w:lineRule="auto"/>
        <w:jc w:val="center"/>
        <w:rPr>
          <w:rFonts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b/>
          <w:color w:val="auto"/>
          <w:sz w:val="32"/>
          <w:szCs w:val="32"/>
          <w:highlight w:val="none"/>
        </w:rPr>
        <w:br w:type="page"/>
      </w:r>
      <w:r>
        <w:rPr>
          <w:rFonts w:hint="eastAsia" w:asciiTheme="minorEastAsia" w:hAnsiTheme="minorEastAsia" w:eastAsiaTheme="minorEastAsia" w:cstheme="minorEastAsia"/>
          <w:b/>
          <w:color w:val="auto"/>
          <w:sz w:val="32"/>
          <w:szCs w:val="32"/>
          <w:highlight w:val="none"/>
        </w:rPr>
        <w:t>投标人直接管理关系信息表</w:t>
      </w:r>
    </w:p>
    <w:tbl>
      <w:tblPr>
        <w:tblStyle w:val="52"/>
        <w:tblW w:w="9652" w:type="dxa"/>
        <w:tblInd w:w="0" w:type="dxa"/>
        <w:shd w:val="clear" w:color="auto" w:fill="FBFBFB"/>
        <w:tblLayout w:type="fixed"/>
        <w:tblCellMar>
          <w:top w:w="0" w:type="dxa"/>
          <w:left w:w="0" w:type="dxa"/>
          <w:bottom w:w="0" w:type="dxa"/>
          <w:right w:w="0" w:type="dxa"/>
        </w:tblCellMar>
      </w:tblPr>
      <w:tblGrid>
        <w:gridCol w:w="1005"/>
        <w:gridCol w:w="2659"/>
        <w:gridCol w:w="3437"/>
        <w:gridCol w:w="2551"/>
      </w:tblGrid>
      <w:tr>
        <w:tblPrEx>
          <w:tblLayout w:type="fixed"/>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直接管理关系单位名称</w:t>
            </w:r>
          </w:p>
        </w:tc>
        <w:tc>
          <w:tcPr>
            <w:tcW w:w="343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统一社会信用代码</w:t>
            </w:r>
          </w:p>
        </w:tc>
        <w:tc>
          <w:tcPr>
            <w:tcW w:w="255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b/>
                <w:bCs/>
                <w:color w:val="auto"/>
                <w:kern w:val="0"/>
                <w:sz w:val="24"/>
                <w:highlight w:val="none"/>
              </w:rPr>
            </w:pPr>
            <w:r>
              <w:rPr>
                <w:rFonts w:hint="eastAsia" w:asciiTheme="minorEastAsia" w:hAnsiTheme="minorEastAsia" w:eastAsiaTheme="minorEastAsia" w:cstheme="minorEastAsia"/>
                <w:b/>
                <w:bCs/>
                <w:color w:val="auto"/>
                <w:kern w:val="0"/>
                <w:sz w:val="24"/>
                <w:highlight w:val="none"/>
              </w:rPr>
              <w:t>备注</w:t>
            </w:r>
          </w:p>
        </w:tc>
      </w:tr>
      <w:tr>
        <w:tblPrEx>
          <w:tblLayout w:type="fixed"/>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343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255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r>
      <w:tr>
        <w:tblPrEx>
          <w:tblLayout w:type="fixed"/>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343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255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r>
      <w:tr>
        <w:tblPrEx>
          <w:tblLayout w:type="fixed"/>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343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255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r>
      <w:tr>
        <w:tblPrEx>
          <w:tblLayout w:type="fixed"/>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343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c>
          <w:tcPr>
            <w:tcW w:w="255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pPr>
              <w:spacing w:line="360" w:lineRule="auto"/>
              <w:jc w:val="center"/>
              <w:rPr>
                <w:rFonts w:asciiTheme="minorEastAsia" w:hAnsiTheme="minorEastAsia" w:eastAsiaTheme="minorEastAsia" w:cstheme="minorEastAsia"/>
                <w:color w:val="auto"/>
                <w:kern w:val="0"/>
                <w:sz w:val="24"/>
                <w:highlight w:val="none"/>
              </w:rPr>
            </w:pPr>
          </w:p>
        </w:tc>
      </w:tr>
    </w:tbl>
    <w:p>
      <w:pPr>
        <w:snapToGrid w:val="0"/>
        <w:spacing w:line="360" w:lineRule="auto"/>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w:t>
      </w:r>
    </w:p>
    <w:p>
      <w:pPr>
        <w:snapToGrid w:val="0"/>
        <w:spacing w:line="360" w:lineRule="auto"/>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1.管理关系：是指不具有出资持股关系的其他单位之间存在的管理与被管理关系，如一些上下级关系的事业单位和团体组织。</w:t>
      </w:r>
    </w:p>
    <w:p>
      <w:pPr>
        <w:snapToGrid w:val="0"/>
        <w:spacing w:line="360" w:lineRule="auto"/>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pacing w:val="-6"/>
          <w:sz w:val="24"/>
          <w:highlight w:val="none"/>
        </w:rPr>
        <w:t>本表所指的管理关系仅限于直接管理关系，不包括间接的管理关系。</w:t>
      </w:r>
    </w:p>
    <w:p>
      <w:pPr>
        <w:snapToGrid w:val="0"/>
        <w:spacing w:line="360" w:lineRule="auto"/>
        <w:ind w:firstLine="480" w:firstLineChars="200"/>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3.供应商不存在直接管理关系的，则在“</w:t>
      </w:r>
      <w:r>
        <w:rPr>
          <w:rFonts w:hint="eastAsia" w:asciiTheme="minorEastAsia" w:hAnsiTheme="minorEastAsia" w:eastAsiaTheme="minorEastAsia" w:cstheme="minorEastAsia"/>
          <w:b/>
          <w:bCs/>
          <w:color w:val="auto"/>
          <w:kern w:val="0"/>
          <w:sz w:val="24"/>
          <w:highlight w:val="none"/>
        </w:rPr>
        <w:t>直接管理关系单位名称</w:t>
      </w:r>
      <w:r>
        <w:rPr>
          <w:rFonts w:hint="eastAsia" w:asciiTheme="minorEastAsia" w:hAnsiTheme="minorEastAsia" w:eastAsiaTheme="minorEastAsia" w:cstheme="minorEastAsia"/>
          <w:color w:val="auto"/>
          <w:sz w:val="24"/>
          <w:highlight w:val="none"/>
        </w:rPr>
        <w:t>”中填“无”。</w:t>
      </w:r>
    </w:p>
    <w:p>
      <w:pPr>
        <w:snapToGrid w:val="0"/>
        <w:spacing w:line="360" w:lineRule="auto"/>
        <w:jc w:val="left"/>
        <w:rPr>
          <w:rFonts w:asciiTheme="minorEastAsia" w:hAnsiTheme="minorEastAsia" w:eastAsiaTheme="minorEastAsia" w:cstheme="minorEastAsia"/>
          <w:color w:val="auto"/>
          <w:sz w:val="24"/>
          <w:highlight w:val="none"/>
        </w:rPr>
      </w:pPr>
    </w:p>
    <w:p>
      <w:pPr>
        <w:snapToGrid w:val="0"/>
        <w:spacing w:line="360" w:lineRule="auto"/>
        <w:jc w:val="left"/>
        <w:rPr>
          <w:rFonts w:asciiTheme="minorEastAsia" w:hAnsiTheme="minorEastAsia" w:eastAsiaTheme="minorEastAsia" w:cstheme="minorEastAsia"/>
          <w:color w:val="auto"/>
          <w:sz w:val="24"/>
          <w:highlight w:val="none"/>
        </w:rPr>
      </w:pPr>
    </w:p>
    <w:p>
      <w:pPr>
        <w:snapToGrid w:val="0"/>
        <w:spacing w:line="360" w:lineRule="auto"/>
        <w:jc w:val="left"/>
        <w:rPr>
          <w:rFonts w:asciiTheme="minorEastAsia" w:hAnsiTheme="minorEastAsia" w:eastAsiaTheme="minorEastAsia" w:cstheme="minorEastAsia"/>
          <w:color w:val="auto"/>
          <w:sz w:val="24"/>
          <w:highlight w:val="none"/>
        </w:rPr>
      </w:pPr>
    </w:p>
    <w:p>
      <w:pPr>
        <w:snapToGrid w:val="0"/>
        <w:spacing w:line="360" w:lineRule="auto"/>
        <w:jc w:val="left"/>
        <w:rPr>
          <w:rFonts w:asciiTheme="minorEastAsia" w:hAnsiTheme="minorEastAsia" w:eastAsiaTheme="minorEastAsia" w:cstheme="minorEastAsia"/>
          <w:color w:val="auto"/>
          <w:sz w:val="24"/>
          <w:highlight w:val="none"/>
        </w:rPr>
      </w:pPr>
    </w:p>
    <w:p>
      <w:pPr>
        <w:snapToGrid w:val="0"/>
        <w:spacing w:line="360" w:lineRule="auto"/>
        <w:ind w:left="-2" w:leftChars="-1" w:right="-817" w:rightChars="-389"/>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法定代表人或者委托代理人（签字/电子签名）： </w:t>
      </w:r>
    </w:p>
    <w:p>
      <w:pPr>
        <w:snapToGrid w:val="0"/>
        <w:spacing w:line="360" w:lineRule="auto"/>
        <w:ind w:left="-3" w:leftChars="-15" w:right="-817" w:rightChars="-389" w:hanging="28" w:hangingChars="12"/>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投标人名称（电子签章）：</w:t>
      </w:r>
    </w:p>
    <w:p>
      <w:pPr>
        <w:snapToGrid w:val="0"/>
        <w:spacing w:line="360" w:lineRule="auto"/>
        <w:ind w:right="480" w:firstLine="240" w:firstLineChars="1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4"/>
          <w:highlight w:val="none"/>
        </w:rPr>
        <w:t xml:space="preserve">                                日期：    年   月   日</w:t>
      </w:r>
    </w:p>
    <w:p>
      <w:pPr>
        <w:snapToGrid w:val="0"/>
        <w:spacing w:beforeLines="50" w:after="50" w:line="360" w:lineRule="auto"/>
        <w:jc w:val="left"/>
        <w:rPr>
          <w:rFonts w:asciiTheme="minorEastAsia" w:hAnsiTheme="minorEastAsia" w:eastAsiaTheme="minorEastAsia" w:cstheme="minorEastAsia"/>
          <w:b/>
          <w:color w:val="auto"/>
          <w:sz w:val="24"/>
          <w:szCs w:val="20"/>
          <w:highlight w:val="none"/>
        </w:rPr>
      </w:pPr>
    </w:p>
    <w:p>
      <w:pPr>
        <w:numPr>
          <w:ilvl w:val="2"/>
          <w:numId w:val="10"/>
        </w:numPr>
        <w:snapToGrid w:val="0"/>
        <w:spacing w:beforeLines="50" w:after="50" w:line="360" w:lineRule="auto"/>
        <w:ind w:left="0" w:firstLine="0"/>
        <w:jc w:val="left"/>
        <w:rPr>
          <w:rFonts w:asciiTheme="minorEastAsia" w:hAnsiTheme="minorEastAsia" w:eastAsiaTheme="minorEastAsia" w:cstheme="minorEastAsia"/>
          <w:b/>
          <w:color w:val="auto"/>
          <w:sz w:val="24"/>
          <w:szCs w:val="20"/>
          <w:highlight w:val="none"/>
        </w:rPr>
      </w:pP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color w:val="auto"/>
          <w:sz w:val="24"/>
          <w:highlight w:val="none"/>
        </w:rPr>
        <w:t>投标声明</w:t>
      </w:r>
    </w:p>
    <w:p>
      <w:pPr>
        <w:snapToGrid w:val="0"/>
        <w:spacing w:before="50" w:afterLines="50" w:line="360" w:lineRule="auto"/>
        <w:jc w:val="left"/>
        <w:rPr>
          <w:rFonts w:asciiTheme="minorEastAsia" w:hAnsiTheme="minorEastAsia" w:eastAsiaTheme="minorEastAsia" w:cstheme="minorEastAsia"/>
          <w:color w:val="auto"/>
          <w:highlight w:val="none"/>
        </w:rPr>
      </w:pPr>
    </w:p>
    <w:p>
      <w:pPr>
        <w:snapToGrid w:val="0"/>
        <w:spacing w:before="50" w:afterLines="50" w:line="360" w:lineRule="auto"/>
        <w:jc w:val="center"/>
        <w:rPr>
          <w:rFonts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bCs/>
          <w:color w:val="auto"/>
          <w:sz w:val="44"/>
          <w:szCs w:val="44"/>
          <w:highlight w:val="none"/>
        </w:rPr>
        <w:t>投标声明</w:t>
      </w:r>
    </w:p>
    <w:p>
      <w:pPr>
        <w:spacing w:line="360" w:lineRule="auto"/>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（采购人名称）：</w:t>
      </w:r>
    </w:p>
    <w:p>
      <w:pPr>
        <w:spacing w:line="360" w:lineRule="auto"/>
        <w:ind w:firstLine="523" w:firstLineChars="218"/>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我方参加贵单位组织项目（项目编号：）的政府采购活动。我方在此郑重声明：</w:t>
      </w:r>
    </w:p>
    <w:p>
      <w:pPr>
        <w:spacing w:line="360" w:lineRule="auto"/>
        <w:ind w:firstLine="480" w:firstLineChars="200"/>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名单、政府采购严重违法失信行为记录名单，完全符合《中华人民共和国政府采购法》第二十二条规定的供应商资格条件，我方对此声明负全部法律责任。</w:t>
      </w:r>
    </w:p>
    <w:p>
      <w:pPr>
        <w:spacing w:line="360" w:lineRule="auto"/>
        <w:ind w:firstLine="480" w:firstLineChars="200"/>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2.我方不是为本次采购项目提供整体设计、规范编制或者项目管理、监理、检测等服务的供应商。</w:t>
      </w:r>
    </w:p>
    <w:p>
      <w:pPr>
        <w:spacing w:line="360" w:lineRule="auto"/>
        <w:ind w:firstLine="480" w:firstLineChars="200"/>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 我方承诺符合《中华人民共和国政府采购法》第二十二条规定：</w:t>
      </w:r>
    </w:p>
    <w:p>
      <w:pPr>
        <w:spacing w:line="360" w:lineRule="auto"/>
        <w:ind w:firstLine="480" w:firstLineChars="200"/>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（一）具有独立承担民事责任的能力；</w:t>
      </w:r>
    </w:p>
    <w:p>
      <w:pPr>
        <w:spacing w:line="360" w:lineRule="auto"/>
        <w:ind w:firstLine="480" w:firstLineChars="200"/>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（二）具有良好的商业信誉和健全的财务会计制度；</w:t>
      </w:r>
    </w:p>
    <w:p>
      <w:pPr>
        <w:spacing w:line="360" w:lineRule="auto"/>
        <w:ind w:firstLine="480" w:firstLineChars="200"/>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（三）具有履行合同所必需的设备和专业技术能力；</w:t>
      </w:r>
    </w:p>
    <w:p>
      <w:pPr>
        <w:spacing w:line="360" w:lineRule="auto"/>
        <w:ind w:firstLine="480" w:firstLineChars="200"/>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（四）有依法缴纳税收和社会保障资金的良好记录；</w:t>
      </w:r>
    </w:p>
    <w:p>
      <w:pPr>
        <w:spacing w:line="360" w:lineRule="auto"/>
        <w:ind w:firstLine="480" w:firstLineChars="200"/>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（五）参加政府采购活动前三年内，在经营活动中没有重大违法记录；</w:t>
      </w:r>
    </w:p>
    <w:p>
      <w:pPr>
        <w:spacing w:line="360" w:lineRule="auto"/>
        <w:ind w:firstLine="480" w:firstLineChars="200"/>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（六）法律、行政法规规定的其他条件。</w:t>
      </w:r>
    </w:p>
    <w:p>
      <w:pPr>
        <w:spacing w:line="360" w:lineRule="auto"/>
        <w:ind w:firstLine="480" w:firstLineChars="200"/>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4.以上事项如有虚假或者隐瞒，我方愿意承担一切后果，并不再寻求任何旨在减轻或者免除法律责任的辩解。</w:t>
      </w:r>
    </w:p>
    <w:p>
      <w:pPr>
        <w:spacing w:line="360" w:lineRule="auto"/>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特此承诺。</w:t>
      </w:r>
    </w:p>
    <w:p>
      <w:pPr>
        <w:spacing w:line="360" w:lineRule="auto"/>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法定代表人（签字或者盖章或者电子签名）：</w:t>
      </w:r>
    </w:p>
    <w:p>
      <w:pPr>
        <w:spacing w:line="360" w:lineRule="auto"/>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投标人名称（电子签章）：</w:t>
      </w:r>
    </w:p>
    <w:p>
      <w:pPr>
        <w:spacing w:line="360" w:lineRule="auto"/>
        <w:contextualSpacing/>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 xml:space="preserve">                                                  年    月    日</w:t>
      </w:r>
    </w:p>
    <w:p>
      <w:pPr>
        <w:spacing w:line="360" w:lineRule="auto"/>
        <w:contextualSpacing/>
        <w:rPr>
          <w:rFonts w:asciiTheme="minorEastAsia" w:hAnsiTheme="minorEastAsia" w:eastAsiaTheme="minorEastAsia" w:cstheme="minorEastAsia"/>
          <w:b/>
          <w:color w:val="auto"/>
          <w:sz w:val="24"/>
          <w:highlight w:val="none"/>
        </w:rPr>
      </w:pPr>
      <w:bookmarkStart w:id="178" w:name="_Toc19686838"/>
      <w:r>
        <w:rPr>
          <w:rFonts w:hint="eastAsia" w:asciiTheme="minorEastAsia" w:hAnsiTheme="minorEastAsia" w:eastAsiaTheme="minorEastAsia" w:cstheme="minorEastAsia"/>
          <w:b/>
          <w:color w:val="auto"/>
          <w:sz w:val="24"/>
          <w:highlight w:val="none"/>
        </w:rPr>
        <w:t>注：1.如为联合体投标，盖章处须加盖联合体牵头人电子签章并由联合体各方法定代表人分别签字或者电子签名，否则投标无效。</w:t>
      </w:r>
    </w:p>
    <w:p>
      <w:pPr>
        <w:spacing w:line="360" w:lineRule="auto"/>
        <w:contextualSpacing/>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2</w:t>
      </w:r>
      <w:r>
        <w:rPr>
          <w:rFonts w:hint="eastAsia" w:asciiTheme="minorEastAsia" w:hAnsiTheme="minorEastAsia" w:eastAsiaTheme="minorEastAsia" w:cstheme="minorEastAsia"/>
          <w:color w:val="auto"/>
          <w:sz w:val="24"/>
          <w:highlight w:val="none"/>
        </w:rPr>
        <w:t>.法定代表人必须在授权委托书上亲笔签字或者盖章或者电子签名，</w:t>
      </w:r>
      <w:r>
        <w:rPr>
          <w:rFonts w:hint="eastAsia" w:asciiTheme="minorEastAsia" w:hAnsiTheme="minorEastAsia" w:eastAsiaTheme="minorEastAsia" w:cstheme="minorEastAsia"/>
          <w:b/>
          <w:bCs/>
          <w:color w:val="auto"/>
          <w:sz w:val="24"/>
          <w:highlight w:val="none"/>
        </w:rPr>
        <w:t>否则按无效投标处理</w:t>
      </w:r>
      <w:r>
        <w:rPr>
          <w:rFonts w:hint="eastAsia" w:asciiTheme="minorEastAsia" w:hAnsiTheme="minorEastAsia" w:eastAsiaTheme="minorEastAsia" w:cstheme="minorEastAsia"/>
          <w:color w:val="auto"/>
          <w:sz w:val="24"/>
          <w:highlight w:val="none"/>
        </w:rPr>
        <w:t>；</w:t>
      </w:r>
    </w:p>
    <w:bookmarkEnd w:id="178"/>
    <w:p>
      <w:pPr>
        <w:spacing w:line="360" w:lineRule="auto"/>
        <w:rPr>
          <w:rFonts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br w:type="page"/>
      </w:r>
      <w:r>
        <w:rPr>
          <w:rFonts w:hint="eastAsia" w:asciiTheme="minorEastAsia" w:hAnsiTheme="minorEastAsia" w:eastAsiaTheme="minorEastAsia" w:cstheme="minorEastAsia"/>
          <w:b/>
          <w:color w:val="auto"/>
          <w:sz w:val="28"/>
          <w:szCs w:val="28"/>
          <w:highlight w:val="none"/>
        </w:rPr>
        <w:t>三、商务文件格式</w:t>
      </w:r>
    </w:p>
    <w:p>
      <w:pPr>
        <w:snapToGrid w:val="0"/>
        <w:spacing w:beforeLines="50" w:after="50" w:line="360" w:lineRule="auto"/>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 xml:space="preserve">1.商务文件封面格式： </w:t>
      </w:r>
    </w:p>
    <w:p>
      <w:pPr>
        <w:snapToGrid w:val="0"/>
        <w:spacing w:beforeLines="50" w:after="50" w:line="360" w:lineRule="auto"/>
        <w:jc w:val="center"/>
        <w:rPr>
          <w:rFonts w:asciiTheme="minorEastAsia" w:hAnsiTheme="minorEastAsia" w:eastAsiaTheme="minorEastAsia" w:cstheme="minorEastAsia"/>
          <w:bCs/>
          <w:color w:val="auto"/>
          <w:sz w:val="48"/>
          <w:szCs w:val="48"/>
          <w:highlight w:val="none"/>
        </w:rPr>
      </w:pPr>
    </w:p>
    <w:p>
      <w:pPr>
        <w:snapToGrid w:val="0"/>
        <w:spacing w:beforeLines="50" w:after="50"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z w:val="48"/>
          <w:szCs w:val="48"/>
          <w:highlight w:val="none"/>
        </w:rPr>
        <w:t>电子投标文件</w:t>
      </w:r>
    </w:p>
    <w:p>
      <w:pPr>
        <w:snapToGrid w:val="0"/>
        <w:spacing w:beforeLines="50" w:after="50" w:line="360" w:lineRule="auto"/>
        <w:jc w:val="center"/>
        <w:rPr>
          <w:rFonts w:asciiTheme="minorEastAsia" w:hAnsiTheme="minorEastAsia" w:eastAsiaTheme="minorEastAsia" w:cstheme="minorEastAsia"/>
          <w:bCs/>
          <w:color w:val="auto"/>
          <w:sz w:val="44"/>
          <w:szCs w:val="44"/>
          <w:highlight w:val="none"/>
        </w:rPr>
      </w:pPr>
    </w:p>
    <w:p>
      <w:pPr>
        <w:snapToGrid w:val="0"/>
        <w:spacing w:beforeLines="50" w:after="50" w:line="360" w:lineRule="auto"/>
        <w:jc w:val="center"/>
        <w:rPr>
          <w:rFonts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bCs/>
          <w:color w:val="auto"/>
          <w:sz w:val="44"/>
          <w:szCs w:val="44"/>
          <w:highlight w:val="none"/>
        </w:rPr>
        <w:t>商  务  文  件</w:t>
      </w:r>
    </w:p>
    <w:p>
      <w:pPr>
        <w:snapToGrid w:val="0"/>
        <w:spacing w:beforeLines="50" w:after="50" w:line="360" w:lineRule="auto"/>
        <w:rPr>
          <w:rFonts w:asciiTheme="minorEastAsia" w:hAnsiTheme="minorEastAsia" w:eastAsiaTheme="minorEastAsia" w:cstheme="minorEastAsia"/>
          <w:bCs/>
          <w:color w:val="auto"/>
          <w:sz w:val="24"/>
          <w:szCs w:val="20"/>
          <w:highlight w:val="none"/>
        </w:rPr>
      </w:pPr>
    </w:p>
    <w:p>
      <w:pPr>
        <w:snapToGrid w:val="0"/>
        <w:spacing w:beforeLines="50" w:after="50" w:line="360" w:lineRule="auto"/>
        <w:ind w:firstLine="540" w:firstLineChars="225"/>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项目名称：</w:t>
      </w:r>
    </w:p>
    <w:p>
      <w:pPr>
        <w:snapToGrid w:val="0"/>
        <w:spacing w:beforeLines="50" w:after="50" w:line="360" w:lineRule="auto"/>
        <w:ind w:firstLine="540" w:firstLineChars="225"/>
        <w:rPr>
          <w:rFonts w:asciiTheme="minorEastAsia" w:hAnsiTheme="minorEastAsia" w:eastAsiaTheme="minorEastAsia" w:cstheme="minorEastAsia"/>
          <w:bCs/>
          <w:color w:val="auto"/>
          <w:sz w:val="24"/>
          <w:szCs w:val="20"/>
          <w:highlight w:val="none"/>
        </w:rPr>
      </w:pPr>
    </w:p>
    <w:p>
      <w:pPr>
        <w:snapToGrid w:val="0"/>
        <w:spacing w:beforeLines="50" w:after="50" w:line="360" w:lineRule="auto"/>
        <w:ind w:firstLine="540" w:firstLineChars="225"/>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项目编号：</w:t>
      </w:r>
    </w:p>
    <w:p>
      <w:pPr>
        <w:snapToGrid w:val="0"/>
        <w:spacing w:beforeLines="50" w:after="50" w:line="360" w:lineRule="auto"/>
        <w:ind w:firstLine="540" w:firstLineChars="225"/>
        <w:rPr>
          <w:rFonts w:asciiTheme="minorEastAsia" w:hAnsiTheme="minorEastAsia" w:eastAsiaTheme="minorEastAsia" w:cstheme="minorEastAsia"/>
          <w:bCs/>
          <w:color w:val="auto"/>
          <w:sz w:val="24"/>
          <w:szCs w:val="20"/>
          <w:highlight w:val="none"/>
        </w:rPr>
      </w:pPr>
    </w:p>
    <w:p>
      <w:pPr>
        <w:snapToGrid w:val="0"/>
        <w:spacing w:beforeLines="50" w:after="50" w:line="360" w:lineRule="auto"/>
        <w:ind w:firstLine="540" w:firstLineChars="225"/>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所投分标</w:t>
      </w:r>
      <w:r>
        <w:rPr>
          <w:rFonts w:hint="eastAsia" w:asciiTheme="minorEastAsia" w:hAnsiTheme="minorEastAsia" w:eastAsiaTheme="minorEastAsia" w:cstheme="minorEastAsia"/>
          <w:color w:val="auto"/>
          <w:sz w:val="24"/>
          <w:highlight w:val="none"/>
        </w:rPr>
        <w:t>（如有）</w:t>
      </w:r>
      <w:r>
        <w:rPr>
          <w:rFonts w:hint="eastAsia" w:asciiTheme="minorEastAsia" w:hAnsiTheme="minorEastAsia" w:eastAsiaTheme="minorEastAsia" w:cstheme="minorEastAsia"/>
          <w:bCs/>
          <w:color w:val="auto"/>
          <w:sz w:val="24"/>
          <w:highlight w:val="none"/>
        </w:rPr>
        <w:t>：</w:t>
      </w:r>
    </w:p>
    <w:p>
      <w:pPr>
        <w:snapToGrid w:val="0"/>
        <w:spacing w:beforeLines="50" w:after="50" w:line="360" w:lineRule="auto"/>
        <w:ind w:firstLine="540" w:firstLineChars="225"/>
        <w:rPr>
          <w:rFonts w:asciiTheme="minorEastAsia" w:hAnsiTheme="minorEastAsia" w:eastAsiaTheme="minorEastAsia" w:cstheme="minorEastAsia"/>
          <w:bCs/>
          <w:color w:val="auto"/>
          <w:sz w:val="24"/>
          <w:szCs w:val="20"/>
          <w:highlight w:val="none"/>
        </w:rPr>
      </w:pPr>
    </w:p>
    <w:p>
      <w:pPr>
        <w:pStyle w:val="9"/>
        <w:snapToGrid w:val="0"/>
        <w:spacing w:before="50" w:after="50" w:line="360" w:lineRule="auto"/>
        <w:ind w:firstLine="540" w:firstLineChars="225"/>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投标人名称：</w:t>
      </w:r>
    </w:p>
    <w:p>
      <w:pPr>
        <w:pStyle w:val="9"/>
        <w:snapToGrid w:val="0"/>
        <w:spacing w:before="50" w:after="50" w:line="360" w:lineRule="auto"/>
        <w:ind w:firstLine="540" w:firstLineChars="225"/>
        <w:rPr>
          <w:rFonts w:asciiTheme="minorEastAsia" w:hAnsiTheme="minorEastAsia" w:eastAsiaTheme="minorEastAsia" w:cstheme="minorEastAsia"/>
          <w:bCs/>
          <w:color w:val="auto"/>
          <w:sz w:val="24"/>
          <w:szCs w:val="24"/>
          <w:highlight w:val="none"/>
        </w:rPr>
      </w:pPr>
    </w:p>
    <w:p>
      <w:pPr>
        <w:pStyle w:val="9"/>
        <w:snapToGrid w:val="0"/>
        <w:spacing w:before="50" w:after="50" w:line="360" w:lineRule="auto"/>
        <w:ind w:firstLine="540" w:firstLineChars="225"/>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投标人地址：</w:t>
      </w:r>
    </w:p>
    <w:p>
      <w:pPr>
        <w:pStyle w:val="9"/>
        <w:snapToGrid w:val="0"/>
        <w:spacing w:before="50" w:after="50" w:line="360" w:lineRule="auto"/>
        <w:ind w:firstLine="960" w:firstLineChars="400"/>
        <w:rPr>
          <w:rFonts w:asciiTheme="minorEastAsia" w:hAnsiTheme="minorEastAsia" w:eastAsiaTheme="minorEastAsia" w:cstheme="minorEastAsia"/>
          <w:bCs/>
          <w:color w:val="auto"/>
          <w:sz w:val="24"/>
          <w:szCs w:val="24"/>
          <w:highlight w:val="none"/>
        </w:rPr>
      </w:pPr>
    </w:p>
    <w:p>
      <w:pPr>
        <w:snapToGrid w:val="0"/>
        <w:spacing w:beforeLines="50" w:after="50" w:line="360" w:lineRule="auto"/>
        <w:ind w:firstLine="645"/>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月  日</w:t>
      </w:r>
    </w:p>
    <w:p>
      <w:pPr>
        <w:snapToGrid w:val="0"/>
        <w:spacing w:beforeLines="50" w:after="50" w:line="360" w:lineRule="auto"/>
        <w:rPr>
          <w:rFonts w:asciiTheme="minorEastAsia" w:hAnsiTheme="minorEastAsia" w:eastAsiaTheme="minorEastAsia" w:cstheme="minorEastAsia"/>
          <w:color w:val="auto"/>
          <w:sz w:val="24"/>
          <w:szCs w:val="20"/>
          <w:highlight w:val="none"/>
        </w:rPr>
      </w:pPr>
    </w:p>
    <w:p>
      <w:pPr>
        <w:snapToGrid w:val="0"/>
        <w:spacing w:line="360" w:lineRule="auto"/>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szCs w:val="20"/>
          <w:highlight w:val="none"/>
        </w:rPr>
        <w:br w:type="page"/>
      </w:r>
      <w:r>
        <w:rPr>
          <w:rFonts w:hint="eastAsia" w:asciiTheme="minorEastAsia" w:hAnsiTheme="minorEastAsia" w:eastAsiaTheme="minorEastAsia" w:cstheme="minorEastAsia"/>
          <w:b/>
          <w:color w:val="auto"/>
          <w:sz w:val="24"/>
          <w:highlight w:val="none"/>
        </w:rPr>
        <w:t>2.商务文件目录</w:t>
      </w:r>
    </w:p>
    <w:p>
      <w:pPr>
        <w:snapToGrid w:val="0"/>
        <w:spacing w:before="50" w:afterLines="50" w:line="360" w:lineRule="auto"/>
        <w:ind w:firstLine="560" w:firstLineChars="200"/>
        <w:jc w:val="left"/>
        <w:rPr>
          <w:rFonts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color w:val="auto"/>
          <w:sz w:val="28"/>
          <w:szCs w:val="28"/>
          <w:highlight w:val="none"/>
        </w:rPr>
        <w:t>根据招标文件规定及投标人提供的材料自行编写目录。</w:t>
      </w:r>
    </w:p>
    <w:p>
      <w:pPr>
        <w:snapToGrid w:val="0"/>
        <w:spacing w:before="50" w:afterLines="50" w:line="360" w:lineRule="auto"/>
        <w:jc w:val="left"/>
        <w:rPr>
          <w:rFonts w:asciiTheme="minorEastAsia" w:hAnsiTheme="minorEastAsia" w:eastAsiaTheme="minorEastAsia" w:cstheme="minorEastAsia"/>
          <w:color w:val="auto"/>
          <w:highlight w:val="none"/>
        </w:rPr>
      </w:pPr>
    </w:p>
    <w:p>
      <w:pPr>
        <w:snapToGrid w:val="0"/>
        <w:spacing w:beforeLines="50" w:after="50" w:line="360" w:lineRule="auto"/>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color w:val="auto"/>
          <w:sz w:val="24"/>
          <w:highlight w:val="none"/>
        </w:rPr>
        <w:t>3.投标人参加本项目无围标串标行为的承诺</w:t>
      </w:r>
    </w:p>
    <w:p>
      <w:pPr>
        <w:snapToGrid w:val="0"/>
        <w:spacing w:beforeLines="50" w:after="50" w:line="360" w:lineRule="auto"/>
        <w:jc w:val="left"/>
        <w:rPr>
          <w:rFonts w:asciiTheme="minorEastAsia" w:hAnsiTheme="minorEastAsia" w:eastAsiaTheme="minorEastAsia" w:cstheme="minorEastAsia"/>
          <w:b/>
          <w:color w:val="auto"/>
          <w:sz w:val="24"/>
          <w:highlight w:val="none"/>
        </w:rPr>
      </w:pPr>
    </w:p>
    <w:p>
      <w:pPr>
        <w:spacing w:line="360" w:lineRule="auto"/>
        <w:ind w:left="420"/>
        <w:contextualSpacing/>
        <w:jc w:val="cente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Cs/>
          <w:color w:val="auto"/>
          <w:spacing w:val="-11"/>
          <w:sz w:val="44"/>
          <w:szCs w:val="44"/>
          <w:highlight w:val="none"/>
        </w:rPr>
        <w:t>投标人参加本项目无围标串标行为的承诺函</w:t>
      </w:r>
    </w:p>
    <w:p>
      <w:pPr>
        <w:spacing w:line="360" w:lineRule="auto"/>
        <w:contextualSpacing/>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一、我方承诺无下列相互串通投标的情形：</w:t>
      </w:r>
    </w:p>
    <w:p>
      <w:pPr>
        <w:spacing w:line="360" w:lineRule="auto"/>
        <w:ind w:firstLine="470" w:firstLineChars="196"/>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1.不同投标人的投标文件由同一单位或者个人编制；</w:t>
      </w:r>
    </w:p>
    <w:p>
      <w:pPr>
        <w:spacing w:line="360" w:lineRule="auto"/>
        <w:ind w:firstLine="470" w:firstLineChars="196"/>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2.不同投标人委托同一单位或者个人办理投标事宜；</w:t>
      </w:r>
    </w:p>
    <w:p>
      <w:pPr>
        <w:spacing w:line="360" w:lineRule="auto"/>
        <w:ind w:firstLine="470" w:firstLineChars="196"/>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3.不同的投标人的投标文件载明的项目管理员为同一个人；</w:t>
      </w:r>
    </w:p>
    <w:p>
      <w:pPr>
        <w:spacing w:line="360" w:lineRule="auto"/>
        <w:ind w:firstLine="470" w:firstLineChars="196"/>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4.不同投标人的投标文件异常一致或者投标报价呈规律性差异；</w:t>
      </w:r>
    </w:p>
    <w:p>
      <w:pPr>
        <w:spacing w:line="360" w:lineRule="auto"/>
        <w:ind w:firstLine="470" w:firstLineChars="196"/>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5.不同投标人的投标文件相互混装；</w:t>
      </w:r>
    </w:p>
    <w:p>
      <w:pPr>
        <w:spacing w:line="360" w:lineRule="auto"/>
        <w:ind w:firstLine="470" w:firstLineChars="196"/>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6.不同投标人的投标保证金从同一单位或者个人账户转出。</w:t>
      </w:r>
    </w:p>
    <w:p>
      <w:pPr>
        <w:spacing w:line="360" w:lineRule="auto"/>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二、我方承诺无下列恶意串通的情形：</w:t>
      </w:r>
    </w:p>
    <w:p>
      <w:pPr>
        <w:spacing w:line="360" w:lineRule="auto"/>
        <w:ind w:firstLine="470" w:firstLineChars="196"/>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1.投标人直接或者间接从采购人或者采购代理机构处获得其他投标人的相关信息并修改其投标文件或者响应文件；</w:t>
      </w:r>
    </w:p>
    <w:p>
      <w:pPr>
        <w:spacing w:line="360" w:lineRule="auto"/>
        <w:ind w:firstLine="470" w:firstLineChars="196"/>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2.投标人按照采购人或者采购代理机构的授意撤换、修改投标文件或者响应文件；</w:t>
      </w:r>
    </w:p>
    <w:p>
      <w:pPr>
        <w:spacing w:line="360" w:lineRule="auto"/>
        <w:ind w:firstLine="470" w:firstLineChars="196"/>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3.投标人之间协商报价、技术方案等投标文件或者响应文件的实质性内容；</w:t>
      </w:r>
    </w:p>
    <w:p>
      <w:pPr>
        <w:spacing w:line="360" w:lineRule="auto"/>
        <w:ind w:firstLine="470" w:firstLineChars="196"/>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4.属于同一集团、协会、商会等组织成员的投标人按照该组织要求协同参加政府采购活动；</w:t>
      </w:r>
    </w:p>
    <w:p>
      <w:pPr>
        <w:spacing w:line="360" w:lineRule="auto"/>
        <w:ind w:firstLine="470" w:firstLineChars="196"/>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5.投标人之间事先约定一致抬高或者压低投标报价，或者在招标项目中事先约定轮流以高价位或者低价位中标，或者事先约定由某一特定投标人中标，然后再参加投标；</w:t>
      </w:r>
    </w:p>
    <w:p>
      <w:pPr>
        <w:spacing w:line="360" w:lineRule="auto"/>
        <w:ind w:firstLine="470" w:firstLineChars="196"/>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6.投标人之间商定部分投标人放弃参加政府采购活动或者放弃中标；</w:t>
      </w:r>
    </w:p>
    <w:p>
      <w:pPr>
        <w:spacing w:line="360" w:lineRule="auto"/>
        <w:ind w:firstLine="470" w:firstLineChars="196"/>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7.投标人与采购人或者采购代理机构之间、投标人相互之间，为谋求特定投标人中标或者排斥其他投标人的其他串通行为。</w:t>
      </w:r>
    </w:p>
    <w:p>
      <w:pPr>
        <w:spacing w:line="360" w:lineRule="auto"/>
        <w:ind w:firstLine="472" w:firstLineChars="196"/>
        <w:contextualSpacing/>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以上情形一经核查属实，我方愿意承担一切后果，并不再寻求任何旨在减轻或者免除法律责任的辩解。</w:t>
      </w:r>
    </w:p>
    <w:p>
      <w:pPr>
        <w:pStyle w:val="27"/>
        <w:spacing w:line="360" w:lineRule="auto"/>
        <w:ind w:firstLine="6840" w:firstLineChars="2850"/>
        <w:contextualSpacing/>
        <w:rPr>
          <w:rFonts w:asciiTheme="minorEastAsia" w:hAnsiTheme="minorEastAsia" w:eastAsiaTheme="minorEastAsia" w:cstheme="minorEastAsia"/>
          <w:color w:val="auto"/>
          <w:sz w:val="24"/>
          <w:szCs w:val="24"/>
          <w:highlight w:val="none"/>
        </w:rPr>
      </w:pPr>
    </w:p>
    <w:p>
      <w:pPr>
        <w:pStyle w:val="27"/>
        <w:spacing w:line="360" w:lineRule="auto"/>
        <w:ind w:firstLine="480"/>
        <w:contextualSpacing/>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投标人名称（电子签章）</w:t>
      </w:r>
    </w:p>
    <w:p>
      <w:pPr>
        <w:pStyle w:val="27"/>
        <w:spacing w:line="360" w:lineRule="auto"/>
        <w:ind w:firstLine="48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年月日</w:t>
      </w:r>
    </w:p>
    <w:p>
      <w:pPr>
        <w:snapToGrid w:val="0"/>
        <w:spacing w:beforeLines="50" w:after="50" w:line="360" w:lineRule="auto"/>
        <w:jc w:val="left"/>
        <w:rPr>
          <w:rFonts w:asciiTheme="minorEastAsia" w:hAnsiTheme="minorEastAsia" w:eastAsiaTheme="minorEastAsia" w:cstheme="minorEastAsia"/>
          <w:b/>
          <w:color w:val="auto"/>
          <w:sz w:val="24"/>
          <w:szCs w:val="20"/>
          <w:highlight w:val="none"/>
        </w:rPr>
      </w:pP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color w:val="auto"/>
          <w:sz w:val="24"/>
          <w:highlight w:val="none"/>
        </w:rPr>
        <w:t>4.法定代表人身份证明</w:t>
      </w:r>
    </w:p>
    <w:p>
      <w:pPr>
        <w:spacing w:beforeLines="100" w:afterLines="50" w:line="360" w:lineRule="auto"/>
        <w:ind w:left="540"/>
        <w:jc w:val="center"/>
        <w:rPr>
          <w:rFonts w:asciiTheme="minorEastAsia" w:hAnsiTheme="minorEastAsia" w:eastAsiaTheme="minorEastAsia" w:cstheme="minorEastAsia"/>
          <w:b/>
          <w:color w:val="auto"/>
          <w:sz w:val="32"/>
          <w:szCs w:val="32"/>
          <w:highlight w:val="none"/>
        </w:rPr>
      </w:pPr>
    </w:p>
    <w:p>
      <w:pPr>
        <w:spacing w:beforeLines="100" w:afterLines="50" w:line="360" w:lineRule="auto"/>
        <w:ind w:left="540"/>
        <w:jc w:val="center"/>
        <w:rPr>
          <w:rFonts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bCs/>
          <w:color w:val="auto"/>
          <w:sz w:val="44"/>
          <w:szCs w:val="44"/>
          <w:highlight w:val="none"/>
        </w:rPr>
        <w:t>法定代表人身份证明</w:t>
      </w:r>
    </w:p>
    <w:p>
      <w:pPr>
        <w:spacing w:line="360" w:lineRule="auto"/>
        <w:ind w:left="54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 标 人：</w:t>
      </w:r>
    </w:p>
    <w:p>
      <w:pPr>
        <w:spacing w:line="360" w:lineRule="auto"/>
        <w:ind w:left="54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    址：</w:t>
      </w:r>
    </w:p>
    <w:p>
      <w:pPr>
        <w:spacing w:line="360" w:lineRule="auto"/>
        <w:ind w:left="54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    名：性      别：</w:t>
      </w:r>
    </w:p>
    <w:p>
      <w:pPr>
        <w:spacing w:line="360" w:lineRule="auto"/>
        <w:ind w:left="540"/>
        <w:rPr>
          <w:rFonts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年    龄：职      务：</w:t>
      </w:r>
    </w:p>
    <w:p>
      <w:pPr>
        <w:spacing w:line="360" w:lineRule="auto"/>
        <w:ind w:left="54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身份证号码：</w:t>
      </w:r>
    </w:p>
    <w:p>
      <w:pPr>
        <w:spacing w:line="360" w:lineRule="auto"/>
        <w:ind w:left="54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系</w:t>
      </w:r>
      <w:r>
        <w:rPr>
          <w:rFonts w:hint="eastAsia" w:asciiTheme="minorEastAsia" w:hAnsiTheme="minorEastAsia" w:eastAsiaTheme="minorEastAsia" w:cstheme="minorEastAsia"/>
          <w:color w:val="auto"/>
          <w:sz w:val="24"/>
          <w:highlight w:val="none"/>
          <w:u w:val="single"/>
        </w:rPr>
        <w:t xml:space="preserve">            （投标人名称）              </w:t>
      </w:r>
      <w:r>
        <w:rPr>
          <w:rFonts w:hint="eastAsia" w:asciiTheme="minorEastAsia" w:hAnsiTheme="minorEastAsia" w:eastAsiaTheme="minorEastAsia" w:cstheme="minorEastAsia"/>
          <w:color w:val="auto"/>
          <w:sz w:val="24"/>
          <w:highlight w:val="none"/>
        </w:rPr>
        <w:t>的法定代表人。</w:t>
      </w:r>
    </w:p>
    <w:p>
      <w:pPr>
        <w:spacing w:line="360" w:lineRule="auto"/>
        <w:ind w:left="54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特此证明。</w:t>
      </w:r>
    </w:p>
    <w:p>
      <w:pPr>
        <w:spacing w:line="360" w:lineRule="auto"/>
        <w:ind w:left="540"/>
        <w:rPr>
          <w:rFonts w:asciiTheme="minorEastAsia" w:hAnsiTheme="minorEastAsia" w:eastAsiaTheme="minorEastAsia" w:cstheme="minorEastAsia"/>
          <w:color w:val="auto"/>
          <w:sz w:val="24"/>
          <w:highlight w:val="none"/>
        </w:rPr>
      </w:pPr>
    </w:p>
    <w:p>
      <w:pPr>
        <w:spacing w:line="360" w:lineRule="auto"/>
        <w:ind w:left="540"/>
        <w:rPr>
          <w:rFonts w:asciiTheme="minorEastAsia" w:hAnsiTheme="minorEastAsia" w:eastAsiaTheme="minorEastAsia" w:cstheme="minorEastAsia"/>
          <w:color w:val="auto"/>
          <w:sz w:val="24"/>
          <w:highlight w:val="none"/>
        </w:rPr>
      </w:pPr>
    </w:p>
    <w:p>
      <w:pPr>
        <w:spacing w:line="360" w:lineRule="auto"/>
        <w:ind w:left="54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附件：法定代表人有效身份证正反面复印件</w:t>
      </w:r>
    </w:p>
    <w:p>
      <w:pPr>
        <w:spacing w:line="360" w:lineRule="auto"/>
        <w:ind w:left="540"/>
        <w:rPr>
          <w:rFonts w:asciiTheme="minorEastAsia" w:hAnsiTheme="minorEastAsia" w:eastAsiaTheme="minorEastAsia" w:cstheme="minorEastAsia"/>
          <w:color w:val="auto"/>
          <w:sz w:val="24"/>
          <w:highlight w:val="none"/>
        </w:rPr>
      </w:pPr>
    </w:p>
    <w:p>
      <w:pPr>
        <w:spacing w:line="360" w:lineRule="auto"/>
        <w:ind w:left="540"/>
        <w:jc w:val="righ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投标人名称（电子签章）</w:t>
      </w:r>
    </w:p>
    <w:p>
      <w:pPr>
        <w:spacing w:line="360" w:lineRule="auto"/>
        <w:ind w:left="540"/>
        <w:jc w:val="right"/>
        <w:rPr>
          <w:rFonts w:asciiTheme="minorEastAsia" w:hAnsiTheme="minorEastAsia" w:eastAsiaTheme="minorEastAsia" w:cstheme="minorEastAsia"/>
          <w:color w:val="auto"/>
          <w:sz w:val="24"/>
          <w:highlight w:val="none"/>
        </w:rPr>
      </w:pPr>
    </w:p>
    <w:p>
      <w:pPr>
        <w:snapToGrid w:val="0"/>
        <w:spacing w:beforeLines="50" w:after="50" w:line="360" w:lineRule="auto"/>
        <w:ind w:left="540"/>
        <w:jc w:val="righ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年月日</w:t>
      </w:r>
    </w:p>
    <w:p>
      <w:pPr>
        <w:snapToGrid w:val="0"/>
        <w:spacing w:beforeLines="50" w:after="50" w:line="360" w:lineRule="auto"/>
        <w:jc w:val="center"/>
        <w:rPr>
          <w:rFonts w:asciiTheme="minorEastAsia" w:hAnsiTheme="minorEastAsia" w:eastAsiaTheme="minorEastAsia" w:cstheme="minorEastAsia"/>
          <w:b/>
          <w:color w:val="auto"/>
          <w:sz w:val="24"/>
          <w:highlight w:val="none"/>
        </w:rPr>
      </w:pPr>
    </w:p>
    <w:p>
      <w:pPr>
        <w:snapToGrid w:val="0"/>
        <w:spacing w:beforeLines="50" w:after="50" w:line="360" w:lineRule="auto"/>
        <w:jc w:val="left"/>
        <w:rPr>
          <w:rFonts w:asciiTheme="minorEastAsia" w:hAnsiTheme="minorEastAsia" w:eastAsiaTheme="minorEastAsia" w:cstheme="minorEastAsia"/>
          <w:b/>
          <w:color w:val="auto"/>
          <w:sz w:val="24"/>
          <w:szCs w:val="20"/>
          <w:highlight w:val="none"/>
        </w:rPr>
      </w:pPr>
      <w:r>
        <w:rPr>
          <w:rFonts w:hint="eastAsia" w:asciiTheme="minorEastAsia" w:hAnsiTheme="minorEastAsia" w:eastAsiaTheme="minorEastAsia" w:cstheme="minorEastAsia"/>
          <w:color w:val="auto"/>
          <w:sz w:val="24"/>
          <w:highlight w:val="none"/>
        </w:rPr>
        <w:t>注：自然人投标的无需提供</w:t>
      </w:r>
    </w:p>
    <w:p>
      <w:pPr>
        <w:snapToGrid w:val="0"/>
        <w:spacing w:beforeLines="50" w:after="50" w:line="360" w:lineRule="auto"/>
        <w:jc w:val="left"/>
        <w:rPr>
          <w:rFonts w:asciiTheme="minorEastAsia" w:hAnsiTheme="minorEastAsia" w:eastAsiaTheme="minorEastAsia" w:cstheme="minorEastAsia"/>
          <w:b/>
          <w:color w:val="auto"/>
          <w:sz w:val="24"/>
          <w:szCs w:val="20"/>
          <w:highlight w:val="none"/>
        </w:rPr>
      </w:pP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color w:val="auto"/>
          <w:sz w:val="24"/>
          <w:highlight w:val="none"/>
        </w:rPr>
        <w:t>5.授权委托书格式</w:t>
      </w:r>
    </w:p>
    <w:p>
      <w:pPr>
        <w:spacing w:line="360" w:lineRule="auto"/>
        <w:contextualSpacing/>
        <w:jc w:val="center"/>
        <w:rPr>
          <w:rFonts w:asciiTheme="minorEastAsia" w:hAnsiTheme="minorEastAsia" w:eastAsiaTheme="minorEastAsia" w:cstheme="minorEastAsia"/>
          <w:bCs/>
          <w:color w:val="auto"/>
          <w:sz w:val="44"/>
          <w:szCs w:val="44"/>
          <w:highlight w:val="none"/>
        </w:rPr>
      </w:pPr>
      <w:r>
        <w:rPr>
          <w:rFonts w:hint="eastAsia" w:asciiTheme="minorEastAsia" w:hAnsiTheme="minorEastAsia" w:eastAsiaTheme="minorEastAsia" w:cstheme="minorEastAsia"/>
          <w:bCs/>
          <w:color w:val="auto"/>
          <w:sz w:val="44"/>
          <w:szCs w:val="44"/>
          <w:highlight w:val="none"/>
        </w:rPr>
        <w:t>授权委托书</w:t>
      </w:r>
    </w:p>
    <w:p>
      <w:pPr>
        <w:spacing w:line="360" w:lineRule="auto"/>
        <w:contextualSpacing/>
        <w:jc w:val="center"/>
        <w:rPr>
          <w:rFonts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（非联合体投标格式）</w:t>
      </w:r>
    </w:p>
    <w:p>
      <w:pPr>
        <w:spacing w:line="360" w:lineRule="auto"/>
        <w:contextualSpacing/>
        <w:jc w:val="center"/>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32"/>
          <w:szCs w:val="32"/>
          <w:highlight w:val="none"/>
        </w:rPr>
        <w:t>（如有委托时）</w:t>
      </w:r>
    </w:p>
    <w:p>
      <w:pPr>
        <w:spacing w:line="360" w:lineRule="auto"/>
        <w:contextualSpacing/>
        <w:rPr>
          <w:rFonts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Cs/>
          <w:color w:val="auto"/>
          <w:sz w:val="24"/>
          <w:highlight w:val="none"/>
        </w:rPr>
        <w:t>致：</w:t>
      </w:r>
      <w:r>
        <w:rPr>
          <w:rFonts w:hint="eastAsia" w:asciiTheme="minorEastAsia" w:hAnsiTheme="minorEastAsia" w:eastAsiaTheme="minorEastAsia" w:cstheme="minorEastAsia"/>
          <w:color w:val="auto"/>
          <w:sz w:val="24"/>
          <w:highlight w:val="none"/>
          <w:u w:val="single"/>
        </w:rPr>
        <w:t>采购人名称</w:t>
      </w:r>
      <w:r>
        <w:rPr>
          <w:rFonts w:hint="eastAsia" w:asciiTheme="minorEastAsia" w:hAnsiTheme="minorEastAsia" w:eastAsiaTheme="minorEastAsia" w:cstheme="minorEastAsia"/>
          <w:color w:val="auto"/>
          <w:sz w:val="24"/>
          <w:highlight w:val="none"/>
        </w:rPr>
        <w:t>：</w:t>
      </w:r>
    </w:p>
    <w:p>
      <w:pPr>
        <w:spacing w:line="360" w:lineRule="auto"/>
        <w:ind w:firstLine="566" w:firstLineChars="236"/>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我（姓名）系（投标人名称）的法定代表人，现授权委托</w:t>
      </w:r>
      <w:r>
        <w:rPr>
          <w:rFonts w:hint="eastAsia" w:asciiTheme="minorEastAsia" w:hAnsiTheme="minorEastAsia" w:eastAsiaTheme="minorEastAsia" w:cstheme="minorEastAsia"/>
          <w:color w:val="auto"/>
          <w:sz w:val="24"/>
          <w:highlight w:val="none"/>
          <w:u w:val="single"/>
        </w:rPr>
        <w:t xml:space="preserve">              （姓名）</w:t>
      </w:r>
      <w:r>
        <w:rPr>
          <w:rFonts w:hint="eastAsia" w:asciiTheme="minorEastAsia" w:hAnsiTheme="minorEastAsia" w:eastAsiaTheme="minorEastAsia" w:cstheme="minorEastAsia"/>
          <w:color w:val="auto"/>
          <w:sz w:val="24"/>
          <w:highlight w:val="none"/>
        </w:rPr>
        <w:t>以我方的名义参加项目的投标活动，并代表我方全权办理针对上述项目的所有采购程序和环节的具体事务和签署相关文件。</w:t>
      </w:r>
    </w:p>
    <w:p>
      <w:pPr>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我方对委托代理人的签字或者电子签名事项负全部责任。</w:t>
      </w:r>
    </w:p>
    <w:p>
      <w:pPr>
        <w:spacing w:line="360" w:lineRule="auto"/>
        <w:ind w:firstLine="48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本授权书自签署之日起生效，在撤销授权的书面通知以前，本授权书一直有效。委托代理人在授权书有效期内签署的所有文件不因授权的撤销而失效。</w:t>
      </w:r>
    </w:p>
    <w:p>
      <w:pPr>
        <w:spacing w:line="360" w:lineRule="auto"/>
        <w:ind w:firstLine="48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委托代理人无转委托权，特此委托。</w:t>
      </w:r>
    </w:p>
    <w:p>
      <w:pPr>
        <w:spacing w:line="360" w:lineRule="auto"/>
        <w:ind w:firstLine="48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附：法定代表人身份证明及委托代理人有效身份证正反面复印件</w:t>
      </w:r>
    </w:p>
    <w:p>
      <w:pPr>
        <w:spacing w:line="360" w:lineRule="auto"/>
        <w:contextualSpacing/>
        <w:rPr>
          <w:rFonts w:asciiTheme="minorEastAsia" w:hAnsiTheme="minorEastAsia" w:eastAsiaTheme="minorEastAsia" w:cstheme="minorEastAsia"/>
          <w:color w:val="auto"/>
          <w:sz w:val="24"/>
          <w:highlight w:val="none"/>
        </w:rPr>
      </w:pPr>
    </w:p>
    <w:p>
      <w:pPr>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委托代理人（签字/电子签名）：</w:t>
      </w:r>
    </w:p>
    <w:p>
      <w:pPr>
        <w:spacing w:line="360" w:lineRule="auto"/>
        <w:contextualSpacing/>
        <w:rPr>
          <w:rFonts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委托代理人身份证号码：</w:t>
      </w:r>
    </w:p>
    <w:p>
      <w:pPr>
        <w:spacing w:line="360" w:lineRule="auto"/>
        <w:contextualSpacing/>
        <w:rPr>
          <w:rFonts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法定代表人（签字或者盖章或者电子签名）：</w:t>
      </w:r>
    </w:p>
    <w:p>
      <w:pPr>
        <w:spacing w:line="360" w:lineRule="auto"/>
        <w:contextualSpacing/>
        <w:rPr>
          <w:rFonts w:asciiTheme="minorEastAsia" w:hAnsiTheme="minorEastAsia" w:eastAsiaTheme="minorEastAsia" w:cstheme="minorEastAsia"/>
          <w:color w:val="auto"/>
          <w:sz w:val="24"/>
          <w:highlight w:val="none"/>
        </w:rPr>
      </w:pPr>
    </w:p>
    <w:p>
      <w:pPr>
        <w:spacing w:line="360" w:lineRule="auto"/>
        <w:contextualSpacing/>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投标人名称（电子签章）：</w:t>
      </w:r>
    </w:p>
    <w:p>
      <w:pPr>
        <w:spacing w:line="360" w:lineRule="auto"/>
        <w:contextualSpacing/>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月    日</w:t>
      </w:r>
    </w:p>
    <w:p>
      <w:pPr>
        <w:pStyle w:val="2"/>
        <w:spacing w:line="360" w:lineRule="auto"/>
        <w:rPr>
          <w:rFonts w:asciiTheme="minorEastAsia" w:hAnsiTheme="minorEastAsia" w:eastAsiaTheme="minorEastAsia" w:cstheme="minorEastAsia"/>
          <w:color w:val="auto"/>
          <w:highlight w:val="none"/>
        </w:rPr>
      </w:pPr>
    </w:p>
    <w:p>
      <w:pPr>
        <w:spacing w:line="360" w:lineRule="auto"/>
        <w:contextualSpacing/>
        <w:rPr>
          <w:rFonts w:asciiTheme="minorEastAsia" w:hAnsiTheme="minorEastAsia" w:eastAsiaTheme="minorEastAsia" w:cstheme="minorEastAsia"/>
          <w:color w:val="auto"/>
          <w:sz w:val="24"/>
          <w:highlight w:val="none"/>
        </w:rPr>
      </w:pPr>
      <w:bookmarkStart w:id="179" w:name="_Hlk65851620"/>
      <w:bookmarkEnd w:id="179"/>
      <w:bookmarkStart w:id="180" w:name="_Hlk65851555"/>
      <w:bookmarkEnd w:id="180"/>
      <w:r>
        <w:rPr>
          <w:rFonts w:hint="eastAsia" w:asciiTheme="minorEastAsia" w:hAnsiTheme="minorEastAsia" w:eastAsiaTheme="minorEastAsia" w:cstheme="minorEastAsia"/>
          <w:color w:val="auto"/>
          <w:sz w:val="24"/>
          <w:highlight w:val="none"/>
        </w:rPr>
        <w:t>注：1.法定代表人必须在授权委托书上亲笔签字或者盖章或者电子签名，委托代理人必须在授权委托书上亲笔签字或者电子签名，</w:t>
      </w:r>
      <w:r>
        <w:rPr>
          <w:rFonts w:hint="eastAsia" w:asciiTheme="minorEastAsia" w:hAnsiTheme="minorEastAsia" w:eastAsiaTheme="minorEastAsia" w:cstheme="minorEastAsia"/>
          <w:b/>
          <w:bCs/>
          <w:color w:val="auto"/>
          <w:sz w:val="24"/>
          <w:highlight w:val="none"/>
        </w:rPr>
        <w:t>否则按无效投标处理</w:t>
      </w:r>
      <w:r>
        <w:rPr>
          <w:rFonts w:hint="eastAsia" w:asciiTheme="minorEastAsia" w:hAnsiTheme="minorEastAsia" w:eastAsiaTheme="minorEastAsia" w:cstheme="minorEastAsia"/>
          <w:color w:val="auto"/>
          <w:sz w:val="24"/>
          <w:highlight w:val="none"/>
        </w:rPr>
        <w:t>；</w:t>
      </w:r>
    </w:p>
    <w:p>
      <w:pPr>
        <w:spacing w:line="360" w:lineRule="auto"/>
        <w:ind w:firstLine="480" w:firstLineChars="200"/>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2.法人、其他组织投标时“我方”是指“我单位”，自然人投标时“我方”是指“本人”。</w:t>
      </w:r>
    </w:p>
    <w:p>
      <w:pPr>
        <w:snapToGrid w:val="0"/>
        <w:spacing w:beforeLines="50" w:after="50" w:line="360" w:lineRule="auto"/>
        <w:ind w:firstLine="566" w:firstLineChars="236"/>
        <w:jc w:val="center"/>
        <w:rPr>
          <w:rFonts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color w:val="auto"/>
          <w:sz w:val="44"/>
          <w:szCs w:val="44"/>
          <w:highlight w:val="none"/>
        </w:rPr>
        <w:t>授权委托书</w:t>
      </w:r>
    </w:p>
    <w:p>
      <w:pPr>
        <w:snapToGrid w:val="0"/>
        <w:spacing w:beforeLines="50" w:after="50" w:line="360" w:lineRule="auto"/>
        <w:ind w:firstLine="755" w:firstLineChars="236"/>
        <w:jc w:val="center"/>
        <w:rPr>
          <w:rFonts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（联合体投标格式）</w:t>
      </w:r>
    </w:p>
    <w:p>
      <w:pPr>
        <w:snapToGrid w:val="0"/>
        <w:spacing w:beforeLines="50" w:after="50" w:line="360" w:lineRule="auto"/>
        <w:ind w:firstLine="755" w:firstLineChars="236"/>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32"/>
          <w:szCs w:val="32"/>
          <w:highlight w:val="none"/>
        </w:rPr>
        <w:t>（如有委托时）</w:t>
      </w:r>
    </w:p>
    <w:p>
      <w:pPr>
        <w:spacing w:line="360" w:lineRule="auto"/>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Cs/>
          <w:color w:val="auto"/>
          <w:sz w:val="24"/>
          <w:highlight w:val="none"/>
        </w:rPr>
        <w:t>致：</w:t>
      </w:r>
      <w:r>
        <w:rPr>
          <w:rFonts w:hint="eastAsia" w:asciiTheme="minorEastAsia" w:hAnsiTheme="minorEastAsia" w:eastAsiaTheme="minorEastAsia" w:cstheme="minorEastAsia"/>
          <w:color w:val="auto"/>
          <w:sz w:val="24"/>
          <w:highlight w:val="none"/>
          <w:u w:val="single"/>
        </w:rPr>
        <w:t>采购人名称</w:t>
      </w:r>
      <w:r>
        <w:rPr>
          <w:rFonts w:hint="eastAsia" w:asciiTheme="minorEastAsia" w:hAnsiTheme="minorEastAsia" w:eastAsiaTheme="minorEastAsia" w:cstheme="minorEastAsia"/>
          <w:color w:val="auto"/>
          <w:sz w:val="24"/>
          <w:highlight w:val="none"/>
        </w:rPr>
        <w:t>：</w:t>
      </w:r>
    </w:p>
    <w:p>
      <w:pPr>
        <w:spacing w:line="360" w:lineRule="auto"/>
        <w:ind w:firstLine="566" w:firstLineChars="236"/>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根据 </w:t>
      </w:r>
      <w:r>
        <w:rPr>
          <w:rFonts w:hint="eastAsia" w:asciiTheme="minorEastAsia" w:hAnsiTheme="minorEastAsia" w:eastAsiaTheme="minorEastAsia" w:cstheme="minorEastAsia"/>
          <w:color w:val="auto"/>
          <w:sz w:val="24"/>
          <w:highlight w:val="none"/>
          <w:u w:val="single"/>
        </w:rPr>
        <w:t xml:space="preserve"> （牵头人名称）</w:t>
      </w:r>
      <w:r>
        <w:rPr>
          <w:rFonts w:hint="eastAsia" w:asciiTheme="minorEastAsia" w:hAnsiTheme="minorEastAsia" w:eastAsiaTheme="minorEastAsia" w:cstheme="minorEastAsia"/>
          <w:color w:val="auto"/>
          <w:sz w:val="24"/>
          <w:highlight w:val="none"/>
        </w:rPr>
        <w:t>与</w:t>
      </w:r>
      <w:r>
        <w:rPr>
          <w:rFonts w:hint="eastAsia" w:asciiTheme="minorEastAsia" w:hAnsiTheme="minorEastAsia" w:eastAsiaTheme="minorEastAsia" w:cstheme="minorEastAsia"/>
          <w:color w:val="auto"/>
          <w:sz w:val="24"/>
          <w:highlight w:val="none"/>
          <w:u w:val="single"/>
        </w:rPr>
        <w:t>（联合体其他成员名称）</w:t>
      </w:r>
      <w:r>
        <w:rPr>
          <w:rFonts w:hint="eastAsia" w:asciiTheme="minorEastAsia" w:hAnsiTheme="minorEastAsia" w:eastAsiaTheme="minorEastAsia" w:cstheme="minorEastAsia"/>
          <w:color w:val="auto"/>
          <w:sz w:val="24"/>
          <w:highlight w:val="none"/>
        </w:rPr>
        <w:t>签订的《联合体投标协议书》的内容，</w:t>
      </w:r>
      <w:r>
        <w:rPr>
          <w:rFonts w:hint="eastAsia" w:asciiTheme="minorEastAsia" w:hAnsiTheme="minorEastAsia" w:eastAsiaTheme="minorEastAsia" w:cstheme="minorEastAsia"/>
          <w:color w:val="auto"/>
          <w:sz w:val="24"/>
          <w:highlight w:val="none"/>
          <w:u w:val="single"/>
        </w:rPr>
        <w:t>（牵头人名称）</w:t>
      </w:r>
      <w:r>
        <w:rPr>
          <w:rFonts w:hint="eastAsia" w:asciiTheme="minorEastAsia" w:hAnsiTheme="minorEastAsia" w:eastAsiaTheme="minorEastAsia" w:cstheme="minorEastAsia"/>
          <w:color w:val="auto"/>
          <w:sz w:val="24"/>
          <w:highlight w:val="none"/>
        </w:rPr>
        <w:t>的法定代表人</w:t>
      </w:r>
      <w:r>
        <w:rPr>
          <w:rFonts w:hint="eastAsia" w:asciiTheme="minorEastAsia" w:hAnsiTheme="minorEastAsia" w:eastAsiaTheme="minorEastAsia" w:cstheme="minorEastAsia"/>
          <w:color w:val="auto"/>
          <w:sz w:val="24"/>
          <w:highlight w:val="none"/>
          <w:u w:val="single"/>
        </w:rPr>
        <w:t>（姓名）</w:t>
      </w:r>
      <w:r>
        <w:rPr>
          <w:rFonts w:hint="eastAsia" w:asciiTheme="minorEastAsia" w:hAnsiTheme="minorEastAsia" w:eastAsiaTheme="minorEastAsia" w:cstheme="minorEastAsia"/>
          <w:color w:val="auto"/>
          <w:sz w:val="24"/>
          <w:highlight w:val="none"/>
        </w:rPr>
        <w:t>现授权委托</w:t>
      </w:r>
      <w:r>
        <w:rPr>
          <w:rFonts w:hint="eastAsia" w:asciiTheme="minorEastAsia" w:hAnsiTheme="minorEastAsia" w:eastAsiaTheme="minorEastAsia" w:cstheme="minorEastAsia"/>
          <w:color w:val="auto"/>
          <w:sz w:val="24"/>
          <w:highlight w:val="none"/>
          <w:u w:val="single"/>
        </w:rPr>
        <w:t xml:space="preserve">              （姓名）</w:t>
      </w:r>
      <w:r>
        <w:rPr>
          <w:rFonts w:hint="eastAsia" w:asciiTheme="minorEastAsia" w:hAnsiTheme="minorEastAsia" w:eastAsiaTheme="minorEastAsia" w:cstheme="minorEastAsia"/>
          <w:color w:val="auto"/>
          <w:sz w:val="24"/>
          <w:highlight w:val="none"/>
        </w:rPr>
        <w:t>以我方的名义参加项目的投标活动，并代表我方全权办理针对上述项目的所有采购程序和环节的具体事务和签署相关文件。</w:t>
      </w:r>
    </w:p>
    <w:p>
      <w:pPr>
        <w:spacing w:line="360" w:lineRule="auto"/>
        <w:ind w:firstLine="566" w:firstLineChars="236"/>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我方对委托代理人的签字或者电子签名事项负全部责任。</w:t>
      </w:r>
    </w:p>
    <w:p>
      <w:pPr>
        <w:spacing w:line="360" w:lineRule="auto"/>
        <w:ind w:firstLine="566" w:firstLineChars="236"/>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本授权书自签署之日起生效，在撤销授权的书面通知以前，本授权书一直有效。委托代理人在授权书有效期内签署的所有文件不因授权的撤销而失效。</w:t>
      </w:r>
    </w:p>
    <w:p>
      <w:pPr>
        <w:spacing w:line="360" w:lineRule="auto"/>
        <w:ind w:firstLine="566" w:firstLineChars="236"/>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委托代理人无转委托权，特此委托。</w:t>
      </w:r>
    </w:p>
    <w:p>
      <w:pPr>
        <w:spacing w:line="360" w:lineRule="auto"/>
        <w:ind w:firstLine="566" w:firstLineChars="236"/>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附：牵头人法定代表人身份证明及委托代理人有效身份证正反面复印件</w:t>
      </w:r>
    </w:p>
    <w:p>
      <w:pPr>
        <w:spacing w:line="360" w:lineRule="auto"/>
        <w:ind w:firstLine="566" w:firstLineChars="236"/>
        <w:contextualSpacing/>
        <w:rPr>
          <w:rFonts w:asciiTheme="minorEastAsia" w:hAnsiTheme="minorEastAsia" w:eastAsiaTheme="minorEastAsia" w:cstheme="minorEastAsia"/>
          <w:color w:val="auto"/>
          <w:sz w:val="24"/>
          <w:highlight w:val="none"/>
        </w:rPr>
      </w:pPr>
    </w:p>
    <w:p>
      <w:pPr>
        <w:spacing w:line="360" w:lineRule="auto"/>
        <w:ind w:firstLine="566" w:firstLineChars="236"/>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牵头人法定代表人（签字或者盖章或者电子签名）：</w:t>
      </w:r>
    </w:p>
    <w:p>
      <w:pPr>
        <w:spacing w:line="360" w:lineRule="auto"/>
        <w:ind w:firstLine="566" w:firstLineChars="236"/>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牵头人（电子签章）：</w:t>
      </w:r>
    </w:p>
    <w:p>
      <w:pPr>
        <w:spacing w:line="360" w:lineRule="auto"/>
        <w:ind w:firstLine="566" w:firstLineChars="236"/>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    年   月   日</w:t>
      </w:r>
    </w:p>
    <w:p>
      <w:pPr>
        <w:spacing w:line="360" w:lineRule="auto"/>
        <w:ind w:firstLine="566" w:firstLineChars="236"/>
        <w:contextualSpacing/>
        <w:rPr>
          <w:rFonts w:asciiTheme="minorEastAsia" w:hAnsiTheme="minorEastAsia" w:eastAsiaTheme="minorEastAsia" w:cstheme="minorEastAsia"/>
          <w:color w:val="auto"/>
          <w:sz w:val="24"/>
          <w:highlight w:val="none"/>
        </w:rPr>
      </w:pPr>
    </w:p>
    <w:p>
      <w:pPr>
        <w:spacing w:line="360" w:lineRule="auto"/>
        <w:ind w:firstLine="566" w:firstLineChars="236"/>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被授权人（签字/电子签名）：</w:t>
      </w:r>
    </w:p>
    <w:p>
      <w:pPr>
        <w:spacing w:line="360" w:lineRule="auto"/>
        <w:ind w:firstLine="566" w:firstLineChars="236"/>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    年   月   日</w:t>
      </w:r>
    </w:p>
    <w:p>
      <w:pPr>
        <w:pStyle w:val="2"/>
        <w:spacing w:line="360" w:lineRule="auto"/>
        <w:rPr>
          <w:rFonts w:asciiTheme="minorEastAsia" w:hAnsiTheme="minorEastAsia" w:eastAsiaTheme="minorEastAsia" w:cstheme="minorEastAsia"/>
          <w:color w:val="auto"/>
          <w:highlight w:val="none"/>
        </w:rPr>
      </w:pPr>
    </w:p>
    <w:p>
      <w:pPr>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注：1. 法定代表人必须在授权委托书上亲笔签字或者盖章或者电子签名，委托代理人必须在授权委托书上亲笔签字或者电子签名，</w:t>
      </w:r>
      <w:r>
        <w:rPr>
          <w:rFonts w:hint="eastAsia" w:asciiTheme="minorEastAsia" w:hAnsiTheme="minorEastAsia" w:eastAsiaTheme="minorEastAsia" w:cstheme="minorEastAsia"/>
          <w:b/>
          <w:bCs/>
          <w:color w:val="auto"/>
          <w:sz w:val="24"/>
          <w:highlight w:val="none"/>
        </w:rPr>
        <w:t>否则按无效投标处理</w:t>
      </w:r>
      <w:r>
        <w:rPr>
          <w:rFonts w:hint="eastAsia" w:asciiTheme="minorEastAsia" w:hAnsiTheme="minorEastAsia" w:eastAsiaTheme="minorEastAsia" w:cstheme="minorEastAsia"/>
          <w:color w:val="auto"/>
          <w:sz w:val="24"/>
          <w:highlight w:val="none"/>
        </w:rPr>
        <w:t>；</w:t>
      </w:r>
    </w:p>
    <w:p>
      <w:pPr>
        <w:spacing w:line="360" w:lineRule="auto"/>
        <w:ind w:firstLine="480" w:firstLineChars="200"/>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2.本授权委托书应由联合体牵头人的法定代表人按上述规定签字或者盖章或者电子签名。</w:t>
      </w:r>
    </w:p>
    <w:p>
      <w:pPr>
        <w:spacing w:line="360" w:lineRule="auto"/>
        <w:ind w:firstLine="480" w:firstLineChars="200"/>
        <w:contextualSpacing/>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3.法人、其他组织投标时“我方”是指“我单位”，自然人投标时“我方”是指“本人”。</w:t>
      </w:r>
    </w:p>
    <w:p>
      <w:pPr>
        <w:snapToGrid w:val="0"/>
        <w:spacing w:before="50" w:afterLines="50" w:line="360" w:lineRule="auto"/>
        <w:ind w:firstLine="480" w:firstLineChars="200"/>
        <w:jc w:val="left"/>
        <w:rPr>
          <w:rFonts w:asciiTheme="minorEastAsia" w:hAnsiTheme="minorEastAsia" w:eastAsiaTheme="minorEastAsia" w:cstheme="minorEastAsia"/>
          <w:color w:val="auto"/>
          <w:sz w:val="24"/>
          <w:highlight w:val="none"/>
        </w:rPr>
        <w:sectPr>
          <w:headerReference r:id="rId7" w:type="first"/>
          <w:footerReference r:id="rId10" w:type="first"/>
          <w:headerReference r:id="rId6" w:type="default"/>
          <w:footerReference r:id="rId8" w:type="default"/>
          <w:footerReference r:id="rId9" w:type="even"/>
          <w:pgSz w:w="11906" w:h="16838"/>
          <w:pgMar w:top="1440" w:right="1080" w:bottom="1440" w:left="1080" w:header="851" w:footer="992" w:gutter="0"/>
          <w:cols w:space="720" w:num="1"/>
          <w:titlePg/>
          <w:docGrid w:linePitch="312" w:charSpace="0"/>
        </w:sectPr>
      </w:pPr>
    </w:p>
    <w:p>
      <w:pPr>
        <w:spacing w:line="360" w:lineRule="auto"/>
        <w:rPr>
          <w:rFonts w:asciiTheme="minorEastAsia" w:hAnsiTheme="minorEastAsia" w:eastAsiaTheme="minorEastAsia" w:cstheme="minorEastAsia"/>
          <w:b/>
          <w:color w:val="auto"/>
          <w:sz w:val="24"/>
          <w:szCs w:val="20"/>
          <w:highlight w:val="none"/>
        </w:rPr>
      </w:pPr>
      <w:r>
        <w:rPr>
          <w:rFonts w:hint="eastAsia" w:asciiTheme="minorEastAsia" w:hAnsiTheme="minorEastAsia" w:eastAsiaTheme="minorEastAsia" w:cstheme="minorEastAsia"/>
          <w:b/>
          <w:color w:val="auto"/>
          <w:sz w:val="24"/>
          <w:highlight w:val="none"/>
        </w:rPr>
        <w:t>6.商务要求偏离表格式（注：按项目需求表具体项目修改）</w:t>
      </w:r>
    </w:p>
    <w:p>
      <w:pPr>
        <w:snapToGrid w:val="0"/>
        <w:spacing w:before="50" w:line="360" w:lineRule="auto"/>
        <w:jc w:val="left"/>
        <w:rPr>
          <w:rFonts w:asciiTheme="minorEastAsia" w:hAnsiTheme="minorEastAsia" w:eastAsiaTheme="minorEastAsia" w:cstheme="minorEastAsia"/>
          <w:color w:val="auto"/>
          <w:sz w:val="24"/>
          <w:highlight w:val="none"/>
        </w:rPr>
      </w:pPr>
    </w:p>
    <w:p>
      <w:pPr>
        <w:pStyle w:val="27"/>
        <w:spacing w:line="36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所投分标</w:t>
      </w:r>
      <w:r>
        <w:rPr>
          <w:rFonts w:hint="eastAsia" w:asciiTheme="minorEastAsia" w:hAnsiTheme="minorEastAsia" w:eastAsiaTheme="minorEastAsia" w:cstheme="minorEastAsia"/>
          <w:color w:val="auto"/>
          <w:sz w:val="24"/>
          <w:highlight w:val="none"/>
        </w:rPr>
        <w:t>（如有）</w:t>
      </w:r>
      <w:r>
        <w:rPr>
          <w:rFonts w:hint="eastAsia" w:asciiTheme="minorEastAsia" w:hAnsiTheme="minorEastAsia" w:eastAsiaTheme="minorEastAsia" w:cstheme="minorEastAsia"/>
          <w:color w:val="auto"/>
          <w:sz w:val="24"/>
          <w:szCs w:val="24"/>
          <w:highlight w:val="none"/>
        </w:rPr>
        <w:t>：分标</w:t>
      </w:r>
    </w:p>
    <w:tbl>
      <w:tblPr>
        <w:tblStyle w:val="52"/>
        <w:tblW w:w="8641"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95"/>
        <w:gridCol w:w="2410"/>
        <w:gridCol w:w="1843"/>
        <w:gridCol w:w="189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42" w:hRule="atLeast"/>
          <w:jc w:val="center"/>
        </w:trPr>
        <w:tc>
          <w:tcPr>
            <w:tcW w:w="2495"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w:t>
            </w:r>
          </w:p>
        </w:tc>
        <w:tc>
          <w:tcPr>
            <w:tcW w:w="2410"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招标文件商务要求</w:t>
            </w:r>
          </w:p>
        </w:tc>
        <w:tc>
          <w:tcPr>
            <w:tcW w:w="1843"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投标人的承诺</w:t>
            </w:r>
          </w:p>
        </w:tc>
        <w:tc>
          <w:tcPr>
            <w:tcW w:w="1893"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19" w:hRule="atLeast"/>
          <w:jc w:val="center"/>
        </w:trPr>
        <w:tc>
          <w:tcPr>
            <w:tcW w:w="249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Theme="minorEastAsia" w:hAnsiTheme="minorEastAsia" w:eastAsiaTheme="minorEastAsia" w:cstheme="minorEastAsia"/>
                <w:color w:val="auto"/>
                <w:sz w:val="24"/>
                <w:highlight w:val="none"/>
              </w:rPr>
            </w:pPr>
          </w:p>
        </w:tc>
        <w:tc>
          <w:tcPr>
            <w:tcW w:w="1893"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Theme="minorEastAsia" w:hAnsiTheme="minorEastAsia" w:eastAsiaTheme="minorEastAsia" w:cs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38" w:hRule="atLeast"/>
          <w:jc w:val="center"/>
        </w:trPr>
        <w:tc>
          <w:tcPr>
            <w:tcW w:w="24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cstheme="minorEastAsia"/>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Theme="minorEastAsia" w:hAnsiTheme="minorEastAsia" w:eastAsiaTheme="minorEastAsia" w:cstheme="minorEastAsia"/>
                <w:color w:val="auto"/>
                <w:sz w:val="24"/>
                <w:highlight w:val="none"/>
                <w:u w:val="single"/>
              </w:rPr>
            </w:pPr>
          </w:p>
        </w:tc>
        <w:tc>
          <w:tcPr>
            <w:tcW w:w="1843"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jc w:val="center"/>
              <w:rPr>
                <w:rFonts w:asciiTheme="minorEastAsia" w:hAnsiTheme="minorEastAsia" w:eastAsiaTheme="minorEastAsia" w:cstheme="minorEastAsia"/>
                <w:color w:val="auto"/>
                <w:sz w:val="24"/>
                <w:highlight w:val="none"/>
              </w:rPr>
            </w:pPr>
          </w:p>
        </w:tc>
        <w:tc>
          <w:tcPr>
            <w:tcW w:w="1893"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jc w:val="center"/>
              <w:rPr>
                <w:rFonts w:asciiTheme="minorEastAsia" w:hAnsiTheme="minorEastAsia" w:eastAsiaTheme="minorEastAsia" w:cs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38" w:hRule="atLeast"/>
          <w:jc w:val="center"/>
        </w:trPr>
        <w:tc>
          <w:tcPr>
            <w:tcW w:w="249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Theme="minorEastAsia" w:hAnsiTheme="minorEastAsia" w:eastAsiaTheme="minorEastAsia" w:cstheme="minorEastAsia"/>
                <w:color w:val="auto"/>
                <w:sz w:val="24"/>
                <w:highlight w:val="none"/>
                <w:u w:val="single"/>
              </w:rPr>
            </w:pPr>
          </w:p>
        </w:tc>
        <w:tc>
          <w:tcPr>
            <w:tcW w:w="1843"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jc w:val="center"/>
              <w:rPr>
                <w:rFonts w:asciiTheme="minorEastAsia" w:hAnsiTheme="minorEastAsia" w:eastAsiaTheme="minorEastAsia" w:cstheme="minorEastAsia"/>
                <w:color w:val="auto"/>
                <w:sz w:val="24"/>
                <w:highlight w:val="none"/>
              </w:rPr>
            </w:pPr>
          </w:p>
        </w:tc>
        <w:tc>
          <w:tcPr>
            <w:tcW w:w="1893"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jc w:val="center"/>
              <w:rPr>
                <w:rFonts w:asciiTheme="minorEastAsia" w:hAnsiTheme="minorEastAsia" w:eastAsiaTheme="minorEastAsia" w:cs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38" w:hRule="atLeast"/>
          <w:jc w:val="center"/>
        </w:trPr>
        <w:tc>
          <w:tcPr>
            <w:tcW w:w="249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Theme="minorEastAsia" w:hAnsiTheme="minorEastAsia" w:eastAsiaTheme="minorEastAsia" w:cstheme="minorEastAsia"/>
                <w:color w:val="auto"/>
                <w:sz w:val="24"/>
                <w:highlight w:val="none"/>
                <w:u w:val="single"/>
              </w:rPr>
            </w:pPr>
          </w:p>
        </w:tc>
        <w:tc>
          <w:tcPr>
            <w:tcW w:w="1843"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jc w:val="center"/>
              <w:rPr>
                <w:rFonts w:asciiTheme="minorEastAsia" w:hAnsiTheme="minorEastAsia" w:eastAsiaTheme="minorEastAsia" w:cstheme="minorEastAsia"/>
                <w:color w:val="auto"/>
                <w:sz w:val="24"/>
                <w:highlight w:val="none"/>
              </w:rPr>
            </w:pPr>
          </w:p>
        </w:tc>
        <w:tc>
          <w:tcPr>
            <w:tcW w:w="1893"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jc w:val="center"/>
              <w:rPr>
                <w:rFonts w:asciiTheme="minorEastAsia" w:hAnsiTheme="minorEastAsia" w:eastAsiaTheme="minorEastAsia" w:cs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49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Theme="minorEastAsia" w:hAnsiTheme="minorEastAsia" w:eastAsiaTheme="minorEastAsia" w:cstheme="minorEastAsia"/>
                <w:color w:val="auto"/>
                <w:sz w:val="24"/>
                <w:highlight w:val="none"/>
              </w:rPr>
            </w:pPr>
          </w:p>
        </w:tc>
        <w:tc>
          <w:tcPr>
            <w:tcW w:w="1893"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Theme="minorEastAsia" w:hAnsiTheme="minorEastAsia" w:eastAsiaTheme="minorEastAsia" w:cs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49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Theme="minorEastAsia" w:hAnsiTheme="minorEastAsia" w:eastAsiaTheme="minorEastAsia" w:cstheme="minorEastAsia"/>
                <w:color w:val="auto"/>
                <w:sz w:val="24"/>
                <w:highlight w:val="none"/>
              </w:rPr>
            </w:pPr>
          </w:p>
        </w:tc>
        <w:tc>
          <w:tcPr>
            <w:tcW w:w="1893"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Theme="minorEastAsia" w:hAnsiTheme="minorEastAsia" w:eastAsiaTheme="minorEastAsia" w:cstheme="minorEastAsia"/>
                <w:color w:val="auto"/>
                <w:sz w:val="24"/>
                <w:highlight w:val="none"/>
              </w:rPr>
            </w:pPr>
          </w:p>
        </w:tc>
      </w:tr>
    </w:tbl>
    <w:p>
      <w:pPr>
        <w:pStyle w:val="19"/>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p>
    <w:p>
      <w:pPr>
        <w:pStyle w:val="20"/>
        <w:spacing w:line="360" w:lineRule="auto"/>
        <w:ind w:firstLine="0" w:firstLineChars="0"/>
        <w:rPr>
          <w:rFonts w:asciiTheme="minorEastAsia" w:hAnsiTheme="minorEastAsia" w:eastAsiaTheme="minorEastAsia" w:cstheme="minorEastAsia"/>
          <w:color w:val="auto"/>
          <w:szCs w:val="32"/>
          <w:highlight w:val="none"/>
        </w:rPr>
      </w:pPr>
      <w:r>
        <w:rPr>
          <w:rFonts w:hint="eastAsia" w:asciiTheme="minorEastAsia" w:hAnsiTheme="minorEastAsia" w:eastAsiaTheme="minorEastAsia" w:cstheme="minorEastAsia"/>
          <w:color w:val="auto"/>
          <w:sz w:val="24"/>
          <w:szCs w:val="24"/>
          <w:highlight w:val="none"/>
        </w:rPr>
        <w:t>1.说明：应对照招标文件“第二章 采购需求”中的“二、商务要求表”逐条作明确的投标响应，并作出偏离说明。</w:t>
      </w:r>
    </w:p>
    <w:p>
      <w:pPr>
        <w:pStyle w:val="19"/>
        <w:spacing w:line="360" w:lineRule="auto"/>
        <w:rPr>
          <w:rFonts w:asciiTheme="minorEastAsia" w:hAnsiTheme="minorEastAsia" w:eastAsiaTheme="minorEastAsia" w:cstheme="minorEastAsia"/>
          <w:b w:val="0"/>
          <w:bCs w:val="0"/>
          <w:color w:val="auto"/>
          <w:highlight w:val="none"/>
        </w:rPr>
      </w:pPr>
      <w:r>
        <w:rPr>
          <w:rFonts w:hint="eastAsia" w:asciiTheme="minorEastAsia" w:hAnsiTheme="minorEastAsia" w:eastAsiaTheme="minorEastAsia" w:cstheme="minorEastAsia"/>
          <w:b w:val="0"/>
          <w:bCs w:val="0"/>
          <w:color w:val="auto"/>
          <w:highlight w:val="none"/>
        </w:rPr>
        <w:t>2.投标人应根据自身的承诺，对照招标文件要求在“偏离说明”中注明“</w:t>
      </w:r>
      <w:r>
        <w:rPr>
          <w:rFonts w:hint="eastAsia" w:asciiTheme="minorEastAsia" w:hAnsiTheme="minorEastAsia" w:eastAsiaTheme="minorEastAsia" w:cstheme="minorEastAsia"/>
          <w:color w:val="auto"/>
          <w:highlight w:val="none"/>
        </w:rPr>
        <w:t>正偏离</w:t>
      </w:r>
      <w:r>
        <w:rPr>
          <w:rFonts w:hint="eastAsia" w:asciiTheme="minorEastAsia" w:hAnsiTheme="minorEastAsia" w:eastAsiaTheme="minorEastAsia" w:cstheme="minorEastAsia"/>
          <w:b w:val="0"/>
          <w:bCs w:val="0"/>
          <w:color w:val="auto"/>
          <w:highlight w:val="none"/>
        </w:rPr>
        <w:t>”、“</w:t>
      </w:r>
      <w:r>
        <w:rPr>
          <w:rFonts w:hint="eastAsia" w:asciiTheme="minorEastAsia" w:hAnsiTheme="minorEastAsia" w:eastAsiaTheme="minorEastAsia" w:cstheme="minorEastAsia"/>
          <w:color w:val="auto"/>
          <w:highlight w:val="none"/>
        </w:rPr>
        <w:t>负偏离</w:t>
      </w:r>
      <w:r>
        <w:rPr>
          <w:rFonts w:hint="eastAsia" w:asciiTheme="minorEastAsia" w:hAnsiTheme="minorEastAsia" w:eastAsiaTheme="minorEastAsia" w:cstheme="minorEastAsia"/>
          <w:b w:val="0"/>
          <w:bCs w:val="0"/>
          <w:color w:val="auto"/>
          <w:highlight w:val="none"/>
        </w:rPr>
        <w:t>”或者“</w:t>
      </w:r>
      <w:r>
        <w:rPr>
          <w:rFonts w:hint="eastAsia" w:asciiTheme="minorEastAsia" w:hAnsiTheme="minorEastAsia" w:eastAsiaTheme="minorEastAsia" w:cstheme="minorEastAsia"/>
          <w:color w:val="auto"/>
          <w:highlight w:val="none"/>
        </w:rPr>
        <w:t>无偏离</w:t>
      </w:r>
      <w:r>
        <w:rPr>
          <w:rFonts w:hint="eastAsia" w:asciiTheme="minorEastAsia" w:hAnsiTheme="minorEastAsia" w:eastAsiaTheme="minorEastAsia" w:cstheme="minorEastAsia"/>
          <w:b w:val="0"/>
          <w:bCs w:val="0"/>
          <w:color w:val="auto"/>
          <w:highlight w:val="none"/>
        </w:rPr>
        <w:t>”。既不属于“</w:t>
      </w:r>
      <w:r>
        <w:rPr>
          <w:rFonts w:hint="eastAsia" w:asciiTheme="minorEastAsia" w:hAnsiTheme="minorEastAsia" w:eastAsiaTheme="minorEastAsia" w:cstheme="minorEastAsia"/>
          <w:color w:val="auto"/>
          <w:highlight w:val="none"/>
        </w:rPr>
        <w:t>正偏离</w:t>
      </w:r>
      <w:r>
        <w:rPr>
          <w:rFonts w:hint="eastAsia" w:asciiTheme="minorEastAsia" w:hAnsiTheme="minorEastAsia" w:eastAsiaTheme="minorEastAsia" w:cstheme="minorEastAsia"/>
          <w:b w:val="0"/>
          <w:bCs w:val="0"/>
          <w:color w:val="auto"/>
          <w:highlight w:val="none"/>
        </w:rPr>
        <w:t>”也不属于“</w:t>
      </w:r>
      <w:r>
        <w:rPr>
          <w:rFonts w:hint="eastAsia" w:asciiTheme="minorEastAsia" w:hAnsiTheme="minorEastAsia" w:eastAsiaTheme="minorEastAsia" w:cstheme="minorEastAsia"/>
          <w:color w:val="auto"/>
          <w:highlight w:val="none"/>
        </w:rPr>
        <w:t>负偏离</w:t>
      </w:r>
      <w:r>
        <w:rPr>
          <w:rFonts w:hint="eastAsia" w:asciiTheme="minorEastAsia" w:hAnsiTheme="minorEastAsia" w:eastAsiaTheme="minorEastAsia" w:cstheme="minorEastAsia"/>
          <w:b w:val="0"/>
          <w:bCs w:val="0"/>
          <w:color w:val="auto"/>
          <w:highlight w:val="none"/>
        </w:rPr>
        <w:t>”即为“</w:t>
      </w:r>
      <w:r>
        <w:rPr>
          <w:rFonts w:hint="eastAsia" w:asciiTheme="minorEastAsia" w:hAnsiTheme="minorEastAsia" w:eastAsiaTheme="minorEastAsia" w:cstheme="minorEastAsia"/>
          <w:color w:val="auto"/>
          <w:highlight w:val="none"/>
        </w:rPr>
        <w:t>无偏离</w:t>
      </w:r>
      <w:r>
        <w:rPr>
          <w:rFonts w:hint="eastAsia" w:asciiTheme="minorEastAsia" w:hAnsiTheme="minorEastAsia" w:eastAsiaTheme="minorEastAsia" w:cstheme="minorEastAsia"/>
          <w:b w:val="0"/>
          <w:bCs w:val="0"/>
          <w:color w:val="auto"/>
          <w:highlight w:val="none"/>
        </w:rPr>
        <w:t>”。</w:t>
      </w:r>
    </w:p>
    <w:p>
      <w:pPr>
        <w:snapToGrid w:val="0"/>
        <w:spacing w:before="50" w:after="50" w:line="360" w:lineRule="auto"/>
        <w:rPr>
          <w:rFonts w:asciiTheme="minorEastAsia" w:hAnsiTheme="minorEastAsia" w:eastAsiaTheme="minorEastAsia" w:cstheme="minorEastAsia"/>
          <w:color w:val="auto"/>
          <w:sz w:val="24"/>
          <w:highlight w:val="none"/>
        </w:rPr>
      </w:pPr>
    </w:p>
    <w:p>
      <w:pPr>
        <w:snapToGrid w:val="0"/>
        <w:spacing w:before="50" w:after="50" w:line="360" w:lineRule="auto"/>
        <w:rPr>
          <w:rFonts w:asciiTheme="minorEastAsia" w:hAnsiTheme="minorEastAsia" w:eastAsiaTheme="minorEastAsia" w:cstheme="minorEastAsia"/>
          <w:color w:val="auto"/>
          <w:spacing w:val="20"/>
          <w:sz w:val="24"/>
          <w:highlight w:val="none"/>
          <w:u w:val="single"/>
        </w:rPr>
      </w:pPr>
      <w:r>
        <w:rPr>
          <w:rFonts w:hint="eastAsia" w:asciiTheme="minorEastAsia" w:hAnsiTheme="minorEastAsia" w:eastAsiaTheme="minorEastAsia" w:cstheme="minorEastAsia"/>
          <w:color w:val="auto"/>
          <w:sz w:val="24"/>
          <w:highlight w:val="none"/>
        </w:rPr>
        <w:t>法定代表人或者委托代理人</w:t>
      </w:r>
      <w:r>
        <w:rPr>
          <w:rFonts w:hint="eastAsia" w:asciiTheme="minorEastAsia" w:hAnsiTheme="minorEastAsia" w:eastAsiaTheme="minorEastAsia" w:cstheme="minorEastAsia"/>
          <w:color w:val="auto"/>
          <w:spacing w:val="20"/>
          <w:sz w:val="24"/>
          <w:highlight w:val="none"/>
        </w:rPr>
        <w:t>（签字/电子签名）：</w:t>
      </w:r>
    </w:p>
    <w:p>
      <w:pPr>
        <w:snapToGrid w:val="0"/>
        <w:spacing w:beforeLines="50" w:line="360" w:lineRule="auto"/>
        <w:rPr>
          <w:rFonts w:asciiTheme="minorEastAsia" w:hAnsiTheme="minorEastAsia" w:eastAsiaTheme="minorEastAsia" w:cstheme="minorEastAsia"/>
          <w:color w:val="auto"/>
          <w:spacing w:val="20"/>
          <w:sz w:val="24"/>
          <w:highlight w:val="none"/>
        </w:rPr>
      </w:pPr>
      <w:r>
        <w:rPr>
          <w:rFonts w:hint="eastAsia" w:asciiTheme="minorEastAsia" w:hAnsiTheme="minorEastAsia" w:eastAsiaTheme="minorEastAsia" w:cstheme="minorEastAsia"/>
          <w:color w:val="auto"/>
          <w:spacing w:val="20"/>
          <w:sz w:val="24"/>
          <w:highlight w:val="none"/>
        </w:rPr>
        <w:t>投标人名称（电子签章）：</w:t>
      </w:r>
    </w:p>
    <w:p>
      <w:pPr>
        <w:snapToGrid w:val="0"/>
        <w:spacing w:beforeLines="50" w:line="360" w:lineRule="auto"/>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pacing w:val="20"/>
          <w:sz w:val="24"/>
          <w:highlight w:val="none"/>
        </w:rPr>
        <w:t>日  期：</w:t>
      </w:r>
    </w:p>
    <w:p>
      <w:pPr>
        <w:snapToGrid w:val="0"/>
        <w:spacing w:beforeLines="50" w:line="360" w:lineRule="auto"/>
        <w:rPr>
          <w:rFonts w:asciiTheme="minorEastAsia" w:hAnsiTheme="minorEastAsia" w:eastAsiaTheme="minorEastAsia" w:cstheme="minorEastAsia"/>
          <w:color w:val="auto"/>
          <w:sz w:val="24"/>
          <w:szCs w:val="20"/>
          <w:highlight w:val="none"/>
        </w:rPr>
      </w:pPr>
    </w:p>
    <w:p>
      <w:pPr>
        <w:snapToGrid w:val="0"/>
        <w:spacing w:beforeLines="50" w:after="50" w:line="360" w:lineRule="auto"/>
        <w:jc w:val="left"/>
        <w:rPr>
          <w:rFonts w:asciiTheme="minorEastAsia" w:hAnsiTheme="minorEastAsia" w:eastAsiaTheme="minorEastAsia" w:cstheme="minorEastAsia"/>
          <w:color w:val="auto"/>
          <w:sz w:val="24"/>
          <w:szCs w:val="20"/>
          <w:highlight w:val="none"/>
        </w:rPr>
      </w:pPr>
    </w:p>
    <w:p>
      <w:pPr>
        <w:snapToGrid w:val="0"/>
        <w:spacing w:beforeLines="50" w:after="50" w:line="360" w:lineRule="auto"/>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szCs w:val="20"/>
          <w:highlight w:val="none"/>
        </w:rPr>
        <w:br w:type="page"/>
      </w:r>
      <w:r>
        <w:rPr>
          <w:rFonts w:hint="eastAsia" w:asciiTheme="minorEastAsia" w:hAnsiTheme="minorEastAsia" w:eastAsiaTheme="minorEastAsia" w:cstheme="minorEastAsia"/>
          <w:b/>
          <w:color w:val="auto"/>
          <w:sz w:val="24"/>
          <w:highlight w:val="none"/>
        </w:rPr>
        <w:t>7.投标人业绩证明材料</w:t>
      </w:r>
    </w:p>
    <w:p>
      <w:pPr>
        <w:pStyle w:val="36"/>
        <w:snapToGrid w:val="0"/>
        <w:spacing w:line="360" w:lineRule="auto"/>
        <w:ind w:left="480" w:hanging="480"/>
        <w:rPr>
          <w:rFonts w:asciiTheme="minorEastAsia" w:hAnsiTheme="minorEastAsia" w:eastAsiaTheme="minorEastAsia" w:cstheme="minorEastAsia"/>
          <w:color w:val="auto"/>
          <w:sz w:val="24"/>
          <w:highlight w:val="none"/>
        </w:rPr>
      </w:pPr>
    </w:p>
    <w:p>
      <w:pPr>
        <w:pStyle w:val="36"/>
        <w:snapToGrid w:val="0"/>
        <w:spacing w:line="360" w:lineRule="auto"/>
        <w:ind w:left="480" w:hanging="48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投标人业绩情况一览表格式： </w:t>
      </w:r>
    </w:p>
    <w:tbl>
      <w:tblPr>
        <w:tblStyle w:val="52"/>
        <w:tblW w:w="852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3"/>
        <w:gridCol w:w="1770"/>
        <w:gridCol w:w="1770"/>
        <w:gridCol w:w="285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87" w:hRule="atLeast"/>
          <w:jc w:val="center"/>
        </w:trPr>
        <w:tc>
          <w:tcPr>
            <w:tcW w:w="2133"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采购人名称</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c>
          <w:tcPr>
            <w:tcW w:w="177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合同金额</w:t>
            </w:r>
          </w:p>
          <w:p>
            <w:pPr>
              <w:snapToGrid w:val="0"/>
              <w:spacing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（万元）</w:t>
            </w:r>
          </w:p>
        </w:tc>
        <w:tc>
          <w:tcPr>
            <w:tcW w:w="2855"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采购人联系人及</w:t>
            </w:r>
          </w:p>
          <w:p>
            <w:pPr>
              <w:snapToGrid w:val="0"/>
              <w:spacing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836" w:hRule="atLeast"/>
          <w:jc w:val="center"/>
        </w:trPr>
        <w:tc>
          <w:tcPr>
            <w:tcW w:w="2133"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Theme="minorEastAsia" w:hAnsiTheme="minorEastAsia" w:eastAsiaTheme="minorEastAsia" w:cstheme="minorEastAsia"/>
                <w:color w:val="auto"/>
                <w:sz w:val="24"/>
                <w:highlight w:val="none"/>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Theme="minorEastAsia" w:hAnsiTheme="minorEastAsia" w:eastAsiaTheme="minorEastAsia" w:cstheme="minorEastAsia"/>
                <w:color w:val="auto"/>
                <w:sz w:val="24"/>
                <w:highlight w:val="none"/>
              </w:rPr>
            </w:pPr>
          </w:p>
        </w:tc>
        <w:tc>
          <w:tcPr>
            <w:tcW w:w="177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Theme="minorEastAsia" w:hAnsiTheme="minorEastAsia" w:eastAsiaTheme="minorEastAsia" w:cstheme="minorEastAsia"/>
                <w:color w:val="auto"/>
                <w:sz w:val="24"/>
                <w:highlight w:val="none"/>
              </w:rPr>
            </w:pPr>
          </w:p>
        </w:tc>
        <w:tc>
          <w:tcPr>
            <w:tcW w:w="285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Theme="minorEastAsia" w:hAnsiTheme="minorEastAsia" w:eastAsiaTheme="minorEastAsia" w:cs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49" w:hRule="atLeast"/>
          <w:jc w:val="center"/>
        </w:trPr>
        <w:tc>
          <w:tcPr>
            <w:tcW w:w="2133" w:type="dxa"/>
            <w:tcBorders>
              <w:top w:val="single" w:color="auto" w:sz="4" w:space="0"/>
              <w:left w:val="single" w:color="auto" w:sz="4" w:space="0"/>
              <w:bottom w:val="single" w:color="auto" w:sz="4" w:space="0"/>
              <w:right w:val="single" w:color="auto" w:sz="4" w:space="0"/>
            </w:tcBorders>
          </w:tcPr>
          <w:p>
            <w:pPr>
              <w:snapToGrid w:val="0"/>
              <w:spacing w:line="360" w:lineRule="auto"/>
              <w:jc w:val="left"/>
              <w:rPr>
                <w:rFonts w:asciiTheme="minorEastAsia" w:hAnsiTheme="minorEastAsia" w:eastAsiaTheme="minorEastAsia" w:cstheme="minorEastAsia"/>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line="360" w:lineRule="auto"/>
              <w:jc w:val="left"/>
              <w:rPr>
                <w:rFonts w:asciiTheme="minorEastAsia" w:hAnsiTheme="minorEastAsia" w:eastAsiaTheme="minorEastAsia" w:cstheme="minorEastAsia"/>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line="360" w:lineRule="auto"/>
              <w:jc w:val="left"/>
              <w:rPr>
                <w:rFonts w:asciiTheme="minorEastAsia" w:hAnsiTheme="minorEastAsia" w:eastAsiaTheme="minorEastAsia" w:cstheme="minorEastAsia"/>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pPr>
              <w:snapToGrid w:val="0"/>
              <w:spacing w:line="360" w:lineRule="auto"/>
              <w:jc w:val="left"/>
              <w:rPr>
                <w:rFonts w:asciiTheme="minorEastAsia" w:hAnsiTheme="minorEastAsia" w:eastAsiaTheme="minorEastAsia" w:cs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33"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Theme="minorEastAsia" w:hAnsiTheme="minorEastAsia" w:eastAsiaTheme="minorEastAsia" w:cstheme="minorEastAsia"/>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Theme="minorEastAsia" w:hAnsiTheme="minorEastAsia" w:eastAsiaTheme="minorEastAsia" w:cstheme="minorEastAsia"/>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Theme="minorEastAsia" w:hAnsiTheme="minorEastAsia" w:eastAsiaTheme="minorEastAsia" w:cstheme="minorEastAsia"/>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Theme="minorEastAsia" w:hAnsiTheme="minorEastAsia" w:eastAsiaTheme="minorEastAsia" w:cs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10" w:hRule="atLeast"/>
          <w:jc w:val="center"/>
        </w:trPr>
        <w:tc>
          <w:tcPr>
            <w:tcW w:w="2133"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Theme="minorEastAsia" w:hAnsiTheme="minorEastAsia" w:eastAsiaTheme="minorEastAsia" w:cstheme="minorEastAsia"/>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Theme="minorEastAsia" w:hAnsiTheme="minorEastAsia" w:eastAsiaTheme="minorEastAsia" w:cstheme="minorEastAsia"/>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Theme="minorEastAsia" w:hAnsiTheme="minorEastAsia" w:eastAsiaTheme="minorEastAsia" w:cstheme="minorEastAsia"/>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Theme="minorEastAsia" w:hAnsiTheme="minorEastAsia" w:eastAsiaTheme="minorEastAsia" w:cs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33"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Theme="minorEastAsia" w:hAnsiTheme="minorEastAsia" w:eastAsiaTheme="minorEastAsia" w:cstheme="minorEastAsia"/>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Theme="minorEastAsia" w:hAnsiTheme="minorEastAsia" w:eastAsiaTheme="minorEastAsia" w:cstheme="minorEastAsia"/>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Theme="minorEastAsia" w:hAnsiTheme="minorEastAsia" w:eastAsiaTheme="minorEastAsia" w:cstheme="minorEastAsia"/>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Theme="minorEastAsia" w:hAnsiTheme="minorEastAsia" w:eastAsiaTheme="minorEastAsia" w:cs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133"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Theme="minorEastAsia" w:hAnsiTheme="minorEastAsia" w:eastAsiaTheme="minorEastAsia" w:cstheme="minorEastAsia"/>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Theme="minorEastAsia" w:hAnsiTheme="minorEastAsia" w:eastAsiaTheme="minorEastAsia" w:cstheme="minorEastAsia"/>
                <w:color w:val="auto"/>
                <w:sz w:val="24"/>
                <w:highlight w:val="none"/>
              </w:rPr>
            </w:pPr>
          </w:p>
        </w:tc>
        <w:tc>
          <w:tcPr>
            <w:tcW w:w="1770"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Theme="minorEastAsia" w:hAnsiTheme="minorEastAsia" w:eastAsiaTheme="minorEastAsia" w:cstheme="minorEastAsia"/>
                <w:color w:val="auto"/>
                <w:sz w:val="24"/>
                <w:highlight w:val="none"/>
              </w:rPr>
            </w:pPr>
          </w:p>
        </w:tc>
        <w:tc>
          <w:tcPr>
            <w:tcW w:w="2855" w:type="dxa"/>
            <w:tcBorders>
              <w:top w:val="single" w:color="auto" w:sz="4" w:space="0"/>
              <w:left w:val="single" w:color="auto" w:sz="4" w:space="0"/>
              <w:bottom w:val="single" w:color="auto" w:sz="4" w:space="0"/>
              <w:right w:val="single" w:color="auto" w:sz="4" w:space="0"/>
            </w:tcBorders>
          </w:tcPr>
          <w:p>
            <w:pPr>
              <w:snapToGrid w:val="0"/>
              <w:spacing w:before="50" w:afterLines="50" w:line="360" w:lineRule="auto"/>
              <w:jc w:val="left"/>
              <w:rPr>
                <w:rFonts w:asciiTheme="minorEastAsia" w:hAnsiTheme="minorEastAsia" w:eastAsiaTheme="minorEastAsia" w:cstheme="minorEastAsia"/>
                <w:color w:val="auto"/>
                <w:sz w:val="24"/>
                <w:highlight w:val="none"/>
              </w:rPr>
            </w:pPr>
          </w:p>
        </w:tc>
      </w:tr>
    </w:tbl>
    <w:p>
      <w:pPr>
        <w:pStyle w:val="16"/>
        <w:spacing w:before="0" w:after="0" w:line="360" w:lineRule="auto"/>
        <w:contextualSpacing/>
        <w:rPr>
          <w:rFonts w:asciiTheme="minorEastAsia" w:hAnsiTheme="minorEastAsia" w:eastAsiaTheme="minorEastAsia" w:cstheme="minorEastAsia"/>
          <w:color w:val="auto"/>
          <w:sz w:val="24"/>
          <w:szCs w:val="24"/>
          <w:highlight w:val="none"/>
        </w:rPr>
      </w:pPr>
    </w:p>
    <w:p>
      <w:pPr>
        <w:pStyle w:val="16"/>
        <w:spacing w:before="0" w:after="0" w:line="360" w:lineRule="auto"/>
        <w:contextualSpacing/>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r>
        <w:rPr>
          <w:rFonts w:hint="eastAsia" w:asciiTheme="minorEastAsia" w:hAnsiTheme="minorEastAsia" w:eastAsiaTheme="minorEastAsia" w:cstheme="minorEastAsia"/>
          <w:color w:val="auto"/>
          <w:sz w:val="24"/>
          <w:highlight w:val="none"/>
        </w:rPr>
        <w:t>投标人根据评标标准具体要求附业绩证明材料。</w:t>
      </w:r>
    </w:p>
    <w:p>
      <w:pPr>
        <w:pStyle w:val="16"/>
        <w:spacing w:before="0" w:after="0" w:line="360" w:lineRule="auto"/>
        <w:contextualSpacing/>
        <w:jc w:val="left"/>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法定代表人或者委托代理人（签字/电子签名）：</w:t>
      </w:r>
      <w:r>
        <w:rPr>
          <w:rFonts w:hint="eastAsia" w:asciiTheme="minorEastAsia" w:hAnsiTheme="minorEastAsia" w:eastAsiaTheme="minorEastAsia" w:cstheme="minorEastAsia"/>
          <w:color w:val="auto"/>
          <w:sz w:val="24"/>
          <w:szCs w:val="24"/>
          <w:highlight w:val="none"/>
          <w:u w:val="single"/>
        </w:rPr>
        <w:t>　　　　　</w:t>
      </w:r>
    </w:p>
    <w:p>
      <w:pPr>
        <w:spacing w:line="360" w:lineRule="auto"/>
        <w:ind w:right="480"/>
        <w:contextualSpacing/>
        <w:jc w:val="left"/>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highlight w:val="none"/>
        </w:rPr>
        <w:t>投标人名称（电子签章）：                                                               年    月    日</w:t>
      </w:r>
    </w:p>
    <w:p>
      <w:pPr>
        <w:snapToGrid w:val="0"/>
        <w:spacing w:before="50" w:line="360" w:lineRule="auto"/>
        <w:ind w:firstLine="480" w:firstLineChars="200"/>
        <w:jc w:val="left"/>
        <w:rPr>
          <w:rFonts w:asciiTheme="minorEastAsia" w:hAnsiTheme="minorEastAsia" w:eastAsiaTheme="minorEastAsia" w:cstheme="minorEastAsia"/>
          <w:color w:val="auto"/>
          <w:sz w:val="24"/>
          <w:szCs w:val="20"/>
          <w:highlight w:val="none"/>
        </w:rPr>
      </w:pPr>
    </w:p>
    <w:p>
      <w:pPr>
        <w:snapToGrid w:val="0"/>
        <w:spacing w:before="50" w:line="360" w:lineRule="auto"/>
        <w:jc w:val="left"/>
        <w:rPr>
          <w:rFonts w:asciiTheme="minorEastAsia" w:hAnsiTheme="minorEastAsia" w:eastAsiaTheme="minorEastAsia" w:cstheme="minorEastAsia"/>
          <w:color w:val="auto"/>
          <w:sz w:val="24"/>
          <w:highlight w:val="none"/>
        </w:rPr>
      </w:pPr>
    </w:p>
    <w:p>
      <w:pPr>
        <w:snapToGrid w:val="0"/>
        <w:spacing w:beforeLines="50" w:line="360" w:lineRule="auto"/>
        <w:rPr>
          <w:rFonts w:asciiTheme="minorEastAsia" w:hAnsiTheme="minorEastAsia" w:eastAsiaTheme="minorEastAsia" w:cstheme="minorEastAsia"/>
          <w:color w:val="auto"/>
          <w:sz w:val="24"/>
          <w:szCs w:val="20"/>
          <w:highlight w:val="none"/>
        </w:rPr>
        <w:sectPr>
          <w:pgSz w:w="11906" w:h="16838"/>
          <w:pgMar w:top="1440" w:right="1080" w:bottom="1440" w:left="1080" w:header="851" w:footer="992" w:gutter="0"/>
          <w:cols w:space="720" w:num="1"/>
          <w:docGrid w:linePitch="312" w:charSpace="0"/>
        </w:sectPr>
      </w:pPr>
    </w:p>
    <w:p>
      <w:pPr>
        <w:spacing w:line="360" w:lineRule="auto"/>
        <w:rPr>
          <w:rFonts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四、技术文件格式</w:t>
      </w:r>
    </w:p>
    <w:p>
      <w:pPr>
        <w:snapToGrid w:val="0"/>
        <w:spacing w:beforeLines="50" w:after="50" w:line="360" w:lineRule="auto"/>
        <w:ind w:left="142"/>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 xml:space="preserve">1. 技术文件封面格式： </w:t>
      </w:r>
    </w:p>
    <w:p>
      <w:pPr>
        <w:snapToGrid w:val="0"/>
        <w:spacing w:beforeLines="50" w:after="50" w:line="360" w:lineRule="auto"/>
        <w:ind w:left="142"/>
        <w:jc w:val="center"/>
        <w:rPr>
          <w:rFonts w:asciiTheme="minorEastAsia" w:hAnsiTheme="minorEastAsia" w:eastAsiaTheme="minorEastAsia" w:cstheme="minorEastAsia"/>
          <w:bCs/>
          <w:color w:val="auto"/>
          <w:sz w:val="48"/>
          <w:szCs w:val="48"/>
          <w:highlight w:val="none"/>
        </w:rPr>
      </w:pPr>
      <w:r>
        <w:rPr>
          <w:rFonts w:hint="eastAsia" w:asciiTheme="minorEastAsia" w:hAnsiTheme="minorEastAsia" w:eastAsiaTheme="minorEastAsia" w:cstheme="minorEastAsia"/>
          <w:bCs/>
          <w:color w:val="auto"/>
          <w:sz w:val="48"/>
          <w:szCs w:val="48"/>
          <w:highlight w:val="none"/>
        </w:rPr>
        <w:t>电子投标文件</w:t>
      </w:r>
    </w:p>
    <w:p>
      <w:pPr>
        <w:snapToGrid w:val="0"/>
        <w:spacing w:beforeLines="50" w:after="50" w:line="360" w:lineRule="auto"/>
        <w:jc w:val="center"/>
        <w:rPr>
          <w:rFonts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技术文件</w:t>
      </w:r>
    </w:p>
    <w:p>
      <w:pPr>
        <w:snapToGrid w:val="0"/>
        <w:spacing w:beforeLines="50" w:after="50" w:line="360" w:lineRule="auto"/>
        <w:rPr>
          <w:rFonts w:asciiTheme="minorEastAsia" w:hAnsiTheme="minorEastAsia" w:eastAsiaTheme="minorEastAsia" w:cstheme="minorEastAsia"/>
          <w:bCs/>
          <w:color w:val="auto"/>
          <w:sz w:val="24"/>
          <w:szCs w:val="20"/>
          <w:highlight w:val="none"/>
        </w:rPr>
      </w:pPr>
    </w:p>
    <w:p>
      <w:pPr>
        <w:snapToGrid w:val="0"/>
        <w:spacing w:beforeLines="50" w:after="50" w:line="360" w:lineRule="auto"/>
        <w:ind w:firstLine="360" w:firstLineChars="150"/>
        <w:rPr>
          <w:rFonts w:asciiTheme="minorEastAsia" w:hAnsiTheme="minorEastAsia" w:eastAsiaTheme="minorEastAsia" w:cstheme="minorEastAsia"/>
          <w:bCs/>
          <w:color w:val="auto"/>
          <w:sz w:val="24"/>
          <w:szCs w:val="20"/>
          <w:highlight w:val="none"/>
        </w:rPr>
      </w:pPr>
      <w:r>
        <w:rPr>
          <w:rFonts w:hint="eastAsia" w:asciiTheme="minorEastAsia" w:hAnsiTheme="minorEastAsia" w:eastAsiaTheme="minorEastAsia" w:cstheme="minorEastAsia"/>
          <w:bCs/>
          <w:color w:val="auto"/>
          <w:sz w:val="24"/>
          <w:highlight w:val="none"/>
        </w:rPr>
        <w:t xml:space="preserve">项目名称： </w:t>
      </w:r>
    </w:p>
    <w:p>
      <w:pPr>
        <w:snapToGrid w:val="0"/>
        <w:spacing w:beforeLines="50" w:after="50" w:line="360" w:lineRule="auto"/>
        <w:ind w:firstLine="360" w:firstLineChars="150"/>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 xml:space="preserve">项目编号： </w:t>
      </w:r>
    </w:p>
    <w:p>
      <w:pPr>
        <w:snapToGrid w:val="0"/>
        <w:spacing w:beforeLines="50" w:after="50" w:line="360" w:lineRule="auto"/>
        <w:ind w:firstLine="360" w:firstLineChars="150"/>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所投分标</w:t>
      </w:r>
      <w:r>
        <w:rPr>
          <w:rFonts w:hint="eastAsia" w:asciiTheme="minorEastAsia" w:hAnsiTheme="minorEastAsia" w:eastAsiaTheme="minorEastAsia" w:cstheme="minorEastAsia"/>
          <w:color w:val="auto"/>
          <w:sz w:val="24"/>
          <w:highlight w:val="none"/>
        </w:rPr>
        <w:t>（如有）</w:t>
      </w:r>
      <w:r>
        <w:rPr>
          <w:rFonts w:hint="eastAsia" w:asciiTheme="minorEastAsia" w:hAnsiTheme="minorEastAsia" w:eastAsiaTheme="minorEastAsia" w:cstheme="minorEastAsia"/>
          <w:bCs/>
          <w:color w:val="auto"/>
          <w:sz w:val="24"/>
          <w:highlight w:val="none"/>
        </w:rPr>
        <w:t>：</w:t>
      </w:r>
    </w:p>
    <w:p>
      <w:pPr>
        <w:snapToGrid w:val="0"/>
        <w:spacing w:beforeLines="50" w:after="50" w:line="360" w:lineRule="auto"/>
        <w:ind w:firstLine="360" w:firstLineChars="150"/>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投标人名称：</w:t>
      </w:r>
    </w:p>
    <w:p>
      <w:pPr>
        <w:snapToGrid w:val="0"/>
        <w:spacing w:beforeLines="50" w:after="50" w:line="360" w:lineRule="auto"/>
        <w:ind w:firstLine="360" w:firstLineChars="150"/>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投标人地址：</w:t>
      </w:r>
    </w:p>
    <w:p>
      <w:pPr>
        <w:snapToGrid w:val="0"/>
        <w:spacing w:beforeLines="50" w:after="50" w:line="360" w:lineRule="auto"/>
        <w:ind w:firstLine="645"/>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                        年    月    日</w:t>
      </w:r>
    </w:p>
    <w:p>
      <w:pPr>
        <w:snapToGrid w:val="0"/>
        <w:spacing w:beforeLines="50" w:after="50" w:line="360" w:lineRule="auto"/>
        <w:ind w:firstLine="645"/>
        <w:jc w:val="center"/>
        <w:rPr>
          <w:rFonts w:asciiTheme="minorEastAsia" w:hAnsiTheme="minorEastAsia" w:eastAsiaTheme="minorEastAsia" w:cstheme="minorEastAsia"/>
          <w:color w:val="auto"/>
          <w:sz w:val="24"/>
          <w:szCs w:val="20"/>
          <w:highlight w:val="none"/>
        </w:rPr>
      </w:pPr>
    </w:p>
    <w:p>
      <w:pPr>
        <w:snapToGrid w:val="0"/>
        <w:spacing w:beforeLines="50" w:after="50" w:line="360" w:lineRule="auto"/>
        <w:ind w:left="142"/>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highlight w:val="none"/>
        </w:rPr>
        <w:br w:type="page"/>
      </w:r>
      <w:r>
        <w:rPr>
          <w:rFonts w:hint="eastAsia" w:asciiTheme="minorEastAsia" w:hAnsiTheme="minorEastAsia" w:eastAsiaTheme="minorEastAsia" w:cstheme="minorEastAsia"/>
          <w:b/>
          <w:color w:val="auto"/>
          <w:sz w:val="24"/>
          <w:highlight w:val="none"/>
        </w:rPr>
        <w:t>2.技术文件目录</w:t>
      </w:r>
    </w:p>
    <w:p>
      <w:pPr>
        <w:snapToGrid w:val="0"/>
        <w:spacing w:before="50" w:afterLines="50" w:line="360" w:lineRule="auto"/>
        <w:ind w:firstLine="560" w:firstLineChars="200"/>
        <w:jc w:val="left"/>
        <w:rPr>
          <w:rFonts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根据招标文件规定及投标人提供的材料自行编写目录。</w:t>
      </w:r>
    </w:p>
    <w:p>
      <w:pPr>
        <w:snapToGrid w:val="0"/>
        <w:spacing w:beforeLines="50" w:after="50" w:line="360" w:lineRule="auto"/>
        <w:ind w:left="142"/>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color w:val="auto"/>
          <w:sz w:val="24"/>
          <w:highlight w:val="none"/>
        </w:rPr>
        <w:t>3. 设备性能配置清单格式</w:t>
      </w:r>
    </w:p>
    <w:p>
      <w:pPr>
        <w:snapToGrid w:val="0"/>
        <w:spacing w:beforeLines="50" w:after="50" w:line="360" w:lineRule="auto"/>
        <w:ind w:left="142"/>
        <w:jc w:val="center"/>
        <w:rPr>
          <w:rFonts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设备性能配置清单</w:t>
      </w:r>
    </w:p>
    <w:p>
      <w:pPr>
        <w:pStyle w:val="27"/>
        <w:spacing w:line="36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所投分标</w:t>
      </w:r>
      <w:r>
        <w:rPr>
          <w:rFonts w:hint="eastAsia" w:asciiTheme="minorEastAsia" w:hAnsiTheme="minorEastAsia" w:eastAsiaTheme="minorEastAsia" w:cstheme="minorEastAsia"/>
          <w:color w:val="auto"/>
          <w:sz w:val="24"/>
          <w:highlight w:val="none"/>
        </w:rPr>
        <w:t>（如有）</w:t>
      </w:r>
      <w:r>
        <w:rPr>
          <w:rFonts w:hint="eastAsia" w:asciiTheme="minorEastAsia" w:hAnsiTheme="minorEastAsia" w:eastAsiaTheme="minorEastAsia" w:cstheme="minorEastAsia"/>
          <w:color w:val="auto"/>
          <w:sz w:val="24"/>
          <w:szCs w:val="24"/>
          <w:highlight w:val="none"/>
        </w:rPr>
        <w:t>：分标</w:t>
      </w:r>
    </w:p>
    <w:tbl>
      <w:tblPr>
        <w:tblStyle w:val="52"/>
        <w:tblW w:w="852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187"/>
        <w:gridCol w:w="1052"/>
        <w:gridCol w:w="851"/>
        <w:gridCol w:w="1418"/>
        <w:gridCol w:w="1187"/>
        <w:gridCol w:w="703"/>
        <w:gridCol w:w="14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30"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11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货物名称</w:t>
            </w:r>
          </w:p>
        </w:tc>
        <w:tc>
          <w:tcPr>
            <w:tcW w:w="105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数量及单位</w:t>
            </w: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品牌</w:t>
            </w:r>
          </w:p>
        </w:tc>
        <w:tc>
          <w:tcPr>
            <w:tcW w:w="14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规格型号</w:t>
            </w:r>
          </w:p>
        </w:tc>
        <w:tc>
          <w:tcPr>
            <w:tcW w:w="11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制造商</w:t>
            </w:r>
          </w:p>
        </w:tc>
        <w:tc>
          <w:tcPr>
            <w:tcW w:w="70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原产地</w:t>
            </w:r>
          </w:p>
        </w:tc>
        <w:tc>
          <w:tcPr>
            <w:tcW w:w="14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参数性能、指标及配置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105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70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6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105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70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5"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105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118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70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c>
          <w:tcPr>
            <w:tcW w:w="14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auto"/>
              <w:jc w:val="center"/>
              <w:rPr>
                <w:rFonts w:asciiTheme="minorEastAsia" w:hAnsiTheme="minorEastAsia" w:eastAsiaTheme="minorEastAsia" w:cstheme="minorEastAsia"/>
                <w:color w:val="auto"/>
                <w:sz w:val="24"/>
                <w:highlight w:val="none"/>
              </w:rPr>
            </w:pPr>
          </w:p>
        </w:tc>
      </w:tr>
    </w:tbl>
    <w:p>
      <w:pPr>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备注：</w:t>
      </w:r>
    </w:p>
    <w:p>
      <w:pPr>
        <w:spacing w:line="360" w:lineRule="auto"/>
        <w:ind w:firstLine="480" w:firstLineChars="200"/>
        <w:contextualSpacing/>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以上设备性能配置清单中“货物名称、数量及单位、品牌、规格型号、制造商、原产地、参数性能、指标及配置”必须如实填写完整，品牌、规格型号没有则填无，填写有缺漏</w:t>
      </w:r>
      <w:r>
        <w:rPr>
          <w:rFonts w:hint="eastAsia" w:asciiTheme="minorEastAsia" w:hAnsiTheme="minorEastAsia" w:eastAsiaTheme="minorEastAsia" w:cstheme="minorEastAsia"/>
          <w:bCs/>
          <w:color w:val="auto"/>
          <w:sz w:val="24"/>
          <w:highlight w:val="none"/>
        </w:rPr>
        <w:t>的，</w:t>
      </w:r>
      <w:r>
        <w:rPr>
          <w:rFonts w:hint="eastAsia" w:asciiTheme="minorEastAsia" w:hAnsiTheme="minorEastAsia" w:eastAsiaTheme="minorEastAsia" w:cstheme="minorEastAsia"/>
          <w:b/>
          <w:color w:val="auto"/>
          <w:sz w:val="24"/>
          <w:highlight w:val="none"/>
        </w:rPr>
        <w:t>作无效投标处理。</w:t>
      </w:r>
      <w:r>
        <w:rPr>
          <w:rFonts w:hint="eastAsia" w:asciiTheme="minorEastAsia" w:hAnsiTheme="minorEastAsia" w:eastAsiaTheme="minorEastAsia" w:cstheme="minorEastAsia"/>
          <w:color w:val="auto"/>
          <w:sz w:val="24"/>
          <w:highlight w:val="none"/>
        </w:rPr>
        <w:t>货物名称、数量及单位、品牌必须与“开标一览表”一致，</w:t>
      </w:r>
      <w:r>
        <w:rPr>
          <w:rFonts w:hint="eastAsia" w:asciiTheme="minorEastAsia" w:hAnsiTheme="minorEastAsia" w:eastAsiaTheme="minorEastAsia" w:cstheme="minorEastAsia"/>
          <w:b/>
          <w:color w:val="auto"/>
          <w:sz w:val="24"/>
          <w:highlight w:val="none"/>
        </w:rPr>
        <w:t>否则按无效投标处理。</w:t>
      </w:r>
    </w:p>
    <w:p>
      <w:pPr>
        <w:spacing w:line="360" w:lineRule="auto"/>
        <w:ind w:firstLine="480" w:firstLineChars="200"/>
        <w:contextualSpacing/>
        <w:rPr>
          <w:rFonts w:asciiTheme="minorEastAsia" w:hAnsiTheme="minorEastAsia" w:eastAsiaTheme="minorEastAsia" w:cstheme="minorEastAsia"/>
          <w:color w:val="auto"/>
          <w:sz w:val="24"/>
          <w:highlight w:val="none"/>
        </w:rPr>
      </w:pPr>
    </w:p>
    <w:p>
      <w:pPr>
        <w:spacing w:line="360" w:lineRule="auto"/>
        <w:contextualSpacing/>
        <w:rPr>
          <w:rFonts w:asciiTheme="minorEastAsia" w:hAnsiTheme="minorEastAsia" w:eastAsiaTheme="minorEastAsia" w:cstheme="minorEastAsia"/>
          <w:color w:val="auto"/>
          <w:spacing w:val="20"/>
          <w:sz w:val="24"/>
          <w:highlight w:val="none"/>
          <w:u w:val="single"/>
        </w:rPr>
      </w:pPr>
      <w:r>
        <w:rPr>
          <w:rFonts w:hint="eastAsia" w:asciiTheme="minorEastAsia" w:hAnsiTheme="minorEastAsia" w:eastAsiaTheme="minorEastAsia" w:cstheme="minorEastAsia"/>
          <w:color w:val="auto"/>
          <w:sz w:val="24"/>
          <w:highlight w:val="none"/>
        </w:rPr>
        <w:t>法定代表人或者委托代理人</w:t>
      </w:r>
      <w:r>
        <w:rPr>
          <w:rFonts w:hint="eastAsia" w:asciiTheme="minorEastAsia" w:hAnsiTheme="minorEastAsia" w:eastAsiaTheme="minorEastAsia" w:cstheme="minorEastAsia"/>
          <w:color w:val="auto"/>
          <w:spacing w:val="20"/>
          <w:sz w:val="24"/>
          <w:highlight w:val="none"/>
        </w:rPr>
        <w:t>（签字/电子签名）：</w:t>
      </w:r>
    </w:p>
    <w:p>
      <w:pPr>
        <w:spacing w:line="360" w:lineRule="auto"/>
        <w:contextualSpacing/>
        <w:rPr>
          <w:rFonts w:asciiTheme="minorEastAsia" w:hAnsiTheme="minorEastAsia" w:eastAsiaTheme="minorEastAsia" w:cstheme="minorEastAsia"/>
          <w:color w:val="auto"/>
          <w:spacing w:val="20"/>
          <w:sz w:val="24"/>
          <w:highlight w:val="none"/>
        </w:rPr>
      </w:pPr>
      <w:r>
        <w:rPr>
          <w:rFonts w:hint="eastAsia" w:asciiTheme="minorEastAsia" w:hAnsiTheme="minorEastAsia" w:eastAsiaTheme="minorEastAsia" w:cstheme="minorEastAsia"/>
          <w:color w:val="auto"/>
          <w:spacing w:val="20"/>
          <w:sz w:val="24"/>
          <w:highlight w:val="none"/>
        </w:rPr>
        <w:t>投标人名称（电子签章）：</w:t>
      </w:r>
    </w:p>
    <w:p>
      <w:pPr>
        <w:spacing w:line="360" w:lineRule="auto"/>
        <w:contextualSpacing/>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pacing w:val="20"/>
          <w:sz w:val="24"/>
          <w:highlight w:val="none"/>
        </w:rPr>
        <w:t>日  期：</w:t>
      </w:r>
    </w:p>
    <w:p>
      <w:pPr>
        <w:snapToGrid w:val="0"/>
        <w:spacing w:before="50" w:afterLines="50" w:line="360" w:lineRule="auto"/>
        <w:jc w:val="left"/>
        <w:rPr>
          <w:rFonts w:asciiTheme="minorEastAsia" w:hAnsiTheme="minorEastAsia" w:eastAsiaTheme="minorEastAsia" w:cstheme="minorEastAsia"/>
          <w:color w:val="auto"/>
          <w:sz w:val="24"/>
          <w:szCs w:val="20"/>
          <w:highlight w:val="none"/>
        </w:rPr>
      </w:pPr>
    </w:p>
    <w:p>
      <w:pPr>
        <w:snapToGrid w:val="0"/>
        <w:spacing w:before="50" w:afterLines="50" w:line="360" w:lineRule="auto"/>
        <w:jc w:val="left"/>
        <w:rPr>
          <w:rFonts w:asciiTheme="minorEastAsia" w:hAnsiTheme="minorEastAsia" w:eastAsiaTheme="minorEastAsia" w:cstheme="minorEastAsia"/>
          <w:color w:val="auto"/>
          <w:sz w:val="24"/>
          <w:szCs w:val="20"/>
          <w:highlight w:val="none"/>
        </w:rPr>
      </w:pPr>
    </w:p>
    <w:p>
      <w:pPr>
        <w:snapToGrid w:val="0"/>
        <w:spacing w:beforeLines="50" w:after="50" w:line="360" w:lineRule="auto"/>
        <w:ind w:left="142"/>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color w:val="auto"/>
          <w:sz w:val="24"/>
          <w:highlight w:val="none"/>
        </w:rPr>
        <w:t>4. 技术要求偏离表格式</w:t>
      </w:r>
    </w:p>
    <w:p>
      <w:pPr>
        <w:snapToGrid w:val="0"/>
        <w:spacing w:beforeLines="50" w:after="50" w:line="360" w:lineRule="auto"/>
        <w:ind w:left="142"/>
        <w:jc w:val="center"/>
        <w:rPr>
          <w:rFonts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技术要求偏离表</w:t>
      </w:r>
    </w:p>
    <w:p>
      <w:pPr>
        <w:pStyle w:val="27"/>
        <w:spacing w:line="36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所投分标</w:t>
      </w:r>
      <w:r>
        <w:rPr>
          <w:rFonts w:hint="eastAsia" w:asciiTheme="minorEastAsia" w:hAnsiTheme="minorEastAsia" w:eastAsiaTheme="minorEastAsia" w:cstheme="minorEastAsia"/>
          <w:color w:val="auto"/>
          <w:sz w:val="24"/>
          <w:highlight w:val="none"/>
        </w:rPr>
        <w:t>（如有）</w:t>
      </w:r>
      <w:r>
        <w:rPr>
          <w:rFonts w:hint="eastAsia" w:asciiTheme="minorEastAsia" w:hAnsiTheme="minorEastAsia" w:eastAsiaTheme="minorEastAsia" w:cstheme="minorEastAsia"/>
          <w:color w:val="auto"/>
          <w:sz w:val="24"/>
          <w:szCs w:val="24"/>
          <w:highlight w:val="none"/>
        </w:rPr>
        <w:t>：分标</w:t>
      </w:r>
    </w:p>
    <w:tbl>
      <w:tblPr>
        <w:tblStyle w:val="52"/>
        <w:tblW w:w="89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jc w:val="center"/>
        </w:trPr>
        <w:tc>
          <w:tcPr>
            <w:tcW w:w="852" w:type="dxa"/>
            <w:vAlign w:val="center"/>
          </w:tcPr>
          <w:p>
            <w:pPr>
              <w:pStyle w:val="27"/>
              <w:spacing w:line="360" w:lineRule="auto"/>
              <w:rPr>
                <w:rFonts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序号</w:t>
            </w:r>
          </w:p>
        </w:tc>
        <w:tc>
          <w:tcPr>
            <w:tcW w:w="2143" w:type="dxa"/>
            <w:vAlign w:val="center"/>
          </w:tcPr>
          <w:p>
            <w:pPr>
              <w:pStyle w:val="27"/>
              <w:spacing w:line="360" w:lineRule="auto"/>
              <w:ind w:firstLine="480"/>
              <w:jc w:val="center"/>
              <w:rPr>
                <w:rFonts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标的的名称</w:t>
            </w:r>
          </w:p>
        </w:tc>
        <w:tc>
          <w:tcPr>
            <w:tcW w:w="1834" w:type="dxa"/>
            <w:vAlign w:val="center"/>
          </w:tcPr>
          <w:p>
            <w:pPr>
              <w:pStyle w:val="27"/>
              <w:spacing w:line="360" w:lineRule="auto"/>
              <w:ind w:firstLine="480"/>
              <w:jc w:val="center"/>
              <w:rPr>
                <w:rFonts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技术要求</w:t>
            </w:r>
          </w:p>
        </w:tc>
        <w:tc>
          <w:tcPr>
            <w:tcW w:w="2181" w:type="dxa"/>
            <w:vAlign w:val="center"/>
          </w:tcPr>
          <w:p>
            <w:pPr>
              <w:pStyle w:val="27"/>
              <w:spacing w:line="360" w:lineRule="auto"/>
              <w:ind w:firstLine="480"/>
              <w:jc w:val="center"/>
              <w:rPr>
                <w:rFonts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投标响应</w:t>
            </w:r>
          </w:p>
        </w:tc>
        <w:tc>
          <w:tcPr>
            <w:tcW w:w="1934" w:type="dxa"/>
            <w:vAlign w:val="center"/>
          </w:tcPr>
          <w:p>
            <w:pPr>
              <w:pStyle w:val="27"/>
              <w:spacing w:line="360" w:lineRule="auto"/>
              <w:ind w:firstLine="480"/>
              <w:jc w:val="center"/>
              <w:rPr>
                <w:rFonts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 w:type="dxa"/>
          </w:tcPr>
          <w:p>
            <w:pPr>
              <w:pStyle w:val="27"/>
              <w:spacing w:line="360" w:lineRule="auto"/>
              <w:ind w:firstLine="480"/>
              <w:jc w:val="center"/>
              <w:rPr>
                <w:rFonts w:asciiTheme="minorEastAsia" w:hAnsiTheme="minorEastAsia" w:eastAsiaTheme="minorEastAsia" w:cstheme="minorEastAsia"/>
                <w:color w:val="auto"/>
                <w:kern w:val="2"/>
                <w:sz w:val="24"/>
                <w:szCs w:val="24"/>
                <w:highlight w:val="none"/>
              </w:rPr>
            </w:pPr>
          </w:p>
        </w:tc>
        <w:tc>
          <w:tcPr>
            <w:tcW w:w="2143" w:type="dxa"/>
            <w:vAlign w:val="center"/>
          </w:tcPr>
          <w:p>
            <w:pPr>
              <w:pStyle w:val="27"/>
              <w:spacing w:line="360" w:lineRule="auto"/>
              <w:ind w:firstLine="480"/>
              <w:jc w:val="center"/>
              <w:rPr>
                <w:rFonts w:asciiTheme="minorEastAsia" w:hAnsiTheme="minorEastAsia" w:eastAsiaTheme="minorEastAsia" w:cstheme="minorEastAsia"/>
                <w:color w:val="auto"/>
                <w:kern w:val="2"/>
                <w:sz w:val="24"/>
                <w:szCs w:val="24"/>
                <w:highlight w:val="none"/>
              </w:rPr>
            </w:pPr>
          </w:p>
        </w:tc>
        <w:tc>
          <w:tcPr>
            <w:tcW w:w="1834" w:type="dxa"/>
            <w:vAlign w:val="center"/>
          </w:tcPr>
          <w:p>
            <w:pPr>
              <w:pStyle w:val="27"/>
              <w:spacing w:line="360" w:lineRule="auto"/>
              <w:ind w:firstLine="480"/>
              <w:jc w:val="center"/>
              <w:rPr>
                <w:rFonts w:asciiTheme="minorEastAsia" w:hAnsiTheme="minorEastAsia" w:eastAsiaTheme="minorEastAsia" w:cstheme="minorEastAsia"/>
                <w:color w:val="auto"/>
                <w:kern w:val="2"/>
                <w:sz w:val="24"/>
                <w:szCs w:val="24"/>
                <w:highlight w:val="none"/>
              </w:rPr>
            </w:pPr>
          </w:p>
        </w:tc>
        <w:tc>
          <w:tcPr>
            <w:tcW w:w="2181" w:type="dxa"/>
            <w:vAlign w:val="center"/>
          </w:tcPr>
          <w:p>
            <w:pPr>
              <w:pStyle w:val="27"/>
              <w:spacing w:line="360" w:lineRule="auto"/>
              <w:ind w:firstLine="480"/>
              <w:jc w:val="center"/>
              <w:rPr>
                <w:rFonts w:asciiTheme="minorEastAsia" w:hAnsiTheme="minorEastAsia" w:eastAsiaTheme="minorEastAsia" w:cstheme="minorEastAsia"/>
                <w:color w:val="auto"/>
                <w:kern w:val="2"/>
                <w:sz w:val="24"/>
                <w:szCs w:val="24"/>
                <w:highlight w:val="none"/>
              </w:rPr>
            </w:pPr>
          </w:p>
        </w:tc>
        <w:tc>
          <w:tcPr>
            <w:tcW w:w="1934" w:type="dxa"/>
            <w:vAlign w:val="center"/>
          </w:tcPr>
          <w:p>
            <w:pPr>
              <w:pStyle w:val="27"/>
              <w:spacing w:line="360" w:lineRule="auto"/>
              <w:ind w:firstLine="480"/>
              <w:jc w:val="center"/>
              <w:rPr>
                <w:rFonts w:asciiTheme="minorEastAsia" w:hAnsiTheme="minorEastAsia" w:eastAsiaTheme="minorEastAsia" w:cstheme="minorEastAsia"/>
                <w:color w:val="auto"/>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 w:type="dxa"/>
          </w:tcPr>
          <w:p>
            <w:pPr>
              <w:pStyle w:val="27"/>
              <w:spacing w:line="360" w:lineRule="auto"/>
              <w:ind w:firstLine="480"/>
              <w:rPr>
                <w:rFonts w:asciiTheme="minorEastAsia" w:hAnsiTheme="minorEastAsia" w:eastAsiaTheme="minorEastAsia" w:cstheme="minorEastAsia"/>
                <w:color w:val="auto"/>
                <w:kern w:val="2"/>
                <w:sz w:val="24"/>
                <w:szCs w:val="24"/>
                <w:highlight w:val="none"/>
              </w:rPr>
            </w:pPr>
          </w:p>
        </w:tc>
        <w:tc>
          <w:tcPr>
            <w:tcW w:w="2143" w:type="dxa"/>
          </w:tcPr>
          <w:p>
            <w:pPr>
              <w:pStyle w:val="27"/>
              <w:spacing w:line="360" w:lineRule="auto"/>
              <w:ind w:firstLine="480"/>
              <w:rPr>
                <w:rFonts w:asciiTheme="minorEastAsia" w:hAnsiTheme="minorEastAsia" w:eastAsiaTheme="minorEastAsia" w:cstheme="minorEastAsia"/>
                <w:color w:val="auto"/>
                <w:kern w:val="2"/>
                <w:sz w:val="24"/>
                <w:szCs w:val="24"/>
                <w:highlight w:val="none"/>
              </w:rPr>
            </w:pPr>
          </w:p>
        </w:tc>
        <w:tc>
          <w:tcPr>
            <w:tcW w:w="1834" w:type="dxa"/>
          </w:tcPr>
          <w:p>
            <w:pPr>
              <w:pStyle w:val="27"/>
              <w:spacing w:line="360" w:lineRule="auto"/>
              <w:ind w:firstLine="480"/>
              <w:rPr>
                <w:rFonts w:asciiTheme="minorEastAsia" w:hAnsiTheme="minorEastAsia" w:eastAsiaTheme="minorEastAsia" w:cstheme="minorEastAsia"/>
                <w:color w:val="auto"/>
                <w:kern w:val="2"/>
                <w:sz w:val="24"/>
                <w:szCs w:val="24"/>
                <w:highlight w:val="none"/>
              </w:rPr>
            </w:pPr>
          </w:p>
        </w:tc>
        <w:tc>
          <w:tcPr>
            <w:tcW w:w="2181" w:type="dxa"/>
          </w:tcPr>
          <w:p>
            <w:pPr>
              <w:pStyle w:val="27"/>
              <w:spacing w:line="360" w:lineRule="auto"/>
              <w:ind w:firstLine="480"/>
              <w:rPr>
                <w:rFonts w:asciiTheme="minorEastAsia" w:hAnsiTheme="minorEastAsia" w:eastAsiaTheme="minorEastAsia" w:cstheme="minorEastAsia"/>
                <w:color w:val="auto"/>
                <w:kern w:val="2"/>
                <w:sz w:val="24"/>
                <w:szCs w:val="24"/>
                <w:highlight w:val="none"/>
              </w:rPr>
            </w:pPr>
          </w:p>
        </w:tc>
        <w:tc>
          <w:tcPr>
            <w:tcW w:w="1934" w:type="dxa"/>
          </w:tcPr>
          <w:p>
            <w:pPr>
              <w:pStyle w:val="27"/>
              <w:spacing w:line="360" w:lineRule="auto"/>
              <w:ind w:firstLine="480"/>
              <w:rPr>
                <w:rFonts w:asciiTheme="minorEastAsia" w:hAnsiTheme="minorEastAsia" w:eastAsiaTheme="minorEastAsia" w:cstheme="minorEastAsia"/>
                <w:color w:val="auto"/>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 w:type="dxa"/>
          </w:tcPr>
          <w:p>
            <w:pPr>
              <w:pStyle w:val="27"/>
              <w:spacing w:line="360" w:lineRule="auto"/>
              <w:ind w:firstLine="480"/>
              <w:rPr>
                <w:rFonts w:asciiTheme="minorEastAsia" w:hAnsiTheme="minorEastAsia" w:eastAsiaTheme="minorEastAsia" w:cstheme="minorEastAsia"/>
                <w:color w:val="auto"/>
                <w:kern w:val="2"/>
                <w:sz w:val="24"/>
                <w:szCs w:val="24"/>
                <w:highlight w:val="none"/>
              </w:rPr>
            </w:pPr>
          </w:p>
        </w:tc>
        <w:tc>
          <w:tcPr>
            <w:tcW w:w="2143" w:type="dxa"/>
          </w:tcPr>
          <w:p>
            <w:pPr>
              <w:pStyle w:val="27"/>
              <w:spacing w:line="360" w:lineRule="auto"/>
              <w:ind w:firstLine="480"/>
              <w:rPr>
                <w:rFonts w:asciiTheme="minorEastAsia" w:hAnsiTheme="minorEastAsia" w:eastAsiaTheme="minorEastAsia" w:cstheme="minorEastAsia"/>
                <w:color w:val="auto"/>
                <w:kern w:val="2"/>
                <w:sz w:val="24"/>
                <w:szCs w:val="24"/>
                <w:highlight w:val="none"/>
              </w:rPr>
            </w:pPr>
          </w:p>
        </w:tc>
        <w:tc>
          <w:tcPr>
            <w:tcW w:w="1834" w:type="dxa"/>
          </w:tcPr>
          <w:p>
            <w:pPr>
              <w:pStyle w:val="27"/>
              <w:spacing w:line="360" w:lineRule="auto"/>
              <w:ind w:firstLine="480"/>
              <w:rPr>
                <w:rFonts w:asciiTheme="minorEastAsia" w:hAnsiTheme="minorEastAsia" w:eastAsiaTheme="minorEastAsia" w:cstheme="minorEastAsia"/>
                <w:color w:val="auto"/>
                <w:kern w:val="2"/>
                <w:sz w:val="24"/>
                <w:szCs w:val="24"/>
                <w:highlight w:val="none"/>
              </w:rPr>
            </w:pPr>
          </w:p>
        </w:tc>
        <w:tc>
          <w:tcPr>
            <w:tcW w:w="2181" w:type="dxa"/>
          </w:tcPr>
          <w:p>
            <w:pPr>
              <w:pStyle w:val="27"/>
              <w:spacing w:line="360" w:lineRule="auto"/>
              <w:ind w:firstLine="480"/>
              <w:rPr>
                <w:rFonts w:asciiTheme="minorEastAsia" w:hAnsiTheme="minorEastAsia" w:eastAsiaTheme="minorEastAsia" w:cstheme="minorEastAsia"/>
                <w:color w:val="auto"/>
                <w:kern w:val="2"/>
                <w:sz w:val="24"/>
                <w:szCs w:val="24"/>
                <w:highlight w:val="none"/>
              </w:rPr>
            </w:pPr>
          </w:p>
        </w:tc>
        <w:tc>
          <w:tcPr>
            <w:tcW w:w="1934" w:type="dxa"/>
          </w:tcPr>
          <w:p>
            <w:pPr>
              <w:pStyle w:val="27"/>
              <w:spacing w:line="360" w:lineRule="auto"/>
              <w:ind w:firstLine="480"/>
              <w:rPr>
                <w:rFonts w:asciiTheme="minorEastAsia" w:hAnsiTheme="minorEastAsia" w:eastAsiaTheme="minorEastAsia" w:cstheme="minorEastAsia"/>
                <w:color w:val="auto"/>
                <w:kern w:val="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52" w:type="dxa"/>
          </w:tcPr>
          <w:p>
            <w:pPr>
              <w:pStyle w:val="27"/>
              <w:spacing w:line="360" w:lineRule="auto"/>
              <w:ind w:firstLine="480"/>
              <w:rPr>
                <w:rFonts w:asciiTheme="minorEastAsia" w:hAnsiTheme="minorEastAsia" w:eastAsiaTheme="minorEastAsia" w:cstheme="minorEastAsia"/>
                <w:color w:val="auto"/>
                <w:kern w:val="2"/>
                <w:sz w:val="24"/>
                <w:szCs w:val="24"/>
                <w:highlight w:val="none"/>
              </w:rPr>
            </w:pPr>
          </w:p>
        </w:tc>
        <w:tc>
          <w:tcPr>
            <w:tcW w:w="2143" w:type="dxa"/>
          </w:tcPr>
          <w:p>
            <w:pPr>
              <w:pStyle w:val="27"/>
              <w:spacing w:line="360" w:lineRule="auto"/>
              <w:ind w:firstLine="480"/>
              <w:rPr>
                <w:rFonts w:asciiTheme="minorEastAsia" w:hAnsiTheme="minorEastAsia" w:eastAsiaTheme="minorEastAsia" w:cstheme="minorEastAsia"/>
                <w:color w:val="auto"/>
                <w:kern w:val="2"/>
                <w:sz w:val="24"/>
                <w:szCs w:val="24"/>
                <w:highlight w:val="none"/>
              </w:rPr>
            </w:pPr>
          </w:p>
        </w:tc>
        <w:tc>
          <w:tcPr>
            <w:tcW w:w="1834" w:type="dxa"/>
          </w:tcPr>
          <w:p>
            <w:pPr>
              <w:pStyle w:val="27"/>
              <w:spacing w:line="360" w:lineRule="auto"/>
              <w:ind w:firstLine="480"/>
              <w:rPr>
                <w:rFonts w:asciiTheme="minorEastAsia" w:hAnsiTheme="minorEastAsia" w:eastAsiaTheme="minorEastAsia" w:cstheme="minorEastAsia"/>
                <w:color w:val="auto"/>
                <w:kern w:val="2"/>
                <w:sz w:val="24"/>
                <w:szCs w:val="24"/>
                <w:highlight w:val="none"/>
              </w:rPr>
            </w:pPr>
          </w:p>
        </w:tc>
        <w:tc>
          <w:tcPr>
            <w:tcW w:w="2181" w:type="dxa"/>
          </w:tcPr>
          <w:p>
            <w:pPr>
              <w:pStyle w:val="27"/>
              <w:spacing w:line="360" w:lineRule="auto"/>
              <w:ind w:firstLine="480"/>
              <w:rPr>
                <w:rFonts w:asciiTheme="minorEastAsia" w:hAnsiTheme="minorEastAsia" w:eastAsiaTheme="minorEastAsia" w:cstheme="minorEastAsia"/>
                <w:color w:val="auto"/>
                <w:kern w:val="2"/>
                <w:sz w:val="24"/>
                <w:szCs w:val="24"/>
                <w:highlight w:val="none"/>
              </w:rPr>
            </w:pPr>
          </w:p>
        </w:tc>
        <w:tc>
          <w:tcPr>
            <w:tcW w:w="1934" w:type="dxa"/>
          </w:tcPr>
          <w:p>
            <w:pPr>
              <w:pStyle w:val="27"/>
              <w:spacing w:line="360" w:lineRule="auto"/>
              <w:ind w:firstLine="480"/>
              <w:rPr>
                <w:rFonts w:asciiTheme="minorEastAsia" w:hAnsiTheme="minorEastAsia" w:eastAsiaTheme="minorEastAsia" w:cstheme="minorEastAsia"/>
                <w:color w:val="auto"/>
                <w:kern w:val="2"/>
                <w:sz w:val="24"/>
                <w:szCs w:val="24"/>
                <w:highlight w:val="none"/>
              </w:rPr>
            </w:pPr>
          </w:p>
        </w:tc>
      </w:tr>
    </w:tbl>
    <w:p>
      <w:pPr>
        <w:pStyle w:val="19"/>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p>
    <w:p>
      <w:pPr>
        <w:pStyle w:val="20"/>
        <w:spacing w:line="360" w:lineRule="auto"/>
        <w:ind w:firstLine="0" w:firstLineChars="0"/>
        <w:rPr>
          <w:rFonts w:asciiTheme="minorEastAsia" w:hAnsiTheme="minorEastAsia" w:eastAsiaTheme="minorEastAsia" w:cstheme="minorEastAsia"/>
          <w:color w:val="auto"/>
          <w:szCs w:val="32"/>
          <w:highlight w:val="none"/>
        </w:rPr>
      </w:pPr>
      <w:r>
        <w:rPr>
          <w:rFonts w:hint="eastAsia" w:asciiTheme="minorEastAsia" w:hAnsiTheme="minorEastAsia" w:eastAsiaTheme="minorEastAsia" w:cstheme="minorEastAsia"/>
          <w:color w:val="auto"/>
          <w:sz w:val="24"/>
          <w:szCs w:val="24"/>
          <w:highlight w:val="none"/>
        </w:rPr>
        <w:t>1. 说明：应对照招标文件“第二章 采购需求”“一、采购需求”中的“技术要求”逐条作明确的投标响应，并作出偏离说明。</w:t>
      </w:r>
    </w:p>
    <w:p>
      <w:pPr>
        <w:pStyle w:val="19"/>
        <w:spacing w:line="360" w:lineRule="auto"/>
        <w:rPr>
          <w:rFonts w:asciiTheme="minorEastAsia" w:hAnsiTheme="minorEastAsia" w:eastAsiaTheme="minorEastAsia" w:cstheme="minorEastAsia"/>
          <w:b w:val="0"/>
          <w:bCs w:val="0"/>
          <w:color w:val="auto"/>
          <w:highlight w:val="none"/>
        </w:rPr>
      </w:pPr>
      <w:r>
        <w:rPr>
          <w:rFonts w:hint="eastAsia" w:asciiTheme="minorEastAsia" w:hAnsiTheme="minorEastAsia" w:eastAsiaTheme="minorEastAsia" w:cstheme="minorEastAsia"/>
          <w:b w:val="0"/>
          <w:bCs w:val="0"/>
          <w:color w:val="auto"/>
          <w:highlight w:val="none"/>
        </w:rPr>
        <w:t>2.投标人根据投标货物的性能指标，对照招标文件技术要求，在“偏离说明”中注明“</w:t>
      </w:r>
      <w:r>
        <w:rPr>
          <w:rFonts w:hint="eastAsia" w:asciiTheme="minorEastAsia" w:hAnsiTheme="minorEastAsia" w:eastAsiaTheme="minorEastAsia" w:cstheme="minorEastAsia"/>
          <w:color w:val="auto"/>
          <w:highlight w:val="none"/>
        </w:rPr>
        <w:t>正偏离</w:t>
      </w:r>
      <w:r>
        <w:rPr>
          <w:rFonts w:hint="eastAsia" w:asciiTheme="minorEastAsia" w:hAnsiTheme="minorEastAsia" w:eastAsiaTheme="minorEastAsia" w:cstheme="minorEastAsia"/>
          <w:b w:val="0"/>
          <w:bCs w:val="0"/>
          <w:color w:val="auto"/>
          <w:highlight w:val="none"/>
        </w:rPr>
        <w:t>”、“</w:t>
      </w:r>
      <w:r>
        <w:rPr>
          <w:rFonts w:hint="eastAsia" w:asciiTheme="minorEastAsia" w:hAnsiTheme="minorEastAsia" w:eastAsiaTheme="minorEastAsia" w:cstheme="minorEastAsia"/>
          <w:color w:val="auto"/>
          <w:highlight w:val="none"/>
        </w:rPr>
        <w:t>负偏离</w:t>
      </w:r>
      <w:r>
        <w:rPr>
          <w:rFonts w:hint="eastAsia" w:asciiTheme="minorEastAsia" w:hAnsiTheme="minorEastAsia" w:eastAsiaTheme="minorEastAsia" w:cstheme="minorEastAsia"/>
          <w:b w:val="0"/>
          <w:bCs w:val="0"/>
          <w:color w:val="auto"/>
          <w:highlight w:val="none"/>
        </w:rPr>
        <w:t>”或者“</w:t>
      </w:r>
      <w:r>
        <w:rPr>
          <w:rFonts w:hint="eastAsia" w:asciiTheme="minorEastAsia" w:hAnsiTheme="minorEastAsia" w:eastAsiaTheme="minorEastAsia" w:cstheme="minorEastAsia"/>
          <w:color w:val="auto"/>
          <w:highlight w:val="none"/>
        </w:rPr>
        <w:t>无偏离</w:t>
      </w:r>
      <w:r>
        <w:rPr>
          <w:rFonts w:hint="eastAsia" w:asciiTheme="minorEastAsia" w:hAnsiTheme="minorEastAsia" w:eastAsiaTheme="minorEastAsia" w:cstheme="minorEastAsia"/>
          <w:b w:val="0"/>
          <w:bCs w:val="0"/>
          <w:color w:val="auto"/>
          <w:highlight w:val="none"/>
        </w:rPr>
        <w:t>”。既不属于“</w:t>
      </w:r>
      <w:r>
        <w:rPr>
          <w:rFonts w:hint="eastAsia" w:asciiTheme="minorEastAsia" w:hAnsiTheme="minorEastAsia" w:eastAsiaTheme="minorEastAsia" w:cstheme="minorEastAsia"/>
          <w:color w:val="auto"/>
          <w:highlight w:val="none"/>
        </w:rPr>
        <w:t>正偏离</w:t>
      </w:r>
      <w:r>
        <w:rPr>
          <w:rFonts w:hint="eastAsia" w:asciiTheme="minorEastAsia" w:hAnsiTheme="minorEastAsia" w:eastAsiaTheme="minorEastAsia" w:cstheme="minorEastAsia"/>
          <w:b w:val="0"/>
          <w:bCs w:val="0"/>
          <w:color w:val="auto"/>
          <w:highlight w:val="none"/>
        </w:rPr>
        <w:t>”也不属于“</w:t>
      </w:r>
      <w:r>
        <w:rPr>
          <w:rFonts w:hint="eastAsia" w:asciiTheme="minorEastAsia" w:hAnsiTheme="minorEastAsia" w:eastAsiaTheme="minorEastAsia" w:cstheme="minorEastAsia"/>
          <w:color w:val="auto"/>
          <w:highlight w:val="none"/>
        </w:rPr>
        <w:t>负偏离</w:t>
      </w:r>
      <w:r>
        <w:rPr>
          <w:rFonts w:hint="eastAsia" w:asciiTheme="minorEastAsia" w:hAnsiTheme="minorEastAsia" w:eastAsiaTheme="minorEastAsia" w:cstheme="minorEastAsia"/>
          <w:b w:val="0"/>
          <w:bCs w:val="0"/>
          <w:color w:val="auto"/>
          <w:highlight w:val="none"/>
        </w:rPr>
        <w:t>”即为“</w:t>
      </w:r>
      <w:r>
        <w:rPr>
          <w:rFonts w:hint="eastAsia" w:asciiTheme="minorEastAsia" w:hAnsiTheme="minorEastAsia" w:eastAsiaTheme="minorEastAsia" w:cstheme="minorEastAsia"/>
          <w:color w:val="auto"/>
          <w:highlight w:val="none"/>
        </w:rPr>
        <w:t>无偏离</w:t>
      </w:r>
      <w:r>
        <w:rPr>
          <w:rFonts w:hint="eastAsia" w:asciiTheme="minorEastAsia" w:hAnsiTheme="minorEastAsia" w:eastAsiaTheme="minorEastAsia" w:cstheme="minorEastAsia"/>
          <w:b w:val="0"/>
          <w:bCs w:val="0"/>
          <w:color w:val="auto"/>
          <w:highlight w:val="none"/>
        </w:rPr>
        <w:t>”。</w:t>
      </w:r>
    </w:p>
    <w:p>
      <w:pPr>
        <w:pStyle w:val="20"/>
        <w:spacing w:line="36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投标人认为其投标响应有正偏离的，请在技术要求偏离表中列明，且在投标文件中按技术需求或评标方法及评标标准的要求提供佐证材料，以上佐证材料均须加投标人电子公章，未按要求提供的评委可不予以认可。</w:t>
      </w:r>
    </w:p>
    <w:p>
      <w:pPr>
        <w:pStyle w:val="20"/>
        <w:spacing w:line="36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4.如技术要求偏离表中的投标响应与佐证材料不一致的，以佐证材料为准。</w:t>
      </w:r>
    </w:p>
    <w:p>
      <w:pPr>
        <w:snapToGrid w:val="0"/>
        <w:spacing w:before="50" w:after="50" w:line="360" w:lineRule="auto"/>
        <w:rPr>
          <w:rFonts w:asciiTheme="minorEastAsia" w:hAnsiTheme="minorEastAsia" w:eastAsiaTheme="minorEastAsia" w:cstheme="minorEastAsia"/>
          <w:color w:val="auto"/>
          <w:sz w:val="24"/>
          <w:highlight w:val="none"/>
        </w:rPr>
      </w:pPr>
    </w:p>
    <w:p>
      <w:pPr>
        <w:snapToGrid w:val="0"/>
        <w:spacing w:before="50" w:after="50" w:line="360" w:lineRule="auto"/>
        <w:rPr>
          <w:rFonts w:asciiTheme="minorEastAsia" w:hAnsiTheme="minorEastAsia" w:eastAsiaTheme="minorEastAsia" w:cstheme="minorEastAsia"/>
          <w:color w:val="auto"/>
          <w:spacing w:val="20"/>
          <w:sz w:val="24"/>
          <w:highlight w:val="none"/>
          <w:u w:val="single"/>
        </w:rPr>
      </w:pPr>
      <w:r>
        <w:rPr>
          <w:rFonts w:hint="eastAsia" w:asciiTheme="minorEastAsia" w:hAnsiTheme="minorEastAsia" w:eastAsiaTheme="minorEastAsia" w:cstheme="minorEastAsia"/>
          <w:color w:val="auto"/>
          <w:sz w:val="24"/>
          <w:highlight w:val="none"/>
        </w:rPr>
        <w:t>法定代表人或者委托代理人</w:t>
      </w:r>
      <w:r>
        <w:rPr>
          <w:rFonts w:hint="eastAsia" w:asciiTheme="minorEastAsia" w:hAnsiTheme="minorEastAsia" w:eastAsiaTheme="minorEastAsia" w:cstheme="minorEastAsia"/>
          <w:color w:val="auto"/>
          <w:spacing w:val="20"/>
          <w:sz w:val="24"/>
          <w:highlight w:val="none"/>
        </w:rPr>
        <w:t>（签字/电子签名）：</w:t>
      </w:r>
    </w:p>
    <w:p>
      <w:pPr>
        <w:snapToGrid w:val="0"/>
        <w:spacing w:before="50" w:after="50" w:line="360" w:lineRule="auto"/>
        <w:rPr>
          <w:rFonts w:asciiTheme="minorEastAsia" w:hAnsiTheme="minorEastAsia" w:eastAsiaTheme="minorEastAsia" w:cstheme="minorEastAsia"/>
          <w:color w:val="auto"/>
          <w:spacing w:val="20"/>
          <w:sz w:val="24"/>
          <w:highlight w:val="none"/>
        </w:rPr>
      </w:pPr>
      <w:r>
        <w:rPr>
          <w:rFonts w:hint="eastAsia" w:asciiTheme="minorEastAsia" w:hAnsiTheme="minorEastAsia" w:eastAsiaTheme="minorEastAsia" w:cstheme="minorEastAsia"/>
          <w:color w:val="auto"/>
          <w:spacing w:val="20"/>
          <w:sz w:val="24"/>
          <w:highlight w:val="none"/>
        </w:rPr>
        <w:t>投标人名称（电子签章）：</w:t>
      </w:r>
    </w:p>
    <w:p>
      <w:pPr>
        <w:snapToGrid w:val="0"/>
        <w:spacing w:before="50" w:after="50" w:line="360" w:lineRule="auto"/>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pacing w:val="20"/>
          <w:sz w:val="24"/>
          <w:highlight w:val="none"/>
        </w:rPr>
        <w:t>日 期：</w:t>
      </w: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color w:val="auto"/>
          <w:sz w:val="24"/>
          <w:highlight w:val="none"/>
        </w:rPr>
        <w:t>5. 项目实施人员一览表格式</w:t>
      </w:r>
    </w:p>
    <w:p>
      <w:pPr>
        <w:snapToGrid w:val="0"/>
        <w:spacing w:beforeLines="50" w:after="50" w:line="360" w:lineRule="auto"/>
        <w:ind w:left="142"/>
        <w:jc w:val="left"/>
        <w:rPr>
          <w:rFonts w:asciiTheme="minorEastAsia" w:hAnsiTheme="minorEastAsia" w:eastAsiaTheme="minorEastAsia" w:cstheme="minorEastAsia"/>
          <w:b/>
          <w:color w:val="auto"/>
          <w:sz w:val="24"/>
          <w:highlight w:val="none"/>
        </w:rPr>
      </w:pPr>
    </w:p>
    <w:p>
      <w:pPr>
        <w:snapToGrid w:val="0"/>
        <w:spacing w:beforeLines="50" w:after="50" w:line="360" w:lineRule="auto"/>
        <w:ind w:left="142"/>
        <w:jc w:val="center"/>
        <w:rPr>
          <w:rFonts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项目实施人员一览表</w:t>
      </w:r>
    </w:p>
    <w:p>
      <w:pPr>
        <w:pStyle w:val="27"/>
        <w:spacing w:line="36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所投分标</w:t>
      </w:r>
      <w:r>
        <w:rPr>
          <w:rFonts w:hint="eastAsia" w:asciiTheme="minorEastAsia" w:hAnsiTheme="minorEastAsia" w:eastAsiaTheme="minorEastAsia" w:cstheme="minorEastAsia"/>
          <w:color w:val="auto"/>
          <w:sz w:val="24"/>
          <w:highlight w:val="none"/>
        </w:rPr>
        <w:t>（如有）</w:t>
      </w:r>
      <w:r>
        <w:rPr>
          <w:rFonts w:hint="eastAsia" w:asciiTheme="minorEastAsia" w:hAnsiTheme="minorEastAsia" w:eastAsiaTheme="minorEastAsia" w:cstheme="minorEastAsia"/>
          <w:color w:val="auto"/>
          <w:sz w:val="24"/>
          <w:szCs w:val="24"/>
          <w:highlight w:val="none"/>
        </w:rPr>
        <w:t xml:space="preserve">： </w:t>
      </w:r>
    </w:p>
    <w:tbl>
      <w:tblPr>
        <w:tblStyle w:val="52"/>
        <w:tblW w:w="81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817"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姓名</w:t>
            </w:r>
          </w:p>
        </w:tc>
        <w:tc>
          <w:tcPr>
            <w:tcW w:w="709"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职务</w:t>
            </w:r>
          </w:p>
        </w:tc>
        <w:tc>
          <w:tcPr>
            <w:tcW w:w="1701"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专业技术资格（职称）或者职业资格或者执业资格证或者其他证书</w:t>
            </w:r>
          </w:p>
        </w:tc>
        <w:tc>
          <w:tcPr>
            <w:tcW w:w="1420"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证书编号</w:t>
            </w:r>
          </w:p>
        </w:tc>
        <w:tc>
          <w:tcPr>
            <w:tcW w:w="1698"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参加本单位</w:t>
            </w:r>
          </w:p>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工作时间</w:t>
            </w:r>
          </w:p>
        </w:tc>
        <w:tc>
          <w:tcPr>
            <w:tcW w:w="1843"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劳动合同编号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7"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c>
          <w:tcPr>
            <w:tcW w:w="709"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c>
          <w:tcPr>
            <w:tcW w:w="1701"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c>
          <w:tcPr>
            <w:tcW w:w="1420"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c>
          <w:tcPr>
            <w:tcW w:w="1698"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c>
          <w:tcPr>
            <w:tcW w:w="1843"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7"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c>
          <w:tcPr>
            <w:tcW w:w="709"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c>
          <w:tcPr>
            <w:tcW w:w="1701"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c>
          <w:tcPr>
            <w:tcW w:w="1420"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c>
          <w:tcPr>
            <w:tcW w:w="1698"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c>
          <w:tcPr>
            <w:tcW w:w="1843"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7"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c>
          <w:tcPr>
            <w:tcW w:w="709"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c>
          <w:tcPr>
            <w:tcW w:w="1701"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c>
          <w:tcPr>
            <w:tcW w:w="1420"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c>
          <w:tcPr>
            <w:tcW w:w="1698"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c>
          <w:tcPr>
            <w:tcW w:w="1843" w:type="dxa"/>
            <w:vAlign w:val="center"/>
          </w:tcPr>
          <w:p>
            <w:pPr>
              <w:snapToGrid w:val="0"/>
              <w:spacing w:before="50" w:afterLines="50" w:line="360" w:lineRule="auto"/>
              <w:jc w:val="center"/>
              <w:rPr>
                <w:rFonts w:asciiTheme="minorEastAsia" w:hAnsiTheme="minorEastAsia" w:eastAsiaTheme="minorEastAsia" w:cstheme="minorEastAsia"/>
                <w:color w:val="auto"/>
                <w:sz w:val="24"/>
                <w:szCs w:val="20"/>
                <w:highlight w:val="none"/>
              </w:rPr>
            </w:pPr>
          </w:p>
        </w:tc>
      </w:tr>
    </w:tbl>
    <w:p>
      <w:pPr>
        <w:snapToGrid w:val="0"/>
        <w:spacing w:before="50" w:afterLines="50" w:line="360" w:lineRule="auto"/>
        <w:jc w:val="left"/>
        <w:rPr>
          <w:rFonts w:asciiTheme="minorEastAsia" w:hAnsiTheme="minorEastAsia" w:eastAsiaTheme="minorEastAsia" w:cstheme="minorEastAsia"/>
          <w:color w:val="auto"/>
          <w:sz w:val="24"/>
          <w:szCs w:val="20"/>
          <w:highlight w:val="none"/>
        </w:rPr>
      </w:pPr>
    </w:p>
    <w:p>
      <w:pPr>
        <w:spacing w:line="360" w:lineRule="auto"/>
        <w:contextualSpacing/>
        <w:jc w:val="left"/>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注：</w:t>
      </w:r>
    </w:p>
    <w:p>
      <w:pPr>
        <w:spacing w:line="360" w:lineRule="auto"/>
        <w:contextualSpacing/>
        <w:jc w:val="left"/>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1.在填写时，如本表格不适合投标单位的实际情况，可根据本表格式自行制表填写。</w:t>
      </w:r>
    </w:p>
    <w:p>
      <w:pPr>
        <w:spacing w:line="360" w:lineRule="auto"/>
        <w:contextualSpacing/>
        <w:jc w:val="left"/>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z w:val="24"/>
          <w:szCs w:val="20"/>
          <w:highlight w:val="none"/>
        </w:rPr>
        <w:t>2.投标人应当附本表所列证书的复印件（如有）并加盖投标人公章。</w:t>
      </w:r>
    </w:p>
    <w:p>
      <w:pPr>
        <w:spacing w:line="360" w:lineRule="auto"/>
        <w:contextualSpacing/>
        <w:jc w:val="left"/>
        <w:rPr>
          <w:rFonts w:asciiTheme="minorEastAsia" w:hAnsiTheme="minorEastAsia" w:eastAsiaTheme="minorEastAsia" w:cstheme="minorEastAsia"/>
          <w:color w:val="auto"/>
          <w:sz w:val="24"/>
          <w:szCs w:val="20"/>
          <w:highlight w:val="none"/>
        </w:rPr>
      </w:pPr>
    </w:p>
    <w:p>
      <w:pPr>
        <w:spacing w:line="360" w:lineRule="auto"/>
        <w:contextualSpacing/>
        <w:jc w:val="left"/>
        <w:rPr>
          <w:rFonts w:asciiTheme="minorEastAsia" w:hAnsiTheme="minorEastAsia" w:eastAsiaTheme="minorEastAsia" w:cstheme="minorEastAsia"/>
          <w:color w:val="auto"/>
          <w:sz w:val="24"/>
          <w:szCs w:val="20"/>
          <w:highlight w:val="none"/>
        </w:rPr>
      </w:pPr>
    </w:p>
    <w:p>
      <w:pPr>
        <w:spacing w:line="360" w:lineRule="auto"/>
        <w:contextualSpacing/>
        <w:rPr>
          <w:rFonts w:asciiTheme="minorEastAsia" w:hAnsiTheme="minorEastAsia" w:eastAsiaTheme="minorEastAsia" w:cstheme="minorEastAsia"/>
          <w:color w:val="auto"/>
          <w:spacing w:val="20"/>
          <w:sz w:val="24"/>
          <w:szCs w:val="20"/>
          <w:highlight w:val="none"/>
          <w:u w:val="single"/>
        </w:rPr>
      </w:pPr>
      <w:r>
        <w:rPr>
          <w:rFonts w:hint="eastAsia" w:asciiTheme="minorEastAsia" w:hAnsiTheme="minorEastAsia" w:eastAsiaTheme="minorEastAsia" w:cstheme="minorEastAsia"/>
          <w:color w:val="auto"/>
          <w:sz w:val="24"/>
          <w:highlight w:val="none"/>
        </w:rPr>
        <w:t>法定代表人或者委托代理人</w:t>
      </w:r>
      <w:r>
        <w:rPr>
          <w:rFonts w:hint="eastAsia" w:asciiTheme="minorEastAsia" w:hAnsiTheme="minorEastAsia" w:eastAsiaTheme="minorEastAsia" w:cstheme="minorEastAsia"/>
          <w:color w:val="auto"/>
          <w:spacing w:val="20"/>
          <w:sz w:val="24"/>
          <w:highlight w:val="none"/>
        </w:rPr>
        <w:t>（签字/电子签名）：</w:t>
      </w:r>
    </w:p>
    <w:p>
      <w:pPr>
        <w:spacing w:line="360" w:lineRule="auto"/>
        <w:contextualSpacing/>
        <w:jc w:val="left"/>
        <w:rPr>
          <w:rFonts w:asciiTheme="minorEastAsia" w:hAnsiTheme="minorEastAsia" w:eastAsiaTheme="minorEastAsia" w:cstheme="minorEastAsia"/>
          <w:color w:val="auto"/>
          <w:spacing w:val="20"/>
          <w:sz w:val="24"/>
          <w:highlight w:val="none"/>
        </w:rPr>
      </w:pPr>
      <w:r>
        <w:rPr>
          <w:rFonts w:hint="eastAsia" w:asciiTheme="minorEastAsia" w:hAnsiTheme="minorEastAsia" w:eastAsiaTheme="minorEastAsia" w:cstheme="minorEastAsia"/>
          <w:color w:val="auto"/>
          <w:spacing w:val="20"/>
          <w:sz w:val="24"/>
          <w:highlight w:val="none"/>
        </w:rPr>
        <w:t>投标人名称（电子签章）：</w:t>
      </w:r>
    </w:p>
    <w:p>
      <w:pPr>
        <w:spacing w:line="360" w:lineRule="auto"/>
        <w:contextualSpacing/>
        <w:jc w:val="left"/>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pacing w:val="20"/>
          <w:sz w:val="24"/>
          <w:highlight w:val="none"/>
        </w:rPr>
        <w:t>日 期：</w:t>
      </w:r>
    </w:p>
    <w:p>
      <w:pPr>
        <w:snapToGrid w:val="0"/>
        <w:spacing w:before="50" w:afterLines="50" w:line="360" w:lineRule="auto"/>
        <w:jc w:val="left"/>
        <w:rPr>
          <w:rFonts w:asciiTheme="minorEastAsia" w:hAnsiTheme="minorEastAsia" w:eastAsiaTheme="minorEastAsia" w:cstheme="minorEastAsia"/>
          <w:color w:val="auto"/>
          <w:sz w:val="24"/>
          <w:szCs w:val="20"/>
          <w:highlight w:val="none"/>
        </w:rPr>
      </w:pPr>
    </w:p>
    <w:p>
      <w:pPr>
        <w:snapToGrid w:val="0"/>
        <w:spacing w:beforeLines="50" w:after="50" w:line="360" w:lineRule="auto"/>
        <w:ind w:left="142"/>
        <w:jc w:val="lef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color w:val="auto"/>
          <w:sz w:val="24"/>
          <w:highlight w:val="none"/>
        </w:rPr>
        <w:t>6. 选配件、专用耗材、售后服务优惠表格式（注：按项目需求表具体项目修改）</w:t>
      </w:r>
    </w:p>
    <w:p>
      <w:pPr>
        <w:snapToGrid w:val="0"/>
        <w:spacing w:beforeLines="50" w:after="50" w:line="360" w:lineRule="auto"/>
        <w:ind w:left="142"/>
        <w:jc w:val="left"/>
        <w:rPr>
          <w:rFonts w:asciiTheme="minorEastAsia" w:hAnsiTheme="minorEastAsia" w:eastAsiaTheme="minorEastAsia" w:cstheme="minorEastAsia"/>
          <w:b/>
          <w:color w:val="auto"/>
          <w:sz w:val="24"/>
          <w:highlight w:val="none"/>
        </w:rPr>
      </w:pPr>
    </w:p>
    <w:p>
      <w:pPr>
        <w:snapToGrid w:val="0"/>
        <w:spacing w:beforeLines="50" w:after="50" w:line="360" w:lineRule="auto"/>
        <w:ind w:left="142"/>
        <w:jc w:val="center"/>
        <w:rPr>
          <w:rFonts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选配件、专用耗材、售后服务优惠表</w:t>
      </w:r>
    </w:p>
    <w:p>
      <w:pPr>
        <w:pStyle w:val="27"/>
        <w:spacing w:line="36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所投分标</w:t>
      </w:r>
      <w:r>
        <w:rPr>
          <w:rFonts w:hint="eastAsia" w:asciiTheme="minorEastAsia" w:hAnsiTheme="minorEastAsia" w:eastAsiaTheme="minorEastAsia" w:cstheme="minorEastAsia"/>
          <w:color w:val="auto"/>
          <w:sz w:val="24"/>
          <w:highlight w:val="none"/>
        </w:rPr>
        <w:t>（如有）</w:t>
      </w:r>
      <w:r>
        <w:rPr>
          <w:rFonts w:hint="eastAsia" w:asciiTheme="minorEastAsia" w:hAnsiTheme="minorEastAsia" w:eastAsiaTheme="minorEastAsia" w:cstheme="minorEastAsia"/>
          <w:color w:val="auto"/>
          <w:sz w:val="24"/>
          <w:szCs w:val="24"/>
          <w:highlight w:val="none"/>
        </w:rPr>
        <w:t>：分标</w:t>
      </w:r>
    </w:p>
    <w:tbl>
      <w:tblPr>
        <w:tblStyle w:val="52"/>
        <w:tblW w:w="8655"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601" w:hRule="atLeast"/>
          <w:jc w:val="center"/>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27"/>
              <w:snapToGrid w:val="0"/>
              <w:spacing w:before="295" w:after="295" w:line="360" w:lineRule="auto"/>
              <w:jc w:val="center"/>
              <w:rPr>
                <w:rFonts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序号</w:t>
            </w:r>
          </w:p>
        </w:tc>
        <w:tc>
          <w:tcPr>
            <w:tcW w:w="2700" w:type="dxa"/>
            <w:tcBorders>
              <w:top w:val="single" w:color="auto" w:sz="4" w:space="0"/>
              <w:left w:val="single" w:color="auto" w:sz="4" w:space="0"/>
              <w:bottom w:val="single" w:color="auto" w:sz="2" w:space="0"/>
              <w:right w:val="single" w:color="auto" w:sz="4" w:space="0"/>
            </w:tcBorders>
            <w:vAlign w:val="center"/>
          </w:tcPr>
          <w:p>
            <w:pPr>
              <w:pStyle w:val="27"/>
              <w:snapToGrid w:val="0"/>
              <w:spacing w:before="295" w:after="295" w:line="360" w:lineRule="auto"/>
              <w:jc w:val="center"/>
              <w:rPr>
                <w:rFonts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pPr>
              <w:pStyle w:val="27"/>
              <w:snapToGrid w:val="0"/>
              <w:spacing w:before="295" w:after="295" w:line="360" w:lineRule="auto"/>
              <w:jc w:val="center"/>
              <w:rPr>
                <w:rFonts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pPr>
              <w:pStyle w:val="27"/>
              <w:snapToGrid w:val="0"/>
              <w:spacing w:before="295" w:after="295" w:line="360" w:lineRule="auto"/>
              <w:jc w:val="center"/>
              <w:rPr>
                <w:rFonts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单价</w:t>
            </w:r>
          </w:p>
        </w:tc>
        <w:tc>
          <w:tcPr>
            <w:tcW w:w="2340" w:type="dxa"/>
            <w:tcBorders>
              <w:top w:val="single" w:color="auto" w:sz="4" w:space="0"/>
              <w:left w:val="single" w:color="auto" w:sz="4" w:space="0"/>
              <w:bottom w:val="single" w:color="auto" w:sz="2" w:space="0"/>
              <w:right w:val="single" w:color="auto" w:sz="4" w:space="0"/>
            </w:tcBorders>
            <w:vAlign w:val="center"/>
          </w:tcPr>
          <w:p>
            <w:pPr>
              <w:pStyle w:val="27"/>
              <w:snapToGrid w:val="0"/>
              <w:spacing w:before="295" w:after="295" w:line="360" w:lineRule="auto"/>
              <w:jc w:val="center"/>
              <w:rPr>
                <w:rFonts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比市场价优惠率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84" w:hRule="atLeas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7"/>
              <w:snapToGrid w:val="0"/>
              <w:spacing w:before="295" w:after="295" w:line="360" w:lineRule="auto"/>
              <w:jc w:val="center"/>
              <w:rPr>
                <w:rFonts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1</w:t>
            </w:r>
          </w:p>
        </w:tc>
        <w:tc>
          <w:tcPr>
            <w:tcW w:w="2700" w:type="dxa"/>
            <w:tcBorders>
              <w:top w:val="single" w:color="auto" w:sz="2" w:space="0"/>
              <w:left w:val="single" w:color="auto" w:sz="2" w:space="0"/>
              <w:bottom w:val="single" w:color="auto" w:sz="6" w:space="0"/>
              <w:right w:val="single" w:color="auto" w:sz="4" w:space="0"/>
            </w:tcBorders>
            <w:vAlign w:val="center"/>
          </w:tcPr>
          <w:p>
            <w:pPr>
              <w:pStyle w:val="27"/>
              <w:snapToGrid w:val="0"/>
              <w:spacing w:before="295" w:after="295" w:line="360" w:lineRule="auto"/>
              <w:ind w:firstLine="480"/>
              <w:jc w:val="center"/>
              <w:rPr>
                <w:rFonts w:asciiTheme="minorEastAsia" w:hAnsiTheme="minorEastAsia" w:eastAsiaTheme="minorEastAsia" w:cstheme="minorEastAsia"/>
                <w:color w:val="auto"/>
                <w:kern w:val="2"/>
                <w:sz w:val="24"/>
                <w:szCs w:val="24"/>
                <w:highlight w:val="none"/>
              </w:rPr>
            </w:pPr>
          </w:p>
        </w:tc>
        <w:tc>
          <w:tcPr>
            <w:tcW w:w="1440" w:type="dxa"/>
            <w:tcBorders>
              <w:top w:val="single" w:color="auto" w:sz="2" w:space="0"/>
              <w:left w:val="single" w:color="auto" w:sz="4" w:space="0"/>
              <w:bottom w:val="single" w:color="auto" w:sz="6" w:space="0"/>
              <w:right w:val="single" w:color="auto" w:sz="6" w:space="0"/>
            </w:tcBorders>
            <w:vAlign w:val="center"/>
          </w:tcPr>
          <w:p>
            <w:pPr>
              <w:pStyle w:val="27"/>
              <w:snapToGrid w:val="0"/>
              <w:spacing w:before="295" w:after="295" w:line="360" w:lineRule="auto"/>
              <w:ind w:firstLine="480"/>
              <w:jc w:val="center"/>
              <w:rPr>
                <w:rFonts w:asciiTheme="minorEastAsia" w:hAnsiTheme="minorEastAsia" w:eastAsiaTheme="minorEastAsia" w:cstheme="minorEastAsia"/>
                <w:color w:val="auto"/>
                <w:kern w:val="2"/>
                <w:sz w:val="24"/>
                <w:szCs w:val="24"/>
                <w:highlight w:val="none"/>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7"/>
              <w:snapToGrid w:val="0"/>
              <w:spacing w:before="295" w:after="295" w:line="360" w:lineRule="auto"/>
              <w:ind w:firstLine="480"/>
              <w:jc w:val="center"/>
              <w:rPr>
                <w:rFonts w:asciiTheme="minorEastAsia" w:hAnsiTheme="minorEastAsia" w:eastAsiaTheme="minorEastAsia" w:cstheme="minorEastAsia"/>
                <w:color w:val="auto"/>
                <w:kern w:val="2"/>
                <w:sz w:val="24"/>
                <w:szCs w:val="24"/>
                <w:highlight w:val="none"/>
              </w:rPr>
            </w:pPr>
          </w:p>
        </w:tc>
        <w:tc>
          <w:tcPr>
            <w:tcW w:w="2340" w:type="dxa"/>
            <w:tcBorders>
              <w:top w:val="single" w:color="auto" w:sz="2" w:space="0"/>
              <w:left w:val="single" w:color="auto" w:sz="6" w:space="0"/>
              <w:bottom w:val="single" w:color="auto" w:sz="6" w:space="0"/>
              <w:right w:val="single" w:color="auto" w:sz="2" w:space="0"/>
            </w:tcBorders>
            <w:vAlign w:val="center"/>
          </w:tcPr>
          <w:p>
            <w:pPr>
              <w:pStyle w:val="27"/>
              <w:snapToGrid w:val="0"/>
              <w:spacing w:before="295" w:after="295" w:line="360" w:lineRule="auto"/>
              <w:ind w:firstLine="480"/>
              <w:jc w:val="center"/>
              <w:rPr>
                <w:rFonts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84" w:hRule="atLeas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7"/>
              <w:snapToGrid w:val="0"/>
              <w:spacing w:before="295" w:after="295" w:line="360" w:lineRule="auto"/>
              <w:jc w:val="center"/>
              <w:rPr>
                <w:rFonts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2</w:t>
            </w:r>
          </w:p>
        </w:tc>
        <w:tc>
          <w:tcPr>
            <w:tcW w:w="2700" w:type="dxa"/>
            <w:tcBorders>
              <w:top w:val="single" w:color="auto" w:sz="6" w:space="0"/>
              <w:left w:val="single" w:color="auto" w:sz="2" w:space="0"/>
              <w:bottom w:val="single" w:color="auto" w:sz="6" w:space="0"/>
              <w:right w:val="single" w:color="auto" w:sz="4" w:space="0"/>
            </w:tcBorders>
            <w:vAlign w:val="center"/>
          </w:tcPr>
          <w:p>
            <w:pPr>
              <w:pStyle w:val="27"/>
              <w:snapToGrid w:val="0"/>
              <w:spacing w:before="295" w:after="295" w:line="360" w:lineRule="auto"/>
              <w:ind w:firstLine="480"/>
              <w:jc w:val="center"/>
              <w:rPr>
                <w:rFonts w:asciiTheme="minorEastAsia" w:hAnsiTheme="minorEastAsia" w:eastAsiaTheme="minorEastAsia" w:cstheme="minorEastAsia"/>
                <w:color w:val="auto"/>
                <w:kern w:val="2"/>
                <w:sz w:val="24"/>
                <w:szCs w:val="24"/>
                <w:highlight w:val="none"/>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7"/>
              <w:snapToGrid w:val="0"/>
              <w:spacing w:before="295" w:after="295" w:line="360" w:lineRule="auto"/>
              <w:ind w:firstLine="480"/>
              <w:jc w:val="center"/>
              <w:rPr>
                <w:rFonts w:asciiTheme="minorEastAsia" w:hAnsiTheme="minorEastAsia" w:eastAsiaTheme="minorEastAsia" w:cstheme="minorEastAsia"/>
                <w:color w:val="auto"/>
                <w:kern w:val="2"/>
                <w:sz w:val="24"/>
                <w:szCs w:val="24"/>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7"/>
              <w:snapToGrid w:val="0"/>
              <w:spacing w:before="295" w:after="295" w:line="360" w:lineRule="auto"/>
              <w:ind w:firstLine="480"/>
              <w:jc w:val="center"/>
              <w:rPr>
                <w:rFonts w:asciiTheme="minorEastAsia" w:hAnsiTheme="minorEastAsia" w:eastAsiaTheme="minorEastAsia" w:cstheme="minorEastAsia"/>
                <w:color w:val="auto"/>
                <w:kern w:val="2"/>
                <w:sz w:val="24"/>
                <w:szCs w:val="24"/>
                <w:highlight w:val="none"/>
              </w:rPr>
            </w:pPr>
          </w:p>
        </w:tc>
        <w:tc>
          <w:tcPr>
            <w:tcW w:w="2340" w:type="dxa"/>
            <w:tcBorders>
              <w:top w:val="single" w:color="auto" w:sz="6" w:space="0"/>
              <w:left w:val="single" w:color="auto" w:sz="6" w:space="0"/>
              <w:bottom w:val="single" w:color="auto" w:sz="6" w:space="0"/>
              <w:right w:val="single" w:color="auto" w:sz="2" w:space="0"/>
            </w:tcBorders>
            <w:vAlign w:val="center"/>
          </w:tcPr>
          <w:p>
            <w:pPr>
              <w:pStyle w:val="27"/>
              <w:snapToGrid w:val="0"/>
              <w:spacing w:before="295" w:after="295" w:line="360" w:lineRule="auto"/>
              <w:ind w:firstLine="480"/>
              <w:jc w:val="center"/>
              <w:rPr>
                <w:rFonts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trHeight w:val="284" w:hRule="atLeast"/>
          <w:jc w:val="center"/>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7"/>
              <w:snapToGrid w:val="0"/>
              <w:spacing w:before="295" w:after="295" w:line="360" w:lineRule="auto"/>
              <w:jc w:val="center"/>
              <w:rPr>
                <w:rFonts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3</w:t>
            </w:r>
          </w:p>
        </w:tc>
        <w:tc>
          <w:tcPr>
            <w:tcW w:w="2700" w:type="dxa"/>
            <w:tcBorders>
              <w:top w:val="single" w:color="auto" w:sz="6" w:space="0"/>
              <w:left w:val="single" w:color="auto" w:sz="2" w:space="0"/>
              <w:bottom w:val="single" w:color="auto" w:sz="6" w:space="0"/>
              <w:right w:val="single" w:color="auto" w:sz="4" w:space="0"/>
            </w:tcBorders>
            <w:vAlign w:val="center"/>
          </w:tcPr>
          <w:p>
            <w:pPr>
              <w:pStyle w:val="27"/>
              <w:snapToGrid w:val="0"/>
              <w:spacing w:before="295" w:after="295" w:line="360" w:lineRule="auto"/>
              <w:ind w:firstLine="480"/>
              <w:jc w:val="center"/>
              <w:rPr>
                <w:rFonts w:asciiTheme="minorEastAsia" w:hAnsiTheme="minorEastAsia" w:eastAsiaTheme="minorEastAsia" w:cstheme="minorEastAsia"/>
                <w:color w:val="auto"/>
                <w:kern w:val="2"/>
                <w:sz w:val="24"/>
                <w:szCs w:val="24"/>
                <w:highlight w:val="none"/>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7"/>
              <w:snapToGrid w:val="0"/>
              <w:spacing w:before="295" w:after="295" w:line="360" w:lineRule="auto"/>
              <w:ind w:firstLine="480"/>
              <w:jc w:val="center"/>
              <w:rPr>
                <w:rFonts w:asciiTheme="minorEastAsia" w:hAnsiTheme="minorEastAsia" w:eastAsiaTheme="minorEastAsia" w:cstheme="minorEastAsia"/>
                <w:color w:val="auto"/>
                <w:kern w:val="2"/>
                <w:sz w:val="24"/>
                <w:szCs w:val="24"/>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7"/>
              <w:snapToGrid w:val="0"/>
              <w:spacing w:before="295" w:after="295" w:line="360" w:lineRule="auto"/>
              <w:ind w:firstLine="480"/>
              <w:jc w:val="center"/>
              <w:rPr>
                <w:rFonts w:asciiTheme="minorEastAsia" w:hAnsiTheme="minorEastAsia" w:eastAsiaTheme="minorEastAsia" w:cstheme="minorEastAsia"/>
                <w:color w:val="auto"/>
                <w:kern w:val="2"/>
                <w:sz w:val="24"/>
                <w:szCs w:val="24"/>
                <w:highlight w:val="none"/>
              </w:rPr>
            </w:pPr>
          </w:p>
        </w:tc>
        <w:tc>
          <w:tcPr>
            <w:tcW w:w="2340" w:type="dxa"/>
            <w:tcBorders>
              <w:top w:val="single" w:color="auto" w:sz="6" w:space="0"/>
              <w:left w:val="single" w:color="auto" w:sz="6" w:space="0"/>
              <w:bottom w:val="single" w:color="auto" w:sz="6" w:space="0"/>
              <w:right w:val="single" w:color="auto" w:sz="2" w:space="0"/>
            </w:tcBorders>
            <w:vAlign w:val="center"/>
          </w:tcPr>
          <w:p>
            <w:pPr>
              <w:pStyle w:val="27"/>
              <w:snapToGrid w:val="0"/>
              <w:spacing w:before="295" w:after="295" w:line="360" w:lineRule="auto"/>
              <w:ind w:firstLine="480"/>
              <w:jc w:val="center"/>
              <w:rPr>
                <w:rFonts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w:t>
            </w:r>
          </w:p>
        </w:tc>
      </w:tr>
    </w:tbl>
    <w:p>
      <w:pPr>
        <w:spacing w:line="360" w:lineRule="auto"/>
        <w:contextualSpacing/>
        <w:rPr>
          <w:rFonts w:asciiTheme="minorEastAsia" w:hAnsiTheme="minorEastAsia" w:eastAsiaTheme="minorEastAsia" w:cstheme="minorEastAsia"/>
          <w:color w:val="auto"/>
          <w:sz w:val="24"/>
          <w:highlight w:val="none"/>
        </w:rPr>
      </w:pPr>
    </w:p>
    <w:p>
      <w:pPr>
        <w:spacing w:line="360" w:lineRule="auto"/>
        <w:contextualSpacing/>
        <w:rPr>
          <w:rFonts w:asciiTheme="minorEastAsia" w:hAnsiTheme="minorEastAsia" w:eastAsiaTheme="minorEastAsia" w:cstheme="minorEastAsia"/>
          <w:color w:val="auto"/>
          <w:spacing w:val="20"/>
          <w:sz w:val="24"/>
          <w:highlight w:val="none"/>
          <w:u w:val="single"/>
        </w:rPr>
      </w:pPr>
      <w:r>
        <w:rPr>
          <w:rFonts w:hint="eastAsia" w:asciiTheme="minorEastAsia" w:hAnsiTheme="minorEastAsia" w:eastAsiaTheme="minorEastAsia" w:cstheme="minorEastAsia"/>
          <w:color w:val="auto"/>
          <w:sz w:val="24"/>
          <w:highlight w:val="none"/>
        </w:rPr>
        <w:t>法定代表人或者委托代理人</w:t>
      </w:r>
      <w:r>
        <w:rPr>
          <w:rFonts w:hint="eastAsia" w:asciiTheme="minorEastAsia" w:hAnsiTheme="minorEastAsia" w:eastAsiaTheme="minorEastAsia" w:cstheme="minorEastAsia"/>
          <w:color w:val="auto"/>
          <w:spacing w:val="20"/>
          <w:sz w:val="24"/>
          <w:highlight w:val="none"/>
        </w:rPr>
        <w:t>（签字/电子签名）：</w:t>
      </w:r>
    </w:p>
    <w:p>
      <w:pPr>
        <w:spacing w:line="360" w:lineRule="auto"/>
        <w:contextualSpacing/>
        <w:jc w:val="left"/>
        <w:rPr>
          <w:rFonts w:asciiTheme="minorEastAsia" w:hAnsiTheme="minorEastAsia" w:eastAsiaTheme="minorEastAsia" w:cstheme="minorEastAsia"/>
          <w:color w:val="auto"/>
          <w:spacing w:val="20"/>
          <w:sz w:val="24"/>
          <w:highlight w:val="none"/>
        </w:rPr>
      </w:pPr>
      <w:r>
        <w:rPr>
          <w:rFonts w:hint="eastAsia" w:asciiTheme="minorEastAsia" w:hAnsiTheme="minorEastAsia" w:eastAsiaTheme="minorEastAsia" w:cstheme="minorEastAsia"/>
          <w:color w:val="auto"/>
          <w:spacing w:val="20"/>
          <w:sz w:val="24"/>
          <w:highlight w:val="none"/>
        </w:rPr>
        <w:t>投标人名称（电子签章）：</w:t>
      </w:r>
    </w:p>
    <w:p>
      <w:pPr>
        <w:spacing w:line="360" w:lineRule="auto"/>
        <w:contextualSpacing/>
        <w:jc w:val="left"/>
        <w:rPr>
          <w:rFonts w:asciiTheme="minorEastAsia" w:hAnsiTheme="minorEastAsia" w:eastAsiaTheme="minorEastAsia" w:cstheme="minorEastAsia"/>
          <w:color w:val="auto"/>
          <w:sz w:val="24"/>
          <w:szCs w:val="20"/>
          <w:highlight w:val="none"/>
        </w:rPr>
      </w:pPr>
      <w:r>
        <w:rPr>
          <w:rFonts w:hint="eastAsia" w:asciiTheme="minorEastAsia" w:hAnsiTheme="minorEastAsia" w:eastAsiaTheme="minorEastAsia" w:cstheme="minorEastAsia"/>
          <w:color w:val="auto"/>
          <w:spacing w:val="20"/>
          <w:sz w:val="24"/>
          <w:highlight w:val="none"/>
        </w:rPr>
        <w:t>日 期：</w:t>
      </w:r>
    </w:p>
    <w:p>
      <w:pPr>
        <w:snapToGrid w:val="0"/>
        <w:spacing w:before="50" w:afterLines="50" w:line="360" w:lineRule="auto"/>
        <w:jc w:val="left"/>
        <w:rPr>
          <w:rFonts w:asciiTheme="minorEastAsia" w:hAnsiTheme="minorEastAsia" w:eastAsiaTheme="minorEastAsia" w:cstheme="minorEastAsia"/>
          <w:color w:val="auto"/>
          <w:sz w:val="24"/>
          <w:szCs w:val="20"/>
          <w:highlight w:val="none"/>
        </w:rPr>
      </w:pPr>
    </w:p>
    <w:p>
      <w:pPr>
        <w:spacing w:line="360" w:lineRule="auto"/>
        <w:rPr>
          <w:rFonts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bCs/>
          <w:color w:val="auto"/>
          <w:sz w:val="24"/>
          <w:highlight w:val="none"/>
        </w:rPr>
        <w:br w:type="page"/>
      </w:r>
      <w:r>
        <w:rPr>
          <w:rFonts w:hint="eastAsia" w:asciiTheme="minorEastAsia" w:hAnsiTheme="minorEastAsia" w:eastAsiaTheme="minorEastAsia" w:cstheme="minorEastAsia"/>
          <w:b/>
          <w:color w:val="auto"/>
          <w:sz w:val="28"/>
          <w:szCs w:val="28"/>
          <w:highlight w:val="none"/>
        </w:rPr>
        <w:t>五、其他文书、文件格式</w:t>
      </w:r>
    </w:p>
    <w:p>
      <w:pPr>
        <w:snapToGrid w:val="0"/>
        <w:spacing w:beforeLines="50" w:after="50" w:line="360" w:lineRule="auto"/>
        <w:ind w:left="142"/>
        <w:jc w:val="left"/>
        <w:rPr>
          <w:rFonts w:asciiTheme="minorEastAsia" w:hAnsiTheme="minorEastAsia" w:eastAsiaTheme="minorEastAsia" w:cstheme="minorEastAsia"/>
          <w:b/>
          <w:color w:val="auto"/>
          <w:spacing w:val="20"/>
          <w:sz w:val="24"/>
          <w:highlight w:val="none"/>
        </w:rPr>
      </w:pPr>
      <w:r>
        <w:rPr>
          <w:rFonts w:hint="eastAsia" w:asciiTheme="minorEastAsia" w:hAnsiTheme="minorEastAsia" w:eastAsiaTheme="minorEastAsia" w:cstheme="minorEastAsia"/>
          <w:b/>
          <w:color w:val="auto"/>
          <w:spacing w:val="20"/>
          <w:sz w:val="24"/>
          <w:highlight w:val="none"/>
        </w:rPr>
        <w:t>1.联合投标协议书格式</w:t>
      </w:r>
    </w:p>
    <w:p>
      <w:pPr>
        <w:pStyle w:val="9"/>
        <w:overflowPunct w:val="0"/>
        <w:spacing w:line="360" w:lineRule="auto"/>
        <w:jc w:val="center"/>
        <w:rPr>
          <w:rFonts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联合体协议书</w:t>
      </w:r>
    </w:p>
    <w:p>
      <w:pPr>
        <w:pStyle w:val="9"/>
        <w:overflowPunct w:val="0"/>
        <w:spacing w:line="360" w:lineRule="auto"/>
        <w:contextualSpacing/>
        <w:rPr>
          <w:rFonts w:asciiTheme="minorEastAsia" w:hAnsiTheme="minorEastAsia" w:eastAsiaTheme="minorEastAsia" w:cstheme="minorEastAsia"/>
          <w:color w:val="auto"/>
          <w:sz w:val="24"/>
          <w:highlight w:val="none"/>
          <w:u w:val="single"/>
        </w:rPr>
      </w:pPr>
    </w:p>
    <w:p>
      <w:pPr>
        <w:pStyle w:val="9"/>
        <w:overflowPunct w:val="0"/>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u w:val="single"/>
        </w:rPr>
        <w:tab/>
      </w:r>
      <w:r>
        <w:rPr>
          <w:rFonts w:hint="eastAsia" w:asciiTheme="minorEastAsia" w:hAnsiTheme="minorEastAsia" w:eastAsiaTheme="minorEastAsia" w:cstheme="minorEastAsia"/>
          <w:color w:val="auto"/>
          <w:sz w:val="24"/>
          <w:highlight w:val="none"/>
        </w:rPr>
        <w:t>（所有成员单位名称）自愿组成</w:t>
      </w:r>
      <w:r>
        <w:rPr>
          <w:rFonts w:hint="eastAsia" w:asciiTheme="minorEastAsia" w:hAnsiTheme="minorEastAsia" w:eastAsiaTheme="minorEastAsia" w:cstheme="minorEastAsia"/>
          <w:color w:val="auto"/>
          <w:sz w:val="24"/>
          <w:highlight w:val="none"/>
          <w:u w:val="single"/>
        </w:rPr>
        <w:tab/>
      </w:r>
      <w:r>
        <w:rPr>
          <w:rFonts w:hint="eastAsia" w:asciiTheme="minorEastAsia" w:hAnsiTheme="minorEastAsia" w:eastAsiaTheme="minorEastAsia" w:cstheme="minorEastAsia"/>
          <w:color w:val="auto"/>
          <w:sz w:val="24"/>
          <w:highlight w:val="none"/>
        </w:rPr>
        <w:t>（联合体名称）联合体，共同参加</w:t>
      </w:r>
      <w:r>
        <w:rPr>
          <w:rFonts w:hint="eastAsia" w:asciiTheme="minorEastAsia" w:hAnsiTheme="minorEastAsia" w:eastAsiaTheme="minorEastAsia" w:cstheme="minorEastAsia"/>
          <w:color w:val="auto"/>
          <w:sz w:val="24"/>
          <w:highlight w:val="none"/>
          <w:u w:val="single"/>
        </w:rPr>
        <w:tab/>
      </w:r>
      <w:r>
        <w:rPr>
          <w:rFonts w:hint="eastAsia" w:asciiTheme="minorEastAsia" w:hAnsiTheme="minorEastAsia" w:eastAsiaTheme="minorEastAsia" w:cstheme="minorEastAsia"/>
          <w:color w:val="auto"/>
          <w:sz w:val="24"/>
          <w:highlight w:val="none"/>
          <w:u w:val="single"/>
        </w:rPr>
        <w:t>（项目名称）</w:t>
      </w:r>
      <w:r>
        <w:rPr>
          <w:rFonts w:hint="eastAsia" w:asciiTheme="minorEastAsia" w:hAnsiTheme="minorEastAsia" w:eastAsiaTheme="minorEastAsia" w:cstheme="minorEastAsia"/>
          <w:color w:val="auto"/>
          <w:sz w:val="24"/>
          <w:highlight w:val="none"/>
        </w:rPr>
        <w:t>采购招标项目投标。现就联合体投标事宜订立如下协议。</w:t>
      </w:r>
    </w:p>
    <w:p>
      <w:pPr>
        <w:pStyle w:val="9"/>
        <w:overflowPunct w:val="0"/>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1.  </w:t>
      </w:r>
      <w:r>
        <w:rPr>
          <w:rFonts w:hint="eastAsia" w:asciiTheme="minorEastAsia" w:hAnsiTheme="minorEastAsia" w:eastAsiaTheme="minorEastAsia" w:cstheme="minorEastAsia"/>
          <w:color w:val="auto"/>
          <w:sz w:val="24"/>
          <w:highlight w:val="none"/>
          <w:u w:val="single"/>
        </w:rPr>
        <w:tab/>
      </w:r>
      <w:r>
        <w:rPr>
          <w:rFonts w:hint="eastAsia" w:asciiTheme="minorEastAsia" w:hAnsiTheme="minorEastAsia" w:eastAsiaTheme="minorEastAsia" w:cstheme="minorEastAsia"/>
          <w:color w:val="auto"/>
          <w:sz w:val="24"/>
          <w:highlight w:val="none"/>
        </w:rPr>
        <w:t>（某成员单位名称）为</w:t>
      </w:r>
      <w:r>
        <w:rPr>
          <w:rFonts w:hint="eastAsia" w:asciiTheme="minorEastAsia" w:hAnsiTheme="minorEastAsia" w:eastAsiaTheme="minorEastAsia" w:cstheme="minorEastAsia"/>
          <w:color w:val="auto"/>
          <w:sz w:val="24"/>
          <w:highlight w:val="none"/>
          <w:u w:val="single"/>
        </w:rPr>
        <w:tab/>
      </w:r>
      <w:r>
        <w:rPr>
          <w:rFonts w:hint="eastAsia" w:asciiTheme="minorEastAsia" w:hAnsiTheme="minorEastAsia" w:eastAsiaTheme="minorEastAsia" w:cstheme="minorEastAsia"/>
          <w:color w:val="auto"/>
          <w:sz w:val="24"/>
          <w:highlight w:val="none"/>
        </w:rPr>
        <w:t>（联合体名称）牵头人。</w:t>
      </w:r>
    </w:p>
    <w:p>
      <w:pPr>
        <w:pStyle w:val="9"/>
        <w:overflowPunct w:val="0"/>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pPr>
        <w:pStyle w:val="9"/>
        <w:overflowPunct w:val="0"/>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3.联合体牵头人在本项目中签署和盖章的一切文件和处理的一切事宜，联合体各成员均予以承认。联合体各成员将严格按照招标文件、投标文件和合同的要求全面履行义务，并向招标人承担连带责任。</w:t>
      </w:r>
    </w:p>
    <w:p>
      <w:pPr>
        <w:pStyle w:val="9"/>
        <w:overflowPunct w:val="0"/>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4.联合体各成员单位内部的职责分工如下：</w:t>
      </w:r>
      <w:r>
        <w:rPr>
          <w:rFonts w:hint="eastAsia" w:asciiTheme="minorEastAsia" w:hAnsiTheme="minorEastAsia" w:eastAsiaTheme="minorEastAsia" w:cstheme="minorEastAsia"/>
          <w:color w:val="auto"/>
          <w:sz w:val="24"/>
          <w:highlight w:val="none"/>
          <w:u w:val="single"/>
        </w:rPr>
        <w:tab/>
      </w:r>
      <w:r>
        <w:rPr>
          <w:rFonts w:hint="eastAsia" w:asciiTheme="minorEastAsia" w:hAnsiTheme="minorEastAsia" w:eastAsiaTheme="minorEastAsia" w:cstheme="minorEastAsia"/>
          <w:color w:val="auto"/>
          <w:sz w:val="24"/>
          <w:highlight w:val="none"/>
        </w:rPr>
        <w:t>。</w:t>
      </w:r>
    </w:p>
    <w:p>
      <w:pPr>
        <w:pStyle w:val="9"/>
        <w:overflowPunct w:val="0"/>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5.本协议书自所有成员单位法定代表人或者其委托代理人签字（或者电子签名）或者盖公章之日起生效，合同履行完毕后自动失效。</w:t>
      </w:r>
    </w:p>
    <w:p>
      <w:pPr>
        <w:pStyle w:val="9"/>
        <w:overflowPunct w:val="0"/>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6.本协议书一式</w:t>
      </w:r>
      <w:r>
        <w:rPr>
          <w:rFonts w:hint="eastAsia" w:asciiTheme="minorEastAsia" w:hAnsiTheme="minorEastAsia" w:eastAsiaTheme="minorEastAsia" w:cstheme="minorEastAsia"/>
          <w:color w:val="auto"/>
          <w:sz w:val="24"/>
          <w:highlight w:val="none"/>
          <w:u w:val="single"/>
        </w:rPr>
        <w:tab/>
      </w:r>
      <w:r>
        <w:rPr>
          <w:rFonts w:hint="eastAsia" w:asciiTheme="minorEastAsia" w:hAnsiTheme="minorEastAsia" w:eastAsiaTheme="minorEastAsia" w:cstheme="minorEastAsia"/>
          <w:color w:val="auto"/>
          <w:sz w:val="24"/>
          <w:highlight w:val="none"/>
        </w:rPr>
        <w:t>份，联合体成员和招标人各执一份。</w:t>
      </w:r>
    </w:p>
    <w:p>
      <w:pPr>
        <w:pStyle w:val="9"/>
        <w:overflowPunct w:val="0"/>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注：本协议书由法定代表人签字或者电子签名的，应附法定代表人身份证明；由委托代理人签字或者电子签名的，应附授权委托书。</w:t>
      </w:r>
    </w:p>
    <w:p>
      <w:pPr>
        <w:pStyle w:val="9"/>
        <w:overflowPunct w:val="0"/>
        <w:spacing w:line="360" w:lineRule="auto"/>
        <w:contextualSpacing/>
        <w:rPr>
          <w:rFonts w:asciiTheme="minorEastAsia" w:hAnsiTheme="minorEastAsia" w:eastAsiaTheme="minorEastAsia" w:cstheme="minorEastAsia"/>
          <w:color w:val="auto"/>
          <w:sz w:val="24"/>
          <w:highlight w:val="none"/>
        </w:rPr>
      </w:pPr>
    </w:p>
    <w:p>
      <w:pPr>
        <w:pStyle w:val="9"/>
        <w:overflowPunct w:val="0"/>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联合体牵头人名称（电子签章）：</w:t>
      </w:r>
    </w:p>
    <w:p>
      <w:pPr>
        <w:pStyle w:val="9"/>
        <w:overflowPunct w:val="0"/>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法定代表人或者其委托代理人：</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（签字/电子签名）</w:t>
      </w:r>
    </w:p>
    <w:p>
      <w:pPr>
        <w:pStyle w:val="9"/>
        <w:overflowPunct w:val="0"/>
        <w:spacing w:line="360" w:lineRule="auto"/>
        <w:ind w:firstLine="0"/>
        <w:contextualSpacing/>
        <w:rPr>
          <w:rFonts w:asciiTheme="minorEastAsia" w:hAnsiTheme="minorEastAsia" w:eastAsiaTheme="minorEastAsia" w:cstheme="minorEastAsia"/>
          <w:color w:val="auto"/>
          <w:sz w:val="24"/>
          <w:highlight w:val="none"/>
        </w:rPr>
      </w:pPr>
    </w:p>
    <w:p>
      <w:pPr>
        <w:pStyle w:val="9"/>
        <w:overflowPunct w:val="0"/>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联合体成员名称（盖公章）：</w:t>
      </w:r>
    </w:p>
    <w:p>
      <w:pPr>
        <w:pStyle w:val="9"/>
        <w:overflowPunct w:val="0"/>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法定代表人或者其委托代理人：</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（签字/电子签名）</w:t>
      </w:r>
    </w:p>
    <w:p>
      <w:pPr>
        <w:pStyle w:val="9"/>
        <w:overflowPunct w:val="0"/>
        <w:spacing w:line="360" w:lineRule="auto"/>
        <w:contextualSpacing/>
        <w:rPr>
          <w:rFonts w:asciiTheme="minorEastAsia" w:hAnsiTheme="minorEastAsia" w:eastAsiaTheme="minorEastAsia" w:cstheme="minorEastAsia"/>
          <w:color w:val="auto"/>
          <w:sz w:val="24"/>
          <w:highlight w:val="none"/>
        </w:rPr>
      </w:pPr>
    </w:p>
    <w:p>
      <w:pPr>
        <w:pStyle w:val="9"/>
        <w:overflowPunct w:val="0"/>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p>
      <w:pPr>
        <w:pStyle w:val="9"/>
        <w:overflowPunct w:val="0"/>
        <w:spacing w:line="360" w:lineRule="auto"/>
        <w:contextualSpacing/>
        <w:jc w:val="right"/>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年</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月</w:t>
      </w:r>
      <w:r>
        <w:rPr>
          <w:rFonts w:hint="eastAsia" w:asciiTheme="minorEastAsia" w:hAnsiTheme="minorEastAsia" w:eastAsiaTheme="minorEastAsia" w:cstheme="minorEastAsia"/>
          <w:color w:val="auto"/>
          <w:sz w:val="24"/>
          <w:highlight w:val="none"/>
        </w:rPr>
        <w:tab/>
      </w:r>
      <w:r>
        <w:rPr>
          <w:rFonts w:hint="eastAsia" w:asciiTheme="minorEastAsia" w:hAnsiTheme="minorEastAsia" w:eastAsiaTheme="minorEastAsia" w:cstheme="minorEastAsia"/>
          <w:color w:val="auto"/>
          <w:sz w:val="24"/>
          <w:highlight w:val="none"/>
        </w:rPr>
        <w:t>日</w:t>
      </w:r>
    </w:p>
    <w:p>
      <w:pPr>
        <w:snapToGrid w:val="0"/>
        <w:spacing w:beforeLines="50" w:after="50" w:line="360" w:lineRule="auto"/>
        <w:jc w:val="left"/>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 w:val="24"/>
          <w:highlight w:val="none"/>
        </w:rPr>
        <w:t>2.中小企业声明函格式</w:t>
      </w:r>
    </w:p>
    <w:p>
      <w:pPr>
        <w:spacing w:line="360" w:lineRule="auto"/>
        <w:rPr>
          <w:rFonts w:asciiTheme="minorEastAsia" w:hAnsiTheme="minorEastAsia" w:eastAsiaTheme="minorEastAsia" w:cstheme="minorEastAsia"/>
          <w:color w:val="auto"/>
          <w:highlight w:val="none"/>
        </w:rPr>
      </w:pPr>
    </w:p>
    <w:p>
      <w:pPr>
        <w:spacing w:line="360" w:lineRule="auto"/>
        <w:jc w:val="center"/>
        <w:rPr>
          <w:rFonts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中小企业声明函（货物）</w:t>
      </w:r>
    </w:p>
    <w:p>
      <w:pPr>
        <w:pStyle w:val="2"/>
        <w:spacing w:line="360" w:lineRule="auto"/>
        <w:ind w:left="-426" w:leftChars="-203" w:right="142" w:firstLine="480" w:firstLineChars="200"/>
        <w:contextualSpacing/>
        <w:rPr>
          <w:rFonts w:asciiTheme="minorEastAsia" w:hAnsiTheme="minorEastAsia" w:eastAsiaTheme="minorEastAsia" w:cstheme="minorEastAsia"/>
          <w:color w:val="auto"/>
          <w:kern w:val="24"/>
          <w:highlight w:val="none"/>
        </w:rPr>
      </w:pPr>
    </w:p>
    <w:p>
      <w:pPr>
        <w:pStyle w:val="2"/>
        <w:spacing w:line="360" w:lineRule="auto"/>
        <w:ind w:left="-426" w:leftChars="-203" w:right="142" w:firstLine="480" w:firstLineChars="200"/>
        <w:contextualSpacing/>
        <w:rPr>
          <w:rFonts w:asciiTheme="minorEastAsia" w:hAnsiTheme="minorEastAsia" w:eastAsiaTheme="minorEastAsia" w:cstheme="minorEastAsia"/>
          <w:color w:val="auto"/>
          <w:kern w:val="24"/>
          <w:highlight w:val="none"/>
        </w:rPr>
      </w:pPr>
      <w:r>
        <w:rPr>
          <w:rFonts w:hint="eastAsia" w:asciiTheme="minorEastAsia" w:hAnsiTheme="minorEastAsia" w:eastAsiaTheme="minorEastAsia" w:cstheme="minorEastAsia"/>
          <w:color w:val="auto"/>
          <w:kern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kern w:val="24"/>
          <w:highlight w:val="none"/>
          <w:u w:val="single"/>
        </w:rPr>
        <w:t>（单位名称）</w:t>
      </w:r>
      <w:r>
        <w:rPr>
          <w:rFonts w:hint="eastAsia" w:asciiTheme="minorEastAsia" w:hAnsiTheme="minorEastAsia" w:eastAsiaTheme="minorEastAsia" w:cstheme="minorEastAsia"/>
          <w:color w:val="auto"/>
          <w:kern w:val="24"/>
          <w:highlight w:val="none"/>
        </w:rPr>
        <w:t>的</w:t>
      </w:r>
      <w:r>
        <w:rPr>
          <w:rFonts w:hint="eastAsia" w:asciiTheme="minorEastAsia" w:hAnsiTheme="minorEastAsia" w:eastAsiaTheme="minorEastAsia" w:cstheme="minorEastAsia"/>
          <w:color w:val="auto"/>
          <w:kern w:val="24"/>
          <w:highlight w:val="none"/>
          <w:u w:val="single"/>
        </w:rPr>
        <w:t>（项目名称）</w:t>
      </w:r>
      <w:r>
        <w:rPr>
          <w:rFonts w:hint="eastAsia" w:asciiTheme="minorEastAsia" w:hAnsiTheme="minorEastAsia" w:eastAsiaTheme="minorEastAsia" w:cstheme="minorEastAsia"/>
          <w:color w:val="auto"/>
          <w:kern w:val="24"/>
          <w:highlight w:val="none"/>
        </w:rPr>
        <w:t>采购活动，提供的货物全部由符合政策要求的中小企业制造。相关企业（含联合体中的中小企业、签订分包意向协议的中小企业）的具体情况如下：</w:t>
      </w:r>
    </w:p>
    <w:p>
      <w:pPr>
        <w:tabs>
          <w:tab w:val="left" w:pos="1384"/>
          <w:tab w:val="left" w:pos="4562"/>
          <w:tab w:val="left" w:pos="6803"/>
        </w:tabs>
        <w:spacing w:line="360" w:lineRule="auto"/>
        <w:ind w:left="-426" w:right="-58" w:firstLine="655"/>
        <w:contextualSpacing/>
        <w:rPr>
          <w:rFonts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1.</w:t>
      </w:r>
      <w:r>
        <w:rPr>
          <w:rFonts w:hint="eastAsia" w:asciiTheme="minorEastAsia" w:hAnsiTheme="minorEastAsia" w:eastAsiaTheme="minorEastAsia" w:cstheme="minorEastAsia"/>
          <w:color w:val="auto"/>
          <w:kern w:val="24"/>
          <w:sz w:val="24"/>
          <w:highlight w:val="none"/>
          <w:u w:val="single"/>
        </w:rPr>
        <w:t>（标的名称）</w:t>
      </w:r>
      <w:r>
        <w:rPr>
          <w:rFonts w:hint="eastAsia" w:asciiTheme="minorEastAsia" w:hAnsiTheme="minorEastAsia" w:eastAsiaTheme="minorEastAsia" w:cstheme="minorEastAsia"/>
          <w:color w:val="auto"/>
          <w:kern w:val="24"/>
          <w:sz w:val="24"/>
          <w:highlight w:val="none"/>
        </w:rPr>
        <w:t>，属于</w:t>
      </w:r>
      <w:r>
        <w:rPr>
          <w:rFonts w:hint="eastAsia" w:asciiTheme="minorEastAsia" w:hAnsiTheme="minorEastAsia" w:eastAsiaTheme="minorEastAsia" w:cstheme="minorEastAsia"/>
          <w:color w:val="auto"/>
          <w:kern w:val="24"/>
          <w:sz w:val="24"/>
          <w:highlight w:val="none"/>
          <w:u w:val="single"/>
        </w:rPr>
        <w:t>（采购文件中明确的所属行业）</w:t>
      </w:r>
      <w:r>
        <w:rPr>
          <w:rFonts w:hint="eastAsia" w:asciiTheme="minorEastAsia" w:hAnsiTheme="minorEastAsia" w:eastAsiaTheme="minorEastAsia" w:cstheme="minorEastAsia"/>
          <w:color w:val="auto"/>
          <w:kern w:val="24"/>
          <w:sz w:val="24"/>
          <w:highlight w:val="none"/>
        </w:rPr>
        <w:t>行业；制造商为</w:t>
      </w:r>
      <w:r>
        <w:rPr>
          <w:rFonts w:hint="eastAsia" w:asciiTheme="minorEastAsia" w:hAnsiTheme="minorEastAsia" w:eastAsiaTheme="minorEastAsia" w:cstheme="minorEastAsia"/>
          <w:color w:val="auto"/>
          <w:kern w:val="24"/>
          <w:sz w:val="24"/>
          <w:highlight w:val="none"/>
          <w:u w:val="single"/>
        </w:rPr>
        <w:t>（企业名称）</w:t>
      </w:r>
      <w:r>
        <w:rPr>
          <w:rFonts w:hint="eastAsia" w:asciiTheme="minorEastAsia" w:hAnsiTheme="minorEastAsia" w:eastAsiaTheme="minorEastAsia" w:cstheme="minorEastAsia"/>
          <w:color w:val="auto"/>
          <w:kern w:val="24"/>
          <w:sz w:val="24"/>
          <w:highlight w:val="none"/>
        </w:rPr>
        <w:t>，从业人员人，营业收入为万元，资产总额为万元，属于</w:t>
      </w:r>
      <w:r>
        <w:rPr>
          <w:rFonts w:hint="eastAsia" w:asciiTheme="minorEastAsia" w:hAnsiTheme="minorEastAsia" w:eastAsiaTheme="minorEastAsia" w:cstheme="minorEastAsia"/>
          <w:color w:val="auto"/>
          <w:kern w:val="24"/>
          <w:sz w:val="24"/>
          <w:highlight w:val="none"/>
          <w:u w:val="single"/>
        </w:rPr>
        <w:t>（中型企业、小型企业、微型企业）</w:t>
      </w:r>
      <w:r>
        <w:rPr>
          <w:rFonts w:hint="eastAsia" w:asciiTheme="minorEastAsia" w:hAnsiTheme="minorEastAsia" w:eastAsiaTheme="minorEastAsia" w:cstheme="minorEastAsia"/>
          <w:color w:val="auto"/>
          <w:kern w:val="24"/>
          <w:sz w:val="24"/>
          <w:highlight w:val="none"/>
        </w:rPr>
        <w:t>；</w:t>
      </w:r>
    </w:p>
    <w:p>
      <w:pPr>
        <w:tabs>
          <w:tab w:val="left" w:pos="1065"/>
          <w:tab w:val="left" w:pos="6477"/>
        </w:tabs>
        <w:spacing w:line="360" w:lineRule="auto"/>
        <w:ind w:left="-426" w:right="-58" w:firstLine="655"/>
        <w:contextualSpacing/>
        <w:rPr>
          <w:rFonts w:asciiTheme="minorEastAsia" w:hAnsiTheme="minorEastAsia" w:eastAsiaTheme="minorEastAsia" w:cstheme="minorEastAsia"/>
          <w:color w:val="auto"/>
          <w:kern w:val="24"/>
          <w:sz w:val="24"/>
          <w:highlight w:val="none"/>
        </w:rPr>
      </w:pPr>
      <w:r>
        <w:rPr>
          <w:rFonts w:hint="eastAsia" w:asciiTheme="minorEastAsia" w:hAnsiTheme="minorEastAsia" w:eastAsiaTheme="minorEastAsia" w:cstheme="minorEastAsia"/>
          <w:color w:val="auto"/>
          <w:kern w:val="24"/>
          <w:sz w:val="24"/>
          <w:highlight w:val="none"/>
        </w:rPr>
        <w:t>2.</w:t>
      </w:r>
      <w:r>
        <w:rPr>
          <w:rFonts w:hint="eastAsia" w:asciiTheme="minorEastAsia" w:hAnsiTheme="minorEastAsia" w:eastAsiaTheme="minorEastAsia" w:cstheme="minorEastAsia"/>
          <w:color w:val="auto"/>
          <w:kern w:val="24"/>
          <w:sz w:val="24"/>
          <w:highlight w:val="none"/>
          <w:u w:val="single"/>
        </w:rPr>
        <w:t>（标的名称）</w:t>
      </w:r>
      <w:r>
        <w:rPr>
          <w:rFonts w:hint="eastAsia" w:asciiTheme="minorEastAsia" w:hAnsiTheme="minorEastAsia" w:eastAsiaTheme="minorEastAsia" w:cstheme="minorEastAsia"/>
          <w:color w:val="auto"/>
          <w:kern w:val="24"/>
          <w:sz w:val="24"/>
          <w:highlight w:val="none"/>
        </w:rPr>
        <w:t>，属于</w:t>
      </w:r>
      <w:r>
        <w:rPr>
          <w:rFonts w:hint="eastAsia" w:asciiTheme="minorEastAsia" w:hAnsiTheme="minorEastAsia" w:eastAsiaTheme="minorEastAsia" w:cstheme="minorEastAsia"/>
          <w:color w:val="auto"/>
          <w:kern w:val="24"/>
          <w:sz w:val="24"/>
          <w:highlight w:val="none"/>
          <w:u w:val="single"/>
        </w:rPr>
        <w:t>（采购文件中明确的所属行业）</w:t>
      </w:r>
      <w:r>
        <w:rPr>
          <w:rFonts w:hint="eastAsia" w:asciiTheme="minorEastAsia" w:hAnsiTheme="minorEastAsia" w:eastAsiaTheme="minorEastAsia" w:cstheme="minorEastAsia"/>
          <w:color w:val="auto"/>
          <w:kern w:val="24"/>
          <w:sz w:val="24"/>
          <w:highlight w:val="none"/>
        </w:rPr>
        <w:t>行业；制造商为</w:t>
      </w:r>
      <w:r>
        <w:rPr>
          <w:rFonts w:hint="eastAsia" w:asciiTheme="minorEastAsia" w:hAnsiTheme="minorEastAsia" w:eastAsiaTheme="minorEastAsia" w:cstheme="minorEastAsia"/>
          <w:color w:val="auto"/>
          <w:kern w:val="24"/>
          <w:sz w:val="24"/>
          <w:highlight w:val="none"/>
          <w:u w:val="single"/>
        </w:rPr>
        <w:t>（企业名称）</w:t>
      </w:r>
      <w:r>
        <w:rPr>
          <w:rFonts w:hint="eastAsia" w:asciiTheme="minorEastAsia" w:hAnsiTheme="minorEastAsia" w:eastAsiaTheme="minorEastAsia" w:cstheme="minorEastAsia"/>
          <w:color w:val="auto"/>
          <w:kern w:val="24"/>
          <w:sz w:val="24"/>
          <w:highlight w:val="none"/>
        </w:rPr>
        <w:t>，从业人员人，营业收入为万元，资产总额为万元，属于</w:t>
      </w:r>
      <w:r>
        <w:rPr>
          <w:rFonts w:hint="eastAsia" w:asciiTheme="minorEastAsia" w:hAnsiTheme="minorEastAsia" w:eastAsiaTheme="minorEastAsia" w:cstheme="minorEastAsia"/>
          <w:color w:val="auto"/>
          <w:kern w:val="24"/>
          <w:sz w:val="24"/>
          <w:highlight w:val="none"/>
          <w:u w:val="single"/>
        </w:rPr>
        <w:t>（中型企业、小型企业、微型企业）</w:t>
      </w:r>
      <w:r>
        <w:rPr>
          <w:rFonts w:hint="eastAsia" w:asciiTheme="minorEastAsia" w:hAnsiTheme="minorEastAsia" w:eastAsiaTheme="minorEastAsia" w:cstheme="minorEastAsia"/>
          <w:color w:val="auto"/>
          <w:kern w:val="24"/>
          <w:sz w:val="24"/>
          <w:highlight w:val="none"/>
        </w:rPr>
        <w:t>；</w:t>
      </w:r>
    </w:p>
    <w:p>
      <w:pPr>
        <w:pStyle w:val="2"/>
        <w:spacing w:line="360" w:lineRule="auto"/>
        <w:ind w:left="142" w:right="142"/>
        <w:contextualSpacing/>
        <w:rPr>
          <w:rFonts w:asciiTheme="minorEastAsia" w:hAnsiTheme="minorEastAsia" w:eastAsiaTheme="minorEastAsia" w:cstheme="minorEastAsia"/>
          <w:color w:val="auto"/>
          <w:kern w:val="24"/>
          <w:highlight w:val="none"/>
        </w:rPr>
      </w:pPr>
      <w:r>
        <w:rPr>
          <w:rFonts w:hint="eastAsia" w:asciiTheme="minorEastAsia" w:hAnsiTheme="minorEastAsia" w:eastAsiaTheme="minorEastAsia" w:cstheme="minorEastAsia"/>
          <w:color w:val="auto"/>
          <w:kern w:val="24"/>
          <w:highlight w:val="none"/>
        </w:rPr>
        <w:t xml:space="preserve">…… </w:t>
      </w:r>
    </w:p>
    <w:p>
      <w:pPr>
        <w:pStyle w:val="2"/>
        <w:spacing w:line="360" w:lineRule="auto"/>
        <w:ind w:left="-405" w:leftChars="-193" w:right="142" w:firstLine="453" w:firstLineChars="189"/>
        <w:contextualSpacing/>
        <w:rPr>
          <w:rFonts w:asciiTheme="minorEastAsia" w:hAnsiTheme="minorEastAsia" w:eastAsiaTheme="minorEastAsia" w:cstheme="minorEastAsia"/>
          <w:color w:val="auto"/>
          <w:kern w:val="24"/>
          <w:highlight w:val="none"/>
        </w:rPr>
      </w:pPr>
      <w:r>
        <w:rPr>
          <w:rFonts w:hint="eastAsia" w:asciiTheme="minorEastAsia" w:hAnsiTheme="minorEastAsia" w:eastAsiaTheme="minorEastAsia" w:cstheme="minorEastAsia"/>
          <w:color w:val="auto"/>
          <w:kern w:val="24"/>
          <w:highlight w:val="none"/>
        </w:rPr>
        <w:t>以上企业，不属于大企业的分支机构，不存在控股股东为大企业的情形，也不存在与大企业的负责人为同一人的情形。</w:t>
      </w:r>
    </w:p>
    <w:p>
      <w:pPr>
        <w:pStyle w:val="2"/>
        <w:spacing w:line="360" w:lineRule="auto"/>
        <w:ind w:left="-426" w:right="142" w:firstLine="567"/>
        <w:contextualSpacing/>
        <w:rPr>
          <w:rFonts w:asciiTheme="minorEastAsia" w:hAnsiTheme="minorEastAsia" w:eastAsiaTheme="minorEastAsia" w:cstheme="minorEastAsia"/>
          <w:color w:val="auto"/>
          <w:kern w:val="24"/>
          <w:highlight w:val="none"/>
        </w:rPr>
      </w:pPr>
      <w:r>
        <w:rPr>
          <w:rFonts w:hint="eastAsia" w:asciiTheme="minorEastAsia" w:hAnsiTheme="minorEastAsia" w:eastAsiaTheme="minorEastAsia" w:cstheme="minorEastAsia"/>
          <w:color w:val="auto"/>
          <w:kern w:val="24"/>
          <w:highlight w:val="none"/>
        </w:rPr>
        <w:t>本企业对上述声明内容的真实性负责。如有虚假，将依法承担相应责任。</w:t>
      </w:r>
    </w:p>
    <w:p>
      <w:pPr>
        <w:pStyle w:val="2"/>
        <w:spacing w:line="360" w:lineRule="auto"/>
        <w:ind w:left="3960" w:right="1808"/>
        <w:contextualSpacing/>
        <w:rPr>
          <w:rFonts w:asciiTheme="minorEastAsia" w:hAnsiTheme="minorEastAsia" w:eastAsiaTheme="minorEastAsia" w:cstheme="minorEastAsia"/>
          <w:color w:val="auto"/>
          <w:kern w:val="24"/>
          <w:highlight w:val="none"/>
        </w:rPr>
      </w:pPr>
    </w:p>
    <w:p>
      <w:pPr>
        <w:pStyle w:val="2"/>
        <w:spacing w:line="360" w:lineRule="auto"/>
        <w:ind w:left="3960" w:right="1808"/>
        <w:contextualSpacing/>
        <w:rPr>
          <w:rFonts w:asciiTheme="minorEastAsia" w:hAnsiTheme="minorEastAsia" w:eastAsiaTheme="minorEastAsia" w:cstheme="minorEastAsia"/>
          <w:color w:val="auto"/>
          <w:kern w:val="24"/>
          <w:highlight w:val="none"/>
        </w:rPr>
      </w:pPr>
      <w:r>
        <w:rPr>
          <w:rFonts w:hint="eastAsia" w:asciiTheme="minorEastAsia" w:hAnsiTheme="minorEastAsia" w:eastAsiaTheme="minorEastAsia" w:cstheme="minorEastAsia"/>
          <w:color w:val="auto"/>
          <w:kern w:val="24"/>
          <w:highlight w:val="none"/>
        </w:rPr>
        <w:t xml:space="preserve">企业名称（电子签章）： </w:t>
      </w:r>
    </w:p>
    <w:p>
      <w:pPr>
        <w:pStyle w:val="2"/>
        <w:spacing w:line="360" w:lineRule="auto"/>
        <w:ind w:left="3960" w:right="1808"/>
        <w:contextualSpacing/>
        <w:rPr>
          <w:rFonts w:asciiTheme="minorEastAsia" w:hAnsiTheme="minorEastAsia" w:eastAsiaTheme="minorEastAsia" w:cstheme="minorEastAsia"/>
          <w:color w:val="auto"/>
          <w:kern w:val="24"/>
          <w:highlight w:val="none"/>
        </w:rPr>
      </w:pPr>
      <w:r>
        <w:rPr>
          <w:rFonts w:hint="eastAsia" w:asciiTheme="minorEastAsia" w:hAnsiTheme="minorEastAsia" w:eastAsiaTheme="minorEastAsia" w:cstheme="minorEastAsia"/>
          <w:color w:val="auto"/>
          <w:kern w:val="24"/>
          <w:highlight w:val="none"/>
        </w:rPr>
        <w:t>日期：</w:t>
      </w:r>
    </w:p>
    <w:p>
      <w:pPr>
        <w:pStyle w:val="2"/>
        <w:spacing w:line="360" w:lineRule="auto"/>
        <w:ind w:left="3960" w:right="1808"/>
        <w:contextualSpacing/>
        <w:rPr>
          <w:rFonts w:asciiTheme="minorEastAsia" w:hAnsiTheme="minorEastAsia" w:eastAsiaTheme="minorEastAsia" w:cstheme="minorEastAsia"/>
          <w:color w:val="auto"/>
          <w:kern w:val="24"/>
          <w:highlight w:val="none"/>
        </w:rPr>
      </w:pPr>
    </w:p>
    <w:p>
      <w:pPr>
        <w:pStyle w:val="2"/>
        <w:spacing w:line="360" w:lineRule="auto"/>
        <w:ind w:left="3960" w:right="1808"/>
        <w:contextualSpacing/>
        <w:rPr>
          <w:rFonts w:asciiTheme="minorEastAsia" w:hAnsiTheme="minorEastAsia" w:eastAsiaTheme="minorEastAsia" w:cstheme="minorEastAsia"/>
          <w:color w:val="auto"/>
          <w:kern w:val="24"/>
          <w:highlight w:val="none"/>
        </w:rPr>
      </w:pPr>
    </w:p>
    <w:p>
      <w:pPr>
        <w:spacing w:line="360" w:lineRule="auto"/>
        <w:jc w:val="left"/>
        <w:rPr>
          <w:bCs/>
          <w:color w:val="auto"/>
          <w:szCs w:val="21"/>
          <w:highlight w:val="none"/>
        </w:rPr>
      </w:pPr>
      <w:r>
        <w:rPr>
          <w:rFonts w:hint="eastAsia"/>
          <w:bCs/>
          <w:color w:val="auto"/>
          <w:szCs w:val="21"/>
          <w:highlight w:val="none"/>
        </w:rPr>
        <w:t>注：</w:t>
      </w:r>
    </w:p>
    <w:p>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1</w:t>
      </w:r>
      <w:r>
        <w:rPr>
          <w:rFonts w:hint="eastAsia"/>
          <w:bCs/>
          <w:color w:val="auto"/>
          <w:szCs w:val="21"/>
          <w:highlight w:val="none"/>
        </w:rPr>
        <w:t>）标的名称按照第二章采购需求表中的货物名称填写，</w:t>
      </w:r>
      <w:r>
        <w:rPr>
          <w:rFonts w:hint="eastAsia"/>
          <w:color w:val="auto"/>
          <w:szCs w:val="21"/>
          <w:highlight w:val="none"/>
        </w:rPr>
        <w:t>所属行业标明</w:t>
      </w:r>
      <w:r>
        <w:rPr>
          <w:color w:val="auto"/>
          <w:szCs w:val="21"/>
          <w:highlight w:val="none"/>
        </w:rPr>
        <w:t>“/”</w:t>
      </w:r>
      <w:r>
        <w:rPr>
          <w:rFonts w:hint="eastAsia"/>
          <w:color w:val="auto"/>
          <w:szCs w:val="21"/>
          <w:highlight w:val="none"/>
        </w:rPr>
        <w:t>的</w:t>
      </w:r>
      <w:r>
        <w:rPr>
          <w:rFonts w:hint="eastAsia"/>
          <w:bCs/>
          <w:color w:val="auto"/>
          <w:szCs w:val="21"/>
          <w:highlight w:val="none"/>
        </w:rPr>
        <w:t>，无需在上表填写。</w:t>
      </w:r>
    </w:p>
    <w:p>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2</w:t>
      </w:r>
      <w:r>
        <w:rPr>
          <w:rFonts w:hint="eastAsia"/>
          <w:bCs/>
          <w:color w:val="auto"/>
          <w:szCs w:val="21"/>
          <w:highlight w:val="none"/>
        </w:rPr>
        <w:t>）如供应商为联合体或分包的，声明函中“项目名称”应填写联合体中小微企业承担的具体内容或者小微企业具体分包内容。</w:t>
      </w:r>
    </w:p>
    <w:p>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3</w:t>
      </w:r>
      <w:r>
        <w:rPr>
          <w:rFonts w:hint="eastAsia"/>
          <w:bCs/>
          <w:color w:val="auto"/>
          <w:szCs w:val="21"/>
          <w:highlight w:val="none"/>
        </w:rPr>
        <w:t>）从业人员、营业收入、资产总额填报上一年度数据，无上一年度数据的新成立企业参照国务院批准的中小企业划分标准，根据企业自身情况如实判断。</w:t>
      </w:r>
    </w:p>
    <w:p>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4</w:t>
      </w:r>
      <w:r>
        <w:rPr>
          <w:rFonts w:hint="eastAsia"/>
          <w:bCs/>
          <w:color w:val="auto"/>
          <w:szCs w:val="21"/>
          <w:highlight w:val="none"/>
        </w:rPr>
        <w:t>）根据工业和信息化部对“从业人员”定义的答复，《民法典》、《公司法》等法律规定，分公司不具有法人资格，其民事责任由总公司承担。企业划型时，应将分公司的从业人员、营业收入、资产总额等指标数据纳入合并计算。</w:t>
      </w:r>
    </w:p>
    <w:p>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5</w:t>
      </w:r>
      <w:r>
        <w:rPr>
          <w:rFonts w:hint="eastAsia"/>
          <w:bCs/>
          <w:color w:val="auto"/>
          <w:szCs w:val="21"/>
          <w:highlight w:val="none"/>
        </w:rPr>
        <w:t>）根据国际统计局《劳动工资统计报表制度》，从业人员数是指本单位工作，并取得工资活其他形式劳动报酬的人员数，是在岗职工、劳务派遣人员及其他从业人员之和。</w:t>
      </w:r>
    </w:p>
    <w:p>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6</w:t>
      </w:r>
      <w:r>
        <w:rPr>
          <w:rFonts w:hint="eastAsia"/>
          <w:bCs/>
          <w:color w:val="auto"/>
          <w:szCs w:val="21"/>
          <w:highlight w:val="none"/>
        </w:rPr>
        <w:t>）本声明函由供应商填写，供应商应按中小企业划分标准《关于印发中小企业划型标准规定的通知》（工信部联企业〔</w:t>
      </w:r>
      <w:r>
        <w:rPr>
          <w:bCs/>
          <w:color w:val="auto"/>
          <w:szCs w:val="21"/>
          <w:highlight w:val="none"/>
        </w:rPr>
        <w:t>2011</w:t>
      </w:r>
      <w:r>
        <w:rPr>
          <w:rFonts w:hint="eastAsia"/>
          <w:bCs/>
          <w:color w:val="auto"/>
          <w:szCs w:val="21"/>
          <w:highlight w:val="none"/>
        </w:rPr>
        <w:t>〕</w:t>
      </w:r>
      <w:r>
        <w:rPr>
          <w:bCs/>
          <w:color w:val="auto"/>
          <w:szCs w:val="21"/>
          <w:highlight w:val="none"/>
        </w:rPr>
        <w:t>300</w:t>
      </w:r>
      <w:r>
        <w:rPr>
          <w:rFonts w:hint="eastAsia"/>
          <w:bCs/>
          <w:color w:val="auto"/>
          <w:szCs w:val="21"/>
          <w:highlight w:val="none"/>
        </w:rPr>
        <w:t>号</w:t>
      </w:r>
      <w:r>
        <w:rPr>
          <w:rFonts w:hint="eastAsia"/>
          <w:color w:val="auto"/>
          <w:szCs w:val="21"/>
          <w:highlight w:val="none"/>
        </w:rPr>
        <w:t>以及《金融业企业划型标准规定》（银发〔</w:t>
      </w:r>
      <w:r>
        <w:rPr>
          <w:color w:val="auto"/>
          <w:szCs w:val="21"/>
          <w:highlight w:val="none"/>
        </w:rPr>
        <w:t>2015</w:t>
      </w:r>
      <w:r>
        <w:rPr>
          <w:rFonts w:hint="eastAsia"/>
          <w:color w:val="auto"/>
          <w:szCs w:val="21"/>
          <w:highlight w:val="none"/>
        </w:rPr>
        <w:t>〕</w:t>
      </w:r>
      <w:r>
        <w:rPr>
          <w:color w:val="auto"/>
          <w:szCs w:val="21"/>
          <w:highlight w:val="none"/>
        </w:rPr>
        <w:t>309</w:t>
      </w:r>
      <w:r>
        <w:rPr>
          <w:rFonts w:hint="eastAsia"/>
          <w:color w:val="auto"/>
          <w:szCs w:val="21"/>
          <w:highlight w:val="none"/>
        </w:rPr>
        <w:t>号）</w:t>
      </w:r>
      <w:r>
        <w:rPr>
          <w:rFonts w:hint="eastAsia"/>
          <w:bCs/>
          <w:color w:val="auto"/>
          <w:szCs w:val="21"/>
          <w:highlight w:val="none"/>
        </w:rPr>
        <w:t>）判断是否为中小企业。</w:t>
      </w:r>
    </w:p>
    <w:p>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7</w:t>
      </w:r>
      <w:r>
        <w:rPr>
          <w:rFonts w:hint="eastAsia"/>
          <w:bCs/>
          <w:color w:val="auto"/>
          <w:szCs w:val="21"/>
          <w:highlight w:val="none"/>
        </w:rPr>
        <w:t>）供应商对《中小企业声明函》的真实性负责，如有虚假则需承担不利后果。依法享受中小企业优惠政策的，采购人或采购代理机构在公告成交结果时，同时公告其《中小企业声明函》，接受社会监督。</w:t>
      </w:r>
    </w:p>
    <w:p>
      <w:pPr>
        <w:spacing w:line="360" w:lineRule="auto"/>
        <w:jc w:val="left"/>
        <w:rPr>
          <w:bCs/>
          <w:color w:val="auto"/>
          <w:szCs w:val="21"/>
          <w:highlight w:val="none"/>
        </w:rPr>
      </w:pPr>
      <w:r>
        <w:rPr>
          <w:rFonts w:hint="eastAsia"/>
          <w:bCs/>
          <w:color w:val="auto"/>
          <w:szCs w:val="21"/>
          <w:highlight w:val="none"/>
        </w:rPr>
        <w:t>（</w:t>
      </w:r>
      <w:r>
        <w:rPr>
          <w:bCs/>
          <w:color w:val="auto"/>
          <w:szCs w:val="21"/>
          <w:highlight w:val="none"/>
        </w:rPr>
        <w:t>8</w:t>
      </w:r>
      <w:r>
        <w:rPr>
          <w:rFonts w:hint="eastAsia"/>
          <w:bCs/>
          <w:color w:val="auto"/>
          <w:szCs w:val="21"/>
          <w:highlight w:val="none"/>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pPr>
        <w:spacing w:line="528" w:lineRule="exact"/>
        <w:ind w:firstLine="280" w:firstLineChars="100"/>
        <w:jc w:val="center"/>
        <w:rPr>
          <w:color w:val="auto"/>
          <w:sz w:val="28"/>
          <w:szCs w:val="28"/>
          <w:highlight w:val="none"/>
        </w:rPr>
      </w:pPr>
      <w:r>
        <w:rPr>
          <w:rFonts w:hint="eastAsia"/>
          <w:color w:val="auto"/>
          <w:sz w:val="28"/>
          <w:szCs w:val="28"/>
          <w:highlight w:val="none"/>
        </w:rPr>
        <w:t>中小微企业划型标准</w:t>
      </w:r>
    </w:p>
    <w:tbl>
      <w:tblPr>
        <w:tblStyle w:val="52"/>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tblPrEx>
          <w:tblLayout w:type="fixed"/>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微型</w:t>
            </w:r>
          </w:p>
        </w:tc>
      </w:tr>
      <w:tr>
        <w:tblPrEx>
          <w:tblLayout w:type="fixed"/>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pPr>
              <w:widowControl/>
              <w:jc w:val="center"/>
              <w:rPr>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营业收入（</w:t>
            </w:r>
            <w:r>
              <w:rPr>
                <w:color w:val="auto"/>
                <w:szCs w:val="21"/>
                <w:highlight w:val="none"/>
              </w:rPr>
              <w:t>Y</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500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20000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50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500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Y</w:t>
            </w:r>
            <w:r>
              <w:rPr>
                <w:rFonts w:hint="eastAsia"/>
                <w:color w:val="auto"/>
                <w:szCs w:val="21"/>
                <w:highlight w:val="none"/>
              </w:rPr>
              <w:t>＜</w:t>
            </w:r>
            <w:r>
              <w:rPr>
                <w:color w:val="auto"/>
                <w:szCs w:val="21"/>
                <w:highlight w:val="none"/>
              </w:rPr>
              <w:t>50</w:t>
            </w:r>
          </w:p>
        </w:tc>
      </w:tr>
      <w:tr>
        <w:tblPrEx>
          <w:tblLayout w:type="fixed"/>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从业人员（</w:t>
            </w:r>
            <w:r>
              <w:rPr>
                <w:color w:val="auto"/>
                <w:szCs w:val="21"/>
                <w:highlight w:val="none"/>
              </w:rPr>
              <w:t>X</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300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1000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20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300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X</w:t>
            </w:r>
            <w:r>
              <w:rPr>
                <w:rFonts w:hint="eastAsia"/>
                <w:color w:val="auto"/>
                <w:szCs w:val="21"/>
                <w:highlight w:val="none"/>
              </w:rPr>
              <w:t>＜</w:t>
            </w:r>
            <w:r>
              <w:rPr>
                <w:color w:val="auto"/>
                <w:szCs w:val="21"/>
                <w:highlight w:val="none"/>
              </w:rPr>
              <w:t>20</w:t>
            </w:r>
          </w:p>
        </w:tc>
      </w:tr>
      <w:tr>
        <w:tblPrEx>
          <w:tblLayout w:type="fixed"/>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营业收入（</w:t>
            </w:r>
            <w:r>
              <w:rPr>
                <w:color w:val="auto"/>
                <w:szCs w:val="21"/>
                <w:highlight w:val="none"/>
              </w:rPr>
              <w:t>Y</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2000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40000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300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2000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Y</w:t>
            </w:r>
            <w:r>
              <w:rPr>
                <w:rFonts w:hint="eastAsia"/>
                <w:color w:val="auto"/>
                <w:szCs w:val="21"/>
                <w:highlight w:val="none"/>
              </w:rPr>
              <w:t>＜</w:t>
            </w:r>
            <w:r>
              <w:rPr>
                <w:color w:val="auto"/>
                <w:szCs w:val="21"/>
                <w:highlight w:val="none"/>
              </w:rPr>
              <w:t>300</w:t>
            </w:r>
          </w:p>
        </w:tc>
      </w:tr>
      <w:tr>
        <w:tblPrEx>
          <w:tblLayout w:type="fixed"/>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营业收入（</w:t>
            </w:r>
            <w:r>
              <w:rPr>
                <w:color w:val="auto"/>
                <w:szCs w:val="21"/>
                <w:highlight w:val="none"/>
              </w:rPr>
              <w:t>Y</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6000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80000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300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6000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Y</w:t>
            </w:r>
            <w:r>
              <w:rPr>
                <w:rFonts w:hint="eastAsia"/>
                <w:color w:val="auto"/>
                <w:szCs w:val="21"/>
                <w:highlight w:val="none"/>
              </w:rPr>
              <w:t>＜</w:t>
            </w:r>
            <w:r>
              <w:rPr>
                <w:color w:val="auto"/>
                <w:szCs w:val="21"/>
                <w:highlight w:val="none"/>
              </w:rPr>
              <w:t>300</w:t>
            </w:r>
          </w:p>
        </w:tc>
      </w:tr>
      <w:tr>
        <w:tblPrEx>
          <w:tblLayout w:type="fixed"/>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资产总额（</w:t>
            </w:r>
            <w:r>
              <w:rPr>
                <w:color w:val="auto"/>
                <w:szCs w:val="21"/>
                <w:highlight w:val="none"/>
              </w:rPr>
              <w:t>Z</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5000</w:t>
            </w:r>
            <w:r>
              <w:rPr>
                <w:rFonts w:hint="eastAsia"/>
                <w:color w:val="auto"/>
                <w:szCs w:val="21"/>
                <w:highlight w:val="none"/>
              </w:rPr>
              <w:t>≤</w:t>
            </w:r>
            <w:r>
              <w:rPr>
                <w:color w:val="auto"/>
                <w:szCs w:val="21"/>
                <w:highlight w:val="none"/>
              </w:rPr>
              <w:t>Z</w:t>
            </w:r>
            <w:r>
              <w:rPr>
                <w:rFonts w:hint="eastAsia"/>
                <w:color w:val="auto"/>
                <w:szCs w:val="21"/>
                <w:highlight w:val="none"/>
              </w:rPr>
              <w:t>＜</w:t>
            </w:r>
            <w:r>
              <w:rPr>
                <w:color w:val="auto"/>
                <w:szCs w:val="21"/>
                <w:highlight w:val="none"/>
              </w:rPr>
              <w:t>80000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300</w:t>
            </w:r>
            <w:r>
              <w:rPr>
                <w:rFonts w:hint="eastAsia"/>
                <w:color w:val="auto"/>
                <w:szCs w:val="21"/>
                <w:highlight w:val="none"/>
              </w:rPr>
              <w:t>≤</w:t>
            </w:r>
            <w:r>
              <w:rPr>
                <w:color w:val="auto"/>
                <w:szCs w:val="21"/>
                <w:highlight w:val="none"/>
              </w:rPr>
              <w:t>Z</w:t>
            </w:r>
            <w:r>
              <w:rPr>
                <w:rFonts w:hint="eastAsia"/>
                <w:color w:val="auto"/>
                <w:szCs w:val="21"/>
                <w:highlight w:val="none"/>
              </w:rPr>
              <w:t>＜</w:t>
            </w:r>
            <w:r>
              <w:rPr>
                <w:color w:val="auto"/>
                <w:szCs w:val="21"/>
                <w:highlight w:val="none"/>
              </w:rPr>
              <w:t>5000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Z</w:t>
            </w:r>
            <w:r>
              <w:rPr>
                <w:rFonts w:hint="eastAsia"/>
                <w:color w:val="auto"/>
                <w:szCs w:val="21"/>
                <w:highlight w:val="none"/>
              </w:rPr>
              <w:t>＜</w:t>
            </w:r>
            <w:r>
              <w:rPr>
                <w:color w:val="auto"/>
                <w:szCs w:val="21"/>
                <w:highlight w:val="none"/>
              </w:rPr>
              <w:t>300</w:t>
            </w:r>
          </w:p>
        </w:tc>
      </w:tr>
      <w:tr>
        <w:tblPrEx>
          <w:tblLayout w:type="fixed"/>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pPr>
              <w:widowControl/>
              <w:ind w:firstLine="315" w:firstLineChars="150"/>
              <w:rPr>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从业人员（</w:t>
            </w:r>
            <w:r>
              <w:rPr>
                <w:color w:val="auto"/>
                <w:szCs w:val="21"/>
                <w:highlight w:val="none"/>
              </w:rPr>
              <w:t>X</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20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200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5</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20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X</w:t>
            </w:r>
            <w:r>
              <w:rPr>
                <w:rFonts w:hint="eastAsia"/>
                <w:color w:val="auto"/>
                <w:szCs w:val="21"/>
                <w:highlight w:val="none"/>
              </w:rPr>
              <w:t>＜</w:t>
            </w:r>
            <w:r>
              <w:rPr>
                <w:color w:val="auto"/>
                <w:szCs w:val="21"/>
                <w:highlight w:val="none"/>
              </w:rPr>
              <w:t>5</w:t>
            </w:r>
          </w:p>
        </w:tc>
      </w:tr>
      <w:tr>
        <w:tblPrEx>
          <w:tblLayout w:type="fixed"/>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营业收入（</w:t>
            </w:r>
            <w:r>
              <w:rPr>
                <w:color w:val="auto"/>
                <w:szCs w:val="21"/>
                <w:highlight w:val="none"/>
              </w:rPr>
              <w:t>Y</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5000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40000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5000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Y</w:t>
            </w:r>
            <w:r>
              <w:rPr>
                <w:rFonts w:hint="eastAsia"/>
                <w:color w:val="auto"/>
                <w:szCs w:val="21"/>
                <w:highlight w:val="none"/>
              </w:rPr>
              <w:t>＜</w:t>
            </w:r>
            <w:r>
              <w:rPr>
                <w:color w:val="auto"/>
                <w:szCs w:val="21"/>
                <w:highlight w:val="none"/>
              </w:rPr>
              <w:t>1000</w:t>
            </w:r>
          </w:p>
        </w:tc>
      </w:tr>
      <w:tr>
        <w:tblPrEx>
          <w:tblLayout w:type="fixed"/>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从业人员（</w:t>
            </w:r>
            <w:r>
              <w:rPr>
                <w:color w:val="auto"/>
                <w:szCs w:val="21"/>
                <w:highlight w:val="none"/>
              </w:rPr>
              <w:t>X</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50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300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50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X</w:t>
            </w:r>
            <w:r>
              <w:rPr>
                <w:rFonts w:hint="eastAsia"/>
                <w:color w:val="auto"/>
                <w:szCs w:val="21"/>
                <w:highlight w:val="none"/>
              </w:rPr>
              <w:t>＜</w:t>
            </w:r>
            <w:r>
              <w:rPr>
                <w:color w:val="auto"/>
                <w:szCs w:val="21"/>
                <w:highlight w:val="none"/>
              </w:rPr>
              <w:t>10</w:t>
            </w:r>
          </w:p>
        </w:tc>
      </w:tr>
      <w:tr>
        <w:tblPrEx>
          <w:tblLayout w:type="fixed"/>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营业收入（</w:t>
            </w:r>
            <w:r>
              <w:rPr>
                <w:color w:val="auto"/>
                <w:szCs w:val="21"/>
                <w:highlight w:val="none"/>
              </w:rPr>
              <w:t>Y</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500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20000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500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Y</w:t>
            </w:r>
            <w:r>
              <w:rPr>
                <w:rFonts w:hint="eastAsia"/>
                <w:color w:val="auto"/>
                <w:szCs w:val="21"/>
                <w:highlight w:val="none"/>
              </w:rPr>
              <w:t>＜</w:t>
            </w:r>
            <w:r>
              <w:rPr>
                <w:color w:val="auto"/>
                <w:szCs w:val="21"/>
                <w:highlight w:val="none"/>
              </w:rPr>
              <w:t>100</w:t>
            </w:r>
          </w:p>
        </w:tc>
      </w:tr>
      <w:tr>
        <w:tblPrEx>
          <w:tblLayout w:type="fixed"/>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从业人员（</w:t>
            </w:r>
            <w:r>
              <w:rPr>
                <w:color w:val="auto"/>
                <w:szCs w:val="21"/>
                <w:highlight w:val="none"/>
              </w:rPr>
              <w:t>X</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300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1000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20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300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X</w:t>
            </w:r>
            <w:r>
              <w:rPr>
                <w:rFonts w:hint="eastAsia"/>
                <w:color w:val="auto"/>
                <w:szCs w:val="21"/>
                <w:highlight w:val="none"/>
              </w:rPr>
              <w:t>＜</w:t>
            </w:r>
            <w:r>
              <w:rPr>
                <w:color w:val="auto"/>
                <w:szCs w:val="21"/>
                <w:highlight w:val="none"/>
              </w:rPr>
              <w:t>20</w:t>
            </w:r>
          </w:p>
        </w:tc>
      </w:tr>
      <w:tr>
        <w:tblPrEx>
          <w:tblLayout w:type="fixed"/>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营业收入（</w:t>
            </w:r>
            <w:r>
              <w:rPr>
                <w:color w:val="auto"/>
                <w:szCs w:val="21"/>
                <w:highlight w:val="none"/>
              </w:rPr>
              <w:t>Y</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3000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30000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200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3000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Y</w:t>
            </w:r>
            <w:r>
              <w:rPr>
                <w:rFonts w:hint="eastAsia"/>
                <w:color w:val="auto"/>
                <w:szCs w:val="21"/>
                <w:highlight w:val="none"/>
              </w:rPr>
              <w:t>＜</w:t>
            </w:r>
            <w:r>
              <w:rPr>
                <w:color w:val="auto"/>
                <w:szCs w:val="21"/>
                <w:highlight w:val="none"/>
              </w:rPr>
              <w:t>200</w:t>
            </w:r>
          </w:p>
        </w:tc>
      </w:tr>
      <w:tr>
        <w:tblPrEx>
          <w:tblLayout w:type="fixed"/>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从业人员（</w:t>
            </w:r>
            <w:r>
              <w:rPr>
                <w:color w:val="auto"/>
                <w:szCs w:val="21"/>
                <w:highlight w:val="none"/>
              </w:rPr>
              <w:t>X</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200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20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100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X</w:t>
            </w:r>
            <w:r>
              <w:rPr>
                <w:rFonts w:hint="eastAsia"/>
                <w:color w:val="auto"/>
                <w:szCs w:val="21"/>
                <w:highlight w:val="none"/>
              </w:rPr>
              <w:t>＜</w:t>
            </w:r>
            <w:r>
              <w:rPr>
                <w:color w:val="auto"/>
                <w:szCs w:val="21"/>
                <w:highlight w:val="none"/>
              </w:rPr>
              <w:t>20</w:t>
            </w:r>
          </w:p>
        </w:tc>
      </w:tr>
      <w:tr>
        <w:tblPrEx>
          <w:tblLayout w:type="fixed"/>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营业收入（</w:t>
            </w:r>
            <w:r>
              <w:rPr>
                <w:color w:val="auto"/>
                <w:szCs w:val="21"/>
                <w:highlight w:val="none"/>
              </w:rPr>
              <w:t>Y</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30000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1000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Y</w:t>
            </w:r>
            <w:r>
              <w:rPr>
                <w:rFonts w:hint="eastAsia"/>
                <w:color w:val="auto"/>
                <w:szCs w:val="21"/>
                <w:highlight w:val="none"/>
              </w:rPr>
              <w:t>＜</w:t>
            </w:r>
            <w:r>
              <w:rPr>
                <w:color w:val="auto"/>
                <w:szCs w:val="21"/>
                <w:highlight w:val="none"/>
              </w:rPr>
              <w:t>100</w:t>
            </w:r>
          </w:p>
        </w:tc>
      </w:tr>
      <w:tr>
        <w:tblPrEx>
          <w:tblLayout w:type="fixed"/>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从业人员（</w:t>
            </w:r>
            <w:r>
              <w:rPr>
                <w:color w:val="auto"/>
                <w:szCs w:val="21"/>
                <w:highlight w:val="none"/>
              </w:rPr>
              <w:t>X</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300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1000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20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300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X</w:t>
            </w:r>
            <w:r>
              <w:rPr>
                <w:rFonts w:hint="eastAsia"/>
                <w:color w:val="auto"/>
                <w:szCs w:val="21"/>
                <w:highlight w:val="none"/>
              </w:rPr>
              <w:t>＜</w:t>
            </w:r>
            <w:r>
              <w:rPr>
                <w:color w:val="auto"/>
                <w:szCs w:val="21"/>
                <w:highlight w:val="none"/>
              </w:rPr>
              <w:t>20</w:t>
            </w:r>
          </w:p>
        </w:tc>
      </w:tr>
      <w:tr>
        <w:tblPrEx>
          <w:tblLayout w:type="fixed"/>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营业收入（</w:t>
            </w:r>
            <w:r>
              <w:rPr>
                <w:color w:val="auto"/>
                <w:szCs w:val="21"/>
                <w:highlight w:val="none"/>
              </w:rPr>
              <w:t>Y</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2000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30000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2000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Y</w:t>
            </w:r>
            <w:r>
              <w:rPr>
                <w:rFonts w:hint="eastAsia"/>
                <w:color w:val="auto"/>
                <w:szCs w:val="21"/>
                <w:highlight w:val="none"/>
              </w:rPr>
              <w:t>＜</w:t>
            </w:r>
            <w:r>
              <w:rPr>
                <w:color w:val="auto"/>
                <w:szCs w:val="21"/>
                <w:highlight w:val="none"/>
              </w:rPr>
              <w:t>100</w:t>
            </w:r>
          </w:p>
        </w:tc>
      </w:tr>
      <w:tr>
        <w:tblPrEx>
          <w:tblLayout w:type="fixed"/>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从业人员（</w:t>
            </w:r>
            <w:r>
              <w:rPr>
                <w:color w:val="auto"/>
                <w:szCs w:val="21"/>
                <w:highlight w:val="none"/>
              </w:rPr>
              <w:t>X</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300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100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X</w:t>
            </w:r>
            <w:r>
              <w:rPr>
                <w:rFonts w:hint="eastAsia"/>
                <w:color w:val="auto"/>
                <w:szCs w:val="21"/>
                <w:highlight w:val="none"/>
              </w:rPr>
              <w:t>＜</w:t>
            </w:r>
            <w:r>
              <w:rPr>
                <w:color w:val="auto"/>
                <w:szCs w:val="21"/>
                <w:highlight w:val="none"/>
              </w:rPr>
              <w:t>10</w:t>
            </w:r>
          </w:p>
        </w:tc>
      </w:tr>
      <w:tr>
        <w:tblPrEx>
          <w:tblLayout w:type="fixed"/>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营业收入（</w:t>
            </w:r>
            <w:r>
              <w:rPr>
                <w:color w:val="auto"/>
                <w:szCs w:val="21"/>
                <w:highlight w:val="none"/>
              </w:rPr>
              <w:t>Y</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2000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10000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2000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Y</w:t>
            </w:r>
            <w:r>
              <w:rPr>
                <w:rFonts w:hint="eastAsia"/>
                <w:color w:val="auto"/>
                <w:szCs w:val="21"/>
                <w:highlight w:val="none"/>
              </w:rPr>
              <w:t>＜</w:t>
            </w:r>
            <w:r>
              <w:rPr>
                <w:color w:val="auto"/>
                <w:szCs w:val="21"/>
                <w:highlight w:val="none"/>
              </w:rPr>
              <w:t>100</w:t>
            </w:r>
          </w:p>
        </w:tc>
      </w:tr>
      <w:tr>
        <w:tblPrEx>
          <w:tblLayout w:type="fixed"/>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从业人员（</w:t>
            </w:r>
            <w:r>
              <w:rPr>
                <w:color w:val="auto"/>
                <w:szCs w:val="21"/>
                <w:highlight w:val="none"/>
              </w:rPr>
              <w:t>X</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300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100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X</w:t>
            </w:r>
            <w:r>
              <w:rPr>
                <w:rFonts w:hint="eastAsia"/>
                <w:color w:val="auto"/>
                <w:szCs w:val="21"/>
                <w:highlight w:val="none"/>
              </w:rPr>
              <w:t>＜</w:t>
            </w:r>
            <w:r>
              <w:rPr>
                <w:color w:val="auto"/>
                <w:szCs w:val="21"/>
                <w:highlight w:val="none"/>
              </w:rPr>
              <w:t>10</w:t>
            </w:r>
          </w:p>
        </w:tc>
      </w:tr>
      <w:tr>
        <w:tblPrEx>
          <w:tblLayout w:type="fixed"/>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营业收入（</w:t>
            </w:r>
            <w:r>
              <w:rPr>
                <w:color w:val="auto"/>
                <w:szCs w:val="21"/>
                <w:highlight w:val="none"/>
              </w:rPr>
              <w:t>Y</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2000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10000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2000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Y</w:t>
            </w:r>
            <w:r>
              <w:rPr>
                <w:rFonts w:hint="eastAsia"/>
                <w:color w:val="auto"/>
                <w:szCs w:val="21"/>
                <w:highlight w:val="none"/>
              </w:rPr>
              <w:t>＜</w:t>
            </w:r>
            <w:r>
              <w:rPr>
                <w:color w:val="auto"/>
                <w:szCs w:val="21"/>
                <w:highlight w:val="none"/>
              </w:rPr>
              <w:t>100</w:t>
            </w:r>
          </w:p>
        </w:tc>
      </w:tr>
      <w:tr>
        <w:tblPrEx>
          <w:tblLayout w:type="fixed"/>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从业人员（</w:t>
            </w:r>
            <w:r>
              <w:rPr>
                <w:color w:val="auto"/>
                <w:szCs w:val="21"/>
                <w:highlight w:val="none"/>
              </w:rPr>
              <w:t>X</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2000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100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X</w:t>
            </w:r>
            <w:r>
              <w:rPr>
                <w:rFonts w:hint="eastAsia"/>
                <w:color w:val="auto"/>
                <w:szCs w:val="21"/>
                <w:highlight w:val="none"/>
              </w:rPr>
              <w:t>＜</w:t>
            </w:r>
            <w:r>
              <w:rPr>
                <w:color w:val="auto"/>
                <w:szCs w:val="21"/>
                <w:highlight w:val="none"/>
              </w:rPr>
              <w:t>10</w:t>
            </w:r>
          </w:p>
        </w:tc>
      </w:tr>
      <w:tr>
        <w:tblPrEx>
          <w:tblLayout w:type="fixed"/>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营业收入（</w:t>
            </w:r>
            <w:r>
              <w:rPr>
                <w:color w:val="auto"/>
                <w:szCs w:val="21"/>
                <w:highlight w:val="none"/>
              </w:rPr>
              <w:t>Y</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100000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1000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Y</w:t>
            </w:r>
            <w:r>
              <w:rPr>
                <w:rFonts w:hint="eastAsia"/>
                <w:color w:val="auto"/>
                <w:szCs w:val="21"/>
                <w:highlight w:val="none"/>
              </w:rPr>
              <w:t>＜</w:t>
            </w:r>
            <w:r>
              <w:rPr>
                <w:color w:val="auto"/>
                <w:szCs w:val="21"/>
                <w:highlight w:val="none"/>
              </w:rPr>
              <w:t>100</w:t>
            </w:r>
          </w:p>
        </w:tc>
      </w:tr>
      <w:tr>
        <w:tblPrEx>
          <w:tblLayout w:type="fixed"/>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从业人员（</w:t>
            </w:r>
            <w:r>
              <w:rPr>
                <w:color w:val="auto"/>
                <w:szCs w:val="21"/>
                <w:highlight w:val="none"/>
              </w:rPr>
              <w:t>X</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300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100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X</w:t>
            </w:r>
            <w:r>
              <w:rPr>
                <w:rFonts w:hint="eastAsia"/>
                <w:color w:val="auto"/>
                <w:szCs w:val="21"/>
                <w:highlight w:val="none"/>
              </w:rPr>
              <w:t>＜</w:t>
            </w:r>
            <w:r>
              <w:rPr>
                <w:color w:val="auto"/>
                <w:szCs w:val="21"/>
                <w:highlight w:val="none"/>
              </w:rPr>
              <w:t>10</w:t>
            </w:r>
          </w:p>
        </w:tc>
      </w:tr>
      <w:tr>
        <w:tblPrEx>
          <w:tblLayout w:type="fixed"/>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营业收入（</w:t>
            </w:r>
            <w:r>
              <w:rPr>
                <w:color w:val="auto"/>
                <w:szCs w:val="21"/>
                <w:highlight w:val="none"/>
              </w:rPr>
              <w:t>Y</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10000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50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1000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Y</w:t>
            </w:r>
            <w:r>
              <w:rPr>
                <w:rFonts w:hint="eastAsia"/>
                <w:color w:val="auto"/>
                <w:szCs w:val="21"/>
                <w:highlight w:val="none"/>
              </w:rPr>
              <w:t>＜</w:t>
            </w:r>
            <w:r>
              <w:rPr>
                <w:color w:val="auto"/>
                <w:szCs w:val="21"/>
                <w:highlight w:val="none"/>
              </w:rPr>
              <w:t>50</w:t>
            </w:r>
          </w:p>
        </w:tc>
      </w:tr>
      <w:tr>
        <w:tblPrEx>
          <w:tblLayout w:type="fixed"/>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营业收入（</w:t>
            </w:r>
            <w:r>
              <w:rPr>
                <w:color w:val="auto"/>
                <w:szCs w:val="21"/>
                <w:highlight w:val="none"/>
              </w:rPr>
              <w:t>Y</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200000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1000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X</w:t>
            </w:r>
            <w:r>
              <w:rPr>
                <w:rFonts w:hint="eastAsia"/>
                <w:color w:val="auto"/>
                <w:szCs w:val="21"/>
                <w:highlight w:val="none"/>
              </w:rPr>
              <w:t>＜</w:t>
            </w:r>
            <w:r>
              <w:rPr>
                <w:color w:val="auto"/>
                <w:szCs w:val="21"/>
                <w:highlight w:val="none"/>
              </w:rPr>
              <w:t>100</w:t>
            </w:r>
          </w:p>
        </w:tc>
      </w:tr>
      <w:tr>
        <w:tblPrEx>
          <w:tblLayout w:type="fixed"/>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资产总额（</w:t>
            </w:r>
            <w:r>
              <w:rPr>
                <w:color w:val="auto"/>
                <w:szCs w:val="21"/>
                <w:highlight w:val="none"/>
              </w:rPr>
              <w:t>Z</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5000</w:t>
            </w:r>
            <w:r>
              <w:rPr>
                <w:rFonts w:hint="eastAsia"/>
                <w:color w:val="auto"/>
                <w:szCs w:val="21"/>
                <w:highlight w:val="none"/>
              </w:rPr>
              <w:t>≤</w:t>
            </w:r>
            <w:r>
              <w:rPr>
                <w:color w:val="auto"/>
                <w:szCs w:val="21"/>
                <w:highlight w:val="none"/>
              </w:rPr>
              <w:t>Z</w:t>
            </w:r>
            <w:r>
              <w:rPr>
                <w:rFonts w:hint="eastAsia"/>
                <w:color w:val="auto"/>
                <w:szCs w:val="21"/>
                <w:highlight w:val="none"/>
              </w:rPr>
              <w:t>＜</w:t>
            </w:r>
            <w:r>
              <w:rPr>
                <w:color w:val="auto"/>
                <w:szCs w:val="21"/>
                <w:highlight w:val="none"/>
              </w:rPr>
              <w:t>10000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2000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5000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Y</w:t>
            </w:r>
            <w:r>
              <w:rPr>
                <w:rFonts w:hint="eastAsia"/>
                <w:color w:val="auto"/>
                <w:szCs w:val="21"/>
                <w:highlight w:val="none"/>
              </w:rPr>
              <w:t>＜</w:t>
            </w:r>
            <w:r>
              <w:rPr>
                <w:color w:val="auto"/>
                <w:szCs w:val="21"/>
                <w:highlight w:val="none"/>
              </w:rPr>
              <w:t>2000</w:t>
            </w:r>
          </w:p>
        </w:tc>
      </w:tr>
      <w:tr>
        <w:tblPrEx>
          <w:tblLayout w:type="fixed"/>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从业人员（</w:t>
            </w:r>
            <w:r>
              <w:rPr>
                <w:color w:val="auto"/>
                <w:szCs w:val="21"/>
                <w:highlight w:val="none"/>
              </w:rPr>
              <w:t>X</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300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1000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300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X</w:t>
            </w:r>
            <w:r>
              <w:rPr>
                <w:rFonts w:hint="eastAsia"/>
                <w:color w:val="auto"/>
                <w:szCs w:val="21"/>
                <w:highlight w:val="none"/>
              </w:rPr>
              <w:t>＜</w:t>
            </w:r>
            <w:r>
              <w:rPr>
                <w:color w:val="auto"/>
                <w:szCs w:val="21"/>
                <w:highlight w:val="none"/>
              </w:rPr>
              <w:t>100</w:t>
            </w:r>
          </w:p>
        </w:tc>
      </w:tr>
      <w:tr>
        <w:tblPrEx>
          <w:tblLayout w:type="fixed"/>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营业收入（</w:t>
            </w:r>
            <w:r>
              <w:rPr>
                <w:color w:val="auto"/>
                <w:szCs w:val="21"/>
                <w:highlight w:val="none"/>
              </w:rPr>
              <w:t>Y</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5000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500</w:t>
            </w:r>
            <w:r>
              <w:rPr>
                <w:rFonts w:hint="eastAsia"/>
                <w:color w:val="auto"/>
                <w:szCs w:val="21"/>
                <w:highlight w:val="none"/>
              </w:rPr>
              <w:t>≤</w:t>
            </w:r>
            <w:r>
              <w:rPr>
                <w:color w:val="auto"/>
                <w:szCs w:val="21"/>
                <w:highlight w:val="none"/>
              </w:rPr>
              <w:t>Y</w:t>
            </w:r>
            <w:r>
              <w:rPr>
                <w:rFonts w:hint="eastAsia"/>
                <w:color w:val="auto"/>
                <w:szCs w:val="21"/>
                <w:highlight w:val="none"/>
              </w:rPr>
              <w:t>＜</w:t>
            </w:r>
            <w:r>
              <w:rPr>
                <w:color w:val="auto"/>
                <w:szCs w:val="21"/>
                <w:highlight w:val="none"/>
              </w:rPr>
              <w:t>1000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Y</w:t>
            </w:r>
            <w:r>
              <w:rPr>
                <w:rFonts w:hint="eastAsia"/>
                <w:color w:val="auto"/>
                <w:szCs w:val="21"/>
                <w:highlight w:val="none"/>
              </w:rPr>
              <w:t>＜</w:t>
            </w:r>
            <w:r>
              <w:rPr>
                <w:color w:val="auto"/>
                <w:szCs w:val="21"/>
                <w:highlight w:val="none"/>
              </w:rPr>
              <w:t>500</w:t>
            </w:r>
          </w:p>
        </w:tc>
      </w:tr>
      <w:tr>
        <w:tblPrEx>
          <w:tblLayout w:type="fixed"/>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从业人员（</w:t>
            </w:r>
            <w:r>
              <w:rPr>
                <w:color w:val="auto"/>
                <w:szCs w:val="21"/>
                <w:highlight w:val="none"/>
              </w:rPr>
              <w:t>X</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300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100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X</w:t>
            </w:r>
            <w:r>
              <w:rPr>
                <w:rFonts w:hint="eastAsia"/>
                <w:color w:val="auto"/>
                <w:szCs w:val="21"/>
                <w:highlight w:val="none"/>
              </w:rPr>
              <w:t>＜</w:t>
            </w:r>
            <w:r>
              <w:rPr>
                <w:color w:val="auto"/>
                <w:szCs w:val="21"/>
                <w:highlight w:val="none"/>
              </w:rPr>
              <w:t>10</w:t>
            </w:r>
          </w:p>
        </w:tc>
      </w:tr>
      <w:tr>
        <w:tblPrEx>
          <w:tblLayout w:type="fixed"/>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资产总额（</w:t>
            </w:r>
            <w:r>
              <w:rPr>
                <w:color w:val="auto"/>
                <w:szCs w:val="21"/>
                <w:highlight w:val="none"/>
              </w:rPr>
              <w:t>Z</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8000</w:t>
            </w:r>
            <w:r>
              <w:rPr>
                <w:rFonts w:hint="eastAsia"/>
                <w:color w:val="auto"/>
                <w:szCs w:val="21"/>
                <w:highlight w:val="none"/>
              </w:rPr>
              <w:t>≤</w:t>
            </w:r>
            <w:r>
              <w:rPr>
                <w:color w:val="auto"/>
                <w:szCs w:val="21"/>
                <w:highlight w:val="none"/>
              </w:rPr>
              <w:t>Z</w:t>
            </w:r>
            <w:r>
              <w:rPr>
                <w:rFonts w:hint="eastAsia"/>
                <w:color w:val="auto"/>
                <w:szCs w:val="21"/>
                <w:highlight w:val="none"/>
              </w:rPr>
              <w:t>＜</w:t>
            </w:r>
            <w:r>
              <w:rPr>
                <w:color w:val="auto"/>
                <w:szCs w:val="21"/>
                <w:highlight w:val="none"/>
              </w:rPr>
              <w:t>40000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w:t>
            </w:r>
            <w:r>
              <w:rPr>
                <w:rFonts w:hint="eastAsia"/>
                <w:color w:val="auto"/>
                <w:szCs w:val="21"/>
                <w:highlight w:val="none"/>
              </w:rPr>
              <w:t>≤</w:t>
            </w:r>
            <w:r>
              <w:rPr>
                <w:color w:val="auto"/>
                <w:szCs w:val="21"/>
                <w:highlight w:val="none"/>
              </w:rPr>
              <w:t>Z</w:t>
            </w:r>
            <w:r>
              <w:rPr>
                <w:rFonts w:hint="eastAsia"/>
                <w:color w:val="auto"/>
                <w:szCs w:val="21"/>
                <w:highlight w:val="none"/>
              </w:rPr>
              <w:t>＜</w:t>
            </w:r>
            <w:r>
              <w:rPr>
                <w:color w:val="auto"/>
                <w:szCs w:val="21"/>
                <w:highlight w:val="none"/>
              </w:rPr>
              <w:t>8000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Y</w:t>
            </w:r>
            <w:r>
              <w:rPr>
                <w:rFonts w:hint="eastAsia"/>
                <w:color w:val="auto"/>
                <w:szCs w:val="21"/>
                <w:highlight w:val="none"/>
              </w:rPr>
              <w:t>＜</w:t>
            </w:r>
            <w:r>
              <w:rPr>
                <w:color w:val="auto"/>
                <w:szCs w:val="21"/>
                <w:highlight w:val="none"/>
              </w:rPr>
              <w:t>100</w:t>
            </w:r>
          </w:p>
        </w:tc>
      </w:tr>
      <w:tr>
        <w:tblPrEx>
          <w:tblLayout w:type="fixed"/>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vAlign w:val="bottom"/>
          </w:tcPr>
          <w:p>
            <w:pPr>
              <w:widowControl/>
              <w:jc w:val="center"/>
              <w:rPr>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从业人员（</w:t>
            </w:r>
            <w:r>
              <w:rPr>
                <w:color w:val="auto"/>
                <w:szCs w:val="21"/>
                <w:highlight w:val="none"/>
              </w:rPr>
              <w:t>X</w:t>
            </w:r>
            <w:r>
              <w:rPr>
                <w:rFonts w:hint="eastAsia"/>
                <w:color w:val="auto"/>
                <w:szCs w:val="21"/>
                <w:highlight w:val="none"/>
              </w:rPr>
              <w:t>）</w:t>
            </w:r>
          </w:p>
        </w:tc>
        <w:tc>
          <w:tcPr>
            <w:tcW w:w="1134" w:type="dxa"/>
            <w:tcBorders>
              <w:top w:val="nil"/>
              <w:left w:val="nil"/>
              <w:bottom w:val="single" w:color="auto" w:sz="4" w:space="0"/>
              <w:right w:val="single" w:color="auto" w:sz="4" w:space="0"/>
            </w:tcBorders>
            <w:vAlign w:val="center"/>
          </w:tcPr>
          <w:p>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300</w:t>
            </w:r>
          </w:p>
        </w:tc>
        <w:tc>
          <w:tcPr>
            <w:tcW w:w="1570"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10</w:t>
            </w:r>
            <w:r>
              <w:rPr>
                <w:rFonts w:hint="eastAsia"/>
                <w:color w:val="auto"/>
                <w:szCs w:val="21"/>
                <w:highlight w:val="none"/>
              </w:rPr>
              <w:t>≤</w:t>
            </w:r>
            <w:r>
              <w:rPr>
                <w:color w:val="auto"/>
                <w:szCs w:val="21"/>
                <w:highlight w:val="none"/>
              </w:rPr>
              <w:t>X</w:t>
            </w:r>
            <w:r>
              <w:rPr>
                <w:rFonts w:hint="eastAsia"/>
                <w:color w:val="auto"/>
                <w:szCs w:val="21"/>
                <w:highlight w:val="none"/>
              </w:rPr>
              <w:t>＜</w:t>
            </w:r>
            <w:r>
              <w:rPr>
                <w:color w:val="auto"/>
                <w:szCs w:val="21"/>
                <w:highlight w:val="none"/>
              </w:rPr>
              <w:t>100</w:t>
            </w:r>
          </w:p>
        </w:tc>
        <w:tc>
          <w:tcPr>
            <w:tcW w:w="1009" w:type="dxa"/>
            <w:tcBorders>
              <w:top w:val="nil"/>
              <w:left w:val="nil"/>
              <w:bottom w:val="single" w:color="auto" w:sz="4" w:space="0"/>
              <w:right w:val="single" w:color="auto" w:sz="4" w:space="0"/>
            </w:tcBorders>
            <w:vAlign w:val="center"/>
          </w:tcPr>
          <w:p>
            <w:pPr>
              <w:widowControl/>
              <w:jc w:val="left"/>
              <w:rPr>
                <w:color w:val="auto"/>
                <w:szCs w:val="21"/>
                <w:highlight w:val="none"/>
              </w:rPr>
            </w:pPr>
            <w:r>
              <w:rPr>
                <w:color w:val="auto"/>
                <w:szCs w:val="21"/>
                <w:highlight w:val="none"/>
              </w:rPr>
              <w:t>X</w:t>
            </w:r>
            <w:r>
              <w:rPr>
                <w:rFonts w:hint="eastAsia"/>
                <w:color w:val="auto"/>
                <w:szCs w:val="21"/>
                <w:highlight w:val="none"/>
              </w:rPr>
              <w:t>＜</w:t>
            </w:r>
            <w:r>
              <w:rPr>
                <w:color w:val="auto"/>
                <w:szCs w:val="21"/>
                <w:highlight w:val="none"/>
              </w:rPr>
              <w:t>10</w:t>
            </w:r>
          </w:p>
        </w:tc>
      </w:tr>
    </w:tbl>
    <w:p>
      <w:pPr>
        <w:ind w:firstLine="525" w:firstLineChars="250"/>
        <w:rPr>
          <w:color w:val="auto"/>
          <w:szCs w:val="21"/>
          <w:highlight w:val="none"/>
        </w:rPr>
      </w:pPr>
      <w:r>
        <w:rPr>
          <w:rFonts w:hint="eastAsia"/>
          <w:color w:val="auto"/>
          <w:szCs w:val="21"/>
          <w:highlight w:val="none"/>
        </w:rPr>
        <w:t>说明：上述标准参照《关于印发中小企业划型标准规定的通知》（工信部联企业</w:t>
      </w:r>
      <w:r>
        <w:rPr>
          <w:color w:val="auto"/>
          <w:szCs w:val="21"/>
          <w:highlight w:val="none"/>
        </w:rPr>
        <w:t>[2011]300</w:t>
      </w:r>
      <w:r>
        <w:rPr>
          <w:rFonts w:hint="eastAsia"/>
          <w:color w:val="auto"/>
          <w:szCs w:val="21"/>
          <w:highlight w:val="none"/>
        </w:rPr>
        <w:t>号），大型、中型和小型企业须同时满足所列指标的下限，否则下划一档；微型企业只须满足所列指标中的一项即可。</w:t>
      </w:r>
    </w:p>
    <w:p>
      <w:pPr>
        <w:spacing w:line="360" w:lineRule="auto"/>
        <w:ind w:firstLine="525" w:firstLineChars="250"/>
        <w:rPr>
          <w:color w:val="auto"/>
          <w:szCs w:val="21"/>
          <w:highlight w:val="none"/>
        </w:rPr>
      </w:pPr>
    </w:p>
    <w:p>
      <w:pPr>
        <w:widowControl/>
        <w:jc w:val="left"/>
        <w:rPr>
          <w:color w:val="auto"/>
          <w:szCs w:val="21"/>
          <w:highlight w:val="none"/>
        </w:rPr>
      </w:pPr>
      <w:r>
        <w:rPr>
          <w:color w:val="auto"/>
          <w:szCs w:val="21"/>
          <w:highlight w:val="none"/>
        </w:rPr>
        <w:t>10.3</w:t>
      </w:r>
      <w:r>
        <w:rPr>
          <w:rFonts w:hint="eastAsia"/>
          <w:color w:val="auto"/>
          <w:szCs w:val="21"/>
          <w:highlight w:val="none"/>
        </w:rPr>
        <w:t>监狱企业须提供最新一期《</w:t>
      </w:r>
      <w:r>
        <w:rPr>
          <w:color w:val="auto"/>
          <w:szCs w:val="21"/>
          <w:highlight w:val="none"/>
        </w:rPr>
        <w:t>XX</w:t>
      </w:r>
      <w:r>
        <w:rPr>
          <w:rFonts w:hint="eastAsia"/>
          <w:color w:val="auto"/>
          <w:szCs w:val="21"/>
          <w:highlight w:val="none"/>
        </w:rPr>
        <w:t>省监狱企业产品目录》或其他监狱企业证明材料。（非监狱企业无需提供）</w:t>
      </w:r>
    </w:p>
    <w:p>
      <w:pPr>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br w:type="page"/>
      </w:r>
    </w:p>
    <w:p>
      <w:pPr>
        <w:snapToGrid w:val="0"/>
        <w:spacing w:beforeLines="50" w:after="50"/>
        <w:jc w:val="left"/>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3.关于符合本国产品标准的声明函</w:t>
      </w:r>
    </w:p>
    <w:p>
      <w:pPr>
        <w:widowControl/>
        <w:shd w:val="clear" w:color="auto" w:fill="FFFFFF"/>
        <w:spacing w:before="30" w:after="30" w:line="560" w:lineRule="atLeast"/>
        <w:jc w:val="center"/>
        <w:textAlignment w:val="baseline"/>
        <w:rPr>
          <w:rFonts w:ascii="仿宋" w:hAnsi="仿宋" w:eastAsia="仿宋" w:cs="仿宋"/>
          <w:b/>
          <w:color w:val="auto"/>
          <w:kern w:val="0"/>
          <w:sz w:val="36"/>
          <w:highlight w:val="none"/>
        </w:rPr>
      </w:pPr>
    </w:p>
    <w:p>
      <w:pPr>
        <w:widowControl/>
        <w:shd w:val="clear" w:color="auto" w:fill="FFFFFF"/>
        <w:spacing w:before="30" w:after="30" w:line="560" w:lineRule="atLeast"/>
        <w:jc w:val="center"/>
        <w:textAlignment w:val="baseline"/>
        <w:rPr>
          <w:rFonts w:ascii="仿宋" w:hAnsi="仿宋" w:eastAsia="仿宋" w:cs="仿宋"/>
          <w:color w:val="auto"/>
          <w:kern w:val="0"/>
          <w:sz w:val="36"/>
          <w:szCs w:val="36"/>
          <w:highlight w:val="none"/>
        </w:rPr>
      </w:pPr>
      <w:r>
        <w:rPr>
          <w:rFonts w:hint="eastAsia" w:ascii="仿宋" w:hAnsi="仿宋" w:eastAsia="仿宋" w:cs="仿宋"/>
          <w:b/>
          <w:color w:val="auto"/>
          <w:kern w:val="0"/>
          <w:sz w:val="36"/>
          <w:highlight w:val="none"/>
        </w:rPr>
        <w:t>关于符合本国产品标准的声明函</w:t>
      </w:r>
    </w:p>
    <w:p>
      <w:pPr>
        <w:widowControl/>
        <w:shd w:val="clear" w:color="auto" w:fill="FFFFFF"/>
        <w:spacing w:before="30" w:after="30" w:line="560" w:lineRule="atLeast"/>
        <w:ind w:firstLine="420"/>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widowControl/>
        <w:shd w:val="clear" w:color="auto" w:fill="FFFFFF"/>
        <w:spacing w:before="30" w:after="30" w:line="560" w:lineRule="atLeast"/>
        <w:ind w:firstLine="420"/>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1.</w:t>
      </w:r>
      <w:r>
        <w:rPr>
          <w:rFonts w:hint="eastAsia" w:ascii="宋体" w:hAnsi="宋体" w:cs="宋体"/>
          <w:color w:val="auto"/>
          <w:kern w:val="0"/>
          <w:sz w:val="24"/>
          <w:highlight w:val="none"/>
          <w:u w:val="single"/>
        </w:rPr>
        <w:t>（产品名称1）</w:t>
      </w:r>
      <w:r>
        <w:rPr>
          <w:rFonts w:hint="eastAsia" w:ascii="宋体" w:hAnsi="宋体" w:cs="宋体"/>
          <w:color w:val="auto"/>
          <w:kern w:val="0"/>
          <w:sz w:val="24"/>
          <w:highlight w:val="none"/>
        </w:rPr>
        <w:t>1</w:t>
      </w:r>
      <w:r>
        <w:rPr>
          <w:rFonts w:hint="eastAsia" w:ascii="宋体" w:hAnsi="宋体" w:cs="宋体"/>
          <w:color w:val="auto"/>
          <w:kern w:val="0"/>
          <w:sz w:val="24"/>
          <w:highlight w:val="none"/>
          <w:shd w:val="clear" w:color="auto" w:fill="FFFFFF"/>
        </w:rPr>
        <w:t>，生产厂为</w:t>
      </w:r>
      <w:r>
        <w:rPr>
          <w:rFonts w:hint="eastAsia" w:ascii="宋体" w:hAnsi="宋体" w:cs="宋体"/>
          <w:color w:val="auto"/>
          <w:kern w:val="0"/>
          <w:sz w:val="24"/>
          <w:highlight w:val="none"/>
          <w:u w:val="single"/>
        </w:rPr>
        <w:t>（厂名）</w:t>
      </w:r>
      <w:r>
        <w:rPr>
          <w:rFonts w:hint="eastAsia" w:ascii="宋体" w:hAnsi="宋体" w:cs="宋体"/>
          <w:color w:val="auto"/>
          <w:kern w:val="0"/>
          <w:sz w:val="24"/>
          <w:highlight w:val="none"/>
        </w:rPr>
        <w:t>2</w:t>
      </w:r>
      <w:r>
        <w:rPr>
          <w:rFonts w:hint="eastAsia" w:ascii="宋体" w:hAnsi="宋体" w:cs="宋体"/>
          <w:color w:val="auto"/>
          <w:kern w:val="0"/>
          <w:sz w:val="24"/>
          <w:highlight w:val="none"/>
          <w:shd w:val="clear" w:color="auto" w:fill="FFFFFF"/>
        </w:rPr>
        <w:t>，厂址为</w:t>
      </w:r>
      <w:r>
        <w:rPr>
          <w:rFonts w:hint="eastAsia" w:ascii="宋体" w:hAnsi="宋体" w:cs="宋体"/>
          <w:color w:val="auto"/>
          <w:kern w:val="0"/>
          <w:sz w:val="24"/>
          <w:highlight w:val="none"/>
          <w:u w:val="single"/>
        </w:rPr>
        <w:t>（生产厂址）</w:t>
      </w:r>
      <w:r>
        <w:rPr>
          <w:rFonts w:hint="eastAsia" w:ascii="宋体" w:hAnsi="宋体" w:cs="宋体"/>
          <w:color w:val="auto"/>
          <w:kern w:val="0"/>
          <w:sz w:val="24"/>
          <w:highlight w:val="none"/>
          <w:shd w:val="clear" w:color="auto" w:fill="FFFFFF"/>
        </w:rPr>
        <w:t>。</w:t>
      </w:r>
      <w:r>
        <w:rPr>
          <w:rFonts w:hint="eastAsia" w:ascii="宋体" w:hAnsi="宋体" w:cs="宋体"/>
          <w:color w:val="auto"/>
          <w:kern w:val="0"/>
          <w:sz w:val="24"/>
          <w:highlight w:val="none"/>
          <w:u w:val="single"/>
        </w:rPr>
        <w:t>（产品名称1）</w:t>
      </w:r>
      <w:r>
        <w:rPr>
          <w:rFonts w:hint="eastAsia" w:ascii="宋体" w:hAnsi="宋体" w:cs="宋体"/>
          <w:color w:val="auto"/>
          <w:kern w:val="0"/>
          <w:sz w:val="24"/>
          <w:highlight w:val="none"/>
          <w:shd w:val="clear" w:color="auto" w:fill="FFFFFF"/>
        </w:rPr>
        <w:t>的中国境内生产的组件成本占比≥</w:t>
      </w:r>
      <w:r>
        <w:rPr>
          <w:rFonts w:hint="eastAsia" w:ascii="宋体" w:hAnsi="宋体" w:cs="宋体"/>
          <w:color w:val="auto"/>
          <w:kern w:val="0"/>
          <w:sz w:val="24"/>
          <w:highlight w:val="none"/>
          <w:u w:val="single"/>
        </w:rPr>
        <w:t>（规定比例）</w:t>
      </w:r>
      <w:r>
        <w:rPr>
          <w:rFonts w:hint="eastAsia" w:ascii="宋体" w:hAnsi="宋体" w:cs="宋体"/>
          <w:color w:val="auto"/>
          <w:kern w:val="0"/>
          <w:sz w:val="24"/>
          <w:highlight w:val="none"/>
        </w:rPr>
        <w:t>3</w:t>
      </w:r>
      <w:r>
        <w:rPr>
          <w:rFonts w:hint="eastAsia" w:ascii="宋体" w:hAnsi="宋体" w:cs="宋体"/>
          <w:color w:val="auto"/>
          <w:kern w:val="0"/>
          <w:sz w:val="24"/>
          <w:highlight w:val="none"/>
          <w:shd w:val="clear" w:color="auto" w:fill="FFFFFF"/>
        </w:rPr>
        <w:t>。</w:t>
      </w:r>
      <w:r>
        <w:rPr>
          <w:rFonts w:hint="eastAsia" w:ascii="宋体" w:hAnsi="宋体" w:cs="宋体"/>
          <w:color w:val="auto"/>
          <w:kern w:val="0"/>
          <w:sz w:val="24"/>
          <w:highlight w:val="none"/>
          <w:u w:val="single"/>
        </w:rPr>
        <w:t>（产品名称1）</w:t>
      </w:r>
      <w:r>
        <w:rPr>
          <w:rFonts w:hint="eastAsia" w:ascii="宋体" w:hAnsi="宋体" w:cs="宋体"/>
          <w:color w:val="auto"/>
          <w:kern w:val="0"/>
          <w:sz w:val="24"/>
          <w:highlight w:val="none"/>
          <w:shd w:val="clear" w:color="auto" w:fill="FFFFFF"/>
        </w:rPr>
        <w:t>的</w:t>
      </w:r>
      <w:r>
        <w:rPr>
          <w:rFonts w:hint="eastAsia" w:ascii="宋体" w:hAnsi="宋体" w:cs="宋体"/>
          <w:color w:val="auto"/>
          <w:kern w:val="0"/>
          <w:sz w:val="24"/>
          <w:highlight w:val="none"/>
          <w:u w:val="single"/>
        </w:rPr>
        <w:t>（关键组件）</w:t>
      </w:r>
      <w:r>
        <w:rPr>
          <w:rFonts w:hint="eastAsia" w:ascii="宋体" w:hAnsi="宋体" w:cs="宋体"/>
          <w:color w:val="auto"/>
          <w:kern w:val="0"/>
          <w:sz w:val="24"/>
          <w:highlight w:val="none"/>
        </w:rPr>
        <w:t>4</w:t>
      </w:r>
      <w:r>
        <w:rPr>
          <w:rFonts w:hint="eastAsia" w:ascii="宋体" w:hAnsi="宋体" w:cs="宋体"/>
          <w:color w:val="auto"/>
          <w:kern w:val="0"/>
          <w:sz w:val="24"/>
          <w:highlight w:val="none"/>
          <w:shd w:val="clear" w:color="auto" w:fill="FFFFFF"/>
        </w:rPr>
        <w:t>在中国境内生产。</w:t>
      </w:r>
      <w:r>
        <w:rPr>
          <w:rFonts w:hint="eastAsia" w:ascii="宋体" w:hAnsi="宋体" w:cs="宋体"/>
          <w:color w:val="auto"/>
          <w:kern w:val="0"/>
          <w:sz w:val="24"/>
          <w:highlight w:val="none"/>
          <w:u w:val="single"/>
        </w:rPr>
        <w:t>（产品名称1）</w:t>
      </w:r>
      <w:r>
        <w:rPr>
          <w:rFonts w:hint="eastAsia" w:ascii="宋体" w:hAnsi="宋体" w:cs="宋体"/>
          <w:color w:val="auto"/>
          <w:kern w:val="0"/>
          <w:sz w:val="24"/>
          <w:highlight w:val="none"/>
          <w:shd w:val="clear" w:color="auto" w:fill="FFFFFF"/>
        </w:rPr>
        <w:t>的</w:t>
      </w:r>
      <w:r>
        <w:rPr>
          <w:rFonts w:hint="eastAsia" w:ascii="宋体" w:hAnsi="宋体" w:cs="宋体"/>
          <w:color w:val="auto"/>
          <w:kern w:val="0"/>
          <w:sz w:val="24"/>
          <w:highlight w:val="none"/>
          <w:u w:val="single"/>
        </w:rPr>
        <w:t>（关键工序）</w:t>
      </w:r>
      <w:r>
        <w:rPr>
          <w:rFonts w:hint="eastAsia" w:ascii="宋体" w:hAnsi="宋体" w:cs="宋体"/>
          <w:color w:val="auto"/>
          <w:kern w:val="0"/>
          <w:sz w:val="24"/>
          <w:highlight w:val="none"/>
        </w:rPr>
        <w:t>5</w:t>
      </w:r>
      <w:r>
        <w:rPr>
          <w:rFonts w:hint="eastAsia" w:ascii="宋体" w:hAnsi="宋体" w:cs="宋体"/>
          <w:color w:val="auto"/>
          <w:kern w:val="0"/>
          <w:sz w:val="24"/>
          <w:highlight w:val="none"/>
          <w:shd w:val="clear" w:color="auto" w:fill="FFFFFF"/>
        </w:rPr>
        <w:t>在中国境内完成。</w:t>
      </w:r>
    </w:p>
    <w:p>
      <w:pPr>
        <w:widowControl/>
        <w:shd w:val="clear" w:color="auto" w:fill="FFFFFF"/>
        <w:spacing w:before="30" w:after="30" w:line="560" w:lineRule="atLeast"/>
        <w:ind w:firstLine="420"/>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2.</w:t>
      </w:r>
      <w:r>
        <w:rPr>
          <w:rFonts w:hint="eastAsia" w:ascii="宋体" w:hAnsi="宋体" w:cs="宋体"/>
          <w:color w:val="auto"/>
          <w:kern w:val="0"/>
          <w:sz w:val="24"/>
          <w:highlight w:val="none"/>
          <w:u w:val="single"/>
        </w:rPr>
        <w:t>（产品名称2）</w:t>
      </w:r>
      <w:r>
        <w:rPr>
          <w:rFonts w:hint="eastAsia" w:ascii="宋体" w:hAnsi="宋体" w:cs="宋体"/>
          <w:color w:val="auto"/>
          <w:kern w:val="0"/>
          <w:sz w:val="24"/>
          <w:highlight w:val="none"/>
          <w:shd w:val="clear" w:color="auto" w:fill="FFFFFF"/>
        </w:rPr>
        <w:t>，生产厂为</w:t>
      </w:r>
      <w:r>
        <w:rPr>
          <w:rFonts w:hint="eastAsia" w:ascii="宋体" w:hAnsi="宋体" w:cs="宋体"/>
          <w:color w:val="auto"/>
          <w:kern w:val="0"/>
          <w:sz w:val="24"/>
          <w:highlight w:val="none"/>
          <w:u w:val="single"/>
        </w:rPr>
        <w:t>（厂名）</w:t>
      </w:r>
      <w:r>
        <w:rPr>
          <w:rFonts w:hint="eastAsia" w:ascii="宋体" w:hAnsi="宋体" w:cs="宋体"/>
          <w:color w:val="auto"/>
          <w:kern w:val="0"/>
          <w:sz w:val="24"/>
          <w:highlight w:val="none"/>
          <w:shd w:val="clear" w:color="auto" w:fill="FFFFFF"/>
        </w:rPr>
        <w:t>，厂址为</w:t>
      </w:r>
      <w:r>
        <w:rPr>
          <w:rFonts w:hint="eastAsia" w:ascii="宋体" w:hAnsi="宋体" w:cs="宋体"/>
          <w:color w:val="auto"/>
          <w:kern w:val="0"/>
          <w:sz w:val="24"/>
          <w:highlight w:val="none"/>
          <w:u w:val="single"/>
        </w:rPr>
        <w:t>（生产厂址）</w:t>
      </w:r>
      <w:r>
        <w:rPr>
          <w:rFonts w:hint="eastAsia" w:ascii="宋体" w:hAnsi="宋体" w:cs="宋体"/>
          <w:color w:val="auto"/>
          <w:kern w:val="0"/>
          <w:sz w:val="24"/>
          <w:highlight w:val="none"/>
          <w:shd w:val="clear" w:color="auto" w:fill="FFFFFF"/>
        </w:rPr>
        <w:t>。</w:t>
      </w:r>
      <w:r>
        <w:rPr>
          <w:rFonts w:hint="eastAsia" w:ascii="宋体" w:hAnsi="宋体" w:cs="宋体"/>
          <w:color w:val="auto"/>
          <w:kern w:val="0"/>
          <w:sz w:val="24"/>
          <w:highlight w:val="none"/>
          <w:u w:val="single"/>
        </w:rPr>
        <w:t>（产品名称2）</w:t>
      </w:r>
      <w:r>
        <w:rPr>
          <w:rFonts w:hint="eastAsia" w:ascii="宋体" w:hAnsi="宋体" w:cs="宋体"/>
          <w:color w:val="auto"/>
          <w:kern w:val="0"/>
          <w:sz w:val="24"/>
          <w:highlight w:val="none"/>
          <w:shd w:val="clear" w:color="auto" w:fill="FFFFFF"/>
        </w:rPr>
        <w:t>的中国境内生产的组件成本占比≥</w:t>
      </w:r>
      <w:r>
        <w:rPr>
          <w:rFonts w:hint="eastAsia" w:ascii="宋体" w:hAnsi="宋体" w:cs="宋体"/>
          <w:color w:val="auto"/>
          <w:kern w:val="0"/>
          <w:sz w:val="24"/>
          <w:highlight w:val="none"/>
          <w:u w:val="single"/>
        </w:rPr>
        <w:t>（规定比例）</w:t>
      </w:r>
      <w:r>
        <w:rPr>
          <w:rFonts w:hint="eastAsia" w:ascii="宋体" w:hAnsi="宋体" w:cs="宋体"/>
          <w:color w:val="auto"/>
          <w:kern w:val="0"/>
          <w:sz w:val="24"/>
          <w:highlight w:val="none"/>
          <w:shd w:val="clear" w:color="auto" w:fill="FFFFFF"/>
        </w:rPr>
        <w:t>。</w:t>
      </w:r>
      <w:r>
        <w:rPr>
          <w:rFonts w:hint="eastAsia" w:ascii="宋体" w:hAnsi="宋体" w:cs="宋体"/>
          <w:color w:val="auto"/>
          <w:kern w:val="0"/>
          <w:sz w:val="24"/>
          <w:highlight w:val="none"/>
          <w:u w:val="single"/>
        </w:rPr>
        <w:t>（产品名称2）</w:t>
      </w:r>
      <w:r>
        <w:rPr>
          <w:rFonts w:hint="eastAsia" w:ascii="宋体" w:hAnsi="宋体" w:cs="宋体"/>
          <w:color w:val="auto"/>
          <w:kern w:val="0"/>
          <w:sz w:val="24"/>
          <w:highlight w:val="none"/>
          <w:shd w:val="clear" w:color="auto" w:fill="FFFFFF"/>
        </w:rPr>
        <w:t>的</w:t>
      </w:r>
      <w:r>
        <w:rPr>
          <w:rFonts w:hint="eastAsia" w:ascii="宋体" w:hAnsi="宋体" w:cs="宋体"/>
          <w:color w:val="auto"/>
          <w:kern w:val="0"/>
          <w:sz w:val="24"/>
          <w:highlight w:val="none"/>
          <w:u w:val="single"/>
        </w:rPr>
        <w:t>（关键组件）</w:t>
      </w:r>
      <w:r>
        <w:rPr>
          <w:rFonts w:hint="eastAsia" w:ascii="宋体" w:hAnsi="宋体" w:cs="宋体"/>
          <w:color w:val="auto"/>
          <w:kern w:val="0"/>
          <w:sz w:val="24"/>
          <w:highlight w:val="none"/>
          <w:shd w:val="clear" w:color="auto" w:fill="FFFFFF"/>
        </w:rPr>
        <w:t>在中国境内生产。</w:t>
      </w:r>
      <w:r>
        <w:rPr>
          <w:rFonts w:hint="eastAsia" w:ascii="宋体" w:hAnsi="宋体" w:cs="宋体"/>
          <w:color w:val="auto"/>
          <w:kern w:val="0"/>
          <w:sz w:val="24"/>
          <w:highlight w:val="none"/>
          <w:u w:val="single"/>
        </w:rPr>
        <w:t>（产品名称2）</w:t>
      </w:r>
      <w:r>
        <w:rPr>
          <w:rFonts w:hint="eastAsia" w:ascii="宋体" w:hAnsi="宋体" w:cs="宋体"/>
          <w:color w:val="auto"/>
          <w:kern w:val="0"/>
          <w:sz w:val="24"/>
          <w:highlight w:val="none"/>
          <w:shd w:val="clear" w:color="auto" w:fill="FFFFFF"/>
        </w:rPr>
        <w:t>的</w:t>
      </w:r>
      <w:r>
        <w:rPr>
          <w:rFonts w:hint="eastAsia" w:ascii="宋体" w:hAnsi="宋体" w:cs="宋体"/>
          <w:color w:val="auto"/>
          <w:kern w:val="0"/>
          <w:sz w:val="24"/>
          <w:highlight w:val="none"/>
          <w:u w:val="single"/>
        </w:rPr>
        <w:t>（关键工序）</w:t>
      </w:r>
      <w:r>
        <w:rPr>
          <w:rFonts w:hint="eastAsia" w:ascii="宋体" w:hAnsi="宋体" w:cs="宋体"/>
          <w:color w:val="auto"/>
          <w:kern w:val="0"/>
          <w:sz w:val="24"/>
          <w:highlight w:val="none"/>
          <w:shd w:val="clear" w:color="auto" w:fill="FFFFFF"/>
        </w:rPr>
        <w:t>在中国境内完成。</w:t>
      </w:r>
    </w:p>
    <w:p>
      <w:pPr>
        <w:widowControl/>
        <w:shd w:val="clear" w:color="auto" w:fill="FFFFFF"/>
        <w:spacing w:before="30" w:after="30" w:line="560" w:lineRule="atLeast"/>
        <w:ind w:firstLine="420"/>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w:t>
      </w:r>
    </w:p>
    <w:p>
      <w:pPr>
        <w:widowControl/>
        <w:shd w:val="clear" w:color="auto" w:fill="FFFFFF"/>
        <w:spacing w:before="30" w:after="30" w:line="560" w:lineRule="atLeast"/>
        <w:ind w:firstLine="420"/>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本公司（单位）对上述声明内容的真实性负责。如有虚假，愿承担相应法律责任。</w:t>
      </w:r>
    </w:p>
    <w:p>
      <w:pPr>
        <w:widowControl/>
        <w:shd w:val="clear" w:color="auto" w:fill="FFFFFF"/>
        <w:spacing w:before="30" w:after="30" w:line="560" w:lineRule="atLeast"/>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 </w:t>
      </w:r>
    </w:p>
    <w:p>
      <w:pPr>
        <w:widowControl/>
        <w:shd w:val="clear" w:color="auto" w:fill="FFFFFF"/>
        <w:spacing w:before="30" w:after="30" w:line="560" w:lineRule="atLeast"/>
        <w:jc w:val="right"/>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公司（单位）名称（盖章）：　        </w:t>
      </w:r>
    </w:p>
    <w:p>
      <w:pPr>
        <w:widowControl/>
        <w:shd w:val="clear" w:color="auto" w:fill="FFFFFF"/>
        <w:spacing w:before="30" w:after="30" w:line="560" w:lineRule="atLeast"/>
        <w:jc w:val="right"/>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日期：　     年　  月　  日         </w:t>
      </w:r>
    </w:p>
    <w:p>
      <w:pPr>
        <w:widowControl/>
        <w:shd w:val="clear" w:color="auto" w:fill="FFFFFF"/>
        <w:spacing w:before="30" w:after="30" w:line="560" w:lineRule="atLeast"/>
        <w:textAlignment w:val="baseline"/>
        <w:rPr>
          <w:rFonts w:ascii="宋体" w:hAnsi="宋体" w:cs="宋体"/>
          <w:color w:val="auto"/>
          <w:kern w:val="0"/>
          <w:sz w:val="24"/>
          <w:highlight w:val="none"/>
        </w:rPr>
      </w:pPr>
      <w:r>
        <w:rPr>
          <w:rFonts w:hint="eastAsia" w:ascii="宋体" w:hAnsi="宋体" w:cs="宋体"/>
          <w:color w:val="auto"/>
          <w:kern w:val="0"/>
          <w:sz w:val="24"/>
          <w:highlight w:val="none"/>
          <w:shd w:val="clear" w:color="auto" w:fill="FFFFFF"/>
        </w:rPr>
        <w:t>__________________</w:t>
      </w:r>
    </w:p>
    <w:p>
      <w:pPr>
        <w:widowControl/>
        <w:shd w:val="clear" w:color="auto" w:fill="FFFFFF"/>
        <w:spacing w:before="30" w:after="30" w:line="560" w:lineRule="atLeast"/>
        <w:ind w:firstLine="420"/>
        <w:textAlignment w:val="baseline"/>
        <w:rPr>
          <w:rFonts w:ascii="宋体" w:hAnsi="宋体" w:cs="宋体"/>
          <w:color w:val="auto"/>
          <w:kern w:val="0"/>
          <w:szCs w:val="21"/>
          <w:highlight w:val="none"/>
        </w:rPr>
      </w:pPr>
      <w:r>
        <w:rPr>
          <w:rFonts w:hint="eastAsia" w:ascii="宋体" w:hAnsi="宋体" w:cs="宋体"/>
          <w:color w:val="auto"/>
          <w:kern w:val="0"/>
          <w:szCs w:val="21"/>
          <w:highlight w:val="none"/>
          <w:shd w:val="clear" w:color="auto" w:fill="FFFFFF"/>
        </w:rPr>
        <w:t>1.产品如有型号，请在“产品名称”栏一并填写。</w:t>
      </w:r>
    </w:p>
    <w:p>
      <w:pPr>
        <w:widowControl/>
        <w:shd w:val="clear" w:color="auto" w:fill="FFFFFF"/>
        <w:spacing w:before="30" w:after="30" w:line="560" w:lineRule="atLeast"/>
        <w:ind w:firstLine="420"/>
        <w:textAlignment w:val="baseline"/>
        <w:rPr>
          <w:rFonts w:ascii="宋体" w:hAnsi="宋体" w:cs="宋体"/>
          <w:color w:val="auto"/>
          <w:kern w:val="0"/>
          <w:szCs w:val="21"/>
          <w:highlight w:val="none"/>
        </w:rPr>
      </w:pPr>
      <w:r>
        <w:rPr>
          <w:rFonts w:hint="eastAsia" w:ascii="宋体" w:hAnsi="宋体" w:cs="宋体"/>
          <w:color w:val="auto"/>
          <w:kern w:val="0"/>
          <w:szCs w:val="21"/>
          <w:highlight w:val="none"/>
          <w:shd w:val="clear" w:color="auto" w:fill="FFFFFF"/>
        </w:rPr>
        <w:t>2.生产厂名与厂址应与生产厂营业执照载明的相关信息保持一致。</w:t>
      </w:r>
    </w:p>
    <w:p>
      <w:pPr>
        <w:widowControl/>
        <w:shd w:val="clear" w:color="auto" w:fill="FFFFFF"/>
        <w:spacing w:before="30" w:after="30" w:line="560" w:lineRule="atLeast"/>
        <w:ind w:firstLine="420"/>
        <w:textAlignment w:val="baseline"/>
        <w:rPr>
          <w:rFonts w:ascii="宋体" w:hAnsi="宋体" w:cs="宋体"/>
          <w:color w:val="auto"/>
          <w:kern w:val="0"/>
          <w:szCs w:val="21"/>
          <w:highlight w:val="none"/>
        </w:rPr>
      </w:pPr>
      <w:r>
        <w:rPr>
          <w:rFonts w:hint="eastAsia" w:ascii="宋体" w:hAnsi="宋体" w:cs="宋体"/>
          <w:color w:val="auto"/>
          <w:kern w:val="0"/>
          <w:szCs w:val="21"/>
          <w:highlight w:val="none"/>
          <w:shd w:val="clear" w:color="auto" w:fill="FFFFFF"/>
        </w:rPr>
        <w:t>3.该产品的中国境内生产的组件成本占比相关要求实施前，“规定比例”栏可不填，下同。</w:t>
      </w:r>
    </w:p>
    <w:p>
      <w:pPr>
        <w:widowControl/>
        <w:shd w:val="clear" w:color="auto" w:fill="FFFFFF"/>
        <w:spacing w:before="30" w:after="30" w:line="560" w:lineRule="atLeast"/>
        <w:ind w:firstLine="420"/>
        <w:textAlignment w:val="baseline"/>
        <w:rPr>
          <w:rFonts w:ascii="宋体" w:hAnsi="宋体" w:cs="宋体"/>
          <w:color w:val="auto"/>
          <w:kern w:val="0"/>
          <w:szCs w:val="21"/>
          <w:highlight w:val="none"/>
        </w:rPr>
      </w:pPr>
      <w:r>
        <w:rPr>
          <w:rFonts w:hint="eastAsia" w:ascii="宋体" w:hAnsi="宋体" w:cs="宋体"/>
          <w:color w:val="auto"/>
          <w:kern w:val="0"/>
          <w:szCs w:val="21"/>
          <w:highlight w:val="none"/>
          <w:shd w:val="clear" w:color="auto" w:fill="FFFFFF"/>
        </w:rPr>
        <w:t>4.该产品的关键组件要求实施前，“关键组件”栏可不填，下同。</w:t>
      </w:r>
    </w:p>
    <w:p>
      <w:pPr>
        <w:widowControl/>
        <w:shd w:val="clear" w:color="auto" w:fill="FFFFFF"/>
        <w:spacing w:before="30" w:after="30" w:line="560" w:lineRule="atLeast"/>
        <w:ind w:firstLine="420"/>
        <w:textAlignment w:val="baseline"/>
        <w:rPr>
          <w:rFonts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5.该产品的关键工序要求实施前，“关键工序”栏可不填，下同。</w:t>
      </w:r>
    </w:p>
    <w:p>
      <w:pPr>
        <w:snapToGrid w:val="0"/>
        <w:spacing w:beforeLines="50" w:after="50" w:line="360" w:lineRule="auto"/>
        <w:jc w:val="left"/>
        <w:rPr>
          <w:rFonts w:asciiTheme="minorEastAsia" w:hAnsiTheme="minorEastAsia" w:eastAsiaTheme="minorEastAsia" w:cstheme="minorEastAsia"/>
          <w:b/>
          <w:color w:val="auto"/>
          <w:sz w:val="24"/>
          <w:highlight w:val="none"/>
        </w:rPr>
      </w:pPr>
      <w:r>
        <w:rPr>
          <w:rFonts w:hint="eastAsia" w:ascii="宋体" w:hAnsi="宋体" w:cs="宋体"/>
          <w:color w:val="auto"/>
          <w:kern w:val="0"/>
          <w:szCs w:val="21"/>
          <w:highlight w:val="none"/>
          <w:shd w:val="clear" w:color="auto" w:fill="FFFFFF"/>
        </w:rPr>
        <w:t>采购人、采购代理机构应当随中标、成交结果同时公告中标、成交供应商提供的《声明函》或有关证明文件。</w:t>
      </w:r>
      <w:r>
        <w:rPr>
          <w:rFonts w:hint="eastAsia" w:asciiTheme="minorEastAsia" w:hAnsiTheme="minorEastAsia" w:eastAsiaTheme="minorEastAsia" w:cstheme="minorEastAsia"/>
          <w:b/>
          <w:color w:val="auto"/>
          <w:sz w:val="24"/>
          <w:highlight w:val="none"/>
        </w:rPr>
        <w:br w:type="page"/>
      </w:r>
      <w:r>
        <w:rPr>
          <w:rFonts w:hint="eastAsia" w:asciiTheme="minorEastAsia" w:hAnsiTheme="minorEastAsia" w:eastAsiaTheme="minorEastAsia" w:cstheme="minorEastAsia"/>
          <w:b/>
          <w:color w:val="auto"/>
          <w:sz w:val="24"/>
          <w:highlight w:val="none"/>
        </w:rPr>
        <w:t>4.残疾人福利性单位声明函格式</w:t>
      </w:r>
    </w:p>
    <w:p>
      <w:pPr>
        <w:spacing w:line="360" w:lineRule="auto"/>
        <w:jc w:val="center"/>
        <w:rPr>
          <w:rFonts w:asciiTheme="minorEastAsia" w:hAnsiTheme="minorEastAsia" w:eastAsiaTheme="minorEastAsia" w:cstheme="minorEastAsia"/>
          <w:b/>
          <w:color w:val="auto"/>
          <w:spacing w:val="6"/>
          <w:sz w:val="32"/>
          <w:szCs w:val="32"/>
          <w:highlight w:val="none"/>
        </w:rPr>
      </w:pPr>
    </w:p>
    <w:p>
      <w:pPr>
        <w:spacing w:line="360" w:lineRule="auto"/>
        <w:jc w:val="center"/>
        <w:rPr>
          <w:rFonts w:asciiTheme="minorEastAsia" w:hAnsiTheme="minorEastAsia" w:eastAsiaTheme="minorEastAsia" w:cstheme="minorEastAsia"/>
          <w:bCs/>
          <w:color w:val="auto"/>
          <w:spacing w:val="6"/>
          <w:sz w:val="44"/>
          <w:szCs w:val="44"/>
          <w:highlight w:val="none"/>
        </w:rPr>
      </w:pPr>
      <w:r>
        <w:rPr>
          <w:rFonts w:hint="eastAsia" w:asciiTheme="minorEastAsia" w:hAnsiTheme="minorEastAsia" w:eastAsiaTheme="minorEastAsia" w:cstheme="minorEastAsia"/>
          <w:bCs/>
          <w:color w:val="auto"/>
          <w:spacing w:val="6"/>
          <w:sz w:val="44"/>
          <w:szCs w:val="44"/>
          <w:highlight w:val="none"/>
        </w:rPr>
        <w:t>残疾人福利性单位声明函</w:t>
      </w:r>
    </w:p>
    <w:p>
      <w:pPr>
        <w:spacing w:line="360" w:lineRule="auto"/>
        <w:contextualSpacing/>
        <w:rPr>
          <w:rFonts w:asciiTheme="minorEastAsia" w:hAnsiTheme="minorEastAsia" w:eastAsiaTheme="minorEastAsia" w:cstheme="minorEastAsia"/>
          <w:bCs/>
          <w:color w:val="auto"/>
          <w:spacing w:val="6"/>
          <w:sz w:val="30"/>
          <w:szCs w:val="30"/>
          <w:highlight w:val="none"/>
        </w:rPr>
      </w:pPr>
    </w:p>
    <w:p>
      <w:pPr>
        <w:spacing w:line="360" w:lineRule="auto"/>
        <w:ind w:firstLine="504" w:firstLineChars="200"/>
        <w:contextualSpacing/>
        <w:rPr>
          <w:rFonts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highlight w:val="none"/>
        </w:rPr>
        <w:t>〔2017〕 141</w:t>
      </w:r>
      <w:r>
        <w:rPr>
          <w:rFonts w:hint="eastAsia" w:asciiTheme="minorEastAsia" w:hAnsiTheme="minorEastAsia" w:eastAsiaTheme="minorEastAsia" w:cstheme="minorEastAsia"/>
          <w:color w:val="auto"/>
          <w:spacing w:val="6"/>
          <w:sz w:val="24"/>
          <w:highlight w:val="none"/>
        </w:rPr>
        <w:t>号）的规定，本单位为符合条件的残疾人福利性单位，且本单位参加______单位的______项目采购活动提供本单位制造的货物（由本单位承担工程/提供服务），或者提供其他残</w:t>
      </w:r>
      <w:r>
        <w:rPr>
          <w:rFonts w:hint="eastAsia" w:asciiTheme="minorEastAsia" w:hAnsiTheme="minorEastAsia" w:eastAsiaTheme="minorEastAsia" w:cstheme="minorEastAsia"/>
          <w:color w:val="auto"/>
          <w:spacing w:val="-6"/>
          <w:sz w:val="24"/>
          <w:highlight w:val="none"/>
        </w:rPr>
        <w:t>疾人福利性单位制造的货物（不包括使用非残疾人福利性单位注册商标的货物）。</w:t>
      </w:r>
    </w:p>
    <w:p>
      <w:pPr>
        <w:spacing w:line="360" w:lineRule="auto"/>
        <w:ind w:firstLine="504" w:firstLineChars="200"/>
        <w:contextualSpacing/>
        <w:rPr>
          <w:rFonts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本单位对上述声明的真实性负责。如有虚假，将依法承担相应责任。</w:t>
      </w:r>
    </w:p>
    <w:p>
      <w:pPr>
        <w:spacing w:line="360" w:lineRule="auto"/>
        <w:ind w:firstLine="504" w:firstLineChars="200"/>
        <w:contextualSpacing/>
        <w:rPr>
          <w:rFonts w:asciiTheme="minorEastAsia" w:hAnsiTheme="minorEastAsia" w:eastAsiaTheme="minorEastAsia" w:cstheme="minorEastAsia"/>
          <w:color w:val="auto"/>
          <w:spacing w:val="6"/>
          <w:sz w:val="24"/>
          <w:highlight w:val="none"/>
        </w:rPr>
      </w:pPr>
    </w:p>
    <w:p>
      <w:pPr>
        <w:spacing w:line="360" w:lineRule="auto"/>
        <w:ind w:firstLine="504" w:firstLineChars="200"/>
        <w:contextualSpacing/>
        <w:rPr>
          <w:rFonts w:asciiTheme="minorEastAsia" w:hAnsiTheme="minorEastAsia" w:eastAsiaTheme="minorEastAsia" w:cstheme="minorEastAsia"/>
          <w:color w:val="auto"/>
          <w:spacing w:val="6"/>
          <w:sz w:val="24"/>
          <w:highlight w:val="none"/>
        </w:rPr>
      </w:pPr>
    </w:p>
    <w:p>
      <w:pPr>
        <w:tabs>
          <w:tab w:val="left" w:pos="4860"/>
        </w:tabs>
        <w:spacing w:line="360" w:lineRule="auto"/>
        <w:ind w:right="1560" w:firstLine="504" w:firstLineChars="200"/>
        <w:contextualSpacing/>
        <w:jc w:val="center"/>
        <w:rPr>
          <w:rFonts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单位名称（电子签章）：</w:t>
      </w:r>
    </w:p>
    <w:p>
      <w:pPr>
        <w:tabs>
          <w:tab w:val="left" w:pos="4860"/>
        </w:tabs>
        <w:spacing w:line="360" w:lineRule="auto"/>
        <w:ind w:right="1560" w:firstLine="504" w:firstLineChars="200"/>
        <w:contextualSpacing/>
        <w:jc w:val="center"/>
        <w:rPr>
          <w:rFonts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日  期：</w:t>
      </w:r>
    </w:p>
    <w:p>
      <w:pPr>
        <w:spacing w:line="360" w:lineRule="auto"/>
        <w:contextualSpacing/>
        <w:rPr>
          <w:rFonts w:asciiTheme="minorEastAsia" w:hAnsiTheme="minorEastAsia" w:eastAsiaTheme="minorEastAsia" w:cstheme="minorEastAsia"/>
          <w:color w:val="auto"/>
          <w:sz w:val="24"/>
          <w:highlight w:val="none"/>
        </w:rPr>
      </w:pPr>
    </w:p>
    <w:p>
      <w:pPr>
        <w:spacing w:line="360" w:lineRule="auto"/>
        <w:contextualSpacing/>
        <w:rPr>
          <w:rFonts w:asciiTheme="minorEastAsia" w:hAnsiTheme="minorEastAsia" w:eastAsiaTheme="minorEastAsia" w:cstheme="minorEastAsia"/>
          <w:color w:val="auto"/>
          <w:sz w:val="24"/>
          <w:highlight w:val="none"/>
        </w:rPr>
      </w:pPr>
    </w:p>
    <w:p>
      <w:pPr>
        <w:spacing w:line="360" w:lineRule="auto"/>
        <w:contextualSpacing/>
        <w:rPr>
          <w:rFonts w:asciiTheme="minorEastAsia" w:hAnsiTheme="minorEastAsia" w:eastAsiaTheme="minorEastAsia" w:cstheme="minorEastAsia"/>
          <w:color w:val="auto"/>
          <w:sz w:val="24"/>
          <w:highlight w:val="none"/>
        </w:rPr>
      </w:pPr>
    </w:p>
    <w:p>
      <w:pPr>
        <w:snapToGrid w:val="0"/>
        <w:spacing w:beforeLines="50" w:after="50" w:line="360" w:lineRule="auto"/>
        <w:ind w:left="142"/>
        <w:jc w:val="left"/>
        <w:rPr>
          <w:rFonts w:asciiTheme="minorEastAsia" w:hAnsiTheme="minorEastAsia" w:eastAsiaTheme="minorEastAsia" w:cstheme="minorEastAsia"/>
          <w:b/>
          <w:bCs/>
          <w:color w:val="auto"/>
          <w:sz w:val="18"/>
          <w:highlight w:val="none"/>
        </w:rPr>
      </w:pPr>
      <w:r>
        <w:rPr>
          <w:rFonts w:hint="eastAsia" w:asciiTheme="minorEastAsia" w:hAnsiTheme="minorEastAsia" w:eastAsiaTheme="minorEastAsia" w:cstheme="minorEastAsia"/>
          <w:color w:val="auto"/>
          <w:sz w:val="24"/>
          <w:highlight w:val="none"/>
        </w:rPr>
        <w:br w:type="page"/>
      </w:r>
    </w:p>
    <w:p>
      <w:pPr>
        <w:spacing w:line="360" w:lineRule="auto"/>
        <w:jc w:val="left"/>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sz w:val="24"/>
          <w:highlight w:val="none"/>
        </w:rPr>
        <w:t>5.质疑函（格式）</w:t>
      </w:r>
    </w:p>
    <w:p>
      <w:pPr>
        <w:spacing w:line="360" w:lineRule="auto"/>
        <w:jc w:val="center"/>
        <w:rPr>
          <w:rFonts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质疑函（格式）</w:t>
      </w:r>
    </w:p>
    <w:p>
      <w:pPr>
        <w:pStyle w:val="27"/>
        <w:snapToGrid w:val="0"/>
        <w:spacing w:line="360" w:lineRule="auto"/>
        <w:ind w:left="1" w:leftChars="-67" w:hanging="142" w:hangingChars="59"/>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一、质疑供应商基本信息：</w:t>
      </w:r>
    </w:p>
    <w:p>
      <w:pPr>
        <w:pStyle w:val="27"/>
        <w:snapToGrid w:val="0"/>
        <w:spacing w:line="360" w:lineRule="auto"/>
        <w:ind w:left="0" w:leftChars="-67" w:hanging="141" w:hangingChars="59"/>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质疑供应商：</w:t>
      </w:r>
    </w:p>
    <w:p>
      <w:pPr>
        <w:pStyle w:val="27"/>
        <w:snapToGrid w:val="0"/>
        <w:spacing w:line="360" w:lineRule="auto"/>
        <w:ind w:left="0" w:leftChars="-67" w:hanging="141" w:hangingChars="59"/>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地址：邮编：</w:t>
      </w:r>
    </w:p>
    <w:p>
      <w:pPr>
        <w:pStyle w:val="27"/>
        <w:snapToGrid w:val="0"/>
        <w:spacing w:line="360" w:lineRule="auto"/>
        <w:ind w:left="0" w:leftChars="-67" w:hanging="141" w:hangingChars="59"/>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联系人：联系电话：</w:t>
      </w:r>
    </w:p>
    <w:p>
      <w:pPr>
        <w:pStyle w:val="27"/>
        <w:snapToGrid w:val="0"/>
        <w:spacing w:line="360" w:lineRule="auto"/>
        <w:ind w:left="0" w:leftChars="-67" w:hanging="141" w:hangingChars="59"/>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授权代表：</w:t>
      </w:r>
    </w:p>
    <w:p>
      <w:pPr>
        <w:pStyle w:val="27"/>
        <w:snapToGrid w:val="0"/>
        <w:spacing w:line="360" w:lineRule="auto"/>
        <w:ind w:left="0" w:leftChars="-67" w:hanging="141" w:hangingChars="59"/>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联系电话：</w:t>
      </w:r>
    </w:p>
    <w:p>
      <w:pPr>
        <w:pStyle w:val="27"/>
        <w:snapToGrid w:val="0"/>
        <w:spacing w:line="360" w:lineRule="auto"/>
        <w:ind w:left="0" w:leftChars="-67" w:hanging="141" w:hangingChars="59"/>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地址：邮编：</w:t>
      </w:r>
    </w:p>
    <w:p>
      <w:pPr>
        <w:pStyle w:val="27"/>
        <w:snapToGrid w:val="0"/>
        <w:spacing w:line="360" w:lineRule="auto"/>
        <w:ind w:left="1" w:leftChars="-67" w:hanging="142" w:hangingChars="59"/>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二、质疑项目基本情况：</w:t>
      </w: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质疑</w:t>
      </w:r>
      <w:r>
        <w:rPr>
          <w:rFonts w:hint="eastAsia" w:asciiTheme="minorEastAsia" w:hAnsiTheme="minorEastAsia" w:eastAsiaTheme="minorEastAsia" w:cstheme="minorEastAsia"/>
          <w:color w:val="auto"/>
          <w:sz w:val="24"/>
          <w:szCs w:val="24"/>
          <w:highlight w:val="none"/>
        </w:rPr>
        <w:t>项目的名称：</w:t>
      </w: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质疑</w:t>
      </w:r>
      <w:r>
        <w:rPr>
          <w:rFonts w:hint="eastAsia" w:asciiTheme="minorEastAsia" w:hAnsiTheme="minorEastAsia" w:eastAsiaTheme="minorEastAsia" w:cstheme="minorEastAsia"/>
          <w:color w:val="auto"/>
          <w:sz w:val="24"/>
          <w:szCs w:val="24"/>
          <w:highlight w:val="none"/>
        </w:rPr>
        <w:t>项目的编号：</w:t>
      </w: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采购人名称：</w:t>
      </w: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质疑事项：</w:t>
      </w: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□采购文件   采购文件获取日期：</w:t>
      </w: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□采购过程   </w:t>
      </w:r>
    </w:p>
    <w:p>
      <w:pPr>
        <w:pStyle w:val="27"/>
        <w:spacing w:line="360" w:lineRule="auto"/>
        <w:ind w:left="0" w:leftChars="-67" w:hanging="141" w:hangingChars="59"/>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 xml:space="preserve">□采购结果   </w:t>
      </w:r>
    </w:p>
    <w:p>
      <w:pPr>
        <w:pStyle w:val="27"/>
        <w:spacing w:line="360" w:lineRule="auto"/>
        <w:ind w:left="1" w:leftChars="-67" w:hanging="142" w:hangingChars="59"/>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三、质疑事项具体内容</w:t>
      </w: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质疑事项1：</w:t>
      </w: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事实依据：</w:t>
      </w: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法律依据：</w:t>
      </w: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质疑事项2</w:t>
      </w: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四、与质疑事项相关的质疑请求：</w:t>
      </w: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请求：</w:t>
      </w: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签字（签章）：                                       公章：</w:t>
      </w: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p>
    <w:p>
      <w:pPr>
        <w:pStyle w:val="27"/>
        <w:spacing w:line="360" w:lineRule="auto"/>
        <w:ind w:left="0" w:leftChars="-67" w:hanging="141" w:hangingChars="59"/>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p>
      <w:pPr>
        <w:pStyle w:val="27"/>
        <w:snapToGrid w:val="0"/>
        <w:spacing w:line="360" w:lineRule="auto"/>
        <w:ind w:left="1" w:leftChars="-67" w:hanging="142" w:hangingChars="59"/>
        <w:rPr>
          <w:rFonts w:asciiTheme="minorEastAsia" w:hAnsiTheme="minorEastAsia" w:eastAsiaTheme="minorEastAsia" w:cstheme="minorEastAsia"/>
          <w:b/>
          <w:color w:val="auto"/>
          <w:sz w:val="24"/>
          <w:szCs w:val="24"/>
          <w:highlight w:val="none"/>
        </w:rPr>
      </w:pPr>
    </w:p>
    <w:p>
      <w:pPr>
        <w:pStyle w:val="27"/>
        <w:snapToGrid w:val="0"/>
        <w:spacing w:line="360" w:lineRule="auto"/>
        <w:ind w:left="1" w:leftChars="-67" w:hanging="142" w:hangingChars="59"/>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说明：</w:t>
      </w:r>
    </w:p>
    <w:p>
      <w:pPr>
        <w:pStyle w:val="27"/>
        <w:spacing w:line="360" w:lineRule="auto"/>
        <w:ind w:left="1" w:leftChars="-67" w:hanging="142" w:hangingChars="59"/>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sz w:val="24"/>
          <w:szCs w:val="24"/>
          <w:highlight w:val="none"/>
        </w:rPr>
        <w:t>1.供应商提出质疑时，应提交质疑函和必要的证明材料</w:t>
      </w:r>
      <w:r>
        <w:rPr>
          <w:rFonts w:hint="eastAsia" w:asciiTheme="minorEastAsia" w:hAnsiTheme="minorEastAsia" w:eastAsiaTheme="minorEastAsia" w:cstheme="minorEastAsia"/>
          <w:b/>
          <w:bCs/>
          <w:color w:val="auto"/>
          <w:sz w:val="24"/>
          <w:szCs w:val="24"/>
          <w:highlight w:val="none"/>
        </w:rPr>
        <w:t>。</w:t>
      </w:r>
    </w:p>
    <w:p>
      <w:pPr>
        <w:pStyle w:val="27"/>
        <w:spacing w:line="360" w:lineRule="auto"/>
        <w:ind w:left="1" w:leftChars="-67" w:hanging="142" w:hangingChars="59"/>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27"/>
        <w:spacing w:line="360" w:lineRule="auto"/>
        <w:ind w:left="1" w:leftChars="-67" w:hanging="142" w:hangingChars="59"/>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3.质疑函的质疑事项应具体、明确，并有必要的事实依据和法律依据。</w:t>
      </w:r>
    </w:p>
    <w:p>
      <w:pPr>
        <w:pStyle w:val="27"/>
        <w:spacing w:line="360" w:lineRule="auto"/>
        <w:ind w:left="1" w:leftChars="-67" w:hanging="142" w:hangingChars="59"/>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4.质疑函的质疑请求应与质疑事项相关。</w:t>
      </w:r>
    </w:p>
    <w:p>
      <w:pPr>
        <w:pStyle w:val="27"/>
        <w:spacing w:line="360" w:lineRule="auto"/>
        <w:ind w:left="1" w:leftChars="-67" w:hanging="142" w:hangingChars="59"/>
        <w:rPr>
          <w:rFonts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 w:val="24"/>
          <w:szCs w:val="24"/>
          <w:highlight w:val="none"/>
        </w:rPr>
        <w:t>5.质疑供应商为法人或者其他组织的，质疑函应由法定代表人、主要负责人，或者其授权代表签字或者盖章，并加盖公章。</w:t>
      </w:r>
    </w:p>
    <w:p>
      <w:pPr>
        <w:pStyle w:val="27"/>
        <w:snapToGrid w:val="0"/>
        <w:spacing w:line="360" w:lineRule="auto"/>
        <w:ind w:firstLine="482"/>
        <w:rPr>
          <w:rFonts w:asciiTheme="minorEastAsia" w:hAnsiTheme="minorEastAsia" w:eastAsiaTheme="minorEastAsia" w:cstheme="minorEastAsia"/>
          <w:b/>
          <w:color w:val="auto"/>
          <w:sz w:val="24"/>
          <w:szCs w:val="24"/>
          <w:highlight w:val="none"/>
        </w:rPr>
      </w:pPr>
    </w:p>
    <w:p>
      <w:pPr>
        <w:spacing w:line="360" w:lineRule="auto"/>
        <w:jc w:val="left"/>
        <w:rPr>
          <w:rFonts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color w:val="auto"/>
          <w:sz w:val="44"/>
          <w:highlight w:val="none"/>
        </w:rPr>
        <w:br w:type="page"/>
      </w:r>
      <w:r>
        <w:rPr>
          <w:rFonts w:hint="eastAsia" w:asciiTheme="minorEastAsia" w:hAnsiTheme="minorEastAsia" w:eastAsiaTheme="minorEastAsia" w:cstheme="minorEastAsia"/>
          <w:b/>
          <w:color w:val="auto"/>
          <w:sz w:val="24"/>
          <w:highlight w:val="none"/>
        </w:rPr>
        <w:t>6.投诉书（格式）</w:t>
      </w:r>
    </w:p>
    <w:p>
      <w:pPr>
        <w:spacing w:line="360" w:lineRule="auto"/>
        <w:jc w:val="center"/>
        <w:rPr>
          <w:rFonts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投诉书（格式）</w:t>
      </w:r>
    </w:p>
    <w:p>
      <w:pPr>
        <w:pStyle w:val="27"/>
        <w:snapToGrid w:val="0"/>
        <w:spacing w:line="360" w:lineRule="auto"/>
        <w:ind w:firstLine="482"/>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一、投诉相关主体基本情况：</w:t>
      </w:r>
    </w:p>
    <w:p>
      <w:pPr>
        <w:pStyle w:val="27"/>
        <w:snapToGrid w:val="0"/>
        <w:spacing w:line="360" w:lineRule="auto"/>
        <w:ind w:firstLine="480"/>
        <w:jc w:val="left"/>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投标人：</w:t>
      </w:r>
    </w:p>
    <w:p>
      <w:pPr>
        <w:pStyle w:val="27"/>
        <w:snapToGrid w:val="0"/>
        <w:spacing w:line="360" w:lineRule="auto"/>
        <w:ind w:firstLine="48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地址：邮编：</w:t>
      </w:r>
    </w:p>
    <w:p>
      <w:pPr>
        <w:pStyle w:val="27"/>
        <w:snapToGrid w:val="0"/>
        <w:spacing w:line="360" w:lineRule="auto"/>
        <w:ind w:firstLine="480"/>
        <w:jc w:val="left"/>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法定代表人/主要负责人：</w:t>
      </w:r>
    </w:p>
    <w:p>
      <w:pPr>
        <w:pStyle w:val="27"/>
        <w:snapToGrid w:val="0"/>
        <w:spacing w:line="360" w:lineRule="auto"/>
        <w:ind w:firstLine="48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联系电话：</w:t>
      </w:r>
    </w:p>
    <w:p>
      <w:pPr>
        <w:pStyle w:val="27"/>
        <w:snapToGrid w:val="0"/>
        <w:spacing w:line="360" w:lineRule="auto"/>
        <w:ind w:firstLine="480"/>
        <w:jc w:val="left"/>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授权代表：联系电话：</w:t>
      </w:r>
    </w:p>
    <w:p>
      <w:pPr>
        <w:pStyle w:val="27"/>
        <w:snapToGrid w:val="0"/>
        <w:spacing w:line="360" w:lineRule="auto"/>
        <w:ind w:firstLine="480"/>
        <w:jc w:val="left"/>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地址：</w:t>
      </w:r>
    </w:p>
    <w:p>
      <w:pPr>
        <w:pStyle w:val="27"/>
        <w:snapToGrid w:val="0"/>
        <w:spacing w:line="360" w:lineRule="auto"/>
        <w:ind w:firstLine="48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邮编：</w:t>
      </w:r>
    </w:p>
    <w:p>
      <w:pPr>
        <w:pStyle w:val="27"/>
        <w:snapToGrid w:val="0"/>
        <w:spacing w:line="360" w:lineRule="auto"/>
        <w:ind w:firstLine="48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被投诉人1：</w:t>
      </w:r>
    </w:p>
    <w:p>
      <w:pPr>
        <w:pStyle w:val="27"/>
        <w:snapToGrid w:val="0"/>
        <w:spacing w:line="360" w:lineRule="auto"/>
        <w:ind w:firstLine="480"/>
        <w:jc w:val="left"/>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地址：</w:t>
      </w:r>
    </w:p>
    <w:p>
      <w:pPr>
        <w:pStyle w:val="27"/>
        <w:snapToGrid w:val="0"/>
        <w:spacing w:line="360" w:lineRule="auto"/>
        <w:ind w:firstLine="48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邮编：</w:t>
      </w:r>
    </w:p>
    <w:p>
      <w:pPr>
        <w:pStyle w:val="27"/>
        <w:snapToGrid w:val="0"/>
        <w:spacing w:line="360" w:lineRule="auto"/>
        <w:ind w:firstLine="480"/>
        <w:jc w:val="left"/>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联系人：联系电话：</w:t>
      </w:r>
    </w:p>
    <w:p>
      <w:pPr>
        <w:pStyle w:val="27"/>
        <w:snapToGrid w:val="0"/>
        <w:spacing w:line="360" w:lineRule="auto"/>
        <w:ind w:firstLine="48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被投诉人2：</w:t>
      </w:r>
    </w:p>
    <w:p>
      <w:pPr>
        <w:pStyle w:val="27"/>
        <w:snapToGrid w:val="0"/>
        <w:spacing w:line="360" w:lineRule="auto"/>
        <w:ind w:firstLine="48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w:t>
      </w:r>
    </w:p>
    <w:p>
      <w:pPr>
        <w:pStyle w:val="27"/>
        <w:snapToGrid w:val="0"/>
        <w:spacing w:line="360" w:lineRule="auto"/>
        <w:ind w:firstLine="480"/>
        <w:jc w:val="left"/>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相关供应商：</w:t>
      </w:r>
    </w:p>
    <w:p>
      <w:pPr>
        <w:pStyle w:val="27"/>
        <w:snapToGrid w:val="0"/>
        <w:spacing w:line="360" w:lineRule="auto"/>
        <w:ind w:firstLine="480"/>
        <w:jc w:val="left"/>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地址：邮编：</w:t>
      </w:r>
    </w:p>
    <w:p>
      <w:pPr>
        <w:pStyle w:val="27"/>
        <w:snapToGrid w:val="0"/>
        <w:spacing w:line="360" w:lineRule="auto"/>
        <w:ind w:firstLine="48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联系人：联系电话：</w:t>
      </w:r>
    </w:p>
    <w:p>
      <w:pPr>
        <w:pStyle w:val="27"/>
        <w:snapToGrid w:val="0"/>
        <w:spacing w:line="360" w:lineRule="auto"/>
        <w:ind w:firstLine="482"/>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二、投诉项目基本情况：</w:t>
      </w:r>
    </w:p>
    <w:p>
      <w:pPr>
        <w:pStyle w:val="27"/>
        <w:spacing w:line="360" w:lineRule="auto"/>
        <w:ind w:left="25" w:leftChars="12"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采购</w:t>
      </w:r>
      <w:r>
        <w:rPr>
          <w:rFonts w:hint="eastAsia" w:asciiTheme="minorEastAsia" w:hAnsiTheme="minorEastAsia" w:eastAsiaTheme="minorEastAsia" w:cstheme="minorEastAsia"/>
          <w:color w:val="auto"/>
          <w:sz w:val="24"/>
          <w:szCs w:val="24"/>
          <w:highlight w:val="none"/>
        </w:rPr>
        <w:t>项目的名称：</w:t>
      </w:r>
    </w:p>
    <w:p>
      <w:pPr>
        <w:pStyle w:val="27"/>
        <w:spacing w:line="360" w:lineRule="auto"/>
        <w:ind w:left="25" w:leftChars="12"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采购</w:t>
      </w:r>
      <w:r>
        <w:rPr>
          <w:rFonts w:hint="eastAsia" w:asciiTheme="minorEastAsia" w:hAnsiTheme="minorEastAsia" w:eastAsiaTheme="minorEastAsia" w:cstheme="minorEastAsia"/>
          <w:color w:val="auto"/>
          <w:sz w:val="24"/>
          <w:szCs w:val="24"/>
          <w:highlight w:val="none"/>
        </w:rPr>
        <w:t>项目的编号：</w:t>
      </w:r>
    </w:p>
    <w:p>
      <w:pPr>
        <w:pStyle w:val="27"/>
        <w:spacing w:line="360" w:lineRule="auto"/>
        <w:ind w:left="25" w:leftChars="12" w:firstLine="48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采购人名称：</w:t>
      </w:r>
    </w:p>
    <w:p>
      <w:pPr>
        <w:pStyle w:val="27"/>
        <w:spacing w:line="360" w:lineRule="auto"/>
        <w:ind w:left="25" w:leftChars="12" w:firstLine="48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代理机构名称：</w:t>
      </w:r>
    </w:p>
    <w:p>
      <w:pPr>
        <w:pStyle w:val="27"/>
        <w:spacing w:line="360" w:lineRule="auto"/>
        <w:ind w:left="25" w:leftChars="12" w:firstLine="48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采购文件公告：</w:t>
      </w:r>
      <w:r>
        <w:rPr>
          <w:rFonts w:hint="eastAsia" w:asciiTheme="minorEastAsia" w:hAnsiTheme="minorEastAsia" w:eastAsiaTheme="minorEastAsia" w:cstheme="minorEastAsia"/>
          <w:bCs/>
          <w:color w:val="auto"/>
          <w:sz w:val="24"/>
          <w:szCs w:val="24"/>
          <w:highlight w:val="none"/>
          <w:u w:val="single"/>
        </w:rPr>
        <w:t>是/否</w:t>
      </w:r>
      <w:r>
        <w:rPr>
          <w:rFonts w:hint="eastAsia" w:asciiTheme="minorEastAsia" w:hAnsiTheme="minorEastAsia" w:eastAsiaTheme="minorEastAsia" w:cstheme="minorEastAsia"/>
          <w:bCs/>
          <w:color w:val="auto"/>
          <w:sz w:val="24"/>
          <w:szCs w:val="24"/>
          <w:highlight w:val="none"/>
        </w:rPr>
        <w:t>公告期限：</w:t>
      </w:r>
    </w:p>
    <w:p>
      <w:pPr>
        <w:pStyle w:val="27"/>
        <w:spacing w:line="360" w:lineRule="auto"/>
        <w:ind w:left="25" w:leftChars="12" w:firstLine="480"/>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Cs/>
          <w:color w:val="auto"/>
          <w:sz w:val="24"/>
          <w:szCs w:val="24"/>
          <w:highlight w:val="none"/>
        </w:rPr>
        <w:t>采购结果公告：</w:t>
      </w:r>
      <w:r>
        <w:rPr>
          <w:rFonts w:hint="eastAsia" w:asciiTheme="minorEastAsia" w:hAnsiTheme="minorEastAsia" w:eastAsiaTheme="minorEastAsia" w:cstheme="minorEastAsia"/>
          <w:bCs/>
          <w:color w:val="auto"/>
          <w:sz w:val="24"/>
          <w:szCs w:val="24"/>
          <w:highlight w:val="none"/>
          <w:u w:val="single"/>
        </w:rPr>
        <w:t>是/否</w:t>
      </w:r>
      <w:r>
        <w:rPr>
          <w:rFonts w:hint="eastAsia" w:asciiTheme="minorEastAsia" w:hAnsiTheme="minorEastAsia" w:eastAsiaTheme="minorEastAsia" w:cstheme="minorEastAsia"/>
          <w:bCs/>
          <w:color w:val="auto"/>
          <w:sz w:val="24"/>
          <w:szCs w:val="24"/>
          <w:highlight w:val="none"/>
        </w:rPr>
        <w:t>公告期限：</w:t>
      </w:r>
    </w:p>
    <w:p>
      <w:pPr>
        <w:pStyle w:val="27"/>
        <w:spacing w:line="360" w:lineRule="auto"/>
        <w:ind w:left="25" w:leftChars="12" w:firstLine="482"/>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三、质疑基本情况</w:t>
      </w:r>
    </w:p>
    <w:p>
      <w:pPr>
        <w:pStyle w:val="27"/>
        <w:spacing w:line="360" w:lineRule="auto"/>
        <w:ind w:left="25" w:leftChars="12"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投诉人于年月日，向提出质疑，质疑事项为：</w:t>
      </w:r>
    </w:p>
    <w:p>
      <w:pPr>
        <w:pStyle w:val="27"/>
        <w:spacing w:line="360" w:lineRule="auto"/>
        <w:ind w:firstLine="480"/>
        <w:rPr>
          <w:rFonts w:asciiTheme="minorEastAsia" w:hAnsiTheme="minorEastAsia" w:eastAsiaTheme="minorEastAsia" w:cstheme="minorEastAsia"/>
          <w:bCs/>
          <w:color w:val="auto"/>
          <w:sz w:val="24"/>
          <w:szCs w:val="24"/>
          <w:highlight w:val="none"/>
          <w:u w:val="single"/>
        </w:rPr>
      </w:pPr>
    </w:p>
    <w:p>
      <w:pPr>
        <w:pStyle w:val="27"/>
        <w:spacing w:line="36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u w:val="single"/>
        </w:rPr>
        <w:t>采购人/代理机构</w:t>
      </w:r>
      <w:r>
        <w:rPr>
          <w:rFonts w:hint="eastAsia" w:asciiTheme="minorEastAsia" w:hAnsiTheme="minorEastAsia" w:eastAsiaTheme="minorEastAsia" w:cstheme="minorEastAsia"/>
          <w:bCs/>
          <w:color w:val="auto"/>
          <w:sz w:val="24"/>
          <w:szCs w:val="24"/>
          <w:highlight w:val="none"/>
        </w:rPr>
        <w:t>于</w:t>
      </w:r>
      <w:r>
        <w:rPr>
          <w:rFonts w:hint="eastAsia" w:asciiTheme="minorEastAsia" w:hAnsiTheme="minorEastAsia" w:eastAsiaTheme="minorEastAsia" w:cstheme="minorEastAsia"/>
          <w:color w:val="auto"/>
          <w:sz w:val="24"/>
          <w:szCs w:val="24"/>
          <w:highlight w:val="none"/>
        </w:rPr>
        <w:t>年月日，</w:t>
      </w:r>
      <w:r>
        <w:rPr>
          <w:rFonts w:hint="eastAsia" w:asciiTheme="minorEastAsia" w:hAnsiTheme="minorEastAsia" w:eastAsiaTheme="minorEastAsia" w:cstheme="minorEastAsia"/>
          <w:bCs/>
          <w:color w:val="auto"/>
          <w:sz w:val="24"/>
          <w:szCs w:val="24"/>
          <w:highlight w:val="none"/>
        </w:rPr>
        <w:t xml:space="preserve">就质疑事项作出了答复/没有在法定期限内作出答复。                                                                                             </w:t>
      </w:r>
    </w:p>
    <w:p>
      <w:pPr>
        <w:pStyle w:val="27"/>
        <w:spacing w:line="360" w:lineRule="auto"/>
        <w:ind w:left="25" w:leftChars="12" w:firstLine="482"/>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四、投诉事项具体内容</w:t>
      </w:r>
    </w:p>
    <w:p>
      <w:pPr>
        <w:pStyle w:val="27"/>
        <w:spacing w:line="360" w:lineRule="auto"/>
        <w:ind w:left="25" w:leftChars="12" w:firstLine="48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投诉事项1：</w:t>
      </w:r>
    </w:p>
    <w:p>
      <w:pPr>
        <w:pStyle w:val="27"/>
        <w:spacing w:line="360" w:lineRule="auto"/>
        <w:ind w:firstLine="48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事实依据：</w:t>
      </w:r>
    </w:p>
    <w:p>
      <w:pPr>
        <w:pStyle w:val="27"/>
        <w:spacing w:line="360" w:lineRule="auto"/>
        <w:ind w:firstLine="480"/>
        <w:rPr>
          <w:rFonts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法律依据：</w:t>
      </w:r>
    </w:p>
    <w:p>
      <w:pPr>
        <w:pStyle w:val="27"/>
        <w:spacing w:line="360" w:lineRule="auto"/>
        <w:ind w:left="25" w:leftChars="12" w:firstLine="48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投诉事项2  </w:t>
      </w:r>
    </w:p>
    <w:p>
      <w:pPr>
        <w:pStyle w:val="27"/>
        <w:spacing w:line="360" w:lineRule="auto"/>
        <w:ind w:left="25" w:leftChars="12" w:firstLine="48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w:t>
      </w:r>
    </w:p>
    <w:p>
      <w:pPr>
        <w:pStyle w:val="27"/>
        <w:spacing w:line="360" w:lineRule="auto"/>
        <w:ind w:left="25" w:leftChars="12" w:firstLine="482"/>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五、与投诉事项相关的投诉请求：</w:t>
      </w:r>
    </w:p>
    <w:p>
      <w:pPr>
        <w:pStyle w:val="27"/>
        <w:spacing w:line="360" w:lineRule="auto"/>
        <w:ind w:left="25" w:leftChars="12"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请求：</w:t>
      </w:r>
    </w:p>
    <w:p>
      <w:pPr>
        <w:pStyle w:val="27"/>
        <w:spacing w:line="360" w:lineRule="auto"/>
        <w:ind w:left="25" w:leftChars="12" w:firstLine="480"/>
        <w:rPr>
          <w:rFonts w:asciiTheme="minorEastAsia" w:hAnsiTheme="minorEastAsia" w:eastAsiaTheme="minorEastAsia" w:cstheme="minorEastAsia"/>
          <w:color w:val="auto"/>
          <w:sz w:val="24"/>
          <w:szCs w:val="24"/>
          <w:highlight w:val="none"/>
        </w:rPr>
      </w:pPr>
    </w:p>
    <w:p>
      <w:pPr>
        <w:pStyle w:val="27"/>
        <w:spacing w:line="360" w:lineRule="auto"/>
        <w:ind w:left="25" w:leftChars="12"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签字（签章）：                                       公章：</w:t>
      </w:r>
    </w:p>
    <w:p>
      <w:pPr>
        <w:pStyle w:val="27"/>
        <w:spacing w:line="360" w:lineRule="auto"/>
        <w:ind w:left="25" w:leftChars="12" w:firstLine="480"/>
        <w:rPr>
          <w:rFonts w:asciiTheme="minorEastAsia" w:hAnsiTheme="minorEastAsia" w:eastAsiaTheme="minorEastAsia" w:cstheme="minorEastAsia"/>
          <w:color w:val="auto"/>
          <w:sz w:val="24"/>
          <w:szCs w:val="24"/>
          <w:highlight w:val="none"/>
        </w:rPr>
      </w:pPr>
    </w:p>
    <w:p>
      <w:pPr>
        <w:pStyle w:val="27"/>
        <w:spacing w:line="360" w:lineRule="auto"/>
        <w:ind w:left="25" w:leftChars="12"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p>
      <w:pPr>
        <w:pStyle w:val="27"/>
        <w:spacing w:line="360" w:lineRule="auto"/>
        <w:ind w:left="25" w:leftChars="12" w:firstLine="472" w:firstLineChars="197"/>
        <w:rPr>
          <w:rFonts w:asciiTheme="minorEastAsia" w:hAnsiTheme="minorEastAsia" w:eastAsiaTheme="minorEastAsia" w:cstheme="minorEastAsia"/>
          <w:color w:val="auto"/>
          <w:sz w:val="24"/>
          <w:szCs w:val="24"/>
          <w:highlight w:val="none"/>
        </w:rPr>
      </w:pPr>
    </w:p>
    <w:p>
      <w:pPr>
        <w:pStyle w:val="27"/>
        <w:snapToGrid w:val="0"/>
        <w:spacing w:line="360" w:lineRule="auto"/>
        <w:ind w:firstLine="482"/>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说明：</w:t>
      </w:r>
    </w:p>
    <w:p>
      <w:pPr>
        <w:pStyle w:val="27"/>
        <w:spacing w:line="360" w:lineRule="auto"/>
        <w:ind w:left="25" w:leftChars="12" w:firstLine="354" w:firstLineChars="147"/>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sz w:val="24"/>
          <w:szCs w:val="24"/>
          <w:highlight w:val="none"/>
        </w:rPr>
        <w:t>1.投诉人提起投诉时，应当提交投诉书和必要的证明材料，并按照被投诉人和与投诉事项有关的供应商数量提供投诉书副本</w:t>
      </w:r>
      <w:r>
        <w:rPr>
          <w:rFonts w:hint="eastAsia" w:asciiTheme="minorEastAsia" w:hAnsiTheme="minorEastAsia" w:eastAsiaTheme="minorEastAsia" w:cstheme="minorEastAsia"/>
          <w:b/>
          <w:bCs/>
          <w:color w:val="auto"/>
          <w:sz w:val="24"/>
          <w:szCs w:val="24"/>
          <w:highlight w:val="none"/>
        </w:rPr>
        <w:t>。</w:t>
      </w:r>
    </w:p>
    <w:p>
      <w:pPr>
        <w:pStyle w:val="27"/>
        <w:spacing w:line="360" w:lineRule="auto"/>
        <w:ind w:left="25" w:leftChars="12" w:firstLine="354" w:firstLineChars="147"/>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pPr>
        <w:pStyle w:val="27"/>
        <w:spacing w:line="360" w:lineRule="auto"/>
        <w:ind w:left="25" w:leftChars="12" w:firstLine="354" w:firstLineChars="147"/>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3.投诉书应简要列明质疑事项，质疑函、质疑答复等作为附件材料提供。</w:t>
      </w:r>
    </w:p>
    <w:p>
      <w:pPr>
        <w:pStyle w:val="27"/>
        <w:spacing w:line="360" w:lineRule="auto"/>
        <w:ind w:left="25" w:leftChars="12" w:firstLine="354" w:firstLineChars="147"/>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4.投诉书的投诉事项应具体、明确，并有必要的事实依据和法律依据。</w:t>
      </w:r>
    </w:p>
    <w:p>
      <w:pPr>
        <w:pStyle w:val="27"/>
        <w:spacing w:line="360" w:lineRule="auto"/>
        <w:ind w:left="25" w:leftChars="12" w:firstLine="354" w:firstLineChars="147"/>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5.投诉书的投诉请求应与投诉事项相关。</w:t>
      </w:r>
    </w:p>
    <w:p>
      <w:pPr>
        <w:pStyle w:val="27"/>
        <w:spacing w:line="360" w:lineRule="auto"/>
        <w:ind w:left="25" w:leftChars="12" w:firstLine="354" w:firstLineChars="147"/>
        <w:rPr>
          <w:rFonts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 w:val="24"/>
          <w:szCs w:val="24"/>
          <w:highlight w:val="none"/>
        </w:rPr>
        <w:t>6.投诉人为法人或者其他组织的，投诉书应由法定代表人、主要负责人，或者其授权代表签字或者盖章，并加盖公章。</w:t>
      </w:r>
    </w:p>
    <w:p>
      <w:pPr>
        <w:spacing w:line="360" w:lineRule="auto"/>
        <w:rPr>
          <w:rFonts w:asciiTheme="minorEastAsia" w:hAnsiTheme="minorEastAsia" w:eastAsiaTheme="minorEastAsia" w:cstheme="minorEastAsia"/>
          <w:color w:val="auto"/>
          <w:highlight w:val="none"/>
        </w:rPr>
      </w:pPr>
    </w:p>
    <w:p>
      <w:pPr>
        <w:pStyle w:val="59"/>
        <w:rPr>
          <w:color w:val="auto"/>
          <w:highlight w:val="none"/>
        </w:rPr>
      </w:pPr>
    </w:p>
    <w:bookmarkEnd w:id="181"/>
    <w:sectPr>
      <w:footerReference r:id="rId14" w:type="first"/>
      <w:headerReference r:id="rId11" w:type="default"/>
      <w:footerReference r:id="rId12" w:type="default"/>
      <w:footerReference r:id="rId13" w:type="even"/>
      <w:pgSz w:w="11906" w:h="16838"/>
      <w:pgMar w:top="1440" w:right="1080" w:bottom="1440" w:left="108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74DC6E9-340E-4FA9-8CDD-742CC318EF9C}"/>
  </w:font>
  <w:font w:name="Arial">
    <w:panose1 w:val="020B0604020202020204"/>
    <w:charset w:val="01"/>
    <w:family w:val="swiss"/>
    <w:pitch w:val="default"/>
    <w:sig w:usb0="E0002AFF" w:usb1="C0007843" w:usb2="00000009" w:usb3="00000000" w:csb0="400001FF" w:csb1="FFFF0000"/>
    <w:embedRegular r:id="rId2" w:fontKey="{7CDB8492-BE22-4BDA-AFFD-3DBE019D3290}"/>
  </w:font>
  <w:font w:name="黑体">
    <w:panose1 w:val="02010609060101010101"/>
    <w:charset w:val="86"/>
    <w:family w:val="auto"/>
    <w:pitch w:val="default"/>
    <w:sig w:usb0="800002BF" w:usb1="38CF7CFA" w:usb2="00000016" w:usb3="00000000" w:csb0="00040001" w:csb1="00000000"/>
    <w:embedRegular r:id="rId3" w:fontKey="{AA812076-AE5D-495F-AC12-A51423DDEFB1}"/>
  </w:font>
  <w:font w:name="Courier New">
    <w:panose1 w:val="02070309020205020404"/>
    <w:charset w:val="01"/>
    <w:family w:val="modern"/>
    <w:pitch w:val="default"/>
    <w:sig w:usb0="E0002AFF" w:usb1="C0007843" w:usb2="00000009" w:usb3="00000000" w:csb0="400001FF" w:csb1="FFFF0000"/>
    <w:embedRegular r:id="rId4" w:fontKey="{13E86D46-8C3D-43A2-A340-2526D2F9231A}"/>
  </w:font>
  <w:font w:name="Symbol">
    <w:panose1 w:val="05050102010706020507"/>
    <w:charset w:val="02"/>
    <w:family w:val="roman"/>
    <w:pitch w:val="default"/>
    <w:sig w:usb0="00000000" w:usb1="00000000" w:usb2="00000000" w:usb3="00000000" w:csb0="80000000" w:csb1="00000000"/>
    <w:embedRegular r:id="rId5" w:fontKey="{4396D7AE-0B75-4D9B-B09B-9D41652E6EF3}"/>
  </w:font>
  <w:font w:name="Calibri">
    <w:panose1 w:val="020F0502020204030204"/>
    <w:charset w:val="00"/>
    <w:family w:val="swiss"/>
    <w:pitch w:val="default"/>
    <w:sig w:usb0="E00002FF" w:usb1="4000ACFF" w:usb2="00000001" w:usb3="00000000" w:csb0="2000019F" w:csb1="00000000"/>
    <w:embedRegular r:id="rId6" w:fontKey="{CCE08D09-40E3-41DB-81B4-1C9A40DB9266}"/>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7" w:fontKey="{5AC17CB4-0531-431B-B4A1-7DB33460E38C}"/>
  </w:font>
  <w:font w:name="Verdana">
    <w:panose1 w:val="020B0604030504040204"/>
    <w:charset w:val="00"/>
    <w:family w:val="swiss"/>
    <w:pitch w:val="default"/>
    <w:sig w:usb0="A10006FF" w:usb1="4000205B" w:usb2="00000010" w:usb3="00000000" w:csb0="2000019F" w:csb1="00000000"/>
    <w:embedRegular r:id="rId8" w:fontKey="{34D01B01-0AAA-4DB6-A9B3-5938E5803CA4}"/>
  </w:font>
  <w:font w:name="等线 Light">
    <w:panose1 w:val="02010600030101010101"/>
    <w:charset w:val="86"/>
    <w:family w:val="roman"/>
    <w:pitch w:val="default"/>
    <w:sig w:usb0="A00002BF" w:usb1="38CF7CFA" w:usb2="00000016" w:usb3="00000000" w:csb0="0004000F" w:csb1="00000000"/>
  </w:font>
  <w:font w:name="等线">
    <w:panose1 w:val="02010600030101010101"/>
    <w:charset w:val="86"/>
    <w:family w:val="roman"/>
    <w:pitch w:val="default"/>
    <w:sig w:usb0="A00002BF" w:usb1="38CF7CFA" w:usb2="00000016" w:usb3="00000000" w:csb0="0004000F" w:csb1="00000000"/>
    <w:embedRegular r:id="rId9" w:fontKey="{89D0D130-3BE1-4EE3-A3CE-8D4010884D26}"/>
  </w:font>
  <w:font w:name="Cambria">
    <w:panose1 w:val="02040503050406030204"/>
    <w:charset w:val="00"/>
    <w:family w:val="roman"/>
    <w:pitch w:val="default"/>
    <w:sig w:usb0="E00002FF" w:usb1="400004FF" w:usb2="00000000" w:usb3="00000000" w:csb0="2000019F" w:csb1="00000000"/>
    <w:embedRegular r:id="rId10" w:fontKey="{34BF0E50-6377-460C-AEAD-DA0684E65D60}"/>
  </w:font>
  <w:font w:name="Tahoma">
    <w:panose1 w:val="020B0604030504040204"/>
    <w:charset w:val="00"/>
    <w:family w:val="swiss"/>
    <w:pitch w:val="default"/>
    <w:sig w:usb0="E1002EFF" w:usb1="C000605B" w:usb2="00000029" w:usb3="00000000" w:csb0="200101FF" w:csb1="20280000"/>
    <w:embedRegular r:id="rId11" w:fontKey="{787B583E-6F46-4148-9E97-59F24CECDAEF}"/>
  </w:font>
  <w:font w:name="华文楷体">
    <w:panose1 w:val="02010600040101010101"/>
    <w:charset w:val="86"/>
    <w:family w:val="auto"/>
    <w:pitch w:val="default"/>
    <w:sig w:usb0="00000287" w:usb1="080F0000" w:usb2="00000000" w:usb3="00000000" w:csb0="0004009F" w:csb1="DFD70000"/>
    <w:embedRegular r:id="rId12" w:fontKey="{BD6CCCF1-9A84-4C26-8DEB-978170927B82}"/>
  </w:font>
  <w:font w:name="Wingdings 2">
    <w:panose1 w:val="05020102010507070707"/>
    <w:charset w:val="02"/>
    <w:family w:val="roman"/>
    <w:pitch w:val="default"/>
    <w:sig w:usb0="00000000" w:usb1="00000000" w:usb2="00000000" w:usb3="00000000" w:csb0="80000000" w:csb1="00000000"/>
    <w:embedRegular r:id="rId13" w:fontKey="{AE1907CC-07D8-4611-AD62-692C263A8564}"/>
  </w:font>
  <w:font w:name="MS Gothic">
    <w:panose1 w:val="020B0609070205080204"/>
    <w:charset w:val="80"/>
    <w:family w:val="modern"/>
    <w:pitch w:val="default"/>
    <w:sig w:usb0="E00002FF" w:usb1="6AC7FDFB" w:usb2="00000012" w:usb3="00000000" w:csb0="4002009F" w:csb1="DFD70000"/>
    <w:embedRegular r:id="rId14" w:fontKey="{541D2B65-F64F-4357-84F7-131AB14BE3BF}"/>
  </w:font>
  <w:font w:name="华文中宋">
    <w:panose1 w:val="02010600040101010101"/>
    <w:charset w:val="86"/>
    <w:family w:val="auto"/>
    <w:pitch w:val="default"/>
    <w:sig w:usb0="00000287" w:usb1="080F0000" w:usb2="00000000" w:usb3="00000000" w:csb0="0004009F" w:csb1="DFD70000"/>
    <w:embedRegular r:id="rId15" w:fontKey="{8118E236-C086-4C7A-9FD4-600402CABE85}"/>
  </w:font>
  <w:font w:name="Segoe UI">
    <w:panose1 w:val="020B0502040204020203"/>
    <w:charset w:val="00"/>
    <w:family w:val="swiss"/>
    <w:pitch w:val="default"/>
    <w:sig w:usb0="E10022FF" w:usb1="C000E47F" w:usb2="00000029" w:usb3="00000000" w:csb0="200001DF" w:csb1="20000000"/>
    <w:embedRegular r:id="rId16" w:fontKey="{E186797C-C96B-4E9A-80FD-6173D6BB9CC6}"/>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2"/>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11wiEbAgAAIQQAAA4AAABkcnMvZTJvRG9jLnhtbK1TzW4TMRC+I/EO&#10;lu9kN0G0UZRNFVoFIUW0UkCcHa+dtWR7LNvJbngAeANOXLjzXHkOxt5silpOiIs99vx/8838pjOa&#10;HIQPCmxFx6OSEmE51MruKvrp4+rVlJIQma2ZBisqehSB3ixevpi3biYm0ICuhScYxIZZ6yraxOhm&#10;RRF4IwwLI3DColKCNyzi0++K2rMWoxtdTMryqmjB184DFyHg712vpIscX0rB472UQUSiK4q1xXz6&#10;fG7TWSzmbLbzzDWKn8tg/1CFYcpi0kuoOxYZ2Xv1LJRR3EMAGUccTAFSKi5yD9jNuHzSzaZhTuRe&#10;EJzgLjCF/xeWfzg8eKLqil5TYpnBEZ2+fzv9+HX6+ZVcJ3haF2ZotXFoF7u30OGYh/+An6nrTnqT&#10;buyHoB6BPl7AFV0kPDlNJ9NpiSqOuuGB8YtHd+dDfCfAkCRU1OP0MqjssA6xNx1MUjYLK6V1nqC2&#10;pK3o1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O11wiEbAgAAIQQAAA4A&#10;AAAAAAAAAQAgAAAAHwEAAGRycy9lMm9Eb2MueG1sUEsFBgAAAAAGAAYAWQEAAKwFAAAAAA==&#10;">
              <v:fill on="f" focussize="0,0"/>
              <v:stroke on="f" weight="0.5pt"/>
              <v:imagedata o:title=""/>
              <o:lock v:ext="edit" aspectratio="f"/>
              <v:textbox inset="0mm,0mm,0mm,0mm" style="mso-fit-shape-to-text:t;">
                <w:txbxContent>
                  <w:p>
                    <w:pPr>
                      <w:pStyle w:val="32"/>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2"/>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gB64ZAgAAIQQAAA4AAABkcnMvZTJvRG9jLnhtbK1Ty47TMBTdI/EP&#10;lvc0aRGjqGo6KjMqQqqYkQpi7TpOE8kv2W6T8gHwB6zYsOe7+h0cO00HASvExr72fZ977uK2V5Ic&#10;hfOt0SWdTnJKhOamavW+pB/er18UlPjAdMWk0aKkJ+Hp7fL5s0Vn52JmGiMr4QiCaD/vbEmbEOw8&#10;yzxvhGJ+YqzQUNbGKRbwdPuscqxDdCWzWZ7fZJ1xlXWGC+/xez8o6TLFr2vBw0NdexGILClqC+l0&#10;6dzFM1su2HzvmG1afimD/UMVirUaSa+h7llg5ODaP0KpljvjTR0m3KjM1HXLReoB3Uzz37rZNsyK&#10;1AvA8fYKk/9/Yfm746MjbVVSDEozhRGdv345f/tx/v6ZFBGezvo5rLYWdqF/bXqMefz3+Ixd97VT&#10;8UY/BHoAfbqCK/pAeHQqZkWRQ8WhGx+Inz25W+fDG2EUiUJJHaaXQGXHjQ+D6WgSs2mzbqVME5Sa&#10;dCW9efkqTw5XDYJLHW1F4sIlTGxpKD1Kod/1lz53pjqhTWcGnnjL1y1K2TAfHpkDMVA+yB4ecNTS&#10;IKW5SJQ0xn3623+0x7ygpaQD0UqqsQmUyLcac4ycHAU3CrtR0Ad1Z8DcKZbI8iTCwQU5irUz6iM2&#10;YBVzQMU0R6aShlG8CwPZsUFcrFbJ6GBdu28GB7DQsrDRW8tjmgiVt6tDALQJ8QjQgAomFR/gYZrZ&#10;ZWci0X99J6unzV7+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CCoAeuGQIAACEEAAAOAAAA&#10;AAAAAAEAIAAAAB8BAABkcnMvZTJvRG9jLnhtbFBLBQYAAAAABgAGAFkBAACqBQAAAAA=&#10;">
              <v:fill on="f" focussize="0,0"/>
              <v:stroke on="f" weight="0.5pt"/>
              <v:imagedata o:title=""/>
              <o:lock v:ext="edit" aspectratio="f"/>
              <v:textbox inset="0mm,0mm,0mm,0mm" style="mso-fit-shape-to-text:t;">
                <w:txbxContent>
                  <w:p>
                    <w:pPr>
                      <w:pStyle w:val="32"/>
                    </w:pPr>
                    <w:r>
                      <w:fldChar w:fldCharType="begin"/>
                    </w:r>
                    <w:r>
                      <w:instrText xml:space="preserve"> PAGE  \* MERGEFORMAT </w:instrText>
                    </w:r>
                    <w:r>
                      <w:fldChar w:fldCharType="separate"/>
                    </w:r>
                    <w:r>
                      <w:t>123</w:t>
                    </w:r>
                    <w:r>
                      <w:fldChar w:fldCharType="end"/>
                    </w:r>
                  </w:p>
                </w:txbxContent>
              </v:textbox>
            </v:shape>
          </w:pict>
        </mc:Fallback>
      </mc:AlternateContent>
    </w:r>
  </w:p>
  <w:p>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5"/>
      </w:rPr>
    </w:pPr>
    <w:r>
      <w:fldChar w:fldCharType="begin"/>
    </w:r>
    <w:r>
      <w:rPr>
        <w:rStyle w:val="55"/>
      </w:rPr>
      <w:instrText xml:space="preserve">PAGE  </w:instrText>
    </w:r>
    <w:r>
      <w:fldChar w:fldCharType="end"/>
    </w:r>
  </w:p>
  <w:p>
    <w:pPr>
      <w:pStyle w:val="3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2"/>
                          </w:pPr>
                          <w:r>
                            <w:fldChar w:fldCharType="begin"/>
                          </w:r>
                          <w:r>
                            <w:instrText xml:space="preserve"> PAGE  \* MERGEFORMAT </w:instrText>
                          </w:r>
                          <w:r>
                            <w:fldChar w:fldCharType="separate"/>
                          </w:r>
                          <w:r>
                            <w:t>99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Fi7YbAgAAIQQAAA4AAABkcnMvZTJvRG9jLnhtbK1TzW4TMRC+I/EO&#10;lu9kN0FUaZRNFVoFIUW0UkCcHa+dtWR7LNvJbngAeANOXLjzXHkOxt5silpOiIs99vx/8838pjOa&#10;HIQPCmxFx6OSEmE51MruKvrp4+rVlJIQma2ZBisqehSB3ixevpi3biYm0ICuhScYxIZZ6yraxOhm&#10;RRF4IwwLI3DColKCNyzi0++K2rMWoxtdTMryqmjB184DFyHg712vpIscX0rB472UQUSiK4q1xXz6&#10;fG7TWSzmbLbzzDWKn8tg/1CFYcpi0kuoOxYZ2Xv1LJRR3EMAGUccTAFSKi5yD9jNuHzSzaZhTuRe&#10;EJzgLjCF/xeWfzg8eKLqil5TYpnBEZ2+fzv9+HX6+ZVcJ3haF2ZotXFoF7u30OGYh/+An6nrTnqT&#10;buyHoB6BPl7AFV0kPDlNJ9NpiSqOuuGB8YtHd+dDfCfAkCRU1OP0MqjssA6xNx1MUjYLK6V1nqC2&#10;pK3o1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COFi7YbAgAAIQQAAA4A&#10;AAAAAAAAAQAgAAAAHwEAAGRycy9lMm9Eb2MueG1sUEsFBgAAAAAGAAYAWQEAAKwFAAAAAA==&#10;">
              <v:fill on="f" focussize="0,0"/>
              <v:stroke on="f" weight="0.5pt"/>
              <v:imagedata o:title=""/>
              <o:lock v:ext="edit" aspectratio="f"/>
              <v:textbox inset="0mm,0mm,0mm,0mm" style="mso-fit-shape-to-text:t;">
                <w:txbxContent>
                  <w:p>
                    <w:pPr>
                      <w:pStyle w:val="32"/>
                    </w:pPr>
                    <w:r>
                      <w:fldChar w:fldCharType="begin"/>
                    </w:r>
                    <w:r>
                      <w:instrText xml:space="preserve"> PAGE  \* MERGEFORMAT </w:instrText>
                    </w:r>
                    <w:r>
                      <w:fldChar w:fldCharType="separate"/>
                    </w:r>
                    <w:r>
                      <w:t>99</w:t>
                    </w:r>
                    <w:r>
                      <w:fldChar w:fldCharType="end"/>
                    </w:r>
                  </w:p>
                </w:txbxContent>
              </v:textbox>
            </v:shape>
          </w:pict>
        </mc:Fallback>
      </mc:AlternateContent>
    </w:r>
  </w:p>
  <w:p>
    <w:pPr>
      <w:pStyle w:val="32"/>
      <w:ind w:right="360"/>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2"/>
                          </w:pPr>
                          <w:r>
                            <w:fldChar w:fldCharType="begin"/>
                          </w:r>
                          <w:r>
                            <w:instrText xml:space="preserve"> PAGE  \* MERGEFORMAT </w:instrText>
                          </w:r>
                          <w:r>
                            <w:fldChar w:fldCharType="separate"/>
                          </w:r>
                          <w:r>
                            <w:t>139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h2d9gbAgAAIwQAAA4AAABkcnMvZTJvRG9jLnhtbK1TzY7TMBC+I/EO&#10;lu80aRGrqmq6KrsqQqrYlQri7DpOE8l/st0m5QHgDThx4c5z9Tn47CRdBJwQF3vsmflm5puZ5W2n&#10;JDkJ5xujCzqd5JQIzU3Z6ENBP7zfvJhT4gPTJZNGi4Kehae3q+fPlq1diJmpjSyFIwDRftHagtYh&#10;2EWWeV4LxfzEWKGhrIxTLODpDlnpWAt0JbNZnt9krXGldYYL7/F73yvpKuFXleDhoaq8CEQWFLmF&#10;dLp07uOZrZZscXDM1g0f0mD/kIVijUbQK9Q9C4wcXfMHlGq4M95UYcKNykxVNVykGlDNNP+tml3N&#10;rEi1gBxvrzT5/wfL350eHWlK9A70aKbQo8vXL5dvPy7fPxP8gaDW+gXsdhaWoXttOhiP/x6fse6u&#10;cireqIhAD6zzlV7RBcKj03w2n+dQcejGB/CzJ3frfHgjjCJRKKhD/xKt7LT1oTcdTWI0bTaNlKmH&#10;UpO2oDcvX+XJ4aoBuNTRVqRpGGBiSX3qUQrdvhvq3JvyjDKd6SfFW75pkMqW+fDIHEYD6WPcwwOO&#10;ShqENINESW3cp7/9R3t0DFpKWoxaQTV2gRL5VqOTAAyj4EZhPwr6qO4MZneKNbI8iXBwQY5i5Yz6&#10;iB1YxxhQMc0RqaBhFO9CP+7YIS7W62R0tK451L0D5tCysNU7y2OYSJW362MAtYnxSFDPCjoVH5jE&#10;1LNha+Ko//pOVk+7vfo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Mh2d9gbAgAAIwQAAA4A&#10;AAAAAAAAAQAgAAAAHwEAAGRycy9lMm9Eb2MueG1sUEsFBgAAAAAGAAYAWQEAAKwFAAAAAA==&#10;">
              <v:fill on="f" focussize="0,0"/>
              <v:stroke on="f" weight="0.5pt"/>
              <v:imagedata o:title=""/>
              <o:lock v:ext="edit" aspectratio="f"/>
              <v:textbox inset="0mm,0mm,0mm,0mm" style="mso-fit-shape-to-text:t;">
                <w:txbxContent>
                  <w:p>
                    <w:pPr>
                      <w:pStyle w:val="32"/>
                    </w:pPr>
                    <w:r>
                      <w:fldChar w:fldCharType="begin"/>
                    </w:r>
                    <w:r>
                      <w:instrText xml:space="preserve"> PAGE  \* MERGEFORMAT </w:instrText>
                    </w:r>
                    <w:r>
                      <w:fldChar w:fldCharType="separate"/>
                    </w:r>
                    <w:r>
                      <w:t>139</w:t>
                    </w:r>
                    <w:r>
                      <w:fldChar w:fldCharType="end"/>
                    </w:r>
                  </w:p>
                </w:txbxContent>
              </v:textbox>
            </v:shape>
          </w:pict>
        </mc:Fallback>
      </mc:AlternateContent>
    </w:r>
  </w:p>
  <w:p>
    <w:pPr>
      <w:pStyle w:val="3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5"/>
      </w:rPr>
    </w:pPr>
    <w:r>
      <w:fldChar w:fldCharType="begin"/>
    </w:r>
    <w:r>
      <w:rPr>
        <w:rStyle w:val="55"/>
      </w:rPr>
      <w:instrText xml:space="preserve">PAGE  </w:instrText>
    </w:r>
    <w:r>
      <w:fldChar w:fldCharType="end"/>
    </w:r>
  </w:p>
  <w:p>
    <w:pPr>
      <w:pStyle w:val="3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rFonts w:hint="eastAsia"/>
      </w:rPr>
      <w:t>广西机电设备招标有限公司招标文件                                                     评标方法及评标标准</w:t>
    </w:r>
  </w:p>
  <w:p>
    <w:pP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rFonts w:hint="eastAsia"/>
      </w:rPr>
      <w:t xml:space="preserve">                                             </w:t>
    </w:r>
  </w:p>
  <w:p>
    <w:pP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rFonts w:hint="eastAsia"/>
      </w:rPr>
      <w:t xml:space="preserve">                                             </w:t>
    </w:r>
  </w:p>
  <w:p>
    <w:pP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6">
    <w:nsid w:val="4C601917"/>
    <w:multiLevelType w:val="singleLevel"/>
    <w:tmpl w:val="4C601917"/>
    <w:lvl w:ilvl="0" w:tentative="0">
      <w:start w:val="1"/>
      <w:numFmt w:val="decimal"/>
      <w:suff w:val="nothing"/>
      <w:lvlText w:val="（%1）"/>
      <w:lvlJc w:val="left"/>
      <w:pPr>
        <w:ind w:left="-2"/>
      </w:pPr>
    </w:lvl>
  </w:abstractNum>
  <w:abstractNum w:abstractNumId="7">
    <w:nsid w:val="5FABD14B"/>
    <w:multiLevelType w:val="singleLevel"/>
    <w:tmpl w:val="5FABD14B"/>
    <w:lvl w:ilvl="0" w:tentative="0">
      <w:start w:val="1"/>
      <w:numFmt w:val="decimal"/>
      <w:suff w:val="nothing"/>
      <w:lvlText w:val="（%1）"/>
      <w:lvlJc w:val="left"/>
    </w:lvl>
  </w:abstractNum>
  <w:abstractNum w:abstractNumId="8">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9">
    <w:nsid w:val="7A0F6431"/>
    <w:multiLevelType w:val="singleLevel"/>
    <w:tmpl w:val="7A0F6431"/>
    <w:lvl w:ilvl="0" w:tentative="0">
      <w:start w:val="1"/>
      <w:numFmt w:val="decimal"/>
      <w:suff w:val="space"/>
      <w:lvlText w:val="%1."/>
      <w:lvlJc w:val="left"/>
    </w:lvl>
  </w:abstractNum>
  <w:num w:numId="1">
    <w:abstractNumId w:val="5"/>
  </w:num>
  <w:num w:numId="2">
    <w:abstractNumId w:val="6"/>
  </w:num>
  <w:num w:numId="3">
    <w:abstractNumId w:val="7"/>
  </w:num>
  <w:num w:numId="4">
    <w:abstractNumId w:val="9"/>
  </w:num>
  <w:num w:numId="5">
    <w:abstractNumId w:val="1"/>
  </w:num>
  <w:num w:numId="6">
    <w:abstractNumId w:val="3"/>
  </w:num>
  <w:num w:numId="7">
    <w:abstractNumId w:val="2"/>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TrueTypeFonts/>
  <w:bordersDoNotSurroundHeader w:val="1"/>
  <w:bordersDoNotSurroundFooter w:val="1"/>
  <w:hideSpellingError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iYWE3NzQ4ODc2M2Y2ZTgyYmJkN2Y4YTA2Nzc4ZWUifQ=="/>
  </w:docVars>
  <w:rsids>
    <w:rsidRoot w:val="02A76688"/>
    <w:rsid w:val="00000C29"/>
    <w:rsid w:val="000014EE"/>
    <w:rsid w:val="0000291E"/>
    <w:rsid w:val="00002A89"/>
    <w:rsid w:val="00002ED0"/>
    <w:rsid w:val="00003F93"/>
    <w:rsid w:val="0000534B"/>
    <w:rsid w:val="00005C20"/>
    <w:rsid w:val="000075AB"/>
    <w:rsid w:val="00007898"/>
    <w:rsid w:val="00007E79"/>
    <w:rsid w:val="000108FE"/>
    <w:rsid w:val="000111F2"/>
    <w:rsid w:val="000112B3"/>
    <w:rsid w:val="00011732"/>
    <w:rsid w:val="000138FF"/>
    <w:rsid w:val="00013A20"/>
    <w:rsid w:val="00013D6D"/>
    <w:rsid w:val="0001670A"/>
    <w:rsid w:val="000168F8"/>
    <w:rsid w:val="00016D8F"/>
    <w:rsid w:val="0001783A"/>
    <w:rsid w:val="00017D79"/>
    <w:rsid w:val="00017FCE"/>
    <w:rsid w:val="00020713"/>
    <w:rsid w:val="00020F7C"/>
    <w:rsid w:val="000217BD"/>
    <w:rsid w:val="00021D54"/>
    <w:rsid w:val="00022379"/>
    <w:rsid w:val="00022F34"/>
    <w:rsid w:val="00023AEA"/>
    <w:rsid w:val="00023B45"/>
    <w:rsid w:val="00025357"/>
    <w:rsid w:val="000261FC"/>
    <w:rsid w:val="000262BF"/>
    <w:rsid w:val="000270FE"/>
    <w:rsid w:val="00027AF6"/>
    <w:rsid w:val="00031435"/>
    <w:rsid w:val="00032214"/>
    <w:rsid w:val="0003459A"/>
    <w:rsid w:val="00034B9A"/>
    <w:rsid w:val="00035255"/>
    <w:rsid w:val="00035576"/>
    <w:rsid w:val="000374C7"/>
    <w:rsid w:val="00037E39"/>
    <w:rsid w:val="00040124"/>
    <w:rsid w:val="00040DFE"/>
    <w:rsid w:val="000423CE"/>
    <w:rsid w:val="000424DF"/>
    <w:rsid w:val="00042638"/>
    <w:rsid w:val="00042C8E"/>
    <w:rsid w:val="000447F5"/>
    <w:rsid w:val="0004674B"/>
    <w:rsid w:val="00046B5B"/>
    <w:rsid w:val="000501DF"/>
    <w:rsid w:val="00050AEA"/>
    <w:rsid w:val="00050F81"/>
    <w:rsid w:val="00052A79"/>
    <w:rsid w:val="00052FD5"/>
    <w:rsid w:val="00053283"/>
    <w:rsid w:val="00053365"/>
    <w:rsid w:val="00054C16"/>
    <w:rsid w:val="00054C9C"/>
    <w:rsid w:val="000577FF"/>
    <w:rsid w:val="000609C9"/>
    <w:rsid w:val="00061468"/>
    <w:rsid w:val="000638FA"/>
    <w:rsid w:val="0006447B"/>
    <w:rsid w:val="00066AC4"/>
    <w:rsid w:val="00067777"/>
    <w:rsid w:val="0007047A"/>
    <w:rsid w:val="00070760"/>
    <w:rsid w:val="00070F0B"/>
    <w:rsid w:val="00071DD1"/>
    <w:rsid w:val="00071ED1"/>
    <w:rsid w:val="00074193"/>
    <w:rsid w:val="00074758"/>
    <w:rsid w:val="000771A5"/>
    <w:rsid w:val="0008044B"/>
    <w:rsid w:val="000805E7"/>
    <w:rsid w:val="00082CA0"/>
    <w:rsid w:val="00084A92"/>
    <w:rsid w:val="00087691"/>
    <w:rsid w:val="0008785F"/>
    <w:rsid w:val="0009065C"/>
    <w:rsid w:val="0009178C"/>
    <w:rsid w:val="000919F8"/>
    <w:rsid w:val="00091A09"/>
    <w:rsid w:val="0009263C"/>
    <w:rsid w:val="0009313B"/>
    <w:rsid w:val="00093335"/>
    <w:rsid w:val="00093C3D"/>
    <w:rsid w:val="00095069"/>
    <w:rsid w:val="000969F7"/>
    <w:rsid w:val="00097DCE"/>
    <w:rsid w:val="00097EE8"/>
    <w:rsid w:val="000A019C"/>
    <w:rsid w:val="000A05F9"/>
    <w:rsid w:val="000A0924"/>
    <w:rsid w:val="000A0D94"/>
    <w:rsid w:val="000A1417"/>
    <w:rsid w:val="000A5D1C"/>
    <w:rsid w:val="000A612B"/>
    <w:rsid w:val="000A64C0"/>
    <w:rsid w:val="000A7283"/>
    <w:rsid w:val="000B0C48"/>
    <w:rsid w:val="000B1020"/>
    <w:rsid w:val="000B16C8"/>
    <w:rsid w:val="000B21F2"/>
    <w:rsid w:val="000B2347"/>
    <w:rsid w:val="000B2828"/>
    <w:rsid w:val="000B3561"/>
    <w:rsid w:val="000B391F"/>
    <w:rsid w:val="000B3F6A"/>
    <w:rsid w:val="000B47A6"/>
    <w:rsid w:val="000B47B4"/>
    <w:rsid w:val="000B6C19"/>
    <w:rsid w:val="000B6DD4"/>
    <w:rsid w:val="000B72AB"/>
    <w:rsid w:val="000B7629"/>
    <w:rsid w:val="000B7EC3"/>
    <w:rsid w:val="000C01A2"/>
    <w:rsid w:val="000C065B"/>
    <w:rsid w:val="000C2036"/>
    <w:rsid w:val="000C3862"/>
    <w:rsid w:val="000C41A0"/>
    <w:rsid w:val="000C60E2"/>
    <w:rsid w:val="000C7FC4"/>
    <w:rsid w:val="000D0079"/>
    <w:rsid w:val="000D0F33"/>
    <w:rsid w:val="000D10E1"/>
    <w:rsid w:val="000D1140"/>
    <w:rsid w:val="000D390D"/>
    <w:rsid w:val="000D3C3E"/>
    <w:rsid w:val="000D3F9B"/>
    <w:rsid w:val="000D620E"/>
    <w:rsid w:val="000D659E"/>
    <w:rsid w:val="000D72DA"/>
    <w:rsid w:val="000E0D1A"/>
    <w:rsid w:val="000E0D47"/>
    <w:rsid w:val="000E0FCE"/>
    <w:rsid w:val="000E1AD0"/>
    <w:rsid w:val="000E3B1B"/>
    <w:rsid w:val="000E6E72"/>
    <w:rsid w:val="000E7D63"/>
    <w:rsid w:val="000F0FBD"/>
    <w:rsid w:val="000F20D7"/>
    <w:rsid w:val="000F2873"/>
    <w:rsid w:val="000F2B05"/>
    <w:rsid w:val="000F3DDA"/>
    <w:rsid w:val="000F5DBD"/>
    <w:rsid w:val="000F64F9"/>
    <w:rsid w:val="000F7718"/>
    <w:rsid w:val="00100354"/>
    <w:rsid w:val="00100944"/>
    <w:rsid w:val="00100964"/>
    <w:rsid w:val="00101264"/>
    <w:rsid w:val="0010225E"/>
    <w:rsid w:val="00102ADE"/>
    <w:rsid w:val="00102CCB"/>
    <w:rsid w:val="00103C6B"/>
    <w:rsid w:val="00105445"/>
    <w:rsid w:val="00106DAE"/>
    <w:rsid w:val="00111272"/>
    <w:rsid w:val="00111841"/>
    <w:rsid w:val="001128E6"/>
    <w:rsid w:val="0011490A"/>
    <w:rsid w:val="001163FD"/>
    <w:rsid w:val="00116C39"/>
    <w:rsid w:val="0011761E"/>
    <w:rsid w:val="0012184A"/>
    <w:rsid w:val="00124839"/>
    <w:rsid w:val="00124D29"/>
    <w:rsid w:val="001252E2"/>
    <w:rsid w:val="001269B3"/>
    <w:rsid w:val="0013058D"/>
    <w:rsid w:val="00131605"/>
    <w:rsid w:val="00132856"/>
    <w:rsid w:val="001331F7"/>
    <w:rsid w:val="00133749"/>
    <w:rsid w:val="00134B78"/>
    <w:rsid w:val="00134E31"/>
    <w:rsid w:val="00134F54"/>
    <w:rsid w:val="00136485"/>
    <w:rsid w:val="001368FA"/>
    <w:rsid w:val="00140B3F"/>
    <w:rsid w:val="001412E5"/>
    <w:rsid w:val="00141342"/>
    <w:rsid w:val="001422C2"/>
    <w:rsid w:val="0014397F"/>
    <w:rsid w:val="00143A5D"/>
    <w:rsid w:val="00145377"/>
    <w:rsid w:val="00146264"/>
    <w:rsid w:val="0014784B"/>
    <w:rsid w:val="001501A5"/>
    <w:rsid w:val="001508E5"/>
    <w:rsid w:val="00151249"/>
    <w:rsid w:val="001516FB"/>
    <w:rsid w:val="00151BD7"/>
    <w:rsid w:val="00151EE6"/>
    <w:rsid w:val="00153CBA"/>
    <w:rsid w:val="0015444D"/>
    <w:rsid w:val="00154810"/>
    <w:rsid w:val="00154D07"/>
    <w:rsid w:val="00155792"/>
    <w:rsid w:val="0015609F"/>
    <w:rsid w:val="00156885"/>
    <w:rsid w:val="00157606"/>
    <w:rsid w:val="00161045"/>
    <w:rsid w:val="00161B8D"/>
    <w:rsid w:val="001620AA"/>
    <w:rsid w:val="001638DA"/>
    <w:rsid w:val="0016569F"/>
    <w:rsid w:val="00170F7D"/>
    <w:rsid w:val="00173427"/>
    <w:rsid w:val="00174055"/>
    <w:rsid w:val="001751D6"/>
    <w:rsid w:val="001772C6"/>
    <w:rsid w:val="00180276"/>
    <w:rsid w:val="00181D21"/>
    <w:rsid w:val="0018289A"/>
    <w:rsid w:val="00182ABD"/>
    <w:rsid w:val="00183679"/>
    <w:rsid w:val="00184650"/>
    <w:rsid w:val="00184B71"/>
    <w:rsid w:val="00185BAB"/>
    <w:rsid w:val="00186E85"/>
    <w:rsid w:val="00187064"/>
    <w:rsid w:val="0018782A"/>
    <w:rsid w:val="00187CDC"/>
    <w:rsid w:val="00187FF6"/>
    <w:rsid w:val="00190A09"/>
    <w:rsid w:val="00191F8F"/>
    <w:rsid w:val="0019204B"/>
    <w:rsid w:val="001930F1"/>
    <w:rsid w:val="00193E67"/>
    <w:rsid w:val="00193F23"/>
    <w:rsid w:val="00195478"/>
    <w:rsid w:val="00195F7E"/>
    <w:rsid w:val="001963DB"/>
    <w:rsid w:val="00197A05"/>
    <w:rsid w:val="001A1A8E"/>
    <w:rsid w:val="001A2ADB"/>
    <w:rsid w:val="001A2D0D"/>
    <w:rsid w:val="001A2E34"/>
    <w:rsid w:val="001A444B"/>
    <w:rsid w:val="001A579B"/>
    <w:rsid w:val="001A6031"/>
    <w:rsid w:val="001A78C3"/>
    <w:rsid w:val="001B0B19"/>
    <w:rsid w:val="001B2B42"/>
    <w:rsid w:val="001B2C7B"/>
    <w:rsid w:val="001B5D2B"/>
    <w:rsid w:val="001C16C4"/>
    <w:rsid w:val="001C196E"/>
    <w:rsid w:val="001C21EB"/>
    <w:rsid w:val="001C275C"/>
    <w:rsid w:val="001C5567"/>
    <w:rsid w:val="001C6785"/>
    <w:rsid w:val="001C67ED"/>
    <w:rsid w:val="001C7DB7"/>
    <w:rsid w:val="001D01C1"/>
    <w:rsid w:val="001D153B"/>
    <w:rsid w:val="001D2181"/>
    <w:rsid w:val="001D271B"/>
    <w:rsid w:val="001D27E2"/>
    <w:rsid w:val="001D4855"/>
    <w:rsid w:val="001D5000"/>
    <w:rsid w:val="001D5276"/>
    <w:rsid w:val="001D57DF"/>
    <w:rsid w:val="001D5C95"/>
    <w:rsid w:val="001D61A0"/>
    <w:rsid w:val="001D63B7"/>
    <w:rsid w:val="001D662F"/>
    <w:rsid w:val="001D6D94"/>
    <w:rsid w:val="001D7D64"/>
    <w:rsid w:val="001E00CF"/>
    <w:rsid w:val="001E04D6"/>
    <w:rsid w:val="001E0792"/>
    <w:rsid w:val="001E1483"/>
    <w:rsid w:val="001E15B6"/>
    <w:rsid w:val="001E4540"/>
    <w:rsid w:val="001E62DF"/>
    <w:rsid w:val="001E6838"/>
    <w:rsid w:val="001E7392"/>
    <w:rsid w:val="001F01F4"/>
    <w:rsid w:val="001F0A5D"/>
    <w:rsid w:val="001F2521"/>
    <w:rsid w:val="001F2EAD"/>
    <w:rsid w:val="001F3134"/>
    <w:rsid w:val="001F4B56"/>
    <w:rsid w:val="001F60CD"/>
    <w:rsid w:val="002002D1"/>
    <w:rsid w:val="00201470"/>
    <w:rsid w:val="00201621"/>
    <w:rsid w:val="002020F9"/>
    <w:rsid w:val="00203430"/>
    <w:rsid w:val="002050E1"/>
    <w:rsid w:val="00205DE8"/>
    <w:rsid w:val="00207032"/>
    <w:rsid w:val="00210D87"/>
    <w:rsid w:val="00210FF8"/>
    <w:rsid w:val="00211B3A"/>
    <w:rsid w:val="00211D76"/>
    <w:rsid w:val="00212FE2"/>
    <w:rsid w:val="00213F77"/>
    <w:rsid w:val="00215032"/>
    <w:rsid w:val="00215266"/>
    <w:rsid w:val="00215C3D"/>
    <w:rsid w:val="00215E72"/>
    <w:rsid w:val="002168B2"/>
    <w:rsid w:val="00221609"/>
    <w:rsid w:val="00222297"/>
    <w:rsid w:val="002223C4"/>
    <w:rsid w:val="0022350D"/>
    <w:rsid w:val="002249D3"/>
    <w:rsid w:val="00225D31"/>
    <w:rsid w:val="00231AC6"/>
    <w:rsid w:val="00234E90"/>
    <w:rsid w:val="00235D1E"/>
    <w:rsid w:val="00236545"/>
    <w:rsid w:val="002366E5"/>
    <w:rsid w:val="00236940"/>
    <w:rsid w:val="00236FFE"/>
    <w:rsid w:val="002378B9"/>
    <w:rsid w:val="00241E80"/>
    <w:rsid w:val="00242006"/>
    <w:rsid w:val="00243A3D"/>
    <w:rsid w:val="00245B20"/>
    <w:rsid w:val="00245E17"/>
    <w:rsid w:val="00246FF3"/>
    <w:rsid w:val="002508AE"/>
    <w:rsid w:val="002511DA"/>
    <w:rsid w:val="002514E8"/>
    <w:rsid w:val="00253196"/>
    <w:rsid w:val="002556F2"/>
    <w:rsid w:val="00257A58"/>
    <w:rsid w:val="00262027"/>
    <w:rsid w:val="002622E9"/>
    <w:rsid w:val="002625CC"/>
    <w:rsid w:val="00262E12"/>
    <w:rsid w:val="00263D10"/>
    <w:rsid w:val="00265859"/>
    <w:rsid w:val="0027006F"/>
    <w:rsid w:val="002714D6"/>
    <w:rsid w:val="002722F7"/>
    <w:rsid w:val="00272EA4"/>
    <w:rsid w:val="00273031"/>
    <w:rsid w:val="002730B1"/>
    <w:rsid w:val="00275DF3"/>
    <w:rsid w:val="00275F06"/>
    <w:rsid w:val="00280037"/>
    <w:rsid w:val="002806B1"/>
    <w:rsid w:val="00280CD2"/>
    <w:rsid w:val="00280ECB"/>
    <w:rsid w:val="0028180D"/>
    <w:rsid w:val="00281F6E"/>
    <w:rsid w:val="00282959"/>
    <w:rsid w:val="00285C60"/>
    <w:rsid w:val="00287C42"/>
    <w:rsid w:val="00291023"/>
    <w:rsid w:val="00291903"/>
    <w:rsid w:val="002926AB"/>
    <w:rsid w:val="00293AFD"/>
    <w:rsid w:val="00293C56"/>
    <w:rsid w:val="00293F3E"/>
    <w:rsid w:val="0029439F"/>
    <w:rsid w:val="0029592C"/>
    <w:rsid w:val="00295A6A"/>
    <w:rsid w:val="00295F30"/>
    <w:rsid w:val="00296D69"/>
    <w:rsid w:val="002A039E"/>
    <w:rsid w:val="002A1667"/>
    <w:rsid w:val="002A1E4A"/>
    <w:rsid w:val="002A56A4"/>
    <w:rsid w:val="002A680E"/>
    <w:rsid w:val="002A6E41"/>
    <w:rsid w:val="002B1BB7"/>
    <w:rsid w:val="002B1DF8"/>
    <w:rsid w:val="002B2220"/>
    <w:rsid w:val="002B25A4"/>
    <w:rsid w:val="002B57EE"/>
    <w:rsid w:val="002B7418"/>
    <w:rsid w:val="002B7D56"/>
    <w:rsid w:val="002C06E8"/>
    <w:rsid w:val="002C0FEA"/>
    <w:rsid w:val="002C10DB"/>
    <w:rsid w:val="002C1BD8"/>
    <w:rsid w:val="002C2156"/>
    <w:rsid w:val="002C2D38"/>
    <w:rsid w:val="002C340B"/>
    <w:rsid w:val="002C3498"/>
    <w:rsid w:val="002C5014"/>
    <w:rsid w:val="002D10C1"/>
    <w:rsid w:val="002D1FC8"/>
    <w:rsid w:val="002D26D8"/>
    <w:rsid w:val="002D2B6D"/>
    <w:rsid w:val="002D2BA1"/>
    <w:rsid w:val="002D5ED9"/>
    <w:rsid w:val="002D5EF5"/>
    <w:rsid w:val="002D660B"/>
    <w:rsid w:val="002D6BA6"/>
    <w:rsid w:val="002D6E42"/>
    <w:rsid w:val="002D76E1"/>
    <w:rsid w:val="002E01B3"/>
    <w:rsid w:val="002E05C0"/>
    <w:rsid w:val="002E13F6"/>
    <w:rsid w:val="002E18F1"/>
    <w:rsid w:val="002E1ADC"/>
    <w:rsid w:val="002E1F72"/>
    <w:rsid w:val="002E4EF1"/>
    <w:rsid w:val="002E520E"/>
    <w:rsid w:val="002E5488"/>
    <w:rsid w:val="002E6098"/>
    <w:rsid w:val="002E6859"/>
    <w:rsid w:val="002E7E7E"/>
    <w:rsid w:val="002F0064"/>
    <w:rsid w:val="002F0D40"/>
    <w:rsid w:val="002F14AF"/>
    <w:rsid w:val="002F3C44"/>
    <w:rsid w:val="002F3DB9"/>
    <w:rsid w:val="002F430B"/>
    <w:rsid w:val="002F4B3B"/>
    <w:rsid w:val="002F5CBD"/>
    <w:rsid w:val="002F5FC6"/>
    <w:rsid w:val="00301B10"/>
    <w:rsid w:val="00303017"/>
    <w:rsid w:val="00304189"/>
    <w:rsid w:val="00304E5E"/>
    <w:rsid w:val="003070EB"/>
    <w:rsid w:val="0030799C"/>
    <w:rsid w:val="003102E9"/>
    <w:rsid w:val="00310412"/>
    <w:rsid w:val="003117EA"/>
    <w:rsid w:val="0031244A"/>
    <w:rsid w:val="00312EE1"/>
    <w:rsid w:val="003131DA"/>
    <w:rsid w:val="00313A8C"/>
    <w:rsid w:val="00313E06"/>
    <w:rsid w:val="003146FD"/>
    <w:rsid w:val="00314DBF"/>
    <w:rsid w:val="003155F6"/>
    <w:rsid w:val="00320443"/>
    <w:rsid w:val="00322EC4"/>
    <w:rsid w:val="00323431"/>
    <w:rsid w:val="00323786"/>
    <w:rsid w:val="0032459B"/>
    <w:rsid w:val="003268D1"/>
    <w:rsid w:val="00326F38"/>
    <w:rsid w:val="00327750"/>
    <w:rsid w:val="00331010"/>
    <w:rsid w:val="00331829"/>
    <w:rsid w:val="00331BCA"/>
    <w:rsid w:val="0033318D"/>
    <w:rsid w:val="00333D4C"/>
    <w:rsid w:val="003363DE"/>
    <w:rsid w:val="003376E2"/>
    <w:rsid w:val="0033771F"/>
    <w:rsid w:val="00337AC4"/>
    <w:rsid w:val="003419FE"/>
    <w:rsid w:val="00342009"/>
    <w:rsid w:val="00343578"/>
    <w:rsid w:val="0034397C"/>
    <w:rsid w:val="00344DFD"/>
    <w:rsid w:val="00345098"/>
    <w:rsid w:val="00345575"/>
    <w:rsid w:val="00345B73"/>
    <w:rsid w:val="00346A8B"/>
    <w:rsid w:val="00346FB8"/>
    <w:rsid w:val="00350E46"/>
    <w:rsid w:val="00351A58"/>
    <w:rsid w:val="00353468"/>
    <w:rsid w:val="003534B8"/>
    <w:rsid w:val="00353A65"/>
    <w:rsid w:val="003546AC"/>
    <w:rsid w:val="003551DE"/>
    <w:rsid w:val="00355F06"/>
    <w:rsid w:val="003569B7"/>
    <w:rsid w:val="003603A7"/>
    <w:rsid w:val="00360718"/>
    <w:rsid w:val="00360E54"/>
    <w:rsid w:val="00360F57"/>
    <w:rsid w:val="00361753"/>
    <w:rsid w:val="0036373C"/>
    <w:rsid w:val="00363958"/>
    <w:rsid w:val="003662EB"/>
    <w:rsid w:val="003671E8"/>
    <w:rsid w:val="00370540"/>
    <w:rsid w:val="0037104F"/>
    <w:rsid w:val="003714E4"/>
    <w:rsid w:val="003715E9"/>
    <w:rsid w:val="0037233E"/>
    <w:rsid w:val="003750C7"/>
    <w:rsid w:val="00375622"/>
    <w:rsid w:val="00375EFA"/>
    <w:rsid w:val="00376B24"/>
    <w:rsid w:val="00377583"/>
    <w:rsid w:val="00380056"/>
    <w:rsid w:val="003806F6"/>
    <w:rsid w:val="0038164B"/>
    <w:rsid w:val="00381D09"/>
    <w:rsid w:val="00382CEE"/>
    <w:rsid w:val="0038313C"/>
    <w:rsid w:val="0038384F"/>
    <w:rsid w:val="003841B3"/>
    <w:rsid w:val="00384464"/>
    <w:rsid w:val="0038502D"/>
    <w:rsid w:val="00385F2D"/>
    <w:rsid w:val="00386077"/>
    <w:rsid w:val="00386888"/>
    <w:rsid w:val="00386F55"/>
    <w:rsid w:val="00390168"/>
    <w:rsid w:val="00390271"/>
    <w:rsid w:val="00390573"/>
    <w:rsid w:val="00391024"/>
    <w:rsid w:val="00392261"/>
    <w:rsid w:val="0039282E"/>
    <w:rsid w:val="003933CD"/>
    <w:rsid w:val="00393BDB"/>
    <w:rsid w:val="00395769"/>
    <w:rsid w:val="003A3955"/>
    <w:rsid w:val="003B16C4"/>
    <w:rsid w:val="003B54F6"/>
    <w:rsid w:val="003B575D"/>
    <w:rsid w:val="003B6189"/>
    <w:rsid w:val="003B68AB"/>
    <w:rsid w:val="003B6965"/>
    <w:rsid w:val="003B6B84"/>
    <w:rsid w:val="003B73E9"/>
    <w:rsid w:val="003C065E"/>
    <w:rsid w:val="003C1CFF"/>
    <w:rsid w:val="003C1F57"/>
    <w:rsid w:val="003C2324"/>
    <w:rsid w:val="003C234E"/>
    <w:rsid w:val="003C2AA9"/>
    <w:rsid w:val="003C3C5B"/>
    <w:rsid w:val="003C779F"/>
    <w:rsid w:val="003D0728"/>
    <w:rsid w:val="003D2AA7"/>
    <w:rsid w:val="003D2FCE"/>
    <w:rsid w:val="003D32C3"/>
    <w:rsid w:val="003D34D7"/>
    <w:rsid w:val="003D3E6C"/>
    <w:rsid w:val="003D45C5"/>
    <w:rsid w:val="003D6640"/>
    <w:rsid w:val="003D6691"/>
    <w:rsid w:val="003D6BAE"/>
    <w:rsid w:val="003D7423"/>
    <w:rsid w:val="003E08A6"/>
    <w:rsid w:val="003E116A"/>
    <w:rsid w:val="003E1366"/>
    <w:rsid w:val="003E13F3"/>
    <w:rsid w:val="003E231E"/>
    <w:rsid w:val="003E25F4"/>
    <w:rsid w:val="003E2D73"/>
    <w:rsid w:val="003E39D2"/>
    <w:rsid w:val="003E3A1B"/>
    <w:rsid w:val="003E3EEF"/>
    <w:rsid w:val="003E43FC"/>
    <w:rsid w:val="003F0A58"/>
    <w:rsid w:val="003F1616"/>
    <w:rsid w:val="003F1D6B"/>
    <w:rsid w:val="003F2563"/>
    <w:rsid w:val="003F3D58"/>
    <w:rsid w:val="003F3EDB"/>
    <w:rsid w:val="003F5287"/>
    <w:rsid w:val="003F541E"/>
    <w:rsid w:val="003F5A5D"/>
    <w:rsid w:val="003F615B"/>
    <w:rsid w:val="003F6164"/>
    <w:rsid w:val="003F6980"/>
    <w:rsid w:val="0040039B"/>
    <w:rsid w:val="00401736"/>
    <w:rsid w:val="00401A2C"/>
    <w:rsid w:val="00402085"/>
    <w:rsid w:val="004022EF"/>
    <w:rsid w:val="00402FCD"/>
    <w:rsid w:val="004046BE"/>
    <w:rsid w:val="0040584D"/>
    <w:rsid w:val="00405BF8"/>
    <w:rsid w:val="004060A4"/>
    <w:rsid w:val="00406509"/>
    <w:rsid w:val="004068BC"/>
    <w:rsid w:val="00406C73"/>
    <w:rsid w:val="004077A5"/>
    <w:rsid w:val="004131C1"/>
    <w:rsid w:val="0041384C"/>
    <w:rsid w:val="00413D74"/>
    <w:rsid w:val="00415692"/>
    <w:rsid w:val="004171EE"/>
    <w:rsid w:val="00417AEA"/>
    <w:rsid w:val="00423CC4"/>
    <w:rsid w:val="00424359"/>
    <w:rsid w:val="00426656"/>
    <w:rsid w:val="00426B86"/>
    <w:rsid w:val="004305C8"/>
    <w:rsid w:val="004307BA"/>
    <w:rsid w:val="00430C03"/>
    <w:rsid w:val="00432263"/>
    <w:rsid w:val="00432539"/>
    <w:rsid w:val="00433173"/>
    <w:rsid w:val="004354EF"/>
    <w:rsid w:val="00435EC5"/>
    <w:rsid w:val="0044035D"/>
    <w:rsid w:val="00441944"/>
    <w:rsid w:val="004437EA"/>
    <w:rsid w:val="00443AC5"/>
    <w:rsid w:val="004447A9"/>
    <w:rsid w:val="00444E88"/>
    <w:rsid w:val="004469C8"/>
    <w:rsid w:val="00450F8C"/>
    <w:rsid w:val="00451C64"/>
    <w:rsid w:val="00453152"/>
    <w:rsid w:val="00453CCC"/>
    <w:rsid w:val="00453F0F"/>
    <w:rsid w:val="004541FE"/>
    <w:rsid w:val="004566B0"/>
    <w:rsid w:val="00456CA4"/>
    <w:rsid w:val="0045757D"/>
    <w:rsid w:val="004602D0"/>
    <w:rsid w:val="00462443"/>
    <w:rsid w:val="004635B8"/>
    <w:rsid w:val="00463807"/>
    <w:rsid w:val="004675A8"/>
    <w:rsid w:val="0047131C"/>
    <w:rsid w:val="00477243"/>
    <w:rsid w:val="00481486"/>
    <w:rsid w:val="00482F2E"/>
    <w:rsid w:val="00483E1C"/>
    <w:rsid w:val="004850B8"/>
    <w:rsid w:val="0048687C"/>
    <w:rsid w:val="0048774E"/>
    <w:rsid w:val="00487FCE"/>
    <w:rsid w:val="00491AAF"/>
    <w:rsid w:val="00491AB8"/>
    <w:rsid w:val="00491FDE"/>
    <w:rsid w:val="00492284"/>
    <w:rsid w:val="00492D57"/>
    <w:rsid w:val="004934FA"/>
    <w:rsid w:val="00496489"/>
    <w:rsid w:val="00497813"/>
    <w:rsid w:val="004A01ED"/>
    <w:rsid w:val="004A05FF"/>
    <w:rsid w:val="004A0BDD"/>
    <w:rsid w:val="004A2230"/>
    <w:rsid w:val="004A2B32"/>
    <w:rsid w:val="004A3F23"/>
    <w:rsid w:val="004A4EAB"/>
    <w:rsid w:val="004A5EF1"/>
    <w:rsid w:val="004A73B7"/>
    <w:rsid w:val="004A7471"/>
    <w:rsid w:val="004B28A9"/>
    <w:rsid w:val="004B3AF8"/>
    <w:rsid w:val="004B3CF9"/>
    <w:rsid w:val="004B448C"/>
    <w:rsid w:val="004B49FA"/>
    <w:rsid w:val="004B5499"/>
    <w:rsid w:val="004B5F2E"/>
    <w:rsid w:val="004B7221"/>
    <w:rsid w:val="004B7EAD"/>
    <w:rsid w:val="004C055E"/>
    <w:rsid w:val="004C0987"/>
    <w:rsid w:val="004C5605"/>
    <w:rsid w:val="004C6842"/>
    <w:rsid w:val="004C6C9E"/>
    <w:rsid w:val="004C711D"/>
    <w:rsid w:val="004C7825"/>
    <w:rsid w:val="004D0941"/>
    <w:rsid w:val="004D1421"/>
    <w:rsid w:val="004D1F5B"/>
    <w:rsid w:val="004D21DB"/>
    <w:rsid w:val="004D2F7B"/>
    <w:rsid w:val="004D3C15"/>
    <w:rsid w:val="004D5555"/>
    <w:rsid w:val="004D57D2"/>
    <w:rsid w:val="004D6280"/>
    <w:rsid w:val="004D6D0F"/>
    <w:rsid w:val="004D7FE5"/>
    <w:rsid w:val="004E06B7"/>
    <w:rsid w:val="004E1486"/>
    <w:rsid w:val="004E2471"/>
    <w:rsid w:val="004E4045"/>
    <w:rsid w:val="004E59A7"/>
    <w:rsid w:val="004E622E"/>
    <w:rsid w:val="004F0206"/>
    <w:rsid w:val="004F0D1F"/>
    <w:rsid w:val="004F0E0B"/>
    <w:rsid w:val="004F156E"/>
    <w:rsid w:val="004F279A"/>
    <w:rsid w:val="004F4866"/>
    <w:rsid w:val="004F4F81"/>
    <w:rsid w:val="004F57ED"/>
    <w:rsid w:val="004F60F3"/>
    <w:rsid w:val="004F6474"/>
    <w:rsid w:val="004F77DC"/>
    <w:rsid w:val="004F7E5F"/>
    <w:rsid w:val="005004E6"/>
    <w:rsid w:val="00500598"/>
    <w:rsid w:val="00501A69"/>
    <w:rsid w:val="00506D25"/>
    <w:rsid w:val="0050746F"/>
    <w:rsid w:val="00507567"/>
    <w:rsid w:val="005102A1"/>
    <w:rsid w:val="00510602"/>
    <w:rsid w:val="00510E1E"/>
    <w:rsid w:val="00512332"/>
    <w:rsid w:val="00512C16"/>
    <w:rsid w:val="00513B66"/>
    <w:rsid w:val="00514140"/>
    <w:rsid w:val="00515C35"/>
    <w:rsid w:val="00517735"/>
    <w:rsid w:val="0052023C"/>
    <w:rsid w:val="005210FE"/>
    <w:rsid w:val="00522781"/>
    <w:rsid w:val="00523490"/>
    <w:rsid w:val="0052562A"/>
    <w:rsid w:val="005258F1"/>
    <w:rsid w:val="00526234"/>
    <w:rsid w:val="00530E95"/>
    <w:rsid w:val="00532675"/>
    <w:rsid w:val="0053629B"/>
    <w:rsid w:val="00537183"/>
    <w:rsid w:val="00540271"/>
    <w:rsid w:val="0054196C"/>
    <w:rsid w:val="00542A2B"/>
    <w:rsid w:val="00542B6D"/>
    <w:rsid w:val="0054307F"/>
    <w:rsid w:val="0054342E"/>
    <w:rsid w:val="00544279"/>
    <w:rsid w:val="00547958"/>
    <w:rsid w:val="00547E46"/>
    <w:rsid w:val="00547FE3"/>
    <w:rsid w:val="00550AF5"/>
    <w:rsid w:val="00551874"/>
    <w:rsid w:val="00552584"/>
    <w:rsid w:val="00552A7D"/>
    <w:rsid w:val="00553765"/>
    <w:rsid w:val="005537B2"/>
    <w:rsid w:val="00555F17"/>
    <w:rsid w:val="00557983"/>
    <w:rsid w:val="0056022E"/>
    <w:rsid w:val="00560BD3"/>
    <w:rsid w:val="00562F9A"/>
    <w:rsid w:val="00563031"/>
    <w:rsid w:val="00565755"/>
    <w:rsid w:val="005674C6"/>
    <w:rsid w:val="005677B8"/>
    <w:rsid w:val="00567DBB"/>
    <w:rsid w:val="005706C3"/>
    <w:rsid w:val="00571448"/>
    <w:rsid w:val="005741CB"/>
    <w:rsid w:val="00575DD5"/>
    <w:rsid w:val="00576F82"/>
    <w:rsid w:val="00577236"/>
    <w:rsid w:val="0058004B"/>
    <w:rsid w:val="00580151"/>
    <w:rsid w:val="0058095E"/>
    <w:rsid w:val="00580C71"/>
    <w:rsid w:val="0058313F"/>
    <w:rsid w:val="0058336F"/>
    <w:rsid w:val="00584EE2"/>
    <w:rsid w:val="0058648D"/>
    <w:rsid w:val="00587CA6"/>
    <w:rsid w:val="0059025F"/>
    <w:rsid w:val="005920D1"/>
    <w:rsid w:val="00592C06"/>
    <w:rsid w:val="00593B20"/>
    <w:rsid w:val="00594D60"/>
    <w:rsid w:val="00595D9A"/>
    <w:rsid w:val="00596835"/>
    <w:rsid w:val="00596F12"/>
    <w:rsid w:val="00597099"/>
    <w:rsid w:val="00597A70"/>
    <w:rsid w:val="00597BA1"/>
    <w:rsid w:val="005A087C"/>
    <w:rsid w:val="005A0CF2"/>
    <w:rsid w:val="005A1507"/>
    <w:rsid w:val="005A1729"/>
    <w:rsid w:val="005A2C05"/>
    <w:rsid w:val="005A3401"/>
    <w:rsid w:val="005A3D73"/>
    <w:rsid w:val="005A58F8"/>
    <w:rsid w:val="005A6574"/>
    <w:rsid w:val="005B086A"/>
    <w:rsid w:val="005B1F04"/>
    <w:rsid w:val="005B379C"/>
    <w:rsid w:val="005B6495"/>
    <w:rsid w:val="005B71FB"/>
    <w:rsid w:val="005C0001"/>
    <w:rsid w:val="005C1687"/>
    <w:rsid w:val="005C196C"/>
    <w:rsid w:val="005C210F"/>
    <w:rsid w:val="005C2E32"/>
    <w:rsid w:val="005C4E5D"/>
    <w:rsid w:val="005C52CC"/>
    <w:rsid w:val="005C54F6"/>
    <w:rsid w:val="005C5D2A"/>
    <w:rsid w:val="005D169B"/>
    <w:rsid w:val="005D1B42"/>
    <w:rsid w:val="005D21C6"/>
    <w:rsid w:val="005D49F8"/>
    <w:rsid w:val="005D4E2F"/>
    <w:rsid w:val="005D545C"/>
    <w:rsid w:val="005D5523"/>
    <w:rsid w:val="005D5718"/>
    <w:rsid w:val="005D6B09"/>
    <w:rsid w:val="005D6CCB"/>
    <w:rsid w:val="005E015F"/>
    <w:rsid w:val="005E1BFB"/>
    <w:rsid w:val="005E2D71"/>
    <w:rsid w:val="005E32F3"/>
    <w:rsid w:val="005E4481"/>
    <w:rsid w:val="005E53A3"/>
    <w:rsid w:val="005E64C2"/>
    <w:rsid w:val="005E7557"/>
    <w:rsid w:val="005E75E0"/>
    <w:rsid w:val="005E7A0A"/>
    <w:rsid w:val="005F049F"/>
    <w:rsid w:val="005F147E"/>
    <w:rsid w:val="005F1F28"/>
    <w:rsid w:val="005F2BF3"/>
    <w:rsid w:val="005F395D"/>
    <w:rsid w:val="005F3992"/>
    <w:rsid w:val="005F41F9"/>
    <w:rsid w:val="005F5976"/>
    <w:rsid w:val="005F5C94"/>
    <w:rsid w:val="005F5FB0"/>
    <w:rsid w:val="005F6397"/>
    <w:rsid w:val="005F6AAF"/>
    <w:rsid w:val="005F7384"/>
    <w:rsid w:val="005F78F6"/>
    <w:rsid w:val="00600045"/>
    <w:rsid w:val="00601C83"/>
    <w:rsid w:val="0060248E"/>
    <w:rsid w:val="0060270B"/>
    <w:rsid w:val="006060AA"/>
    <w:rsid w:val="006065D7"/>
    <w:rsid w:val="006068A8"/>
    <w:rsid w:val="00607525"/>
    <w:rsid w:val="00607D43"/>
    <w:rsid w:val="00607FB1"/>
    <w:rsid w:val="00610C34"/>
    <w:rsid w:val="00611043"/>
    <w:rsid w:val="00611880"/>
    <w:rsid w:val="006121BD"/>
    <w:rsid w:val="00613CE3"/>
    <w:rsid w:val="006144E0"/>
    <w:rsid w:val="00617811"/>
    <w:rsid w:val="00621373"/>
    <w:rsid w:val="0062181B"/>
    <w:rsid w:val="0062223B"/>
    <w:rsid w:val="006226BF"/>
    <w:rsid w:val="006229A2"/>
    <w:rsid w:val="006237F5"/>
    <w:rsid w:val="00625064"/>
    <w:rsid w:val="0062549D"/>
    <w:rsid w:val="0062623A"/>
    <w:rsid w:val="006302A2"/>
    <w:rsid w:val="0063105F"/>
    <w:rsid w:val="00631203"/>
    <w:rsid w:val="006318FB"/>
    <w:rsid w:val="00632061"/>
    <w:rsid w:val="0063262D"/>
    <w:rsid w:val="0063320E"/>
    <w:rsid w:val="00635038"/>
    <w:rsid w:val="00635EAE"/>
    <w:rsid w:val="00636DBC"/>
    <w:rsid w:val="00640D2D"/>
    <w:rsid w:val="006414AF"/>
    <w:rsid w:val="00641FCB"/>
    <w:rsid w:val="006429E3"/>
    <w:rsid w:val="006439AE"/>
    <w:rsid w:val="006445FF"/>
    <w:rsid w:val="00644A50"/>
    <w:rsid w:val="00645614"/>
    <w:rsid w:val="00646C0A"/>
    <w:rsid w:val="00647498"/>
    <w:rsid w:val="006478CE"/>
    <w:rsid w:val="00651DA8"/>
    <w:rsid w:val="00651EDD"/>
    <w:rsid w:val="00651FDC"/>
    <w:rsid w:val="00655A7F"/>
    <w:rsid w:val="00655C26"/>
    <w:rsid w:val="006575A6"/>
    <w:rsid w:val="006578E4"/>
    <w:rsid w:val="00657903"/>
    <w:rsid w:val="00660279"/>
    <w:rsid w:val="00661DF3"/>
    <w:rsid w:val="006621F5"/>
    <w:rsid w:val="00662513"/>
    <w:rsid w:val="006630A2"/>
    <w:rsid w:val="00664208"/>
    <w:rsid w:val="00664395"/>
    <w:rsid w:val="0066491F"/>
    <w:rsid w:val="00666BBE"/>
    <w:rsid w:val="00667340"/>
    <w:rsid w:val="006674C6"/>
    <w:rsid w:val="00667F15"/>
    <w:rsid w:val="00670504"/>
    <w:rsid w:val="006706EF"/>
    <w:rsid w:val="006707E7"/>
    <w:rsid w:val="00670EC6"/>
    <w:rsid w:val="00672104"/>
    <w:rsid w:val="00673594"/>
    <w:rsid w:val="006746AA"/>
    <w:rsid w:val="00675294"/>
    <w:rsid w:val="00676103"/>
    <w:rsid w:val="00676223"/>
    <w:rsid w:val="00676DA7"/>
    <w:rsid w:val="00677BEE"/>
    <w:rsid w:val="00677DFD"/>
    <w:rsid w:val="00680E11"/>
    <w:rsid w:val="00680EB8"/>
    <w:rsid w:val="00680FDA"/>
    <w:rsid w:val="0068124A"/>
    <w:rsid w:val="00681437"/>
    <w:rsid w:val="00681669"/>
    <w:rsid w:val="0068196C"/>
    <w:rsid w:val="006829D4"/>
    <w:rsid w:val="006836D5"/>
    <w:rsid w:val="00683705"/>
    <w:rsid w:val="006837E8"/>
    <w:rsid w:val="006849B0"/>
    <w:rsid w:val="00684B1F"/>
    <w:rsid w:val="00684C8F"/>
    <w:rsid w:val="006864AE"/>
    <w:rsid w:val="00690850"/>
    <w:rsid w:val="006908DE"/>
    <w:rsid w:val="006923B5"/>
    <w:rsid w:val="006930E8"/>
    <w:rsid w:val="006934A8"/>
    <w:rsid w:val="0069361E"/>
    <w:rsid w:val="00695CDC"/>
    <w:rsid w:val="00696DBC"/>
    <w:rsid w:val="00697273"/>
    <w:rsid w:val="00697AAF"/>
    <w:rsid w:val="00697FE2"/>
    <w:rsid w:val="006A1012"/>
    <w:rsid w:val="006A11B5"/>
    <w:rsid w:val="006A2210"/>
    <w:rsid w:val="006A232A"/>
    <w:rsid w:val="006A26D8"/>
    <w:rsid w:val="006A35C9"/>
    <w:rsid w:val="006A38AD"/>
    <w:rsid w:val="006A3CBB"/>
    <w:rsid w:val="006A5B6C"/>
    <w:rsid w:val="006A6126"/>
    <w:rsid w:val="006A6609"/>
    <w:rsid w:val="006A7D34"/>
    <w:rsid w:val="006B0B10"/>
    <w:rsid w:val="006B2D67"/>
    <w:rsid w:val="006B5D40"/>
    <w:rsid w:val="006B61DC"/>
    <w:rsid w:val="006B6329"/>
    <w:rsid w:val="006B66F5"/>
    <w:rsid w:val="006C0FCA"/>
    <w:rsid w:val="006C1681"/>
    <w:rsid w:val="006C1D0A"/>
    <w:rsid w:val="006C3867"/>
    <w:rsid w:val="006C38D1"/>
    <w:rsid w:val="006C48B4"/>
    <w:rsid w:val="006D07C3"/>
    <w:rsid w:val="006D198F"/>
    <w:rsid w:val="006D2AF7"/>
    <w:rsid w:val="006D2FDA"/>
    <w:rsid w:val="006D3072"/>
    <w:rsid w:val="006D4D5C"/>
    <w:rsid w:val="006D4F4C"/>
    <w:rsid w:val="006D7985"/>
    <w:rsid w:val="006D7D63"/>
    <w:rsid w:val="006E1BA7"/>
    <w:rsid w:val="006E276A"/>
    <w:rsid w:val="006E5585"/>
    <w:rsid w:val="006E68D1"/>
    <w:rsid w:val="006E7593"/>
    <w:rsid w:val="006E78CB"/>
    <w:rsid w:val="006E796F"/>
    <w:rsid w:val="006E7C93"/>
    <w:rsid w:val="006E7D31"/>
    <w:rsid w:val="006E7F56"/>
    <w:rsid w:val="006F1C22"/>
    <w:rsid w:val="006F2574"/>
    <w:rsid w:val="006F33E8"/>
    <w:rsid w:val="006F35AB"/>
    <w:rsid w:val="006F3682"/>
    <w:rsid w:val="006F442E"/>
    <w:rsid w:val="006F4E30"/>
    <w:rsid w:val="006F54BD"/>
    <w:rsid w:val="006F6426"/>
    <w:rsid w:val="007000C6"/>
    <w:rsid w:val="00700CFE"/>
    <w:rsid w:val="0070365F"/>
    <w:rsid w:val="00703CC0"/>
    <w:rsid w:val="00704606"/>
    <w:rsid w:val="0070531F"/>
    <w:rsid w:val="007055F8"/>
    <w:rsid w:val="00705AD7"/>
    <w:rsid w:val="0071078D"/>
    <w:rsid w:val="00714EAD"/>
    <w:rsid w:val="00715575"/>
    <w:rsid w:val="00715E5D"/>
    <w:rsid w:val="00716583"/>
    <w:rsid w:val="00716E63"/>
    <w:rsid w:val="00717F89"/>
    <w:rsid w:val="00721169"/>
    <w:rsid w:val="00722B83"/>
    <w:rsid w:val="0072300E"/>
    <w:rsid w:val="00723195"/>
    <w:rsid w:val="00723B1A"/>
    <w:rsid w:val="00723C49"/>
    <w:rsid w:val="007241CA"/>
    <w:rsid w:val="00724D6A"/>
    <w:rsid w:val="00725308"/>
    <w:rsid w:val="00726FA5"/>
    <w:rsid w:val="007273AE"/>
    <w:rsid w:val="00731C00"/>
    <w:rsid w:val="0073277D"/>
    <w:rsid w:val="007327BF"/>
    <w:rsid w:val="00732B1A"/>
    <w:rsid w:val="00732DA0"/>
    <w:rsid w:val="00734FE3"/>
    <w:rsid w:val="0073609F"/>
    <w:rsid w:val="00736323"/>
    <w:rsid w:val="00736A25"/>
    <w:rsid w:val="00736F9C"/>
    <w:rsid w:val="007375BE"/>
    <w:rsid w:val="00740D22"/>
    <w:rsid w:val="0074102C"/>
    <w:rsid w:val="007427BD"/>
    <w:rsid w:val="00742834"/>
    <w:rsid w:val="00742D78"/>
    <w:rsid w:val="00743578"/>
    <w:rsid w:val="007437FF"/>
    <w:rsid w:val="0074592E"/>
    <w:rsid w:val="00747EAA"/>
    <w:rsid w:val="00752D67"/>
    <w:rsid w:val="007530CA"/>
    <w:rsid w:val="00753FA1"/>
    <w:rsid w:val="00755C8E"/>
    <w:rsid w:val="00755EAF"/>
    <w:rsid w:val="00756C47"/>
    <w:rsid w:val="007578BD"/>
    <w:rsid w:val="0076142F"/>
    <w:rsid w:val="00762250"/>
    <w:rsid w:val="0076310F"/>
    <w:rsid w:val="00765C22"/>
    <w:rsid w:val="00766BA5"/>
    <w:rsid w:val="00770CB9"/>
    <w:rsid w:val="00771908"/>
    <w:rsid w:val="00771FB9"/>
    <w:rsid w:val="0077255A"/>
    <w:rsid w:val="0077345E"/>
    <w:rsid w:val="00773C69"/>
    <w:rsid w:val="00775053"/>
    <w:rsid w:val="0077532D"/>
    <w:rsid w:val="0077563A"/>
    <w:rsid w:val="00775761"/>
    <w:rsid w:val="007766F7"/>
    <w:rsid w:val="00780342"/>
    <w:rsid w:val="007808FF"/>
    <w:rsid w:val="007824B8"/>
    <w:rsid w:val="00782DD6"/>
    <w:rsid w:val="00786A5E"/>
    <w:rsid w:val="0078709C"/>
    <w:rsid w:val="0078744B"/>
    <w:rsid w:val="00787FD3"/>
    <w:rsid w:val="007900D2"/>
    <w:rsid w:val="0079026B"/>
    <w:rsid w:val="00790311"/>
    <w:rsid w:val="007916D5"/>
    <w:rsid w:val="00791EE6"/>
    <w:rsid w:val="007921F3"/>
    <w:rsid w:val="007937B3"/>
    <w:rsid w:val="00793AE8"/>
    <w:rsid w:val="00793E18"/>
    <w:rsid w:val="0079545A"/>
    <w:rsid w:val="00795E89"/>
    <w:rsid w:val="007961C2"/>
    <w:rsid w:val="007A412F"/>
    <w:rsid w:val="007A4769"/>
    <w:rsid w:val="007A531C"/>
    <w:rsid w:val="007A73FD"/>
    <w:rsid w:val="007B1F2C"/>
    <w:rsid w:val="007B3DF4"/>
    <w:rsid w:val="007B4139"/>
    <w:rsid w:val="007B543A"/>
    <w:rsid w:val="007B734D"/>
    <w:rsid w:val="007C1168"/>
    <w:rsid w:val="007C186A"/>
    <w:rsid w:val="007C1BBC"/>
    <w:rsid w:val="007C1F0D"/>
    <w:rsid w:val="007C2405"/>
    <w:rsid w:val="007C357E"/>
    <w:rsid w:val="007C49F6"/>
    <w:rsid w:val="007C5E0E"/>
    <w:rsid w:val="007C72D8"/>
    <w:rsid w:val="007C7501"/>
    <w:rsid w:val="007D008C"/>
    <w:rsid w:val="007D19B7"/>
    <w:rsid w:val="007D20FD"/>
    <w:rsid w:val="007D3C66"/>
    <w:rsid w:val="007D431B"/>
    <w:rsid w:val="007D4545"/>
    <w:rsid w:val="007D4D15"/>
    <w:rsid w:val="007E3C40"/>
    <w:rsid w:val="007E41ED"/>
    <w:rsid w:val="007E48AC"/>
    <w:rsid w:val="007E4E5A"/>
    <w:rsid w:val="007E6906"/>
    <w:rsid w:val="007F1237"/>
    <w:rsid w:val="007F3E87"/>
    <w:rsid w:val="007F3F34"/>
    <w:rsid w:val="007F4248"/>
    <w:rsid w:val="007F43D0"/>
    <w:rsid w:val="007F4776"/>
    <w:rsid w:val="007F51E9"/>
    <w:rsid w:val="007F636C"/>
    <w:rsid w:val="007F73E6"/>
    <w:rsid w:val="00802AF8"/>
    <w:rsid w:val="00802D2E"/>
    <w:rsid w:val="00804A6A"/>
    <w:rsid w:val="00811A3D"/>
    <w:rsid w:val="008135CF"/>
    <w:rsid w:val="008141D8"/>
    <w:rsid w:val="008143DE"/>
    <w:rsid w:val="00814CF2"/>
    <w:rsid w:val="00815863"/>
    <w:rsid w:val="00815895"/>
    <w:rsid w:val="00817932"/>
    <w:rsid w:val="00817A26"/>
    <w:rsid w:val="008214BD"/>
    <w:rsid w:val="00822021"/>
    <w:rsid w:val="00824A30"/>
    <w:rsid w:val="00824CE4"/>
    <w:rsid w:val="00825538"/>
    <w:rsid w:val="008255E0"/>
    <w:rsid w:val="00826635"/>
    <w:rsid w:val="008268F3"/>
    <w:rsid w:val="0082723C"/>
    <w:rsid w:val="0082735C"/>
    <w:rsid w:val="0083027C"/>
    <w:rsid w:val="008311E1"/>
    <w:rsid w:val="00831A21"/>
    <w:rsid w:val="00831F13"/>
    <w:rsid w:val="00832FE4"/>
    <w:rsid w:val="008333FA"/>
    <w:rsid w:val="00833BAC"/>
    <w:rsid w:val="008347D4"/>
    <w:rsid w:val="00836FF0"/>
    <w:rsid w:val="008404C0"/>
    <w:rsid w:val="0084136A"/>
    <w:rsid w:val="00843CDD"/>
    <w:rsid w:val="00843F56"/>
    <w:rsid w:val="00844A35"/>
    <w:rsid w:val="008452BD"/>
    <w:rsid w:val="00845948"/>
    <w:rsid w:val="00846345"/>
    <w:rsid w:val="00847FD9"/>
    <w:rsid w:val="00851352"/>
    <w:rsid w:val="00851E0C"/>
    <w:rsid w:val="00851FD4"/>
    <w:rsid w:val="008521A5"/>
    <w:rsid w:val="008536C1"/>
    <w:rsid w:val="00854A9A"/>
    <w:rsid w:val="00854E1D"/>
    <w:rsid w:val="00856D21"/>
    <w:rsid w:val="00857085"/>
    <w:rsid w:val="00857BFF"/>
    <w:rsid w:val="0086072A"/>
    <w:rsid w:val="008607D6"/>
    <w:rsid w:val="008616D1"/>
    <w:rsid w:val="008620E1"/>
    <w:rsid w:val="0086295E"/>
    <w:rsid w:val="008639EF"/>
    <w:rsid w:val="0086609F"/>
    <w:rsid w:val="00867A97"/>
    <w:rsid w:val="0087024F"/>
    <w:rsid w:val="008717F0"/>
    <w:rsid w:val="00871870"/>
    <w:rsid w:val="008730CC"/>
    <w:rsid w:val="0087575E"/>
    <w:rsid w:val="00875874"/>
    <w:rsid w:val="00875DDC"/>
    <w:rsid w:val="0087602E"/>
    <w:rsid w:val="00877B55"/>
    <w:rsid w:val="00880751"/>
    <w:rsid w:val="00880CFF"/>
    <w:rsid w:val="00883CDC"/>
    <w:rsid w:val="00884FEF"/>
    <w:rsid w:val="0088510B"/>
    <w:rsid w:val="00885B4A"/>
    <w:rsid w:val="008867F0"/>
    <w:rsid w:val="008873F3"/>
    <w:rsid w:val="00891064"/>
    <w:rsid w:val="0089114F"/>
    <w:rsid w:val="0089153C"/>
    <w:rsid w:val="00891B76"/>
    <w:rsid w:val="00892637"/>
    <w:rsid w:val="0089267B"/>
    <w:rsid w:val="008938D2"/>
    <w:rsid w:val="00893E36"/>
    <w:rsid w:val="0089591C"/>
    <w:rsid w:val="008960A7"/>
    <w:rsid w:val="008A0515"/>
    <w:rsid w:val="008A0B06"/>
    <w:rsid w:val="008A0C91"/>
    <w:rsid w:val="008A4060"/>
    <w:rsid w:val="008A4F7F"/>
    <w:rsid w:val="008A50B2"/>
    <w:rsid w:val="008A57FB"/>
    <w:rsid w:val="008A7825"/>
    <w:rsid w:val="008A79B2"/>
    <w:rsid w:val="008B0064"/>
    <w:rsid w:val="008B0B5A"/>
    <w:rsid w:val="008B160F"/>
    <w:rsid w:val="008B1F1A"/>
    <w:rsid w:val="008B4B72"/>
    <w:rsid w:val="008B745B"/>
    <w:rsid w:val="008B7494"/>
    <w:rsid w:val="008C039B"/>
    <w:rsid w:val="008C0B2B"/>
    <w:rsid w:val="008C1C0A"/>
    <w:rsid w:val="008C2DFF"/>
    <w:rsid w:val="008C3867"/>
    <w:rsid w:val="008C5887"/>
    <w:rsid w:val="008C61DC"/>
    <w:rsid w:val="008C7BD2"/>
    <w:rsid w:val="008C7E7E"/>
    <w:rsid w:val="008D07D9"/>
    <w:rsid w:val="008D1B75"/>
    <w:rsid w:val="008D47E1"/>
    <w:rsid w:val="008D53BC"/>
    <w:rsid w:val="008D562D"/>
    <w:rsid w:val="008D5E81"/>
    <w:rsid w:val="008D66A4"/>
    <w:rsid w:val="008D6FF1"/>
    <w:rsid w:val="008D7AA2"/>
    <w:rsid w:val="008E00EC"/>
    <w:rsid w:val="008E0B1F"/>
    <w:rsid w:val="008E1073"/>
    <w:rsid w:val="008E1702"/>
    <w:rsid w:val="008E2641"/>
    <w:rsid w:val="008E296F"/>
    <w:rsid w:val="008E2CBB"/>
    <w:rsid w:val="008E2CF0"/>
    <w:rsid w:val="008E3432"/>
    <w:rsid w:val="008E4185"/>
    <w:rsid w:val="008E4305"/>
    <w:rsid w:val="008E4868"/>
    <w:rsid w:val="008E55BB"/>
    <w:rsid w:val="008E6E7E"/>
    <w:rsid w:val="008E717E"/>
    <w:rsid w:val="008F1A47"/>
    <w:rsid w:val="008F1C8A"/>
    <w:rsid w:val="008F76F6"/>
    <w:rsid w:val="008F7D96"/>
    <w:rsid w:val="0090350C"/>
    <w:rsid w:val="00903A65"/>
    <w:rsid w:val="009051C1"/>
    <w:rsid w:val="009056E7"/>
    <w:rsid w:val="00907C44"/>
    <w:rsid w:val="00910A50"/>
    <w:rsid w:val="00911090"/>
    <w:rsid w:val="009111C1"/>
    <w:rsid w:val="0091148F"/>
    <w:rsid w:val="00911747"/>
    <w:rsid w:val="0091296A"/>
    <w:rsid w:val="00914A80"/>
    <w:rsid w:val="00914BBD"/>
    <w:rsid w:val="00915054"/>
    <w:rsid w:val="00916387"/>
    <w:rsid w:val="00916D6B"/>
    <w:rsid w:val="00917068"/>
    <w:rsid w:val="009171F7"/>
    <w:rsid w:val="0092209F"/>
    <w:rsid w:val="0092273D"/>
    <w:rsid w:val="00923AEA"/>
    <w:rsid w:val="00924AD0"/>
    <w:rsid w:val="0092792A"/>
    <w:rsid w:val="00930368"/>
    <w:rsid w:val="0093394B"/>
    <w:rsid w:val="00936356"/>
    <w:rsid w:val="0094004B"/>
    <w:rsid w:val="00944796"/>
    <w:rsid w:val="00944D14"/>
    <w:rsid w:val="00946026"/>
    <w:rsid w:val="00947FFA"/>
    <w:rsid w:val="00950D5E"/>
    <w:rsid w:val="009512AB"/>
    <w:rsid w:val="00951A3C"/>
    <w:rsid w:val="00951E96"/>
    <w:rsid w:val="0095359B"/>
    <w:rsid w:val="00955214"/>
    <w:rsid w:val="009560FF"/>
    <w:rsid w:val="00956C2F"/>
    <w:rsid w:val="00957B53"/>
    <w:rsid w:val="00963478"/>
    <w:rsid w:val="00963A73"/>
    <w:rsid w:val="0096460C"/>
    <w:rsid w:val="00965D51"/>
    <w:rsid w:val="00967F74"/>
    <w:rsid w:val="00970049"/>
    <w:rsid w:val="009705D1"/>
    <w:rsid w:val="0097067E"/>
    <w:rsid w:val="00970689"/>
    <w:rsid w:val="00970910"/>
    <w:rsid w:val="00970917"/>
    <w:rsid w:val="009716DB"/>
    <w:rsid w:val="00971BB2"/>
    <w:rsid w:val="00972657"/>
    <w:rsid w:val="00972901"/>
    <w:rsid w:val="0097320A"/>
    <w:rsid w:val="0097376D"/>
    <w:rsid w:val="00973B0A"/>
    <w:rsid w:val="009748AB"/>
    <w:rsid w:val="00975394"/>
    <w:rsid w:val="0097562F"/>
    <w:rsid w:val="00975670"/>
    <w:rsid w:val="00980084"/>
    <w:rsid w:val="00980840"/>
    <w:rsid w:val="009808A9"/>
    <w:rsid w:val="00984013"/>
    <w:rsid w:val="00984797"/>
    <w:rsid w:val="00984896"/>
    <w:rsid w:val="009851D6"/>
    <w:rsid w:val="0098740A"/>
    <w:rsid w:val="00987856"/>
    <w:rsid w:val="00987E62"/>
    <w:rsid w:val="0099041F"/>
    <w:rsid w:val="009917AC"/>
    <w:rsid w:val="00991CAD"/>
    <w:rsid w:val="0099339E"/>
    <w:rsid w:val="00993F36"/>
    <w:rsid w:val="00994189"/>
    <w:rsid w:val="009941B1"/>
    <w:rsid w:val="00994D32"/>
    <w:rsid w:val="00996E01"/>
    <w:rsid w:val="009A1077"/>
    <w:rsid w:val="009A1351"/>
    <w:rsid w:val="009A5047"/>
    <w:rsid w:val="009A5A2E"/>
    <w:rsid w:val="009A783F"/>
    <w:rsid w:val="009B07D7"/>
    <w:rsid w:val="009B0AAA"/>
    <w:rsid w:val="009B17C1"/>
    <w:rsid w:val="009B20A6"/>
    <w:rsid w:val="009B27B9"/>
    <w:rsid w:val="009B4363"/>
    <w:rsid w:val="009B4403"/>
    <w:rsid w:val="009C03DE"/>
    <w:rsid w:val="009C03E3"/>
    <w:rsid w:val="009C19B0"/>
    <w:rsid w:val="009C2263"/>
    <w:rsid w:val="009C6CFD"/>
    <w:rsid w:val="009C7103"/>
    <w:rsid w:val="009C73D8"/>
    <w:rsid w:val="009D068A"/>
    <w:rsid w:val="009D0A4D"/>
    <w:rsid w:val="009D16A1"/>
    <w:rsid w:val="009D2678"/>
    <w:rsid w:val="009D29E6"/>
    <w:rsid w:val="009D36F4"/>
    <w:rsid w:val="009E0451"/>
    <w:rsid w:val="009E2FEC"/>
    <w:rsid w:val="009E4550"/>
    <w:rsid w:val="009E5166"/>
    <w:rsid w:val="009E6776"/>
    <w:rsid w:val="009E6A6D"/>
    <w:rsid w:val="009F01CE"/>
    <w:rsid w:val="009F0BF3"/>
    <w:rsid w:val="009F0D7B"/>
    <w:rsid w:val="009F11EC"/>
    <w:rsid w:val="009F2787"/>
    <w:rsid w:val="009F281A"/>
    <w:rsid w:val="009F2956"/>
    <w:rsid w:val="009F3C9E"/>
    <w:rsid w:val="009F4F4F"/>
    <w:rsid w:val="009F5D05"/>
    <w:rsid w:val="009F636A"/>
    <w:rsid w:val="009F6A0B"/>
    <w:rsid w:val="009F7C7C"/>
    <w:rsid w:val="00A00D56"/>
    <w:rsid w:val="00A018C3"/>
    <w:rsid w:val="00A01F96"/>
    <w:rsid w:val="00A0295A"/>
    <w:rsid w:val="00A04DE5"/>
    <w:rsid w:val="00A05156"/>
    <w:rsid w:val="00A0536D"/>
    <w:rsid w:val="00A05CE6"/>
    <w:rsid w:val="00A06197"/>
    <w:rsid w:val="00A11979"/>
    <w:rsid w:val="00A12757"/>
    <w:rsid w:val="00A1304D"/>
    <w:rsid w:val="00A135B5"/>
    <w:rsid w:val="00A139F6"/>
    <w:rsid w:val="00A14185"/>
    <w:rsid w:val="00A1470A"/>
    <w:rsid w:val="00A171BF"/>
    <w:rsid w:val="00A174C7"/>
    <w:rsid w:val="00A1780F"/>
    <w:rsid w:val="00A20D07"/>
    <w:rsid w:val="00A215C5"/>
    <w:rsid w:val="00A21DAB"/>
    <w:rsid w:val="00A2240A"/>
    <w:rsid w:val="00A22C90"/>
    <w:rsid w:val="00A22C97"/>
    <w:rsid w:val="00A22FAF"/>
    <w:rsid w:val="00A246E7"/>
    <w:rsid w:val="00A262B7"/>
    <w:rsid w:val="00A266BC"/>
    <w:rsid w:val="00A276D8"/>
    <w:rsid w:val="00A30BF7"/>
    <w:rsid w:val="00A316A3"/>
    <w:rsid w:val="00A317B7"/>
    <w:rsid w:val="00A31888"/>
    <w:rsid w:val="00A318BF"/>
    <w:rsid w:val="00A31FCB"/>
    <w:rsid w:val="00A32183"/>
    <w:rsid w:val="00A331CA"/>
    <w:rsid w:val="00A34EA7"/>
    <w:rsid w:val="00A35B2F"/>
    <w:rsid w:val="00A36AEA"/>
    <w:rsid w:val="00A36B62"/>
    <w:rsid w:val="00A40AF4"/>
    <w:rsid w:val="00A4364C"/>
    <w:rsid w:val="00A438B2"/>
    <w:rsid w:val="00A448FE"/>
    <w:rsid w:val="00A449A7"/>
    <w:rsid w:val="00A4607C"/>
    <w:rsid w:val="00A5013E"/>
    <w:rsid w:val="00A51A6D"/>
    <w:rsid w:val="00A52B06"/>
    <w:rsid w:val="00A5425A"/>
    <w:rsid w:val="00A555BA"/>
    <w:rsid w:val="00A55D52"/>
    <w:rsid w:val="00A60986"/>
    <w:rsid w:val="00A60B6B"/>
    <w:rsid w:val="00A627A5"/>
    <w:rsid w:val="00A62BE0"/>
    <w:rsid w:val="00A63F00"/>
    <w:rsid w:val="00A6404B"/>
    <w:rsid w:val="00A64235"/>
    <w:rsid w:val="00A66956"/>
    <w:rsid w:val="00A67D32"/>
    <w:rsid w:val="00A70C3F"/>
    <w:rsid w:val="00A71137"/>
    <w:rsid w:val="00A720CF"/>
    <w:rsid w:val="00A73E24"/>
    <w:rsid w:val="00A748B6"/>
    <w:rsid w:val="00A74D6E"/>
    <w:rsid w:val="00A752D6"/>
    <w:rsid w:val="00A7543B"/>
    <w:rsid w:val="00A758CD"/>
    <w:rsid w:val="00A77AF7"/>
    <w:rsid w:val="00A77BF8"/>
    <w:rsid w:val="00A77C63"/>
    <w:rsid w:val="00A8310B"/>
    <w:rsid w:val="00A843A1"/>
    <w:rsid w:val="00A85038"/>
    <w:rsid w:val="00A86D77"/>
    <w:rsid w:val="00A87013"/>
    <w:rsid w:val="00A910C8"/>
    <w:rsid w:val="00A91302"/>
    <w:rsid w:val="00A93079"/>
    <w:rsid w:val="00A935C9"/>
    <w:rsid w:val="00A945DE"/>
    <w:rsid w:val="00A9583E"/>
    <w:rsid w:val="00A97224"/>
    <w:rsid w:val="00AA07F2"/>
    <w:rsid w:val="00AA0E45"/>
    <w:rsid w:val="00AA2C2F"/>
    <w:rsid w:val="00AA4536"/>
    <w:rsid w:val="00AA491C"/>
    <w:rsid w:val="00AA498D"/>
    <w:rsid w:val="00AA5240"/>
    <w:rsid w:val="00AB152B"/>
    <w:rsid w:val="00AB1563"/>
    <w:rsid w:val="00AB35AB"/>
    <w:rsid w:val="00AB379A"/>
    <w:rsid w:val="00AB3E95"/>
    <w:rsid w:val="00AB41CA"/>
    <w:rsid w:val="00AB544C"/>
    <w:rsid w:val="00AB5BCC"/>
    <w:rsid w:val="00AB5C1B"/>
    <w:rsid w:val="00AB6A86"/>
    <w:rsid w:val="00AB78EF"/>
    <w:rsid w:val="00AC0616"/>
    <w:rsid w:val="00AC0A0D"/>
    <w:rsid w:val="00AC0B1C"/>
    <w:rsid w:val="00AC0D6A"/>
    <w:rsid w:val="00AC16EC"/>
    <w:rsid w:val="00AC3641"/>
    <w:rsid w:val="00AC4A00"/>
    <w:rsid w:val="00AC510F"/>
    <w:rsid w:val="00AC55E9"/>
    <w:rsid w:val="00AC70D2"/>
    <w:rsid w:val="00AD0179"/>
    <w:rsid w:val="00AD320A"/>
    <w:rsid w:val="00AD342C"/>
    <w:rsid w:val="00AD3CAD"/>
    <w:rsid w:val="00AD4DB5"/>
    <w:rsid w:val="00AD50C6"/>
    <w:rsid w:val="00AD621A"/>
    <w:rsid w:val="00AD781C"/>
    <w:rsid w:val="00AE1DD0"/>
    <w:rsid w:val="00AE25A3"/>
    <w:rsid w:val="00AE4F04"/>
    <w:rsid w:val="00AE5E60"/>
    <w:rsid w:val="00AF3697"/>
    <w:rsid w:val="00AF7F80"/>
    <w:rsid w:val="00B02DE5"/>
    <w:rsid w:val="00B07508"/>
    <w:rsid w:val="00B07950"/>
    <w:rsid w:val="00B105D1"/>
    <w:rsid w:val="00B115F3"/>
    <w:rsid w:val="00B13C1C"/>
    <w:rsid w:val="00B150DA"/>
    <w:rsid w:val="00B15196"/>
    <w:rsid w:val="00B15372"/>
    <w:rsid w:val="00B16408"/>
    <w:rsid w:val="00B16633"/>
    <w:rsid w:val="00B16680"/>
    <w:rsid w:val="00B17063"/>
    <w:rsid w:val="00B17082"/>
    <w:rsid w:val="00B17A68"/>
    <w:rsid w:val="00B20285"/>
    <w:rsid w:val="00B221BB"/>
    <w:rsid w:val="00B22D6C"/>
    <w:rsid w:val="00B2494E"/>
    <w:rsid w:val="00B24B56"/>
    <w:rsid w:val="00B251A1"/>
    <w:rsid w:val="00B26AF5"/>
    <w:rsid w:val="00B30BB9"/>
    <w:rsid w:val="00B30C94"/>
    <w:rsid w:val="00B31021"/>
    <w:rsid w:val="00B32574"/>
    <w:rsid w:val="00B33028"/>
    <w:rsid w:val="00B33D72"/>
    <w:rsid w:val="00B34595"/>
    <w:rsid w:val="00B35A5A"/>
    <w:rsid w:val="00B369D4"/>
    <w:rsid w:val="00B420FE"/>
    <w:rsid w:val="00B4451C"/>
    <w:rsid w:val="00B4610A"/>
    <w:rsid w:val="00B46E2E"/>
    <w:rsid w:val="00B50F6F"/>
    <w:rsid w:val="00B5265D"/>
    <w:rsid w:val="00B52A43"/>
    <w:rsid w:val="00B52C07"/>
    <w:rsid w:val="00B5327F"/>
    <w:rsid w:val="00B5433B"/>
    <w:rsid w:val="00B54C4E"/>
    <w:rsid w:val="00B5569B"/>
    <w:rsid w:val="00B56CCA"/>
    <w:rsid w:val="00B57392"/>
    <w:rsid w:val="00B63817"/>
    <w:rsid w:val="00B65841"/>
    <w:rsid w:val="00B65DCE"/>
    <w:rsid w:val="00B65FE9"/>
    <w:rsid w:val="00B6734B"/>
    <w:rsid w:val="00B67BD9"/>
    <w:rsid w:val="00B717BC"/>
    <w:rsid w:val="00B722C6"/>
    <w:rsid w:val="00B733B5"/>
    <w:rsid w:val="00B75F76"/>
    <w:rsid w:val="00B76399"/>
    <w:rsid w:val="00B76FBE"/>
    <w:rsid w:val="00B77B0E"/>
    <w:rsid w:val="00B77E09"/>
    <w:rsid w:val="00B8191B"/>
    <w:rsid w:val="00B82573"/>
    <w:rsid w:val="00B828D1"/>
    <w:rsid w:val="00B82C8F"/>
    <w:rsid w:val="00B82DE0"/>
    <w:rsid w:val="00B83D21"/>
    <w:rsid w:val="00B843E0"/>
    <w:rsid w:val="00B84AEA"/>
    <w:rsid w:val="00B84B15"/>
    <w:rsid w:val="00B84EC5"/>
    <w:rsid w:val="00B85B86"/>
    <w:rsid w:val="00B864DC"/>
    <w:rsid w:val="00B909F5"/>
    <w:rsid w:val="00B912E4"/>
    <w:rsid w:val="00B91E9B"/>
    <w:rsid w:val="00B9297E"/>
    <w:rsid w:val="00B93A41"/>
    <w:rsid w:val="00B94E39"/>
    <w:rsid w:val="00B95C17"/>
    <w:rsid w:val="00BA0A0E"/>
    <w:rsid w:val="00BA18F6"/>
    <w:rsid w:val="00BA2BC7"/>
    <w:rsid w:val="00BA3DE8"/>
    <w:rsid w:val="00BA42D3"/>
    <w:rsid w:val="00BA56A4"/>
    <w:rsid w:val="00BA5BB0"/>
    <w:rsid w:val="00BA6552"/>
    <w:rsid w:val="00BA6A21"/>
    <w:rsid w:val="00BA762F"/>
    <w:rsid w:val="00BB1178"/>
    <w:rsid w:val="00BB14C0"/>
    <w:rsid w:val="00BB43DE"/>
    <w:rsid w:val="00BB5507"/>
    <w:rsid w:val="00BB567C"/>
    <w:rsid w:val="00BC211D"/>
    <w:rsid w:val="00BC21E0"/>
    <w:rsid w:val="00BC231A"/>
    <w:rsid w:val="00BC2EC1"/>
    <w:rsid w:val="00BC39AD"/>
    <w:rsid w:val="00BC44E4"/>
    <w:rsid w:val="00BC723C"/>
    <w:rsid w:val="00BD0A91"/>
    <w:rsid w:val="00BD0FD2"/>
    <w:rsid w:val="00BD50C3"/>
    <w:rsid w:val="00BD5157"/>
    <w:rsid w:val="00BD6876"/>
    <w:rsid w:val="00BD6E95"/>
    <w:rsid w:val="00BD737F"/>
    <w:rsid w:val="00BE052B"/>
    <w:rsid w:val="00BE07F0"/>
    <w:rsid w:val="00BE2E32"/>
    <w:rsid w:val="00BE36A4"/>
    <w:rsid w:val="00BE3DA6"/>
    <w:rsid w:val="00BE3F55"/>
    <w:rsid w:val="00BE5CFA"/>
    <w:rsid w:val="00BE5F07"/>
    <w:rsid w:val="00BE63AF"/>
    <w:rsid w:val="00BE7364"/>
    <w:rsid w:val="00BE7A8E"/>
    <w:rsid w:val="00BE7FB4"/>
    <w:rsid w:val="00BF0C3A"/>
    <w:rsid w:val="00BF16A9"/>
    <w:rsid w:val="00BF19D7"/>
    <w:rsid w:val="00BF1A74"/>
    <w:rsid w:val="00BF3125"/>
    <w:rsid w:val="00BF36BD"/>
    <w:rsid w:val="00BF4652"/>
    <w:rsid w:val="00BF4A90"/>
    <w:rsid w:val="00BF55F7"/>
    <w:rsid w:val="00BF5D3D"/>
    <w:rsid w:val="00BF6369"/>
    <w:rsid w:val="00BF6E0E"/>
    <w:rsid w:val="00BF74DB"/>
    <w:rsid w:val="00BF77CB"/>
    <w:rsid w:val="00BF7C0F"/>
    <w:rsid w:val="00C013B2"/>
    <w:rsid w:val="00C038CA"/>
    <w:rsid w:val="00C04019"/>
    <w:rsid w:val="00C041D6"/>
    <w:rsid w:val="00C05328"/>
    <w:rsid w:val="00C0754D"/>
    <w:rsid w:val="00C07E00"/>
    <w:rsid w:val="00C10B76"/>
    <w:rsid w:val="00C11878"/>
    <w:rsid w:val="00C122B2"/>
    <w:rsid w:val="00C1413A"/>
    <w:rsid w:val="00C14BE0"/>
    <w:rsid w:val="00C1768B"/>
    <w:rsid w:val="00C20818"/>
    <w:rsid w:val="00C22307"/>
    <w:rsid w:val="00C223C9"/>
    <w:rsid w:val="00C22AB2"/>
    <w:rsid w:val="00C231BF"/>
    <w:rsid w:val="00C2325B"/>
    <w:rsid w:val="00C23489"/>
    <w:rsid w:val="00C24D24"/>
    <w:rsid w:val="00C24E92"/>
    <w:rsid w:val="00C24FD8"/>
    <w:rsid w:val="00C2626C"/>
    <w:rsid w:val="00C26E3D"/>
    <w:rsid w:val="00C30072"/>
    <w:rsid w:val="00C30760"/>
    <w:rsid w:val="00C30BA5"/>
    <w:rsid w:val="00C31700"/>
    <w:rsid w:val="00C3174D"/>
    <w:rsid w:val="00C32994"/>
    <w:rsid w:val="00C32FED"/>
    <w:rsid w:val="00C339B7"/>
    <w:rsid w:val="00C33B7E"/>
    <w:rsid w:val="00C34455"/>
    <w:rsid w:val="00C34D62"/>
    <w:rsid w:val="00C3588C"/>
    <w:rsid w:val="00C36682"/>
    <w:rsid w:val="00C36A40"/>
    <w:rsid w:val="00C373A5"/>
    <w:rsid w:val="00C37A28"/>
    <w:rsid w:val="00C403D5"/>
    <w:rsid w:val="00C40668"/>
    <w:rsid w:val="00C40B71"/>
    <w:rsid w:val="00C41209"/>
    <w:rsid w:val="00C41431"/>
    <w:rsid w:val="00C42453"/>
    <w:rsid w:val="00C42DC9"/>
    <w:rsid w:val="00C4303A"/>
    <w:rsid w:val="00C430F9"/>
    <w:rsid w:val="00C43512"/>
    <w:rsid w:val="00C43948"/>
    <w:rsid w:val="00C443D2"/>
    <w:rsid w:val="00C4444F"/>
    <w:rsid w:val="00C45B6B"/>
    <w:rsid w:val="00C45C99"/>
    <w:rsid w:val="00C45DAD"/>
    <w:rsid w:val="00C465B4"/>
    <w:rsid w:val="00C46CCD"/>
    <w:rsid w:val="00C47163"/>
    <w:rsid w:val="00C47447"/>
    <w:rsid w:val="00C50E79"/>
    <w:rsid w:val="00C51B3C"/>
    <w:rsid w:val="00C52C7A"/>
    <w:rsid w:val="00C52DAE"/>
    <w:rsid w:val="00C5325E"/>
    <w:rsid w:val="00C5364C"/>
    <w:rsid w:val="00C537F2"/>
    <w:rsid w:val="00C5495B"/>
    <w:rsid w:val="00C559B2"/>
    <w:rsid w:val="00C576D5"/>
    <w:rsid w:val="00C57EE7"/>
    <w:rsid w:val="00C615B1"/>
    <w:rsid w:val="00C62A20"/>
    <w:rsid w:val="00C62EEB"/>
    <w:rsid w:val="00C6333F"/>
    <w:rsid w:val="00C64808"/>
    <w:rsid w:val="00C679E5"/>
    <w:rsid w:val="00C70522"/>
    <w:rsid w:val="00C70A86"/>
    <w:rsid w:val="00C72137"/>
    <w:rsid w:val="00C73B25"/>
    <w:rsid w:val="00C752B1"/>
    <w:rsid w:val="00C75331"/>
    <w:rsid w:val="00C7770A"/>
    <w:rsid w:val="00C77D37"/>
    <w:rsid w:val="00C80D1C"/>
    <w:rsid w:val="00C80DD9"/>
    <w:rsid w:val="00C80EA1"/>
    <w:rsid w:val="00C811E7"/>
    <w:rsid w:val="00C81F08"/>
    <w:rsid w:val="00C82332"/>
    <w:rsid w:val="00C85CFD"/>
    <w:rsid w:val="00C85E2A"/>
    <w:rsid w:val="00C85EAC"/>
    <w:rsid w:val="00C8628E"/>
    <w:rsid w:val="00C8744C"/>
    <w:rsid w:val="00C904C4"/>
    <w:rsid w:val="00C911C3"/>
    <w:rsid w:val="00C918AF"/>
    <w:rsid w:val="00C91D10"/>
    <w:rsid w:val="00C91D44"/>
    <w:rsid w:val="00C943E9"/>
    <w:rsid w:val="00C944AF"/>
    <w:rsid w:val="00C960FF"/>
    <w:rsid w:val="00CA1640"/>
    <w:rsid w:val="00CA26AF"/>
    <w:rsid w:val="00CA3C0D"/>
    <w:rsid w:val="00CA6B8F"/>
    <w:rsid w:val="00CA6BD2"/>
    <w:rsid w:val="00CB0507"/>
    <w:rsid w:val="00CB105A"/>
    <w:rsid w:val="00CB13B7"/>
    <w:rsid w:val="00CB213D"/>
    <w:rsid w:val="00CB2C2D"/>
    <w:rsid w:val="00CB3299"/>
    <w:rsid w:val="00CB3424"/>
    <w:rsid w:val="00CB387B"/>
    <w:rsid w:val="00CB4738"/>
    <w:rsid w:val="00CB4BF4"/>
    <w:rsid w:val="00CB5171"/>
    <w:rsid w:val="00CB6537"/>
    <w:rsid w:val="00CB6697"/>
    <w:rsid w:val="00CC142E"/>
    <w:rsid w:val="00CC158D"/>
    <w:rsid w:val="00CC1AA7"/>
    <w:rsid w:val="00CC1D77"/>
    <w:rsid w:val="00CC2E18"/>
    <w:rsid w:val="00CC372F"/>
    <w:rsid w:val="00CC40E9"/>
    <w:rsid w:val="00CC4683"/>
    <w:rsid w:val="00CC591E"/>
    <w:rsid w:val="00CC773D"/>
    <w:rsid w:val="00CD0180"/>
    <w:rsid w:val="00CD0CF3"/>
    <w:rsid w:val="00CD0FD8"/>
    <w:rsid w:val="00CD299A"/>
    <w:rsid w:val="00CD4763"/>
    <w:rsid w:val="00CD527D"/>
    <w:rsid w:val="00CD5910"/>
    <w:rsid w:val="00CD59D2"/>
    <w:rsid w:val="00CD60AB"/>
    <w:rsid w:val="00CD723A"/>
    <w:rsid w:val="00CE10EB"/>
    <w:rsid w:val="00CE145E"/>
    <w:rsid w:val="00CE1C58"/>
    <w:rsid w:val="00CE1FDE"/>
    <w:rsid w:val="00CE251A"/>
    <w:rsid w:val="00CE2857"/>
    <w:rsid w:val="00CE4DB5"/>
    <w:rsid w:val="00CE6563"/>
    <w:rsid w:val="00CE6572"/>
    <w:rsid w:val="00CE6B64"/>
    <w:rsid w:val="00CE7A02"/>
    <w:rsid w:val="00CE7AD7"/>
    <w:rsid w:val="00CE7E51"/>
    <w:rsid w:val="00CF0800"/>
    <w:rsid w:val="00CF11C8"/>
    <w:rsid w:val="00CF1940"/>
    <w:rsid w:val="00CF26F6"/>
    <w:rsid w:val="00CF2D0D"/>
    <w:rsid w:val="00CF2FD6"/>
    <w:rsid w:val="00CF33FA"/>
    <w:rsid w:val="00CF554C"/>
    <w:rsid w:val="00CF55C5"/>
    <w:rsid w:val="00CF5B62"/>
    <w:rsid w:val="00CF5D62"/>
    <w:rsid w:val="00CF64AF"/>
    <w:rsid w:val="00CF657B"/>
    <w:rsid w:val="00CF72E9"/>
    <w:rsid w:val="00D00962"/>
    <w:rsid w:val="00D02801"/>
    <w:rsid w:val="00D03A24"/>
    <w:rsid w:val="00D04566"/>
    <w:rsid w:val="00D04931"/>
    <w:rsid w:val="00D04D5F"/>
    <w:rsid w:val="00D0618B"/>
    <w:rsid w:val="00D06C86"/>
    <w:rsid w:val="00D07477"/>
    <w:rsid w:val="00D102AE"/>
    <w:rsid w:val="00D13EA1"/>
    <w:rsid w:val="00D14ADA"/>
    <w:rsid w:val="00D152DD"/>
    <w:rsid w:val="00D16E4E"/>
    <w:rsid w:val="00D17081"/>
    <w:rsid w:val="00D2261D"/>
    <w:rsid w:val="00D2278E"/>
    <w:rsid w:val="00D2318C"/>
    <w:rsid w:val="00D23DCC"/>
    <w:rsid w:val="00D25125"/>
    <w:rsid w:val="00D254C1"/>
    <w:rsid w:val="00D31329"/>
    <w:rsid w:val="00D3212F"/>
    <w:rsid w:val="00D32A63"/>
    <w:rsid w:val="00D352DC"/>
    <w:rsid w:val="00D354C8"/>
    <w:rsid w:val="00D355AD"/>
    <w:rsid w:val="00D36BEB"/>
    <w:rsid w:val="00D374EC"/>
    <w:rsid w:val="00D374FA"/>
    <w:rsid w:val="00D37E3D"/>
    <w:rsid w:val="00D40232"/>
    <w:rsid w:val="00D41812"/>
    <w:rsid w:val="00D42237"/>
    <w:rsid w:val="00D44BE6"/>
    <w:rsid w:val="00D45752"/>
    <w:rsid w:val="00D45CCC"/>
    <w:rsid w:val="00D51AAF"/>
    <w:rsid w:val="00D52A1E"/>
    <w:rsid w:val="00D52D4C"/>
    <w:rsid w:val="00D53F1E"/>
    <w:rsid w:val="00D55B96"/>
    <w:rsid w:val="00D560FF"/>
    <w:rsid w:val="00D56A99"/>
    <w:rsid w:val="00D576A7"/>
    <w:rsid w:val="00D57A20"/>
    <w:rsid w:val="00D57F3F"/>
    <w:rsid w:val="00D60181"/>
    <w:rsid w:val="00D602E8"/>
    <w:rsid w:val="00D60827"/>
    <w:rsid w:val="00D61A64"/>
    <w:rsid w:val="00D61EAF"/>
    <w:rsid w:val="00D61FA6"/>
    <w:rsid w:val="00D63D76"/>
    <w:rsid w:val="00D66265"/>
    <w:rsid w:val="00D6642D"/>
    <w:rsid w:val="00D67ED4"/>
    <w:rsid w:val="00D70814"/>
    <w:rsid w:val="00D72427"/>
    <w:rsid w:val="00D7363A"/>
    <w:rsid w:val="00D73A1F"/>
    <w:rsid w:val="00D73CD7"/>
    <w:rsid w:val="00D7418F"/>
    <w:rsid w:val="00D75710"/>
    <w:rsid w:val="00D7672D"/>
    <w:rsid w:val="00D76916"/>
    <w:rsid w:val="00D80863"/>
    <w:rsid w:val="00D811EB"/>
    <w:rsid w:val="00D83186"/>
    <w:rsid w:val="00D84834"/>
    <w:rsid w:val="00D84FA1"/>
    <w:rsid w:val="00D858DE"/>
    <w:rsid w:val="00D85C35"/>
    <w:rsid w:val="00D86818"/>
    <w:rsid w:val="00D8720A"/>
    <w:rsid w:val="00D87E35"/>
    <w:rsid w:val="00D9146E"/>
    <w:rsid w:val="00D92EE1"/>
    <w:rsid w:val="00D95A7E"/>
    <w:rsid w:val="00D96188"/>
    <w:rsid w:val="00D968F7"/>
    <w:rsid w:val="00D97333"/>
    <w:rsid w:val="00D9757C"/>
    <w:rsid w:val="00DA031C"/>
    <w:rsid w:val="00DA1C51"/>
    <w:rsid w:val="00DA235F"/>
    <w:rsid w:val="00DA2D9C"/>
    <w:rsid w:val="00DA3018"/>
    <w:rsid w:val="00DA30D0"/>
    <w:rsid w:val="00DA3357"/>
    <w:rsid w:val="00DA46F6"/>
    <w:rsid w:val="00DA47C7"/>
    <w:rsid w:val="00DA784C"/>
    <w:rsid w:val="00DB061B"/>
    <w:rsid w:val="00DB0BA6"/>
    <w:rsid w:val="00DB1AA7"/>
    <w:rsid w:val="00DB309D"/>
    <w:rsid w:val="00DB3249"/>
    <w:rsid w:val="00DB5148"/>
    <w:rsid w:val="00DB6094"/>
    <w:rsid w:val="00DB61D6"/>
    <w:rsid w:val="00DB70C1"/>
    <w:rsid w:val="00DB7FDF"/>
    <w:rsid w:val="00DC06F5"/>
    <w:rsid w:val="00DC2E6B"/>
    <w:rsid w:val="00DC3317"/>
    <w:rsid w:val="00DC3D39"/>
    <w:rsid w:val="00DC3DB0"/>
    <w:rsid w:val="00DC4EAF"/>
    <w:rsid w:val="00DC51B0"/>
    <w:rsid w:val="00DC5974"/>
    <w:rsid w:val="00DC71E9"/>
    <w:rsid w:val="00DC7864"/>
    <w:rsid w:val="00DD0A38"/>
    <w:rsid w:val="00DD20CC"/>
    <w:rsid w:val="00DD2AD2"/>
    <w:rsid w:val="00DD35C8"/>
    <w:rsid w:val="00DD3E15"/>
    <w:rsid w:val="00DD4AF8"/>
    <w:rsid w:val="00DD4C35"/>
    <w:rsid w:val="00DD7240"/>
    <w:rsid w:val="00DE07A2"/>
    <w:rsid w:val="00DE0845"/>
    <w:rsid w:val="00DE0B23"/>
    <w:rsid w:val="00DE3674"/>
    <w:rsid w:val="00DE39DA"/>
    <w:rsid w:val="00DE4E30"/>
    <w:rsid w:val="00DE754C"/>
    <w:rsid w:val="00DE784D"/>
    <w:rsid w:val="00DF044E"/>
    <w:rsid w:val="00DF0479"/>
    <w:rsid w:val="00DF0DEA"/>
    <w:rsid w:val="00DF1399"/>
    <w:rsid w:val="00DF153E"/>
    <w:rsid w:val="00DF1DBE"/>
    <w:rsid w:val="00DF2923"/>
    <w:rsid w:val="00DF3677"/>
    <w:rsid w:val="00DF4F2A"/>
    <w:rsid w:val="00DF59CC"/>
    <w:rsid w:val="00DF6B06"/>
    <w:rsid w:val="00E012C9"/>
    <w:rsid w:val="00E039A0"/>
    <w:rsid w:val="00E04CFC"/>
    <w:rsid w:val="00E056F2"/>
    <w:rsid w:val="00E05936"/>
    <w:rsid w:val="00E05E0A"/>
    <w:rsid w:val="00E06891"/>
    <w:rsid w:val="00E070FC"/>
    <w:rsid w:val="00E10C15"/>
    <w:rsid w:val="00E11260"/>
    <w:rsid w:val="00E11687"/>
    <w:rsid w:val="00E11EF4"/>
    <w:rsid w:val="00E14943"/>
    <w:rsid w:val="00E15771"/>
    <w:rsid w:val="00E17AD9"/>
    <w:rsid w:val="00E20C74"/>
    <w:rsid w:val="00E214BB"/>
    <w:rsid w:val="00E23F1C"/>
    <w:rsid w:val="00E26A26"/>
    <w:rsid w:val="00E26A46"/>
    <w:rsid w:val="00E26A5E"/>
    <w:rsid w:val="00E26E4D"/>
    <w:rsid w:val="00E306B1"/>
    <w:rsid w:val="00E30739"/>
    <w:rsid w:val="00E315C6"/>
    <w:rsid w:val="00E31BD5"/>
    <w:rsid w:val="00E31E46"/>
    <w:rsid w:val="00E32544"/>
    <w:rsid w:val="00E327F8"/>
    <w:rsid w:val="00E34787"/>
    <w:rsid w:val="00E352F7"/>
    <w:rsid w:val="00E354FF"/>
    <w:rsid w:val="00E366ED"/>
    <w:rsid w:val="00E403B7"/>
    <w:rsid w:val="00E404DD"/>
    <w:rsid w:val="00E40565"/>
    <w:rsid w:val="00E41904"/>
    <w:rsid w:val="00E41E56"/>
    <w:rsid w:val="00E42319"/>
    <w:rsid w:val="00E42375"/>
    <w:rsid w:val="00E42F79"/>
    <w:rsid w:val="00E43DBE"/>
    <w:rsid w:val="00E442A9"/>
    <w:rsid w:val="00E449BB"/>
    <w:rsid w:val="00E45C59"/>
    <w:rsid w:val="00E46E4E"/>
    <w:rsid w:val="00E47509"/>
    <w:rsid w:val="00E50454"/>
    <w:rsid w:val="00E5185E"/>
    <w:rsid w:val="00E5241F"/>
    <w:rsid w:val="00E53306"/>
    <w:rsid w:val="00E53BEB"/>
    <w:rsid w:val="00E54620"/>
    <w:rsid w:val="00E54EC5"/>
    <w:rsid w:val="00E55456"/>
    <w:rsid w:val="00E55E5B"/>
    <w:rsid w:val="00E56677"/>
    <w:rsid w:val="00E5699A"/>
    <w:rsid w:val="00E56CA3"/>
    <w:rsid w:val="00E56CB6"/>
    <w:rsid w:val="00E56D8A"/>
    <w:rsid w:val="00E57492"/>
    <w:rsid w:val="00E575BB"/>
    <w:rsid w:val="00E5790F"/>
    <w:rsid w:val="00E600EC"/>
    <w:rsid w:val="00E601FA"/>
    <w:rsid w:val="00E60D3B"/>
    <w:rsid w:val="00E614E4"/>
    <w:rsid w:val="00E62686"/>
    <w:rsid w:val="00E633BC"/>
    <w:rsid w:val="00E639E7"/>
    <w:rsid w:val="00E64BE1"/>
    <w:rsid w:val="00E650FB"/>
    <w:rsid w:val="00E65636"/>
    <w:rsid w:val="00E65795"/>
    <w:rsid w:val="00E672D5"/>
    <w:rsid w:val="00E675DD"/>
    <w:rsid w:val="00E67CA4"/>
    <w:rsid w:val="00E708AE"/>
    <w:rsid w:val="00E721E8"/>
    <w:rsid w:val="00E7244E"/>
    <w:rsid w:val="00E730C1"/>
    <w:rsid w:val="00E739DC"/>
    <w:rsid w:val="00E757F1"/>
    <w:rsid w:val="00E7684F"/>
    <w:rsid w:val="00E77271"/>
    <w:rsid w:val="00E7767A"/>
    <w:rsid w:val="00E776B3"/>
    <w:rsid w:val="00E77A19"/>
    <w:rsid w:val="00E800C6"/>
    <w:rsid w:val="00E80CC4"/>
    <w:rsid w:val="00E827B0"/>
    <w:rsid w:val="00E8592E"/>
    <w:rsid w:val="00E871B5"/>
    <w:rsid w:val="00E91389"/>
    <w:rsid w:val="00E920F5"/>
    <w:rsid w:val="00E93004"/>
    <w:rsid w:val="00E9304F"/>
    <w:rsid w:val="00E94B2A"/>
    <w:rsid w:val="00E94CCC"/>
    <w:rsid w:val="00E97C76"/>
    <w:rsid w:val="00EA03FB"/>
    <w:rsid w:val="00EA12A7"/>
    <w:rsid w:val="00EA293F"/>
    <w:rsid w:val="00EA2CE5"/>
    <w:rsid w:val="00EA3B60"/>
    <w:rsid w:val="00EA3BD9"/>
    <w:rsid w:val="00EA43F9"/>
    <w:rsid w:val="00EA4672"/>
    <w:rsid w:val="00EA5FD2"/>
    <w:rsid w:val="00EA6819"/>
    <w:rsid w:val="00EA7DCB"/>
    <w:rsid w:val="00EB06DB"/>
    <w:rsid w:val="00EB0970"/>
    <w:rsid w:val="00EB1795"/>
    <w:rsid w:val="00EB1B95"/>
    <w:rsid w:val="00EB2025"/>
    <w:rsid w:val="00EB275D"/>
    <w:rsid w:val="00EB30B1"/>
    <w:rsid w:val="00EB40CD"/>
    <w:rsid w:val="00EB4783"/>
    <w:rsid w:val="00EB52B7"/>
    <w:rsid w:val="00EB555A"/>
    <w:rsid w:val="00EB6917"/>
    <w:rsid w:val="00EB6D9E"/>
    <w:rsid w:val="00EB714A"/>
    <w:rsid w:val="00EB73BF"/>
    <w:rsid w:val="00EC30D6"/>
    <w:rsid w:val="00EC48A2"/>
    <w:rsid w:val="00EC5D4A"/>
    <w:rsid w:val="00EC5F81"/>
    <w:rsid w:val="00EC61E1"/>
    <w:rsid w:val="00EC7476"/>
    <w:rsid w:val="00ED02AA"/>
    <w:rsid w:val="00ED1532"/>
    <w:rsid w:val="00ED1A51"/>
    <w:rsid w:val="00ED2622"/>
    <w:rsid w:val="00ED317E"/>
    <w:rsid w:val="00ED5D1F"/>
    <w:rsid w:val="00ED71C8"/>
    <w:rsid w:val="00ED7A21"/>
    <w:rsid w:val="00EE12DA"/>
    <w:rsid w:val="00EE21F5"/>
    <w:rsid w:val="00EE21FC"/>
    <w:rsid w:val="00EE39CE"/>
    <w:rsid w:val="00EE3CF7"/>
    <w:rsid w:val="00EE4AD7"/>
    <w:rsid w:val="00EE57F8"/>
    <w:rsid w:val="00EF13B0"/>
    <w:rsid w:val="00EF14F8"/>
    <w:rsid w:val="00EF1D87"/>
    <w:rsid w:val="00EF26ED"/>
    <w:rsid w:val="00EF2A7B"/>
    <w:rsid w:val="00EF40D3"/>
    <w:rsid w:val="00EF5A96"/>
    <w:rsid w:val="00EF61EE"/>
    <w:rsid w:val="00EF7B43"/>
    <w:rsid w:val="00F01F5D"/>
    <w:rsid w:val="00F02042"/>
    <w:rsid w:val="00F033B7"/>
    <w:rsid w:val="00F055CD"/>
    <w:rsid w:val="00F05AEE"/>
    <w:rsid w:val="00F05F97"/>
    <w:rsid w:val="00F075BE"/>
    <w:rsid w:val="00F11393"/>
    <w:rsid w:val="00F1370D"/>
    <w:rsid w:val="00F13A79"/>
    <w:rsid w:val="00F13DCF"/>
    <w:rsid w:val="00F14705"/>
    <w:rsid w:val="00F14FBE"/>
    <w:rsid w:val="00F15419"/>
    <w:rsid w:val="00F16228"/>
    <w:rsid w:val="00F16680"/>
    <w:rsid w:val="00F16CA2"/>
    <w:rsid w:val="00F203B9"/>
    <w:rsid w:val="00F205AA"/>
    <w:rsid w:val="00F205F2"/>
    <w:rsid w:val="00F22339"/>
    <w:rsid w:val="00F230F8"/>
    <w:rsid w:val="00F2397A"/>
    <w:rsid w:val="00F243D3"/>
    <w:rsid w:val="00F244F7"/>
    <w:rsid w:val="00F24D1D"/>
    <w:rsid w:val="00F25BE3"/>
    <w:rsid w:val="00F306A6"/>
    <w:rsid w:val="00F307FE"/>
    <w:rsid w:val="00F30FE5"/>
    <w:rsid w:val="00F325DD"/>
    <w:rsid w:val="00F32BD7"/>
    <w:rsid w:val="00F33BF5"/>
    <w:rsid w:val="00F33ED7"/>
    <w:rsid w:val="00F35539"/>
    <w:rsid w:val="00F36769"/>
    <w:rsid w:val="00F37338"/>
    <w:rsid w:val="00F3783E"/>
    <w:rsid w:val="00F4109E"/>
    <w:rsid w:val="00F415C5"/>
    <w:rsid w:val="00F41B76"/>
    <w:rsid w:val="00F433FC"/>
    <w:rsid w:val="00F45873"/>
    <w:rsid w:val="00F4642C"/>
    <w:rsid w:val="00F466DD"/>
    <w:rsid w:val="00F46A6E"/>
    <w:rsid w:val="00F503DE"/>
    <w:rsid w:val="00F50803"/>
    <w:rsid w:val="00F53395"/>
    <w:rsid w:val="00F553BB"/>
    <w:rsid w:val="00F558D0"/>
    <w:rsid w:val="00F56A57"/>
    <w:rsid w:val="00F60506"/>
    <w:rsid w:val="00F61CAD"/>
    <w:rsid w:val="00F62A3B"/>
    <w:rsid w:val="00F62CD5"/>
    <w:rsid w:val="00F63621"/>
    <w:rsid w:val="00F65A65"/>
    <w:rsid w:val="00F65E30"/>
    <w:rsid w:val="00F66D1E"/>
    <w:rsid w:val="00F70069"/>
    <w:rsid w:val="00F70305"/>
    <w:rsid w:val="00F70669"/>
    <w:rsid w:val="00F70887"/>
    <w:rsid w:val="00F71590"/>
    <w:rsid w:val="00F71D5A"/>
    <w:rsid w:val="00F7239C"/>
    <w:rsid w:val="00F726D2"/>
    <w:rsid w:val="00F74BE7"/>
    <w:rsid w:val="00F75A35"/>
    <w:rsid w:val="00F76A94"/>
    <w:rsid w:val="00F77F9B"/>
    <w:rsid w:val="00F808FA"/>
    <w:rsid w:val="00F80F47"/>
    <w:rsid w:val="00F81BC9"/>
    <w:rsid w:val="00F82A26"/>
    <w:rsid w:val="00F84BEF"/>
    <w:rsid w:val="00F84C68"/>
    <w:rsid w:val="00F84D80"/>
    <w:rsid w:val="00F90162"/>
    <w:rsid w:val="00F9060E"/>
    <w:rsid w:val="00F91424"/>
    <w:rsid w:val="00F948AF"/>
    <w:rsid w:val="00F96FBC"/>
    <w:rsid w:val="00F97E2A"/>
    <w:rsid w:val="00FA0E2A"/>
    <w:rsid w:val="00FA104D"/>
    <w:rsid w:val="00FA1BC6"/>
    <w:rsid w:val="00FA24AD"/>
    <w:rsid w:val="00FA3644"/>
    <w:rsid w:val="00FA4057"/>
    <w:rsid w:val="00FA41FD"/>
    <w:rsid w:val="00FA4592"/>
    <w:rsid w:val="00FA4CBF"/>
    <w:rsid w:val="00FA5427"/>
    <w:rsid w:val="00FA7A31"/>
    <w:rsid w:val="00FB2D8D"/>
    <w:rsid w:val="00FB2DCE"/>
    <w:rsid w:val="00FB3FB6"/>
    <w:rsid w:val="00FB4934"/>
    <w:rsid w:val="00FB4DCB"/>
    <w:rsid w:val="00FB5654"/>
    <w:rsid w:val="00FB6BA1"/>
    <w:rsid w:val="00FB7293"/>
    <w:rsid w:val="00FC0803"/>
    <w:rsid w:val="00FC0A93"/>
    <w:rsid w:val="00FC2FA9"/>
    <w:rsid w:val="00FC415E"/>
    <w:rsid w:val="00FC429D"/>
    <w:rsid w:val="00FC4424"/>
    <w:rsid w:val="00FC4810"/>
    <w:rsid w:val="00FC4E8E"/>
    <w:rsid w:val="00FC51D7"/>
    <w:rsid w:val="00FC55EA"/>
    <w:rsid w:val="00FC6DCD"/>
    <w:rsid w:val="00FC6E56"/>
    <w:rsid w:val="00FC7256"/>
    <w:rsid w:val="00FC7763"/>
    <w:rsid w:val="00FD0565"/>
    <w:rsid w:val="00FD0ADE"/>
    <w:rsid w:val="00FD0EB4"/>
    <w:rsid w:val="00FD101C"/>
    <w:rsid w:val="00FD1288"/>
    <w:rsid w:val="00FD2C95"/>
    <w:rsid w:val="00FD4B57"/>
    <w:rsid w:val="00FD573E"/>
    <w:rsid w:val="00FD5A11"/>
    <w:rsid w:val="00FD686C"/>
    <w:rsid w:val="00FE4C50"/>
    <w:rsid w:val="00FE4E37"/>
    <w:rsid w:val="00FE5E15"/>
    <w:rsid w:val="00FE6042"/>
    <w:rsid w:val="00FE68A4"/>
    <w:rsid w:val="00FF0769"/>
    <w:rsid w:val="00FF29C1"/>
    <w:rsid w:val="00FF3171"/>
    <w:rsid w:val="00FF383F"/>
    <w:rsid w:val="00FF3DC6"/>
    <w:rsid w:val="00FF7FD1"/>
    <w:rsid w:val="01371AF7"/>
    <w:rsid w:val="013E0214"/>
    <w:rsid w:val="0164371C"/>
    <w:rsid w:val="01743B9B"/>
    <w:rsid w:val="01BB15D5"/>
    <w:rsid w:val="01CC5128"/>
    <w:rsid w:val="01D17056"/>
    <w:rsid w:val="020E6DA4"/>
    <w:rsid w:val="021C7FB9"/>
    <w:rsid w:val="02345166"/>
    <w:rsid w:val="02637D40"/>
    <w:rsid w:val="02A76688"/>
    <w:rsid w:val="02B96468"/>
    <w:rsid w:val="02BF4A0E"/>
    <w:rsid w:val="02D60769"/>
    <w:rsid w:val="031B2C7F"/>
    <w:rsid w:val="032A5BA6"/>
    <w:rsid w:val="032E3517"/>
    <w:rsid w:val="033E114D"/>
    <w:rsid w:val="038A3F41"/>
    <w:rsid w:val="03BC79FB"/>
    <w:rsid w:val="03DD3D76"/>
    <w:rsid w:val="0449126B"/>
    <w:rsid w:val="04632246"/>
    <w:rsid w:val="046B7683"/>
    <w:rsid w:val="050F55FB"/>
    <w:rsid w:val="05417984"/>
    <w:rsid w:val="05862D22"/>
    <w:rsid w:val="05B42B25"/>
    <w:rsid w:val="05B922DB"/>
    <w:rsid w:val="05EA1509"/>
    <w:rsid w:val="05FB397B"/>
    <w:rsid w:val="06304C93"/>
    <w:rsid w:val="067427D9"/>
    <w:rsid w:val="067859F7"/>
    <w:rsid w:val="0735221B"/>
    <w:rsid w:val="07601B55"/>
    <w:rsid w:val="0787318A"/>
    <w:rsid w:val="07AB6C6D"/>
    <w:rsid w:val="07CD02C0"/>
    <w:rsid w:val="07FE7357"/>
    <w:rsid w:val="08031F33"/>
    <w:rsid w:val="08681F43"/>
    <w:rsid w:val="086B48CE"/>
    <w:rsid w:val="08B34A9E"/>
    <w:rsid w:val="08C95A01"/>
    <w:rsid w:val="08DC7890"/>
    <w:rsid w:val="08E7107E"/>
    <w:rsid w:val="0992356F"/>
    <w:rsid w:val="09B90AFC"/>
    <w:rsid w:val="09DA0E3D"/>
    <w:rsid w:val="09F63AFE"/>
    <w:rsid w:val="0A0B72B5"/>
    <w:rsid w:val="0A1E2C25"/>
    <w:rsid w:val="0A326903"/>
    <w:rsid w:val="0AAA48E8"/>
    <w:rsid w:val="0AD327A7"/>
    <w:rsid w:val="0AE02C33"/>
    <w:rsid w:val="0AEC17FF"/>
    <w:rsid w:val="0B3B49A5"/>
    <w:rsid w:val="0B3C5101"/>
    <w:rsid w:val="0B5D0DCE"/>
    <w:rsid w:val="0BA50983"/>
    <w:rsid w:val="0BFF6C44"/>
    <w:rsid w:val="0C433985"/>
    <w:rsid w:val="0C7459B9"/>
    <w:rsid w:val="0CA567B0"/>
    <w:rsid w:val="0CCB0864"/>
    <w:rsid w:val="0CDD2D53"/>
    <w:rsid w:val="0D141074"/>
    <w:rsid w:val="0D3C216F"/>
    <w:rsid w:val="0D4B4161"/>
    <w:rsid w:val="0D5F2939"/>
    <w:rsid w:val="0D7B077A"/>
    <w:rsid w:val="0DF94A31"/>
    <w:rsid w:val="0E176739"/>
    <w:rsid w:val="0E5232CD"/>
    <w:rsid w:val="0E580938"/>
    <w:rsid w:val="0E595E2C"/>
    <w:rsid w:val="0E67468C"/>
    <w:rsid w:val="0E6D2AA6"/>
    <w:rsid w:val="0E7504CC"/>
    <w:rsid w:val="0EB71795"/>
    <w:rsid w:val="0EFC5614"/>
    <w:rsid w:val="0F757F85"/>
    <w:rsid w:val="0FAC3791"/>
    <w:rsid w:val="0FF22C32"/>
    <w:rsid w:val="0FF5329C"/>
    <w:rsid w:val="101D6B7E"/>
    <w:rsid w:val="10334073"/>
    <w:rsid w:val="105E2294"/>
    <w:rsid w:val="10A4766F"/>
    <w:rsid w:val="10C13646"/>
    <w:rsid w:val="10C97E59"/>
    <w:rsid w:val="1120267D"/>
    <w:rsid w:val="11216E91"/>
    <w:rsid w:val="112C7C5C"/>
    <w:rsid w:val="113777DA"/>
    <w:rsid w:val="115765EF"/>
    <w:rsid w:val="119831B5"/>
    <w:rsid w:val="11B960DB"/>
    <w:rsid w:val="11BD437F"/>
    <w:rsid w:val="11F53F7B"/>
    <w:rsid w:val="120D5E88"/>
    <w:rsid w:val="12307820"/>
    <w:rsid w:val="123460CD"/>
    <w:rsid w:val="12432813"/>
    <w:rsid w:val="126179CF"/>
    <w:rsid w:val="126E1B25"/>
    <w:rsid w:val="127A7B2A"/>
    <w:rsid w:val="12884FB8"/>
    <w:rsid w:val="12C519BE"/>
    <w:rsid w:val="12F157AA"/>
    <w:rsid w:val="133A5902"/>
    <w:rsid w:val="133F5750"/>
    <w:rsid w:val="13417B03"/>
    <w:rsid w:val="13696161"/>
    <w:rsid w:val="13986B56"/>
    <w:rsid w:val="13C31D0F"/>
    <w:rsid w:val="13CA2628"/>
    <w:rsid w:val="13CA40FD"/>
    <w:rsid w:val="14126D1C"/>
    <w:rsid w:val="141B68C8"/>
    <w:rsid w:val="14373691"/>
    <w:rsid w:val="14383B24"/>
    <w:rsid w:val="143E0D91"/>
    <w:rsid w:val="144A48BF"/>
    <w:rsid w:val="146311DE"/>
    <w:rsid w:val="14CB1816"/>
    <w:rsid w:val="14ED3267"/>
    <w:rsid w:val="15001292"/>
    <w:rsid w:val="150261E3"/>
    <w:rsid w:val="15EE126D"/>
    <w:rsid w:val="16494414"/>
    <w:rsid w:val="164B0D3A"/>
    <w:rsid w:val="166E4EC3"/>
    <w:rsid w:val="16787AAD"/>
    <w:rsid w:val="168B4E91"/>
    <w:rsid w:val="16AA6147"/>
    <w:rsid w:val="16FD7818"/>
    <w:rsid w:val="175400B6"/>
    <w:rsid w:val="17AF656F"/>
    <w:rsid w:val="17CB3C76"/>
    <w:rsid w:val="1811796B"/>
    <w:rsid w:val="1819680C"/>
    <w:rsid w:val="182F00C7"/>
    <w:rsid w:val="184A5CBC"/>
    <w:rsid w:val="184F3D6E"/>
    <w:rsid w:val="1869193F"/>
    <w:rsid w:val="18C232D1"/>
    <w:rsid w:val="18C66CF2"/>
    <w:rsid w:val="19240E0E"/>
    <w:rsid w:val="1934696C"/>
    <w:rsid w:val="19607552"/>
    <w:rsid w:val="19A53E7D"/>
    <w:rsid w:val="19C45799"/>
    <w:rsid w:val="19D863EE"/>
    <w:rsid w:val="19E440DD"/>
    <w:rsid w:val="19F12AE5"/>
    <w:rsid w:val="1A6F54F8"/>
    <w:rsid w:val="1A7120BA"/>
    <w:rsid w:val="1AA21377"/>
    <w:rsid w:val="1AB378CB"/>
    <w:rsid w:val="1AC45B7C"/>
    <w:rsid w:val="1AFB6FAA"/>
    <w:rsid w:val="1AFB7E67"/>
    <w:rsid w:val="1B0C77E5"/>
    <w:rsid w:val="1B456959"/>
    <w:rsid w:val="1B5763C6"/>
    <w:rsid w:val="1B697AA8"/>
    <w:rsid w:val="1BAC1FD1"/>
    <w:rsid w:val="1BD33C54"/>
    <w:rsid w:val="1BE4784B"/>
    <w:rsid w:val="1BE67802"/>
    <w:rsid w:val="1C2D43AE"/>
    <w:rsid w:val="1C316C17"/>
    <w:rsid w:val="1C571E68"/>
    <w:rsid w:val="1C6949DB"/>
    <w:rsid w:val="1CAE3256"/>
    <w:rsid w:val="1CBA00DF"/>
    <w:rsid w:val="1CD62874"/>
    <w:rsid w:val="1CFC7D40"/>
    <w:rsid w:val="1DA33B45"/>
    <w:rsid w:val="1DF657FC"/>
    <w:rsid w:val="1E016E0C"/>
    <w:rsid w:val="1E0B1FC4"/>
    <w:rsid w:val="1E4A2926"/>
    <w:rsid w:val="1EA47C90"/>
    <w:rsid w:val="1EE62E39"/>
    <w:rsid w:val="1EFF48CD"/>
    <w:rsid w:val="1F386736"/>
    <w:rsid w:val="1F3E0CC7"/>
    <w:rsid w:val="1F6856FC"/>
    <w:rsid w:val="1FE41E46"/>
    <w:rsid w:val="202F2CDD"/>
    <w:rsid w:val="20B1678C"/>
    <w:rsid w:val="20D77CD2"/>
    <w:rsid w:val="20F5209A"/>
    <w:rsid w:val="210F4CCC"/>
    <w:rsid w:val="214C4C2B"/>
    <w:rsid w:val="21C17179"/>
    <w:rsid w:val="220F79FB"/>
    <w:rsid w:val="223A2137"/>
    <w:rsid w:val="226B5C0E"/>
    <w:rsid w:val="22A15D8C"/>
    <w:rsid w:val="22BF15A1"/>
    <w:rsid w:val="22FB7F7F"/>
    <w:rsid w:val="231B1D21"/>
    <w:rsid w:val="234D04A8"/>
    <w:rsid w:val="23502169"/>
    <w:rsid w:val="23563A5C"/>
    <w:rsid w:val="239504E5"/>
    <w:rsid w:val="239B0E1A"/>
    <w:rsid w:val="239F64A3"/>
    <w:rsid w:val="23A20488"/>
    <w:rsid w:val="23AA3994"/>
    <w:rsid w:val="242E2506"/>
    <w:rsid w:val="24A54843"/>
    <w:rsid w:val="24BB6549"/>
    <w:rsid w:val="24E64C46"/>
    <w:rsid w:val="24E94533"/>
    <w:rsid w:val="24F06D7D"/>
    <w:rsid w:val="24F20526"/>
    <w:rsid w:val="25122581"/>
    <w:rsid w:val="25166D75"/>
    <w:rsid w:val="25350A97"/>
    <w:rsid w:val="25895B26"/>
    <w:rsid w:val="25983BCB"/>
    <w:rsid w:val="25E26113"/>
    <w:rsid w:val="26D056C7"/>
    <w:rsid w:val="26E017B2"/>
    <w:rsid w:val="26FB2C65"/>
    <w:rsid w:val="27247B41"/>
    <w:rsid w:val="2729330D"/>
    <w:rsid w:val="272E48DE"/>
    <w:rsid w:val="2758774E"/>
    <w:rsid w:val="275D2E4B"/>
    <w:rsid w:val="277C715C"/>
    <w:rsid w:val="2811066B"/>
    <w:rsid w:val="282E6889"/>
    <w:rsid w:val="283B0D34"/>
    <w:rsid w:val="28493F0A"/>
    <w:rsid w:val="28B05219"/>
    <w:rsid w:val="28B71204"/>
    <w:rsid w:val="28C75486"/>
    <w:rsid w:val="28C77E86"/>
    <w:rsid w:val="28F82106"/>
    <w:rsid w:val="29111B0D"/>
    <w:rsid w:val="29402CE4"/>
    <w:rsid w:val="294B4D54"/>
    <w:rsid w:val="29B570DA"/>
    <w:rsid w:val="29DF6163"/>
    <w:rsid w:val="2A1F60B2"/>
    <w:rsid w:val="2A742228"/>
    <w:rsid w:val="2AC05D9F"/>
    <w:rsid w:val="2AC11AAE"/>
    <w:rsid w:val="2AF506F5"/>
    <w:rsid w:val="2B3B2FA6"/>
    <w:rsid w:val="2B704608"/>
    <w:rsid w:val="2BAE6B9F"/>
    <w:rsid w:val="2BB24484"/>
    <w:rsid w:val="2BC96E6C"/>
    <w:rsid w:val="2BCA04EF"/>
    <w:rsid w:val="2BDD6D29"/>
    <w:rsid w:val="2C0C387F"/>
    <w:rsid w:val="2C2968F4"/>
    <w:rsid w:val="2C34164F"/>
    <w:rsid w:val="2C3D04D7"/>
    <w:rsid w:val="2C537A4A"/>
    <w:rsid w:val="2C63784D"/>
    <w:rsid w:val="2CC56CFD"/>
    <w:rsid w:val="2D0A5550"/>
    <w:rsid w:val="2D392A2F"/>
    <w:rsid w:val="2D4525B2"/>
    <w:rsid w:val="2D4A545C"/>
    <w:rsid w:val="2D8E796C"/>
    <w:rsid w:val="2DC56B73"/>
    <w:rsid w:val="2E110BF4"/>
    <w:rsid w:val="2E530A99"/>
    <w:rsid w:val="2E57648C"/>
    <w:rsid w:val="2E872659"/>
    <w:rsid w:val="2E8B2B04"/>
    <w:rsid w:val="2EA94E60"/>
    <w:rsid w:val="2EAD7BE1"/>
    <w:rsid w:val="2EFA1EC3"/>
    <w:rsid w:val="2F3F5EDD"/>
    <w:rsid w:val="2F4025DC"/>
    <w:rsid w:val="2F654979"/>
    <w:rsid w:val="2F665AD5"/>
    <w:rsid w:val="2F9C5EAC"/>
    <w:rsid w:val="2FA02A40"/>
    <w:rsid w:val="2FAF1ED5"/>
    <w:rsid w:val="2FAF7284"/>
    <w:rsid w:val="2FB44AFF"/>
    <w:rsid w:val="2FEE07DB"/>
    <w:rsid w:val="30041BE6"/>
    <w:rsid w:val="3027225B"/>
    <w:rsid w:val="304B18EB"/>
    <w:rsid w:val="307E395B"/>
    <w:rsid w:val="309250FF"/>
    <w:rsid w:val="309D0237"/>
    <w:rsid w:val="30F763AF"/>
    <w:rsid w:val="31085D41"/>
    <w:rsid w:val="31F57F18"/>
    <w:rsid w:val="31FD29EF"/>
    <w:rsid w:val="323A7AE4"/>
    <w:rsid w:val="3246562E"/>
    <w:rsid w:val="324929D1"/>
    <w:rsid w:val="324B6294"/>
    <w:rsid w:val="32590EF3"/>
    <w:rsid w:val="32631506"/>
    <w:rsid w:val="32676A97"/>
    <w:rsid w:val="327F1387"/>
    <w:rsid w:val="32CC5A79"/>
    <w:rsid w:val="330E2F8F"/>
    <w:rsid w:val="33102FE4"/>
    <w:rsid w:val="3321758E"/>
    <w:rsid w:val="3353167F"/>
    <w:rsid w:val="33666B81"/>
    <w:rsid w:val="33740A51"/>
    <w:rsid w:val="3383314E"/>
    <w:rsid w:val="338E7E4B"/>
    <w:rsid w:val="33A72E7F"/>
    <w:rsid w:val="34237190"/>
    <w:rsid w:val="342866FA"/>
    <w:rsid w:val="347F01C3"/>
    <w:rsid w:val="349D60AA"/>
    <w:rsid w:val="34C5219B"/>
    <w:rsid w:val="34F3001B"/>
    <w:rsid w:val="34F54782"/>
    <w:rsid w:val="350F2DCC"/>
    <w:rsid w:val="353115DE"/>
    <w:rsid w:val="35B56CBA"/>
    <w:rsid w:val="361F3282"/>
    <w:rsid w:val="36321AB2"/>
    <w:rsid w:val="3643368A"/>
    <w:rsid w:val="36C64B1E"/>
    <w:rsid w:val="36FB0C16"/>
    <w:rsid w:val="37031EFA"/>
    <w:rsid w:val="37287723"/>
    <w:rsid w:val="372D6F39"/>
    <w:rsid w:val="375A7A49"/>
    <w:rsid w:val="37710AF9"/>
    <w:rsid w:val="378773A6"/>
    <w:rsid w:val="379D2BA1"/>
    <w:rsid w:val="37A662B4"/>
    <w:rsid w:val="37B326F9"/>
    <w:rsid w:val="380B477E"/>
    <w:rsid w:val="380D6333"/>
    <w:rsid w:val="38127773"/>
    <w:rsid w:val="38200373"/>
    <w:rsid w:val="384D4318"/>
    <w:rsid w:val="38E11999"/>
    <w:rsid w:val="391A6F68"/>
    <w:rsid w:val="394E4B96"/>
    <w:rsid w:val="39945A65"/>
    <w:rsid w:val="39BDA8DF"/>
    <w:rsid w:val="39D828B1"/>
    <w:rsid w:val="39E60BE9"/>
    <w:rsid w:val="39E84962"/>
    <w:rsid w:val="39EC444A"/>
    <w:rsid w:val="39F6160A"/>
    <w:rsid w:val="3A3A522A"/>
    <w:rsid w:val="3A5B1627"/>
    <w:rsid w:val="3A7627C7"/>
    <w:rsid w:val="3AC53491"/>
    <w:rsid w:val="3AC92B24"/>
    <w:rsid w:val="3B016470"/>
    <w:rsid w:val="3B1D1491"/>
    <w:rsid w:val="3B1E43B3"/>
    <w:rsid w:val="3B445A51"/>
    <w:rsid w:val="3BD51BCE"/>
    <w:rsid w:val="3C10569C"/>
    <w:rsid w:val="3C496219"/>
    <w:rsid w:val="3C712FFC"/>
    <w:rsid w:val="3C945361"/>
    <w:rsid w:val="3D0E0B83"/>
    <w:rsid w:val="3D345297"/>
    <w:rsid w:val="3D4B5CEB"/>
    <w:rsid w:val="3D7A017A"/>
    <w:rsid w:val="3D9B618F"/>
    <w:rsid w:val="3DE22646"/>
    <w:rsid w:val="3DE51275"/>
    <w:rsid w:val="3DEA4D60"/>
    <w:rsid w:val="3E3F1152"/>
    <w:rsid w:val="3E513C98"/>
    <w:rsid w:val="3E5E5158"/>
    <w:rsid w:val="3E8277B5"/>
    <w:rsid w:val="3EA6383E"/>
    <w:rsid w:val="3EFD0EAF"/>
    <w:rsid w:val="3F1F7DEC"/>
    <w:rsid w:val="3F52428E"/>
    <w:rsid w:val="3F772C70"/>
    <w:rsid w:val="3F9D407C"/>
    <w:rsid w:val="3FDF193C"/>
    <w:rsid w:val="3FEB56B9"/>
    <w:rsid w:val="400B0616"/>
    <w:rsid w:val="402B37FA"/>
    <w:rsid w:val="403D36DE"/>
    <w:rsid w:val="40C2612F"/>
    <w:rsid w:val="40CC580E"/>
    <w:rsid w:val="41220E3B"/>
    <w:rsid w:val="41272213"/>
    <w:rsid w:val="413E6E6C"/>
    <w:rsid w:val="429E333F"/>
    <w:rsid w:val="42A9458A"/>
    <w:rsid w:val="42AE0FF7"/>
    <w:rsid w:val="42B21FB1"/>
    <w:rsid w:val="42F3677B"/>
    <w:rsid w:val="43041F0A"/>
    <w:rsid w:val="43140494"/>
    <w:rsid w:val="432D1DBB"/>
    <w:rsid w:val="433257F7"/>
    <w:rsid w:val="4335673E"/>
    <w:rsid w:val="43601636"/>
    <w:rsid w:val="436611DA"/>
    <w:rsid w:val="43A833B4"/>
    <w:rsid w:val="43F81C45"/>
    <w:rsid w:val="44150DE0"/>
    <w:rsid w:val="441B141E"/>
    <w:rsid w:val="44745D54"/>
    <w:rsid w:val="449A05EB"/>
    <w:rsid w:val="44C857AB"/>
    <w:rsid w:val="44CD7D35"/>
    <w:rsid w:val="44D875F2"/>
    <w:rsid w:val="44FA40EB"/>
    <w:rsid w:val="450711DF"/>
    <w:rsid w:val="450D5CF8"/>
    <w:rsid w:val="45262AC4"/>
    <w:rsid w:val="452A0524"/>
    <w:rsid w:val="45474054"/>
    <w:rsid w:val="454B57EA"/>
    <w:rsid w:val="45CB151E"/>
    <w:rsid w:val="45CB3B32"/>
    <w:rsid w:val="46362EF9"/>
    <w:rsid w:val="463B4B9C"/>
    <w:rsid w:val="46553036"/>
    <w:rsid w:val="46760AF4"/>
    <w:rsid w:val="46B27242"/>
    <w:rsid w:val="46B302C4"/>
    <w:rsid w:val="46CD3BAC"/>
    <w:rsid w:val="46DC48B1"/>
    <w:rsid w:val="46F2280A"/>
    <w:rsid w:val="46F43EC8"/>
    <w:rsid w:val="47147777"/>
    <w:rsid w:val="472A25A4"/>
    <w:rsid w:val="47721D0E"/>
    <w:rsid w:val="47C555B3"/>
    <w:rsid w:val="482D5593"/>
    <w:rsid w:val="485F7AF5"/>
    <w:rsid w:val="4864496D"/>
    <w:rsid w:val="48AE10AB"/>
    <w:rsid w:val="48F312B2"/>
    <w:rsid w:val="48F6792B"/>
    <w:rsid w:val="496D01E7"/>
    <w:rsid w:val="49C64CB5"/>
    <w:rsid w:val="4A2224D8"/>
    <w:rsid w:val="4A235542"/>
    <w:rsid w:val="4A343008"/>
    <w:rsid w:val="4A8F0468"/>
    <w:rsid w:val="4AA23618"/>
    <w:rsid w:val="4AAC109A"/>
    <w:rsid w:val="4AAF39A6"/>
    <w:rsid w:val="4AC26B09"/>
    <w:rsid w:val="4AC60770"/>
    <w:rsid w:val="4AE06830"/>
    <w:rsid w:val="4AE46963"/>
    <w:rsid w:val="4AE85899"/>
    <w:rsid w:val="4AF726FE"/>
    <w:rsid w:val="4AFB45F5"/>
    <w:rsid w:val="4B0041EF"/>
    <w:rsid w:val="4B0C102F"/>
    <w:rsid w:val="4B0E125A"/>
    <w:rsid w:val="4B2C75DD"/>
    <w:rsid w:val="4B3E77C6"/>
    <w:rsid w:val="4B4C3034"/>
    <w:rsid w:val="4B561AE6"/>
    <w:rsid w:val="4B9B481D"/>
    <w:rsid w:val="4C017B05"/>
    <w:rsid w:val="4C2F298C"/>
    <w:rsid w:val="4C792474"/>
    <w:rsid w:val="4C877694"/>
    <w:rsid w:val="4C9175A9"/>
    <w:rsid w:val="4CA0453B"/>
    <w:rsid w:val="4CA70C55"/>
    <w:rsid w:val="4D025C46"/>
    <w:rsid w:val="4D2424D3"/>
    <w:rsid w:val="4D3D4AFB"/>
    <w:rsid w:val="4D4275E5"/>
    <w:rsid w:val="4D53613E"/>
    <w:rsid w:val="4D603C93"/>
    <w:rsid w:val="4D7621EC"/>
    <w:rsid w:val="4D8A53C2"/>
    <w:rsid w:val="4D907392"/>
    <w:rsid w:val="4DB175E1"/>
    <w:rsid w:val="4DBF2276"/>
    <w:rsid w:val="4DD266CD"/>
    <w:rsid w:val="4E067666"/>
    <w:rsid w:val="4E77450D"/>
    <w:rsid w:val="4EA26C50"/>
    <w:rsid w:val="4EA74766"/>
    <w:rsid w:val="4ED43E47"/>
    <w:rsid w:val="4EDB5509"/>
    <w:rsid w:val="4F0C21C6"/>
    <w:rsid w:val="4F2F2D23"/>
    <w:rsid w:val="4F325C1C"/>
    <w:rsid w:val="4F946606"/>
    <w:rsid w:val="4FDB3E5C"/>
    <w:rsid w:val="4FF47B44"/>
    <w:rsid w:val="501F4EAA"/>
    <w:rsid w:val="50A71369"/>
    <w:rsid w:val="50E3483E"/>
    <w:rsid w:val="50FA10CD"/>
    <w:rsid w:val="510622AC"/>
    <w:rsid w:val="510816AB"/>
    <w:rsid w:val="511E4CB5"/>
    <w:rsid w:val="515513A7"/>
    <w:rsid w:val="515B1FDA"/>
    <w:rsid w:val="515D758B"/>
    <w:rsid w:val="516C24F5"/>
    <w:rsid w:val="5172444C"/>
    <w:rsid w:val="51776076"/>
    <w:rsid w:val="51A5601C"/>
    <w:rsid w:val="51D13AD5"/>
    <w:rsid w:val="51E63A25"/>
    <w:rsid w:val="51F5638B"/>
    <w:rsid w:val="52057764"/>
    <w:rsid w:val="521D519A"/>
    <w:rsid w:val="522E6E43"/>
    <w:rsid w:val="52880638"/>
    <w:rsid w:val="52C10D97"/>
    <w:rsid w:val="52CA6EA2"/>
    <w:rsid w:val="52E5EE1D"/>
    <w:rsid w:val="533A1D71"/>
    <w:rsid w:val="533F2CE2"/>
    <w:rsid w:val="536F2824"/>
    <w:rsid w:val="53D619D6"/>
    <w:rsid w:val="54012071"/>
    <w:rsid w:val="541531C6"/>
    <w:rsid w:val="54456C10"/>
    <w:rsid w:val="54652A80"/>
    <w:rsid w:val="54A524C5"/>
    <w:rsid w:val="54CB7BF8"/>
    <w:rsid w:val="54D0507B"/>
    <w:rsid w:val="553756C3"/>
    <w:rsid w:val="55432BA8"/>
    <w:rsid w:val="555938DC"/>
    <w:rsid w:val="557103A4"/>
    <w:rsid w:val="55800F5F"/>
    <w:rsid w:val="55885455"/>
    <w:rsid w:val="558E400D"/>
    <w:rsid w:val="55A25425"/>
    <w:rsid w:val="562C65ED"/>
    <w:rsid w:val="564B68C2"/>
    <w:rsid w:val="569D1E66"/>
    <w:rsid w:val="56BE495B"/>
    <w:rsid w:val="56D664F5"/>
    <w:rsid w:val="56F06EF3"/>
    <w:rsid w:val="574F2E1F"/>
    <w:rsid w:val="5755509D"/>
    <w:rsid w:val="57855C8A"/>
    <w:rsid w:val="578C0BCA"/>
    <w:rsid w:val="579171E0"/>
    <w:rsid w:val="5799052B"/>
    <w:rsid w:val="57B85133"/>
    <w:rsid w:val="583E353F"/>
    <w:rsid w:val="586055AE"/>
    <w:rsid w:val="58697479"/>
    <w:rsid w:val="58B83058"/>
    <w:rsid w:val="596B54B8"/>
    <w:rsid w:val="598235E9"/>
    <w:rsid w:val="599608BD"/>
    <w:rsid w:val="5A1C50E2"/>
    <w:rsid w:val="5A26422B"/>
    <w:rsid w:val="5A2B0280"/>
    <w:rsid w:val="5A4316D3"/>
    <w:rsid w:val="5A4B6B1B"/>
    <w:rsid w:val="5A4E42CF"/>
    <w:rsid w:val="5A4F4F0A"/>
    <w:rsid w:val="5AB971FD"/>
    <w:rsid w:val="5AE97B92"/>
    <w:rsid w:val="5B0170E0"/>
    <w:rsid w:val="5B07596A"/>
    <w:rsid w:val="5B160D16"/>
    <w:rsid w:val="5B1772DE"/>
    <w:rsid w:val="5B187CE4"/>
    <w:rsid w:val="5B837A26"/>
    <w:rsid w:val="5BBDF082"/>
    <w:rsid w:val="5BD641E3"/>
    <w:rsid w:val="5BEE144A"/>
    <w:rsid w:val="5C5B21D2"/>
    <w:rsid w:val="5C5E1468"/>
    <w:rsid w:val="5CAC7619"/>
    <w:rsid w:val="5CB72D7D"/>
    <w:rsid w:val="5CC606DB"/>
    <w:rsid w:val="5CEA4DB0"/>
    <w:rsid w:val="5CFE4036"/>
    <w:rsid w:val="5D487342"/>
    <w:rsid w:val="5D63004B"/>
    <w:rsid w:val="5D691A6A"/>
    <w:rsid w:val="5DAA2D76"/>
    <w:rsid w:val="5DE71010"/>
    <w:rsid w:val="5E0A59BD"/>
    <w:rsid w:val="5E4621E5"/>
    <w:rsid w:val="5E5358DD"/>
    <w:rsid w:val="5E644F3E"/>
    <w:rsid w:val="5E73F386"/>
    <w:rsid w:val="5E8B6F2B"/>
    <w:rsid w:val="5EDB387D"/>
    <w:rsid w:val="5F257D9B"/>
    <w:rsid w:val="5F6E016A"/>
    <w:rsid w:val="5FAB70B0"/>
    <w:rsid w:val="5FE02C46"/>
    <w:rsid w:val="602923D1"/>
    <w:rsid w:val="60454163"/>
    <w:rsid w:val="606D7822"/>
    <w:rsid w:val="60721E4C"/>
    <w:rsid w:val="60745397"/>
    <w:rsid w:val="60763173"/>
    <w:rsid w:val="60805AB4"/>
    <w:rsid w:val="60A32AE1"/>
    <w:rsid w:val="60CA559D"/>
    <w:rsid w:val="60F31EAD"/>
    <w:rsid w:val="610C7847"/>
    <w:rsid w:val="610F4162"/>
    <w:rsid w:val="61102069"/>
    <w:rsid w:val="61200A4C"/>
    <w:rsid w:val="612B53A6"/>
    <w:rsid w:val="61517FB4"/>
    <w:rsid w:val="617029D1"/>
    <w:rsid w:val="617C52E7"/>
    <w:rsid w:val="617E341C"/>
    <w:rsid w:val="61845B60"/>
    <w:rsid w:val="61D50B1A"/>
    <w:rsid w:val="61E23870"/>
    <w:rsid w:val="620A24E6"/>
    <w:rsid w:val="622362CB"/>
    <w:rsid w:val="625D388F"/>
    <w:rsid w:val="626D2900"/>
    <w:rsid w:val="628D165A"/>
    <w:rsid w:val="62952B3B"/>
    <w:rsid w:val="62B85991"/>
    <w:rsid w:val="63373FB0"/>
    <w:rsid w:val="63452B9C"/>
    <w:rsid w:val="63D25D7E"/>
    <w:rsid w:val="63FB7597"/>
    <w:rsid w:val="63FC2C34"/>
    <w:rsid w:val="641F2C3B"/>
    <w:rsid w:val="645D7CAC"/>
    <w:rsid w:val="646213AE"/>
    <w:rsid w:val="6467573E"/>
    <w:rsid w:val="652675BE"/>
    <w:rsid w:val="65492944"/>
    <w:rsid w:val="655B398A"/>
    <w:rsid w:val="65633990"/>
    <w:rsid w:val="65715D0C"/>
    <w:rsid w:val="658629E9"/>
    <w:rsid w:val="65AE61B0"/>
    <w:rsid w:val="65DE07B6"/>
    <w:rsid w:val="66334448"/>
    <w:rsid w:val="66346800"/>
    <w:rsid w:val="668E1DA4"/>
    <w:rsid w:val="66BB6DD6"/>
    <w:rsid w:val="67186AE2"/>
    <w:rsid w:val="671F468E"/>
    <w:rsid w:val="674F3A81"/>
    <w:rsid w:val="675463B8"/>
    <w:rsid w:val="67AC4971"/>
    <w:rsid w:val="67BB79F6"/>
    <w:rsid w:val="67BC3EB5"/>
    <w:rsid w:val="67EE178D"/>
    <w:rsid w:val="67F37128"/>
    <w:rsid w:val="68180A3D"/>
    <w:rsid w:val="681C3806"/>
    <w:rsid w:val="682664D1"/>
    <w:rsid w:val="68A0318B"/>
    <w:rsid w:val="68C21337"/>
    <w:rsid w:val="68DC6038"/>
    <w:rsid w:val="69132EFA"/>
    <w:rsid w:val="692844CB"/>
    <w:rsid w:val="69404AA1"/>
    <w:rsid w:val="696C1657"/>
    <w:rsid w:val="69C03E39"/>
    <w:rsid w:val="6A2276CE"/>
    <w:rsid w:val="6A825CE2"/>
    <w:rsid w:val="6A8D0B02"/>
    <w:rsid w:val="6AA62491"/>
    <w:rsid w:val="6AF5480B"/>
    <w:rsid w:val="6B025BD4"/>
    <w:rsid w:val="6B11126E"/>
    <w:rsid w:val="6B294506"/>
    <w:rsid w:val="6B363044"/>
    <w:rsid w:val="6BD77F3D"/>
    <w:rsid w:val="6BDD554A"/>
    <w:rsid w:val="6BE80D05"/>
    <w:rsid w:val="6BED5EEE"/>
    <w:rsid w:val="6C0312CE"/>
    <w:rsid w:val="6C254DAF"/>
    <w:rsid w:val="6CC43D51"/>
    <w:rsid w:val="6CC86D45"/>
    <w:rsid w:val="6CD24892"/>
    <w:rsid w:val="6CF15AE7"/>
    <w:rsid w:val="6D0E3B2D"/>
    <w:rsid w:val="6D1A1737"/>
    <w:rsid w:val="6D336273"/>
    <w:rsid w:val="6D41432D"/>
    <w:rsid w:val="6D4F6BAF"/>
    <w:rsid w:val="6D967C55"/>
    <w:rsid w:val="6DDE1842"/>
    <w:rsid w:val="6DEE3CC9"/>
    <w:rsid w:val="6E1626F0"/>
    <w:rsid w:val="6E500103"/>
    <w:rsid w:val="6E5D4C17"/>
    <w:rsid w:val="6E7275A1"/>
    <w:rsid w:val="6E8F2310"/>
    <w:rsid w:val="6ED65BE2"/>
    <w:rsid w:val="6F173FD5"/>
    <w:rsid w:val="6F1F16D5"/>
    <w:rsid w:val="6F2F3C6A"/>
    <w:rsid w:val="6F3A446C"/>
    <w:rsid w:val="6F681916"/>
    <w:rsid w:val="6F7EFD67"/>
    <w:rsid w:val="6FC831DC"/>
    <w:rsid w:val="6FD02767"/>
    <w:rsid w:val="6FD22B71"/>
    <w:rsid w:val="6FD80103"/>
    <w:rsid w:val="6FDB0272"/>
    <w:rsid w:val="6FE354B2"/>
    <w:rsid w:val="70156D13"/>
    <w:rsid w:val="70192D5D"/>
    <w:rsid w:val="701D453F"/>
    <w:rsid w:val="70357F90"/>
    <w:rsid w:val="704938AE"/>
    <w:rsid w:val="706708CE"/>
    <w:rsid w:val="708C7454"/>
    <w:rsid w:val="708E450F"/>
    <w:rsid w:val="709D1B91"/>
    <w:rsid w:val="70EA3F44"/>
    <w:rsid w:val="70FD013C"/>
    <w:rsid w:val="714C1ADB"/>
    <w:rsid w:val="71936A2A"/>
    <w:rsid w:val="71940950"/>
    <w:rsid w:val="71B17B7B"/>
    <w:rsid w:val="71B325B2"/>
    <w:rsid w:val="71B37173"/>
    <w:rsid w:val="71BA3EFC"/>
    <w:rsid w:val="71C73CC4"/>
    <w:rsid w:val="71D0787F"/>
    <w:rsid w:val="720A3D61"/>
    <w:rsid w:val="724238CB"/>
    <w:rsid w:val="72775AD2"/>
    <w:rsid w:val="727B4E43"/>
    <w:rsid w:val="72A03C0B"/>
    <w:rsid w:val="72A11576"/>
    <w:rsid w:val="72AB2CB5"/>
    <w:rsid w:val="72AB7885"/>
    <w:rsid w:val="72C432B7"/>
    <w:rsid w:val="72F661D3"/>
    <w:rsid w:val="7316029A"/>
    <w:rsid w:val="73267CCD"/>
    <w:rsid w:val="7329156C"/>
    <w:rsid w:val="73DE22A9"/>
    <w:rsid w:val="73EC21A5"/>
    <w:rsid w:val="74083D17"/>
    <w:rsid w:val="74106C95"/>
    <w:rsid w:val="743A0873"/>
    <w:rsid w:val="74882894"/>
    <w:rsid w:val="74E25FC1"/>
    <w:rsid w:val="74EC752D"/>
    <w:rsid w:val="750D789B"/>
    <w:rsid w:val="751C5CFE"/>
    <w:rsid w:val="7522156C"/>
    <w:rsid w:val="75323E3E"/>
    <w:rsid w:val="75730FBD"/>
    <w:rsid w:val="75B54E6A"/>
    <w:rsid w:val="75BD3193"/>
    <w:rsid w:val="75C43232"/>
    <w:rsid w:val="75D71A8C"/>
    <w:rsid w:val="75EC3B55"/>
    <w:rsid w:val="75F44695"/>
    <w:rsid w:val="75FE2976"/>
    <w:rsid w:val="762E192C"/>
    <w:rsid w:val="76424CAC"/>
    <w:rsid w:val="76644EA7"/>
    <w:rsid w:val="77493F8A"/>
    <w:rsid w:val="7752678E"/>
    <w:rsid w:val="77B32616"/>
    <w:rsid w:val="77D23D37"/>
    <w:rsid w:val="77F97D79"/>
    <w:rsid w:val="781C5503"/>
    <w:rsid w:val="7841659D"/>
    <w:rsid w:val="78911763"/>
    <w:rsid w:val="78A30F15"/>
    <w:rsid w:val="78A861C5"/>
    <w:rsid w:val="78CE13F1"/>
    <w:rsid w:val="78FA7E76"/>
    <w:rsid w:val="790B6132"/>
    <w:rsid w:val="79770E52"/>
    <w:rsid w:val="79AA61F3"/>
    <w:rsid w:val="79FFB9E5"/>
    <w:rsid w:val="7A2A3942"/>
    <w:rsid w:val="7A346E96"/>
    <w:rsid w:val="7A3C7433"/>
    <w:rsid w:val="7A3D0B56"/>
    <w:rsid w:val="7A6F5AB6"/>
    <w:rsid w:val="7A920E39"/>
    <w:rsid w:val="7A9E3BE2"/>
    <w:rsid w:val="7ACF49D1"/>
    <w:rsid w:val="7B067F9A"/>
    <w:rsid w:val="7B340AAD"/>
    <w:rsid w:val="7B496C15"/>
    <w:rsid w:val="7B7A1226"/>
    <w:rsid w:val="7B7E384A"/>
    <w:rsid w:val="7BA20CBF"/>
    <w:rsid w:val="7BA31AC0"/>
    <w:rsid w:val="7BCB459C"/>
    <w:rsid w:val="7BE1441E"/>
    <w:rsid w:val="7BE62B2B"/>
    <w:rsid w:val="7CF21050"/>
    <w:rsid w:val="7D304ADB"/>
    <w:rsid w:val="7D34238C"/>
    <w:rsid w:val="7D42399F"/>
    <w:rsid w:val="7D612D0A"/>
    <w:rsid w:val="7D963AEF"/>
    <w:rsid w:val="7DB93BCE"/>
    <w:rsid w:val="7DEA0289"/>
    <w:rsid w:val="7E3256C8"/>
    <w:rsid w:val="7E3B0DDD"/>
    <w:rsid w:val="7E3F661A"/>
    <w:rsid w:val="7E574387"/>
    <w:rsid w:val="7EA335D1"/>
    <w:rsid w:val="7EEB1766"/>
    <w:rsid w:val="7F1629A4"/>
    <w:rsid w:val="7F1A24C9"/>
    <w:rsid w:val="7F2A18C3"/>
    <w:rsid w:val="7F2D0559"/>
    <w:rsid w:val="7F2F3E2F"/>
    <w:rsid w:val="7F76757B"/>
    <w:rsid w:val="7F8C2116"/>
    <w:rsid w:val="7FB56FFB"/>
    <w:rsid w:val="7FD1487B"/>
    <w:rsid w:val="7FEF615E"/>
    <w:rsid w:val="98BB89C0"/>
    <w:rsid w:val="B767E2A7"/>
    <w:rsid w:val="B7FED80D"/>
    <w:rsid w:val="BFEFF050"/>
    <w:rsid w:val="DF7BC082"/>
    <w:rsid w:val="FD3BCF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iPriority="99"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73"/>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68"/>
    <w:qFormat/>
    <w:uiPriority w:val="0"/>
    <w:pPr>
      <w:keepNext/>
      <w:keepLines/>
      <w:spacing w:before="260" w:after="260" w:line="416" w:lineRule="auto"/>
      <w:outlineLvl w:val="2"/>
    </w:pPr>
    <w:rPr>
      <w:b/>
      <w:bCs/>
      <w:kern w:val="0"/>
      <w:sz w:val="32"/>
      <w:szCs w:val="32"/>
    </w:rPr>
  </w:style>
  <w:style w:type="paragraph" w:styleId="6">
    <w:name w:val="heading 4"/>
    <w:basedOn w:val="1"/>
    <w:next w:val="1"/>
    <w:link w:val="86"/>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1"/>
    <w:link w:val="74"/>
    <w:qFormat/>
    <w:uiPriority w:val="0"/>
    <w:pPr>
      <w:keepNext/>
      <w:keepLines/>
      <w:numPr>
        <w:ilvl w:val="4"/>
        <w:numId w:val="1"/>
      </w:numPr>
      <w:spacing w:before="280" w:after="290" w:line="376" w:lineRule="auto"/>
      <w:outlineLvl w:val="4"/>
    </w:pPr>
    <w:rPr>
      <w:b/>
      <w:sz w:val="28"/>
    </w:rPr>
  </w:style>
  <w:style w:type="paragraph" w:styleId="8">
    <w:name w:val="heading 6"/>
    <w:basedOn w:val="1"/>
    <w:next w:val="9"/>
    <w:link w:val="87"/>
    <w:qFormat/>
    <w:uiPriority w:val="0"/>
    <w:pPr>
      <w:keepNext/>
      <w:keepLines/>
      <w:spacing w:before="240" w:after="64" w:line="317" w:lineRule="auto"/>
      <w:outlineLvl w:val="5"/>
    </w:pPr>
    <w:rPr>
      <w:rFonts w:ascii="Arial" w:hAnsi="Arial" w:eastAsia="黑体"/>
      <w:b/>
      <w:sz w:val="24"/>
    </w:rPr>
  </w:style>
  <w:style w:type="paragraph" w:styleId="10">
    <w:name w:val="heading 7"/>
    <w:basedOn w:val="1"/>
    <w:next w:val="9"/>
    <w:link w:val="88"/>
    <w:qFormat/>
    <w:uiPriority w:val="0"/>
    <w:pPr>
      <w:keepNext/>
      <w:keepLines/>
      <w:spacing w:before="240" w:after="64" w:line="317" w:lineRule="auto"/>
      <w:outlineLvl w:val="6"/>
    </w:pPr>
    <w:rPr>
      <w:b/>
      <w:sz w:val="24"/>
    </w:rPr>
  </w:style>
  <w:style w:type="paragraph" w:styleId="11">
    <w:name w:val="heading 8"/>
    <w:basedOn w:val="1"/>
    <w:next w:val="9"/>
    <w:link w:val="89"/>
    <w:qFormat/>
    <w:uiPriority w:val="0"/>
    <w:pPr>
      <w:keepNext/>
      <w:keepLines/>
      <w:spacing w:before="240" w:after="64" w:line="317" w:lineRule="auto"/>
      <w:outlineLvl w:val="7"/>
    </w:pPr>
    <w:rPr>
      <w:rFonts w:ascii="Arial" w:hAnsi="Arial" w:eastAsia="黑体"/>
      <w:sz w:val="24"/>
    </w:rPr>
  </w:style>
  <w:style w:type="paragraph" w:styleId="12">
    <w:name w:val="heading 9"/>
    <w:basedOn w:val="1"/>
    <w:next w:val="9"/>
    <w:link w:val="90"/>
    <w:qFormat/>
    <w:uiPriority w:val="0"/>
    <w:pPr>
      <w:keepNext/>
      <w:keepLines/>
      <w:spacing w:before="240" w:after="64" w:line="317" w:lineRule="auto"/>
      <w:outlineLvl w:val="8"/>
    </w:pPr>
    <w:rPr>
      <w:rFonts w:ascii="Arial" w:hAnsi="Arial" w:eastAsia="黑体"/>
    </w:rPr>
  </w:style>
  <w:style w:type="character" w:default="1" w:styleId="53">
    <w:name w:val="Default Paragraph Font"/>
    <w:semiHidden/>
    <w:unhideWhenUsed/>
    <w:qFormat/>
    <w:uiPriority w:val="1"/>
  </w:style>
  <w:style w:type="table" w:default="1" w:styleId="5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link w:val="71"/>
    <w:qFormat/>
    <w:uiPriority w:val="99"/>
    <w:pPr>
      <w:spacing w:line="380" w:lineRule="exact"/>
    </w:pPr>
    <w:rPr>
      <w:kern w:val="0"/>
      <w:sz w:val="24"/>
    </w:rPr>
  </w:style>
  <w:style w:type="paragraph" w:styleId="9">
    <w:name w:val="Normal Indent"/>
    <w:basedOn w:val="1"/>
    <w:qFormat/>
    <w:uiPriority w:val="0"/>
    <w:pPr>
      <w:ind w:firstLine="420"/>
    </w:pPr>
    <w:rPr>
      <w:szCs w:val="20"/>
    </w:rPr>
  </w:style>
  <w:style w:type="paragraph" w:styleId="13">
    <w:name w:val="List 3"/>
    <w:basedOn w:val="1"/>
    <w:qFormat/>
    <w:uiPriority w:val="0"/>
    <w:pPr>
      <w:ind w:left="100" w:leftChars="400" w:hanging="200" w:hangingChars="200"/>
    </w:pPr>
  </w:style>
  <w:style w:type="paragraph" w:styleId="14">
    <w:name w:val="toc 7"/>
    <w:basedOn w:val="1"/>
    <w:next w:val="1"/>
    <w:qFormat/>
    <w:uiPriority w:val="0"/>
    <w:pPr>
      <w:ind w:left="2520" w:leftChars="1200"/>
    </w:p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link w:val="91"/>
    <w:qFormat/>
    <w:uiPriority w:val="0"/>
    <w:pPr>
      <w:shd w:val="clear" w:color="auto" w:fill="000080"/>
      <w:adjustRightInd w:val="0"/>
      <w:spacing w:line="312" w:lineRule="atLeast"/>
      <w:textAlignment w:val="baseline"/>
    </w:pPr>
    <w:rPr>
      <w:kern w:val="0"/>
      <w:szCs w:val="20"/>
    </w:rPr>
  </w:style>
  <w:style w:type="paragraph" w:styleId="18">
    <w:name w:val="annotation text"/>
    <w:basedOn w:val="1"/>
    <w:link w:val="64"/>
    <w:unhideWhenUsed/>
    <w:qFormat/>
    <w:uiPriority w:val="0"/>
    <w:pPr>
      <w:jc w:val="left"/>
    </w:pPr>
  </w:style>
  <w:style w:type="paragraph" w:styleId="19">
    <w:name w:val="Body Text 3"/>
    <w:basedOn w:val="1"/>
    <w:link w:val="75"/>
    <w:qFormat/>
    <w:uiPriority w:val="0"/>
    <w:pPr>
      <w:spacing w:line="500" w:lineRule="exact"/>
    </w:pPr>
    <w:rPr>
      <w:b/>
      <w:bCs/>
      <w:kern w:val="0"/>
      <w:sz w:val="24"/>
    </w:rPr>
  </w:style>
  <w:style w:type="paragraph" w:styleId="20">
    <w:name w:val="Body Text Indent"/>
    <w:basedOn w:val="1"/>
    <w:next w:val="21"/>
    <w:link w:val="76"/>
    <w:qFormat/>
    <w:uiPriority w:val="0"/>
    <w:pPr>
      <w:ind w:firstLine="830" w:firstLineChars="352"/>
    </w:pPr>
    <w:rPr>
      <w:rFonts w:ascii="仿宋_GB2312" w:eastAsia="仿宋_GB2312"/>
      <w:kern w:val="0"/>
      <w:sz w:val="32"/>
      <w:szCs w:val="20"/>
    </w:rPr>
  </w:style>
  <w:style w:type="paragraph" w:customStyle="1" w:styleId="21">
    <w:name w:val="标准正文 Char Char Char Char"/>
    <w:basedOn w:val="1"/>
    <w:next w:val="1"/>
    <w:qFormat/>
    <w:uiPriority w:val="0"/>
    <w:pPr>
      <w:spacing w:after="60"/>
      <w:ind w:firstLine="482"/>
    </w:pPr>
    <w:rPr>
      <w:kern w:val="0"/>
      <w:sz w:val="20"/>
      <w:szCs w:val="20"/>
    </w:rPr>
  </w:style>
  <w:style w:type="paragraph" w:styleId="22">
    <w:name w:val="List Number 3"/>
    <w:basedOn w:val="1"/>
    <w:qFormat/>
    <w:uiPriority w:val="0"/>
    <w:pPr>
      <w:tabs>
        <w:tab w:val="left" w:pos="1200"/>
      </w:tabs>
      <w:ind w:left="1200" w:leftChars="400" w:hanging="360" w:hangingChars="20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39"/>
    <w:pPr>
      <w:ind w:left="840" w:leftChars="400"/>
    </w:pPr>
  </w:style>
  <w:style w:type="paragraph" w:styleId="27">
    <w:name w:val="Plain Text"/>
    <w:basedOn w:val="1"/>
    <w:link w:val="69"/>
    <w:qFormat/>
    <w:uiPriority w:val="0"/>
    <w:rPr>
      <w:rFonts w:ascii="宋体" w:hAnsi="Courier New"/>
      <w:kern w:val="0"/>
      <w:sz w:val="20"/>
      <w:szCs w:val="21"/>
    </w:rPr>
  </w:style>
  <w:style w:type="paragraph" w:styleId="28">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92"/>
    <w:qFormat/>
    <w:uiPriority w:val="0"/>
    <w:pPr>
      <w:ind w:left="100" w:leftChars="2500"/>
    </w:pPr>
    <w:rPr>
      <w:rFonts w:ascii="宋体" w:hAnsi="Courier New"/>
      <w:szCs w:val="21"/>
    </w:rPr>
  </w:style>
  <w:style w:type="paragraph" w:styleId="30">
    <w:name w:val="Body Text Indent 2"/>
    <w:basedOn w:val="1"/>
    <w:link w:val="93"/>
    <w:qFormat/>
    <w:uiPriority w:val="0"/>
    <w:pPr>
      <w:ind w:firstLine="630"/>
    </w:pPr>
    <w:rPr>
      <w:sz w:val="32"/>
      <w:szCs w:val="20"/>
    </w:rPr>
  </w:style>
  <w:style w:type="paragraph" w:styleId="31">
    <w:name w:val="Balloon Text"/>
    <w:basedOn w:val="1"/>
    <w:link w:val="63"/>
    <w:qFormat/>
    <w:uiPriority w:val="0"/>
    <w:rPr>
      <w:sz w:val="18"/>
      <w:szCs w:val="18"/>
    </w:rPr>
  </w:style>
  <w:style w:type="paragraph" w:styleId="32">
    <w:name w:val="footer"/>
    <w:basedOn w:val="1"/>
    <w:next w:val="1"/>
    <w:link w:val="77"/>
    <w:unhideWhenUsed/>
    <w:qFormat/>
    <w:uiPriority w:val="99"/>
    <w:pPr>
      <w:tabs>
        <w:tab w:val="center" w:pos="4153"/>
        <w:tab w:val="right" w:pos="8306"/>
      </w:tabs>
      <w:snapToGrid w:val="0"/>
      <w:jc w:val="left"/>
    </w:pPr>
    <w:rPr>
      <w:kern w:val="0"/>
      <w:sz w:val="18"/>
      <w:szCs w:val="18"/>
    </w:rPr>
  </w:style>
  <w:style w:type="paragraph" w:styleId="33">
    <w:name w:val="header"/>
    <w:basedOn w:val="1"/>
    <w:link w:val="78"/>
    <w:unhideWhenUsed/>
    <w:qFormat/>
    <w:uiPriority w:val="99"/>
    <w:pPr>
      <w:pBdr>
        <w:bottom w:val="single" w:color="auto" w:sz="6" w:space="1"/>
      </w:pBdr>
      <w:tabs>
        <w:tab w:val="center" w:pos="0"/>
        <w:tab w:val="left" w:pos="8306"/>
      </w:tabs>
      <w:snapToGrid w:val="0"/>
      <w:jc w:val="center"/>
    </w:pPr>
    <w:rPr>
      <w:sz w:val="18"/>
      <w:szCs w:val="18"/>
    </w:rPr>
  </w:style>
  <w:style w:type="paragraph" w:styleId="34">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5">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8">
    <w:name w:val="List 5"/>
    <w:basedOn w:val="1"/>
    <w:qFormat/>
    <w:uiPriority w:val="0"/>
    <w:pPr>
      <w:ind w:left="2100" w:hanging="420"/>
    </w:pPr>
    <w:rPr>
      <w:szCs w:val="20"/>
    </w:rPr>
  </w:style>
  <w:style w:type="paragraph" w:styleId="39">
    <w:name w:val="Body Text Indent 3"/>
    <w:basedOn w:val="1"/>
    <w:link w:val="94"/>
    <w:qFormat/>
    <w:uiPriority w:val="0"/>
    <w:pPr>
      <w:spacing w:after="120"/>
      <w:ind w:left="420" w:leftChars="200"/>
    </w:pPr>
    <w:rPr>
      <w:sz w:val="16"/>
      <w:szCs w:val="16"/>
    </w:rPr>
  </w:style>
  <w:style w:type="paragraph" w:styleId="40">
    <w:name w:val="toc 2"/>
    <w:basedOn w:val="1"/>
    <w:next w:val="1"/>
    <w:qFormat/>
    <w:uiPriority w:val="39"/>
    <w:pPr>
      <w:ind w:left="420" w:leftChars="200"/>
    </w:pPr>
  </w:style>
  <w:style w:type="paragraph" w:styleId="41">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2">
    <w:name w:val="Body Text 2"/>
    <w:basedOn w:val="1"/>
    <w:link w:val="95"/>
    <w:qFormat/>
    <w:uiPriority w:val="0"/>
    <w:pPr>
      <w:spacing w:after="120" w:line="480" w:lineRule="auto"/>
    </w:pPr>
  </w:style>
  <w:style w:type="paragraph" w:styleId="43">
    <w:name w:val="List 4"/>
    <w:basedOn w:val="1"/>
    <w:qFormat/>
    <w:uiPriority w:val="0"/>
    <w:pPr>
      <w:ind w:left="100" w:leftChars="600" w:hanging="200" w:hangingChars="200"/>
    </w:pPr>
  </w:style>
  <w:style w:type="paragraph" w:styleId="44">
    <w:name w:val="List Continue 2"/>
    <w:basedOn w:val="1"/>
    <w:qFormat/>
    <w:uiPriority w:val="0"/>
    <w:pPr>
      <w:spacing w:after="120"/>
      <w:ind w:left="840" w:leftChars="400"/>
    </w:pPr>
  </w:style>
  <w:style w:type="paragraph" w:styleId="45">
    <w:name w:val="HTML Preformatted"/>
    <w:basedOn w:val="1"/>
    <w:link w:val="9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6">
    <w:name w:val="Normal (Web)"/>
    <w:basedOn w:val="1"/>
    <w:qFormat/>
    <w:uiPriority w:val="0"/>
    <w:pPr>
      <w:widowControl/>
      <w:spacing w:before="100" w:beforeAutospacing="1" w:after="100" w:afterAutospacing="1"/>
      <w:jc w:val="left"/>
    </w:pPr>
    <w:rPr>
      <w:rFonts w:ascii="宋体" w:hAnsi="宋体"/>
      <w:kern w:val="0"/>
      <w:sz w:val="24"/>
    </w:rPr>
  </w:style>
  <w:style w:type="paragraph" w:styleId="47">
    <w:name w:val="index 1"/>
    <w:basedOn w:val="1"/>
    <w:next w:val="1"/>
    <w:qFormat/>
    <w:uiPriority w:val="0"/>
    <w:pPr>
      <w:spacing w:line="400" w:lineRule="exact"/>
      <w:ind w:firstLine="420" w:firstLineChars="200"/>
    </w:pPr>
    <w:rPr>
      <w:rFonts w:ascii="宋体" w:hAnsi="Courier New"/>
      <w:b/>
      <w:szCs w:val="20"/>
    </w:rPr>
  </w:style>
  <w:style w:type="paragraph" w:styleId="48">
    <w:name w:val="Title"/>
    <w:basedOn w:val="1"/>
    <w:link w:val="97"/>
    <w:qFormat/>
    <w:uiPriority w:val="10"/>
    <w:pPr>
      <w:jc w:val="center"/>
    </w:pPr>
    <w:rPr>
      <w:sz w:val="30"/>
    </w:rPr>
  </w:style>
  <w:style w:type="paragraph" w:styleId="49">
    <w:name w:val="annotation subject"/>
    <w:basedOn w:val="18"/>
    <w:next w:val="18"/>
    <w:link w:val="65"/>
    <w:qFormat/>
    <w:uiPriority w:val="0"/>
    <w:rPr>
      <w:b/>
      <w:bCs/>
    </w:rPr>
  </w:style>
  <w:style w:type="paragraph" w:styleId="50">
    <w:name w:val="Body Text First Indent"/>
    <w:basedOn w:val="2"/>
    <w:link w:val="98"/>
    <w:qFormat/>
    <w:uiPriority w:val="0"/>
    <w:pPr>
      <w:spacing w:after="120" w:line="240" w:lineRule="auto"/>
      <w:ind w:firstLine="420" w:firstLineChars="100"/>
    </w:pPr>
    <w:rPr>
      <w:kern w:val="2"/>
      <w:sz w:val="21"/>
    </w:rPr>
  </w:style>
  <w:style w:type="paragraph" w:styleId="51">
    <w:name w:val="Body Text First Indent 2"/>
    <w:basedOn w:val="20"/>
    <w:link w:val="99"/>
    <w:qFormat/>
    <w:uiPriority w:val="0"/>
    <w:pPr>
      <w:ind w:firstLine="420" w:firstLineChars="200"/>
    </w:p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unhideWhenUsed/>
    <w:qFormat/>
    <w:uiPriority w:val="0"/>
    <w:rPr>
      <w:sz w:val="21"/>
      <w:szCs w:val="21"/>
    </w:rPr>
  </w:style>
  <w:style w:type="paragraph" w:customStyle="1" w:styleId="5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0">
    <w:name w:val="Table Paragraph"/>
    <w:basedOn w:val="1"/>
    <w:qFormat/>
    <w:uiPriority w:val="1"/>
    <w:pPr>
      <w:jc w:val="left"/>
    </w:pPr>
    <w:rPr>
      <w:rFonts w:ascii="Calibri" w:hAnsi="Calibri"/>
      <w:kern w:val="0"/>
      <w:sz w:val="22"/>
      <w:szCs w:val="22"/>
      <w:lang w:eastAsia="en-US"/>
    </w:rPr>
  </w:style>
  <w:style w:type="character" w:customStyle="1" w:styleId="61">
    <w:name w:val="正文文本 (26) + 间距 0 pt"/>
    <w:qFormat/>
    <w:uiPriority w:val="0"/>
    <w:rPr>
      <w:rFonts w:ascii="宋体" w:hAnsi="宋体" w:eastAsia="宋体" w:cs="宋体"/>
      <w:color w:val="000000"/>
      <w:spacing w:val="0"/>
      <w:w w:val="100"/>
      <w:sz w:val="22"/>
      <w:szCs w:val="22"/>
      <w:u w:val="none"/>
      <w:lang w:val="zh-CN" w:eastAsia="zh-CN" w:bidi="zh-CN"/>
    </w:rPr>
  </w:style>
  <w:style w:type="paragraph" w:customStyle="1" w:styleId="62">
    <w:name w:val="正文2"/>
    <w:basedOn w:val="1"/>
    <w:qFormat/>
    <w:uiPriority w:val="0"/>
    <w:pPr>
      <w:adjustRightInd w:val="0"/>
      <w:spacing w:before="156" w:line="360" w:lineRule="auto"/>
      <w:ind w:firstLine="510" w:firstLineChars="200"/>
    </w:pPr>
    <w:rPr>
      <w:sz w:val="24"/>
      <w:szCs w:val="20"/>
    </w:rPr>
  </w:style>
  <w:style w:type="character" w:customStyle="1" w:styleId="63">
    <w:name w:val="批注框文本 Char"/>
    <w:basedOn w:val="53"/>
    <w:link w:val="31"/>
    <w:qFormat/>
    <w:uiPriority w:val="0"/>
    <w:rPr>
      <w:rFonts w:ascii="Times New Roman" w:hAnsi="Times New Roman" w:eastAsia="宋体" w:cs="Times New Roman"/>
      <w:kern w:val="2"/>
      <w:sz w:val="18"/>
      <w:szCs w:val="18"/>
    </w:rPr>
  </w:style>
  <w:style w:type="character" w:customStyle="1" w:styleId="64">
    <w:name w:val="批注文字 Char"/>
    <w:basedOn w:val="53"/>
    <w:link w:val="18"/>
    <w:qFormat/>
    <w:uiPriority w:val="0"/>
    <w:rPr>
      <w:rFonts w:ascii="Times New Roman" w:hAnsi="Times New Roman" w:eastAsia="宋体" w:cs="Times New Roman"/>
      <w:kern w:val="2"/>
      <w:sz w:val="21"/>
      <w:szCs w:val="24"/>
    </w:rPr>
  </w:style>
  <w:style w:type="character" w:customStyle="1" w:styleId="65">
    <w:name w:val="批注主题 Char"/>
    <w:basedOn w:val="64"/>
    <w:link w:val="49"/>
    <w:qFormat/>
    <w:uiPriority w:val="0"/>
    <w:rPr>
      <w:rFonts w:ascii="Times New Roman" w:hAnsi="Times New Roman" w:eastAsia="宋体" w:cs="Times New Roman"/>
      <w:kern w:val="2"/>
      <w:sz w:val="21"/>
      <w:szCs w:val="24"/>
    </w:rPr>
  </w:style>
  <w:style w:type="character" w:customStyle="1" w:styleId="66">
    <w:name w:val="font41"/>
    <w:basedOn w:val="53"/>
    <w:qFormat/>
    <w:uiPriority w:val="0"/>
    <w:rPr>
      <w:rFonts w:hint="eastAsia" w:ascii="仿宋" w:hAnsi="仿宋" w:eastAsia="仿宋" w:cs="仿宋"/>
      <w:color w:val="000000"/>
      <w:sz w:val="20"/>
      <w:szCs w:val="20"/>
      <w:u w:val="none"/>
    </w:rPr>
  </w:style>
  <w:style w:type="character" w:customStyle="1" w:styleId="67">
    <w:name w:val="批注文字 Char2"/>
    <w:qFormat/>
    <w:uiPriority w:val="0"/>
    <w:rPr>
      <w:rFonts w:ascii="Times New Roman" w:hAnsi="Times New Roman"/>
      <w:kern w:val="2"/>
      <w:sz w:val="21"/>
      <w:szCs w:val="24"/>
    </w:rPr>
  </w:style>
  <w:style w:type="character" w:customStyle="1" w:styleId="68">
    <w:name w:val="标题 3 Char"/>
    <w:link w:val="5"/>
    <w:qFormat/>
    <w:uiPriority w:val="0"/>
    <w:rPr>
      <w:rFonts w:ascii="Times New Roman" w:hAnsi="Times New Roman" w:eastAsia="宋体" w:cs="Times New Roman"/>
      <w:b/>
      <w:bCs/>
      <w:sz w:val="32"/>
      <w:szCs w:val="32"/>
    </w:rPr>
  </w:style>
  <w:style w:type="character" w:customStyle="1" w:styleId="69">
    <w:name w:val="纯文本 Char"/>
    <w:link w:val="27"/>
    <w:qFormat/>
    <w:uiPriority w:val="0"/>
    <w:rPr>
      <w:rFonts w:ascii="宋体" w:hAnsi="Courier New" w:eastAsia="宋体" w:cs="Times New Roman"/>
      <w:szCs w:val="21"/>
    </w:rPr>
  </w:style>
  <w:style w:type="paragraph" w:styleId="70">
    <w:name w:val="List Paragraph"/>
    <w:basedOn w:val="1"/>
    <w:qFormat/>
    <w:uiPriority w:val="34"/>
    <w:pPr>
      <w:ind w:firstLine="420" w:firstLineChars="200"/>
    </w:pPr>
  </w:style>
  <w:style w:type="character" w:customStyle="1" w:styleId="71">
    <w:name w:val="正文文本 Char"/>
    <w:basedOn w:val="53"/>
    <w:link w:val="2"/>
    <w:qFormat/>
    <w:uiPriority w:val="99"/>
    <w:rPr>
      <w:rFonts w:ascii="Times New Roman" w:hAnsi="Times New Roman" w:eastAsia="宋体" w:cs="Times New Roman"/>
      <w:sz w:val="24"/>
      <w:szCs w:val="24"/>
    </w:rPr>
  </w:style>
  <w:style w:type="character" w:customStyle="1" w:styleId="72">
    <w:name w:val="标题 1 Char"/>
    <w:basedOn w:val="53"/>
    <w:link w:val="3"/>
    <w:qFormat/>
    <w:uiPriority w:val="9"/>
    <w:rPr>
      <w:rFonts w:ascii="Times New Roman" w:hAnsi="Times New Roman" w:eastAsia="宋体" w:cs="Times New Roman"/>
      <w:b/>
      <w:bCs/>
      <w:kern w:val="44"/>
      <w:sz w:val="44"/>
      <w:szCs w:val="44"/>
    </w:rPr>
  </w:style>
  <w:style w:type="character" w:customStyle="1" w:styleId="73">
    <w:name w:val="标题 2 Char"/>
    <w:basedOn w:val="53"/>
    <w:link w:val="4"/>
    <w:qFormat/>
    <w:uiPriority w:val="0"/>
    <w:rPr>
      <w:rFonts w:ascii="Arial" w:hAnsi="Arial" w:eastAsia="黑体" w:cs="Times New Roman"/>
      <w:b/>
      <w:bCs/>
      <w:sz w:val="32"/>
      <w:szCs w:val="32"/>
    </w:rPr>
  </w:style>
  <w:style w:type="character" w:customStyle="1" w:styleId="74">
    <w:name w:val="标题 5 Char"/>
    <w:basedOn w:val="53"/>
    <w:link w:val="7"/>
    <w:qFormat/>
    <w:uiPriority w:val="0"/>
    <w:rPr>
      <w:rFonts w:ascii="Times New Roman" w:hAnsi="Times New Roman" w:eastAsia="宋体" w:cs="Times New Roman"/>
      <w:b/>
      <w:kern w:val="2"/>
      <w:sz w:val="28"/>
      <w:szCs w:val="24"/>
    </w:rPr>
  </w:style>
  <w:style w:type="character" w:customStyle="1" w:styleId="75">
    <w:name w:val="正文文本 3 Char"/>
    <w:basedOn w:val="53"/>
    <w:link w:val="19"/>
    <w:qFormat/>
    <w:uiPriority w:val="0"/>
    <w:rPr>
      <w:rFonts w:ascii="Times New Roman" w:hAnsi="Times New Roman" w:eastAsia="宋体" w:cs="Times New Roman"/>
      <w:b/>
      <w:bCs/>
      <w:sz w:val="24"/>
      <w:szCs w:val="24"/>
    </w:rPr>
  </w:style>
  <w:style w:type="character" w:customStyle="1" w:styleId="76">
    <w:name w:val="正文文本缩进 Char"/>
    <w:basedOn w:val="53"/>
    <w:link w:val="20"/>
    <w:qFormat/>
    <w:uiPriority w:val="0"/>
    <w:rPr>
      <w:rFonts w:ascii="仿宋_GB2312" w:hAnsi="Times New Roman" w:eastAsia="仿宋_GB2312" w:cs="Times New Roman"/>
      <w:sz w:val="32"/>
    </w:rPr>
  </w:style>
  <w:style w:type="character" w:customStyle="1" w:styleId="77">
    <w:name w:val="页脚 Char"/>
    <w:basedOn w:val="53"/>
    <w:link w:val="32"/>
    <w:qFormat/>
    <w:uiPriority w:val="99"/>
    <w:rPr>
      <w:rFonts w:ascii="Times New Roman" w:hAnsi="Times New Roman" w:eastAsia="宋体" w:cs="Times New Roman"/>
      <w:sz w:val="18"/>
      <w:szCs w:val="18"/>
    </w:rPr>
  </w:style>
  <w:style w:type="character" w:customStyle="1" w:styleId="78">
    <w:name w:val="页眉 Char"/>
    <w:basedOn w:val="53"/>
    <w:link w:val="33"/>
    <w:qFormat/>
    <w:uiPriority w:val="99"/>
    <w:rPr>
      <w:rFonts w:ascii="Times New Roman" w:hAnsi="Times New Roman" w:eastAsia="宋体" w:cs="Times New Roman"/>
      <w:kern w:val="2"/>
      <w:sz w:val="18"/>
      <w:szCs w:val="18"/>
    </w:rPr>
  </w:style>
  <w:style w:type="character" w:customStyle="1" w:styleId="79">
    <w:name w:val="纯文本 Char1"/>
    <w:qFormat/>
    <w:uiPriority w:val="0"/>
    <w:rPr>
      <w:rFonts w:ascii="宋体" w:hAnsi="Courier New" w:eastAsia="宋体" w:cs="Courier New"/>
      <w:szCs w:val="21"/>
    </w:rPr>
  </w:style>
  <w:style w:type="character" w:customStyle="1" w:styleId="80">
    <w:name w:val="正文文本 Char2"/>
    <w:qFormat/>
    <w:uiPriority w:val="99"/>
    <w:rPr>
      <w:rFonts w:ascii="Times New Roman" w:hAnsi="Times New Roman" w:eastAsia="宋体" w:cs="Times New Roman"/>
      <w:sz w:val="24"/>
      <w:szCs w:val="24"/>
    </w:rPr>
  </w:style>
  <w:style w:type="character" w:customStyle="1" w:styleId="81">
    <w:name w:val="纯文本 Char2"/>
    <w:qFormat/>
    <w:uiPriority w:val="0"/>
    <w:rPr>
      <w:rFonts w:ascii="宋体" w:hAnsi="Courier New" w:eastAsia="宋体" w:cs="Courier New"/>
      <w:szCs w:val="21"/>
    </w:rPr>
  </w:style>
  <w:style w:type="paragraph" w:customStyle="1" w:styleId="82">
    <w:name w:val="Normal (Web)_file_123"/>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customStyle="1" w:styleId="83">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84">
    <w:name w:val="15"/>
    <w:qFormat/>
    <w:uiPriority w:val="0"/>
    <w:rPr>
      <w:rFonts w:hint="default" w:ascii="Times New Roman" w:hAnsi="Times New Roman" w:cs="Times New Roman"/>
      <w:color w:val="0000FF"/>
      <w:u w:val="single"/>
    </w:rPr>
  </w:style>
  <w:style w:type="paragraph" w:customStyle="1" w:styleId="85">
    <w:name w:val="null3"/>
    <w:qFormat/>
    <w:uiPriority w:val="0"/>
    <w:rPr>
      <w:rFonts w:hint="eastAsia" w:ascii="Calibri" w:hAnsi="Calibri" w:eastAsia="宋体" w:cs="Times New Roman"/>
      <w:lang w:val="en-US" w:eastAsia="zh-CN" w:bidi="ar-SA"/>
    </w:rPr>
  </w:style>
  <w:style w:type="character" w:customStyle="1" w:styleId="86">
    <w:name w:val="标题 4 Char"/>
    <w:basedOn w:val="53"/>
    <w:link w:val="6"/>
    <w:qFormat/>
    <w:uiPriority w:val="0"/>
    <w:rPr>
      <w:rFonts w:ascii="Arial" w:hAnsi="Arial" w:eastAsia="黑体"/>
      <w:sz w:val="28"/>
    </w:rPr>
  </w:style>
  <w:style w:type="character" w:customStyle="1" w:styleId="87">
    <w:name w:val="标题 6 Char"/>
    <w:basedOn w:val="53"/>
    <w:link w:val="8"/>
    <w:qFormat/>
    <w:uiPriority w:val="0"/>
    <w:rPr>
      <w:rFonts w:ascii="Arial" w:hAnsi="Arial" w:eastAsia="黑体"/>
      <w:b/>
      <w:kern w:val="2"/>
      <w:sz w:val="24"/>
      <w:szCs w:val="24"/>
    </w:rPr>
  </w:style>
  <w:style w:type="character" w:customStyle="1" w:styleId="88">
    <w:name w:val="标题 7 Char"/>
    <w:basedOn w:val="53"/>
    <w:link w:val="10"/>
    <w:qFormat/>
    <w:uiPriority w:val="0"/>
    <w:rPr>
      <w:rFonts w:ascii="Times New Roman" w:hAnsi="Times New Roman"/>
      <w:b/>
      <w:kern w:val="2"/>
      <w:sz w:val="24"/>
      <w:szCs w:val="24"/>
    </w:rPr>
  </w:style>
  <w:style w:type="character" w:customStyle="1" w:styleId="89">
    <w:name w:val="标题 8 Char"/>
    <w:basedOn w:val="53"/>
    <w:link w:val="11"/>
    <w:qFormat/>
    <w:uiPriority w:val="0"/>
    <w:rPr>
      <w:rFonts w:ascii="Arial" w:hAnsi="Arial" w:eastAsia="黑体"/>
      <w:kern w:val="2"/>
      <w:sz w:val="24"/>
      <w:szCs w:val="24"/>
    </w:rPr>
  </w:style>
  <w:style w:type="character" w:customStyle="1" w:styleId="90">
    <w:name w:val="标题 9 Char"/>
    <w:basedOn w:val="53"/>
    <w:link w:val="12"/>
    <w:qFormat/>
    <w:uiPriority w:val="0"/>
    <w:rPr>
      <w:rFonts w:ascii="Arial" w:hAnsi="Arial" w:eastAsia="黑体"/>
      <w:kern w:val="2"/>
      <w:sz w:val="21"/>
      <w:szCs w:val="24"/>
    </w:rPr>
  </w:style>
  <w:style w:type="character" w:customStyle="1" w:styleId="91">
    <w:name w:val="文档结构图 Char"/>
    <w:basedOn w:val="53"/>
    <w:link w:val="17"/>
    <w:qFormat/>
    <w:uiPriority w:val="0"/>
    <w:rPr>
      <w:rFonts w:ascii="Times New Roman" w:hAnsi="Times New Roman"/>
      <w:sz w:val="21"/>
      <w:shd w:val="clear" w:color="auto" w:fill="000080"/>
    </w:rPr>
  </w:style>
  <w:style w:type="character" w:customStyle="1" w:styleId="92">
    <w:name w:val="日期 Char"/>
    <w:basedOn w:val="53"/>
    <w:link w:val="29"/>
    <w:qFormat/>
    <w:uiPriority w:val="0"/>
    <w:rPr>
      <w:rFonts w:ascii="宋体" w:hAnsi="Courier New"/>
      <w:kern w:val="2"/>
      <w:sz w:val="21"/>
      <w:szCs w:val="21"/>
    </w:rPr>
  </w:style>
  <w:style w:type="character" w:customStyle="1" w:styleId="93">
    <w:name w:val="正文文本缩进 2 Char"/>
    <w:basedOn w:val="53"/>
    <w:link w:val="30"/>
    <w:qFormat/>
    <w:uiPriority w:val="0"/>
    <w:rPr>
      <w:rFonts w:ascii="Times New Roman" w:hAnsi="Times New Roman"/>
      <w:kern w:val="2"/>
      <w:sz w:val="32"/>
    </w:rPr>
  </w:style>
  <w:style w:type="character" w:customStyle="1" w:styleId="94">
    <w:name w:val="正文文本缩进 3 Char"/>
    <w:basedOn w:val="53"/>
    <w:link w:val="39"/>
    <w:qFormat/>
    <w:uiPriority w:val="0"/>
    <w:rPr>
      <w:rFonts w:ascii="Times New Roman" w:hAnsi="Times New Roman"/>
      <w:kern w:val="2"/>
      <w:sz w:val="16"/>
      <w:szCs w:val="16"/>
    </w:rPr>
  </w:style>
  <w:style w:type="character" w:customStyle="1" w:styleId="95">
    <w:name w:val="正文文本 2 Char"/>
    <w:basedOn w:val="53"/>
    <w:link w:val="42"/>
    <w:qFormat/>
    <w:uiPriority w:val="0"/>
    <w:rPr>
      <w:rFonts w:ascii="Times New Roman" w:hAnsi="Times New Roman"/>
      <w:kern w:val="2"/>
      <w:sz w:val="21"/>
      <w:szCs w:val="24"/>
    </w:rPr>
  </w:style>
  <w:style w:type="character" w:customStyle="1" w:styleId="96">
    <w:name w:val="HTML 预设格式 Char"/>
    <w:basedOn w:val="53"/>
    <w:link w:val="45"/>
    <w:qFormat/>
    <w:uiPriority w:val="0"/>
    <w:rPr>
      <w:rFonts w:ascii="黑体" w:hAnsi="Courier New" w:eastAsia="黑体"/>
    </w:rPr>
  </w:style>
  <w:style w:type="character" w:customStyle="1" w:styleId="97">
    <w:name w:val="标题 Char"/>
    <w:basedOn w:val="53"/>
    <w:link w:val="48"/>
    <w:qFormat/>
    <w:uiPriority w:val="10"/>
    <w:rPr>
      <w:rFonts w:ascii="Times New Roman" w:hAnsi="Times New Roman"/>
      <w:kern w:val="2"/>
      <w:sz w:val="30"/>
      <w:szCs w:val="24"/>
    </w:rPr>
  </w:style>
  <w:style w:type="character" w:customStyle="1" w:styleId="98">
    <w:name w:val="正文首行缩进 Char"/>
    <w:basedOn w:val="71"/>
    <w:link w:val="50"/>
    <w:qFormat/>
    <w:uiPriority w:val="0"/>
    <w:rPr>
      <w:kern w:val="2"/>
      <w:sz w:val="21"/>
    </w:rPr>
  </w:style>
  <w:style w:type="character" w:customStyle="1" w:styleId="99">
    <w:name w:val="正文首行缩进 2 Char"/>
    <w:basedOn w:val="76"/>
    <w:link w:val="51"/>
    <w:qFormat/>
    <w:uiPriority w:val="0"/>
  </w:style>
  <w:style w:type="character" w:customStyle="1" w:styleId="100">
    <w:name w:val="标题 2 Char1"/>
    <w:qFormat/>
    <w:uiPriority w:val="0"/>
    <w:rPr>
      <w:rFonts w:ascii="Arial" w:hAnsi="Arial" w:eastAsia="黑体"/>
      <w:b/>
      <w:bCs/>
      <w:kern w:val="2"/>
      <w:sz w:val="32"/>
      <w:szCs w:val="32"/>
    </w:rPr>
  </w:style>
  <w:style w:type="character" w:customStyle="1" w:styleId="101">
    <w:name w:val="批注文字 Char1"/>
    <w:qFormat/>
    <w:uiPriority w:val="0"/>
    <w:rPr>
      <w:kern w:val="2"/>
      <w:sz w:val="21"/>
      <w:szCs w:val="24"/>
    </w:rPr>
  </w:style>
  <w:style w:type="character" w:customStyle="1" w:styleId="102">
    <w:name w:val="graytext1"/>
    <w:qFormat/>
    <w:uiPriority w:val="0"/>
    <w:rPr>
      <w:color w:val="666666"/>
    </w:rPr>
  </w:style>
  <w:style w:type="character" w:customStyle="1" w:styleId="103">
    <w:name w:val="white"/>
    <w:qFormat/>
    <w:uiPriority w:val="0"/>
  </w:style>
  <w:style w:type="character" w:customStyle="1" w:styleId="104">
    <w:name w:val="text11"/>
    <w:qFormat/>
    <w:uiPriority w:val="0"/>
    <w:rPr>
      <w:rFonts w:hint="default" w:ascii="Verdana" w:hAnsi="Verdana"/>
      <w:color w:val="4E4E4E"/>
      <w:sz w:val="18"/>
      <w:szCs w:val="18"/>
    </w:rPr>
  </w:style>
  <w:style w:type="character" w:customStyle="1" w:styleId="105">
    <w:name w:val="gray12"/>
    <w:qFormat/>
    <w:uiPriority w:val="0"/>
  </w:style>
  <w:style w:type="character" w:customStyle="1" w:styleId="106">
    <w:name w:val="font01"/>
    <w:qFormat/>
    <w:uiPriority w:val="0"/>
    <w:rPr>
      <w:rFonts w:hint="eastAsia" w:ascii="宋体" w:hAnsi="宋体" w:eastAsia="宋体"/>
      <w:color w:val="000000"/>
      <w:sz w:val="22"/>
      <w:szCs w:val="22"/>
      <w:u w:val="none"/>
    </w:rPr>
  </w:style>
  <w:style w:type="character" w:customStyle="1" w:styleId="107">
    <w:name w:val="mark8"/>
    <w:qFormat/>
    <w:uiPriority w:val="0"/>
    <w:rPr>
      <w:b/>
      <w:bCs/>
      <w:sz w:val="21"/>
      <w:szCs w:val="21"/>
    </w:rPr>
  </w:style>
  <w:style w:type="character" w:customStyle="1" w:styleId="108">
    <w:name w:val="short_text1"/>
    <w:qFormat/>
    <w:uiPriority w:val="0"/>
    <w:rPr>
      <w:sz w:val="26"/>
    </w:rPr>
  </w:style>
  <w:style w:type="character" w:customStyle="1" w:styleId="109">
    <w:name w:val="1ji Char"/>
    <w:link w:val="110"/>
    <w:qFormat/>
    <w:uiPriority w:val="0"/>
    <w:rPr>
      <w:rFonts w:ascii="宋体" w:hAnsi="宋体"/>
      <w:b/>
      <w:bCs/>
      <w:kern w:val="44"/>
      <w:sz w:val="36"/>
      <w:szCs w:val="44"/>
    </w:rPr>
  </w:style>
  <w:style w:type="paragraph" w:customStyle="1" w:styleId="110">
    <w:name w:val="1ji"/>
    <w:basedOn w:val="3"/>
    <w:link w:val="109"/>
    <w:qFormat/>
    <w:uiPriority w:val="0"/>
    <w:pPr>
      <w:keepLines w:val="0"/>
      <w:widowControl/>
      <w:spacing w:before="0" w:after="0" w:line="240" w:lineRule="auto"/>
      <w:jc w:val="center"/>
    </w:pPr>
    <w:rPr>
      <w:rFonts w:ascii="宋体" w:hAnsi="宋体"/>
      <w:sz w:val="36"/>
    </w:rPr>
  </w:style>
  <w:style w:type="character" w:customStyle="1" w:styleId="111">
    <w:name w:val="批注主题 字符"/>
    <w:qFormat/>
    <w:uiPriority w:val="0"/>
    <w:rPr>
      <w:b/>
      <w:bCs/>
      <w:kern w:val="2"/>
      <w:sz w:val="21"/>
      <w:szCs w:val="24"/>
    </w:rPr>
  </w:style>
  <w:style w:type="character" w:customStyle="1" w:styleId="112">
    <w:name w:val="f151"/>
    <w:qFormat/>
    <w:uiPriority w:val="0"/>
    <w:rPr>
      <w:sz w:val="23"/>
      <w:szCs w:val="23"/>
    </w:rPr>
  </w:style>
  <w:style w:type="character" w:customStyle="1" w:styleId="113">
    <w:name w:val="content2"/>
    <w:qFormat/>
    <w:uiPriority w:val="0"/>
  </w:style>
  <w:style w:type="character" w:customStyle="1" w:styleId="114">
    <w:name w:val="062"/>
    <w:qFormat/>
    <w:uiPriority w:val="0"/>
    <w:rPr>
      <w:rFonts w:ascii="宋体" w:hAnsi="宋体"/>
      <w:b/>
      <w:bCs/>
      <w:sz w:val="32"/>
    </w:rPr>
  </w:style>
  <w:style w:type="character" w:customStyle="1" w:styleId="115">
    <w:name w:val="small"/>
    <w:qFormat/>
    <w:uiPriority w:val="0"/>
  </w:style>
  <w:style w:type="character" w:customStyle="1" w:styleId="116">
    <w:name w:val="页眉 字符"/>
    <w:qFormat/>
    <w:uiPriority w:val="99"/>
    <w:rPr>
      <w:kern w:val="2"/>
      <w:sz w:val="18"/>
      <w:szCs w:val="18"/>
    </w:rPr>
  </w:style>
  <w:style w:type="character" w:customStyle="1" w:styleId="117">
    <w:name w:val="标题 字符"/>
    <w:qFormat/>
    <w:uiPriority w:val="10"/>
    <w:rPr>
      <w:rFonts w:ascii="等线 Light" w:hAnsi="等线 Light" w:eastAsia="等线 Light" w:cs="Times New Roman"/>
      <w:b/>
      <w:bCs/>
      <w:kern w:val="2"/>
      <w:sz w:val="32"/>
      <w:szCs w:val="32"/>
    </w:rPr>
  </w:style>
  <w:style w:type="character" w:customStyle="1" w:styleId="118">
    <w:name w:val="批注文字 字符"/>
    <w:qFormat/>
    <w:uiPriority w:val="0"/>
    <w:rPr>
      <w:kern w:val="2"/>
      <w:sz w:val="21"/>
      <w:szCs w:val="24"/>
    </w:rPr>
  </w:style>
  <w:style w:type="character" w:customStyle="1" w:styleId="119">
    <w:name w:val="z-窗体顶端 字符1"/>
    <w:link w:val="120"/>
    <w:qFormat/>
    <w:uiPriority w:val="0"/>
    <w:rPr>
      <w:rFonts w:ascii="Arial"/>
      <w:vanish/>
      <w:kern w:val="2"/>
      <w:sz w:val="16"/>
      <w:szCs w:val="24"/>
    </w:rPr>
  </w:style>
  <w:style w:type="paragraph" w:customStyle="1" w:styleId="120">
    <w:name w:val="z-窗体顶端1"/>
    <w:basedOn w:val="1"/>
    <w:next w:val="1"/>
    <w:link w:val="119"/>
    <w:qFormat/>
    <w:uiPriority w:val="0"/>
    <w:pPr>
      <w:pBdr>
        <w:bottom w:val="single" w:color="auto" w:sz="6" w:space="1"/>
      </w:pBdr>
      <w:jc w:val="center"/>
    </w:pPr>
    <w:rPr>
      <w:rFonts w:ascii="Arial" w:hAnsi="Calibri"/>
      <w:vanish/>
      <w:sz w:val="16"/>
    </w:rPr>
  </w:style>
  <w:style w:type="character" w:customStyle="1" w:styleId="121">
    <w:name w:val="highlight"/>
    <w:qFormat/>
    <w:uiPriority w:val="0"/>
  </w:style>
  <w:style w:type="character" w:customStyle="1" w:styleId="122">
    <w:name w:val="1051"/>
    <w:qFormat/>
    <w:uiPriority w:val="0"/>
    <w:rPr>
      <w:sz w:val="21"/>
      <w:szCs w:val="21"/>
    </w:rPr>
  </w:style>
  <w:style w:type="character" w:customStyle="1" w:styleId="123">
    <w:name w:val="style21"/>
    <w:qFormat/>
    <w:uiPriority w:val="0"/>
    <w:rPr>
      <w:sz w:val="17"/>
      <w:szCs w:val="17"/>
    </w:rPr>
  </w:style>
  <w:style w:type="character" w:customStyle="1" w:styleId="124">
    <w:name w:val="unnamed3"/>
    <w:qFormat/>
    <w:uiPriority w:val="0"/>
  </w:style>
  <w:style w:type="character" w:customStyle="1" w:styleId="125">
    <w:name w:val="fd"/>
    <w:qFormat/>
    <w:uiPriority w:val="0"/>
  </w:style>
  <w:style w:type="character" w:customStyle="1" w:styleId="126">
    <w:name w:val="case31"/>
    <w:qFormat/>
    <w:uiPriority w:val="0"/>
    <w:rPr>
      <w:rFonts w:hint="default"/>
      <w:sz w:val="21"/>
      <w:szCs w:val="21"/>
    </w:rPr>
  </w:style>
  <w:style w:type="character" w:customStyle="1" w:styleId="127">
    <w:name w:val="标题3 Char"/>
    <w:link w:val="128"/>
    <w:qFormat/>
    <w:uiPriority w:val="0"/>
    <w:rPr>
      <w:rFonts w:ascii="宋体" w:hAnsi="宋体"/>
      <w:b/>
      <w:bCs/>
      <w:kern w:val="44"/>
      <w:sz w:val="24"/>
      <w:szCs w:val="24"/>
    </w:rPr>
  </w:style>
  <w:style w:type="paragraph" w:customStyle="1" w:styleId="128">
    <w:name w:val="标题3"/>
    <w:basedOn w:val="3"/>
    <w:link w:val="127"/>
    <w:qFormat/>
    <w:uiPriority w:val="0"/>
    <w:pPr>
      <w:spacing w:beforeLines="50" w:afterLines="50" w:line="400" w:lineRule="exact"/>
    </w:pPr>
    <w:rPr>
      <w:rFonts w:ascii="宋体" w:hAnsi="宋体"/>
      <w:sz w:val="24"/>
      <w:szCs w:val="24"/>
    </w:rPr>
  </w:style>
  <w:style w:type="character" w:customStyle="1" w:styleId="129">
    <w:name w:val="标题 1 字符"/>
    <w:qFormat/>
    <w:uiPriority w:val="9"/>
    <w:rPr>
      <w:b/>
      <w:bCs/>
      <w:kern w:val="44"/>
      <w:sz w:val="44"/>
      <w:szCs w:val="44"/>
    </w:rPr>
  </w:style>
  <w:style w:type="character" w:customStyle="1" w:styleId="130">
    <w:name w:val="页脚 字符"/>
    <w:qFormat/>
    <w:uiPriority w:val="99"/>
    <w:rPr>
      <w:kern w:val="2"/>
      <w:sz w:val="18"/>
      <w:szCs w:val="18"/>
    </w:rPr>
  </w:style>
  <w:style w:type="character" w:customStyle="1" w:styleId="131">
    <w:name w:val="apple-converted-space"/>
    <w:qFormat/>
    <w:uiPriority w:val="0"/>
  </w:style>
  <w:style w:type="character" w:customStyle="1" w:styleId="132">
    <w:name w:val="纯文本 字符"/>
    <w:qFormat/>
    <w:uiPriority w:val="99"/>
    <w:rPr>
      <w:rFonts w:ascii="等线" w:hAnsi="Courier New" w:eastAsia="等线" w:cs="Courier New"/>
      <w:kern w:val="2"/>
      <w:sz w:val="21"/>
      <w:szCs w:val="24"/>
    </w:rPr>
  </w:style>
  <w:style w:type="character" w:customStyle="1" w:styleId="133">
    <w:name w:val="style11"/>
    <w:qFormat/>
    <w:uiPriority w:val="0"/>
    <w:rPr>
      <w:rFonts w:hint="default" w:ascii="Arial" w:hAnsi="Arial" w:cs="Arial"/>
    </w:rPr>
  </w:style>
  <w:style w:type="character" w:customStyle="1" w:styleId="134">
    <w:name w:val="正文文本 字符"/>
    <w:qFormat/>
    <w:uiPriority w:val="99"/>
    <w:rPr>
      <w:kern w:val="2"/>
      <w:sz w:val="21"/>
      <w:szCs w:val="24"/>
    </w:rPr>
  </w:style>
  <w:style w:type="paragraph" w:customStyle="1" w:styleId="135">
    <w:name w:val="Char Char Char Char Char Char Char"/>
    <w:basedOn w:val="1"/>
    <w:qFormat/>
    <w:uiPriority w:val="0"/>
  </w:style>
  <w:style w:type="paragraph" w:customStyle="1" w:styleId="136">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7">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38">
    <w:name w:val="paragraphindent"/>
    <w:basedOn w:val="1"/>
    <w:qFormat/>
    <w:uiPriority w:val="0"/>
    <w:pPr>
      <w:widowControl/>
      <w:spacing w:before="100" w:beforeAutospacing="1" w:after="100" w:afterAutospacing="1"/>
      <w:jc w:val="left"/>
    </w:pPr>
    <w:rPr>
      <w:rFonts w:ascii="宋体" w:hAnsi="宋体" w:cs="宋体"/>
      <w:kern w:val="0"/>
      <w:sz w:val="24"/>
    </w:rPr>
  </w:style>
  <w:style w:type="paragraph" w:customStyle="1" w:styleId="139">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40">
    <w:name w:val="Char Char Char"/>
    <w:basedOn w:val="17"/>
    <w:qFormat/>
    <w:uiPriority w:val="0"/>
    <w:pPr>
      <w:adjustRightInd/>
      <w:spacing w:line="240" w:lineRule="auto"/>
      <w:textAlignment w:val="auto"/>
    </w:pPr>
    <w:rPr>
      <w:rFonts w:ascii="Tahoma" w:hAnsi="Tahoma"/>
      <w:kern w:val="2"/>
      <w:sz w:val="24"/>
      <w:szCs w:val="24"/>
    </w:rPr>
  </w:style>
  <w:style w:type="paragraph" w:customStyle="1" w:styleId="14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42">
    <w:name w:val="_Style 109"/>
    <w:basedOn w:val="1"/>
    <w:next w:val="70"/>
    <w:qFormat/>
    <w:uiPriority w:val="34"/>
    <w:pPr>
      <w:ind w:firstLine="420" w:firstLineChars="200"/>
    </w:pPr>
    <w:rPr>
      <w:rFonts w:ascii="Calibri" w:hAnsi="Calibri"/>
      <w:szCs w:val="22"/>
    </w:rPr>
  </w:style>
  <w:style w:type="paragraph" w:customStyle="1" w:styleId="143">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4">
    <w:name w:val="图"/>
    <w:basedOn w:val="1"/>
    <w:qFormat/>
    <w:uiPriority w:val="0"/>
    <w:pPr>
      <w:keepNext/>
      <w:adjustRightInd w:val="0"/>
      <w:snapToGrid w:val="0"/>
      <w:spacing w:before="60" w:after="60" w:line="300" w:lineRule="auto"/>
      <w:jc w:val="center"/>
    </w:pPr>
    <w:rPr>
      <w:spacing w:val="20"/>
      <w:kern w:val="0"/>
      <w:sz w:val="24"/>
      <w:szCs w:val="20"/>
    </w:rPr>
  </w:style>
  <w:style w:type="paragraph" w:customStyle="1" w:styleId="145">
    <w:name w:val="2-2ji"/>
    <w:basedOn w:val="4"/>
    <w:qFormat/>
    <w:uiPriority w:val="0"/>
    <w:pPr>
      <w:adjustRightInd w:val="0"/>
      <w:spacing w:before="0" w:after="0" w:line="360" w:lineRule="auto"/>
      <w:jc w:val="center"/>
      <w:textAlignment w:val="baseline"/>
    </w:pPr>
    <w:rPr>
      <w:rFonts w:ascii="宋体" w:hAnsi="宋体" w:eastAsia="宋体"/>
      <w:bCs w:val="0"/>
      <w:sz w:val="36"/>
    </w:rPr>
  </w:style>
  <w:style w:type="paragraph" w:customStyle="1" w:styleId="146">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47">
    <w:name w:val="Char Char Char Char Char Char Char1"/>
    <w:basedOn w:val="1"/>
    <w:qFormat/>
    <w:uiPriority w:val="0"/>
  </w:style>
  <w:style w:type="paragraph" w:customStyle="1" w:styleId="148">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9">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50">
    <w:name w:val="tgt1"/>
    <w:basedOn w:val="1"/>
    <w:qFormat/>
    <w:uiPriority w:val="0"/>
    <w:pPr>
      <w:widowControl/>
      <w:spacing w:after="150"/>
      <w:jc w:val="left"/>
    </w:pPr>
    <w:rPr>
      <w:rFonts w:ascii="宋体" w:hAnsi="宋体" w:cs="宋体"/>
      <w:kern w:val="0"/>
      <w:sz w:val="24"/>
    </w:rPr>
  </w:style>
  <w:style w:type="paragraph" w:customStyle="1" w:styleId="151">
    <w:name w:val="444"/>
    <w:basedOn w:val="1"/>
    <w:qFormat/>
    <w:uiPriority w:val="0"/>
    <w:pPr>
      <w:adjustRightInd w:val="0"/>
      <w:spacing w:line="312" w:lineRule="atLeast"/>
      <w:jc w:val="center"/>
      <w:textAlignment w:val="baseline"/>
    </w:pPr>
    <w:rPr>
      <w:b/>
      <w:kern w:val="0"/>
      <w:sz w:val="36"/>
      <w:szCs w:val="36"/>
    </w:rPr>
  </w:style>
  <w:style w:type="paragraph" w:customStyle="1" w:styleId="152">
    <w:name w:val="表格"/>
    <w:basedOn w:val="1"/>
    <w:qFormat/>
    <w:uiPriority w:val="0"/>
    <w:pPr>
      <w:spacing w:line="400" w:lineRule="exact"/>
    </w:pPr>
    <w:rPr>
      <w:sz w:val="24"/>
    </w:rPr>
  </w:style>
  <w:style w:type="paragraph" w:customStyle="1" w:styleId="153">
    <w:name w:val="F2"/>
    <w:basedOn w:val="1"/>
    <w:qFormat/>
    <w:uiPriority w:val="0"/>
    <w:pPr>
      <w:autoSpaceDE w:val="0"/>
      <w:autoSpaceDN w:val="0"/>
      <w:adjustRightInd w:val="0"/>
      <w:ind w:firstLine="601"/>
      <w:textAlignment w:val="baseline"/>
    </w:pPr>
    <w:rPr>
      <w:kern w:val="0"/>
      <w:sz w:val="24"/>
      <w:szCs w:val="20"/>
    </w:rPr>
  </w:style>
  <w:style w:type="paragraph" w:customStyle="1" w:styleId="154">
    <w:name w:val="2ji"/>
    <w:basedOn w:val="4"/>
    <w:qFormat/>
    <w:uiPriority w:val="0"/>
    <w:pPr>
      <w:adjustRightInd w:val="0"/>
      <w:spacing w:before="0" w:after="0" w:line="360" w:lineRule="auto"/>
      <w:textAlignment w:val="baseline"/>
    </w:pPr>
    <w:rPr>
      <w:rFonts w:ascii="宋体" w:hAnsi="宋体" w:eastAsia="宋体"/>
      <w:sz w:val="21"/>
      <w:szCs w:val="21"/>
    </w:rPr>
  </w:style>
  <w:style w:type="paragraph" w:customStyle="1" w:styleId="155">
    <w:name w:val="Char Char Char1"/>
    <w:basedOn w:val="17"/>
    <w:qFormat/>
    <w:uiPriority w:val="0"/>
    <w:pPr>
      <w:adjustRightInd/>
      <w:spacing w:line="240" w:lineRule="auto"/>
      <w:textAlignment w:val="auto"/>
    </w:pPr>
    <w:rPr>
      <w:rFonts w:ascii="Tahoma" w:hAnsi="Tahoma"/>
      <w:kern w:val="2"/>
      <w:sz w:val="24"/>
      <w:szCs w:val="24"/>
    </w:rPr>
  </w:style>
  <w:style w:type="paragraph" w:customStyle="1" w:styleId="156">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2"/>
      <w:sz w:val="24"/>
      <w:szCs w:val="20"/>
    </w:rPr>
  </w:style>
  <w:style w:type="paragraph" w:customStyle="1" w:styleId="15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158">
    <w:name w:val="次小点说明 Char"/>
    <w:basedOn w:val="9"/>
    <w:qFormat/>
    <w:uiPriority w:val="0"/>
    <w:pPr>
      <w:ind w:firstLine="0"/>
    </w:pPr>
    <w:rPr>
      <w:sz w:val="24"/>
      <w:szCs w:val="24"/>
    </w:rPr>
  </w:style>
  <w:style w:type="paragraph" w:customStyle="1" w:styleId="159">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6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kern w:val="0"/>
      <w:szCs w:val="21"/>
    </w:rPr>
  </w:style>
  <w:style w:type="paragraph" w:customStyle="1" w:styleId="161">
    <w:name w:val="Char Char Char Char Char Char Char Char Char Char Char Char Char"/>
    <w:basedOn w:val="17"/>
    <w:qFormat/>
    <w:uiPriority w:val="0"/>
    <w:pPr>
      <w:adjustRightInd/>
      <w:spacing w:line="240" w:lineRule="auto"/>
      <w:textAlignment w:val="auto"/>
    </w:pPr>
    <w:rPr>
      <w:rFonts w:ascii="Tahoma" w:hAnsi="Tahoma"/>
      <w:kern w:val="2"/>
      <w:sz w:val="24"/>
      <w:szCs w:val="24"/>
    </w:rPr>
  </w:style>
  <w:style w:type="paragraph" w:customStyle="1" w:styleId="162">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163">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64">
    <w:name w:val="样式1"/>
    <w:basedOn w:val="1"/>
    <w:qFormat/>
    <w:uiPriority w:val="0"/>
    <w:pPr>
      <w:spacing w:before="120" w:after="120" w:line="300" w:lineRule="auto"/>
    </w:pPr>
    <w:rPr>
      <w:rFonts w:ascii="宋体" w:hAnsi="宋体"/>
      <w:b/>
      <w:sz w:val="24"/>
      <w:szCs w:val="20"/>
    </w:rPr>
  </w:style>
  <w:style w:type="paragraph" w:customStyle="1" w:styleId="165">
    <w:name w:val="Char Char Char Char Char Char Char Char Char Char Char Char Char1"/>
    <w:basedOn w:val="17"/>
    <w:qFormat/>
    <w:uiPriority w:val="0"/>
    <w:pPr>
      <w:adjustRightInd/>
      <w:spacing w:line="240" w:lineRule="auto"/>
      <w:textAlignment w:val="auto"/>
    </w:pPr>
    <w:rPr>
      <w:rFonts w:ascii="Tahoma" w:hAnsi="Tahoma"/>
      <w:kern w:val="2"/>
      <w:sz w:val="24"/>
      <w:szCs w:val="24"/>
    </w:rPr>
  </w:style>
  <w:style w:type="paragraph" w:customStyle="1" w:styleId="166">
    <w:name w:val="默认段落字体 Para Char"/>
    <w:basedOn w:val="1"/>
    <w:qFormat/>
    <w:uiPriority w:val="0"/>
    <w:pPr>
      <w:adjustRightInd w:val="0"/>
      <w:spacing w:line="360" w:lineRule="auto"/>
    </w:pPr>
    <w:rPr>
      <w:kern w:val="0"/>
      <w:sz w:val="24"/>
      <w:szCs w:val="20"/>
    </w:rPr>
  </w:style>
  <w:style w:type="paragraph" w:customStyle="1" w:styleId="167">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a9"/>
    <w:basedOn w:val="1"/>
    <w:qFormat/>
    <w:uiPriority w:val="0"/>
    <w:pPr>
      <w:widowControl/>
      <w:spacing w:before="100" w:beforeAutospacing="1" w:after="100" w:afterAutospacing="1"/>
      <w:jc w:val="left"/>
    </w:pPr>
    <w:rPr>
      <w:rFonts w:ascii="宋体" w:hAnsi="宋体" w:cs="宋体"/>
      <w:kern w:val="0"/>
      <w:sz w:val="24"/>
    </w:rPr>
  </w:style>
  <w:style w:type="paragraph" w:customStyle="1" w:styleId="169">
    <w:name w:val="xl2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70">
    <w:name w:val="Char4"/>
    <w:basedOn w:val="1"/>
    <w:qFormat/>
    <w:uiPriority w:val="0"/>
    <w:pPr>
      <w:tabs>
        <w:tab w:val="left" w:pos="360"/>
      </w:tabs>
      <w:ind w:left="252" w:hanging="252" w:hangingChars="140"/>
    </w:pPr>
    <w:rPr>
      <w:rFonts w:ascii="宋体"/>
      <w:sz w:val="18"/>
      <w:szCs w:val="18"/>
    </w:rPr>
  </w:style>
  <w:style w:type="paragraph" w:customStyle="1" w:styleId="17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7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7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74">
    <w:name w:val="正文首行缩进两字符"/>
    <w:basedOn w:val="1"/>
    <w:qFormat/>
    <w:uiPriority w:val="0"/>
    <w:pPr>
      <w:spacing w:line="360" w:lineRule="auto"/>
      <w:ind w:firstLine="200" w:firstLineChars="200"/>
    </w:pPr>
  </w:style>
  <w:style w:type="paragraph" w:customStyle="1" w:styleId="175">
    <w:name w:val="正文段"/>
    <w:basedOn w:val="1"/>
    <w:qFormat/>
    <w:uiPriority w:val="0"/>
    <w:pPr>
      <w:widowControl/>
      <w:snapToGrid w:val="0"/>
      <w:spacing w:afterLines="50"/>
      <w:ind w:firstLine="200" w:firstLineChars="200"/>
    </w:pPr>
    <w:rPr>
      <w:kern w:val="0"/>
      <w:sz w:val="24"/>
      <w:szCs w:val="20"/>
    </w:rPr>
  </w:style>
  <w:style w:type="paragraph" w:customStyle="1" w:styleId="176">
    <w:name w:val="默认段落字体 Para Char Char Char Char Char Char Char Char Char1 Char Char Char Char"/>
    <w:basedOn w:val="1"/>
    <w:qFormat/>
    <w:uiPriority w:val="0"/>
    <w:rPr>
      <w:rFonts w:ascii="Tahoma" w:hAnsi="Tahoma"/>
      <w:sz w:val="24"/>
      <w:szCs w:val="20"/>
    </w:rPr>
  </w:style>
  <w:style w:type="paragraph" w:customStyle="1" w:styleId="177">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kern w:val="2"/>
      <w:sz w:val="28"/>
      <w:szCs w:val="20"/>
    </w:rPr>
  </w:style>
  <w:style w:type="paragraph" w:customStyle="1" w:styleId="178">
    <w:name w:val="1"/>
    <w:basedOn w:val="1"/>
    <w:next w:val="27"/>
    <w:qFormat/>
    <w:uiPriority w:val="0"/>
    <w:rPr>
      <w:rFonts w:ascii="宋体" w:hAnsi="Courier New"/>
      <w:szCs w:val="20"/>
    </w:rPr>
  </w:style>
  <w:style w:type="paragraph" w:customStyle="1" w:styleId="179">
    <w:name w:val="Char1"/>
    <w:basedOn w:val="1"/>
    <w:qFormat/>
    <w:uiPriority w:val="0"/>
    <w:rPr>
      <w:szCs w:val="21"/>
    </w:rPr>
  </w:style>
  <w:style w:type="paragraph" w:customStyle="1" w:styleId="180">
    <w:name w:val="五号正文（标准）"/>
    <w:basedOn w:val="1"/>
    <w:qFormat/>
    <w:uiPriority w:val="0"/>
    <w:pPr>
      <w:spacing w:line="360" w:lineRule="auto"/>
      <w:ind w:right="55" w:firstLine="560" w:firstLineChars="200"/>
    </w:pPr>
    <w:rPr>
      <w:rFonts w:eastAsia="仿宋_GB2312"/>
      <w:sz w:val="28"/>
      <w:szCs w:val="20"/>
    </w:rPr>
  </w:style>
  <w:style w:type="paragraph" w:customStyle="1" w:styleId="18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2">
    <w:name w:val="Char Char Char2"/>
    <w:basedOn w:val="1"/>
    <w:qFormat/>
    <w:uiPriority w:val="0"/>
    <w:rPr>
      <w:rFonts w:ascii="Tahoma" w:hAnsi="Tahoma"/>
      <w:sz w:val="24"/>
      <w:szCs w:val="20"/>
    </w:rPr>
  </w:style>
  <w:style w:type="paragraph" w:customStyle="1" w:styleId="183">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84">
    <w:name w:val="List Paragraph1"/>
    <w:basedOn w:val="1"/>
    <w:qFormat/>
    <w:uiPriority w:val="0"/>
    <w:pPr>
      <w:ind w:firstLine="420" w:firstLineChars="200"/>
    </w:pPr>
    <w:rPr>
      <w:rFonts w:ascii="Calibri" w:hAnsi="Calibri"/>
      <w:szCs w:val="22"/>
    </w:rPr>
  </w:style>
  <w:style w:type="paragraph" w:customStyle="1" w:styleId="185">
    <w:name w:val="样式 首行缩进:  2 字符"/>
    <w:basedOn w:val="1"/>
    <w:qFormat/>
    <w:uiPriority w:val="0"/>
    <w:pPr>
      <w:spacing w:line="400" w:lineRule="exact"/>
      <w:ind w:firstLine="200" w:firstLineChars="200"/>
    </w:pPr>
    <w:rPr>
      <w:rFonts w:cs="宋体"/>
      <w:sz w:val="24"/>
    </w:rPr>
  </w:style>
  <w:style w:type="paragraph" w:customStyle="1" w:styleId="186">
    <w:name w:val="普通 (Web)"/>
    <w:basedOn w:val="1"/>
    <w:qFormat/>
    <w:uiPriority w:val="0"/>
    <w:pPr>
      <w:widowControl/>
      <w:spacing w:before="100" w:beforeAutospacing="1" w:after="100" w:afterAutospacing="1"/>
      <w:jc w:val="left"/>
    </w:pPr>
    <w:rPr>
      <w:rFonts w:ascii="宋体" w:hAnsi="宋体"/>
      <w:kern w:val="0"/>
      <w:sz w:val="24"/>
    </w:rPr>
  </w:style>
  <w:style w:type="paragraph" w:customStyle="1" w:styleId="187">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88">
    <w:name w:val="Char Char Char Char Char Char1 Char1"/>
    <w:basedOn w:val="1"/>
    <w:qFormat/>
    <w:uiPriority w:val="0"/>
    <w:pPr>
      <w:widowControl/>
      <w:spacing w:after="160" w:line="240" w:lineRule="exact"/>
      <w:jc w:val="left"/>
    </w:pPr>
    <w:rPr>
      <w:rFonts w:ascii="Arial" w:hAnsi="Arial" w:eastAsia="Times New Roman" w:cs="Verdana"/>
      <w:b/>
      <w:kern w:val="0"/>
      <w:sz w:val="24"/>
      <w:szCs w:val="20"/>
      <w:lang w:eastAsia="en-US"/>
    </w:rPr>
  </w:style>
  <w:style w:type="character" w:customStyle="1" w:styleId="189">
    <w:name w:val="未处理的提及1"/>
    <w:unhideWhenUsed/>
    <w:qFormat/>
    <w:uiPriority w:val="99"/>
    <w:rPr>
      <w:color w:val="605E5C"/>
      <w:shd w:val="clear" w:color="auto" w:fill="E1DFDD"/>
    </w:rPr>
  </w:style>
  <w:style w:type="character" w:styleId="190">
    <w:name w:val="Placeholder Text"/>
    <w:unhideWhenUsed/>
    <w:qFormat/>
    <w:uiPriority w:val="99"/>
    <w:rPr>
      <w:color w:val="808080"/>
    </w:rPr>
  </w:style>
  <w:style w:type="paragraph" w:customStyle="1" w:styleId="191">
    <w:name w:val="正文-2字符首行缩进"/>
    <w:basedOn w:val="1"/>
    <w:link w:val="192"/>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92">
    <w:name w:val="正文-2字符首行缩进 Char"/>
    <w:link w:val="191"/>
    <w:qFormat/>
    <w:uiPriority w:val="0"/>
    <w:rPr>
      <w:rFonts w:ascii="仿宋_GB2312" w:eastAsia="仿宋_GB2312"/>
      <w:sz w:val="28"/>
      <w:szCs w:val="22"/>
    </w:rPr>
  </w:style>
  <w:style w:type="paragraph" w:customStyle="1" w:styleId="193">
    <w:name w:val="列出段落1"/>
    <w:basedOn w:val="1"/>
    <w:qFormat/>
    <w:uiPriority w:val="99"/>
    <w:pPr>
      <w:ind w:firstLine="420" w:firstLineChars="200"/>
    </w:pPr>
    <w:rPr>
      <w:rFonts w:ascii="等线" w:hAnsi="等线" w:eastAsia="等线"/>
    </w:rPr>
  </w:style>
  <w:style w:type="character" w:customStyle="1" w:styleId="194">
    <w:name w:val="未处理的提及2"/>
    <w:unhideWhenUsed/>
    <w:qFormat/>
    <w:uiPriority w:val="99"/>
    <w:rPr>
      <w:color w:val="605E5C"/>
      <w:shd w:val="clear" w:color="auto" w:fill="E1DFDD"/>
    </w:rPr>
  </w:style>
  <w:style w:type="character" w:customStyle="1" w:styleId="195">
    <w:name w:val="批注文字 字符2"/>
    <w:qFormat/>
    <w:uiPriority w:val="0"/>
    <w:rPr>
      <w:kern w:val="2"/>
      <w:sz w:val="21"/>
      <w:szCs w:val="24"/>
    </w:rPr>
  </w:style>
  <w:style w:type="paragraph" w:customStyle="1" w:styleId="196">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97">
    <w:name w:val="未处理的提及3"/>
    <w:unhideWhenUsed/>
    <w:qFormat/>
    <w:uiPriority w:val="99"/>
    <w:rPr>
      <w:color w:val="605E5C"/>
      <w:shd w:val="clear" w:color="auto" w:fill="E1DFDD"/>
    </w:rPr>
  </w:style>
  <w:style w:type="paragraph" w:customStyle="1" w:styleId="198">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99">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200">
    <w:name w:val="修订2"/>
    <w:unhideWhenUsed/>
    <w:qFormat/>
    <w:uiPriority w:val="99"/>
    <w:rPr>
      <w:rFonts w:ascii="Times New Roman" w:hAnsi="Times New Roman" w:eastAsia="宋体" w:cs="Times New Roman"/>
      <w:kern w:val="2"/>
      <w:sz w:val="21"/>
      <w:szCs w:val="24"/>
      <w:lang w:val="en-US" w:eastAsia="zh-CN" w:bidi="ar-SA"/>
    </w:rPr>
  </w:style>
  <w:style w:type="paragraph" w:customStyle="1" w:styleId="201">
    <w:name w:val="TOC 标题2"/>
    <w:basedOn w:val="3"/>
    <w:next w:val="1"/>
    <w:unhideWhenUsed/>
    <w:qFormat/>
    <w:uiPriority w:val="39"/>
    <w:pPr>
      <w:widowControl/>
      <w:spacing w:before="240" w:after="0" w:line="259" w:lineRule="auto"/>
      <w:jc w:val="left"/>
      <w:outlineLvl w:val="9"/>
    </w:pPr>
    <w:rPr>
      <w:rFonts w:ascii="Cambria" w:hAnsi="Cambria"/>
      <w:b w:val="0"/>
      <w:bCs w:val="0"/>
      <w:color w:val="365F91"/>
      <w:kern w:val="0"/>
      <w:sz w:val="32"/>
      <w:szCs w:val="32"/>
    </w:rPr>
  </w:style>
  <w:style w:type="character" w:customStyle="1" w:styleId="202">
    <w:name w:val="bookmark-item"/>
    <w:basedOn w:val="53"/>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142</Pages>
  <Words>269</Words>
  <Characters>329</Characters>
  <Lines>680</Lines>
  <Paragraphs>191</Paragraphs>
  <TotalTime>245</TotalTime>
  <ScaleCrop>false</ScaleCrop>
  <LinksUpToDate>false</LinksUpToDate>
  <CharactersWithSpaces>359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2023-10-09T09:18:00Z</dcterms:created>
  <dc:creator>轻舞1426163351</dc:creator>
  <cp:lastModifiedBy>Administrator</cp:lastModifiedBy>
  <dcterms:modified xsi:type="dcterms:W3CDTF">2026-08-13T07:43:03Z</dcterms:modified>
  <cp:revision>2125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903622EED05E4A5CB6D3AB79057AD4D6_13</vt:lpwstr>
  </property>
  <property fmtid="{D5CDD505-2E9C-101B-9397-08002B2CF9AE}" pid="4" name="KSOTemplateDocerSaveRecord">
    <vt:lpwstr>eyJoZGlkIjoiMDVhNGNlZjU1M2FlYmQ4MjVmOWJjZWFiZjM1OTI3ZTciLCJ1c2VySWQiOiIzMzEwMzI4MjYifQ==</vt:lpwstr>
  </property>
</Properties>
</file>