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25336">
      <w:pPr>
        <w:spacing w:line="400" w:lineRule="exact"/>
        <w:rPr>
          <w:rFonts w:hint="eastAsia" w:ascii="仿宋_GB2312" w:eastAsia="仿宋_GB2312"/>
          <w:color w:val="000000" w:themeColor="text1"/>
          <w:sz w:val="32"/>
          <w:szCs w:val="32"/>
          <w:highlight w:val="none"/>
          <w14:textFill>
            <w14:solidFill>
              <w14:schemeClr w14:val="tx1"/>
            </w14:solidFill>
          </w14:textFill>
        </w:rPr>
      </w:pPr>
    </w:p>
    <w:p w14:paraId="1A1FEBBE">
      <w:pPr>
        <w:spacing w:line="400" w:lineRule="exact"/>
        <w:jc w:val="center"/>
        <w:rPr>
          <w:rFonts w:hint="eastAsia" w:ascii="仿宋_GB2312" w:eastAsia="仿宋_GB2312"/>
          <w:color w:val="000000" w:themeColor="text1"/>
          <w:sz w:val="72"/>
          <w:szCs w:val="72"/>
          <w:highlight w:val="none"/>
          <w14:textFill>
            <w14:solidFill>
              <w14:schemeClr w14:val="tx1"/>
            </w14:solidFill>
          </w14:textFill>
        </w:rPr>
      </w:pPr>
    </w:p>
    <w:p w14:paraId="3B5BAA3C">
      <w:pPr>
        <w:snapToGrid w:val="0"/>
        <w:spacing w:before="156" w:line="360" w:lineRule="auto"/>
        <w:jc w:val="center"/>
        <w:outlineLvl w:val="9"/>
        <w:rPr>
          <w:rFonts w:hint="eastAsia" w:ascii="宋体" w:eastAsia="宋体"/>
          <w:color w:val="000000" w:themeColor="text1"/>
          <w:sz w:val="52"/>
          <w:szCs w:val="52"/>
          <w:highlight w:val="none"/>
          <w:lang w:eastAsia="zh-CN"/>
          <w14:textFill>
            <w14:solidFill>
              <w14:schemeClr w14:val="tx1"/>
            </w14:solidFill>
          </w14:textFill>
        </w:rPr>
      </w:pPr>
      <w:r>
        <w:rPr>
          <w:rFonts w:hint="eastAsia" w:ascii="宋体"/>
          <w:b/>
          <w:color w:val="000000" w:themeColor="text1"/>
          <w:sz w:val="52"/>
          <w:szCs w:val="52"/>
          <w:highlight w:val="none"/>
          <w:lang w:eastAsia="zh-CN"/>
          <w14:textFill>
            <w14:solidFill>
              <w14:schemeClr w14:val="tx1"/>
            </w14:solidFill>
          </w14:textFill>
        </w:rPr>
        <w:t>广西卓群项目管理有限公司</w:t>
      </w:r>
    </w:p>
    <w:p w14:paraId="5AC5F888">
      <w:pPr>
        <w:pStyle w:val="12"/>
        <w:jc w:val="center"/>
        <w:rPr>
          <w:rFonts w:hint="eastAsia"/>
          <w:b/>
          <w:color w:val="000000" w:themeColor="text1"/>
          <w:spacing w:val="-18"/>
          <w:sz w:val="96"/>
          <w:highlight w:val="none"/>
          <w14:textFill>
            <w14:solidFill>
              <w14:schemeClr w14:val="tx1"/>
            </w14:solidFill>
          </w14:textFill>
        </w:rPr>
      </w:pPr>
    </w:p>
    <w:p w14:paraId="4541831A">
      <w:pPr>
        <w:pStyle w:val="12"/>
        <w:jc w:val="center"/>
        <w:rPr>
          <w:rFonts w:hint="eastAsia"/>
          <w:b/>
          <w:color w:val="000000" w:themeColor="text1"/>
          <w:spacing w:val="-18"/>
          <w:sz w:val="96"/>
          <w:highlight w:val="none"/>
          <w14:textFill>
            <w14:solidFill>
              <w14:schemeClr w14:val="tx1"/>
            </w14:solidFill>
          </w14:textFill>
        </w:rPr>
      </w:pPr>
    </w:p>
    <w:p w14:paraId="4D4E8A1F">
      <w:pPr>
        <w:pStyle w:val="12"/>
        <w:jc w:val="center"/>
        <w:outlineLvl w:val="9"/>
        <w:rPr>
          <w:rFonts w:hint="eastAsia"/>
          <w:b/>
          <w:color w:val="000000" w:themeColor="text1"/>
          <w:sz w:val="72"/>
          <w:szCs w:val="72"/>
          <w:highlight w:val="none"/>
          <w14:textFill>
            <w14:solidFill>
              <w14:schemeClr w14:val="tx1"/>
            </w14:solidFill>
          </w14:textFill>
        </w:rPr>
      </w:pPr>
      <w:r>
        <w:rPr>
          <w:rFonts w:hint="eastAsia"/>
          <w:b/>
          <w:color w:val="000000" w:themeColor="text1"/>
          <w:sz w:val="72"/>
          <w:szCs w:val="72"/>
          <w:highlight w:val="none"/>
          <w14:textFill>
            <w14:solidFill>
              <w14:schemeClr w14:val="tx1"/>
            </w14:solidFill>
          </w14:textFill>
        </w:rPr>
        <w:t>竞争性磋商文件</w:t>
      </w:r>
    </w:p>
    <w:p w14:paraId="6074775C">
      <w:pPr>
        <w:pStyle w:val="12"/>
        <w:rPr>
          <w:rFonts w:hint="eastAsia"/>
          <w:b/>
          <w:color w:val="000000" w:themeColor="text1"/>
          <w:highlight w:val="none"/>
          <w14:textFill>
            <w14:solidFill>
              <w14:schemeClr w14:val="tx1"/>
            </w14:solidFill>
          </w14:textFill>
        </w:rPr>
      </w:pPr>
    </w:p>
    <w:p w14:paraId="68768A8F">
      <w:pPr>
        <w:pStyle w:val="12"/>
        <w:rPr>
          <w:rFonts w:hint="eastAsia"/>
          <w:b/>
          <w:color w:val="000000" w:themeColor="text1"/>
          <w:highlight w:val="none"/>
          <w14:textFill>
            <w14:solidFill>
              <w14:schemeClr w14:val="tx1"/>
            </w14:solidFill>
          </w14:textFill>
        </w:rPr>
      </w:pPr>
    </w:p>
    <w:p w14:paraId="61D60502">
      <w:pPr>
        <w:pStyle w:val="12"/>
        <w:rPr>
          <w:b/>
          <w:color w:val="000000" w:themeColor="text1"/>
          <w:highlight w:val="none"/>
          <w14:textFill>
            <w14:solidFill>
              <w14:schemeClr w14:val="tx1"/>
            </w14:solidFill>
          </w14:textFill>
        </w:rPr>
      </w:pPr>
    </w:p>
    <w:p w14:paraId="140249FC">
      <w:pPr>
        <w:pStyle w:val="12"/>
        <w:rPr>
          <w:rFonts w:hint="eastAsia"/>
          <w:b/>
          <w:color w:val="000000" w:themeColor="text1"/>
          <w:highlight w:val="none"/>
          <w14:textFill>
            <w14:solidFill>
              <w14:schemeClr w14:val="tx1"/>
            </w14:solidFill>
          </w14:textFill>
        </w:rPr>
      </w:pPr>
    </w:p>
    <w:p w14:paraId="69CE809E">
      <w:pPr>
        <w:pStyle w:val="12"/>
        <w:rPr>
          <w:rFonts w:hint="eastAsia"/>
          <w:b/>
          <w:color w:val="000000" w:themeColor="text1"/>
          <w:highlight w:val="none"/>
          <w14:textFill>
            <w14:solidFill>
              <w14:schemeClr w14:val="tx1"/>
            </w14:solidFill>
          </w14:textFill>
        </w:rPr>
      </w:pPr>
    </w:p>
    <w:p w14:paraId="07BD05AD">
      <w:pPr>
        <w:pStyle w:val="12"/>
        <w:rPr>
          <w:rFonts w:hint="eastAsia"/>
          <w:b/>
          <w:color w:val="000000" w:themeColor="text1"/>
          <w:highlight w:val="none"/>
          <w14:textFill>
            <w14:solidFill>
              <w14:schemeClr w14:val="tx1"/>
            </w14:solidFill>
          </w14:textFill>
        </w:rPr>
      </w:pPr>
    </w:p>
    <w:p w14:paraId="6821F120">
      <w:pPr>
        <w:pStyle w:val="12"/>
        <w:rPr>
          <w:rFonts w:hint="eastAsia"/>
          <w:b/>
          <w:color w:val="000000" w:themeColor="text1"/>
          <w:highlight w:val="none"/>
          <w14:textFill>
            <w14:solidFill>
              <w14:schemeClr w14:val="tx1"/>
            </w14:solidFill>
          </w14:textFill>
        </w:rPr>
      </w:pPr>
    </w:p>
    <w:p w14:paraId="55B94221">
      <w:pPr>
        <w:pStyle w:val="12"/>
        <w:ind w:left="2991" w:leftChars="710" w:right="-386" w:rightChars="-184" w:hanging="1500" w:hangingChars="500"/>
        <w:rPr>
          <w:rFonts w:hint="eastAsia" w:eastAsia="宋体"/>
          <w:color w:val="000000" w:themeColor="text1"/>
          <w:sz w:val="28"/>
          <w:szCs w:val="28"/>
          <w:highlight w:val="none"/>
          <w:lang w:eastAsia="zh-CN"/>
          <w14:textFill>
            <w14:solidFill>
              <w14:schemeClr w14:val="tx1"/>
            </w14:solidFill>
          </w14:textFill>
        </w:rPr>
      </w:pPr>
      <w:r>
        <w:rPr>
          <w:rFonts w:hint="eastAsia"/>
          <w:color w:val="000000" w:themeColor="text1"/>
          <w:sz w:val="30"/>
          <w:szCs w:val="72"/>
          <w:highlight w:val="none"/>
          <w14:textFill>
            <w14:solidFill>
              <w14:schemeClr w14:val="tx1"/>
            </w14:solidFill>
          </w14:textFill>
        </w:rPr>
        <w:t>项目名称：界首镇兴田村委址福田村柑橘产业道路硬化项目</w:t>
      </w:r>
    </w:p>
    <w:p w14:paraId="1674D573">
      <w:pPr>
        <w:pStyle w:val="12"/>
        <w:ind w:firstLine="1500" w:firstLineChars="500"/>
        <w:rPr>
          <w:rFonts w:hint="eastAsia" w:eastAsia="宋体"/>
          <w:color w:val="000000" w:themeColor="text1"/>
          <w:sz w:val="30"/>
          <w:szCs w:val="72"/>
          <w:highlight w:val="none"/>
          <w:lang w:eastAsia="zh-CN"/>
          <w14:textFill>
            <w14:solidFill>
              <w14:schemeClr w14:val="tx1"/>
            </w14:solidFill>
          </w14:textFill>
        </w:rPr>
      </w:pPr>
      <w:r>
        <w:rPr>
          <w:rFonts w:hint="eastAsia"/>
          <w:color w:val="000000" w:themeColor="text1"/>
          <w:sz w:val="30"/>
          <w:szCs w:val="72"/>
          <w:highlight w:val="none"/>
          <w14:textFill>
            <w14:solidFill>
              <w14:schemeClr w14:val="tx1"/>
            </w14:solidFill>
          </w14:textFill>
        </w:rPr>
        <w:t>项目编号:</w:t>
      </w:r>
      <w:r>
        <w:rPr>
          <w:rFonts w:hint="eastAsia"/>
          <w:color w:val="000000" w:themeColor="text1"/>
          <w:sz w:val="30"/>
          <w:szCs w:val="72"/>
          <w:highlight w:val="none"/>
          <w:lang w:val="en-US" w:eastAsia="zh-CN"/>
          <w14:textFill>
            <w14:solidFill>
              <w14:schemeClr w14:val="tx1"/>
            </w14:solidFill>
          </w14:textFill>
        </w:rPr>
        <w:t xml:space="preserve"> GLZC2026-C2-250027-GXZQ</w:t>
      </w:r>
    </w:p>
    <w:p w14:paraId="3DE835FC">
      <w:pPr>
        <w:pStyle w:val="12"/>
        <w:rPr>
          <w:rFonts w:hint="eastAsia"/>
          <w:b/>
          <w:color w:val="000000" w:themeColor="text1"/>
          <w:highlight w:val="none"/>
          <w14:textFill>
            <w14:solidFill>
              <w14:schemeClr w14:val="tx1"/>
            </w14:solidFill>
          </w14:textFill>
        </w:rPr>
      </w:pPr>
    </w:p>
    <w:p w14:paraId="53CCDAA8">
      <w:pPr>
        <w:pStyle w:val="12"/>
        <w:rPr>
          <w:rFonts w:hint="eastAsia"/>
          <w:color w:val="000000" w:themeColor="text1"/>
          <w:sz w:val="30"/>
          <w:szCs w:val="72"/>
          <w:highlight w:val="none"/>
          <w14:textFill>
            <w14:solidFill>
              <w14:schemeClr w14:val="tx1"/>
            </w14:solidFill>
          </w14:textFill>
        </w:rPr>
      </w:pPr>
    </w:p>
    <w:p w14:paraId="0FB08741">
      <w:pPr>
        <w:pStyle w:val="12"/>
        <w:rPr>
          <w:rFonts w:hint="eastAsia"/>
          <w:color w:val="000000" w:themeColor="text1"/>
          <w:sz w:val="30"/>
          <w:szCs w:val="72"/>
          <w:highlight w:val="none"/>
          <w14:textFill>
            <w14:solidFill>
              <w14:schemeClr w14:val="tx1"/>
            </w14:solidFill>
          </w14:textFill>
        </w:rPr>
      </w:pPr>
    </w:p>
    <w:p w14:paraId="2644129F">
      <w:pPr>
        <w:pStyle w:val="12"/>
        <w:ind w:firstLine="1950" w:firstLineChars="650"/>
        <w:rPr>
          <w:rFonts w:hint="eastAsia"/>
          <w:color w:val="000000" w:themeColor="text1"/>
          <w:sz w:val="30"/>
          <w:szCs w:val="72"/>
          <w:highlight w:val="none"/>
          <w14:textFill>
            <w14:solidFill>
              <w14:schemeClr w14:val="tx1"/>
            </w14:solidFill>
          </w14:textFill>
        </w:rPr>
      </w:pPr>
    </w:p>
    <w:p w14:paraId="26B3A1BA">
      <w:pPr>
        <w:pStyle w:val="12"/>
        <w:ind w:firstLine="1800" w:firstLineChars="600"/>
        <w:rPr>
          <w:rFonts w:hint="eastAsia" w:eastAsia="宋体"/>
          <w:color w:val="000000" w:themeColor="text1"/>
          <w:sz w:val="30"/>
          <w:szCs w:val="72"/>
          <w:highlight w:val="none"/>
          <w:lang w:eastAsia="zh-CN"/>
          <w14:textFill>
            <w14:solidFill>
              <w14:schemeClr w14:val="tx1"/>
            </w14:solidFill>
          </w14:textFill>
        </w:rPr>
      </w:pPr>
      <w:r>
        <w:rPr>
          <w:rFonts w:hint="eastAsia"/>
          <w:color w:val="000000" w:themeColor="text1"/>
          <w:sz w:val="30"/>
          <w:szCs w:val="72"/>
          <w:highlight w:val="none"/>
          <w14:textFill>
            <w14:solidFill>
              <w14:schemeClr w14:val="tx1"/>
            </w14:solidFill>
          </w14:textFill>
        </w:rPr>
        <w:t>采购代理机构：</w:t>
      </w:r>
      <w:r>
        <w:rPr>
          <w:rFonts w:hint="eastAsia"/>
          <w:color w:val="000000" w:themeColor="text1"/>
          <w:sz w:val="30"/>
          <w:szCs w:val="72"/>
          <w:highlight w:val="none"/>
          <w:lang w:eastAsia="zh-CN"/>
          <w14:textFill>
            <w14:solidFill>
              <w14:schemeClr w14:val="tx1"/>
            </w14:solidFill>
          </w14:textFill>
        </w:rPr>
        <w:t>广西卓群项目管理有限公司</w:t>
      </w:r>
    </w:p>
    <w:p w14:paraId="682D87B6">
      <w:pPr>
        <w:pStyle w:val="12"/>
        <w:ind w:firstLine="3900" w:firstLineChars="1300"/>
        <w:rPr>
          <w:rFonts w:hint="eastAsia"/>
          <w:color w:val="000000" w:themeColor="text1"/>
          <w:sz w:val="30"/>
          <w:szCs w:val="72"/>
          <w:highlight w:val="none"/>
          <w14:textFill>
            <w14:solidFill>
              <w14:schemeClr w14:val="tx1"/>
            </w14:solidFill>
          </w14:textFill>
        </w:rPr>
      </w:pPr>
      <w:r>
        <w:rPr>
          <w:rFonts w:hint="eastAsia"/>
          <w:color w:val="000000" w:themeColor="text1"/>
          <w:sz w:val="30"/>
          <w:szCs w:val="72"/>
          <w:highlight w:val="none"/>
          <w14:textFill>
            <w14:solidFill>
              <w14:schemeClr w14:val="tx1"/>
            </w14:solidFill>
          </w14:textFill>
        </w:rPr>
        <w:t>20</w:t>
      </w:r>
      <w:r>
        <w:rPr>
          <w:color w:val="000000" w:themeColor="text1"/>
          <w:sz w:val="30"/>
          <w:szCs w:val="72"/>
          <w:highlight w:val="none"/>
          <w14:textFill>
            <w14:solidFill>
              <w14:schemeClr w14:val="tx1"/>
            </w14:solidFill>
          </w14:textFill>
        </w:rPr>
        <w:t>2</w:t>
      </w:r>
      <w:r>
        <w:rPr>
          <w:rFonts w:hint="eastAsia"/>
          <w:color w:val="000000" w:themeColor="text1"/>
          <w:sz w:val="30"/>
          <w:szCs w:val="72"/>
          <w:highlight w:val="none"/>
          <w:lang w:val="en-US" w:eastAsia="zh-CN"/>
          <w14:textFill>
            <w14:solidFill>
              <w14:schemeClr w14:val="tx1"/>
            </w14:solidFill>
          </w14:textFill>
        </w:rPr>
        <w:t>6</w:t>
      </w:r>
      <w:r>
        <w:rPr>
          <w:rFonts w:hint="eastAsia"/>
          <w:color w:val="000000" w:themeColor="text1"/>
          <w:sz w:val="30"/>
          <w:szCs w:val="72"/>
          <w:highlight w:val="none"/>
          <w14:textFill>
            <w14:solidFill>
              <w14:schemeClr w14:val="tx1"/>
            </w14:solidFill>
          </w14:textFill>
        </w:rPr>
        <w:t>年</w:t>
      </w:r>
      <w:r>
        <w:rPr>
          <w:rFonts w:hint="eastAsia"/>
          <w:color w:val="000000" w:themeColor="text1"/>
          <w:sz w:val="30"/>
          <w:szCs w:val="72"/>
          <w:highlight w:val="none"/>
          <w:lang w:val="en-US" w:eastAsia="zh-CN"/>
          <w14:textFill>
            <w14:solidFill>
              <w14:schemeClr w14:val="tx1"/>
            </w14:solidFill>
          </w14:textFill>
        </w:rPr>
        <w:t>04</w:t>
      </w:r>
      <w:r>
        <w:rPr>
          <w:rFonts w:hint="eastAsia"/>
          <w:color w:val="000000" w:themeColor="text1"/>
          <w:sz w:val="30"/>
          <w:szCs w:val="72"/>
          <w:highlight w:val="none"/>
          <w14:textFill>
            <w14:solidFill>
              <w14:schemeClr w14:val="tx1"/>
            </w14:solidFill>
          </w14:textFill>
        </w:rPr>
        <w:t>月</w:t>
      </w:r>
    </w:p>
    <w:p w14:paraId="220EF938">
      <w:pPr>
        <w:jc w:val="center"/>
        <w:rPr>
          <w:rFonts w:hint="eastAsia" w:ascii="宋体"/>
          <w:color w:val="000000" w:themeColor="text1"/>
          <w:highlight w:val="none"/>
          <w14:textFill>
            <w14:solidFill>
              <w14:schemeClr w14:val="tx1"/>
            </w14:solidFill>
          </w14:textFill>
        </w:rPr>
        <w:sectPr>
          <w:headerReference r:id="rId3" w:type="default"/>
          <w:footerReference r:id="rId5" w:type="default"/>
          <w:headerReference r:id="rId4" w:type="even"/>
          <w:footerReference r:id="rId6" w:type="even"/>
          <w:pgSz w:w="11906" w:h="16838"/>
          <w:pgMar w:top="1418" w:right="1416" w:bottom="1418" w:left="1418" w:header="720" w:footer="720" w:gutter="0"/>
          <w:pgNumType w:fmt="decimal" w:start="0"/>
          <w:cols w:space="720" w:num="1"/>
          <w:titlePg/>
          <w:docGrid w:type="lines" w:linePitch="312" w:charSpace="0"/>
        </w:sectPr>
      </w:pPr>
    </w:p>
    <w:p w14:paraId="216097AA">
      <w:pPr>
        <w:spacing w:before="0" w:beforeLines="0" w:after="0" w:afterLines="0" w:line="240" w:lineRule="auto"/>
        <w:ind w:left="0" w:leftChars="0" w:right="0" w:rightChars="0" w:firstLine="0" w:firstLineChars="0"/>
        <w:jc w:val="center"/>
        <w:rPr>
          <w:rFonts w:ascii="宋体" w:hAnsi="宋体" w:eastAsia="宋体"/>
          <w:color w:val="000000" w:themeColor="text1"/>
          <w:sz w:val="44"/>
          <w:szCs w:val="44"/>
          <w:highlight w:val="none"/>
          <w14:textFill>
            <w14:solidFill>
              <w14:schemeClr w14:val="tx1"/>
            </w14:solidFill>
          </w14:textFill>
        </w:rPr>
      </w:pPr>
      <w:r>
        <w:rPr>
          <w:rFonts w:ascii="宋体" w:hAnsi="宋体" w:eastAsia="宋体"/>
          <w:color w:val="000000" w:themeColor="text1"/>
          <w:sz w:val="44"/>
          <w:szCs w:val="44"/>
          <w:highlight w:val="none"/>
          <w14:textFill>
            <w14:solidFill>
              <w14:schemeClr w14:val="tx1"/>
            </w14:solidFill>
          </w14:textFill>
        </w:rPr>
        <w:t>目</w:t>
      </w:r>
      <w:r>
        <w:rPr>
          <w:rFonts w:hint="eastAsia" w:ascii="宋体" w:hAnsi="宋体"/>
          <w:color w:val="000000" w:themeColor="text1"/>
          <w:sz w:val="44"/>
          <w:szCs w:val="44"/>
          <w:highlight w:val="none"/>
          <w:lang w:val="en-US" w:eastAsia="zh-CN"/>
          <w14:textFill>
            <w14:solidFill>
              <w14:schemeClr w14:val="tx1"/>
            </w14:solidFill>
          </w14:textFill>
        </w:rPr>
        <w:t xml:space="preserve">  </w:t>
      </w:r>
      <w:r>
        <w:rPr>
          <w:rFonts w:ascii="宋体" w:hAnsi="宋体" w:eastAsia="宋体"/>
          <w:color w:val="000000" w:themeColor="text1"/>
          <w:sz w:val="44"/>
          <w:szCs w:val="44"/>
          <w:highlight w:val="none"/>
          <w14:textFill>
            <w14:solidFill>
              <w14:schemeClr w14:val="tx1"/>
            </w14:solidFill>
          </w14:textFill>
        </w:rPr>
        <w:t>录</w:t>
      </w:r>
    </w:p>
    <w:p w14:paraId="3116EBE2">
      <w:pPr>
        <w:pStyle w:val="5"/>
        <w:rPr>
          <w:color w:val="000000" w:themeColor="text1"/>
          <w:highlight w:val="none"/>
          <w14:textFill>
            <w14:solidFill>
              <w14:schemeClr w14:val="tx1"/>
            </w14:solidFill>
          </w14:textFill>
        </w:rPr>
      </w:pPr>
    </w:p>
    <w:p w14:paraId="62F572EA">
      <w:pPr>
        <w:pStyle w:val="16"/>
        <w:tabs>
          <w:tab w:val="right" w:leader="dot" w:pos="9638"/>
        </w:tabs>
        <w:rPr>
          <w:rFonts w:hint="eastAsia" w:ascii="宋体" w:hAnsi="宋体" w:eastAsia="宋体" w:cs="宋体"/>
          <w:color w:val="000000" w:themeColor="text1"/>
          <w:sz w:val="28"/>
          <w:szCs w:val="28"/>
          <w:highlight w:val="none"/>
          <w14:textFill>
            <w14:solidFill>
              <w14:schemeClr w14:val="tx1"/>
            </w14:solidFill>
          </w14:textFill>
        </w:rPr>
      </w:pPr>
      <w:r>
        <w:rPr>
          <w:rFonts w:hint="eastAsia"/>
          <w:color w:val="000000" w:themeColor="text1"/>
          <w:sz w:val="44"/>
          <w:highlight w:val="none"/>
          <w14:textFill>
            <w14:solidFill>
              <w14:schemeClr w14:val="tx1"/>
            </w14:solidFill>
          </w14:textFill>
        </w:rPr>
        <w:fldChar w:fldCharType="begin"/>
      </w:r>
      <w:r>
        <w:rPr>
          <w:rFonts w:hint="eastAsia"/>
          <w:color w:val="000000" w:themeColor="text1"/>
          <w:sz w:val="44"/>
          <w:highlight w:val="none"/>
          <w14:textFill>
            <w14:solidFill>
              <w14:schemeClr w14:val="tx1"/>
            </w14:solidFill>
          </w14:textFill>
        </w:rPr>
        <w:instrText xml:space="preserve">TOC \o "1-1" \h \u </w:instrText>
      </w:r>
      <w:r>
        <w:rPr>
          <w:rFonts w:hint="eastAsia"/>
          <w:color w:val="000000" w:themeColor="text1"/>
          <w:sz w:val="44"/>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_Toc27756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第一章  竞争性磋商公告</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_Toc27756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405257AC">
      <w:pPr>
        <w:pStyle w:val="16"/>
        <w:tabs>
          <w:tab w:val="right" w:leader="dot" w:pos="9638"/>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_Toc20648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第二章  磋商供应商须知</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_Toc20648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7CEC9055">
      <w:pPr>
        <w:pStyle w:val="16"/>
        <w:tabs>
          <w:tab w:val="right" w:leader="dot" w:pos="9638"/>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_Toc14909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 xml:space="preserve">第三章  </w:t>
      </w:r>
      <w:r>
        <w:rPr>
          <w:rFonts w:hint="eastAsia" w:ascii="宋体" w:hAnsi="宋体" w:eastAsia="宋体" w:cs="宋体"/>
          <w:color w:val="000000" w:themeColor="text1"/>
          <w:kern w:val="0"/>
          <w:sz w:val="28"/>
          <w:szCs w:val="28"/>
          <w:highlight w:val="none"/>
          <w14:textFill>
            <w14:solidFill>
              <w14:schemeClr w14:val="tx1"/>
            </w14:solidFill>
          </w14:textFill>
        </w:rPr>
        <w:t>评审方法</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_Toc14909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23</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784952D4">
      <w:pPr>
        <w:pStyle w:val="16"/>
        <w:tabs>
          <w:tab w:val="right" w:leader="dot" w:pos="9638"/>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_Toc10515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 xml:space="preserve">第四章  </w:t>
      </w:r>
      <w:r>
        <w:rPr>
          <w:rFonts w:hint="eastAsia" w:ascii="宋体" w:hAnsi="宋体" w:eastAsia="宋体" w:cs="宋体"/>
          <w:color w:val="000000" w:themeColor="text1"/>
          <w:kern w:val="0"/>
          <w:sz w:val="28"/>
          <w:szCs w:val="28"/>
          <w:highlight w:val="none"/>
          <w14:textFill>
            <w14:solidFill>
              <w14:schemeClr w14:val="tx1"/>
            </w14:solidFill>
          </w14:textFill>
        </w:rPr>
        <w:t>合同条款及格式</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_Toc10515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27</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7C25B11D">
      <w:pPr>
        <w:pStyle w:val="16"/>
        <w:tabs>
          <w:tab w:val="right" w:leader="dot" w:pos="9638"/>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_Toc3234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kern w:val="0"/>
          <w:sz w:val="28"/>
          <w:szCs w:val="28"/>
          <w:highlight w:val="none"/>
          <w14:textFill>
            <w14:solidFill>
              <w14:schemeClr w14:val="tx1"/>
            </w14:solidFill>
          </w14:textFill>
        </w:rPr>
        <w:t xml:space="preserve">第五章  </w:t>
      </w:r>
      <w:r>
        <w:rPr>
          <w:rFonts w:hint="eastAsia" w:ascii="宋体" w:hAnsi="宋体" w:eastAsia="宋体" w:cs="宋体"/>
          <w:color w:val="000000" w:themeColor="text1"/>
          <w:sz w:val="28"/>
          <w:szCs w:val="28"/>
          <w:highlight w:val="none"/>
          <w14:textFill>
            <w14:solidFill>
              <w14:schemeClr w14:val="tx1"/>
            </w14:solidFill>
          </w14:textFill>
        </w:rPr>
        <w:t>工程量清单</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_Toc3234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71</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4621DCD7">
      <w:pPr>
        <w:pStyle w:val="16"/>
        <w:tabs>
          <w:tab w:val="right" w:leader="dot" w:pos="9638"/>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_Toc13770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kern w:val="0"/>
          <w:sz w:val="28"/>
          <w:szCs w:val="28"/>
          <w:highlight w:val="none"/>
          <w14:textFill>
            <w14:solidFill>
              <w14:schemeClr w14:val="tx1"/>
            </w14:solidFill>
          </w14:textFill>
        </w:rPr>
        <w:t>第六章 技术标准和要求</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_Toc13770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73</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2EA250B4">
      <w:pPr>
        <w:pStyle w:val="16"/>
        <w:tabs>
          <w:tab w:val="right" w:leader="dot" w:pos="9638"/>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_Toc30186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kern w:val="0"/>
          <w:sz w:val="28"/>
          <w:szCs w:val="28"/>
          <w:highlight w:val="none"/>
          <w14:textFill>
            <w14:solidFill>
              <w14:schemeClr w14:val="tx1"/>
            </w14:solidFill>
          </w14:textFill>
        </w:rPr>
        <w:t>第</w:t>
      </w:r>
      <w:r>
        <w:rPr>
          <w:rFonts w:hint="eastAsia" w:ascii="宋体" w:hAnsi="宋体" w:eastAsia="宋体" w:cs="宋体"/>
          <w:color w:val="000000" w:themeColor="text1"/>
          <w:kern w:val="0"/>
          <w:sz w:val="28"/>
          <w:szCs w:val="28"/>
          <w:highlight w:val="none"/>
          <w:lang w:eastAsia="zh-CN"/>
          <w14:textFill>
            <w14:solidFill>
              <w14:schemeClr w14:val="tx1"/>
            </w14:solidFill>
          </w14:textFill>
        </w:rPr>
        <w:t>七</w:t>
      </w:r>
      <w:r>
        <w:rPr>
          <w:rFonts w:hint="eastAsia" w:ascii="宋体" w:hAnsi="宋体" w:eastAsia="宋体" w:cs="宋体"/>
          <w:color w:val="000000" w:themeColor="text1"/>
          <w:kern w:val="0"/>
          <w:sz w:val="28"/>
          <w:szCs w:val="28"/>
          <w:highlight w:val="none"/>
          <w14:textFill>
            <w14:solidFill>
              <w14:schemeClr w14:val="tx1"/>
            </w14:solidFill>
          </w14:textFill>
        </w:rPr>
        <w:t xml:space="preserve">章 </w:t>
      </w:r>
      <w:r>
        <w:rPr>
          <w:rFonts w:hint="eastAsia" w:ascii="宋体" w:hAnsi="宋体" w:eastAsia="宋体" w:cs="宋体"/>
          <w:color w:val="000000" w:themeColor="text1"/>
          <w:sz w:val="28"/>
          <w:szCs w:val="28"/>
          <w:highlight w:val="none"/>
          <w14:textFill>
            <w14:solidFill>
              <w14:schemeClr w14:val="tx1"/>
            </w14:solidFill>
          </w14:textFill>
        </w:rPr>
        <w:t>竞争性磋商响应文件格式</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_Toc30186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74</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56BE608B">
      <w:pPr>
        <w:pStyle w:val="16"/>
        <w:tabs>
          <w:tab w:val="right" w:leader="dot" w:pos="9638"/>
        </w:tabs>
        <w:rPr>
          <w:color w:val="000000" w:themeColor="text1"/>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_Toc32683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kern w:val="0"/>
          <w:sz w:val="28"/>
          <w:szCs w:val="28"/>
          <w:highlight w:val="none"/>
          <w14:textFill>
            <w14:solidFill>
              <w14:schemeClr w14:val="tx1"/>
            </w14:solidFill>
          </w14:textFill>
        </w:rPr>
        <w:t>第</w:t>
      </w:r>
      <w:r>
        <w:rPr>
          <w:rFonts w:hint="eastAsia" w:ascii="宋体" w:hAnsi="宋体" w:eastAsia="宋体" w:cs="宋体"/>
          <w:color w:val="000000" w:themeColor="text1"/>
          <w:kern w:val="0"/>
          <w:sz w:val="28"/>
          <w:szCs w:val="28"/>
          <w:highlight w:val="none"/>
          <w:lang w:eastAsia="zh-CN"/>
          <w14:textFill>
            <w14:solidFill>
              <w14:schemeClr w14:val="tx1"/>
            </w14:solidFill>
          </w14:textFill>
        </w:rPr>
        <w:t>八</w:t>
      </w:r>
      <w:r>
        <w:rPr>
          <w:rFonts w:hint="eastAsia" w:ascii="宋体" w:hAnsi="宋体" w:eastAsia="宋体" w:cs="宋体"/>
          <w:color w:val="000000" w:themeColor="text1"/>
          <w:kern w:val="0"/>
          <w:sz w:val="28"/>
          <w:szCs w:val="28"/>
          <w:highlight w:val="none"/>
          <w14:textFill>
            <w14:solidFill>
              <w14:schemeClr w14:val="tx1"/>
            </w14:solidFill>
          </w14:textFill>
        </w:rPr>
        <w:t>章 图纸（自行下载）</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_Toc32683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93</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256FF2D3">
      <w:pPr>
        <w:pStyle w:val="12"/>
        <w:spacing w:line="480" w:lineRule="auto"/>
        <w:ind w:left="412" w:leftChars="196"/>
        <w:rPr>
          <w:rFonts w:hint="eastAsia" w:eastAsia="宋体"/>
          <w:color w:val="000000" w:themeColor="text1"/>
          <w:sz w:val="28"/>
          <w:szCs w:val="28"/>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fldChar w:fldCharType="end"/>
      </w:r>
    </w:p>
    <w:p w14:paraId="253F7C1E">
      <w:pPr>
        <w:pStyle w:val="12"/>
        <w:spacing w:line="480" w:lineRule="auto"/>
        <w:ind w:left="412" w:leftChars="196"/>
        <w:rPr>
          <w:color w:val="000000" w:themeColor="text1"/>
          <w:sz w:val="28"/>
          <w:szCs w:val="28"/>
          <w:highlight w:val="none"/>
          <w14:textFill>
            <w14:solidFill>
              <w14:schemeClr w14:val="tx1"/>
            </w14:solidFill>
          </w14:textFill>
        </w:rPr>
      </w:pPr>
    </w:p>
    <w:p w14:paraId="078D8A0A">
      <w:pPr>
        <w:pStyle w:val="12"/>
        <w:spacing w:line="480" w:lineRule="auto"/>
        <w:ind w:left="412" w:leftChars="196"/>
        <w:rPr>
          <w:color w:val="000000" w:themeColor="text1"/>
          <w:sz w:val="28"/>
          <w:szCs w:val="28"/>
          <w:highlight w:val="none"/>
          <w14:textFill>
            <w14:solidFill>
              <w14:schemeClr w14:val="tx1"/>
            </w14:solidFill>
          </w14:textFill>
        </w:rPr>
      </w:pPr>
    </w:p>
    <w:p w14:paraId="3330F0B1">
      <w:pPr>
        <w:pStyle w:val="12"/>
        <w:spacing w:line="480" w:lineRule="auto"/>
        <w:ind w:left="412" w:leftChars="196"/>
        <w:rPr>
          <w:rFonts w:hint="eastAsia"/>
          <w:color w:val="000000" w:themeColor="text1"/>
          <w:sz w:val="28"/>
          <w:szCs w:val="28"/>
          <w:highlight w:val="none"/>
          <w14:textFill>
            <w14:solidFill>
              <w14:schemeClr w14:val="tx1"/>
            </w14:solidFill>
          </w14:textFill>
        </w:rPr>
      </w:pPr>
    </w:p>
    <w:p w14:paraId="693A1618">
      <w:pPr>
        <w:pStyle w:val="12"/>
        <w:ind w:left="412" w:leftChars="196"/>
        <w:rPr>
          <w:rFonts w:hint="eastAsia"/>
          <w:color w:val="000000" w:themeColor="text1"/>
          <w:sz w:val="28"/>
          <w:szCs w:val="28"/>
          <w:highlight w:val="none"/>
          <w14:textFill>
            <w14:solidFill>
              <w14:schemeClr w14:val="tx1"/>
            </w14:solidFill>
          </w14:textFill>
        </w:rPr>
      </w:pPr>
    </w:p>
    <w:p w14:paraId="27FC34AC">
      <w:pPr>
        <w:pStyle w:val="12"/>
        <w:ind w:left="412" w:leftChars="196"/>
        <w:rPr>
          <w:rFonts w:hint="eastAsia"/>
          <w:color w:val="000000" w:themeColor="text1"/>
          <w:sz w:val="28"/>
          <w:szCs w:val="28"/>
          <w:highlight w:val="none"/>
          <w14:textFill>
            <w14:solidFill>
              <w14:schemeClr w14:val="tx1"/>
            </w14:solidFill>
          </w14:textFill>
        </w:rPr>
      </w:pPr>
    </w:p>
    <w:p w14:paraId="15E5A850">
      <w:pPr>
        <w:pStyle w:val="12"/>
        <w:jc w:val="center"/>
        <w:rPr>
          <w:rFonts w:hint="eastAsia"/>
          <w:b/>
          <w:color w:val="000000" w:themeColor="text1"/>
          <w:sz w:val="32"/>
          <w:highlight w:val="none"/>
          <w14:textFill>
            <w14:solidFill>
              <w14:schemeClr w14:val="tx1"/>
            </w14:solidFill>
          </w14:textFill>
        </w:rPr>
      </w:pPr>
    </w:p>
    <w:p w14:paraId="711D0191">
      <w:pPr>
        <w:pStyle w:val="12"/>
        <w:jc w:val="center"/>
        <w:rPr>
          <w:rFonts w:hint="eastAsia"/>
          <w:b/>
          <w:color w:val="000000" w:themeColor="text1"/>
          <w:sz w:val="32"/>
          <w:highlight w:val="none"/>
          <w14:textFill>
            <w14:solidFill>
              <w14:schemeClr w14:val="tx1"/>
            </w14:solidFill>
          </w14:textFill>
        </w:rPr>
      </w:pPr>
    </w:p>
    <w:p w14:paraId="1B2C157A">
      <w:pPr>
        <w:pStyle w:val="12"/>
        <w:jc w:val="center"/>
        <w:rPr>
          <w:rFonts w:hint="eastAsia"/>
          <w:b/>
          <w:color w:val="000000" w:themeColor="text1"/>
          <w:sz w:val="32"/>
          <w:highlight w:val="none"/>
          <w14:textFill>
            <w14:solidFill>
              <w14:schemeClr w14:val="tx1"/>
            </w14:solidFill>
          </w14:textFill>
        </w:rPr>
      </w:pPr>
    </w:p>
    <w:p w14:paraId="71751AE2">
      <w:pPr>
        <w:pStyle w:val="12"/>
        <w:jc w:val="center"/>
        <w:rPr>
          <w:rFonts w:hint="eastAsia"/>
          <w:b/>
          <w:color w:val="000000" w:themeColor="text1"/>
          <w:sz w:val="32"/>
          <w:highlight w:val="none"/>
          <w14:textFill>
            <w14:solidFill>
              <w14:schemeClr w14:val="tx1"/>
            </w14:solidFill>
          </w14:textFill>
        </w:rPr>
      </w:pPr>
    </w:p>
    <w:p w14:paraId="6DCA300F">
      <w:pPr>
        <w:pStyle w:val="12"/>
        <w:jc w:val="center"/>
        <w:rPr>
          <w:rFonts w:hint="eastAsia"/>
          <w:b/>
          <w:color w:val="000000" w:themeColor="text1"/>
          <w:sz w:val="32"/>
          <w:highlight w:val="none"/>
          <w14:textFill>
            <w14:solidFill>
              <w14:schemeClr w14:val="tx1"/>
            </w14:solidFill>
          </w14:textFill>
        </w:rPr>
      </w:pPr>
    </w:p>
    <w:p w14:paraId="53440C0C">
      <w:pPr>
        <w:rPr>
          <w:rFonts w:hint="eastAsia"/>
          <w:b/>
          <w:color w:val="000000" w:themeColor="text1"/>
          <w:sz w:val="32"/>
          <w:highlight w:val="none"/>
          <w14:textFill>
            <w14:solidFill>
              <w14:schemeClr w14:val="tx1"/>
            </w14:solidFill>
          </w14:textFill>
        </w:rPr>
      </w:pPr>
      <w:bookmarkStart w:id="0" w:name="_Toc27756"/>
      <w:r>
        <w:rPr>
          <w:rFonts w:hint="eastAsia"/>
          <w:b/>
          <w:color w:val="000000" w:themeColor="text1"/>
          <w:sz w:val="32"/>
          <w:highlight w:val="none"/>
          <w14:textFill>
            <w14:solidFill>
              <w14:schemeClr w14:val="tx1"/>
            </w14:solidFill>
          </w14:textFill>
        </w:rPr>
        <w:br w:type="page"/>
      </w:r>
    </w:p>
    <w:p w14:paraId="382EBF6E">
      <w:pPr>
        <w:pStyle w:val="12"/>
        <w:jc w:val="center"/>
        <w:outlineLvl w:val="0"/>
        <w:rPr>
          <w:rFonts w:hint="eastAsia"/>
          <w:b/>
          <w:color w:val="000000" w:themeColor="text1"/>
          <w:sz w:val="30"/>
          <w:szCs w:val="30"/>
          <w:highlight w:val="none"/>
          <w14:textFill>
            <w14:solidFill>
              <w14:schemeClr w14:val="tx1"/>
            </w14:solidFill>
          </w14:textFill>
        </w:rPr>
      </w:pPr>
      <w:r>
        <w:rPr>
          <w:rFonts w:hint="eastAsia"/>
          <w:b/>
          <w:color w:val="000000" w:themeColor="text1"/>
          <w:sz w:val="32"/>
          <w:highlight w:val="none"/>
          <w14:textFill>
            <w14:solidFill>
              <w14:schemeClr w14:val="tx1"/>
            </w14:solidFill>
          </w14:textFill>
        </w:rPr>
        <w:t xml:space="preserve">第一章  </w:t>
      </w:r>
      <w:r>
        <w:rPr>
          <w:rFonts w:hint="eastAsia"/>
          <w:b/>
          <w:color w:val="000000" w:themeColor="text1"/>
          <w:sz w:val="30"/>
          <w:szCs w:val="30"/>
          <w:highlight w:val="none"/>
          <w14:textFill>
            <w14:solidFill>
              <w14:schemeClr w14:val="tx1"/>
            </w14:solidFill>
          </w14:textFill>
        </w:rPr>
        <w:t>竞争性磋商公告</w:t>
      </w:r>
      <w:bookmarkEnd w:id="0"/>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0"/>
      </w:tblGrid>
      <w:tr w14:paraId="449B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9670" w:type="dxa"/>
            <w:noWrap w:val="0"/>
            <w:vAlign w:val="center"/>
          </w:tcPr>
          <w:p w14:paraId="6E3DE64F">
            <w:pPr>
              <w:pStyle w:val="28"/>
              <w:spacing w:line="360" w:lineRule="exact"/>
              <w:jc w:val="left"/>
              <w:rPr>
                <w:rFonts w:hint="eastAsia" w:ascii="宋体"/>
                <w:color w:val="000000" w:themeColor="text1"/>
                <w:sz w:val="21"/>
                <w:szCs w:val="21"/>
                <w:highlight w:val="none"/>
                <w14:textFill>
                  <w14:solidFill>
                    <w14:schemeClr w14:val="tx1"/>
                  </w14:solidFill>
                </w14:textFill>
              </w:rPr>
            </w:pPr>
            <w:bookmarkStart w:id="1" w:name="_Hlk146024274"/>
            <w:r>
              <w:rPr>
                <w:rFonts w:hint="eastAsia" w:ascii="宋体"/>
                <w:color w:val="000000" w:themeColor="text1"/>
                <w:sz w:val="21"/>
                <w:szCs w:val="21"/>
                <w:highlight w:val="none"/>
                <w14:textFill>
                  <w14:solidFill>
                    <w14:schemeClr w14:val="tx1"/>
                  </w14:solidFill>
                </w14:textFill>
              </w:rPr>
              <w:t>项目概况：</w:t>
            </w:r>
          </w:p>
          <w:p w14:paraId="4406C61B">
            <w:pPr>
              <w:pStyle w:val="28"/>
              <w:spacing w:line="360" w:lineRule="exact"/>
              <w:jc w:val="lef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u w:val="single"/>
                <w:lang w:eastAsia="zh-CN"/>
                <w14:textFill>
                  <w14:solidFill>
                    <w14:schemeClr w14:val="tx1"/>
                  </w14:solidFill>
                </w14:textFill>
              </w:rPr>
              <w:t>界首镇兴田村委址福田村柑橘产业道路硬化项目</w:t>
            </w:r>
            <w:r>
              <w:rPr>
                <w:rFonts w:hint="eastAsia" w:ascii="宋体"/>
                <w:color w:val="000000" w:themeColor="text1"/>
                <w:sz w:val="21"/>
                <w:szCs w:val="21"/>
                <w:highlight w:val="none"/>
                <w14:textFill>
                  <w14:solidFill>
                    <w14:schemeClr w14:val="tx1"/>
                  </w14:solidFill>
                </w14:textFill>
              </w:rPr>
              <w:t>的潜在供应商应在</w:t>
            </w:r>
            <w:r>
              <w:rPr>
                <w:rFonts w:hint="eastAsia" w:ascii="宋体"/>
                <w:color w:val="000000" w:themeColor="text1"/>
                <w:sz w:val="21"/>
                <w:szCs w:val="21"/>
                <w:highlight w:val="none"/>
                <w:u w:val="single"/>
                <w14:textFill>
                  <w14:solidFill>
                    <w14:schemeClr w14:val="tx1"/>
                  </w14:solidFill>
                </w14:textFill>
              </w:rPr>
              <w:t>“广西政府采购云平台”（https://www.gcy.zfcg.gxzf.gov.cn/），从网上获取采购文件电子版</w:t>
            </w:r>
            <w:r>
              <w:rPr>
                <w:rFonts w:hint="eastAsia" w:ascii="宋体"/>
                <w:color w:val="000000" w:themeColor="text1"/>
                <w:sz w:val="21"/>
                <w:szCs w:val="21"/>
                <w:highlight w:val="none"/>
                <w14:textFill>
                  <w14:solidFill>
                    <w14:schemeClr w14:val="tx1"/>
                  </w14:solidFill>
                </w14:textFill>
              </w:rPr>
              <w:t>，并</w:t>
            </w:r>
            <w:r>
              <w:rPr>
                <w:rFonts w:hint="eastAsia" w:ascii="宋体"/>
                <w:color w:val="000000" w:themeColor="text1"/>
                <w:sz w:val="21"/>
                <w:szCs w:val="21"/>
                <w:highlight w:val="none"/>
                <w:u w:val="single"/>
                <w:lang w:eastAsia="zh-CN"/>
                <w14:textFill>
                  <w14:solidFill>
                    <w14:schemeClr w14:val="tx1"/>
                  </w14:solidFill>
                </w14:textFill>
              </w:rPr>
              <w:t>2026</w:t>
            </w:r>
            <w:r>
              <w:rPr>
                <w:rFonts w:hint="eastAsia" w:ascii="宋体"/>
                <w:color w:val="000000" w:themeColor="text1"/>
                <w:sz w:val="21"/>
                <w:szCs w:val="21"/>
                <w:highlight w:val="none"/>
                <w:u w:val="single"/>
                <w14:textFill>
                  <w14:solidFill>
                    <w14:schemeClr w14:val="tx1"/>
                  </w14:solidFill>
                </w14:textFill>
              </w:rPr>
              <w:t>年</w:t>
            </w:r>
            <w:r>
              <w:rPr>
                <w:rFonts w:hint="eastAsia"/>
                <w:color w:val="000000" w:themeColor="text1"/>
                <w:sz w:val="21"/>
                <w:szCs w:val="21"/>
                <w:highlight w:val="none"/>
                <w:u w:val="single"/>
                <w:lang w:val="en-US" w:eastAsia="zh-CN"/>
                <w14:textFill>
                  <w14:solidFill>
                    <w14:schemeClr w14:val="tx1"/>
                  </w14:solidFill>
                </w14:textFill>
              </w:rPr>
              <w:t>04</w:t>
            </w:r>
            <w:r>
              <w:rPr>
                <w:rFonts w:hint="eastAsia" w:ascii="宋体"/>
                <w:color w:val="000000" w:themeColor="text1"/>
                <w:sz w:val="21"/>
                <w:szCs w:val="21"/>
                <w:highlight w:val="none"/>
                <w:u w:val="single"/>
                <w14:textFill>
                  <w14:solidFill>
                    <w14:schemeClr w14:val="tx1"/>
                  </w14:solidFill>
                </w14:textFill>
              </w:rPr>
              <w:t>月</w:t>
            </w:r>
            <w:r>
              <w:rPr>
                <w:rFonts w:hint="eastAsia"/>
                <w:color w:val="000000" w:themeColor="text1"/>
                <w:sz w:val="21"/>
                <w:szCs w:val="21"/>
                <w:highlight w:val="none"/>
                <w:u w:val="single"/>
                <w:lang w:val="en-US" w:eastAsia="zh-CN"/>
                <w14:textFill>
                  <w14:solidFill>
                    <w14:schemeClr w14:val="tx1"/>
                  </w14:solidFill>
                </w14:textFill>
              </w:rPr>
              <w:t>28</w:t>
            </w:r>
            <w:r>
              <w:rPr>
                <w:rFonts w:hint="eastAsia" w:ascii="宋体"/>
                <w:color w:val="000000" w:themeColor="text1"/>
                <w:sz w:val="21"/>
                <w:szCs w:val="21"/>
                <w:highlight w:val="none"/>
                <w:u w:val="single"/>
                <w14:textFill>
                  <w14:solidFill>
                    <w14:schemeClr w14:val="tx1"/>
                  </w14:solidFill>
                </w14:textFill>
              </w:rPr>
              <w:t>日</w:t>
            </w:r>
            <w:r>
              <w:rPr>
                <w:rFonts w:hint="eastAsia" w:ascii="宋体"/>
                <w:bCs/>
                <w:color w:val="000000" w:themeColor="text1"/>
                <w:sz w:val="21"/>
                <w:szCs w:val="21"/>
                <w:highlight w:val="none"/>
                <w:u w:val="single"/>
                <w:lang w:val="en-US" w:eastAsia="zh-CN"/>
                <w14:textFill>
                  <w14:solidFill>
                    <w14:schemeClr w14:val="tx1"/>
                  </w14:solidFill>
                </w14:textFill>
              </w:rPr>
              <w:t>09</w:t>
            </w:r>
            <w:r>
              <w:rPr>
                <w:rFonts w:hint="eastAsia" w:ascii="宋体"/>
                <w:bCs/>
                <w:color w:val="000000" w:themeColor="text1"/>
                <w:sz w:val="21"/>
                <w:szCs w:val="21"/>
                <w:highlight w:val="none"/>
                <w:u w:val="single"/>
                <w14:textFill>
                  <w14:solidFill>
                    <w14:schemeClr w14:val="tx1"/>
                  </w14:solidFill>
                </w14:textFill>
              </w:rPr>
              <w:t>时30 分</w:t>
            </w:r>
            <w:r>
              <w:rPr>
                <w:rFonts w:hint="eastAsia" w:ascii="宋体"/>
                <w:bCs/>
                <w:color w:val="000000" w:themeColor="text1"/>
                <w:sz w:val="21"/>
                <w:szCs w:val="21"/>
                <w:highlight w:val="none"/>
                <w14:textFill>
                  <w14:solidFill>
                    <w14:schemeClr w14:val="tx1"/>
                  </w14:solidFill>
                </w14:textFill>
              </w:rPr>
              <w:t>（北京时间）前递交电子响应文件</w:t>
            </w:r>
            <w:r>
              <w:rPr>
                <w:rFonts w:hint="eastAsia" w:ascii="宋体"/>
                <w:color w:val="000000" w:themeColor="text1"/>
                <w:sz w:val="21"/>
                <w:szCs w:val="21"/>
                <w:highlight w:val="none"/>
                <w14:textFill>
                  <w14:solidFill>
                    <w14:schemeClr w14:val="tx1"/>
                  </w14:solidFill>
                </w14:textFill>
              </w:rPr>
              <w:t>。</w:t>
            </w:r>
          </w:p>
        </w:tc>
      </w:tr>
    </w:tbl>
    <w:p w14:paraId="2D8EEABC">
      <w:pPr>
        <w:pStyle w:val="28"/>
        <w:spacing w:line="360" w:lineRule="exact"/>
        <w:rPr>
          <w:rFonts w:hint="eastAsia" w:ascii="宋体"/>
          <w:b/>
          <w:color w:val="000000" w:themeColor="text1"/>
          <w:sz w:val="21"/>
          <w:szCs w:val="21"/>
          <w:highlight w:val="none"/>
          <w14:textFill>
            <w14:solidFill>
              <w14:schemeClr w14:val="tx1"/>
            </w14:solidFill>
          </w14:textFill>
        </w:rPr>
      </w:pPr>
      <w:r>
        <w:rPr>
          <w:rFonts w:hint="eastAsia" w:ascii="宋体"/>
          <w:b/>
          <w:color w:val="000000" w:themeColor="text1"/>
          <w:sz w:val="21"/>
          <w:szCs w:val="21"/>
          <w:highlight w:val="none"/>
          <w14:textFill>
            <w14:solidFill>
              <w14:schemeClr w14:val="tx1"/>
            </w14:solidFill>
          </w14:textFill>
        </w:rPr>
        <w:t>一、项目基本情况</w:t>
      </w:r>
    </w:p>
    <w:p w14:paraId="54D28527">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 xml:space="preserve">项目编号： </w:t>
      </w:r>
      <w:r>
        <w:rPr>
          <w:rFonts w:hint="eastAsia"/>
          <w:color w:val="000000" w:themeColor="text1"/>
          <w:sz w:val="21"/>
          <w:szCs w:val="21"/>
          <w:highlight w:val="none"/>
          <w:lang w:eastAsia="zh-CN"/>
          <w14:textFill>
            <w14:solidFill>
              <w14:schemeClr w14:val="tx1"/>
            </w14:solidFill>
          </w14:textFill>
        </w:rPr>
        <w:t>GLZC2026-C2-250027-GXZQ</w:t>
      </w:r>
      <w:r>
        <w:rPr>
          <w:rFonts w:hint="eastAsia" w:ascii="宋体"/>
          <w:color w:val="000000" w:themeColor="text1"/>
          <w:sz w:val="21"/>
          <w:szCs w:val="21"/>
          <w:highlight w:val="none"/>
          <w:lang w:val="en-US" w:eastAsia="zh-CN"/>
          <w14:textFill>
            <w14:solidFill>
              <w14:schemeClr w14:val="tx1"/>
            </w14:solidFill>
          </w14:textFill>
        </w:rPr>
        <w:t xml:space="preserve"> </w:t>
      </w:r>
      <w:r>
        <w:rPr>
          <w:rFonts w:hint="eastAsia" w:ascii="宋体"/>
          <w:color w:val="000000" w:themeColor="text1"/>
          <w:sz w:val="21"/>
          <w:szCs w:val="21"/>
          <w:highlight w:val="none"/>
          <w14:textFill>
            <w14:solidFill>
              <w14:schemeClr w14:val="tx1"/>
            </w14:solidFill>
          </w14:textFill>
        </w:rPr>
        <w:t xml:space="preserve">                  </w:t>
      </w:r>
    </w:p>
    <w:p w14:paraId="466F18B8">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项目名称：</w:t>
      </w:r>
      <w:r>
        <w:rPr>
          <w:rFonts w:hint="eastAsia" w:ascii="宋体"/>
          <w:color w:val="000000" w:themeColor="text1"/>
          <w:sz w:val="21"/>
          <w:szCs w:val="21"/>
          <w:highlight w:val="none"/>
          <w:lang w:eastAsia="zh-CN"/>
          <w14:textFill>
            <w14:solidFill>
              <w14:schemeClr w14:val="tx1"/>
            </w14:solidFill>
          </w14:textFill>
        </w:rPr>
        <w:t>界首镇兴田村委址福田村柑橘产业道路硬化项目</w:t>
      </w:r>
      <w:r>
        <w:rPr>
          <w:rFonts w:hint="eastAsia" w:ascii="宋体"/>
          <w:color w:val="000000" w:themeColor="text1"/>
          <w:sz w:val="21"/>
          <w:szCs w:val="21"/>
          <w:highlight w:val="none"/>
          <w14:textFill>
            <w14:solidFill>
              <w14:schemeClr w14:val="tx1"/>
            </w14:solidFill>
          </w14:textFill>
        </w:rPr>
        <w:t xml:space="preserve">                      </w:t>
      </w:r>
    </w:p>
    <w:p w14:paraId="149CB93D">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采购方式：竞争性磋商</w:t>
      </w:r>
    </w:p>
    <w:p w14:paraId="39D4D401">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预算总金额（元）：</w:t>
      </w:r>
      <w:r>
        <w:rPr>
          <w:rFonts w:hint="eastAsia"/>
          <w:color w:val="000000" w:themeColor="text1"/>
          <w:sz w:val="21"/>
          <w:szCs w:val="21"/>
          <w:highlight w:val="none"/>
          <w:lang w:eastAsia="zh-CN"/>
          <w14:textFill>
            <w14:solidFill>
              <w14:schemeClr w14:val="tx1"/>
            </w14:solidFill>
          </w14:textFill>
        </w:rPr>
        <w:t>639500.00</w:t>
      </w:r>
      <w:r>
        <w:rPr>
          <w:rFonts w:hint="eastAsia" w:ascii="宋体"/>
          <w:color w:val="000000" w:themeColor="text1"/>
          <w:sz w:val="21"/>
          <w:szCs w:val="21"/>
          <w:highlight w:val="none"/>
          <w:lang w:val="en-US" w:eastAsia="zh-CN"/>
          <w14:textFill>
            <w14:solidFill>
              <w14:schemeClr w14:val="tx1"/>
            </w14:solidFill>
          </w14:textFill>
        </w:rPr>
        <w:t xml:space="preserve"> </w:t>
      </w:r>
      <w:r>
        <w:rPr>
          <w:rFonts w:hint="eastAsia" w:ascii="宋体"/>
          <w:color w:val="000000" w:themeColor="text1"/>
          <w:sz w:val="21"/>
          <w:szCs w:val="21"/>
          <w:highlight w:val="none"/>
          <w14:textFill>
            <w14:solidFill>
              <w14:schemeClr w14:val="tx1"/>
            </w14:solidFill>
          </w14:textFill>
        </w:rPr>
        <w:t xml:space="preserve">                                </w:t>
      </w:r>
    </w:p>
    <w:p w14:paraId="575CBEF6">
      <w:pPr>
        <w:pStyle w:val="28"/>
        <w:spacing w:line="360" w:lineRule="exact"/>
        <w:rPr>
          <w:rFonts w:hint="eastAsia" w:ascii="宋体"/>
          <w:b/>
          <w:color w:val="000000" w:themeColor="text1"/>
          <w:sz w:val="21"/>
          <w:szCs w:val="21"/>
          <w:highlight w:val="none"/>
          <w14:textFill>
            <w14:solidFill>
              <w14:schemeClr w14:val="tx1"/>
            </w14:solidFill>
          </w14:textFill>
        </w:rPr>
      </w:pPr>
      <w:r>
        <w:rPr>
          <w:rFonts w:hint="eastAsia" w:ascii="宋体"/>
          <w:b/>
          <w:color w:val="000000" w:themeColor="text1"/>
          <w:sz w:val="21"/>
          <w:szCs w:val="21"/>
          <w:highlight w:val="none"/>
          <w14:textFill>
            <w14:solidFill>
              <w14:schemeClr w14:val="tx1"/>
            </w14:solidFill>
          </w14:textFill>
        </w:rPr>
        <w:t>采购需求：</w:t>
      </w:r>
    </w:p>
    <w:p w14:paraId="14105E0D">
      <w:pPr>
        <w:pStyle w:val="28"/>
        <w:spacing w:line="360" w:lineRule="exact"/>
        <w:rPr>
          <w:rFonts w:hint="eastAsia" w:ascii="宋体"/>
          <w:b/>
          <w:bCs/>
          <w:color w:val="000000" w:themeColor="text1"/>
          <w:sz w:val="21"/>
          <w:szCs w:val="21"/>
          <w:highlight w:val="none"/>
          <w14:textFill>
            <w14:solidFill>
              <w14:schemeClr w14:val="tx1"/>
            </w14:solidFill>
          </w14:textFill>
        </w:rPr>
      </w:pPr>
      <w:r>
        <w:rPr>
          <w:rFonts w:hint="eastAsia" w:ascii="宋体"/>
          <w:b/>
          <w:bCs/>
          <w:color w:val="000000" w:themeColor="text1"/>
          <w:sz w:val="21"/>
          <w:szCs w:val="21"/>
          <w:highlight w:val="none"/>
          <w14:textFill>
            <w14:solidFill>
              <w14:schemeClr w14:val="tx1"/>
            </w14:solidFill>
          </w14:textFill>
        </w:rPr>
        <w:t>标项一</w:t>
      </w:r>
    </w:p>
    <w:p w14:paraId="76ABEFFA">
      <w:pPr>
        <w:pStyle w:val="28"/>
        <w:spacing w:line="360" w:lineRule="exact"/>
        <w:rPr>
          <w:rFonts w:hint="eastAsia" w:ascii="宋体" w:eastAsia="宋体"/>
          <w:color w:val="000000" w:themeColor="text1"/>
          <w:sz w:val="21"/>
          <w:szCs w:val="21"/>
          <w:highlight w:val="none"/>
          <w:lang w:eastAsia="zh-CN"/>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标项名称：</w:t>
      </w:r>
      <w:r>
        <w:rPr>
          <w:rFonts w:hint="eastAsia" w:ascii="宋体"/>
          <w:color w:val="000000" w:themeColor="text1"/>
          <w:sz w:val="21"/>
          <w:szCs w:val="21"/>
          <w:highlight w:val="none"/>
          <w:lang w:eastAsia="zh-CN"/>
          <w14:textFill>
            <w14:solidFill>
              <w14:schemeClr w14:val="tx1"/>
            </w14:solidFill>
          </w14:textFill>
        </w:rPr>
        <w:t>界首镇兴田村委址福田村柑橘产业道路硬化项目</w:t>
      </w:r>
    </w:p>
    <w:p w14:paraId="49DA6AE7">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数量：1</w:t>
      </w:r>
    </w:p>
    <w:p w14:paraId="7300A503">
      <w:pPr>
        <w:pStyle w:val="28"/>
        <w:spacing w:line="360" w:lineRule="exact"/>
        <w:rPr>
          <w:rFonts w:hint="default" w:ascii="宋体" w:eastAsia="宋体"/>
          <w:color w:val="000000" w:themeColor="text1"/>
          <w:sz w:val="21"/>
          <w:szCs w:val="21"/>
          <w:highlight w:val="none"/>
          <w:lang w:val="en-US" w:eastAsia="zh-CN"/>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预算金额（元）：</w:t>
      </w:r>
      <w:r>
        <w:rPr>
          <w:rFonts w:hint="eastAsia"/>
          <w:color w:val="000000" w:themeColor="text1"/>
          <w:sz w:val="21"/>
          <w:szCs w:val="21"/>
          <w:highlight w:val="none"/>
          <w:lang w:eastAsia="zh-CN"/>
          <w14:textFill>
            <w14:solidFill>
              <w14:schemeClr w14:val="tx1"/>
            </w14:solidFill>
          </w14:textFill>
        </w:rPr>
        <w:t>639500.00</w:t>
      </w:r>
      <w:r>
        <w:rPr>
          <w:rFonts w:hint="eastAsia" w:ascii="宋体"/>
          <w:color w:val="000000" w:themeColor="text1"/>
          <w:sz w:val="21"/>
          <w:szCs w:val="21"/>
          <w:highlight w:val="none"/>
          <w:lang w:val="en-US" w:eastAsia="zh-CN"/>
          <w14:textFill>
            <w14:solidFill>
              <w14:schemeClr w14:val="tx1"/>
            </w14:solidFill>
          </w14:textFill>
        </w:rPr>
        <w:t xml:space="preserve"> </w:t>
      </w:r>
    </w:p>
    <w:p w14:paraId="0AFF88AB">
      <w:pPr>
        <w:spacing w:line="300" w:lineRule="exact"/>
        <w:ind w:firstLine="420" w:firstLineChars="200"/>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简要规格描述或项目基本概况介绍、用途：</w:t>
      </w:r>
    </w:p>
    <w:p w14:paraId="6A62F130">
      <w:pPr>
        <w:numPr>
          <w:ilvl w:val="0"/>
          <w:numId w:val="1"/>
        </w:numPr>
        <w:spacing w:line="300" w:lineRule="exact"/>
        <w:ind w:left="0" w:firstLine="420" w:firstLineChars="200"/>
        <w:rPr>
          <w:rFonts w:hint="eastAsia" w:ascii="宋体" w:cs="宋体"/>
          <w:color w:val="000000" w:themeColor="text1"/>
          <w:sz w:val="21"/>
          <w:szCs w:val="21"/>
          <w:highlight w:val="none"/>
          <w:lang w:bidi="ar-SA"/>
          <w14:textFill>
            <w14:solidFill>
              <w14:schemeClr w14:val="tx1"/>
            </w14:solidFill>
          </w14:textFill>
        </w:rPr>
      </w:pPr>
      <w:r>
        <w:rPr>
          <w:rFonts w:hint="eastAsia" w:ascii="宋体" w:cs="宋体"/>
          <w:color w:val="000000" w:themeColor="text1"/>
          <w:sz w:val="21"/>
          <w:szCs w:val="21"/>
          <w:highlight w:val="none"/>
          <w:lang w:bidi="ar-SA"/>
          <w14:textFill>
            <w14:solidFill>
              <w14:schemeClr w14:val="tx1"/>
            </w14:solidFill>
          </w14:textFill>
        </w:rPr>
        <w:t>建设地点：</w:t>
      </w:r>
      <w:r>
        <w:rPr>
          <w:rFonts w:hint="eastAsia" w:ascii="宋体" w:cs="宋体"/>
          <w:color w:val="000000" w:themeColor="text1"/>
          <w:sz w:val="21"/>
          <w:szCs w:val="21"/>
          <w:highlight w:val="none"/>
          <w:lang w:eastAsia="zh-CN" w:bidi="ar-SA"/>
          <w14:textFill>
            <w14:solidFill>
              <w14:schemeClr w14:val="tx1"/>
            </w14:solidFill>
          </w14:textFill>
        </w:rPr>
        <w:t>桂林市兴安县界首镇</w:t>
      </w:r>
      <w:r>
        <w:rPr>
          <w:rFonts w:hint="eastAsia" w:ascii="宋体" w:cs="宋体"/>
          <w:color w:val="000000" w:themeColor="text1"/>
          <w:sz w:val="21"/>
          <w:szCs w:val="21"/>
          <w:highlight w:val="none"/>
          <w:lang w:bidi="ar-SA"/>
          <w14:textFill>
            <w14:solidFill>
              <w14:schemeClr w14:val="tx1"/>
            </w14:solidFill>
          </w14:textFill>
        </w:rPr>
        <w:t>；</w:t>
      </w:r>
    </w:p>
    <w:p w14:paraId="376EB87C">
      <w:pPr>
        <w:numPr>
          <w:ilvl w:val="0"/>
          <w:numId w:val="0"/>
        </w:numPr>
        <w:tabs>
          <w:tab w:val="left" w:pos="0"/>
        </w:tabs>
        <w:spacing w:line="300" w:lineRule="exact"/>
        <w:ind w:leftChars="200"/>
        <w:rPr>
          <w:rFonts w:hint="eastAsia" w:ascii="宋体" w:cs="宋体"/>
          <w:color w:val="000000" w:themeColor="text1"/>
          <w:sz w:val="21"/>
          <w:szCs w:val="21"/>
          <w:highlight w:val="none"/>
          <w:lang w:bidi="ar-SA"/>
          <w14:textFill>
            <w14:solidFill>
              <w14:schemeClr w14:val="tx1"/>
            </w14:solidFill>
          </w14:textFill>
        </w:rPr>
      </w:pPr>
      <w:r>
        <w:rPr>
          <w:rFonts w:hint="eastAsia" w:ascii="宋体"/>
          <w:color w:val="000000" w:themeColor="text1"/>
          <w:sz w:val="21"/>
          <w:szCs w:val="21"/>
          <w:highlight w:val="none"/>
          <w:lang w:eastAsia="zh-CN"/>
          <w14:textFill>
            <w14:solidFill>
              <w14:schemeClr w14:val="tx1"/>
            </w14:solidFill>
          </w14:textFill>
        </w:rPr>
        <w:t>（</w:t>
      </w:r>
      <w:r>
        <w:rPr>
          <w:rFonts w:hint="eastAsia" w:ascii="宋体"/>
          <w:color w:val="000000" w:themeColor="text1"/>
          <w:sz w:val="21"/>
          <w:szCs w:val="21"/>
          <w:highlight w:val="none"/>
          <w:lang w:val="en-US" w:eastAsia="zh-CN"/>
          <w14:textFill>
            <w14:solidFill>
              <w14:schemeClr w14:val="tx1"/>
            </w14:solidFill>
          </w14:textFill>
        </w:rPr>
        <w:t>2</w:t>
      </w:r>
      <w:r>
        <w:rPr>
          <w:rFonts w:hint="eastAsia" w:ascii="宋体"/>
          <w:color w:val="000000" w:themeColor="text1"/>
          <w:sz w:val="21"/>
          <w:szCs w:val="21"/>
          <w:highlight w:val="none"/>
          <w:lang w:eastAsia="zh-CN"/>
          <w14:textFill>
            <w14:solidFill>
              <w14:schemeClr w14:val="tx1"/>
            </w14:solidFill>
          </w14:textFill>
        </w:rPr>
        <w:t>）</w:t>
      </w:r>
      <w:r>
        <w:rPr>
          <w:rFonts w:hint="eastAsia" w:ascii="宋体"/>
          <w:color w:val="000000" w:themeColor="text1"/>
          <w:sz w:val="21"/>
          <w:szCs w:val="21"/>
          <w:highlight w:val="none"/>
          <w14:textFill>
            <w14:solidFill>
              <w14:schemeClr w14:val="tx1"/>
            </w14:solidFill>
          </w14:textFill>
        </w:rPr>
        <w:t>工程内容：</w:t>
      </w:r>
      <w:r>
        <w:rPr>
          <w:rFonts w:hint="eastAsia" w:ascii="宋体" w:hAnsi="宋体" w:cs="宋体"/>
          <w:color w:val="000000" w:themeColor="text1"/>
          <w:sz w:val="21"/>
          <w:szCs w:val="21"/>
          <w:highlight w:val="none"/>
          <w:lang w:val="en-US" w:eastAsia="zh-CN"/>
          <w14:textFill>
            <w14:solidFill>
              <w14:schemeClr w14:val="tx1"/>
            </w14:solidFill>
          </w14:textFill>
        </w:rPr>
        <w:t>道路硬化长1.725公里，路基宽度4.5米，路面硬化宽度3.5米，为水泥混凝土路面</w:t>
      </w:r>
      <w:r>
        <w:rPr>
          <w:rFonts w:hint="eastAsia" w:ascii="宋体"/>
          <w:color w:val="000000" w:themeColor="text1"/>
          <w:sz w:val="21"/>
          <w:szCs w:val="21"/>
          <w:highlight w:val="none"/>
          <w:lang w:eastAsia="zh-CN"/>
          <w14:textFill>
            <w14:solidFill>
              <w14:schemeClr w14:val="tx1"/>
            </w14:solidFill>
          </w14:textFill>
        </w:rPr>
        <w:t>。</w:t>
      </w:r>
    </w:p>
    <w:p w14:paraId="7B81BA68">
      <w:pPr>
        <w:numPr>
          <w:ilvl w:val="0"/>
          <w:numId w:val="0"/>
        </w:numPr>
        <w:tabs>
          <w:tab w:val="left" w:pos="0"/>
        </w:tabs>
        <w:spacing w:line="300" w:lineRule="exact"/>
        <w:ind w:leftChars="200"/>
        <w:rPr>
          <w:rFonts w:hint="eastAsia" w:ascii="宋体" w:cs="宋体"/>
          <w:color w:val="000000" w:themeColor="text1"/>
          <w:sz w:val="21"/>
          <w:szCs w:val="21"/>
          <w:highlight w:val="none"/>
          <w:lang w:bidi="ar-SA"/>
          <w14:textFill>
            <w14:solidFill>
              <w14:schemeClr w14:val="tx1"/>
            </w14:solidFill>
          </w14:textFill>
        </w:rPr>
      </w:pPr>
      <w:r>
        <w:rPr>
          <w:rFonts w:hint="eastAsia" w:ascii="宋体" w:cs="宋体"/>
          <w:color w:val="000000" w:themeColor="text1"/>
          <w:sz w:val="21"/>
          <w:szCs w:val="21"/>
          <w:highlight w:val="none"/>
          <w:lang w:eastAsia="zh-CN" w:bidi="ar-SA"/>
          <w14:textFill>
            <w14:solidFill>
              <w14:schemeClr w14:val="tx1"/>
            </w14:solidFill>
          </w14:textFill>
        </w:rPr>
        <w:t>（</w:t>
      </w:r>
      <w:r>
        <w:rPr>
          <w:rFonts w:hint="eastAsia" w:ascii="宋体" w:cs="宋体"/>
          <w:color w:val="000000" w:themeColor="text1"/>
          <w:sz w:val="21"/>
          <w:szCs w:val="21"/>
          <w:highlight w:val="none"/>
          <w:lang w:val="en-US" w:eastAsia="zh-CN" w:bidi="ar-SA"/>
          <w14:textFill>
            <w14:solidFill>
              <w14:schemeClr w14:val="tx1"/>
            </w14:solidFill>
          </w14:textFill>
        </w:rPr>
        <w:t>3</w:t>
      </w:r>
      <w:r>
        <w:rPr>
          <w:rFonts w:hint="eastAsia" w:ascii="宋体" w:cs="宋体"/>
          <w:color w:val="000000" w:themeColor="text1"/>
          <w:sz w:val="21"/>
          <w:szCs w:val="21"/>
          <w:highlight w:val="none"/>
          <w:lang w:eastAsia="zh-CN" w:bidi="ar-SA"/>
          <w14:textFill>
            <w14:solidFill>
              <w14:schemeClr w14:val="tx1"/>
            </w14:solidFill>
          </w14:textFill>
        </w:rPr>
        <w:t>）</w:t>
      </w:r>
      <w:r>
        <w:rPr>
          <w:rFonts w:hint="eastAsia" w:ascii="宋体" w:cs="宋体"/>
          <w:color w:val="000000" w:themeColor="text1"/>
          <w:sz w:val="21"/>
          <w:szCs w:val="21"/>
          <w:highlight w:val="none"/>
          <w:lang w:bidi="ar-SA"/>
          <w14:textFill>
            <w14:solidFill>
              <w14:schemeClr w14:val="tx1"/>
            </w14:solidFill>
          </w14:textFill>
        </w:rPr>
        <w:t>要求工期：</w:t>
      </w:r>
      <w:r>
        <w:rPr>
          <w:rFonts w:hint="eastAsia" w:ascii="宋体" w:cs="宋体"/>
          <w:color w:val="000000" w:themeColor="text1"/>
          <w:sz w:val="21"/>
          <w:szCs w:val="21"/>
          <w:highlight w:val="none"/>
          <w:lang w:val="en-US" w:eastAsia="zh-CN" w:bidi="ar-SA"/>
          <w14:textFill>
            <w14:solidFill>
              <w14:schemeClr w14:val="tx1"/>
            </w14:solidFill>
          </w14:textFill>
        </w:rPr>
        <w:t>60</w:t>
      </w:r>
      <w:r>
        <w:rPr>
          <w:rFonts w:hint="eastAsia" w:ascii="宋体" w:cs="宋体"/>
          <w:color w:val="000000" w:themeColor="text1"/>
          <w:sz w:val="21"/>
          <w:szCs w:val="21"/>
          <w:highlight w:val="none"/>
          <w:lang w:eastAsia="zh-CN" w:bidi="ar-SA"/>
          <w14:textFill>
            <w14:solidFill>
              <w14:schemeClr w14:val="tx1"/>
            </w14:solidFill>
          </w14:textFill>
        </w:rPr>
        <w:t>个日历天</w:t>
      </w:r>
      <w:r>
        <w:rPr>
          <w:rFonts w:hint="eastAsia" w:ascii="宋体" w:cs="宋体"/>
          <w:color w:val="000000" w:themeColor="text1"/>
          <w:sz w:val="21"/>
          <w:szCs w:val="21"/>
          <w:highlight w:val="none"/>
          <w:lang w:bidi="ar-SA"/>
          <w14:textFill>
            <w14:solidFill>
              <w14:schemeClr w14:val="tx1"/>
            </w14:solidFill>
          </w14:textFill>
        </w:rPr>
        <w:t>；</w:t>
      </w:r>
    </w:p>
    <w:p w14:paraId="7BD447BA">
      <w:pPr>
        <w:numPr>
          <w:ilvl w:val="0"/>
          <w:numId w:val="0"/>
        </w:numPr>
        <w:tabs>
          <w:tab w:val="left" w:pos="0"/>
        </w:tabs>
        <w:spacing w:line="300" w:lineRule="exact"/>
        <w:ind w:leftChars="200"/>
        <w:rPr>
          <w:rFonts w:hint="eastAsia" w:ascii="宋体" w:cs="宋体"/>
          <w:color w:val="000000" w:themeColor="text1"/>
          <w:sz w:val="21"/>
          <w:szCs w:val="21"/>
          <w:highlight w:val="none"/>
          <w:lang w:bidi="ar-SA"/>
          <w14:textFill>
            <w14:solidFill>
              <w14:schemeClr w14:val="tx1"/>
            </w14:solidFill>
          </w14:textFill>
        </w:rPr>
      </w:pPr>
      <w:r>
        <w:rPr>
          <w:rFonts w:hint="eastAsia" w:ascii="宋体" w:cs="宋体"/>
          <w:color w:val="000000" w:themeColor="text1"/>
          <w:sz w:val="21"/>
          <w:szCs w:val="21"/>
          <w:highlight w:val="none"/>
          <w:lang w:eastAsia="zh-CN" w:bidi="ar-SA"/>
          <w14:textFill>
            <w14:solidFill>
              <w14:schemeClr w14:val="tx1"/>
            </w14:solidFill>
          </w14:textFill>
        </w:rPr>
        <w:t>（</w:t>
      </w:r>
      <w:r>
        <w:rPr>
          <w:rFonts w:hint="eastAsia" w:ascii="宋体" w:cs="宋体"/>
          <w:color w:val="000000" w:themeColor="text1"/>
          <w:sz w:val="21"/>
          <w:szCs w:val="21"/>
          <w:highlight w:val="none"/>
          <w:lang w:val="en-US" w:eastAsia="zh-CN" w:bidi="ar-SA"/>
          <w14:textFill>
            <w14:solidFill>
              <w14:schemeClr w14:val="tx1"/>
            </w14:solidFill>
          </w14:textFill>
        </w:rPr>
        <w:t>4</w:t>
      </w:r>
      <w:r>
        <w:rPr>
          <w:rFonts w:hint="eastAsia" w:ascii="宋体" w:cs="宋体"/>
          <w:color w:val="000000" w:themeColor="text1"/>
          <w:sz w:val="21"/>
          <w:szCs w:val="21"/>
          <w:highlight w:val="none"/>
          <w:lang w:eastAsia="zh-CN" w:bidi="ar-SA"/>
          <w14:textFill>
            <w14:solidFill>
              <w14:schemeClr w14:val="tx1"/>
            </w14:solidFill>
          </w14:textFill>
        </w:rPr>
        <w:t>）</w:t>
      </w:r>
      <w:r>
        <w:rPr>
          <w:rFonts w:hint="eastAsia" w:ascii="宋体" w:cs="宋体"/>
          <w:color w:val="000000" w:themeColor="text1"/>
          <w:sz w:val="21"/>
          <w:szCs w:val="21"/>
          <w:highlight w:val="none"/>
          <w:lang w:bidi="ar-SA"/>
          <w14:textFill>
            <w14:solidFill>
              <w14:schemeClr w14:val="tx1"/>
            </w14:solidFill>
          </w14:textFill>
        </w:rPr>
        <w:t>质量要求：达到国家施工验收规范合格标准；</w:t>
      </w:r>
    </w:p>
    <w:p w14:paraId="18085FE8">
      <w:pPr>
        <w:numPr>
          <w:ilvl w:val="0"/>
          <w:numId w:val="0"/>
        </w:numPr>
        <w:tabs>
          <w:tab w:val="left" w:pos="0"/>
        </w:tabs>
        <w:spacing w:line="300" w:lineRule="exact"/>
        <w:ind w:leftChars="200"/>
        <w:rPr>
          <w:rFonts w:hint="eastAsia" w:ascii="宋体" w:cs="宋体"/>
          <w:color w:val="000000" w:themeColor="text1"/>
          <w:sz w:val="21"/>
          <w:szCs w:val="21"/>
          <w:highlight w:val="none"/>
          <w:lang w:bidi="ar-SA"/>
          <w14:textFill>
            <w14:solidFill>
              <w14:schemeClr w14:val="tx1"/>
            </w14:solidFill>
          </w14:textFill>
        </w:rPr>
      </w:pPr>
      <w:r>
        <w:rPr>
          <w:rFonts w:hint="eastAsia" w:ascii="宋体" w:cs="宋体"/>
          <w:color w:val="000000" w:themeColor="text1"/>
          <w:sz w:val="21"/>
          <w:szCs w:val="21"/>
          <w:highlight w:val="none"/>
          <w:lang w:eastAsia="zh-CN" w:bidi="ar-SA"/>
          <w14:textFill>
            <w14:solidFill>
              <w14:schemeClr w14:val="tx1"/>
            </w14:solidFill>
          </w14:textFill>
        </w:rPr>
        <w:t>（</w:t>
      </w:r>
      <w:r>
        <w:rPr>
          <w:rFonts w:hint="eastAsia" w:ascii="宋体" w:cs="宋体"/>
          <w:color w:val="000000" w:themeColor="text1"/>
          <w:sz w:val="21"/>
          <w:szCs w:val="21"/>
          <w:highlight w:val="none"/>
          <w:lang w:val="en-US" w:eastAsia="zh-CN" w:bidi="ar-SA"/>
          <w14:textFill>
            <w14:solidFill>
              <w14:schemeClr w14:val="tx1"/>
            </w14:solidFill>
          </w14:textFill>
        </w:rPr>
        <w:t>5</w:t>
      </w:r>
      <w:r>
        <w:rPr>
          <w:rFonts w:hint="eastAsia" w:ascii="宋体" w:cs="宋体"/>
          <w:color w:val="000000" w:themeColor="text1"/>
          <w:sz w:val="21"/>
          <w:szCs w:val="21"/>
          <w:highlight w:val="none"/>
          <w:lang w:eastAsia="zh-CN" w:bidi="ar-SA"/>
          <w14:textFill>
            <w14:solidFill>
              <w14:schemeClr w14:val="tx1"/>
            </w14:solidFill>
          </w14:textFill>
        </w:rPr>
        <w:t>）</w:t>
      </w:r>
      <w:r>
        <w:rPr>
          <w:rFonts w:hint="eastAsia" w:ascii="宋体" w:cs="宋体"/>
          <w:color w:val="000000" w:themeColor="text1"/>
          <w:sz w:val="21"/>
          <w:szCs w:val="21"/>
          <w:highlight w:val="none"/>
          <w:lang w:bidi="ar-SA"/>
          <w14:textFill>
            <w14:solidFill>
              <w14:schemeClr w14:val="tx1"/>
            </w14:solidFill>
          </w14:textFill>
        </w:rPr>
        <w:t>采购范围：施工图纸范围内的工程，具体情况详见施工图纸及工程量清单；</w:t>
      </w:r>
    </w:p>
    <w:p w14:paraId="4CDA8116">
      <w:pPr>
        <w:spacing w:line="300" w:lineRule="exact"/>
        <w:ind w:left="420" w:leftChars="200"/>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如需进一步了解详细内容，详见竞争性磋商文件。</w:t>
      </w:r>
    </w:p>
    <w:p w14:paraId="22A0E641">
      <w:pPr>
        <w:pStyle w:val="28"/>
        <w:spacing w:line="360" w:lineRule="exact"/>
        <w:rPr>
          <w:rFonts w:hint="eastAsia" w:ascii="宋体" w:eastAsia="宋体"/>
          <w:color w:val="000000" w:themeColor="text1"/>
          <w:sz w:val="21"/>
          <w:szCs w:val="21"/>
          <w:highlight w:val="none"/>
          <w:lang w:val="en-US" w:eastAsia="zh-CN"/>
          <w14:textFill>
            <w14:solidFill>
              <w14:schemeClr w14:val="tx1"/>
            </w14:solidFill>
          </w14:textFill>
        </w:rPr>
      </w:pPr>
      <w:r>
        <w:rPr>
          <w:rFonts w:hint="eastAsia" w:ascii="宋体" w:cs="宋体"/>
          <w:color w:val="000000" w:themeColor="text1"/>
          <w:sz w:val="21"/>
          <w:szCs w:val="21"/>
          <w:highlight w:val="none"/>
          <w:lang w:bidi="ar-SA"/>
          <w14:textFill>
            <w14:solidFill>
              <w14:schemeClr w14:val="tx1"/>
            </w14:solidFill>
          </w14:textFill>
        </w:rPr>
        <w:t>最高限价（如有）：</w:t>
      </w:r>
      <w:r>
        <w:rPr>
          <w:rFonts w:hint="eastAsia" w:cs="宋体"/>
          <w:color w:val="000000" w:themeColor="text1"/>
          <w:sz w:val="21"/>
          <w:szCs w:val="21"/>
          <w:highlight w:val="none"/>
          <w:lang w:eastAsia="zh-CN" w:bidi="ar-SA"/>
          <w14:textFill>
            <w14:solidFill>
              <w14:schemeClr w14:val="tx1"/>
            </w14:solidFill>
          </w14:textFill>
        </w:rPr>
        <w:t>639500.00</w:t>
      </w:r>
      <w:r>
        <w:rPr>
          <w:rFonts w:hint="eastAsia" w:ascii="宋体"/>
          <w:color w:val="000000" w:themeColor="text1"/>
          <w:sz w:val="21"/>
          <w:szCs w:val="21"/>
          <w:highlight w:val="none"/>
          <w:lang w:val="en-US" w:eastAsia="zh-CN"/>
          <w14:textFill>
            <w14:solidFill>
              <w14:schemeClr w14:val="tx1"/>
            </w14:solidFill>
          </w14:textFill>
        </w:rPr>
        <w:t xml:space="preserve"> 元 </w:t>
      </w:r>
    </w:p>
    <w:p w14:paraId="442F1090">
      <w:pPr>
        <w:pStyle w:val="28"/>
        <w:spacing w:line="360" w:lineRule="exact"/>
        <w:rPr>
          <w:rFonts w:hint="eastAsia" w:ascii="宋体" w:cs="宋体"/>
          <w:bCs/>
          <w:color w:val="000000" w:themeColor="text1"/>
          <w:kern w:val="0"/>
          <w:sz w:val="21"/>
          <w:szCs w:val="21"/>
          <w:highlight w:val="none"/>
          <w:lang w:bidi="ar-SA"/>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合同履行期限：</w:t>
      </w:r>
      <w:r>
        <w:rPr>
          <w:rFonts w:hint="eastAsia" w:ascii="宋体" w:cs="宋体"/>
          <w:bCs/>
          <w:color w:val="000000" w:themeColor="text1"/>
          <w:kern w:val="0"/>
          <w:sz w:val="21"/>
          <w:szCs w:val="21"/>
          <w:highlight w:val="none"/>
          <w:lang w:bidi="ar-SA"/>
          <w14:textFill>
            <w14:solidFill>
              <w14:schemeClr w14:val="tx1"/>
            </w14:solidFill>
          </w14:textFill>
        </w:rPr>
        <w:t>自合同签订之日起至免费保修期满止。</w:t>
      </w:r>
      <w:r>
        <w:rPr>
          <w:rFonts w:hint="eastAsia" w:ascii="宋体"/>
          <w:color w:val="000000" w:themeColor="text1"/>
          <w:sz w:val="21"/>
          <w:szCs w:val="21"/>
          <w:highlight w:val="none"/>
          <w14:textFill>
            <w14:solidFill>
              <w14:schemeClr w14:val="tx1"/>
            </w14:solidFill>
          </w14:textFill>
        </w:rPr>
        <w:t xml:space="preserve"> </w:t>
      </w:r>
    </w:p>
    <w:p w14:paraId="1A2C1CA8">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本标项</w:t>
      </w:r>
      <w:r>
        <w:rPr>
          <w:rFonts w:hint="eastAsia" w:ascii="宋体"/>
          <w:color w:val="000000" w:themeColor="text1"/>
          <w:sz w:val="21"/>
          <w:szCs w:val="21"/>
          <w:highlight w:val="none"/>
          <w:u w:val="single"/>
          <w14:textFill>
            <w14:solidFill>
              <w14:schemeClr w14:val="tx1"/>
            </w14:solidFill>
          </w14:textFill>
        </w:rPr>
        <w:t>（否）</w:t>
      </w:r>
      <w:r>
        <w:rPr>
          <w:rFonts w:hint="eastAsia" w:ascii="宋体"/>
          <w:color w:val="000000" w:themeColor="text1"/>
          <w:sz w:val="21"/>
          <w:szCs w:val="21"/>
          <w:highlight w:val="none"/>
          <w14:textFill>
            <w14:solidFill>
              <w14:schemeClr w14:val="tx1"/>
            </w14:solidFill>
          </w14:textFill>
        </w:rPr>
        <w:t>接受联合体</w:t>
      </w:r>
    </w:p>
    <w:p w14:paraId="0BBCAB66">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备注：/</w:t>
      </w:r>
    </w:p>
    <w:p w14:paraId="6096F1FD">
      <w:pPr>
        <w:pStyle w:val="28"/>
        <w:spacing w:line="360" w:lineRule="exact"/>
        <w:rPr>
          <w:rFonts w:hint="eastAsia" w:ascii="宋体"/>
          <w:b/>
          <w:color w:val="000000" w:themeColor="text1"/>
          <w:sz w:val="21"/>
          <w:szCs w:val="21"/>
          <w:highlight w:val="none"/>
          <w14:textFill>
            <w14:solidFill>
              <w14:schemeClr w14:val="tx1"/>
            </w14:solidFill>
          </w14:textFill>
        </w:rPr>
      </w:pPr>
      <w:r>
        <w:rPr>
          <w:rFonts w:hint="eastAsia" w:ascii="宋体"/>
          <w:b/>
          <w:color w:val="000000" w:themeColor="text1"/>
          <w:sz w:val="21"/>
          <w:szCs w:val="21"/>
          <w:highlight w:val="none"/>
          <w14:textFill>
            <w14:solidFill>
              <w14:schemeClr w14:val="tx1"/>
            </w14:solidFill>
          </w14:textFill>
        </w:rPr>
        <w:t>二、申请人的资格要求：</w:t>
      </w:r>
    </w:p>
    <w:p w14:paraId="32F3DF8A">
      <w:pPr>
        <w:pStyle w:val="28"/>
        <w:spacing w:line="40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1.满足《中华人民共和国政府采购法》第二十二条规定；</w:t>
      </w:r>
    </w:p>
    <w:p w14:paraId="2DE7051F">
      <w:pPr>
        <w:pStyle w:val="28"/>
        <w:spacing w:line="400" w:lineRule="exact"/>
        <w:rPr>
          <w:rFonts w:hint="eastAsia" w:ascii="宋体"/>
          <w:b/>
          <w:bCs/>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2.落实政府采购政策需满足的资格要求：</w:t>
      </w:r>
      <w:r>
        <w:rPr>
          <w:rFonts w:hint="eastAsia" w:ascii="宋体"/>
          <w:b/>
          <w:bCs/>
          <w:color w:val="000000" w:themeColor="text1"/>
          <w:sz w:val="21"/>
          <w:szCs w:val="21"/>
          <w:highlight w:val="none"/>
          <w14:textFill>
            <w14:solidFill>
              <w14:schemeClr w14:val="tx1"/>
            </w14:solidFill>
          </w14:textFill>
        </w:rPr>
        <w:t>专门面向</w:t>
      </w:r>
      <w:r>
        <w:rPr>
          <w:rFonts w:hint="eastAsia"/>
          <w:b/>
          <w:bCs/>
          <w:color w:val="000000" w:themeColor="text1"/>
          <w:sz w:val="21"/>
          <w:szCs w:val="21"/>
          <w:highlight w:val="none"/>
          <w:lang w:eastAsia="zh-CN"/>
          <w14:textFill>
            <w14:solidFill>
              <w14:schemeClr w14:val="tx1"/>
            </w14:solidFill>
          </w14:textFill>
        </w:rPr>
        <w:t>中小</w:t>
      </w:r>
      <w:r>
        <w:rPr>
          <w:rFonts w:hint="eastAsia" w:ascii="宋体"/>
          <w:b/>
          <w:bCs/>
          <w:color w:val="000000" w:themeColor="text1"/>
          <w:sz w:val="21"/>
          <w:szCs w:val="21"/>
          <w:highlight w:val="none"/>
          <w14:textFill>
            <w14:solidFill>
              <w14:schemeClr w14:val="tx1"/>
            </w14:solidFill>
          </w14:textFill>
        </w:rPr>
        <w:t>企业采购的项目（供应商应为</w:t>
      </w:r>
      <w:r>
        <w:rPr>
          <w:rFonts w:hint="eastAsia"/>
          <w:b/>
          <w:bCs/>
          <w:color w:val="000000" w:themeColor="text1"/>
          <w:sz w:val="21"/>
          <w:szCs w:val="21"/>
          <w:highlight w:val="none"/>
          <w:lang w:eastAsia="zh-CN"/>
          <w14:textFill>
            <w14:solidFill>
              <w14:schemeClr w14:val="tx1"/>
            </w14:solidFill>
          </w14:textFill>
        </w:rPr>
        <w:t>中小</w:t>
      </w:r>
      <w:r>
        <w:rPr>
          <w:rFonts w:hint="eastAsia" w:ascii="宋体"/>
          <w:b/>
          <w:bCs/>
          <w:color w:val="000000" w:themeColor="text1"/>
          <w:sz w:val="21"/>
          <w:szCs w:val="21"/>
          <w:highlight w:val="none"/>
          <w14:textFill>
            <w14:solidFill>
              <w14:schemeClr w14:val="tx1"/>
            </w14:solidFill>
          </w14:textFill>
        </w:rPr>
        <w:t>企业、监狱企业、残疾人福利性单位) ；</w:t>
      </w:r>
    </w:p>
    <w:p w14:paraId="30C86903">
      <w:pPr>
        <w:spacing w:line="400" w:lineRule="exact"/>
        <w:ind w:firstLine="420" w:firstLineChars="200"/>
        <w:rPr>
          <w:rFonts w:hint="eastAsia" w:ascii="宋体" w:hAnsi="宋体"/>
          <w:b/>
          <w:bCs/>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3.本项目的特定资格要求：</w:t>
      </w:r>
      <w:r>
        <w:rPr>
          <w:rFonts w:hint="eastAsia" w:ascii="宋体" w:hAnsi="宋体"/>
          <w:b/>
          <w:bCs/>
          <w:color w:val="000000" w:themeColor="text1"/>
          <w:sz w:val="21"/>
          <w:szCs w:val="21"/>
          <w:highlight w:val="none"/>
          <w14:textFill>
            <w14:solidFill>
              <w14:schemeClr w14:val="tx1"/>
            </w14:solidFill>
          </w14:textFill>
        </w:rPr>
        <w:t>（1）</w:t>
      </w:r>
      <w:r>
        <w:rPr>
          <w:rFonts w:hint="eastAsia" w:ascii="宋体" w:cs="宋体"/>
          <w:b/>
          <w:color w:val="000000" w:themeColor="text1"/>
          <w:sz w:val="21"/>
          <w:szCs w:val="21"/>
          <w:highlight w:val="none"/>
          <w:lang w:bidi="ar-SA"/>
          <w14:textFill>
            <w14:solidFill>
              <w14:schemeClr w14:val="tx1"/>
            </w14:solidFill>
          </w14:textFill>
        </w:rPr>
        <w:t>供应商须</w:t>
      </w:r>
      <w:r>
        <w:rPr>
          <w:rFonts w:hint="eastAsia" w:ascii="宋体" w:hAnsi="宋体"/>
          <w:b/>
          <w:bCs/>
          <w:color w:val="000000" w:themeColor="text1"/>
          <w:sz w:val="21"/>
          <w:szCs w:val="21"/>
          <w:highlight w:val="none"/>
          <w14:textFill>
            <w14:solidFill>
              <w14:schemeClr w14:val="tx1"/>
            </w14:solidFill>
          </w14:textFill>
        </w:rPr>
        <w:t>具有</w:t>
      </w:r>
      <w:r>
        <w:rPr>
          <w:rFonts w:hint="eastAsia" w:ascii="宋体" w:hAnsi="宋体"/>
          <w:b/>
          <w:bCs/>
          <w:color w:val="000000" w:themeColor="text1"/>
          <w:sz w:val="21"/>
          <w:szCs w:val="21"/>
          <w:highlight w:val="none"/>
          <w:lang w:eastAsia="zh-CN"/>
          <w14:textFill>
            <w14:solidFill>
              <w14:schemeClr w14:val="tx1"/>
            </w14:solidFill>
          </w14:textFill>
        </w:rPr>
        <w:t>公路工程施工总承包三级以上（含三级）</w:t>
      </w:r>
      <w:r>
        <w:rPr>
          <w:rFonts w:hint="eastAsia" w:ascii="宋体" w:hAnsi="宋体"/>
          <w:b/>
          <w:bCs/>
          <w:color w:val="000000" w:themeColor="text1"/>
          <w:sz w:val="21"/>
          <w:szCs w:val="21"/>
          <w:highlight w:val="none"/>
          <w14:textFill>
            <w14:solidFill>
              <w14:schemeClr w14:val="tx1"/>
            </w14:solidFill>
          </w14:textFill>
        </w:rPr>
        <w:t>资质的施工企业，同时具有有效的安全生产许可证，并在人员、设备、资金等方面具备相应的施工能力；</w:t>
      </w:r>
    </w:p>
    <w:p w14:paraId="2A6ADFA7">
      <w:pPr>
        <w:pStyle w:val="28"/>
        <w:spacing w:line="400" w:lineRule="exact"/>
        <w:ind w:firstLine="422"/>
        <w:rPr>
          <w:rFonts w:hint="eastAsia" w:ascii="宋体" w:cs="宋体"/>
          <w:b/>
          <w:color w:val="000000" w:themeColor="text1"/>
          <w:sz w:val="21"/>
          <w:szCs w:val="21"/>
          <w:highlight w:val="none"/>
          <w:lang w:bidi="ar-SA"/>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t>（2）</w:t>
      </w:r>
      <w:r>
        <w:rPr>
          <w:rFonts w:hint="eastAsia"/>
          <w:b/>
          <w:bCs/>
          <w:color w:val="000000" w:themeColor="text1"/>
          <w:sz w:val="21"/>
          <w:szCs w:val="21"/>
          <w:highlight w:val="none"/>
          <w14:textFill>
            <w14:solidFill>
              <w14:schemeClr w14:val="tx1"/>
            </w14:solidFill>
          </w14:textFill>
        </w:rPr>
        <w:t>拟投入本项目的</w:t>
      </w:r>
      <w:r>
        <w:rPr>
          <w:rFonts w:hint="eastAsia"/>
          <w:b/>
          <w:bCs/>
          <w:color w:val="000000" w:themeColor="text1"/>
          <w:sz w:val="21"/>
          <w:szCs w:val="21"/>
          <w:highlight w:val="none"/>
          <w:lang w:val="en-US" w:eastAsia="zh-CN"/>
          <w14:textFill>
            <w14:solidFill>
              <w14:schemeClr w14:val="tx1"/>
            </w14:solidFill>
          </w14:textFill>
        </w:rPr>
        <w:t>人员要求：</w:t>
      </w:r>
      <w:r>
        <w:rPr>
          <w:rFonts w:hint="eastAsia"/>
          <w:b/>
          <w:bCs/>
          <w:color w:val="000000" w:themeColor="text1"/>
          <w:sz w:val="21"/>
          <w:szCs w:val="21"/>
          <w:highlight w:val="none"/>
          <w14:textFill>
            <w14:solidFill>
              <w14:schemeClr w14:val="tx1"/>
            </w14:solidFill>
          </w14:textFill>
        </w:rPr>
        <w:t>项目经理必须具备</w:t>
      </w:r>
      <w:r>
        <w:rPr>
          <w:rFonts w:hint="eastAsia"/>
          <w:b/>
          <w:bCs/>
          <w:color w:val="000000" w:themeColor="text1"/>
          <w:sz w:val="21"/>
          <w:szCs w:val="21"/>
          <w:highlight w:val="none"/>
          <w:lang w:eastAsia="zh-CN"/>
          <w14:textFill>
            <w14:solidFill>
              <w14:schemeClr w14:val="tx1"/>
            </w14:solidFill>
          </w14:textFill>
        </w:rPr>
        <w:t>公路工程专业二级以上（含二级）注册建造师资格</w:t>
      </w:r>
      <w:r>
        <w:rPr>
          <w:rFonts w:hint="eastAsia"/>
          <w:b/>
          <w:bCs/>
          <w:color w:val="000000" w:themeColor="text1"/>
          <w:sz w:val="21"/>
          <w:szCs w:val="21"/>
          <w:highlight w:val="none"/>
          <w14:textFill>
            <w14:solidFill>
              <w14:schemeClr w14:val="tx1"/>
            </w14:solidFill>
          </w14:textFill>
        </w:rPr>
        <w:t>，具备有效的安全生产考核合格证书（B类），本项目不接受在建、已中标未开工或已列为其他项目成交候选人第一名的建造师作为项目经理（符合桂建管【2013】17号文除外）。</w:t>
      </w:r>
    </w:p>
    <w:p w14:paraId="3BE36E38">
      <w:pPr>
        <w:pStyle w:val="28"/>
        <w:spacing w:line="360" w:lineRule="exact"/>
        <w:rPr>
          <w:rFonts w:hint="eastAsia" w:ascii="宋体"/>
          <w:b/>
          <w:color w:val="000000" w:themeColor="text1"/>
          <w:sz w:val="21"/>
          <w:szCs w:val="21"/>
          <w:highlight w:val="none"/>
          <w14:textFill>
            <w14:solidFill>
              <w14:schemeClr w14:val="tx1"/>
            </w14:solidFill>
          </w14:textFill>
        </w:rPr>
      </w:pPr>
      <w:r>
        <w:rPr>
          <w:rFonts w:hint="eastAsia" w:ascii="宋体"/>
          <w:b/>
          <w:color w:val="000000" w:themeColor="text1"/>
          <w:sz w:val="21"/>
          <w:szCs w:val="21"/>
          <w:highlight w:val="none"/>
          <w14:textFill>
            <w14:solidFill>
              <w14:schemeClr w14:val="tx1"/>
            </w14:solidFill>
          </w14:textFill>
        </w:rPr>
        <w:t>三、获取采购文件：</w:t>
      </w:r>
    </w:p>
    <w:p w14:paraId="45272652">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时间：202</w:t>
      </w:r>
      <w:r>
        <w:rPr>
          <w:rFonts w:hint="eastAsia" w:ascii="宋体"/>
          <w:color w:val="000000" w:themeColor="text1"/>
          <w:sz w:val="21"/>
          <w:szCs w:val="21"/>
          <w:highlight w:val="none"/>
          <w:lang w:val="en-US" w:eastAsia="zh-CN"/>
          <w14:textFill>
            <w14:solidFill>
              <w14:schemeClr w14:val="tx1"/>
            </w14:solidFill>
          </w14:textFill>
        </w:rPr>
        <w:t>6</w:t>
      </w:r>
      <w:r>
        <w:rPr>
          <w:rFonts w:hint="eastAsia" w:ascii="宋体"/>
          <w:color w:val="000000" w:themeColor="text1"/>
          <w:sz w:val="21"/>
          <w:szCs w:val="21"/>
          <w:highlight w:val="none"/>
          <w14:textFill>
            <w14:solidFill>
              <w14:schemeClr w14:val="tx1"/>
            </w14:solidFill>
          </w14:textFill>
        </w:rPr>
        <w:t>年</w:t>
      </w:r>
      <w:r>
        <w:rPr>
          <w:rFonts w:hint="eastAsia"/>
          <w:color w:val="000000" w:themeColor="text1"/>
          <w:sz w:val="21"/>
          <w:szCs w:val="21"/>
          <w:highlight w:val="none"/>
          <w:lang w:val="en-US" w:eastAsia="zh-CN"/>
          <w14:textFill>
            <w14:solidFill>
              <w14:schemeClr w14:val="tx1"/>
            </w14:solidFill>
          </w14:textFill>
        </w:rPr>
        <w:t>04</w:t>
      </w:r>
      <w:r>
        <w:rPr>
          <w:rFonts w:hint="eastAsia" w:ascii="宋体"/>
          <w:color w:val="000000" w:themeColor="text1"/>
          <w:sz w:val="21"/>
          <w:szCs w:val="21"/>
          <w:highlight w:val="none"/>
          <w14:textFill>
            <w14:solidFill>
              <w14:schemeClr w14:val="tx1"/>
            </w14:solidFill>
          </w14:textFill>
        </w:rPr>
        <w:t>月</w:t>
      </w:r>
      <w:r>
        <w:rPr>
          <w:rFonts w:hint="eastAsia"/>
          <w:color w:val="000000" w:themeColor="text1"/>
          <w:sz w:val="21"/>
          <w:szCs w:val="21"/>
          <w:highlight w:val="none"/>
          <w:lang w:val="en-US" w:eastAsia="zh-CN"/>
          <w14:textFill>
            <w14:solidFill>
              <w14:schemeClr w14:val="tx1"/>
            </w14:solidFill>
          </w14:textFill>
        </w:rPr>
        <w:t>10</w:t>
      </w:r>
      <w:r>
        <w:rPr>
          <w:rFonts w:hint="eastAsia" w:ascii="宋体"/>
          <w:color w:val="000000" w:themeColor="text1"/>
          <w:sz w:val="21"/>
          <w:szCs w:val="21"/>
          <w:highlight w:val="none"/>
          <w14:textFill>
            <w14:solidFill>
              <w14:schemeClr w14:val="tx1"/>
            </w14:solidFill>
          </w14:textFill>
        </w:rPr>
        <w:t>日至202</w:t>
      </w:r>
      <w:r>
        <w:rPr>
          <w:rFonts w:hint="eastAsia" w:ascii="宋体"/>
          <w:color w:val="000000" w:themeColor="text1"/>
          <w:sz w:val="21"/>
          <w:szCs w:val="21"/>
          <w:highlight w:val="none"/>
          <w:lang w:val="en-US" w:eastAsia="zh-CN"/>
          <w14:textFill>
            <w14:solidFill>
              <w14:schemeClr w14:val="tx1"/>
            </w14:solidFill>
          </w14:textFill>
        </w:rPr>
        <w:t>6</w:t>
      </w:r>
      <w:r>
        <w:rPr>
          <w:rFonts w:hint="eastAsia" w:ascii="宋体"/>
          <w:color w:val="000000" w:themeColor="text1"/>
          <w:sz w:val="21"/>
          <w:szCs w:val="21"/>
          <w:highlight w:val="none"/>
          <w14:textFill>
            <w14:solidFill>
              <w14:schemeClr w14:val="tx1"/>
            </w14:solidFill>
          </w14:textFill>
        </w:rPr>
        <w:t>年</w:t>
      </w:r>
      <w:r>
        <w:rPr>
          <w:rFonts w:hint="eastAsia"/>
          <w:color w:val="000000" w:themeColor="text1"/>
          <w:sz w:val="21"/>
          <w:szCs w:val="21"/>
          <w:highlight w:val="none"/>
          <w:lang w:val="en-US" w:eastAsia="zh-CN"/>
          <w14:textFill>
            <w14:solidFill>
              <w14:schemeClr w14:val="tx1"/>
            </w14:solidFill>
          </w14:textFill>
        </w:rPr>
        <w:t>04</w:t>
      </w:r>
      <w:r>
        <w:rPr>
          <w:rFonts w:hint="eastAsia" w:ascii="宋体"/>
          <w:color w:val="000000" w:themeColor="text1"/>
          <w:sz w:val="21"/>
          <w:szCs w:val="21"/>
          <w:highlight w:val="none"/>
          <w14:textFill>
            <w14:solidFill>
              <w14:schemeClr w14:val="tx1"/>
            </w14:solidFill>
          </w14:textFill>
        </w:rPr>
        <w:t>月</w:t>
      </w:r>
      <w:r>
        <w:rPr>
          <w:rFonts w:hint="eastAsia"/>
          <w:color w:val="000000" w:themeColor="text1"/>
          <w:sz w:val="21"/>
          <w:szCs w:val="21"/>
          <w:highlight w:val="none"/>
          <w:lang w:val="en-US" w:eastAsia="zh-CN"/>
          <w14:textFill>
            <w14:solidFill>
              <w14:schemeClr w14:val="tx1"/>
            </w14:solidFill>
          </w14:textFill>
        </w:rPr>
        <w:t>28</w:t>
      </w:r>
      <w:r>
        <w:rPr>
          <w:rFonts w:hint="eastAsia" w:ascii="宋体"/>
          <w:color w:val="000000" w:themeColor="text1"/>
          <w:sz w:val="21"/>
          <w:szCs w:val="21"/>
          <w:highlight w:val="none"/>
          <w14:textFill>
            <w14:solidFill>
              <w14:schemeClr w14:val="tx1"/>
            </w14:solidFill>
          </w14:textFill>
        </w:rPr>
        <w:t>日</w:t>
      </w:r>
      <w:r>
        <w:rPr>
          <w:rFonts w:hint="eastAsia" w:ascii="宋体"/>
          <w:color w:val="000000" w:themeColor="text1"/>
          <w:sz w:val="21"/>
          <w:szCs w:val="21"/>
          <w:highlight w:val="none"/>
          <w14:textFill>
            <w14:solidFill>
              <w14:schemeClr w14:val="tx1"/>
            </w14:solidFill>
          </w14:textFill>
        </w:rPr>
        <w:t>，每天上午00:00至11:59，下午12:00至23:59（北京时间，法定节假日除外）；　</w:t>
      </w:r>
    </w:p>
    <w:p w14:paraId="5FACBA91">
      <w:pPr>
        <w:pStyle w:val="28"/>
        <w:spacing w:line="360" w:lineRule="exact"/>
        <w:rPr>
          <w:rFonts w:hint="eastAsia" w:ascii="宋体"/>
          <w:color w:val="000000" w:themeColor="text1"/>
          <w:sz w:val="21"/>
          <w:szCs w:val="21"/>
          <w:highlight w:val="none"/>
          <w:u w:val="singl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地点（网址）：“广西政府采购云平台”（https://www.gcy.zfcg.gxzf.gov.cn/）；</w:t>
      </w:r>
    </w:p>
    <w:p w14:paraId="3B587164">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方式：供应商登录“广西政府采购云平台”（https://www.gcy.zfcg.gxzf.gov.cn/）在线申请获取采购文件（进入“项目采购”应用，在获取采购文件菜单中选择项目，申请获取采购文件）。</w:t>
      </w:r>
    </w:p>
    <w:p w14:paraId="3156464A">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 xml:space="preserve">售价（元）：0 </w:t>
      </w:r>
    </w:p>
    <w:p w14:paraId="0143EBA1">
      <w:pPr>
        <w:pStyle w:val="28"/>
        <w:spacing w:line="360" w:lineRule="exact"/>
        <w:rPr>
          <w:rFonts w:hint="eastAsia" w:ascii="宋体"/>
          <w:b/>
          <w:color w:val="000000" w:themeColor="text1"/>
          <w:sz w:val="21"/>
          <w:szCs w:val="21"/>
          <w:highlight w:val="none"/>
          <w14:textFill>
            <w14:solidFill>
              <w14:schemeClr w14:val="tx1"/>
            </w14:solidFill>
          </w14:textFill>
        </w:rPr>
      </w:pPr>
      <w:r>
        <w:rPr>
          <w:rFonts w:hint="eastAsia" w:ascii="宋体"/>
          <w:b/>
          <w:color w:val="000000" w:themeColor="text1"/>
          <w:sz w:val="21"/>
          <w:szCs w:val="21"/>
          <w:highlight w:val="none"/>
          <w14:textFill>
            <w14:solidFill>
              <w14:schemeClr w14:val="tx1"/>
            </w14:solidFill>
          </w14:textFill>
        </w:rPr>
        <w:t>四、响应文件提交</w:t>
      </w:r>
    </w:p>
    <w:p w14:paraId="207354F7">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截止时间：202</w:t>
      </w:r>
      <w:r>
        <w:rPr>
          <w:rFonts w:hint="eastAsia" w:ascii="宋体"/>
          <w:color w:val="000000" w:themeColor="text1"/>
          <w:sz w:val="21"/>
          <w:szCs w:val="21"/>
          <w:highlight w:val="none"/>
          <w:lang w:val="en-US" w:eastAsia="zh-CN"/>
          <w14:textFill>
            <w14:solidFill>
              <w14:schemeClr w14:val="tx1"/>
            </w14:solidFill>
          </w14:textFill>
        </w:rPr>
        <w:t>6</w:t>
      </w:r>
      <w:r>
        <w:rPr>
          <w:rFonts w:hint="eastAsia" w:ascii="宋体"/>
          <w:color w:val="000000" w:themeColor="text1"/>
          <w:sz w:val="21"/>
          <w:szCs w:val="21"/>
          <w:highlight w:val="none"/>
          <w14:textFill>
            <w14:solidFill>
              <w14:schemeClr w14:val="tx1"/>
            </w14:solidFill>
          </w14:textFill>
        </w:rPr>
        <w:t>年</w:t>
      </w:r>
      <w:r>
        <w:rPr>
          <w:rFonts w:hint="eastAsia"/>
          <w:color w:val="000000" w:themeColor="text1"/>
          <w:sz w:val="21"/>
          <w:szCs w:val="21"/>
          <w:highlight w:val="none"/>
          <w:lang w:val="en-US" w:eastAsia="zh-CN"/>
          <w14:textFill>
            <w14:solidFill>
              <w14:schemeClr w14:val="tx1"/>
            </w14:solidFill>
          </w14:textFill>
        </w:rPr>
        <w:t>04</w:t>
      </w:r>
      <w:r>
        <w:rPr>
          <w:rFonts w:hint="eastAsia" w:ascii="宋体"/>
          <w:color w:val="000000" w:themeColor="text1"/>
          <w:sz w:val="21"/>
          <w:szCs w:val="21"/>
          <w:highlight w:val="none"/>
          <w14:textFill>
            <w14:solidFill>
              <w14:schemeClr w14:val="tx1"/>
            </w14:solidFill>
          </w14:textFill>
        </w:rPr>
        <w:t>月</w:t>
      </w:r>
      <w:r>
        <w:rPr>
          <w:rFonts w:hint="eastAsia"/>
          <w:color w:val="000000" w:themeColor="text1"/>
          <w:sz w:val="21"/>
          <w:szCs w:val="21"/>
          <w:highlight w:val="none"/>
          <w:lang w:val="en-US" w:eastAsia="zh-CN"/>
          <w14:textFill>
            <w14:solidFill>
              <w14:schemeClr w14:val="tx1"/>
            </w14:solidFill>
          </w14:textFill>
        </w:rPr>
        <w:t>28</w:t>
      </w:r>
      <w:r>
        <w:rPr>
          <w:rFonts w:hint="eastAsia" w:ascii="宋体"/>
          <w:color w:val="000000" w:themeColor="text1"/>
          <w:sz w:val="21"/>
          <w:szCs w:val="21"/>
          <w:highlight w:val="none"/>
          <w14:textFill>
            <w14:solidFill>
              <w14:schemeClr w14:val="tx1"/>
            </w14:solidFill>
          </w14:textFill>
        </w:rPr>
        <w:t>日</w:t>
      </w:r>
      <w:r>
        <w:rPr>
          <w:rFonts w:hint="eastAsia" w:ascii="宋体"/>
          <w:color w:val="000000" w:themeColor="text1"/>
          <w:sz w:val="21"/>
          <w:szCs w:val="21"/>
          <w:highlight w:val="none"/>
          <w:lang w:val="en-US" w:eastAsia="zh-CN"/>
          <w14:textFill>
            <w14:solidFill>
              <w14:schemeClr w14:val="tx1"/>
            </w14:solidFill>
          </w14:textFill>
        </w:rPr>
        <w:t>09</w:t>
      </w:r>
      <w:r>
        <w:rPr>
          <w:rFonts w:hint="eastAsia" w:ascii="宋体"/>
          <w:color w:val="000000" w:themeColor="text1"/>
          <w:sz w:val="21"/>
          <w:szCs w:val="21"/>
          <w:highlight w:val="none"/>
          <w14:textFill>
            <w14:solidFill>
              <w14:schemeClr w14:val="tx1"/>
            </w14:solidFill>
          </w14:textFill>
        </w:rPr>
        <w:t>时30 分（北京时间）；</w:t>
      </w:r>
    </w:p>
    <w:p w14:paraId="217BA5A4">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地点（网址）：通过“广西政府采购云平台”平台在线提交响应文件。</w:t>
      </w:r>
    </w:p>
    <w:p w14:paraId="0A567C73">
      <w:pPr>
        <w:pStyle w:val="28"/>
        <w:spacing w:line="360" w:lineRule="exact"/>
        <w:rPr>
          <w:rFonts w:hint="eastAsia" w:ascii="宋体"/>
          <w:b/>
          <w:color w:val="000000" w:themeColor="text1"/>
          <w:sz w:val="21"/>
          <w:szCs w:val="21"/>
          <w:highlight w:val="none"/>
          <w14:textFill>
            <w14:solidFill>
              <w14:schemeClr w14:val="tx1"/>
            </w14:solidFill>
          </w14:textFill>
        </w:rPr>
      </w:pPr>
      <w:r>
        <w:rPr>
          <w:rFonts w:hint="eastAsia" w:ascii="宋体"/>
          <w:b/>
          <w:color w:val="000000" w:themeColor="text1"/>
          <w:sz w:val="21"/>
          <w:szCs w:val="21"/>
          <w:highlight w:val="none"/>
          <w14:textFill>
            <w14:solidFill>
              <w14:schemeClr w14:val="tx1"/>
            </w14:solidFill>
          </w14:textFill>
        </w:rPr>
        <w:t>五、响应文件开启</w:t>
      </w:r>
    </w:p>
    <w:p w14:paraId="1539CEBE">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开启时间：202</w:t>
      </w:r>
      <w:r>
        <w:rPr>
          <w:rFonts w:hint="eastAsia" w:ascii="宋体"/>
          <w:color w:val="000000" w:themeColor="text1"/>
          <w:sz w:val="21"/>
          <w:szCs w:val="21"/>
          <w:highlight w:val="none"/>
          <w:lang w:val="en-US" w:eastAsia="zh-CN"/>
          <w14:textFill>
            <w14:solidFill>
              <w14:schemeClr w14:val="tx1"/>
            </w14:solidFill>
          </w14:textFill>
        </w:rPr>
        <w:t>6</w:t>
      </w:r>
      <w:r>
        <w:rPr>
          <w:rFonts w:hint="eastAsia" w:ascii="宋体"/>
          <w:color w:val="000000" w:themeColor="text1"/>
          <w:sz w:val="21"/>
          <w:szCs w:val="21"/>
          <w:highlight w:val="none"/>
          <w14:textFill>
            <w14:solidFill>
              <w14:schemeClr w14:val="tx1"/>
            </w14:solidFill>
          </w14:textFill>
        </w:rPr>
        <w:t>年</w:t>
      </w:r>
      <w:r>
        <w:rPr>
          <w:rFonts w:hint="eastAsia"/>
          <w:color w:val="000000" w:themeColor="text1"/>
          <w:sz w:val="21"/>
          <w:szCs w:val="21"/>
          <w:highlight w:val="none"/>
          <w:lang w:val="en-US" w:eastAsia="zh-CN"/>
          <w14:textFill>
            <w14:solidFill>
              <w14:schemeClr w14:val="tx1"/>
            </w14:solidFill>
          </w14:textFill>
        </w:rPr>
        <w:t>04</w:t>
      </w:r>
      <w:r>
        <w:rPr>
          <w:rFonts w:hint="eastAsia" w:ascii="宋体"/>
          <w:color w:val="000000" w:themeColor="text1"/>
          <w:sz w:val="21"/>
          <w:szCs w:val="21"/>
          <w:highlight w:val="none"/>
          <w14:textFill>
            <w14:solidFill>
              <w14:schemeClr w14:val="tx1"/>
            </w14:solidFill>
          </w14:textFill>
        </w:rPr>
        <w:t>月</w:t>
      </w:r>
      <w:r>
        <w:rPr>
          <w:rFonts w:hint="eastAsia"/>
          <w:color w:val="000000" w:themeColor="text1"/>
          <w:sz w:val="21"/>
          <w:szCs w:val="21"/>
          <w:highlight w:val="none"/>
          <w:lang w:val="en-US" w:eastAsia="zh-CN"/>
          <w14:textFill>
            <w14:solidFill>
              <w14:schemeClr w14:val="tx1"/>
            </w14:solidFill>
          </w14:textFill>
        </w:rPr>
        <w:t>28</w:t>
      </w:r>
      <w:r>
        <w:rPr>
          <w:rFonts w:hint="eastAsia" w:ascii="宋体"/>
          <w:color w:val="000000" w:themeColor="text1"/>
          <w:sz w:val="21"/>
          <w:szCs w:val="21"/>
          <w:highlight w:val="none"/>
          <w14:textFill>
            <w14:solidFill>
              <w14:schemeClr w14:val="tx1"/>
            </w14:solidFill>
          </w14:textFill>
        </w:rPr>
        <w:t>日</w:t>
      </w:r>
      <w:r>
        <w:rPr>
          <w:rFonts w:hint="eastAsia" w:ascii="宋体"/>
          <w:color w:val="000000" w:themeColor="text1"/>
          <w:sz w:val="21"/>
          <w:szCs w:val="21"/>
          <w:highlight w:val="none"/>
          <w:lang w:val="en-US" w:eastAsia="zh-CN"/>
          <w14:textFill>
            <w14:solidFill>
              <w14:schemeClr w14:val="tx1"/>
            </w14:solidFill>
          </w14:textFill>
        </w:rPr>
        <w:t>09</w:t>
      </w:r>
      <w:r>
        <w:rPr>
          <w:rFonts w:hint="eastAsia" w:ascii="宋体"/>
          <w:color w:val="000000" w:themeColor="text1"/>
          <w:sz w:val="21"/>
          <w:szCs w:val="21"/>
          <w:highlight w:val="none"/>
          <w14:textFill>
            <w14:solidFill>
              <w14:schemeClr w14:val="tx1"/>
            </w14:solidFill>
          </w14:textFill>
        </w:rPr>
        <w:t>时30 分（北京时间）；</w:t>
      </w:r>
    </w:p>
    <w:p w14:paraId="7830035C">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地点：通过“广西政府采购云平台”平台在线解密开启</w:t>
      </w:r>
      <w:r>
        <w:rPr>
          <w:rFonts w:hint="eastAsia" w:ascii="宋体"/>
          <w:bCs/>
          <w:color w:val="000000" w:themeColor="text1"/>
          <w:sz w:val="21"/>
          <w:szCs w:val="21"/>
          <w:highlight w:val="none"/>
          <w14:textFill>
            <w14:solidFill>
              <w14:schemeClr w14:val="tx1"/>
            </w14:solidFill>
          </w14:textFill>
        </w:rPr>
        <w:t>。</w:t>
      </w:r>
    </w:p>
    <w:p w14:paraId="5F707404">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b/>
          <w:color w:val="000000" w:themeColor="text1"/>
          <w:sz w:val="21"/>
          <w:szCs w:val="21"/>
          <w:highlight w:val="none"/>
          <w14:textFill>
            <w14:solidFill>
              <w14:schemeClr w14:val="tx1"/>
            </w14:solidFill>
          </w14:textFill>
        </w:rPr>
        <w:t>六、公告期限：</w:t>
      </w:r>
      <w:r>
        <w:rPr>
          <w:rFonts w:hint="eastAsia" w:ascii="宋体"/>
          <w:color w:val="000000" w:themeColor="text1"/>
          <w:sz w:val="21"/>
          <w:szCs w:val="21"/>
          <w:highlight w:val="none"/>
          <w14:textFill>
            <w14:solidFill>
              <w14:schemeClr w14:val="tx1"/>
            </w14:solidFill>
          </w14:textFill>
        </w:rPr>
        <w:t>自本公告发布之日起</w:t>
      </w:r>
      <w:r>
        <w:rPr>
          <w:rFonts w:hint="eastAsia" w:ascii="宋体"/>
          <w:color w:val="000000" w:themeColor="text1"/>
          <w:sz w:val="21"/>
          <w:szCs w:val="21"/>
          <w:highlight w:val="none"/>
          <w:lang w:val="en-US" w:eastAsia="zh-CN"/>
          <w14:textFill>
            <w14:solidFill>
              <w14:schemeClr w14:val="tx1"/>
            </w14:solidFill>
          </w14:textFill>
        </w:rPr>
        <w:t>5</w:t>
      </w:r>
      <w:r>
        <w:rPr>
          <w:rFonts w:hint="eastAsia" w:ascii="宋体"/>
          <w:color w:val="000000" w:themeColor="text1"/>
          <w:sz w:val="21"/>
          <w:szCs w:val="21"/>
          <w:highlight w:val="none"/>
          <w14:textFill>
            <w14:solidFill>
              <w14:schemeClr w14:val="tx1"/>
            </w14:solidFill>
          </w14:textFill>
        </w:rPr>
        <w:t>个工作日；</w:t>
      </w:r>
    </w:p>
    <w:p w14:paraId="4EA1D4FB">
      <w:pPr>
        <w:pStyle w:val="28"/>
        <w:spacing w:line="360" w:lineRule="exact"/>
        <w:rPr>
          <w:rFonts w:hint="eastAsia" w:ascii="宋体"/>
          <w:b/>
          <w:color w:val="000000" w:themeColor="text1"/>
          <w:sz w:val="21"/>
          <w:szCs w:val="21"/>
          <w:highlight w:val="none"/>
          <w14:textFill>
            <w14:solidFill>
              <w14:schemeClr w14:val="tx1"/>
            </w14:solidFill>
          </w14:textFill>
        </w:rPr>
      </w:pPr>
      <w:r>
        <w:rPr>
          <w:rFonts w:hint="eastAsia" w:ascii="宋体"/>
          <w:b/>
          <w:color w:val="000000" w:themeColor="text1"/>
          <w:sz w:val="21"/>
          <w:szCs w:val="21"/>
          <w:highlight w:val="none"/>
          <w14:textFill>
            <w14:solidFill>
              <w14:schemeClr w14:val="tx1"/>
            </w14:solidFill>
          </w14:textFill>
        </w:rPr>
        <w:t>七、其他补充事宜：</w:t>
      </w:r>
    </w:p>
    <w:p w14:paraId="7C777BFF">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1.对在“信用中国”网站(www.creditchina.gov.cn)</w:t>
      </w:r>
      <w:r>
        <w:rPr>
          <w:rFonts w:hint="eastAsia"/>
          <w:color w:val="000000" w:themeColor="text1"/>
          <w:sz w:val="21"/>
          <w:szCs w:val="21"/>
          <w:highlight w:val="none"/>
          <w:lang w:val="en-US" w:eastAsia="zh-CN"/>
          <w14:textFill>
            <w14:solidFill>
              <w14:schemeClr w14:val="tx1"/>
            </w14:solidFill>
          </w14:textFill>
        </w:rPr>
        <w:t>或“中国执行信息公开网”（https://zxgk.court.gov.cn/）</w:t>
      </w:r>
      <w:r>
        <w:rPr>
          <w:rFonts w:hint="eastAsia" w:ascii="宋体"/>
          <w:color w:val="000000" w:themeColor="text1"/>
          <w:sz w:val="21"/>
          <w:szCs w:val="21"/>
          <w:highlight w:val="none"/>
          <w14:textFill>
            <w14:solidFill>
              <w14:schemeClr w14:val="tx1"/>
            </w14:solidFill>
          </w14:textFill>
        </w:rPr>
        <w:t>、中国政府采购网(www.ccgp.gov.cn)等渠道列入失信被执行人、重大税收违法失信主体、政府采购严重违法失信行为记录名单及其他不符合《中华人民共和国政府采购法》第二十二条规定条件的供应商，不得参与政府采购活动。</w:t>
      </w:r>
    </w:p>
    <w:p w14:paraId="57BABE7D">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2.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p>
    <w:p w14:paraId="57F77037">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3.本项目需要落实的政府采购政策：</w:t>
      </w:r>
    </w:p>
    <w:p w14:paraId="6A0BC0E7">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3.1《政府采购促进中小企业发展管理办法》（财库[2020]46号）。</w:t>
      </w:r>
    </w:p>
    <w:p w14:paraId="559D2364">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 xml:space="preserve">3.2《关于政府采购支持监狱企业发展有关问题的通知》（财库[2014]68号）。 </w:t>
      </w:r>
    </w:p>
    <w:p w14:paraId="368D4A09">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3.3《关于促进残疾人就业政府采购政策的通知》（财库[2017]141号）。</w:t>
      </w:r>
    </w:p>
    <w:p w14:paraId="4C2876B4">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4.信息公告发布媒体：http://www.ccgp.gov.cn（中国政府采购网）、http://zfcg.gxzf.gov.cn（广西壮族自治区政府采购网）、http://gl.zfcg.zcygov.cn/（桂林市政府采购网）。</w:t>
      </w:r>
    </w:p>
    <w:p w14:paraId="5E4FD44C">
      <w:pPr>
        <w:spacing w:line="360" w:lineRule="exact"/>
        <w:ind w:firstLine="420" w:firstLineChars="200"/>
        <w:rPr>
          <w:rFonts w:hint="eastAsia" w:ascii="宋体" w:cs="宋体"/>
          <w:bCs/>
          <w:color w:val="000000" w:themeColor="text1"/>
          <w:sz w:val="21"/>
          <w:szCs w:val="21"/>
          <w:highlight w:val="none"/>
          <w:lang w:bidi="ar-SA"/>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5.响应文件解密：</w:t>
      </w:r>
      <w:r>
        <w:rPr>
          <w:rFonts w:hint="eastAsia" w:ascii="宋体"/>
          <w:bCs/>
          <w:color w:val="000000" w:themeColor="text1"/>
          <w:sz w:val="21"/>
          <w:szCs w:val="21"/>
          <w:highlight w:val="none"/>
          <w14:textFill>
            <w14:solidFill>
              <w14:schemeClr w14:val="tx1"/>
            </w14:solidFill>
          </w14:textFill>
        </w:rPr>
        <w:t>响应文件提交截止时间后，“</w:t>
      </w:r>
      <w:r>
        <w:rPr>
          <w:rFonts w:hint="eastAsia" w:ascii="宋体"/>
          <w:color w:val="000000" w:themeColor="text1"/>
          <w:sz w:val="21"/>
          <w:szCs w:val="21"/>
          <w:highlight w:val="none"/>
          <w14:textFill>
            <w14:solidFill>
              <w14:schemeClr w14:val="tx1"/>
            </w14:solidFill>
          </w14:textFill>
        </w:rPr>
        <w:t>广西政府采购云平台</w:t>
      </w:r>
      <w:r>
        <w:rPr>
          <w:rFonts w:hint="eastAsia" w:ascii="宋体"/>
          <w:bCs/>
          <w:color w:val="000000" w:themeColor="text1"/>
          <w:sz w:val="21"/>
          <w:szCs w:val="21"/>
          <w:highlight w:val="none"/>
          <w14:textFill>
            <w14:solidFill>
              <w14:schemeClr w14:val="tx1"/>
            </w14:solidFill>
          </w14:textFill>
        </w:rPr>
        <w:t>”平台自动提取所有供应商响应文件，各供应商须在提交响应文件截止</w:t>
      </w:r>
      <w:r>
        <w:rPr>
          <w:rFonts w:hint="eastAsia" w:ascii="宋体" w:cs="宋体"/>
          <w:bCs/>
          <w:color w:val="000000" w:themeColor="text1"/>
          <w:sz w:val="21"/>
          <w:szCs w:val="21"/>
          <w:highlight w:val="none"/>
          <w:lang w:bidi="ar-SA"/>
          <w14:textFill>
            <w14:solidFill>
              <w14:schemeClr w14:val="tx1"/>
            </w14:solidFill>
          </w14:textFill>
        </w:rPr>
        <w:t>后30分钟内（</w:t>
      </w:r>
      <w:r>
        <w:rPr>
          <w:rFonts w:hint="eastAsia" w:ascii="宋体"/>
          <w:color w:val="000000" w:themeColor="text1"/>
          <w:sz w:val="21"/>
          <w:szCs w:val="21"/>
          <w:highlight w:val="none"/>
          <w14:textFill>
            <w14:solidFill>
              <w14:schemeClr w14:val="tx1"/>
            </w14:solidFill>
          </w14:textFill>
        </w:rPr>
        <w:t>202</w:t>
      </w:r>
      <w:r>
        <w:rPr>
          <w:rFonts w:hint="eastAsia" w:ascii="宋体"/>
          <w:color w:val="000000" w:themeColor="text1"/>
          <w:sz w:val="21"/>
          <w:szCs w:val="21"/>
          <w:highlight w:val="none"/>
          <w:lang w:val="en-US" w:eastAsia="zh-CN"/>
          <w14:textFill>
            <w14:solidFill>
              <w14:schemeClr w14:val="tx1"/>
            </w14:solidFill>
          </w14:textFill>
        </w:rPr>
        <w:t>6</w:t>
      </w:r>
      <w:r>
        <w:rPr>
          <w:rFonts w:hint="eastAsia" w:ascii="宋体"/>
          <w:color w:val="000000" w:themeColor="text1"/>
          <w:sz w:val="21"/>
          <w:szCs w:val="21"/>
          <w:highlight w:val="none"/>
          <w14:textFill>
            <w14:solidFill>
              <w14:schemeClr w14:val="tx1"/>
            </w14:solidFill>
          </w14:textFill>
        </w:rPr>
        <w:t>年</w:t>
      </w:r>
      <w:r>
        <w:rPr>
          <w:rFonts w:hint="eastAsia" w:ascii="宋体"/>
          <w:color w:val="000000" w:themeColor="text1"/>
          <w:sz w:val="21"/>
          <w:szCs w:val="21"/>
          <w:highlight w:val="none"/>
          <w:lang w:val="en-US" w:eastAsia="zh-CN"/>
          <w14:textFill>
            <w14:solidFill>
              <w14:schemeClr w14:val="tx1"/>
            </w14:solidFill>
          </w14:textFill>
        </w:rPr>
        <w:t>04</w:t>
      </w:r>
      <w:r>
        <w:rPr>
          <w:rFonts w:hint="eastAsia" w:ascii="宋体"/>
          <w:color w:val="000000" w:themeColor="text1"/>
          <w:sz w:val="21"/>
          <w:szCs w:val="21"/>
          <w:highlight w:val="none"/>
          <w14:textFill>
            <w14:solidFill>
              <w14:schemeClr w14:val="tx1"/>
            </w14:solidFill>
          </w14:textFill>
        </w:rPr>
        <w:t>月</w:t>
      </w:r>
      <w:r>
        <w:rPr>
          <w:rFonts w:hint="eastAsia" w:ascii="宋体"/>
          <w:color w:val="000000" w:themeColor="text1"/>
          <w:sz w:val="21"/>
          <w:szCs w:val="21"/>
          <w:highlight w:val="none"/>
          <w:lang w:val="en-US" w:eastAsia="zh-CN"/>
          <w14:textFill>
            <w14:solidFill>
              <w14:schemeClr w14:val="tx1"/>
            </w14:solidFill>
          </w14:textFill>
        </w:rPr>
        <w:t>28</w:t>
      </w:r>
      <w:r>
        <w:rPr>
          <w:rFonts w:hint="eastAsia" w:ascii="宋体"/>
          <w:color w:val="000000" w:themeColor="text1"/>
          <w:sz w:val="21"/>
          <w:szCs w:val="21"/>
          <w:highlight w:val="none"/>
          <w14:textFill>
            <w14:solidFill>
              <w14:schemeClr w14:val="tx1"/>
            </w14:solidFill>
          </w14:textFill>
        </w:rPr>
        <w:t>日</w:t>
      </w:r>
      <w:r>
        <w:rPr>
          <w:rFonts w:hint="eastAsia" w:ascii="宋体"/>
          <w:color w:val="000000" w:themeColor="text1"/>
          <w:sz w:val="21"/>
          <w:szCs w:val="21"/>
          <w:highlight w:val="none"/>
          <w:lang w:val="en-US" w:eastAsia="zh-CN"/>
          <w14:textFill>
            <w14:solidFill>
              <w14:schemeClr w14:val="tx1"/>
            </w14:solidFill>
          </w14:textFill>
        </w:rPr>
        <w:t>09</w:t>
      </w:r>
      <w:r>
        <w:rPr>
          <w:rFonts w:hint="eastAsia" w:ascii="宋体"/>
          <w:color w:val="000000" w:themeColor="text1"/>
          <w:sz w:val="21"/>
          <w:szCs w:val="21"/>
          <w:highlight w:val="none"/>
          <w14:textFill>
            <w14:solidFill>
              <w14:schemeClr w14:val="tx1"/>
            </w14:solidFill>
          </w14:textFill>
        </w:rPr>
        <w:t>时</w:t>
      </w:r>
      <w:r>
        <w:rPr>
          <w:rFonts w:hint="eastAsia" w:ascii="宋体"/>
          <w:color w:val="000000" w:themeColor="text1"/>
          <w:sz w:val="21"/>
          <w:szCs w:val="21"/>
          <w:highlight w:val="none"/>
          <w:lang w:val="en-US" w:eastAsia="zh-CN"/>
          <w14:textFill>
            <w14:solidFill>
              <w14:schemeClr w14:val="tx1"/>
            </w14:solidFill>
          </w14:textFill>
        </w:rPr>
        <w:t>3</w:t>
      </w:r>
      <w:r>
        <w:rPr>
          <w:rFonts w:hint="eastAsia" w:ascii="宋体"/>
          <w:color w:val="000000" w:themeColor="text1"/>
          <w:sz w:val="21"/>
          <w:szCs w:val="21"/>
          <w:highlight w:val="none"/>
          <w14:textFill>
            <w14:solidFill>
              <w14:schemeClr w14:val="tx1"/>
            </w14:solidFill>
          </w14:textFill>
        </w:rPr>
        <w:t>0 分</w:t>
      </w:r>
      <w:r>
        <w:rPr>
          <w:rFonts w:hint="eastAsia" w:ascii="宋体"/>
          <w:color w:val="000000" w:themeColor="text1"/>
          <w:sz w:val="21"/>
          <w:szCs w:val="21"/>
          <w:highlight w:val="none"/>
          <w:lang w:eastAsia="zh-CN"/>
          <w14:textFill>
            <w14:solidFill>
              <w14:schemeClr w14:val="tx1"/>
            </w14:solidFill>
          </w14:textFill>
        </w:rPr>
        <w:t>至</w:t>
      </w:r>
      <w:r>
        <w:rPr>
          <w:rFonts w:hint="eastAsia" w:ascii="宋体" w:cs="宋体"/>
          <w:bCs/>
          <w:color w:val="000000" w:themeColor="text1"/>
          <w:sz w:val="21"/>
          <w:szCs w:val="21"/>
          <w:highlight w:val="none"/>
          <w:lang w:val="en-US" w:eastAsia="zh-CN" w:bidi="ar-SA"/>
          <w14:textFill>
            <w14:solidFill>
              <w14:schemeClr w14:val="tx1"/>
            </w14:solidFill>
          </w14:textFill>
        </w:rPr>
        <w:t>10</w:t>
      </w:r>
      <w:r>
        <w:rPr>
          <w:rFonts w:hint="eastAsia" w:ascii="宋体" w:cs="宋体"/>
          <w:bCs/>
          <w:color w:val="000000" w:themeColor="text1"/>
          <w:sz w:val="21"/>
          <w:szCs w:val="21"/>
          <w:highlight w:val="none"/>
          <w:lang w:bidi="ar-SA"/>
          <w14:textFill>
            <w14:solidFill>
              <w14:schemeClr w14:val="tx1"/>
            </w14:solidFill>
          </w14:textFill>
        </w:rPr>
        <w:t>时</w:t>
      </w:r>
      <w:r>
        <w:rPr>
          <w:rFonts w:hint="eastAsia" w:ascii="宋体" w:cs="宋体"/>
          <w:bCs/>
          <w:color w:val="000000" w:themeColor="text1"/>
          <w:sz w:val="21"/>
          <w:szCs w:val="21"/>
          <w:highlight w:val="none"/>
          <w:lang w:val="en-US" w:eastAsia="zh-CN" w:bidi="ar-SA"/>
          <w14:textFill>
            <w14:solidFill>
              <w14:schemeClr w14:val="tx1"/>
            </w14:solidFill>
          </w14:textFill>
        </w:rPr>
        <w:t>0</w:t>
      </w:r>
      <w:r>
        <w:rPr>
          <w:rFonts w:hint="eastAsia" w:ascii="宋体" w:cs="宋体"/>
          <w:bCs/>
          <w:color w:val="000000" w:themeColor="text1"/>
          <w:sz w:val="21"/>
          <w:szCs w:val="21"/>
          <w:highlight w:val="none"/>
          <w:lang w:bidi="ar-SA"/>
          <w14:textFill>
            <w14:solidFill>
              <w14:schemeClr w14:val="tx1"/>
            </w14:solidFill>
          </w14:textFill>
        </w:rPr>
        <w:t>0分)，登录“</w:t>
      </w:r>
      <w:r>
        <w:rPr>
          <w:rFonts w:hint="eastAsia" w:ascii="宋体"/>
          <w:color w:val="000000" w:themeColor="text1"/>
          <w:sz w:val="21"/>
          <w:szCs w:val="21"/>
          <w:highlight w:val="none"/>
          <w14:textFill>
            <w14:solidFill>
              <w14:schemeClr w14:val="tx1"/>
            </w14:solidFill>
          </w14:textFill>
        </w:rPr>
        <w:t>广西政府采购云平台</w:t>
      </w:r>
      <w:r>
        <w:rPr>
          <w:rFonts w:hint="eastAsia" w:ascii="宋体" w:cs="宋体"/>
          <w:bCs/>
          <w:color w:val="000000" w:themeColor="text1"/>
          <w:sz w:val="21"/>
          <w:szCs w:val="21"/>
          <w:highlight w:val="none"/>
          <w:lang w:bidi="ar-SA"/>
          <w14:textFill>
            <w14:solidFill>
              <w14:schemeClr w14:val="tx1"/>
            </w14:solidFill>
          </w14:textFill>
        </w:rPr>
        <w:t>”平台，通过“项目采购-开标评标”功能解密电子响应文件。若供应商在规定时间内无法解密或解密失败或超时解密的，系统默认自动放弃，响应文件按无效响应文件处理。</w:t>
      </w:r>
    </w:p>
    <w:p w14:paraId="009583EA">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6.本项目需要供应商代表在响应文件提交截止时间当天，按磋商小组要求及时登录“广西政府采购云平台”平台等候在线磋商及提交最后报价。</w:t>
      </w:r>
    </w:p>
    <w:p w14:paraId="31887FB5">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7.“广西政府采购云平台”平台在线响应（电子响应）相关事宜说明：</w:t>
      </w:r>
    </w:p>
    <w:p w14:paraId="0FF86126">
      <w:pPr>
        <w:pStyle w:val="28"/>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7.1本项目实行全流程电子化采购，供应商通过“广西政府采购云平台”平台参与在线响应（电子响应），并应做好以下相关准备工作：①在“广西政府采购云平台”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政采云电子投标客户端”）并安装成功，供应商应当在提交响应文件截止时间前在“广西政府采购云平台”平台完成的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在线响应（电子响应）或响应失败的，造成的一切后果，由供应商自行承担。</w:t>
      </w:r>
    </w:p>
    <w:p w14:paraId="505CB7AB">
      <w:pPr>
        <w:spacing w:line="360" w:lineRule="exact"/>
        <w:ind w:firstLine="420" w:firstLineChars="200"/>
        <w:rPr>
          <w:rFonts w:hint="eastAsia" w:ascii="宋体"/>
          <w:bCs/>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7.2在线响应（电子响应）具体操作流程参考</w:t>
      </w:r>
      <w:r>
        <w:rPr>
          <w:rFonts w:hint="eastAsia" w:ascii="宋体"/>
          <w:bCs/>
          <w:color w:val="000000" w:themeColor="text1"/>
          <w:sz w:val="21"/>
          <w:szCs w:val="21"/>
          <w:highlight w:val="none"/>
          <w14:textFill>
            <w14:solidFill>
              <w14:schemeClr w14:val="tx1"/>
            </w14:solidFill>
          </w14:textFill>
        </w:rPr>
        <w:t>《政府采购项目电子交易管理操作指南-供应商》（详见广西壮族自治区政府采购网—办事服务—下载专区-广西壮族自治区全流程电子招投标项目管理系统--供应商客户端）；如遇平台技术问题详询95763。</w:t>
      </w:r>
    </w:p>
    <w:p w14:paraId="5EAC95F0">
      <w:pPr>
        <w:spacing w:line="360" w:lineRule="exact"/>
        <w:ind w:firstLine="422" w:firstLineChars="200"/>
        <w:rPr>
          <w:rFonts w:hint="eastAsia" w:ascii="宋体"/>
          <w:bCs/>
          <w:color w:val="000000" w:themeColor="text1"/>
          <w:sz w:val="21"/>
          <w:szCs w:val="21"/>
          <w:highlight w:val="none"/>
          <w14:textFill>
            <w14:solidFill>
              <w14:schemeClr w14:val="tx1"/>
            </w14:solidFill>
          </w14:textFill>
        </w:rPr>
      </w:pPr>
      <w:r>
        <w:rPr>
          <w:rFonts w:hint="eastAsia" w:ascii="宋体"/>
          <w:b/>
          <w:bCs/>
          <w:color w:val="000000" w:themeColor="text1"/>
          <w:sz w:val="21"/>
          <w:szCs w:val="21"/>
          <w:highlight w:val="none"/>
          <w:lang w:val="en-US" w:eastAsia="zh-CN"/>
          <w14:textFill>
            <w14:solidFill>
              <w14:schemeClr w14:val="tx1"/>
            </w14:solidFill>
          </w14:textFill>
        </w:rPr>
        <w:t>8.监督管理机构：兴安县采购中心，联系电话：0773-6220651</w:t>
      </w:r>
      <w:r>
        <w:rPr>
          <w:rFonts w:hint="eastAsia" w:ascii="宋体"/>
          <w:b/>
          <w:bCs/>
          <w:color w:val="000000" w:themeColor="text1"/>
          <w:sz w:val="21"/>
          <w:szCs w:val="21"/>
          <w:highlight w:val="none"/>
          <w14:textFill>
            <w14:solidFill>
              <w14:schemeClr w14:val="tx1"/>
            </w14:solidFill>
          </w14:textFill>
        </w:rPr>
        <w:t>。</w:t>
      </w:r>
    </w:p>
    <w:p w14:paraId="7AEEFA2C">
      <w:pPr>
        <w:pStyle w:val="28"/>
        <w:spacing w:line="360" w:lineRule="exact"/>
        <w:rPr>
          <w:rFonts w:hint="eastAsia" w:ascii="宋体"/>
          <w:b/>
          <w:color w:val="000000" w:themeColor="text1"/>
          <w:sz w:val="21"/>
          <w:szCs w:val="21"/>
          <w:highlight w:val="none"/>
          <w14:textFill>
            <w14:solidFill>
              <w14:schemeClr w14:val="tx1"/>
            </w14:solidFill>
          </w14:textFill>
        </w:rPr>
      </w:pPr>
      <w:r>
        <w:rPr>
          <w:rFonts w:hint="eastAsia" w:ascii="宋体"/>
          <w:b/>
          <w:color w:val="000000" w:themeColor="text1"/>
          <w:sz w:val="21"/>
          <w:szCs w:val="21"/>
          <w:highlight w:val="none"/>
          <w14:textFill>
            <w14:solidFill>
              <w14:schemeClr w14:val="tx1"/>
            </w14:solidFill>
          </w14:textFill>
        </w:rPr>
        <w:t>八、对本次采购提出询问，请按以下方式联系。</w:t>
      </w:r>
    </w:p>
    <w:p w14:paraId="478D0749">
      <w:pPr>
        <w:snapToGrid w:val="0"/>
        <w:spacing w:line="360" w:lineRule="exact"/>
        <w:ind w:right="420" w:firstLine="420" w:firstLineChars="200"/>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1.采购人信息：</w:t>
      </w:r>
    </w:p>
    <w:p w14:paraId="1AAFA7C8">
      <w:pPr>
        <w:pStyle w:val="28"/>
        <w:spacing w:line="40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名 称：</w:t>
      </w:r>
      <w:r>
        <w:rPr>
          <w:rFonts w:hint="eastAsia" w:ascii="宋体"/>
          <w:color w:val="000000" w:themeColor="text1"/>
          <w:sz w:val="21"/>
          <w:szCs w:val="21"/>
          <w:highlight w:val="none"/>
          <w:lang w:eastAsia="zh-CN"/>
          <w14:textFill>
            <w14:solidFill>
              <w14:schemeClr w14:val="tx1"/>
            </w14:solidFill>
          </w14:textFill>
        </w:rPr>
        <w:t>兴安县农业农村局</w:t>
      </w:r>
      <w:r>
        <w:rPr>
          <w:rFonts w:hint="eastAsia" w:ascii="宋体" w:cs="宋体"/>
          <w:color w:val="000000" w:themeColor="text1"/>
          <w:sz w:val="21"/>
          <w:szCs w:val="21"/>
          <w:highlight w:val="none"/>
          <w:lang w:val="en-US" w:eastAsia="zh-CN" w:bidi="ar-SA"/>
          <w14:textFill>
            <w14:solidFill>
              <w14:schemeClr w14:val="tx1"/>
            </w14:solidFill>
          </w14:textFill>
        </w:rPr>
        <w:t xml:space="preserve"> </w:t>
      </w:r>
      <w:r>
        <w:rPr>
          <w:rFonts w:hint="eastAsia" w:ascii="宋体"/>
          <w:color w:val="000000" w:themeColor="text1"/>
          <w:sz w:val="21"/>
          <w:szCs w:val="21"/>
          <w:highlight w:val="none"/>
          <w14:textFill>
            <w14:solidFill>
              <w14:schemeClr w14:val="tx1"/>
            </w14:solidFill>
          </w14:textFill>
        </w:rPr>
        <w:t xml:space="preserve">    </w:t>
      </w:r>
    </w:p>
    <w:p w14:paraId="11A370AB">
      <w:pPr>
        <w:pStyle w:val="28"/>
        <w:spacing w:line="40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地址</w:t>
      </w:r>
      <w:r>
        <w:rPr>
          <w:rFonts w:hint="eastAsia" w:ascii="宋体"/>
          <w:color w:val="000000" w:themeColor="text1"/>
          <w:sz w:val="21"/>
          <w:szCs w:val="21"/>
          <w:highlight w:val="none"/>
          <w:lang w:eastAsia="zh-CN"/>
          <w14:textFill>
            <w14:solidFill>
              <w14:schemeClr w14:val="tx1"/>
            </w14:solidFill>
          </w14:textFill>
        </w:rPr>
        <w:t>：桂林市兴安县教育路39号</w:t>
      </w:r>
      <w:r>
        <w:rPr>
          <w:rFonts w:hint="eastAsia" w:ascii="宋体"/>
          <w:color w:val="000000" w:themeColor="text1"/>
          <w:sz w:val="21"/>
          <w:szCs w:val="21"/>
          <w:highlight w:val="none"/>
          <w:lang w:val="en-US" w:eastAsia="zh-CN"/>
          <w14:textFill>
            <w14:solidFill>
              <w14:schemeClr w14:val="tx1"/>
            </w14:solidFill>
          </w14:textFill>
        </w:rPr>
        <w:t xml:space="preserve"> </w:t>
      </w:r>
      <w:r>
        <w:rPr>
          <w:rFonts w:hint="eastAsia" w:ascii="宋体"/>
          <w:color w:val="000000" w:themeColor="text1"/>
          <w:sz w:val="21"/>
          <w:szCs w:val="21"/>
          <w:highlight w:val="none"/>
          <w14:textFill>
            <w14:solidFill>
              <w14:schemeClr w14:val="tx1"/>
            </w14:solidFill>
          </w14:textFill>
        </w:rPr>
        <w:t>　　　　　　　　　</w:t>
      </w:r>
    </w:p>
    <w:p w14:paraId="60C69CAF">
      <w:pPr>
        <w:snapToGrid w:val="0"/>
        <w:spacing w:line="400" w:lineRule="exact"/>
        <w:ind w:right="420" w:firstLine="420" w:firstLineChars="200"/>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项目联系人：</w:t>
      </w:r>
      <w:r>
        <w:rPr>
          <w:rFonts w:hint="eastAsia" w:ascii="宋体"/>
          <w:color w:val="000000" w:themeColor="text1"/>
          <w:sz w:val="21"/>
          <w:szCs w:val="21"/>
          <w:highlight w:val="none"/>
          <w:lang w:eastAsia="zh-CN"/>
          <w14:textFill>
            <w14:solidFill>
              <w14:schemeClr w14:val="tx1"/>
            </w14:solidFill>
          </w14:textFill>
        </w:rPr>
        <w:t>侯双全</w:t>
      </w:r>
      <w:r>
        <w:rPr>
          <w:rFonts w:hint="eastAsia" w:ascii="宋体"/>
          <w:color w:val="000000" w:themeColor="text1"/>
          <w:sz w:val="21"/>
          <w:szCs w:val="21"/>
          <w:highlight w:val="none"/>
          <w:lang w:val="en-US" w:eastAsia="zh-CN"/>
          <w14:textFill>
            <w14:solidFill>
              <w14:schemeClr w14:val="tx1"/>
            </w14:solidFill>
          </w14:textFill>
        </w:rPr>
        <w:t xml:space="preserve">  </w:t>
      </w:r>
      <w:r>
        <w:rPr>
          <w:rFonts w:hint="eastAsia" w:ascii="宋体"/>
          <w:color w:val="000000" w:themeColor="text1"/>
          <w:sz w:val="21"/>
          <w:szCs w:val="21"/>
          <w:highlight w:val="none"/>
          <w14:textFill>
            <w14:solidFill>
              <w14:schemeClr w14:val="tx1"/>
            </w14:solidFill>
          </w14:textFill>
        </w:rPr>
        <w:t xml:space="preserve">           </w:t>
      </w:r>
    </w:p>
    <w:p w14:paraId="5A07F7ED">
      <w:pPr>
        <w:snapToGrid w:val="0"/>
        <w:spacing w:line="360" w:lineRule="exact"/>
        <w:ind w:right="420" w:firstLine="420" w:firstLineChars="200"/>
        <w:rPr>
          <w:rFonts w:hint="default" w:ascii="宋体" w:eastAsia="宋体"/>
          <w:color w:val="000000" w:themeColor="text1"/>
          <w:sz w:val="21"/>
          <w:szCs w:val="21"/>
          <w:highlight w:val="none"/>
          <w:lang w:val="en-US" w:eastAsia="zh-CN"/>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项目联系方式：</w:t>
      </w:r>
      <w:r>
        <w:rPr>
          <w:rFonts w:hint="eastAsia" w:ascii="宋体"/>
          <w:color w:val="000000" w:themeColor="text1"/>
          <w:sz w:val="21"/>
          <w:szCs w:val="21"/>
          <w:highlight w:val="none"/>
          <w:lang w:eastAsia="zh-CN"/>
          <w14:textFill>
            <w14:solidFill>
              <w14:schemeClr w14:val="tx1"/>
            </w14:solidFill>
          </w14:textFill>
        </w:rPr>
        <w:t>0773-6222008</w:t>
      </w:r>
      <w:r>
        <w:rPr>
          <w:rFonts w:hint="eastAsia" w:ascii="宋体"/>
          <w:color w:val="000000" w:themeColor="text1"/>
          <w:sz w:val="21"/>
          <w:szCs w:val="21"/>
          <w:highlight w:val="none"/>
          <w:lang w:val="en-US" w:eastAsia="zh-CN"/>
          <w14:textFill>
            <w14:solidFill>
              <w14:schemeClr w14:val="tx1"/>
            </w14:solidFill>
          </w14:textFill>
        </w:rPr>
        <w:t xml:space="preserve"> </w:t>
      </w:r>
    </w:p>
    <w:p w14:paraId="0654AA7E">
      <w:pPr>
        <w:snapToGrid w:val="0"/>
        <w:spacing w:line="360" w:lineRule="exact"/>
        <w:ind w:right="420" w:firstLine="420" w:firstLineChars="200"/>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2.采购代理机构信息：</w:t>
      </w:r>
    </w:p>
    <w:p w14:paraId="5B2D5E1F">
      <w:pPr>
        <w:snapToGrid w:val="0"/>
        <w:spacing w:line="400" w:lineRule="exact"/>
        <w:ind w:right="420" w:firstLine="420" w:firstLineChars="200"/>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名称：</w:t>
      </w:r>
      <w:r>
        <w:rPr>
          <w:rFonts w:hint="eastAsia" w:ascii="宋体"/>
          <w:color w:val="000000" w:themeColor="text1"/>
          <w:sz w:val="21"/>
          <w:szCs w:val="21"/>
          <w:highlight w:val="none"/>
          <w:lang w:eastAsia="zh-CN"/>
          <w14:textFill>
            <w14:solidFill>
              <w14:schemeClr w14:val="tx1"/>
            </w14:solidFill>
          </w14:textFill>
        </w:rPr>
        <w:t>广西卓群项目管理有限公司</w:t>
      </w:r>
      <w:r>
        <w:rPr>
          <w:rFonts w:hint="eastAsia" w:ascii="宋体"/>
          <w:color w:val="000000" w:themeColor="text1"/>
          <w:sz w:val="21"/>
          <w:szCs w:val="21"/>
          <w:highlight w:val="none"/>
          <w14:textFill>
            <w14:solidFill>
              <w14:schemeClr w14:val="tx1"/>
            </w14:solidFill>
          </w14:textFill>
        </w:rPr>
        <w:t xml:space="preserve">  </w:t>
      </w:r>
    </w:p>
    <w:p w14:paraId="45122E1A">
      <w:pPr>
        <w:snapToGrid w:val="0"/>
        <w:spacing w:line="400" w:lineRule="exact"/>
        <w:ind w:right="420" w:firstLine="420" w:firstLineChars="200"/>
        <w:rPr>
          <w:rFonts w:hint="eastAsia" w:ascii="宋体" w:eastAsia="宋体"/>
          <w:color w:val="000000" w:themeColor="text1"/>
          <w:sz w:val="21"/>
          <w:szCs w:val="21"/>
          <w:highlight w:val="none"/>
          <w:lang w:eastAsia="zh-CN"/>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地址：</w:t>
      </w:r>
      <w:r>
        <w:rPr>
          <w:rFonts w:hint="eastAsia" w:ascii="宋体"/>
          <w:color w:val="000000" w:themeColor="text1"/>
          <w:sz w:val="21"/>
          <w:szCs w:val="21"/>
          <w:highlight w:val="none"/>
          <w:lang w:eastAsia="zh-CN"/>
          <w14:textFill>
            <w14:solidFill>
              <w14:schemeClr w14:val="tx1"/>
            </w14:solidFill>
          </w14:textFill>
        </w:rPr>
        <w:t>桂林市象山区平山村委北村174号</w:t>
      </w:r>
      <w:r>
        <w:rPr>
          <w:rFonts w:hint="eastAsia" w:ascii="宋体"/>
          <w:color w:val="000000" w:themeColor="text1"/>
          <w:sz w:val="21"/>
          <w:szCs w:val="21"/>
          <w:highlight w:val="none"/>
          <w:lang w:val="en-US" w:eastAsia="zh-CN"/>
          <w14:textFill>
            <w14:solidFill>
              <w14:schemeClr w14:val="tx1"/>
            </w14:solidFill>
          </w14:textFill>
        </w:rPr>
        <w:t xml:space="preserve"> </w:t>
      </w:r>
    </w:p>
    <w:p w14:paraId="22F12B2B">
      <w:pPr>
        <w:pStyle w:val="28"/>
        <w:spacing w:line="40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项目联系人：</w:t>
      </w:r>
      <w:r>
        <w:rPr>
          <w:rFonts w:hint="eastAsia" w:ascii="宋体"/>
          <w:color w:val="000000" w:themeColor="text1"/>
          <w:sz w:val="21"/>
          <w:szCs w:val="21"/>
          <w:highlight w:val="none"/>
          <w:lang w:eastAsia="zh-CN"/>
          <w14:textFill>
            <w14:solidFill>
              <w14:schemeClr w14:val="tx1"/>
            </w14:solidFill>
          </w14:textFill>
        </w:rPr>
        <w:t>刘依婷、蒋裕珍、侯忠良、杨玉燕</w:t>
      </w:r>
      <w:r>
        <w:rPr>
          <w:rFonts w:hint="eastAsia" w:ascii="宋体"/>
          <w:color w:val="000000" w:themeColor="text1"/>
          <w:sz w:val="21"/>
          <w:szCs w:val="21"/>
          <w:highlight w:val="none"/>
          <w14:textFill>
            <w14:solidFill>
              <w14:schemeClr w14:val="tx1"/>
            </w14:solidFill>
          </w14:textFill>
        </w:rPr>
        <w:t xml:space="preserve">      </w:t>
      </w:r>
    </w:p>
    <w:p w14:paraId="07CA5F55">
      <w:pPr>
        <w:pStyle w:val="28"/>
        <w:spacing w:line="40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项目联系方式：</w:t>
      </w:r>
      <w:r>
        <w:rPr>
          <w:rFonts w:hint="eastAsia" w:ascii="宋体"/>
          <w:color w:val="000000" w:themeColor="text1"/>
          <w:sz w:val="21"/>
          <w:szCs w:val="21"/>
          <w:highlight w:val="none"/>
          <w:lang w:eastAsia="zh-CN"/>
          <w14:textFill>
            <w14:solidFill>
              <w14:schemeClr w14:val="tx1"/>
            </w14:solidFill>
          </w14:textFill>
        </w:rPr>
        <w:t>18278360891</w:t>
      </w:r>
      <w:r>
        <w:rPr>
          <w:rFonts w:hint="eastAsia" w:ascii="宋体"/>
          <w:color w:val="000000" w:themeColor="text1"/>
          <w:sz w:val="21"/>
          <w:szCs w:val="21"/>
          <w:highlight w:val="none"/>
          <w:lang w:val="en-US" w:eastAsia="zh-CN"/>
          <w14:textFill>
            <w14:solidFill>
              <w14:schemeClr w14:val="tx1"/>
            </w14:solidFill>
          </w14:textFill>
        </w:rPr>
        <w:t xml:space="preserve"> </w:t>
      </w:r>
    </w:p>
    <w:p w14:paraId="47718DD6">
      <w:pPr>
        <w:pStyle w:val="28"/>
        <w:spacing w:line="340" w:lineRule="exact"/>
        <w:ind w:firstLine="5460" w:firstLineChars="2600"/>
        <w:rPr>
          <w:rFonts w:hint="eastAsia" w:ascii="宋体"/>
          <w:color w:val="000000" w:themeColor="text1"/>
          <w:sz w:val="21"/>
          <w:szCs w:val="21"/>
          <w:highlight w:val="none"/>
          <w:lang w:eastAsia="zh-CN"/>
          <w14:textFill>
            <w14:solidFill>
              <w14:schemeClr w14:val="tx1"/>
            </w14:solidFill>
          </w14:textFill>
        </w:rPr>
      </w:pPr>
    </w:p>
    <w:p w14:paraId="3CF05463">
      <w:pPr>
        <w:pStyle w:val="28"/>
        <w:spacing w:line="340" w:lineRule="exact"/>
        <w:ind w:firstLine="5460" w:firstLineChars="2600"/>
        <w:rPr>
          <w:rFonts w:hint="eastAsia" w:ascii="宋体"/>
          <w:color w:val="000000" w:themeColor="text1"/>
          <w:sz w:val="21"/>
          <w:szCs w:val="21"/>
          <w:highlight w:val="none"/>
          <w:lang w:eastAsia="zh-CN"/>
          <w14:textFill>
            <w14:solidFill>
              <w14:schemeClr w14:val="tx1"/>
            </w14:solidFill>
          </w14:textFill>
        </w:rPr>
      </w:pPr>
    </w:p>
    <w:p w14:paraId="1ADD102B">
      <w:pPr>
        <w:pStyle w:val="28"/>
        <w:spacing w:line="340" w:lineRule="exact"/>
        <w:ind w:firstLine="5460" w:firstLineChars="2600"/>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lang w:eastAsia="zh-CN"/>
          <w14:textFill>
            <w14:solidFill>
              <w14:schemeClr w14:val="tx1"/>
            </w14:solidFill>
          </w14:textFill>
        </w:rPr>
        <w:t>广西卓群项目管理有限公司</w:t>
      </w:r>
      <w:r>
        <w:rPr>
          <w:rFonts w:hint="eastAsia" w:ascii="宋体"/>
          <w:color w:val="000000" w:themeColor="text1"/>
          <w:sz w:val="21"/>
          <w:szCs w:val="21"/>
          <w:highlight w:val="none"/>
          <w14:textFill>
            <w14:solidFill>
              <w14:schemeClr w14:val="tx1"/>
            </w14:solidFill>
          </w14:textFill>
        </w:rPr>
        <w:t xml:space="preserve">                                                       </w:t>
      </w:r>
    </w:p>
    <w:p w14:paraId="1C8F01F2">
      <w:pPr>
        <w:pStyle w:val="28"/>
        <w:spacing w:line="340" w:lineRule="exact"/>
        <w:ind w:firstLine="6300" w:firstLineChars="3000"/>
        <w:rPr>
          <w:rFonts w:hint="eastAsia"/>
          <w:color w:val="000000" w:themeColor="text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202</w:t>
      </w:r>
      <w:r>
        <w:rPr>
          <w:rFonts w:hint="eastAsia" w:ascii="宋体"/>
          <w:color w:val="000000" w:themeColor="text1"/>
          <w:sz w:val="21"/>
          <w:szCs w:val="21"/>
          <w:highlight w:val="none"/>
          <w:lang w:val="en-US" w:eastAsia="zh-CN"/>
          <w14:textFill>
            <w14:solidFill>
              <w14:schemeClr w14:val="tx1"/>
            </w14:solidFill>
          </w14:textFill>
        </w:rPr>
        <w:t>6</w:t>
      </w:r>
      <w:r>
        <w:rPr>
          <w:rFonts w:hint="eastAsia" w:ascii="宋体"/>
          <w:color w:val="000000" w:themeColor="text1"/>
          <w:sz w:val="21"/>
          <w:szCs w:val="21"/>
          <w:highlight w:val="none"/>
          <w14:textFill>
            <w14:solidFill>
              <w14:schemeClr w14:val="tx1"/>
            </w14:solidFill>
          </w14:textFill>
        </w:rPr>
        <w:t>年</w:t>
      </w:r>
      <w:r>
        <w:rPr>
          <w:rFonts w:hint="eastAsia"/>
          <w:color w:val="000000" w:themeColor="text1"/>
          <w:sz w:val="21"/>
          <w:szCs w:val="21"/>
          <w:highlight w:val="none"/>
          <w:lang w:val="en-US" w:eastAsia="zh-CN"/>
          <w14:textFill>
            <w14:solidFill>
              <w14:schemeClr w14:val="tx1"/>
            </w14:solidFill>
          </w14:textFill>
        </w:rPr>
        <w:t>04</w:t>
      </w:r>
      <w:r>
        <w:rPr>
          <w:rFonts w:hint="eastAsia" w:ascii="宋体"/>
          <w:color w:val="000000" w:themeColor="text1"/>
          <w:sz w:val="21"/>
          <w:szCs w:val="21"/>
          <w:highlight w:val="none"/>
          <w14:textFill>
            <w14:solidFill>
              <w14:schemeClr w14:val="tx1"/>
            </w14:solidFill>
          </w14:textFill>
        </w:rPr>
        <w:t>月</w:t>
      </w:r>
      <w:r>
        <w:rPr>
          <w:rFonts w:hint="eastAsia"/>
          <w:color w:val="000000" w:themeColor="text1"/>
          <w:sz w:val="21"/>
          <w:szCs w:val="21"/>
          <w:highlight w:val="none"/>
          <w:lang w:val="en-US" w:eastAsia="zh-CN"/>
          <w14:textFill>
            <w14:solidFill>
              <w14:schemeClr w14:val="tx1"/>
            </w14:solidFill>
          </w14:textFill>
        </w:rPr>
        <w:t>10</w:t>
      </w:r>
      <w:r>
        <w:rPr>
          <w:rFonts w:hint="eastAsia" w:ascii="宋体"/>
          <w:color w:val="000000" w:themeColor="text1"/>
          <w:sz w:val="21"/>
          <w:szCs w:val="21"/>
          <w:highlight w:val="none"/>
          <w14:textFill>
            <w14:solidFill>
              <w14:schemeClr w14:val="tx1"/>
            </w14:solidFill>
          </w14:textFill>
        </w:rPr>
        <w:t>日</w:t>
      </w:r>
      <w:bookmarkEnd w:id="1"/>
    </w:p>
    <w:p w14:paraId="58A1FE4D">
      <w:pPr>
        <w:spacing w:line="460" w:lineRule="exact"/>
        <w:jc w:val="center"/>
        <w:outlineLvl w:val="0"/>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br w:type="page"/>
      </w:r>
      <w:bookmarkStart w:id="2" w:name="_Toc20648"/>
      <w:r>
        <w:rPr>
          <w:rFonts w:hint="eastAsia" w:ascii="宋体"/>
          <w:b/>
          <w:color w:val="000000" w:themeColor="text1"/>
          <w:sz w:val="28"/>
          <w:szCs w:val="28"/>
          <w:highlight w:val="none"/>
          <w14:textFill>
            <w14:solidFill>
              <w14:schemeClr w14:val="tx1"/>
            </w14:solidFill>
          </w14:textFill>
        </w:rPr>
        <w:t>第二章  磋商供应商须知</w:t>
      </w:r>
      <w:bookmarkEnd w:id="2"/>
    </w:p>
    <w:p w14:paraId="4A16D781">
      <w:pPr>
        <w:spacing w:line="460" w:lineRule="exact"/>
        <w:jc w:val="center"/>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磋商供应商须知前附表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898"/>
        <w:gridCol w:w="1417"/>
        <w:gridCol w:w="6709"/>
      </w:tblGrid>
      <w:tr w14:paraId="7916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2" w:type="dxa"/>
            <w:noWrap w:val="0"/>
            <w:vAlign w:val="center"/>
          </w:tcPr>
          <w:p w14:paraId="30904883">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序号</w:t>
            </w:r>
          </w:p>
        </w:tc>
        <w:tc>
          <w:tcPr>
            <w:tcW w:w="898" w:type="dxa"/>
            <w:noWrap w:val="0"/>
            <w:vAlign w:val="center"/>
          </w:tcPr>
          <w:p w14:paraId="142BB869">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条款号</w:t>
            </w:r>
          </w:p>
        </w:tc>
        <w:tc>
          <w:tcPr>
            <w:tcW w:w="1417" w:type="dxa"/>
            <w:noWrap w:val="0"/>
            <w:vAlign w:val="center"/>
          </w:tcPr>
          <w:p w14:paraId="64F5C0BB">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条款名称</w:t>
            </w:r>
          </w:p>
        </w:tc>
        <w:tc>
          <w:tcPr>
            <w:tcW w:w="6709" w:type="dxa"/>
            <w:noWrap w:val="0"/>
            <w:vAlign w:val="center"/>
          </w:tcPr>
          <w:p w14:paraId="15EC26C2">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内    容</w:t>
            </w:r>
          </w:p>
        </w:tc>
      </w:tr>
      <w:tr w14:paraId="151E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32" w:type="dxa"/>
            <w:noWrap w:val="0"/>
            <w:vAlign w:val="center"/>
          </w:tcPr>
          <w:p w14:paraId="701A0229">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p>
        </w:tc>
        <w:tc>
          <w:tcPr>
            <w:tcW w:w="898" w:type="dxa"/>
            <w:noWrap w:val="0"/>
            <w:vAlign w:val="center"/>
          </w:tcPr>
          <w:p w14:paraId="484000FE">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1.1</w:t>
            </w:r>
          </w:p>
        </w:tc>
        <w:tc>
          <w:tcPr>
            <w:tcW w:w="1417" w:type="dxa"/>
            <w:noWrap w:val="0"/>
            <w:vAlign w:val="center"/>
          </w:tcPr>
          <w:p w14:paraId="07647DE4">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本采购项目采购人</w:t>
            </w:r>
          </w:p>
        </w:tc>
        <w:tc>
          <w:tcPr>
            <w:tcW w:w="6709" w:type="dxa"/>
            <w:noWrap w:val="0"/>
            <w:vAlign w:val="center"/>
          </w:tcPr>
          <w:p w14:paraId="128F5939">
            <w:pPr>
              <w:pStyle w:val="12"/>
              <w:spacing w:line="360" w:lineRule="exact"/>
              <w:rPr>
                <w:rFonts w:hint="eastAsia" w:cs="Times New Roman"/>
                <w:color w:val="000000" w:themeColor="text1"/>
                <w:sz w:val="21"/>
                <w:szCs w:val="21"/>
                <w:highlight w:val="none"/>
                <w:lang w:bidi="ar-SA"/>
                <w14:textFill>
                  <w14:solidFill>
                    <w14:schemeClr w14:val="tx1"/>
                  </w14:solidFill>
                </w14:textFill>
              </w:rPr>
            </w:pPr>
            <w:r>
              <w:rPr>
                <w:rFonts w:hint="eastAsia" w:cs="Times New Roman"/>
                <w:color w:val="000000" w:themeColor="text1"/>
                <w:sz w:val="21"/>
                <w:szCs w:val="21"/>
                <w:highlight w:val="none"/>
                <w:lang w:bidi="ar-SA"/>
                <w14:textFill>
                  <w14:solidFill>
                    <w14:schemeClr w14:val="tx1"/>
                  </w14:solidFill>
                </w14:textFill>
              </w:rPr>
              <w:t>名 称：</w:t>
            </w:r>
            <w:r>
              <w:rPr>
                <w:rFonts w:hint="eastAsia" w:cs="Times New Roman"/>
                <w:color w:val="000000" w:themeColor="text1"/>
                <w:sz w:val="21"/>
                <w:szCs w:val="21"/>
                <w:highlight w:val="none"/>
                <w:lang w:eastAsia="zh-CN" w:bidi="ar-SA"/>
                <w14:textFill>
                  <w14:solidFill>
                    <w14:schemeClr w14:val="tx1"/>
                  </w14:solidFill>
                </w14:textFill>
              </w:rPr>
              <w:t>兴安县农业农村局</w:t>
            </w:r>
            <w:r>
              <w:rPr>
                <w:rFonts w:hint="eastAsia" w:cs="Times New Roman"/>
                <w:color w:val="000000" w:themeColor="text1"/>
                <w:sz w:val="21"/>
                <w:szCs w:val="21"/>
                <w:highlight w:val="none"/>
                <w:lang w:bidi="ar-SA"/>
                <w14:textFill>
                  <w14:solidFill>
                    <w14:schemeClr w14:val="tx1"/>
                  </w14:solidFill>
                </w14:textFill>
              </w:rPr>
              <w:t xml:space="preserve">     </w:t>
            </w:r>
          </w:p>
          <w:p w14:paraId="44E5F4F4">
            <w:pPr>
              <w:pStyle w:val="12"/>
              <w:spacing w:line="360" w:lineRule="exact"/>
              <w:rPr>
                <w:rFonts w:hint="eastAsia" w:cs="Times New Roman"/>
                <w:color w:val="000000" w:themeColor="text1"/>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bidi="ar-SA"/>
                <w14:textFill>
                  <w14:solidFill>
                    <w14:schemeClr w14:val="tx1"/>
                  </w14:solidFill>
                </w14:textFill>
              </w:rPr>
              <w:t>地址：桂林市兴安县教育路39号 　　　　　　　　　</w:t>
            </w:r>
          </w:p>
          <w:p w14:paraId="3C5ED0CC">
            <w:pPr>
              <w:pStyle w:val="12"/>
              <w:spacing w:line="360" w:lineRule="exact"/>
              <w:rPr>
                <w:rFonts w:hint="eastAsia" w:cs="Times New Roman"/>
                <w:color w:val="000000" w:themeColor="text1"/>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bidi="ar-SA"/>
                <w14:textFill>
                  <w14:solidFill>
                    <w14:schemeClr w14:val="tx1"/>
                  </w14:solidFill>
                </w14:textFill>
              </w:rPr>
              <w:t xml:space="preserve">项目联系人：侯双全             </w:t>
            </w:r>
          </w:p>
          <w:p w14:paraId="41586978">
            <w:pPr>
              <w:pStyle w:val="12"/>
              <w:spacing w:line="360" w:lineRule="exact"/>
              <w:rPr>
                <w:rFonts w:hint="eastAsia" w:eastAsia="宋体" w:cs="Times New Roman"/>
                <w:color w:val="000000" w:themeColor="text1"/>
                <w:sz w:val="21"/>
                <w:szCs w:val="21"/>
                <w:highlight w:val="none"/>
                <w:lang w:eastAsia="zh-CN" w:bidi="ar-SA"/>
                <w14:textFill>
                  <w14:solidFill>
                    <w14:schemeClr w14:val="tx1"/>
                  </w14:solidFill>
                </w14:textFill>
              </w:rPr>
            </w:pPr>
            <w:r>
              <w:rPr>
                <w:rFonts w:hint="eastAsia" w:cs="Times New Roman"/>
                <w:color w:val="000000" w:themeColor="text1"/>
                <w:sz w:val="21"/>
                <w:szCs w:val="21"/>
                <w:highlight w:val="none"/>
                <w:lang w:val="en-US" w:eastAsia="zh-CN" w:bidi="ar-SA"/>
                <w14:textFill>
                  <w14:solidFill>
                    <w14:schemeClr w14:val="tx1"/>
                  </w14:solidFill>
                </w14:textFill>
              </w:rPr>
              <w:t xml:space="preserve">项目联系方式：0773-6222008  </w:t>
            </w:r>
          </w:p>
        </w:tc>
      </w:tr>
      <w:tr w14:paraId="0CDE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32" w:type="dxa"/>
            <w:noWrap w:val="0"/>
            <w:vAlign w:val="center"/>
          </w:tcPr>
          <w:p w14:paraId="21806450">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w:t>
            </w:r>
          </w:p>
        </w:tc>
        <w:tc>
          <w:tcPr>
            <w:tcW w:w="898" w:type="dxa"/>
            <w:noWrap w:val="0"/>
            <w:vAlign w:val="center"/>
          </w:tcPr>
          <w:p w14:paraId="78B8E184">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1.2</w:t>
            </w:r>
          </w:p>
        </w:tc>
        <w:tc>
          <w:tcPr>
            <w:tcW w:w="1417" w:type="dxa"/>
            <w:noWrap w:val="0"/>
            <w:vAlign w:val="center"/>
          </w:tcPr>
          <w:p w14:paraId="0F0C33C9">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采购代理机构</w:t>
            </w:r>
          </w:p>
        </w:tc>
        <w:tc>
          <w:tcPr>
            <w:tcW w:w="6709" w:type="dxa"/>
            <w:noWrap w:val="0"/>
            <w:vAlign w:val="center"/>
          </w:tcPr>
          <w:p w14:paraId="06F6371B">
            <w:pPr>
              <w:spacing w:line="400" w:lineRule="exact"/>
              <w:rPr>
                <w:rFonts w:hint="eastAsia" w:ascii="宋体" w:eastAsia="宋体"/>
                <w:color w:val="000000" w:themeColor="text1"/>
                <w:sz w:val="21"/>
                <w:szCs w:val="21"/>
                <w:highlight w:val="none"/>
                <w:lang w:eastAsia="zh-CN"/>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名称：</w:t>
            </w:r>
            <w:r>
              <w:rPr>
                <w:rFonts w:hint="eastAsia" w:ascii="宋体" w:cs="MingLiU"/>
                <w:color w:val="000000" w:themeColor="text1"/>
                <w:kern w:val="0"/>
                <w:sz w:val="21"/>
                <w:szCs w:val="21"/>
                <w:highlight w:val="none"/>
                <w:lang w:eastAsia="zh-CN" w:bidi="ar-SA"/>
                <w14:textFill>
                  <w14:solidFill>
                    <w14:schemeClr w14:val="tx1"/>
                  </w14:solidFill>
                </w14:textFill>
              </w:rPr>
              <w:t>广西卓群项目管理有限公司</w:t>
            </w:r>
          </w:p>
          <w:p w14:paraId="27D2FFBF">
            <w:pPr>
              <w:spacing w:line="40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地址：</w:t>
            </w:r>
            <w:r>
              <w:rPr>
                <w:rFonts w:hint="eastAsia" w:ascii="宋体"/>
                <w:color w:val="000000" w:themeColor="text1"/>
                <w:sz w:val="21"/>
                <w:szCs w:val="21"/>
                <w:highlight w:val="none"/>
                <w:lang w:eastAsia="zh-CN"/>
                <w14:textFill>
                  <w14:solidFill>
                    <w14:schemeClr w14:val="tx1"/>
                  </w14:solidFill>
                </w14:textFill>
              </w:rPr>
              <w:t>桂林市象山区平山村委北村174号</w:t>
            </w:r>
            <w:r>
              <w:rPr>
                <w:rFonts w:hint="eastAsia" w:ascii="宋体"/>
                <w:color w:val="000000" w:themeColor="text1"/>
                <w:sz w:val="21"/>
                <w:szCs w:val="21"/>
                <w:highlight w:val="none"/>
                <w14:textFill>
                  <w14:solidFill>
                    <w14:schemeClr w14:val="tx1"/>
                  </w14:solidFill>
                </w14:textFill>
              </w:rPr>
              <w:t xml:space="preserve"> </w:t>
            </w:r>
          </w:p>
          <w:p w14:paraId="1AE52090">
            <w:pPr>
              <w:spacing w:line="40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项目联系人：</w:t>
            </w:r>
            <w:r>
              <w:rPr>
                <w:rFonts w:hint="eastAsia" w:ascii="宋体"/>
                <w:color w:val="000000" w:themeColor="text1"/>
                <w:sz w:val="21"/>
                <w:szCs w:val="21"/>
                <w:highlight w:val="none"/>
                <w:lang w:eastAsia="zh-CN"/>
                <w14:textFill>
                  <w14:solidFill>
                    <w14:schemeClr w14:val="tx1"/>
                  </w14:solidFill>
                </w14:textFill>
              </w:rPr>
              <w:t>刘依婷、蒋裕珍、侯忠良、杨玉燕</w:t>
            </w:r>
            <w:r>
              <w:rPr>
                <w:rFonts w:hint="eastAsia" w:ascii="宋体"/>
                <w:color w:val="000000" w:themeColor="text1"/>
                <w:sz w:val="21"/>
                <w:szCs w:val="21"/>
                <w:highlight w:val="none"/>
                <w14:textFill>
                  <w14:solidFill>
                    <w14:schemeClr w14:val="tx1"/>
                  </w14:solidFill>
                </w14:textFill>
              </w:rPr>
              <w:t xml:space="preserve">      </w:t>
            </w:r>
          </w:p>
          <w:p w14:paraId="77BF537A">
            <w:pPr>
              <w:pStyle w:val="39"/>
              <w:spacing w:line="360" w:lineRule="exact"/>
              <w:rPr>
                <w:rFonts w:hint="eastAsia" w:eastAsia="宋体"/>
                <w:color w:val="000000" w:themeColor="text1"/>
                <w:sz w:val="21"/>
                <w:szCs w:val="21"/>
                <w:highlight w:val="none"/>
                <w:lang w:eastAsia="zh-CN"/>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项目联系方式：</w:t>
            </w:r>
            <w:r>
              <w:rPr>
                <w:rFonts w:hint="eastAsia"/>
                <w:color w:val="000000" w:themeColor="text1"/>
                <w:sz w:val="21"/>
                <w:szCs w:val="21"/>
                <w:highlight w:val="none"/>
                <w:lang w:eastAsia="zh-CN"/>
                <w14:textFill>
                  <w14:solidFill>
                    <w14:schemeClr w14:val="tx1"/>
                  </w14:solidFill>
                </w14:textFill>
              </w:rPr>
              <w:t>18278360891</w:t>
            </w:r>
          </w:p>
        </w:tc>
      </w:tr>
      <w:tr w14:paraId="70343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32" w:type="dxa"/>
            <w:noWrap w:val="0"/>
            <w:vAlign w:val="center"/>
          </w:tcPr>
          <w:p w14:paraId="61320B5A">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w:t>
            </w:r>
          </w:p>
        </w:tc>
        <w:tc>
          <w:tcPr>
            <w:tcW w:w="898" w:type="dxa"/>
            <w:noWrap w:val="0"/>
            <w:vAlign w:val="center"/>
          </w:tcPr>
          <w:p w14:paraId="17534C82">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1.3</w:t>
            </w:r>
          </w:p>
        </w:tc>
        <w:tc>
          <w:tcPr>
            <w:tcW w:w="1417" w:type="dxa"/>
            <w:noWrap w:val="0"/>
            <w:vAlign w:val="center"/>
          </w:tcPr>
          <w:p w14:paraId="21DE01E6">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项目名称及项目编号 </w:t>
            </w:r>
          </w:p>
        </w:tc>
        <w:tc>
          <w:tcPr>
            <w:tcW w:w="6709" w:type="dxa"/>
            <w:noWrap w:val="0"/>
            <w:vAlign w:val="center"/>
          </w:tcPr>
          <w:p w14:paraId="784C8DE5">
            <w:pPr>
              <w:pStyle w:val="39"/>
              <w:spacing w:line="360" w:lineRule="exact"/>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项目名称：</w:t>
            </w:r>
            <w:r>
              <w:rPr>
                <w:rFonts w:hint="eastAsia"/>
                <w:color w:val="000000" w:themeColor="text1"/>
                <w:sz w:val="21"/>
                <w:szCs w:val="21"/>
                <w:highlight w:val="none"/>
                <w:lang w:eastAsia="zh-CN"/>
                <w14:textFill>
                  <w14:solidFill>
                    <w14:schemeClr w14:val="tx1"/>
                  </w14:solidFill>
                </w14:textFill>
              </w:rPr>
              <w:t>界首镇兴田村委址福田村柑橘产业道路硬化项目</w:t>
            </w:r>
          </w:p>
          <w:p w14:paraId="62B6AB19">
            <w:pPr>
              <w:pStyle w:val="12"/>
              <w:spacing w:line="360" w:lineRule="exact"/>
              <w:rPr>
                <w:rFonts w:hint="eastAsia" w:eastAsia="宋体" w:cs="Times New Roman"/>
                <w:color w:val="000000" w:themeColor="text1"/>
                <w:sz w:val="21"/>
                <w:szCs w:val="21"/>
                <w:highlight w:val="none"/>
                <w:lang w:eastAsia="zh-CN"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项目编号： </w:t>
            </w:r>
            <w:r>
              <w:rPr>
                <w:rFonts w:hint="eastAsia"/>
                <w:color w:val="000000" w:themeColor="text1"/>
                <w:sz w:val="21"/>
                <w:szCs w:val="21"/>
                <w:highlight w:val="none"/>
                <w:lang w:eastAsia="zh-CN"/>
                <w14:textFill>
                  <w14:solidFill>
                    <w14:schemeClr w14:val="tx1"/>
                  </w14:solidFill>
                </w14:textFill>
              </w:rPr>
              <w:t>GLZC2026-C2-250027-GXZQ</w:t>
            </w:r>
            <w:r>
              <w:rPr>
                <w:rFonts w:hint="eastAsia" w:cs="Times New Roman"/>
                <w:color w:val="000000" w:themeColor="text1"/>
                <w:sz w:val="21"/>
                <w:szCs w:val="21"/>
                <w:highlight w:val="none"/>
                <w:lang w:val="en-US" w:eastAsia="zh-CN" w:bidi="ar-SA"/>
                <w14:textFill>
                  <w14:solidFill>
                    <w14:schemeClr w14:val="tx1"/>
                  </w14:solidFill>
                </w14:textFill>
              </w:rPr>
              <w:t xml:space="preserve"> </w:t>
            </w:r>
          </w:p>
        </w:tc>
      </w:tr>
      <w:tr w14:paraId="7673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32" w:type="dxa"/>
            <w:noWrap w:val="0"/>
            <w:vAlign w:val="center"/>
          </w:tcPr>
          <w:p w14:paraId="189B644E">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w:t>
            </w:r>
          </w:p>
        </w:tc>
        <w:tc>
          <w:tcPr>
            <w:tcW w:w="898" w:type="dxa"/>
            <w:noWrap w:val="0"/>
            <w:vAlign w:val="center"/>
          </w:tcPr>
          <w:p w14:paraId="03268CBC">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1.4</w:t>
            </w:r>
          </w:p>
        </w:tc>
        <w:tc>
          <w:tcPr>
            <w:tcW w:w="1417" w:type="dxa"/>
            <w:noWrap w:val="0"/>
            <w:vAlign w:val="center"/>
          </w:tcPr>
          <w:p w14:paraId="4AD95152">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本工程建设地点</w:t>
            </w:r>
          </w:p>
        </w:tc>
        <w:tc>
          <w:tcPr>
            <w:tcW w:w="6709" w:type="dxa"/>
            <w:noWrap w:val="0"/>
            <w:vAlign w:val="center"/>
          </w:tcPr>
          <w:p w14:paraId="2EB8EE9D">
            <w:pPr>
              <w:pStyle w:val="39"/>
              <w:spacing w:line="360" w:lineRule="exact"/>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桂林市兴安县界首镇</w:t>
            </w:r>
          </w:p>
        </w:tc>
      </w:tr>
      <w:tr w14:paraId="736B6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32" w:type="dxa"/>
            <w:noWrap w:val="0"/>
            <w:vAlign w:val="center"/>
          </w:tcPr>
          <w:p w14:paraId="1BADEE32">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w:t>
            </w:r>
          </w:p>
        </w:tc>
        <w:tc>
          <w:tcPr>
            <w:tcW w:w="898" w:type="dxa"/>
            <w:noWrap w:val="0"/>
            <w:vAlign w:val="center"/>
          </w:tcPr>
          <w:p w14:paraId="1631A29B">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2.1</w:t>
            </w:r>
          </w:p>
        </w:tc>
        <w:tc>
          <w:tcPr>
            <w:tcW w:w="1417" w:type="dxa"/>
            <w:noWrap w:val="0"/>
            <w:vAlign w:val="center"/>
          </w:tcPr>
          <w:p w14:paraId="017CD531">
            <w:pPr>
              <w:jc w:val="center"/>
              <w:rPr>
                <w:rFonts w:hint="eastAsia"/>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资金来源</w:t>
            </w:r>
          </w:p>
        </w:tc>
        <w:tc>
          <w:tcPr>
            <w:tcW w:w="6709" w:type="dxa"/>
            <w:noWrap w:val="0"/>
            <w:vAlign w:val="center"/>
          </w:tcPr>
          <w:p w14:paraId="49AA542A">
            <w:pPr>
              <w:pStyle w:val="39"/>
              <w:spacing w:line="360" w:lineRule="exac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财政资金</w:t>
            </w:r>
          </w:p>
        </w:tc>
      </w:tr>
      <w:tr w14:paraId="176B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32" w:type="dxa"/>
            <w:noWrap w:val="0"/>
            <w:vAlign w:val="center"/>
          </w:tcPr>
          <w:p w14:paraId="4658CDA0">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6</w:t>
            </w:r>
          </w:p>
        </w:tc>
        <w:tc>
          <w:tcPr>
            <w:tcW w:w="898" w:type="dxa"/>
            <w:noWrap w:val="0"/>
            <w:vAlign w:val="center"/>
          </w:tcPr>
          <w:p w14:paraId="58DA3BB7">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2.2</w:t>
            </w:r>
          </w:p>
        </w:tc>
        <w:tc>
          <w:tcPr>
            <w:tcW w:w="1417" w:type="dxa"/>
            <w:noWrap w:val="0"/>
            <w:vAlign w:val="center"/>
          </w:tcPr>
          <w:p w14:paraId="3F0CDB6E">
            <w:pPr>
              <w:jc w:val="center"/>
              <w:rPr>
                <w:rFonts w:hint="eastAsia"/>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出资比例</w:t>
            </w:r>
          </w:p>
        </w:tc>
        <w:tc>
          <w:tcPr>
            <w:tcW w:w="6709" w:type="dxa"/>
            <w:noWrap w:val="0"/>
            <w:vAlign w:val="center"/>
          </w:tcPr>
          <w:p w14:paraId="0A8C0001">
            <w:pPr>
              <w:pStyle w:val="39"/>
              <w:spacing w:line="360" w:lineRule="exac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100%</w:t>
            </w:r>
          </w:p>
        </w:tc>
      </w:tr>
      <w:tr w14:paraId="696F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32" w:type="dxa"/>
            <w:noWrap w:val="0"/>
            <w:vAlign w:val="center"/>
          </w:tcPr>
          <w:p w14:paraId="598C148E">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7</w:t>
            </w:r>
          </w:p>
        </w:tc>
        <w:tc>
          <w:tcPr>
            <w:tcW w:w="898" w:type="dxa"/>
            <w:noWrap w:val="0"/>
            <w:vAlign w:val="center"/>
          </w:tcPr>
          <w:p w14:paraId="21E07384">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2.3</w:t>
            </w:r>
          </w:p>
        </w:tc>
        <w:tc>
          <w:tcPr>
            <w:tcW w:w="1417" w:type="dxa"/>
            <w:noWrap w:val="0"/>
            <w:vAlign w:val="center"/>
          </w:tcPr>
          <w:p w14:paraId="7A8A09CF">
            <w:pPr>
              <w:jc w:val="center"/>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资金落实</w:t>
            </w:r>
          </w:p>
          <w:p w14:paraId="733E38B8">
            <w:pPr>
              <w:jc w:val="center"/>
              <w:rPr>
                <w:rFonts w:hint="eastAsia"/>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情况</w:t>
            </w:r>
          </w:p>
        </w:tc>
        <w:tc>
          <w:tcPr>
            <w:tcW w:w="6709" w:type="dxa"/>
            <w:noWrap w:val="0"/>
            <w:vAlign w:val="center"/>
          </w:tcPr>
          <w:p w14:paraId="245BE2EB">
            <w:pPr>
              <w:pStyle w:val="39"/>
              <w:spacing w:line="360" w:lineRule="exac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已落实</w:t>
            </w:r>
          </w:p>
        </w:tc>
      </w:tr>
      <w:tr w14:paraId="03EC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32" w:type="dxa"/>
            <w:noWrap w:val="0"/>
            <w:vAlign w:val="center"/>
          </w:tcPr>
          <w:p w14:paraId="27907BC2">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8</w:t>
            </w:r>
          </w:p>
        </w:tc>
        <w:tc>
          <w:tcPr>
            <w:tcW w:w="898" w:type="dxa"/>
            <w:noWrap w:val="0"/>
            <w:vAlign w:val="center"/>
          </w:tcPr>
          <w:p w14:paraId="726B4EA3">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3.1</w:t>
            </w:r>
          </w:p>
        </w:tc>
        <w:tc>
          <w:tcPr>
            <w:tcW w:w="1417" w:type="dxa"/>
            <w:noWrap w:val="0"/>
            <w:vAlign w:val="center"/>
          </w:tcPr>
          <w:p w14:paraId="534D1E86">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本次采购范围</w:t>
            </w:r>
          </w:p>
        </w:tc>
        <w:tc>
          <w:tcPr>
            <w:tcW w:w="6709" w:type="dxa"/>
            <w:noWrap w:val="0"/>
            <w:vAlign w:val="center"/>
          </w:tcPr>
          <w:p w14:paraId="4BB7D44A">
            <w:pPr>
              <w:pStyle w:val="39"/>
              <w:spacing w:line="360" w:lineRule="exact"/>
              <w:rPr>
                <w:rFonts w:hint="eastAsia"/>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bidi="ar-SA"/>
                <w14:textFill>
                  <w14:solidFill>
                    <w14:schemeClr w14:val="tx1"/>
                  </w14:solidFill>
                </w14:textFill>
              </w:rPr>
              <w:t>施工图纸范围内的工程，具体情况详见施工图纸及工程量清单</w:t>
            </w:r>
            <w:r>
              <w:rPr>
                <w:rFonts w:hint="eastAsia"/>
                <w:color w:val="000000" w:themeColor="text1"/>
                <w:sz w:val="21"/>
                <w:szCs w:val="21"/>
                <w:highlight w:val="none"/>
                <w14:textFill>
                  <w14:solidFill>
                    <w14:schemeClr w14:val="tx1"/>
                  </w14:solidFill>
                </w14:textFill>
              </w:rPr>
              <w:t>；</w:t>
            </w:r>
          </w:p>
        </w:tc>
      </w:tr>
      <w:tr w14:paraId="44597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32" w:type="dxa"/>
            <w:noWrap w:val="0"/>
            <w:vAlign w:val="center"/>
          </w:tcPr>
          <w:p w14:paraId="153D5DC7">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9</w:t>
            </w:r>
          </w:p>
        </w:tc>
        <w:tc>
          <w:tcPr>
            <w:tcW w:w="898" w:type="dxa"/>
            <w:noWrap w:val="0"/>
            <w:vAlign w:val="center"/>
          </w:tcPr>
          <w:p w14:paraId="7C52411D">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w:t>
            </w:r>
          </w:p>
        </w:tc>
        <w:tc>
          <w:tcPr>
            <w:tcW w:w="1417" w:type="dxa"/>
            <w:noWrap w:val="0"/>
            <w:vAlign w:val="center"/>
          </w:tcPr>
          <w:p w14:paraId="3923249A">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本工程的要求工期</w:t>
            </w:r>
          </w:p>
        </w:tc>
        <w:tc>
          <w:tcPr>
            <w:tcW w:w="6709" w:type="dxa"/>
            <w:noWrap w:val="0"/>
            <w:vAlign w:val="center"/>
          </w:tcPr>
          <w:p w14:paraId="4AA6CE42">
            <w:pPr>
              <w:pStyle w:val="39"/>
              <w:spacing w:line="360" w:lineRule="exac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60</w:t>
            </w:r>
            <w:r>
              <w:rPr>
                <w:rFonts w:hint="eastAsia"/>
                <w:color w:val="000000" w:themeColor="text1"/>
                <w:sz w:val="21"/>
                <w:szCs w:val="21"/>
                <w:highlight w:val="none"/>
                <w:lang w:eastAsia="zh-CN"/>
                <w14:textFill>
                  <w14:solidFill>
                    <w14:schemeClr w14:val="tx1"/>
                  </w14:solidFill>
                </w14:textFill>
              </w:rPr>
              <w:t>个日历天</w:t>
            </w:r>
            <w:r>
              <w:rPr>
                <w:rFonts w:hint="eastAsia"/>
                <w:color w:val="000000" w:themeColor="text1"/>
                <w:sz w:val="21"/>
                <w:szCs w:val="21"/>
                <w:highlight w:val="none"/>
                <w14:textFill>
                  <w14:solidFill>
                    <w14:schemeClr w14:val="tx1"/>
                  </w14:solidFill>
                </w14:textFill>
              </w:rPr>
              <w:t>；</w:t>
            </w:r>
          </w:p>
        </w:tc>
      </w:tr>
      <w:tr w14:paraId="7558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32" w:type="dxa"/>
            <w:noWrap w:val="0"/>
            <w:vAlign w:val="center"/>
          </w:tcPr>
          <w:p w14:paraId="1971B279">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10</w:t>
            </w:r>
          </w:p>
        </w:tc>
        <w:tc>
          <w:tcPr>
            <w:tcW w:w="898" w:type="dxa"/>
            <w:noWrap w:val="0"/>
            <w:vAlign w:val="center"/>
          </w:tcPr>
          <w:p w14:paraId="1159C7CF">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3.3</w:t>
            </w:r>
          </w:p>
        </w:tc>
        <w:tc>
          <w:tcPr>
            <w:tcW w:w="1417" w:type="dxa"/>
            <w:noWrap w:val="0"/>
            <w:vAlign w:val="center"/>
          </w:tcPr>
          <w:p w14:paraId="15261B4D">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本工程的质量要求</w:t>
            </w:r>
          </w:p>
        </w:tc>
        <w:tc>
          <w:tcPr>
            <w:tcW w:w="6709" w:type="dxa"/>
            <w:noWrap w:val="0"/>
            <w:vAlign w:val="center"/>
          </w:tcPr>
          <w:p w14:paraId="2B3FFD5B">
            <w:pPr>
              <w:pStyle w:val="39"/>
              <w:spacing w:line="360" w:lineRule="exact"/>
              <w:rPr>
                <w:rFonts w:hint="eastAsia"/>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u w:val="none"/>
                <w14:textFill>
                  <w14:solidFill>
                    <w14:schemeClr w14:val="tx1"/>
                  </w14:solidFill>
                </w14:textFill>
              </w:rPr>
              <w:t>达到国家施工验收规范合格标准</w:t>
            </w:r>
            <w:r>
              <w:rPr>
                <w:rFonts w:hint="eastAsia"/>
                <w:color w:val="000000" w:themeColor="text1"/>
                <w:sz w:val="21"/>
                <w:szCs w:val="21"/>
                <w:highlight w:val="none"/>
                <w14:textFill>
                  <w14:solidFill>
                    <w14:schemeClr w14:val="tx1"/>
                  </w14:solidFill>
                </w14:textFill>
              </w:rPr>
              <w:t>；</w:t>
            </w:r>
          </w:p>
        </w:tc>
      </w:tr>
      <w:tr w14:paraId="1C9E6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32" w:type="dxa"/>
            <w:noWrap w:val="0"/>
            <w:vAlign w:val="center"/>
          </w:tcPr>
          <w:p w14:paraId="4026AE96">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11</w:t>
            </w:r>
          </w:p>
        </w:tc>
        <w:tc>
          <w:tcPr>
            <w:tcW w:w="898" w:type="dxa"/>
            <w:noWrap w:val="0"/>
            <w:vAlign w:val="center"/>
          </w:tcPr>
          <w:p w14:paraId="55562EF3">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3.4</w:t>
            </w:r>
          </w:p>
        </w:tc>
        <w:tc>
          <w:tcPr>
            <w:tcW w:w="1417" w:type="dxa"/>
            <w:noWrap w:val="0"/>
            <w:vAlign w:val="center"/>
          </w:tcPr>
          <w:p w14:paraId="354930CE">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本工程的标段划分</w:t>
            </w:r>
          </w:p>
        </w:tc>
        <w:tc>
          <w:tcPr>
            <w:tcW w:w="6709" w:type="dxa"/>
            <w:noWrap w:val="0"/>
            <w:vAlign w:val="center"/>
          </w:tcPr>
          <w:p w14:paraId="0AEA4E8D">
            <w:pPr>
              <w:pStyle w:val="39"/>
              <w:spacing w:line="360" w:lineRule="exac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本工程施工划分为</w:t>
            </w:r>
            <w:r>
              <w:rPr>
                <w:rFonts w:hint="eastAsia"/>
                <w:color w:val="000000" w:themeColor="text1"/>
                <w:sz w:val="21"/>
                <w:szCs w:val="21"/>
                <w:highlight w:val="none"/>
                <w:lang w:val="en-US" w:eastAsia="zh-CN"/>
                <w14:textFill>
                  <w14:solidFill>
                    <w14:schemeClr w14:val="tx1"/>
                  </w14:solidFill>
                </w14:textFill>
              </w:rPr>
              <w:t>1</w:t>
            </w:r>
            <w:r>
              <w:rPr>
                <w:rFonts w:hint="eastAsia"/>
                <w:color w:val="000000" w:themeColor="text1"/>
                <w:sz w:val="21"/>
                <w:szCs w:val="21"/>
                <w:highlight w:val="none"/>
                <w14:textFill>
                  <w14:solidFill>
                    <w14:schemeClr w14:val="tx1"/>
                  </w14:solidFill>
                </w14:textFill>
              </w:rPr>
              <w:t>个标段；</w:t>
            </w:r>
          </w:p>
        </w:tc>
      </w:tr>
      <w:tr w14:paraId="61506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32" w:type="dxa"/>
            <w:noWrap w:val="0"/>
            <w:vAlign w:val="center"/>
          </w:tcPr>
          <w:p w14:paraId="4AA12C1D">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12</w:t>
            </w:r>
          </w:p>
        </w:tc>
        <w:tc>
          <w:tcPr>
            <w:tcW w:w="898" w:type="dxa"/>
            <w:noWrap w:val="0"/>
            <w:vAlign w:val="center"/>
          </w:tcPr>
          <w:p w14:paraId="6C075DB1">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w:t>
            </w:r>
          </w:p>
        </w:tc>
        <w:tc>
          <w:tcPr>
            <w:tcW w:w="1417" w:type="dxa"/>
            <w:noWrap w:val="0"/>
            <w:vAlign w:val="center"/>
          </w:tcPr>
          <w:p w14:paraId="039F6DBE">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磋商供应商的资格要求</w:t>
            </w:r>
          </w:p>
        </w:tc>
        <w:tc>
          <w:tcPr>
            <w:tcW w:w="6709" w:type="dxa"/>
            <w:noWrap w:val="0"/>
            <w:vAlign w:val="center"/>
          </w:tcPr>
          <w:p w14:paraId="0AB75F93">
            <w:pPr>
              <w:pStyle w:val="28"/>
              <w:spacing w:line="360" w:lineRule="exact"/>
              <w:ind w:firstLine="0" w:firstLineChars="0"/>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4.1满足《中华人民共和国政府采购法》第二十二条规定；</w:t>
            </w:r>
          </w:p>
          <w:p w14:paraId="02B81448">
            <w:pPr>
              <w:pStyle w:val="28"/>
              <w:spacing w:line="360" w:lineRule="exact"/>
              <w:ind w:firstLine="0" w:firstLineChars="0"/>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4.2落实政府采购政策需满足的资格要求：</w:t>
            </w:r>
            <w:r>
              <w:rPr>
                <w:rFonts w:hint="eastAsia" w:ascii="宋体"/>
                <w:b/>
                <w:bCs/>
                <w:color w:val="000000" w:themeColor="text1"/>
                <w:sz w:val="21"/>
                <w:szCs w:val="21"/>
                <w:highlight w:val="none"/>
                <w14:textFill>
                  <w14:solidFill>
                    <w14:schemeClr w14:val="tx1"/>
                  </w14:solidFill>
                </w14:textFill>
              </w:rPr>
              <w:t>专门面向</w:t>
            </w:r>
            <w:r>
              <w:rPr>
                <w:rFonts w:hint="eastAsia"/>
                <w:b/>
                <w:bCs/>
                <w:color w:val="000000" w:themeColor="text1"/>
                <w:sz w:val="21"/>
                <w:szCs w:val="21"/>
                <w:highlight w:val="none"/>
                <w:lang w:eastAsia="zh-CN"/>
                <w14:textFill>
                  <w14:solidFill>
                    <w14:schemeClr w14:val="tx1"/>
                  </w14:solidFill>
                </w14:textFill>
              </w:rPr>
              <w:t>中小</w:t>
            </w:r>
            <w:r>
              <w:rPr>
                <w:rFonts w:hint="eastAsia" w:ascii="宋体"/>
                <w:b/>
                <w:bCs/>
                <w:color w:val="000000" w:themeColor="text1"/>
                <w:sz w:val="21"/>
                <w:szCs w:val="21"/>
                <w:highlight w:val="none"/>
                <w14:textFill>
                  <w14:solidFill>
                    <w14:schemeClr w14:val="tx1"/>
                  </w14:solidFill>
                </w14:textFill>
              </w:rPr>
              <w:t>企业采购的项目（供应商应为</w:t>
            </w:r>
            <w:r>
              <w:rPr>
                <w:rFonts w:hint="eastAsia"/>
                <w:b/>
                <w:bCs/>
                <w:color w:val="000000" w:themeColor="text1"/>
                <w:sz w:val="21"/>
                <w:szCs w:val="21"/>
                <w:highlight w:val="none"/>
                <w:lang w:eastAsia="zh-CN"/>
                <w14:textFill>
                  <w14:solidFill>
                    <w14:schemeClr w14:val="tx1"/>
                  </w14:solidFill>
                </w14:textFill>
              </w:rPr>
              <w:t>中小</w:t>
            </w:r>
            <w:r>
              <w:rPr>
                <w:rFonts w:hint="eastAsia" w:ascii="宋体"/>
                <w:b/>
                <w:bCs/>
                <w:color w:val="000000" w:themeColor="text1"/>
                <w:sz w:val="21"/>
                <w:szCs w:val="21"/>
                <w:highlight w:val="none"/>
                <w14:textFill>
                  <w14:solidFill>
                    <w14:schemeClr w14:val="tx1"/>
                  </w14:solidFill>
                </w14:textFill>
              </w:rPr>
              <w:t>企业、监狱企业、残疾人福利性单位)</w:t>
            </w:r>
            <w:r>
              <w:rPr>
                <w:rFonts w:hint="eastAsia" w:ascii="宋体"/>
                <w:color w:val="000000" w:themeColor="text1"/>
                <w:sz w:val="21"/>
                <w:szCs w:val="21"/>
                <w:highlight w:val="none"/>
                <w14:textFill>
                  <w14:solidFill>
                    <w14:schemeClr w14:val="tx1"/>
                  </w14:solidFill>
                </w14:textFill>
              </w:rPr>
              <w:t xml:space="preserve"> ；</w:t>
            </w:r>
          </w:p>
          <w:p w14:paraId="6614A4F1">
            <w:pPr>
              <w:spacing w:line="400" w:lineRule="exact"/>
              <w:ind w:firstLine="420" w:firstLineChars="200"/>
              <w:rPr>
                <w:rFonts w:hint="eastAsia" w:ascii="宋体" w:hAnsi="宋体"/>
                <w:b/>
                <w:bCs/>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4.3本项目的特定资格要求：</w:t>
            </w:r>
            <w:r>
              <w:rPr>
                <w:rFonts w:hint="eastAsia" w:ascii="宋体" w:hAnsi="宋体"/>
                <w:b/>
                <w:bCs/>
                <w:color w:val="000000" w:themeColor="text1"/>
                <w:sz w:val="21"/>
                <w:szCs w:val="21"/>
                <w:highlight w:val="none"/>
                <w14:textFill>
                  <w14:solidFill>
                    <w14:schemeClr w14:val="tx1"/>
                  </w14:solidFill>
                </w14:textFill>
              </w:rPr>
              <w:t>（1）</w:t>
            </w:r>
            <w:r>
              <w:rPr>
                <w:rFonts w:hint="eastAsia" w:ascii="宋体" w:cs="宋体"/>
                <w:b/>
                <w:color w:val="000000" w:themeColor="text1"/>
                <w:sz w:val="21"/>
                <w:szCs w:val="21"/>
                <w:highlight w:val="none"/>
                <w:lang w:bidi="ar-SA"/>
                <w14:textFill>
                  <w14:solidFill>
                    <w14:schemeClr w14:val="tx1"/>
                  </w14:solidFill>
                </w14:textFill>
              </w:rPr>
              <w:t>供应商须</w:t>
            </w:r>
            <w:r>
              <w:rPr>
                <w:rFonts w:hint="eastAsia" w:ascii="宋体" w:hAnsi="宋体"/>
                <w:b/>
                <w:bCs/>
                <w:color w:val="000000" w:themeColor="text1"/>
                <w:sz w:val="21"/>
                <w:szCs w:val="21"/>
                <w:highlight w:val="none"/>
                <w14:textFill>
                  <w14:solidFill>
                    <w14:schemeClr w14:val="tx1"/>
                  </w14:solidFill>
                </w14:textFill>
              </w:rPr>
              <w:t>具有</w:t>
            </w:r>
            <w:r>
              <w:rPr>
                <w:rFonts w:hint="eastAsia" w:ascii="宋体" w:hAnsi="宋体"/>
                <w:b/>
                <w:bCs/>
                <w:color w:val="000000" w:themeColor="text1"/>
                <w:sz w:val="21"/>
                <w:szCs w:val="21"/>
                <w:highlight w:val="none"/>
                <w:lang w:eastAsia="zh-CN"/>
                <w14:textFill>
                  <w14:solidFill>
                    <w14:schemeClr w14:val="tx1"/>
                  </w14:solidFill>
                </w14:textFill>
              </w:rPr>
              <w:t>公路工程施工总承包三级以上（含三级）</w:t>
            </w:r>
            <w:r>
              <w:rPr>
                <w:rFonts w:hint="eastAsia" w:ascii="宋体" w:hAnsi="宋体"/>
                <w:b/>
                <w:bCs/>
                <w:color w:val="000000" w:themeColor="text1"/>
                <w:sz w:val="21"/>
                <w:szCs w:val="21"/>
                <w:highlight w:val="none"/>
                <w14:textFill>
                  <w14:solidFill>
                    <w14:schemeClr w14:val="tx1"/>
                  </w14:solidFill>
                </w14:textFill>
              </w:rPr>
              <w:t>资质的施工企业，同时具有有效的安全生产许可证，并在人员、设备、资金等方面具备相应的施工能力；</w:t>
            </w:r>
          </w:p>
          <w:p w14:paraId="15459B2F">
            <w:pPr>
              <w:pStyle w:val="28"/>
              <w:spacing w:line="400" w:lineRule="exact"/>
              <w:ind w:firstLine="422"/>
              <w:rPr>
                <w:rFonts w:hint="eastAsia" w:ascii="宋体"/>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t>（2）</w:t>
            </w:r>
            <w:r>
              <w:rPr>
                <w:rFonts w:hint="eastAsia"/>
                <w:b/>
                <w:bCs/>
                <w:color w:val="000000" w:themeColor="text1"/>
                <w:sz w:val="21"/>
                <w:szCs w:val="21"/>
                <w:highlight w:val="none"/>
                <w14:textFill>
                  <w14:solidFill>
                    <w14:schemeClr w14:val="tx1"/>
                  </w14:solidFill>
                </w14:textFill>
              </w:rPr>
              <w:t>拟投入本项目的</w:t>
            </w:r>
            <w:r>
              <w:rPr>
                <w:rFonts w:hint="eastAsia"/>
                <w:b/>
                <w:bCs/>
                <w:color w:val="000000" w:themeColor="text1"/>
                <w:sz w:val="21"/>
                <w:szCs w:val="21"/>
                <w:highlight w:val="none"/>
                <w:lang w:val="en-US" w:eastAsia="zh-CN"/>
                <w14:textFill>
                  <w14:solidFill>
                    <w14:schemeClr w14:val="tx1"/>
                  </w14:solidFill>
                </w14:textFill>
              </w:rPr>
              <w:t>人员要求：</w:t>
            </w:r>
            <w:r>
              <w:rPr>
                <w:rFonts w:hint="eastAsia"/>
                <w:b/>
                <w:bCs/>
                <w:color w:val="000000" w:themeColor="text1"/>
                <w:sz w:val="21"/>
                <w:szCs w:val="21"/>
                <w:highlight w:val="none"/>
                <w14:textFill>
                  <w14:solidFill>
                    <w14:schemeClr w14:val="tx1"/>
                  </w14:solidFill>
                </w14:textFill>
              </w:rPr>
              <w:t>项目经理必须具备</w:t>
            </w:r>
            <w:r>
              <w:rPr>
                <w:rFonts w:hint="eastAsia"/>
                <w:b/>
                <w:bCs/>
                <w:color w:val="000000" w:themeColor="text1"/>
                <w:sz w:val="21"/>
                <w:szCs w:val="21"/>
                <w:highlight w:val="none"/>
                <w:lang w:eastAsia="zh-CN"/>
                <w14:textFill>
                  <w14:solidFill>
                    <w14:schemeClr w14:val="tx1"/>
                  </w14:solidFill>
                </w14:textFill>
              </w:rPr>
              <w:t>公路工程专业二级以上（含二级）注册建造师资格</w:t>
            </w:r>
            <w:r>
              <w:rPr>
                <w:rFonts w:hint="eastAsia"/>
                <w:b/>
                <w:bCs/>
                <w:color w:val="000000" w:themeColor="text1"/>
                <w:sz w:val="21"/>
                <w:szCs w:val="21"/>
                <w:highlight w:val="none"/>
                <w14:textFill>
                  <w14:solidFill>
                    <w14:schemeClr w14:val="tx1"/>
                  </w14:solidFill>
                </w14:textFill>
              </w:rPr>
              <w:t>，具备有效的安全生产考核合格证书（B类），本项目不接受在建、已中标未开工或已列为其他项目成交候选人第一名的建造师作为项目经理（符合桂建管【2013】</w:t>
            </w:r>
            <w:r>
              <w:rPr>
                <w:rFonts w:hint="eastAsia"/>
                <w:b/>
                <w:bCs/>
                <w:color w:val="000000" w:themeColor="text1"/>
                <w:sz w:val="21"/>
                <w:szCs w:val="21"/>
                <w:highlight w:val="none"/>
                <w:lang w:val="en-US" w:eastAsia="zh-CN"/>
                <w14:textFill>
                  <w14:solidFill>
                    <w14:schemeClr w14:val="tx1"/>
                  </w14:solidFill>
                </w14:textFill>
              </w:rPr>
              <w:t xml:space="preserve"> </w:t>
            </w:r>
            <w:r>
              <w:rPr>
                <w:rFonts w:hint="eastAsia"/>
                <w:b/>
                <w:bCs/>
                <w:color w:val="000000" w:themeColor="text1"/>
                <w:sz w:val="21"/>
                <w:szCs w:val="21"/>
                <w:highlight w:val="none"/>
                <w14:textFill>
                  <w14:solidFill>
                    <w14:schemeClr w14:val="tx1"/>
                  </w14:solidFill>
                </w14:textFill>
              </w:rPr>
              <w:t>17号文除外）。</w:t>
            </w:r>
          </w:p>
        </w:tc>
      </w:tr>
      <w:tr w14:paraId="0A0F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32" w:type="dxa"/>
            <w:noWrap w:val="0"/>
            <w:vAlign w:val="center"/>
          </w:tcPr>
          <w:p w14:paraId="6FB40AD4">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13</w:t>
            </w:r>
          </w:p>
        </w:tc>
        <w:tc>
          <w:tcPr>
            <w:tcW w:w="898" w:type="dxa"/>
            <w:noWrap w:val="0"/>
            <w:vAlign w:val="center"/>
          </w:tcPr>
          <w:p w14:paraId="6B9FCEDC">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w:t>
            </w:r>
          </w:p>
        </w:tc>
        <w:tc>
          <w:tcPr>
            <w:tcW w:w="1417" w:type="dxa"/>
            <w:noWrap w:val="0"/>
            <w:vAlign w:val="center"/>
          </w:tcPr>
          <w:p w14:paraId="088B3924">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踏勘现场</w:t>
            </w:r>
          </w:p>
        </w:tc>
        <w:tc>
          <w:tcPr>
            <w:tcW w:w="6709" w:type="dxa"/>
            <w:noWrap w:val="0"/>
            <w:vAlign w:val="center"/>
          </w:tcPr>
          <w:p w14:paraId="6762A26C">
            <w:pPr>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不组织；</w:t>
            </w:r>
          </w:p>
        </w:tc>
      </w:tr>
      <w:tr w14:paraId="3D1A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32" w:type="dxa"/>
            <w:noWrap w:val="0"/>
            <w:vAlign w:val="center"/>
          </w:tcPr>
          <w:p w14:paraId="56C275BB">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14</w:t>
            </w:r>
          </w:p>
        </w:tc>
        <w:tc>
          <w:tcPr>
            <w:tcW w:w="898" w:type="dxa"/>
            <w:noWrap w:val="0"/>
            <w:vAlign w:val="center"/>
          </w:tcPr>
          <w:p w14:paraId="2C6176E9">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6</w:t>
            </w:r>
          </w:p>
        </w:tc>
        <w:tc>
          <w:tcPr>
            <w:tcW w:w="1417" w:type="dxa"/>
            <w:noWrap w:val="0"/>
            <w:vAlign w:val="center"/>
          </w:tcPr>
          <w:p w14:paraId="525BE907">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参与在线响应（电子响应）的准备工作及磋商费用</w:t>
            </w:r>
          </w:p>
        </w:tc>
        <w:tc>
          <w:tcPr>
            <w:tcW w:w="6709" w:type="dxa"/>
            <w:noWrap w:val="0"/>
            <w:vAlign w:val="center"/>
          </w:tcPr>
          <w:p w14:paraId="7DC4D330">
            <w:pPr>
              <w:pStyle w:val="39"/>
              <w:spacing w:line="360" w:lineRule="exact"/>
              <w:jc w:val="lef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6.1参与在线响应（电子响应）的准备工作</w:t>
            </w:r>
          </w:p>
          <w:p w14:paraId="4CB57473">
            <w:pPr>
              <w:pStyle w:val="39"/>
              <w:spacing w:line="360" w:lineRule="exact"/>
              <w:jc w:val="lef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6.1.1本项目实行全流程电子化采购，供应商通过“广西政府采购云平台”平台参与在线响应（电子响应），并应做好以下相关准备工作：①在“广西政府采购云平台”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政采云电子投标客户端”）并安装成功，供应商应当在提交响应文件截止时间前在“广西政府采购云平台”平台完成的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在线响应（电子响应）或响应失败的，造成的一切后果，由供应商自行承担。</w:t>
            </w:r>
          </w:p>
          <w:p w14:paraId="07A0033F">
            <w:pPr>
              <w:pStyle w:val="39"/>
              <w:spacing w:line="360" w:lineRule="exact"/>
              <w:jc w:val="lef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6.1.2在线响应（电子响应）具体操作流程参考《政府采购项目电子交易管理操作指南-供应商》（详见广西壮族自治区政府采购网—办事服务—下载专区-广西壮族自治区全流程电子招投标项目管理系统--供应商客户端）；如遇平台技术问题详询95763。</w:t>
            </w:r>
          </w:p>
          <w:p w14:paraId="0A3430B5">
            <w:pPr>
              <w:pStyle w:val="39"/>
              <w:spacing w:line="360" w:lineRule="exact"/>
              <w:jc w:val="lef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6.2磋商费用：供应商应自行承担所有与编写和提交竞争性磋商响应文件有关的费用，不论磋商结果如何，采购人和采购代理机构在任何情况下无义务和责任承担此类费用。</w:t>
            </w:r>
          </w:p>
        </w:tc>
      </w:tr>
      <w:tr w14:paraId="01A66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32" w:type="dxa"/>
            <w:noWrap w:val="0"/>
            <w:vAlign w:val="center"/>
          </w:tcPr>
          <w:p w14:paraId="4D0C4DF8">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15</w:t>
            </w:r>
          </w:p>
        </w:tc>
        <w:tc>
          <w:tcPr>
            <w:tcW w:w="898" w:type="dxa"/>
            <w:noWrap w:val="0"/>
            <w:vAlign w:val="center"/>
          </w:tcPr>
          <w:p w14:paraId="2BB0F1D6">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7</w:t>
            </w:r>
          </w:p>
        </w:tc>
        <w:tc>
          <w:tcPr>
            <w:tcW w:w="1417" w:type="dxa"/>
            <w:noWrap w:val="0"/>
            <w:vAlign w:val="center"/>
          </w:tcPr>
          <w:p w14:paraId="1B16670F">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分包</w:t>
            </w:r>
          </w:p>
        </w:tc>
        <w:tc>
          <w:tcPr>
            <w:tcW w:w="6709" w:type="dxa"/>
            <w:noWrap w:val="0"/>
            <w:vAlign w:val="center"/>
          </w:tcPr>
          <w:p w14:paraId="5A0EC8AC">
            <w:pPr>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kern w:val="0"/>
                <w:position w:val="1"/>
                <w:sz w:val="21"/>
                <w:szCs w:val="21"/>
                <w:highlight w:val="none"/>
                <w14:textFill>
                  <w14:solidFill>
                    <w14:schemeClr w14:val="tx1"/>
                  </w14:solidFill>
                </w14:textFill>
              </w:rPr>
              <w:fldChar w:fldCharType="begin"/>
            </w:r>
            <w:r>
              <w:rPr>
                <w:rFonts w:hint="eastAsia" w:ascii="宋体"/>
                <w:color w:val="000000" w:themeColor="text1"/>
                <w:kern w:val="0"/>
                <w:position w:val="1"/>
                <w:sz w:val="21"/>
                <w:szCs w:val="21"/>
                <w:highlight w:val="none"/>
                <w14:textFill>
                  <w14:solidFill>
                    <w14:schemeClr w14:val="tx1"/>
                  </w14:solidFill>
                </w14:textFill>
              </w:rPr>
              <w:instrText xml:space="preserve">eq \o\ac(</w:instrText>
            </w:r>
            <w:r>
              <w:rPr>
                <w:rFonts w:hint="eastAsia" w:ascii="宋体"/>
                <w:color w:val="000000" w:themeColor="text1"/>
                <w:kern w:val="0"/>
                <w:position w:val="-4"/>
                <w:sz w:val="31"/>
                <w:szCs w:val="21"/>
                <w:highlight w:val="none"/>
                <w14:textFill>
                  <w14:solidFill>
                    <w14:schemeClr w14:val="tx1"/>
                  </w14:solidFill>
                </w14:textFill>
              </w:rPr>
              <w:instrText xml:space="preserve">□</w:instrText>
            </w:r>
            <w:r>
              <w:rPr>
                <w:rFonts w:ascii="宋体"/>
                <w:color w:val="000000" w:themeColor="text1"/>
                <w:kern w:val="0"/>
                <w:position w:val="0"/>
                <w:sz w:val="21"/>
                <w:szCs w:val="21"/>
                <w:highlight w:val="none"/>
                <w14:textFill>
                  <w14:solidFill>
                    <w14:schemeClr w14:val="tx1"/>
                  </w14:solidFill>
                </w14:textFill>
              </w:rPr>
              <w:instrText xml:space="preserve">,√)</w:instrText>
            </w:r>
            <w:r>
              <w:rPr>
                <w:rFonts w:hint="eastAsia" w:ascii="宋体"/>
                <w:color w:val="000000" w:themeColor="text1"/>
                <w:kern w:val="0"/>
                <w:position w:val="1"/>
                <w:sz w:val="21"/>
                <w:szCs w:val="21"/>
                <w:highlight w:val="none"/>
                <w14:textFill>
                  <w14:solidFill>
                    <w14:schemeClr w14:val="tx1"/>
                  </w14:solidFill>
                </w14:textFill>
              </w:rPr>
              <w:fldChar w:fldCharType="end"/>
            </w:r>
            <w:r>
              <w:rPr>
                <w:rFonts w:hint="eastAsia" w:ascii="宋体"/>
                <w:color w:val="000000" w:themeColor="text1"/>
                <w:sz w:val="21"/>
                <w:szCs w:val="21"/>
                <w:highlight w:val="none"/>
                <w14:textFill>
                  <w14:solidFill>
                    <w14:schemeClr w14:val="tx1"/>
                  </w14:solidFill>
                </w14:textFill>
              </w:rPr>
              <w:t>不允许</w:t>
            </w:r>
          </w:p>
          <w:p w14:paraId="41F47CA9">
            <w:pPr>
              <w:pStyle w:val="39"/>
              <w:spacing w:line="360" w:lineRule="exac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□允许</w:t>
            </w:r>
          </w:p>
        </w:tc>
      </w:tr>
      <w:tr w14:paraId="22DD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32" w:type="dxa"/>
            <w:noWrap w:val="0"/>
            <w:vAlign w:val="center"/>
          </w:tcPr>
          <w:p w14:paraId="683D2ADE">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16</w:t>
            </w:r>
          </w:p>
        </w:tc>
        <w:tc>
          <w:tcPr>
            <w:tcW w:w="898" w:type="dxa"/>
            <w:noWrap w:val="0"/>
            <w:vAlign w:val="center"/>
          </w:tcPr>
          <w:p w14:paraId="363014AD">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8</w:t>
            </w:r>
          </w:p>
        </w:tc>
        <w:tc>
          <w:tcPr>
            <w:tcW w:w="1417" w:type="dxa"/>
            <w:noWrap w:val="0"/>
            <w:vAlign w:val="center"/>
          </w:tcPr>
          <w:p w14:paraId="4E23E3D3">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偏离</w:t>
            </w:r>
          </w:p>
        </w:tc>
        <w:tc>
          <w:tcPr>
            <w:tcW w:w="6709" w:type="dxa"/>
            <w:noWrap w:val="0"/>
            <w:vAlign w:val="center"/>
          </w:tcPr>
          <w:p w14:paraId="2A904971">
            <w:pPr>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kern w:val="0"/>
                <w:position w:val="1"/>
                <w:sz w:val="21"/>
                <w:szCs w:val="21"/>
                <w:highlight w:val="none"/>
                <w14:textFill>
                  <w14:solidFill>
                    <w14:schemeClr w14:val="tx1"/>
                  </w14:solidFill>
                </w14:textFill>
              </w:rPr>
              <w:fldChar w:fldCharType="begin"/>
            </w:r>
            <w:r>
              <w:rPr>
                <w:rFonts w:hint="eastAsia" w:ascii="宋体"/>
                <w:color w:val="000000" w:themeColor="text1"/>
                <w:kern w:val="0"/>
                <w:position w:val="1"/>
                <w:sz w:val="21"/>
                <w:szCs w:val="21"/>
                <w:highlight w:val="none"/>
                <w14:textFill>
                  <w14:solidFill>
                    <w14:schemeClr w14:val="tx1"/>
                  </w14:solidFill>
                </w14:textFill>
              </w:rPr>
              <w:instrText xml:space="preserve">eq \o\ac(</w:instrText>
            </w:r>
            <w:r>
              <w:rPr>
                <w:rFonts w:hint="eastAsia" w:ascii="宋体"/>
                <w:color w:val="000000" w:themeColor="text1"/>
                <w:kern w:val="0"/>
                <w:position w:val="-4"/>
                <w:sz w:val="31"/>
                <w:szCs w:val="21"/>
                <w:highlight w:val="none"/>
                <w14:textFill>
                  <w14:solidFill>
                    <w14:schemeClr w14:val="tx1"/>
                  </w14:solidFill>
                </w14:textFill>
              </w:rPr>
              <w:instrText xml:space="preserve">□</w:instrText>
            </w:r>
            <w:r>
              <w:rPr>
                <w:rFonts w:ascii="宋体"/>
                <w:color w:val="000000" w:themeColor="text1"/>
                <w:kern w:val="0"/>
                <w:position w:val="0"/>
                <w:sz w:val="21"/>
                <w:szCs w:val="21"/>
                <w:highlight w:val="none"/>
                <w14:textFill>
                  <w14:solidFill>
                    <w14:schemeClr w14:val="tx1"/>
                  </w14:solidFill>
                </w14:textFill>
              </w:rPr>
              <w:instrText xml:space="preserve">,√)</w:instrText>
            </w:r>
            <w:r>
              <w:rPr>
                <w:rFonts w:hint="eastAsia" w:ascii="宋体"/>
                <w:color w:val="000000" w:themeColor="text1"/>
                <w:kern w:val="0"/>
                <w:position w:val="1"/>
                <w:sz w:val="21"/>
                <w:szCs w:val="21"/>
                <w:highlight w:val="none"/>
                <w14:textFill>
                  <w14:solidFill>
                    <w14:schemeClr w14:val="tx1"/>
                  </w14:solidFill>
                </w14:textFill>
              </w:rPr>
              <w:fldChar w:fldCharType="end"/>
            </w:r>
            <w:r>
              <w:rPr>
                <w:rFonts w:hint="eastAsia" w:ascii="宋体"/>
                <w:color w:val="000000" w:themeColor="text1"/>
                <w:sz w:val="21"/>
                <w:szCs w:val="21"/>
                <w:highlight w:val="none"/>
                <w14:textFill>
                  <w14:solidFill>
                    <w14:schemeClr w14:val="tx1"/>
                  </w14:solidFill>
                </w14:textFill>
              </w:rPr>
              <w:t>不允许</w:t>
            </w:r>
          </w:p>
          <w:p w14:paraId="24635836">
            <w:pPr>
              <w:spacing w:line="360" w:lineRule="exact"/>
              <w:rPr>
                <w:rFonts w:hint="eastAsia" w:ascii="宋体"/>
                <w:color w:val="000000" w:themeColor="text1"/>
                <w:kern w:val="0"/>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□允许</w:t>
            </w:r>
          </w:p>
        </w:tc>
      </w:tr>
      <w:tr w14:paraId="5D5D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32" w:type="dxa"/>
            <w:noWrap w:val="0"/>
            <w:vAlign w:val="center"/>
          </w:tcPr>
          <w:p w14:paraId="65DEFA92">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17</w:t>
            </w:r>
          </w:p>
        </w:tc>
        <w:tc>
          <w:tcPr>
            <w:tcW w:w="898" w:type="dxa"/>
            <w:noWrap w:val="0"/>
            <w:vAlign w:val="center"/>
          </w:tcPr>
          <w:p w14:paraId="18E9A2CF">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15.1</w:t>
            </w:r>
          </w:p>
        </w:tc>
        <w:tc>
          <w:tcPr>
            <w:tcW w:w="1417" w:type="dxa"/>
            <w:noWrap w:val="0"/>
            <w:vAlign w:val="center"/>
          </w:tcPr>
          <w:p w14:paraId="7BB313E3">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bidi="ar-SA"/>
                <w14:textFill>
                  <w14:solidFill>
                    <w14:schemeClr w14:val="tx1"/>
                  </w14:solidFill>
                </w14:textFill>
              </w:rPr>
              <w:t>电子响应文件的制作、加密</w:t>
            </w:r>
          </w:p>
        </w:tc>
        <w:tc>
          <w:tcPr>
            <w:tcW w:w="6709" w:type="dxa"/>
            <w:noWrap w:val="0"/>
            <w:vAlign w:val="center"/>
          </w:tcPr>
          <w:p w14:paraId="176A949B">
            <w:pPr>
              <w:pStyle w:val="12"/>
              <w:spacing w:line="360" w:lineRule="exac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15.1.1供应商制作电子响应文件前，必须登录“广西政府采购云平台”平台进行竞争性磋商文件获取的操作。</w:t>
            </w:r>
          </w:p>
          <w:p w14:paraId="76303D91">
            <w:pPr>
              <w:pStyle w:val="12"/>
              <w:spacing w:line="360" w:lineRule="exac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15.1.2供应商下载或获取竞争性磋商文件后，登录“政采云电子投标客户端”，按照本竞争性磋商文件规定的响应文件格式、顺序以及“广西政府采购云平台”平台的要求，通过“政采云电子投标客户端”编制电子响应文件。</w:t>
            </w:r>
          </w:p>
          <w:p w14:paraId="35512B6B">
            <w:pPr>
              <w:pStyle w:val="12"/>
              <w:spacing w:line="360" w:lineRule="exac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15.1.3供应商应按“政采云电子投标客户端”载明的“标书关联”功能进行电子响应文件相应内容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0056F51B">
            <w:pPr>
              <w:pStyle w:val="12"/>
              <w:spacing w:line="360" w:lineRule="exac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15.1.4电子响应文件不得涂改，若有修改错漏处，须加盖法定代表人或授权委托代理人通过“政采云电子投标客户端”采用政采云个人CA证书签章，没有办理政采云个人CA证书签章的，应在响应文件中相应位置手写签字后扫描或者拍照做成 PDF 的格式上传。因响应文件字迹潦草、表达不清、内容不完整、编排混乱导致响应文件被误读、漏读，或者在按竞争性磋商文件规定的部位查找不到相关内容的，其不利后果由供应商自行承担。</w:t>
            </w:r>
          </w:p>
          <w:p w14:paraId="2F73F379">
            <w:pPr>
              <w:pStyle w:val="12"/>
              <w:spacing w:line="360" w:lineRule="exac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15.1.5供应商编制、生成电子响应文件后应当进行加密。供应商未按规定编制并加密的响应文件，“广西政府采购云平台”平台将予以拒收。</w:t>
            </w:r>
          </w:p>
        </w:tc>
      </w:tr>
      <w:tr w14:paraId="4818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32" w:type="dxa"/>
            <w:noWrap w:val="0"/>
            <w:vAlign w:val="center"/>
          </w:tcPr>
          <w:p w14:paraId="0EAF88BD">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18</w:t>
            </w:r>
          </w:p>
        </w:tc>
        <w:tc>
          <w:tcPr>
            <w:tcW w:w="898" w:type="dxa"/>
            <w:noWrap w:val="0"/>
            <w:vAlign w:val="center"/>
          </w:tcPr>
          <w:p w14:paraId="52914ACF">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15.2</w:t>
            </w:r>
          </w:p>
        </w:tc>
        <w:tc>
          <w:tcPr>
            <w:tcW w:w="1417" w:type="dxa"/>
            <w:noWrap w:val="0"/>
            <w:vAlign w:val="center"/>
          </w:tcPr>
          <w:p w14:paraId="7E31EFEF">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供应商公章及签字</w:t>
            </w:r>
          </w:p>
        </w:tc>
        <w:tc>
          <w:tcPr>
            <w:tcW w:w="6709" w:type="dxa"/>
            <w:noWrap w:val="0"/>
            <w:vAlign w:val="center"/>
          </w:tcPr>
          <w:p w14:paraId="65CC3736">
            <w:pPr>
              <w:pStyle w:val="12"/>
              <w:spacing w:line="360" w:lineRule="exac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15.2.1本竞争性磋商文件中描述供应商的“公章”是指供应商通过指定电子化政府采购平台办理数字证书（CA认证证书）获得的以法定主体行为名称制作的电子印章。</w:t>
            </w:r>
          </w:p>
          <w:p w14:paraId="3482262A">
            <w:pPr>
              <w:pStyle w:val="12"/>
              <w:spacing w:line="360" w:lineRule="exac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15.2.2本竞争性磋商文件中要求供应商对其电子响应文件的相关内容加盖公章的，均指采用CA证书签章。</w:t>
            </w:r>
          </w:p>
          <w:p w14:paraId="7D5590A5">
            <w:pPr>
              <w:pStyle w:val="12"/>
              <w:spacing w:line="360" w:lineRule="exac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15.2.3本竞争性磋商文件中描述供应商的“签字”是指供应商通过指定电子化政府采购平台办理数字证书（CA认证证书）获得的以供应商法定代表人或者委托代理人姓名制作的个人电子印章（个人CA证书签章）或手写签字。没有办理个人电子印章（个人CA证书签章）的，可以为手写签字的形式(可在响应文件中涉及到签字的位置手写签字后扫描或者拍照做成 PDF 的格式上传即可)。</w:t>
            </w:r>
          </w:p>
        </w:tc>
      </w:tr>
      <w:tr w14:paraId="5A6E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32" w:type="dxa"/>
            <w:noWrap w:val="0"/>
            <w:vAlign w:val="center"/>
          </w:tcPr>
          <w:p w14:paraId="2D81DE0B">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19</w:t>
            </w:r>
          </w:p>
        </w:tc>
        <w:tc>
          <w:tcPr>
            <w:tcW w:w="898" w:type="dxa"/>
            <w:noWrap w:val="0"/>
            <w:vAlign w:val="center"/>
          </w:tcPr>
          <w:p w14:paraId="3F5A45A1">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16</w:t>
            </w:r>
          </w:p>
        </w:tc>
        <w:tc>
          <w:tcPr>
            <w:tcW w:w="1417" w:type="dxa"/>
            <w:noWrap w:val="0"/>
            <w:vAlign w:val="center"/>
          </w:tcPr>
          <w:p w14:paraId="13399598">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响应文件的补充、修改和撤回</w:t>
            </w:r>
          </w:p>
        </w:tc>
        <w:tc>
          <w:tcPr>
            <w:tcW w:w="6709" w:type="dxa"/>
            <w:noWrap w:val="0"/>
            <w:vAlign w:val="center"/>
          </w:tcPr>
          <w:p w14:paraId="770256CC">
            <w:pPr>
              <w:spacing w:line="360" w:lineRule="exact"/>
              <w:rPr>
                <w:rFonts w:hint="eastAsia" w:ascii="宋体" w:cs="宋体"/>
                <w:color w:val="000000" w:themeColor="text1"/>
                <w:sz w:val="21"/>
                <w:szCs w:val="21"/>
                <w:highlight w:val="none"/>
                <w:lang w:bidi="ar-SA"/>
                <w14:textFill>
                  <w14:solidFill>
                    <w14:schemeClr w14:val="tx1"/>
                  </w14:solidFill>
                </w14:textFill>
              </w:rPr>
            </w:pPr>
            <w:r>
              <w:rPr>
                <w:rFonts w:hint="eastAsia" w:ascii="宋体" w:cs="宋体"/>
                <w:color w:val="000000" w:themeColor="text1"/>
                <w:sz w:val="21"/>
                <w:szCs w:val="21"/>
                <w:highlight w:val="none"/>
                <w:lang w:bidi="ar-SA"/>
                <w14:textFill>
                  <w14:solidFill>
                    <w14:schemeClr w14:val="tx1"/>
                  </w14:solidFill>
                </w14:textFill>
              </w:rPr>
              <w:t>16.1供应商应当在提交响应文件截止时间前，将生成的电子响应文件上传提交至“广西政府采购云平台”平台。响应文件提交截止时间前可以补充、修改或撤回电子响应文件，补充、修改电子响应文件的，应当先行撤回原文件，补充、修改后重新传输提交。提交响应文件截止时间前未成功将电子响应文件上传“广西政府采购云平台”平台的，视为未提交响应文件。</w:t>
            </w:r>
          </w:p>
          <w:p w14:paraId="046244A8">
            <w:pPr>
              <w:pStyle w:val="12"/>
              <w:spacing w:line="360" w:lineRule="exact"/>
              <w:rPr>
                <w:rFonts w:hint="eastAsia"/>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bidi="ar-SA"/>
                <w14:textFill>
                  <w14:solidFill>
                    <w14:schemeClr w14:val="tx1"/>
                  </w14:solidFill>
                </w14:textFill>
              </w:rPr>
              <w:t>16.2在提交响应文件截止时间后的响应文件有效期内，供应商不得撤回其响应文件。</w:t>
            </w:r>
          </w:p>
        </w:tc>
      </w:tr>
      <w:tr w14:paraId="4097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32" w:type="dxa"/>
            <w:noWrap w:val="0"/>
            <w:vAlign w:val="center"/>
          </w:tcPr>
          <w:p w14:paraId="1572F552">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20</w:t>
            </w:r>
          </w:p>
        </w:tc>
        <w:tc>
          <w:tcPr>
            <w:tcW w:w="898" w:type="dxa"/>
            <w:noWrap w:val="0"/>
            <w:vAlign w:val="center"/>
          </w:tcPr>
          <w:p w14:paraId="5E38E833">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17</w:t>
            </w:r>
          </w:p>
        </w:tc>
        <w:tc>
          <w:tcPr>
            <w:tcW w:w="1417" w:type="dxa"/>
            <w:noWrap w:val="0"/>
            <w:vAlign w:val="center"/>
          </w:tcPr>
          <w:p w14:paraId="622442B5">
            <w:pPr>
              <w:pStyle w:val="12"/>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响应文件有效期</w:t>
            </w:r>
          </w:p>
        </w:tc>
        <w:tc>
          <w:tcPr>
            <w:tcW w:w="6709" w:type="dxa"/>
            <w:noWrap w:val="0"/>
            <w:vAlign w:val="center"/>
          </w:tcPr>
          <w:p w14:paraId="25F7A321">
            <w:pPr>
              <w:pStyle w:val="39"/>
              <w:spacing w:line="360" w:lineRule="exac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响应文件递交截止日之起</w:t>
            </w:r>
            <w:r>
              <w:rPr>
                <w:rFonts w:hint="eastAsia"/>
                <w:color w:val="000000" w:themeColor="text1"/>
                <w:sz w:val="21"/>
                <w:szCs w:val="21"/>
                <w:highlight w:val="none"/>
                <w:u w:val="single"/>
                <w14:textFill>
                  <w14:solidFill>
                    <w14:schemeClr w14:val="tx1"/>
                  </w14:solidFill>
                </w14:textFill>
              </w:rPr>
              <w:t>90</w:t>
            </w:r>
            <w:r>
              <w:rPr>
                <w:rFonts w:hint="eastAsia"/>
                <w:color w:val="000000" w:themeColor="text1"/>
                <w:sz w:val="21"/>
                <w:szCs w:val="21"/>
                <w:highlight w:val="none"/>
                <w14:textFill>
                  <w14:solidFill>
                    <w14:schemeClr w14:val="tx1"/>
                  </w14:solidFill>
                </w14:textFill>
              </w:rPr>
              <w:t>日。</w:t>
            </w:r>
          </w:p>
        </w:tc>
      </w:tr>
      <w:tr w14:paraId="1F482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32" w:type="dxa"/>
            <w:noWrap w:val="0"/>
            <w:vAlign w:val="center"/>
          </w:tcPr>
          <w:p w14:paraId="29B1DE72">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21</w:t>
            </w:r>
          </w:p>
        </w:tc>
        <w:tc>
          <w:tcPr>
            <w:tcW w:w="898" w:type="dxa"/>
            <w:noWrap w:val="0"/>
            <w:vAlign w:val="center"/>
          </w:tcPr>
          <w:p w14:paraId="5A0B38AA">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18.1</w:t>
            </w:r>
          </w:p>
        </w:tc>
        <w:tc>
          <w:tcPr>
            <w:tcW w:w="1417" w:type="dxa"/>
            <w:noWrap w:val="0"/>
            <w:vAlign w:val="center"/>
          </w:tcPr>
          <w:p w14:paraId="296DAF45">
            <w:pPr>
              <w:pStyle w:val="39"/>
              <w:spacing w:line="360" w:lineRule="exact"/>
              <w:jc w:val="center"/>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本工程预算总造价、</w:t>
            </w:r>
            <w:r>
              <w:rPr>
                <w:rFonts w:hint="eastAsia"/>
                <w:color w:val="000000" w:themeColor="text1"/>
                <w:sz w:val="21"/>
                <w:szCs w:val="21"/>
                <w:highlight w:val="none"/>
                <w:lang w:eastAsia="zh-CN"/>
                <w14:textFill>
                  <w14:solidFill>
                    <w14:schemeClr w14:val="tx1"/>
                  </w14:solidFill>
                </w14:textFill>
              </w:rPr>
              <w:t>最高磋商限价</w:t>
            </w:r>
          </w:p>
        </w:tc>
        <w:tc>
          <w:tcPr>
            <w:tcW w:w="6709" w:type="dxa"/>
            <w:noWrap w:val="0"/>
            <w:vAlign w:val="center"/>
          </w:tcPr>
          <w:p w14:paraId="161D7C1C">
            <w:pPr>
              <w:snapToGrid w:val="0"/>
              <w:spacing w:line="420" w:lineRule="exact"/>
              <w:ind w:firstLine="315" w:firstLineChars="15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w:t>
            </w:r>
            <w:r>
              <w:rPr>
                <w:rFonts w:hint="eastAsia"/>
                <w:color w:val="000000" w:themeColor="text1"/>
                <w:sz w:val="21"/>
                <w:szCs w:val="21"/>
                <w:highlight w:val="none"/>
                <w:lang w:eastAsia="zh-CN"/>
                <w14:textFill>
                  <w14:solidFill>
                    <w14:schemeClr w14:val="tx1"/>
                  </w14:solidFill>
                </w14:textFill>
              </w:rPr>
              <w:t>项目</w:t>
            </w:r>
            <w:r>
              <w:rPr>
                <w:rFonts w:hint="eastAsia"/>
                <w:color w:val="000000" w:themeColor="text1"/>
                <w:sz w:val="21"/>
                <w:szCs w:val="21"/>
                <w:highlight w:val="none"/>
                <w14:textFill>
                  <w14:solidFill>
                    <w14:schemeClr w14:val="tx1"/>
                  </w14:solidFill>
                </w14:textFill>
              </w:rPr>
              <w:t>工程招标控制总造价（最高磋商限价）为</w:t>
            </w:r>
            <w:r>
              <w:rPr>
                <w:rFonts w:hint="eastAsia"/>
                <w:color w:val="000000" w:themeColor="text1"/>
                <w:sz w:val="21"/>
                <w:szCs w:val="21"/>
                <w:highlight w:val="none"/>
                <w:lang w:eastAsia="zh-CN"/>
                <w14:textFill>
                  <w14:solidFill>
                    <w14:schemeClr w14:val="tx1"/>
                  </w14:solidFill>
                </w14:textFill>
              </w:rPr>
              <w:t>人民币</w:t>
            </w:r>
            <w:r>
              <w:rPr>
                <w:rFonts w:hint="eastAsia" w:ascii="宋体"/>
                <w:color w:val="000000" w:themeColor="text1"/>
                <w:sz w:val="21"/>
                <w:szCs w:val="21"/>
                <w:highlight w:val="none"/>
                <w:lang w:val="en-US" w:eastAsia="zh-CN"/>
                <w14:textFill>
                  <w14:solidFill>
                    <w14:schemeClr w14:val="tx1"/>
                  </w14:solidFill>
                </w14:textFill>
              </w:rPr>
              <w:t>639500.00</w:t>
            </w:r>
            <w:r>
              <w:rPr>
                <w:rFonts w:hint="eastAsia"/>
                <w:color w:val="000000" w:themeColor="text1"/>
                <w:sz w:val="21"/>
                <w:szCs w:val="21"/>
                <w:highlight w:val="none"/>
                <w14:textFill>
                  <w14:solidFill>
                    <w14:schemeClr w14:val="tx1"/>
                  </w14:solidFill>
                </w14:textFill>
              </w:rPr>
              <w:t>元，</w:t>
            </w:r>
            <w:r>
              <w:rPr>
                <w:rFonts w:hint="eastAsia"/>
                <w:color w:val="000000" w:themeColor="text1"/>
                <w:sz w:val="21"/>
                <w:szCs w:val="21"/>
                <w:highlight w:val="none"/>
                <w:lang w:eastAsia="zh-CN"/>
                <w14:textFill>
                  <w14:solidFill>
                    <w14:schemeClr w14:val="tx1"/>
                  </w14:solidFill>
                </w14:textFill>
              </w:rPr>
              <w:t>供应商</w:t>
            </w:r>
            <w:r>
              <w:rPr>
                <w:rFonts w:hint="eastAsia"/>
                <w:color w:val="000000" w:themeColor="text1"/>
                <w:sz w:val="21"/>
                <w:szCs w:val="21"/>
                <w:highlight w:val="none"/>
                <w14:textFill>
                  <w14:solidFill>
                    <w14:schemeClr w14:val="tx1"/>
                  </w14:solidFill>
                </w14:textFill>
              </w:rPr>
              <w:t>的</w:t>
            </w:r>
            <w:r>
              <w:rPr>
                <w:rFonts w:hint="eastAsia"/>
                <w:color w:val="000000" w:themeColor="text1"/>
                <w:sz w:val="21"/>
                <w:szCs w:val="21"/>
                <w:highlight w:val="none"/>
                <w:lang w:eastAsia="zh-CN"/>
                <w14:textFill>
                  <w14:solidFill>
                    <w14:schemeClr w14:val="tx1"/>
                  </w14:solidFill>
                </w14:textFill>
              </w:rPr>
              <w:t>最后磋商</w:t>
            </w:r>
            <w:r>
              <w:rPr>
                <w:rFonts w:hint="eastAsia"/>
                <w:color w:val="000000" w:themeColor="text1"/>
                <w:sz w:val="21"/>
                <w:szCs w:val="21"/>
                <w:highlight w:val="none"/>
                <w14:textFill>
                  <w14:solidFill>
                    <w14:schemeClr w14:val="tx1"/>
                  </w14:solidFill>
                </w14:textFill>
              </w:rPr>
              <w:t>总报价高于本</w:t>
            </w:r>
            <w:r>
              <w:rPr>
                <w:rFonts w:hint="eastAsia"/>
                <w:color w:val="000000" w:themeColor="text1"/>
                <w:sz w:val="21"/>
                <w:szCs w:val="21"/>
                <w:highlight w:val="none"/>
                <w:lang w:eastAsia="zh-CN"/>
                <w14:textFill>
                  <w14:solidFill>
                    <w14:schemeClr w14:val="tx1"/>
                  </w14:solidFill>
                </w14:textFill>
              </w:rPr>
              <w:t>项目</w:t>
            </w:r>
            <w:r>
              <w:rPr>
                <w:rFonts w:hint="eastAsia"/>
                <w:color w:val="000000" w:themeColor="text1"/>
                <w:sz w:val="21"/>
                <w:szCs w:val="21"/>
                <w:highlight w:val="none"/>
                <w14:textFill>
                  <w14:solidFill>
                    <w14:schemeClr w14:val="tx1"/>
                  </w14:solidFill>
                </w14:textFill>
              </w:rPr>
              <w:t>工程招标控制总造价（最高磋商限价）为无效</w:t>
            </w:r>
            <w:r>
              <w:rPr>
                <w:rFonts w:hint="eastAsia"/>
                <w:color w:val="000000" w:themeColor="text1"/>
                <w:sz w:val="21"/>
                <w:szCs w:val="21"/>
                <w:highlight w:val="none"/>
                <w:lang w:eastAsia="zh-CN"/>
                <w14:textFill>
                  <w14:solidFill>
                    <w14:schemeClr w14:val="tx1"/>
                  </w14:solidFill>
                </w14:textFill>
              </w:rPr>
              <w:t>报价</w:t>
            </w:r>
            <w:r>
              <w:rPr>
                <w:rFonts w:hint="eastAsia"/>
                <w:color w:val="000000" w:themeColor="text1"/>
                <w:sz w:val="21"/>
                <w:szCs w:val="21"/>
                <w:highlight w:val="none"/>
                <w14:textFill>
                  <w14:solidFill>
                    <w14:schemeClr w14:val="tx1"/>
                  </w14:solidFill>
                </w14:textFill>
              </w:rPr>
              <w:t>。</w:t>
            </w:r>
          </w:p>
          <w:p w14:paraId="2FE24DA9">
            <w:pPr>
              <w:snapToGrid w:val="0"/>
              <w:spacing w:line="420" w:lineRule="exact"/>
              <w:ind w:firstLine="316" w:firstLineChars="150"/>
              <w:rPr>
                <w:rFonts w:hint="eastAsia"/>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注：</w:t>
            </w:r>
            <w:r>
              <w:rPr>
                <w:rFonts w:hint="eastAsia" w:ascii="宋体" w:hAnsi="宋体" w:eastAsia="宋体" w:cs="宋体"/>
                <w:b/>
                <w:color w:val="000000" w:themeColor="text1"/>
                <w:sz w:val="21"/>
                <w:szCs w:val="21"/>
                <w:highlight w:val="none"/>
                <w:lang w:eastAsia="zh-CN"/>
                <w14:textFill>
                  <w14:solidFill>
                    <w14:schemeClr w14:val="tx1"/>
                  </w14:solidFill>
                </w14:textFill>
              </w:rPr>
              <w:t>供应商的磋商报价不得超过本工程</w:t>
            </w:r>
            <w:r>
              <w:rPr>
                <w:rFonts w:hint="eastAsia" w:ascii="宋体" w:hAnsi="宋体" w:eastAsia="宋体" w:cs="宋体"/>
                <w:b/>
                <w:bCs/>
                <w:color w:val="000000" w:themeColor="text1"/>
                <w:sz w:val="21"/>
                <w:szCs w:val="21"/>
                <w:highlight w:val="none"/>
                <w14:textFill>
                  <w14:solidFill>
                    <w14:schemeClr w14:val="tx1"/>
                  </w14:solidFill>
                </w14:textFill>
              </w:rPr>
              <w:t>最高磋商限价</w:t>
            </w: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，否则作无效标处理；</w:t>
            </w:r>
            <w:r>
              <w:rPr>
                <w:rFonts w:hint="eastAsia" w:ascii="宋体" w:hAnsi="宋体" w:eastAsia="宋体" w:cs="宋体"/>
                <w:b/>
                <w:color w:val="000000" w:themeColor="text1"/>
                <w:sz w:val="21"/>
                <w:szCs w:val="21"/>
                <w:highlight w:val="none"/>
                <w14:textFill>
                  <w14:solidFill>
                    <w14:schemeClr w14:val="tx1"/>
                  </w14:solidFill>
                </w14:textFill>
              </w:rPr>
              <w:t>供应商的第二次磋商报价不得高于该供应商第一次磋商报价，否则做无效标处理。如供应商维持</w:t>
            </w:r>
            <w:r>
              <w:rPr>
                <w:rFonts w:hint="eastAsia" w:ascii="宋体" w:hAnsi="宋体" w:eastAsia="宋体" w:cs="宋体"/>
                <w:b/>
                <w:color w:val="000000" w:themeColor="text1"/>
                <w:sz w:val="21"/>
                <w:szCs w:val="21"/>
                <w:highlight w:val="none"/>
                <w:lang w:eastAsia="zh-CN"/>
                <w14:textFill>
                  <w14:solidFill>
                    <w14:schemeClr w14:val="tx1"/>
                  </w14:solidFill>
                </w14:textFill>
              </w:rPr>
              <w:t>磋商</w:t>
            </w:r>
            <w:r>
              <w:rPr>
                <w:rFonts w:hint="eastAsia" w:ascii="宋体" w:hAnsi="宋体" w:eastAsia="宋体" w:cs="宋体"/>
                <w:b/>
                <w:color w:val="000000" w:themeColor="text1"/>
                <w:sz w:val="21"/>
                <w:szCs w:val="21"/>
                <w:highlight w:val="none"/>
                <w14:textFill>
                  <w14:solidFill>
                    <w14:schemeClr w14:val="tx1"/>
                  </w14:solidFill>
                </w14:textFill>
              </w:rPr>
              <w:t>报价不变，以原磋商报价作为供应商最后报价</w:t>
            </w:r>
            <w:r>
              <w:rPr>
                <w:rFonts w:hint="eastAsia" w:ascii="宋体" w:hAnsi="宋体" w:eastAsia="宋体" w:cs="宋体"/>
                <w:b/>
                <w:bCs/>
                <w:color w:val="000000" w:themeColor="text1"/>
                <w:sz w:val="21"/>
                <w:szCs w:val="21"/>
                <w:highlight w:val="none"/>
                <w14:textFill>
                  <w14:solidFill>
                    <w14:schemeClr w14:val="tx1"/>
                  </w14:solidFill>
                </w14:textFill>
              </w:rPr>
              <w:t>；如供应商需要改变原磋商报价时，</w:t>
            </w:r>
            <w:r>
              <w:rPr>
                <w:rFonts w:hint="eastAsia" w:ascii="宋体" w:hAnsi="宋体" w:eastAsia="宋体" w:cs="宋体"/>
                <w:b/>
                <w:color w:val="000000" w:themeColor="text1"/>
                <w:sz w:val="21"/>
                <w:szCs w:val="21"/>
                <w:highlight w:val="none"/>
                <w14:textFill>
                  <w14:solidFill>
                    <w14:schemeClr w14:val="tx1"/>
                  </w14:solidFill>
                </w14:textFill>
              </w:rPr>
              <w:t>供应商应预先准备好调整后的</w:t>
            </w:r>
            <w:r>
              <w:rPr>
                <w:rFonts w:hint="eastAsia" w:ascii="宋体" w:hAnsi="宋体" w:eastAsia="宋体" w:cs="宋体"/>
                <w:b/>
                <w:color w:val="000000" w:themeColor="text1"/>
                <w:sz w:val="21"/>
                <w:szCs w:val="21"/>
                <w:highlight w:val="none"/>
                <w:lang w:eastAsia="zh-CN"/>
                <w14:textFill>
                  <w14:solidFill>
                    <w14:schemeClr w14:val="tx1"/>
                  </w14:solidFill>
                </w14:textFill>
              </w:rPr>
              <w:t>已标价的工程量清单</w:t>
            </w:r>
            <w:r>
              <w:rPr>
                <w:rFonts w:hint="eastAsia" w:ascii="宋体" w:hAnsi="宋体" w:eastAsia="宋体" w:cs="宋体"/>
                <w:b/>
                <w:color w:val="000000" w:themeColor="text1"/>
                <w:sz w:val="21"/>
                <w:szCs w:val="21"/>
                <w:highlight w:val="none"/>
                <w14:textFill>
                  <w14:solidFill>
                    <w14:schemeClr w14:val="tx1"/>
                  </w14:solidFill>
                </w14:textFill>
              </w:rPr>
              <w:t>。</w:t>
            </w:r>
          </w:p>
        </w:tc>
      </w:tr>
      <w:tr w14:paraId="7CD4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32" w:type="dxa"/>
            <w:noWrap w:val="0"/>
            <w:vAlign w:val="center"/>
          </w:tcPr>
          <w:p w14:paraId="49F3F209">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22</w:t>
            </w:r>
          </w:p>
        </w:tc>
        <w:tc>
          <w:tcPr>
            <w:tcW w:w="898" w:type="dxa"/>
            <w:noWrap w:val="0"/>
            <w:vAlign w:val="center"/>
          </w:tcPr>
          <w:p w14:paraId="7030F5EB">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18.2</w:t>
            </w:r>
          </w:p>
        </w:tc>
        <w:tc>
          <w:tcPr>
            <w:tcW w:w="1417" w:type="dxa"/>
            <w:noWrap w:val="0"/>
            <w:vAlign w:val="center"/>
          </w:tcPr>
          <w:p w14:paraId="7CD5C04D">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磋商报价</w:t>
            </w:r>
          </w:p>
        </w:tc>
        <w:tc>
          <w:tcPr>
            <w:tcW w:w="6709" w:type="dxa"/>
            <w:noWrap w:val="0"/>
            <w:vAlign w:val="center"/>
          </w:tcPr>
          <w:p w14:paraId="501885F1">
            <w:pPr>
              <w:tabs>
                <w:tab w:val="right" w:leader="dot" w:pos="9000"/>
              </w:tabs>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18.2.1供应商应按第五章“工程量清单”的要求填写相应表格。磋商供应商必须就《工程量清单》中所有的工程内容作完整唯一报价，否则，其响应文件无效。响应文件只允许有一个报价，有选择的或有条件的报价将不予接受。</w:t>
            </w:r>
          </w:p>
        </w:tc>
      </w:tr>
      <w:tr w14:paraId="6834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32" w:type="dxa"/>
            <w:noWrap w:val="0"/>
            <w:vAlign w:val="center"/>
          </w:tcPr>
          <w:p w14:paraId="2D2AC8C4">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23</w:t>
            </w:r>
          </w:p>
        </w:tc>
        <w:tc>
          <w:tcPr>
            <w:tcW w:w="898" w:type="dxa"/>
            <w:noWrap w:val="0"/>
            <w:vAlign w:val="center"/>
          </w:tcPr>
          <w:p w14:paraId="45228E53">
            <w:pPr>
              <w:pStyle w:val="12"/>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19.1</w:t>
            </w:r>
          </w:p>
        </w:tc>
        <w:tc>
          <w:tcPr>
            <w:tcW w:w="1417" w:type="dxa"/>
            <w:noWrap w:val="0"/>
            <w:vAlign w:val="center"/>
          </w:tcPr>
          <w:p w14:paraId="35DBD431">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响应文件提交截止时间及地点</w:t>
            </w:r>
          </w:p>
        </w:tc>
        <w:tc>
          <w:tcPr>
            <w:tcW w:w="6709" w:type="dxa"/>
            <w:noWrap w:val="0"/>
            <w:vAlign w:val="center"/>
          </w:tcPr>
          <w:p w14:paraId="13D55CB0">
            <w:pPr>
              <w:pStyle w:val="39"/>
              <w:spacing w:line="360" w:lineRule="exact"/>
              <w:rPr>
                <w:rFonts w:hint="eastAsia"/>
                <w:b/>
                <w:bCs/>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19.1.1响应文件提交截止时间：</w:t>
            </w:r>
            <w:r>
              <w:rPr>
                <w:rFonts w:hint="eastAsia" w:ascii="宋体"/>
                <w:color w:val="000000" w:themeColor="text1"/>
                <w:sz w:val="21"/>
                <w:szCs w:val="21"/>
                <w:highlight w:val="none"/>
                <w14:textFill>
                  <w14:solidFill>
                    <w14:schemeClr w14:val="tx1"/>
                  </w14:solidFill>
                </w14:textFill>
              </w:rPr>
              <w:t>202</w:t>
            </w:r>
            <w:r>
              <w:rPr>
                <w:rFonts w:hint="eastAsia"/>
                <w:color w:val="000000" w:themeColor="text1"/>
                <w:sz w:val="21"/>
                <w:szCs w:val="21"/>
                <w:highlight w:val="none"/>
                <w:lang w:val="en-US" w:eastAsia="zh-CN"/>
                <w14:textFill>
                  <w14:solidFill>
                    <w14:schemeClr w14:val="tx1"/>
                  </w14:solidFill>
                </w14:textFill>
              </w:rPr>
              <w:t>6</w:t>
            </w:r>
            <w:r>
              <w:rPr>
                <w:rFonts w:hint="eastAsia" w:ascii="宋体"/>
                <w:color w:val="000000" w:themeColor="text1"/>
                <w:sz w:val="21"/>
                <w:szCs w:val="21"/>
                <w:highlight w:val="none"/>
                <w14:textFill>
                  <w14:solidFill>
                    <w14:schemeClr w14:val="tx1"/>
                  </w14:solidFill>
                </w14:textFill>
              </w:rPr>
              <w:t>年</w:t>
            </w:r>
            <w:r>
              <w:rPr>
                <w:rFonts w:hint="eastAsia"/>
                <w:color w:val="000000" w:themeColor="text1"/>
                <w:sz w:val="21"/>
                <w:szCs w:val="21"/>
                <w:highlight w:val="none"/>
                <w:lang w:val="en-US" w:eastAsia="zh-CN"/>
                <w14:textFill>
                  <w14:solidFill>
                    <w14:schemeClr w14:val="tx1"/>
                  </w14:solidFill>
                </w14:textFill>
              </w:rPr>
              <w:t>04</w:t>
            </w:r>
            <w:r>
              <w:rPr>
                <w:rFonts w:hint="eastAsia" w:ascii="宋体"/>
                <w:color w:val="000000" w:themeColor="text1"/>
                <w:sz w:val="21"/>
                <w:szCs w:val="21"/>
                <w:highlight w:val="none"/>
                <w14:textFill>
                  <w14:solidFill>
                    <w14:schemeClr w14:val="tx1"/>
                  </w14:solidFill>
                </w14:textFill>
              </w:rPr>
              <w:t>月</w:t>
            </w:r>
            <w:r>
              <w:rPr>
                <w:rFonts w:hint="eastAsia"/>
                <w:color w:val="000000" w:themeColor="text1"/>
                <w:sz w:val="21"/>
                <w:szCs w:val="21"/>
                <w:highlight w:val="none"/>
                <w:lang w:val="en-US" w:eastAsia="zh-CN"/>
                <w14:textFill>
                  <w14:solidFill>
                    <w14:schemeClr w14:val="tx1"/>
                  </w14:solidFill>
                </w14:textFill>
              </w:rPr>
              <w:t>28</w:t>
            </w:r>
            <w:r>
              <w:rPr>
                <w:rFonts w:hint="eastAsia" w:ascii="宋体"/>
                <w:color w:val="000000" w:themeColor="text1"/>
                <w:sz w:val="21"/>
                <w:szCs w:val="21"/>
                <w:highlight w:val="none"/>
                <w14:textFill>
                  <w14:solidFill>
                    <w14:schemeClr w14:val="tx1"/>
                  </w14:solidFill>
                </w14:textFill>
              </w:rPr>
              <w:t>日</w:t>
            </w:r>
            <w:r>
              <w:rPr>
                <w:rFonts w:hint="eastAsia"/>
                <w:color w:val="000000" w:themeColor="text1"/>
                <w:sz w:val="21"/>
                <w:szCs w:val="21"/>
                <w:highlight w:val="none"/>
                <w:lang w:val="en-US" w:eastAsia="zh-CN"/>
                <w14:textFill>
                  <w14:solidFill>
                    <w14:schemeClr w14:val="tx1"/>
                  </w14:solidFill>
                </w14:textFill>
              </w:rPr>
              <w:t>09</w:t>
            </w:r>
            <w:r>
              <w:rPr>
                <w:rFonts w:hint="eastAsia" w:ascii="宋体"/>
                <w:color w:val="000000" w:themeColor="text1"/>
                <w:sz w:val="21"/>
                <w:szCs w:val="21"/>
                <w:highlight w:val="none"/>
                <w14:textFill>
                  <w14:solidFill>
                    <w14:schemeClr w14:val="tx1"/>
                  </w14:solidFill>
                </w14:textFill>
              </w:rPr>
              <w:t>时30 分</w:t>
            </w:r>
            <w:r>
              <w:rPr>
                <w:rFonts w:hint="eastAsia"/>
                <w:color w:val="000000" w:themeColor="text1"/>
                <w:sz w:val="21"/>
                <w:szCs w:val="21"/>
                <w:highlight w:val="none"/>
                <w14:textFill>
                  <w14:solidFill>
                    <w14:schemeClr w14:val="tx1"/>
                  </w14:solidFill>
                </w14:textFill>
              </w:rPr>
              <w:t>（北京时间），逾期提交的响应文件，“广西政府采购云平台”平台将以拒收。</w:t>
            </w:r>
          </w:p>
          <w:p w14:paraId="7EF0EBAE">
            <w:pPr>
              <w:tabs>
                <w:tab w:val="right" w:leader="dot" w:pos="9000"/>
              </w:tabs>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19.1.2地点（网址）：通过“广西政府采购云平台”平台在线提交响应文件。</w:t>
            </w:r>
          </w:p>
        </w:tc>
      </w:tr>
      <w:tr w14:paraId="1B90B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32" w:type="dxa"/>
            <w:noWrap w:val="0"/>
            <w:vAlign w:val="center"/>
          </w:tcPr>
          <w:p w14:paraId="659F229F">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24</w:t>
            </w:r>
          </w:p>
        </w:tc>
        <w:tc>
          <w:tcPr>
            <w:tcW w:w="898" w:type="dxa"/>
            <w:noWrap w:val="0"/>
            <w:vAlign w:val="center"/>
          </w:tcPr>
          <w:p w14:paraId="1A1929E2">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19.2</w:t>
            </w:r>
          </w:p>
        </w:tc>
        <w:tc>
          <w:tcPr>
            <w:tcW w:w="1417" w:type="dxa"/>
            <w:noWrap w:val="0"/>
            <w:vAlign w:val="center"/>
          </w:tcPr>
          <w:p w14:paraId="407E5D73">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响应文件解密</w:t>
            </w:r>
          </w:p>
        </w:tc>
        <w:tc>
          <w:tcPr>
            <w:tcW w:w="6709" w:type="dxa"/>
            <w:noWrap w:val="0"/>
            <w:vAlign w:val="center"/>
          </w:tcPr>
          <w:p w14:paraId="48B77216">
            <w:pPr>
              <w:pStyle w:val="39"/>
              <w:spacing w:line="360" w:lineRule="exact"/>
              <w:rPr>
                <w:rFonts w:hint="eastAsia"/>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响应文件提交截止时间后，“广西政府采购云平台”平台自动提取所有供应商响应文件，各供应商须在提交响应文件截止</w:t>
            </w:r>
            <w:r>
              <w:rPr>
                <w:rFonts w:hint="eastAsia" w:cs="宋体"/>
                <w:bCs/>
                <w:color w:val="000000" w:themeColor="text1"/>
                <w:sz w:val="21"/>
                <w:szCs w:val="21"/>
                <w:highlight w:val="none"/>
                <w:lang w:bidi="ar-SA"/>
                <w14:textFill>
                  <w14:solidFill>
                    <w14:schemeClr w14:val="tx1"/>
                  </w14:solidFill>
                </w14:textFill>
              </w:rPr>
              <w:t>后30分钟内</w:t>
            </w:r>
            <w:r>
              <w:rPr>
                <w:rFonts w:hint="eastAsia" w:cs="宋体"/>
                <w:bCs/>
                <w:color w:val="000000" w:themeColor="text1"/>
                <w:sz w:val="21"/>
                <w:szCs w:val="21"/>
                <w:highlight w:val="none"/>
                <w:lang w:bidi="ar-SA"/>
                <w14:textFill>
                  <w14:solidFill>
                    <w14:schemeClr w14:val="tx1"/>
                  </w14:solidFill>
                </w14:textFill>
              </w:rPr>
              <w:t>（</w:t>
            </w:r>
            <w:r>
              <w:rPr>
                <w:rFonts w:hint="eastAsia" w:ascii="宋体"/>
                <w:color w:val="000000" w:themeColor="text1"/>
                <w:sz w:val="21"/>
                <w:szCs w:val="21"/>
                <w:highlight w:val="none"/>
                <w14:textFill>
                  <w14:solidFill>
                    <w14:schemeClr w14:val="tx1"/>
                  </w14:solidFill>
                </w14:textFill>
              </w:rPr>
              <w:t>202</w:t>
            </w:r>
            <w:r>
              <w:rPr>
                <w:rFonts w:hint="eastAsia"/>
                <w:color w:val="000000" w:themeColor="text1"/>
                <w:sz w:val="21"/>
                <w:szCs w:val="21"/>
                <w:highlight w:val="none"/>
                <w:lang w:val="en-US" w:eastAsia="zh-CN"/>
                <w14:textFill>
                  <w14:solidFill>
                    <w14:schemeClr w14:val="tx1"/>
                  </w14:solidFill>
                </w14:textFill>
              </w:rPr>
              <w:t>6</w:t>
            </w:r>
            <w:r>
              <w:rPr>
                <w:rFonts w:hint="eastAsia" w:ascii="宋体"/>
                <w:color w:val="000000" w:themeColor="text1"/>
                <w:sz w:val="21"/>
                <w:szCs w:val="21"/>
                <w:highlight w:val="none"/>
                <w14:textFill>
                  <w14:solidFill>
                    <w14:schemeClr w14:val="tx1"/>
                  </w14:solidFill>
                </w14:textFill>
              </w:rPr>
              <w:t>年</w:t>
            </w:r>
            <w:r>
              <w:rPr>
                <w:rFonts w:hint="eastAsia"/>
                <w:color w:val="000000" w:themeColor="text1"/>
                <w:sz w:val="21"/>
                <w:szCs w:val="21"/>
                <w:highlight w:val="none"/>
                <w:lang w:val="en-US" w:eastAsia="zh-CN"/>
                <w14:textFill>
                  <w14:solidFill>
                    <w14:schemeClr w14:val="tx1"/>
                  </w14:solidFill>
                </w14:textFill>
              </w:rPr>
              <w:t>04</w:t>
            </w:r>
            <w:r>
              <w:rPr>
                <w:rFonts w:hint="eastAsia" w:ascii="宋体"/>
                <w:color w:val="000000" w:themeColor="text1"/>
                <w:sz w:val="21"/>
                <w:szCs w:val="21"/>
                <w:highlight w:val="none"/>
                <w14:textFill>
                  <w14:solidFill>
                    <w14:schemeClr w14:val="tx1"/>
                  </w14:solidFill>
                </w14:textFill>
              </w:rPr>
              <w:t>月</w:t>
            </w:r>
            <w:r>
              <w:rPr>
                <w:rFonts w:hint="eastAsia"/>
                <w:color w:val="000000" w:themeColor="text1"/>
                <w:sz w:val="21"/>
                <w:szCs w:val="21"/>
                <w:highlight w:val="none"/>
                <w:lang w:val="en-US" w:eastAsia="zh-CN"/>
                <w14:textFill>
                  <w14:solidFill>
                    <w14:schemeClr w14:val="tx1"/>
                  </w14:solidFill>
                </w14:textFill>
              </w:rPr>
              <w:t>28</w:t>
            </w:r>
            <w:r>
              <w:rPr>
                <w:rFonts w:hint="eastAsia" w:ascii="宋体"/>
                <w:color w:val="000000" w:themeColor="text1"/>
                <w:sz w:val="21"/>
                <w:szCs w:val="21"/>
                <w:highlight w:val="none"/>
                <w14:textFill>
                  <w14:solidFill>
                    <w14:schemeClr w14:val="tx1"/>
                  </w14:solidFill>
                </w14:textFill>
              </w:rPr>
              <w:t>日</w:t>
            </w:r>
            <w:r>
              <w:rPr>
                <w:rFonts w:hint="eastAsia"/>
                <w:color w:val="000000" w:themeColor="text1"/>
                <w:sz w:val="21"/>
                <w:szCs w:val="21"/>
                <w:highlight w:val="none"/>
                <w:lang w:val="en-US" w:eastAsia="zh-CN"/>
                <w14:textFill>
                  <w14:solidFill>
                    <w14:schemeClr w14:val="tx1"/>
                  </w14:solidFill>
                </w14:textFill>
              </w:rPr>
              <w:t>09</w:t>
            </w:r>
            <w:r>
              <w:rPr>
                <w:rFonts w:hint="eastAsia" w:ascii="宋体"/>
                <w:color w:val="000000" w:themeColor="text1"/>
                <w:sz w:val="21"/>
                <w:szCs w:val="21"/>
                <w:highlight w:val="none"/>
                <w14:textFill>
                  <w14:solidFill>
                    <w14:schemeClr w14:val="tx1"/>
                  </w14:solidFill>
                </w14:textFill>
              </w:rPr>
              <w:t>时30 分</w:t>
            </w:r>
            <w:r>
              <w:rPr>
                <w:rFonts w:hint="eastAsia" w:ascii="宋体" w:cs="宋体"/>
                <w:bCs/>
                <w:color w:val="000000" w:themeColor="text1"/>
                <w:sz w:val="21"/>
                <w:szCs w:val="21"/>
                <w:highlight w:val="none"/>
                <w:lang w:bidi="ar-SA"/>
                <w14:textFill>
                  <w14:solidFill>
                    <w14:schemeClr w14:val="tx1"/>
                  </w14:solidFill>
                </w14:textFill>
              </w:rPr>
              <w:t>至</w:t>
            </w:r>
            <w:r>
              <w:rPr>
                <w:rFonts w:hint="eastAsia" w:cs="宋体"/>
                <w:bCs/>
                <w:color w:val="000000" w:themeColor="text1"/>
                <w:sz w:val="21"/>
                <w:szCs w:val="21"/>
                <w:highlight w:val="none"/>
                <w:lang w:val="en-US" w:eastAsia="zh-CN" w:bidi="ar-SA"/>
                <w14:textFill>
                  <w14:solidFill>
                    <w14:schemeClr w14:val="tx1"/>
                  </w14:solidFill>
                </w14:textFill>
              </w:rPr>
              <w:t>10</w:t>
            </w:r>
            <w:r>
              <w:rPr>
                <w:rFonts w:hint="eastAsia" w:ascii="宋体" w:cs="宋体"/>
                <w:bCs/>
                <w:color w:val="000000" w:themeColor="text1"/>
                <w:sz w:val="21"/>
                <w:szCs w:val="21"/>
                <w:highlight w:val="none"/>
                <w:lang w:bidi="ar-SA"/>
                <w14:textFill>
                  <w14:solidFill>
                    <w14:schemeClr w14:val="tx1"/>
                  </w14:solidFill>
                </w14:textFill>
              </w:rPr>
              <w:t>时</w:t>
            </w:r>
            <w:r>
              <w:rPr>
                <w:rFonts w:hint="eastAsia" w:ascii="宋体" w:cs="宋体"/>
                <w:bCs/>
                <w:color w:val="000000" w:themeColor="text1"/>
                <w:sz w:val="21"/>
                <w:szCs w:val="21"/>
                <w:highlight w:val="none"/>
                <w:lang w:val="en-US" w:eastAsia="zh-CN" w:bidi="ar-SA"/>
                <w14:textFill>
                  <w14:solidFill>
                    <w14:schemeClr w14:val="tx1"/>
                  </w14:solidFill>
                </w14:textFill>
              </w:rPr>
              <w:t>0</w:t>
            </w:r>
            <w:r>
              <w:rPr>
                <w:rFonts w:hint="eastAsia" w:ascii="宋体" w:cs="宋体"/>
                <w:bCs/>
                <w:color w:val="000000" w:themeColor="text1"/>
                <w:sz w:val="21"/>
                <w:szCs w:val="21"/>
                <w:highlight w:val="none"/>
                <w:lang w:bidi="ar-SA"/>
                <w14:textFill>
                  <w14:solidFill>
                    <w14:schemeClr w14:val="tx1"/>
                  </w14:solidFill>
                </w14:textFill>
              </w:rPr>
              <w:t>0分</w:t>
            </w:r>
            <w:r>
              <w:rPr>
                <w:rFonts w:hint="eastAsia" w:cs="宋体"/>
                <w:bCs/>
                <w:color w:val="000000" w:themeColor="text1"/>
                <w:sz w:val="21"/>
                <w:szCs w:val="21"/>
                <w:highlight w:val="none"/>
                <w:lang w:bidi="ar-SA"/>
                <w14:textFill>
                  <w14:solidFill>
                    <w14:schemeClr w14:val="tx1"/>
                  </w14:solidFill>
                </w14:textFill>
              </w:rPr>
              <w:t>)，登录“广西政府采购云平台”平台，通过“项目采购-开标评标”功能解密电子响应文件。若供应商在规定时间内无法解密或解密失败或超时解密的，系统默认自动放弃，响应文件按无效响应文件处理。</w:t>
            </w:r>
          </w:p>
        </w:tc>
      </w:tr>
      <w:tr w14:paraId="00C2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noWrap w:val="0"/>
            <w:vAlign w:val="center"/>
          </w:tcPr>
          <w:p w14:paraId="6F8B4655">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25</w:t>
            </w:r>
          </w:p>
        </w:tc>
        <w:tc>
          <w:tcPr>
            <w:tcW w:w="898" w:type="dxa"/>
            <w:noWrap w:val="0"/>
            <w:vAlign w:val="center"/>
          </w:tcPr>
          <w:p w14:paraId="1D4DCF3F">
            <w:pPr>
              <w:pStyle w:val="12"/>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20</w:t>
            </w:r>
          </w:p>
        </w:tc>
        <w:tc>
          <w:tcPr>
            <w:tcW w:w="1417" w:type="dxa"/>
            <w:noWrap w:val="0"/>
            <w:vAlign w:val="center"/>
          </w:tcPr>
          <w:p w14:paraId="3FD794B6">
            <w:pPr>
              <w:pStyle w:val="12"/>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磋商小组组成</w:t>
            </w:r>
          </w:p>
        </w:tc>
        <w:tc>
          <w:tcPr>
            <w:tcW w:w="6709" w:type="dxa"/>
            <w:noWrap w:val="0"/>
            <w:vAlign w:val="center"/>
          </w:tcPr>
          <w:p w14:paraId="1C2CC0AE">
            <w:pPr>
              <w:pStyle w:val="39"/>
              <w:spacing w:line="360" w:lineRule="exac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20.1磋商及评审组织工作由采购代理机构负责，具体磋商、评审工作由依法组建的磋商小组负责。</w:t>
            </w:r>
          </w:p>
          <w:p w14:paraId="66FCFD4E">
            <w:pPr>
              <w:pStyle w:val="39"/>
              <w:spacing w:line="360" w:lineRule="exac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20.2磋商小组的构成：3人，其中采购人代表1人，评审专家：2人。</w:t>
            </w:r>
          </w:p>
          <w:p w14:paraId="2C103544">
            <w:pPr>
              <w:pStyle w:val="39"/>
              <w:spacing w:line="360" w:lineRule="exac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20.3专家确定方式：开标前从广西壮族自治区政府采购专家库中通过电脑随机抽取。</w:t>
            </w:r>
          </w:p>
        </w:tc>
      </w:tr>
      <w:tr w14:paraId="5227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32" w:type="dxa"/>
            <w:noWrap w:val="0"/>
            <w:vAlign w:val="center"/>
          </w:tcPr>
          <w:p w14:paraId="3FC05534">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26</w:t>
            </w:r>
          </w:p>
        </w:tc>
        <w:tc>
          <w:tcPr>
            <w:tcW w:w="898" w:type="dxa"/>
            <w:noWrap w:val="0"/>
            <w:vAlign w:val="center"/>
          </w:tcPr>
          <w:p w14:paraId="4ED42BB1">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21.2</w:t>
            </w:r>
          </w:p>
        </w:tc>
        <w:tc>
          <w:tcPr>
            <w:tcW w:w="1417" w:type="dxa"/>
            <w:noWrap w:val="0"/>
            <w:vAlign w:val="center"/>
          </w:tcPr>
          <w:p w14:paraId="32DA2718">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磋商时间、地点、人员</w:t>
            </w:r>
          </w:p>
        </w:tc>
        <w:tc>
          <w:tcPr>
            <w:tcW w:w="6709" w:type="dxa"/>
            <w:noWrap w:val="0"/>
            <w:vAlign w:val="center"/>
          </w:tcPr>
          <w:p w14:paraId="0C99D95A">
            <w:pPr>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 xml:space="preserve">21.2.1磋商时间：提交响应文件截止时间后; </w:t>
            </w:r>
          </w:p>
          <w:p w14:paraId="0F6FAB21">
            <w:pPr>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 xml:space="preserve">21.2.2磋商地点：通过“广西政府采购云平台”平台在线磋商; </w:t>
            </w:r>
          </w:p>
          <w:p w14:paraId="345E1C50">
            <w:pPr>
              <w:spacing w:line="360" w:lineRule="exact"/>
              <w:rPr>
                <w:rFonts w:hint="eastAsia" w:ascii="宋体" w:cs="宋体"/>
                <w:color w:val="000000" w:themeColor="text1"/>
                <w:sz w:val="21"/>
                <w:szCs w:val="21"/>
                <w:highlight w:val="none"/>
                <w:lang w:bidi="ar-SA"/>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21.2.3</w:t>
            </w:r>
            <w:r>
              <w:rPr>
                <w:rFonts w:hint="eastAsia" w:ascii="宋体" w:cs="宋体"/>
                <w:color w:val="000000" w:themeColor="text1"/>
                <w:sz w:val="21"/>
                <w:szCs w:val="21"/>
                <w:highlight w:val="none"/>
                <w:lang w:bidi="ar-SA"/>
                <w14:textFill>
                  <w14:solidFill>
                    <w14:schemeClr w14:val="tx1"/>
                  </w14:solidFill>
                </w14:textFill>
              </w:rPr>
              <w:t xml:space="preserve">磋商参加人员：法定代表人或委托代理人参加磋商; </w:t>
            </w:r>
          </w:p>
          <w:p w14:paraId="3E70E7F7">
            <w:pPr>
              <w:pStyle w:val="39"/>
              <w:spacing w:line="360" w:lineRule="exact"/>
              <w:rPr>
                <w:rFonts w:hint="eastAsia"/>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21.2.4本项目需要供应商代表在响应文件提交截止时间当天，按磋商小组要求及时登录“广西政府采购云平台”平台等候在线磋商及提交最后报价。</w:t>
            </w:r>
          </w:p>
        </w:tc>
      </w:tr>
      <w:tr w14:paraId="7A53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2" w:type="dxa"/>
            <w:noWrap w:val="0"/>
            <w:vAlign w:val="center"/>
          </w:tcPr>
          <w:p w14:paraId="4F1DCD72">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27</w:t>
            </w:r>
          </w:p>
        </w:tc>
        <w:tc>
          <w:tcPr>
            <w:tcW w:w="898" w:type="dxa"/>
            <w:noWrap w:val="0"/>
            <w:vAlign w:val="center"/>
          </w:tcPr>
          <w:p w14:paraId="315B9309">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22.2</w:t>
            </w:r>
          </w:p>
        </w:tc>
        <w:tc>
          <w:tcPr>
            <w:tcW w:w="1417" w:type="dxa"/>
            <w:noWrap w:val="0"/>
            <w:vAlign w:val="center"/>
          </w:tcPr>
          <w:p w14:paraId="2D885973">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评审办法</w:t>
            </w:r>
          </w:p>
        </w:tc>
        <w:tc>
          <w:tcPr>
            <w:tcW w:w="6709" w:type="dxa"/>
            <w:noWrap w:val="0"/>
            <w:vAlign w:val="center"/>
          </w:tcPr>
          <w:p w14:paraId="649C04D5">
            <w:pPr>
              <w:pStyle w:val="39"/>
              <w:spacing w:line="360" w:lineRule="exac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综合评分法（详细见第</w:t>
            </w:r>
            <w:r>
              <w:rPr>
                <w:color w:val="000000" w:themeColor="text1"/>
                <w:sz w:val="21"/>
                <w:szCs w:val="21"/>
                <w:highlight w:val="none"/>
                <w14:textFill>
                  <w14:solidFill>
                    <w14:schemeClr w14:val="tx1"/>
                  </w14:solidFill>
                </w14:textFill>
              </w:rPr>
              <w:t>三</w:t>
            </w:r>
            <w:r>
              <w:rPr>
                <w:rFonts w:hint="eastAsia"/>
                <w:color w:val="000000" w:themeColor="text1"/>
                <w:sz w:val="21"/>
                <w:szCs w:val="21"/>
                <w:highlight w:val="none"/>
                <w14:textFill>
                  <w14:solidFill>
                    <w14:schemeClr w14:val="tx1"/>
                  </w14:solidFill>
                </w14:textFill>
              </w:rPr>
              <w:t>章《评审方法》 ）</w:t>
            </w:r>
          </w:p>
        </w:tc>
      </w:tr>
      <w:tr w14:paraId="538A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2" w:type="dxa"/>
            <w:noWrap w:val="0"/>
            <w:vAlign w:val="center"/>
          </w:tcPr>
          <w:p w14:paraId="075B2D2B">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28</w:t>
            </w:r>
          </w:p>
        </w:tc>
        <w:tc>
          <w:tcPr>
            <w:tcW w:w="898" w:type="dxa"/>
            <w:noWrap w:val="0"/>
            <w:vAlign w:val="center"/>
          </w:tcPr>
          <w:p w14:paraId="1874F61B">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24.4</w:t>
            </w:r>
          </w:p>
        </w:tc>
        <w:tc>
          <w:tcPr>
            <w:tcW w:w="1417" w:type="dxa"/>
            <w:noWrap w:val="0"/>
            <w:vAlign w:val="center"/>
          </w:tcPr>
          <w:p w14:paraId="5417BAF0">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成交人信用信息查询</w:t>
            </w:r>
          </w:p>
        </w:tc>
        <w:tc>
          <w:tcPr>
            <w:tcW w:w="6709" w:type="dxa"/>
            <w:noWrap w:val="0"/>
            <w:vAlign w:val="center"/>
          </w:tcPr>
          <w:p w14:paraId="0392631C">
            <w:pPr>
              <w:autoSpaceDE w:val="0"/>
              <w:autoSpaceDN w:val="0"/>
              <w:snapToGrid w:val="0"/>
              <w:spacing w:line="360" w:lineRule="exact"/>
              <w:textAlignment w:val="bottom"/>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成交人信用信息查询：</w:t>
            </w:r>
          </w:p>
          <w:p w14:paraId="0FD93419">
            <w:pPr>
              <w:autoSpaceDE w:val="0"/>
              <w:autoSpaceDN w:val="0"/>
              <w:snapToGrid w:val="0"/>
              <w:spacing w:line="360" w:lineRule="exact"/>
              <w:textAlignment w:val="bottom"/>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根据《关于做好政府采购有关信用主体标识码登记及在政府采购活动中查询使用信用记录有关问题的通知》桂财采〔2016〕37号的通知，在对成交人进行信用查询：</w:t>
            </w:r>
          </w:p>
          <w:p w14:paraId="573259C2">
            <w:pPr>
              <w:autoSpaceDE w:val="0"/>
              <w:autoSpaceDN w:val="0"/>
              <w:snapToGrid w:val="0"/>
              <w:spacing w:line="360" w:lineRule="exact"/>
              <w:textAlignment w:val="bottom"/>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（1）查询渠道：“信用中国”网站(www.creditchina.gov.cn)或“中国执行信息公开网”（https://zxgk.court.gov.cn/）、中国政府采购网(www.ccgp.gov.cn)等；</w:t>
            </w:r>
          </w:p>
          <w:p w14:paraId="627A3825">
            <w:pPr>
              <w:autoSpaceDE w:val="0"/>
              <w:autoSpaceDN w:val="0"/>
              <w:snapToGrid w:val="0"/>
              <w:spacing w:line="360" w:lineRule="exact"/>
              <w:textAlignment w:val="bottom"/>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（2）查询截止时点：成交通知书发出前；</w:t>
            </w:r>
          </w:p>
          <w:p w14:paraId="7C08C3DB">
            <w:pPr>
              <w:autoSpaceDE w:val="0"/>
              <w:autoSpaceDN w:val="0"/>
              <w:snapToGrid w:val="0"/>
              <w:spacing w:line="360" w:lineRule="exact"/>
              <w:textAlignment w:val="bottom"/>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（3）信用信息查询记录和证据留存方式：在查询网站中直接打印查询记录，打印材料作为采购活动资料保存。</w:t>
            </w:r>
          </w:p>
          <w:p w14:paraId="5D2BA12A">
            <w:pPr>
              <w:pStyle w:val="39"/>
              <w:spacing w:line="360" w:lineRule="exac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信用信息使用规则：对在“信用中国”网站(www.creditchina.gov.cn)或“中国执行信息公开网”（https://zxgk.court.gov.cn/）、中国政府采购网(www.ccgp.gov.cn)等渠道列入失信被执行人、重大税收违法失信主体、政府采购严重违法失信行为记录名单的供应商，不得参与采购活动，取消其成交候选人资格。采购人依法按照评审报告中磋商小组推荐成交候选人排序表确定排名第二的成交候选人为成交供应商或者重新组织采购。</w:t>
            </w:r>
          </w:p>
        </w:tc>
      </w:tr>
      <w:tr w14:paraId="22E2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2" w:type="dxa"/>
            <w:noWrap w:val="0"/>
            <w:vAlign w:val="center"/>
          </w:tcPr>
          <w:p w14:paraId="57EC4A22">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29</w:t>
            </w:r>
          </w:p>
        </w:tc>
        <w:tc>
          <w:tcPr>
            <w:tcW w:w="898" w:type="dxa"/>
            <w:noWrap w:val="0"/>
            <w:vAlign w:val="center"/>
          </w:tcPr>
          <w:p w14:paraId="71060531">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25.1</w:t>
            </w:r>
          </w:p>
          <w:p w14:paraId="42D0F5F9">
            <w:pPr>
              <w:pStyle w:val="12"/>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25.2</w:t>
            </w:r>
          </w:p>
        </w:tc>
        <w:tc>
          <w:tcPr>
            <w:tcW w:w="1417" w:type="dxa"/>
            <w:noWrap w:val="0"/>
            <w:vAlign w:val="center"/>
          </w:tcPr>
          <w:p w14:paraId="13C6E660">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成交结果公告、成交通知书</w:t>
            </w:r>
          </w:p>
        </w:tc>
        <w:tc>
          <w:tcPr>
            <w:tcW w:w="6709" w:type="dxa"/>
            <w:noWrap w:val="0"/>
            <w:vAlign w:val="center"/>
          </w:tcPr>
          <w:p w14:paraId="01552F72">
            <w:pPr>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25.1采购代理机构于评审结束后两个工作日内将评审报告送交采购人，采购人应当自收到评审报告五个工作日内在评审报告推荐的成交候选人中按顺序确定成交供应商，采购代理机构在成交供应商确定之日起两个工作日内在指定竞争性磋商公告发布媒体上公告成交结果信息。</w:t>
            </w:r>
          </w:p>
          <w:p w14:paraId="360B6A7F">
            <w:pPr>
              <w:pStyle w:val="39"/>
              <w:spacing w:line="360" w:lineRule="exac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25.2 在发布成交结果公告的同时，采购代理机构在线向成交供应商发出成交通知书。</w:t>
            </w:r>
          </w:p>
        </w:tc>
      </w:tr>
      <w:tr w14:paraId="7374E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2" w:type="dxa"/>
            <w:noWrap w:val="0"/>
            <w:vAlign w:val="center"/>
          </w:tcPr>
          <w:p w14:paraId="2AB2926C">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30</w:t>
            </w:r>
          </w:p>
        </w:tc>
        <w:tc>
          <w:tcPr>
            <w:tcW w:w="898" w:type="dxa"/>
            <w:noWrap w:val="0"/>
            <w:vAlign w:val="center"/>
          </w:tcPr>
          <w:p w14:paraId="320F4FB3">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26.1</w:t>
            </w:r>
          </w:p>
        </w:tc>
        <w:tc>
          <w:tcPr>
            <w:tcW w:w="1417" w:type="dxa"/>
            <w:noWrap w:val="0"/>
            <w:vAlign w:val="center"/>
          </w:tcPr>
          <w:p w14:paraId="2AEB30FF">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履约保证金</w:t>
            </w:r>
          </w:p>
        </w:tc>
        <w:tc>
          <w:tcPr>
            <w:tcW w:w="6709" w:type="dxa"/>
            <w:noWrap w:val="0"/>
            <w:vAlign w:val="center"/>
          </w:tcPr>
          <w:p w14:paraId="35E526DA">
            <w:pPr>
              <w:autoSpaceDE w:val="0"/>
              <w:autoSpaceDN w:val="0"/>
              <w:snapToGrid w:val="0"/>
              <w:spacing w:line="360" w:lineRule="exact"/>
              <w:textAlignment w:val="bottom"/>
              <w:rPr>
                <w:rFonts w:hint="eastAsia" w:ascii="宋体"/>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本项目免收履约保证金。</w:t>
            </w:r>
          </w:p>
        </w:tc>
      </w:tr>
      <w:tr w14:paraId="3425B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2" w:type="dxa"/>
            <w:noWrap w:val="0"/>
            <w:vAlign w:val="center"/>
          </w:tcPr>
          <w:p w14:paraId="601A0059">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31</w:t>
            </w:r>
          </w:p>
        </w:tc>
        <w:tc>
          <w:tcPr>
            <w:tcW w:w="898" w:type="dxa"/>
            <w:noWrap w:val="0"/>
            <w:vAlign w:val="center"/>
          </w:tcPr>
          <w:p w14:paraId="475CD899">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26.2</w:t>
            </w:r>
          </w:p>
        </w:tc>
        <w:tc>
          <w:tcPr>
            <w:tcW w:w="1417" w:type="dxa"/>
            <w:noWrap w:val="0"/>
            <w:vAlign w:val="center"/>
          </w:tcPr>
          <w:p w14:paraId="226458DA">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签订合同时间</w:t>
            </w:r>
          </w:p>
        </w:tc>
        <w:tc>
          <w:tcPr>
            <w:tcW w:w="6709" w:type="dxa"/>
            <w:noWrap w:val="0"/>
            <w:vAlign w:val="center"/>
          </w:tcPr>
          <w:p w14:paraId="0B840842">
            <w:pPr>
              <w:autoSpaceDE w:val="0"/>
              <w:autoSpaceDN w:val="0"/>
              <w:snapToGrid w:val="0"/>
              <w:spacing w:line="360" w:lineRule="exact"/>
              <w:textAlignment w:val="bottom"/>
              <w:rPr>
                <w:rFonts w:hint="eastAsia" w:ascii="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成交通知书发出之日起</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八</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个工作</w:t>
            </w:r>
            <w:r>
              <w:rPr>
                <w:rFonts w:hint="eastAsia" w:ascii="宋体" w:hAnsi="宋体" w:eastAsia="宋体" w:cs="宋体"/>
                <w:bCs/>
                <w:color w:val="000000" w:themeColor="text1"/>
                <w:kern w:val="0"/>
                <w:sz w:val="21"/>
                <w:szCs w:val="21"/>
                <w:highlight w:val="none"/>
                <w14:textFill>
                  <w14:solidFill>
                    <w14:schemeClr w14:val="tx1"/>
                  </w14:solidFill>
                </w14:textFill>
              </w:rPr>
              <w:t>日内签订合同</w:t>
            </w:r>
            <w:r>
              <w:rPr>
                <w:rFonts w:hint="eastAsia" w:ascii="宋体" w:hAnsi="宋体" w:eastAsia="宋体" w:cs="宋体"/>
                <w:color w:val="000000" w:themeColor="text1"/>
                <w:sz w:val="21"/>
                <w:szCs w:val="21"/>
                <w:highlight w:val="none"/>
                <w14:textFill>
                  <w14:solidFill>
                    <w14:schemeClr w14:val="tx1"/>
                  </w14:solidFill>
                </w14:textFill>
              </w:rPr>
              <w:t>。成交供应商领取成交通知书后，应按规定与采购人签订合同。</w:t>
            </w:r>
          </w:p>
        </w:tc>
      </w:tr>
      <w:tr w14:paraId="58D4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2" w:type="dxa"/>
            <w:noWrap w:val="0"/>
            <w:vAlign w:val="center"/>
          </w:tcPr>
          <w:p w14:paraId="3E79DAC3">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w:t>
            </w:r>
          </w:p>
        </w:tc>
        <w:tc>
          <w:tcPr>
            <w:tcW w:w="898" w:type="dxa"/>
            <w:noWrap w:val="0"/>
            <w:vAlign w:val="center"/>
          </w:tcPr>
          <w:p w14:paraId="3D3CE605">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26.3</w:t>
            </w:r>
          </w:p>
        </w:tc>
        <w:tc>
          <w:tcPr>
            <w:tcW w:w="1417" w:type="dxa"/>
            <w:noWrap w:val="0"/>
            <w:vAlign w:val="center"/>
          </w:tcPr>
          <w:p w14:paraId="508862AF">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合同备案存档</w:t>
            </w:r>
          </w:p>
        </w:tc>
        <w:tc>
          <w:tcPr>
            <w:tcW w:w="6709" w:type="dxa"/>
            <w:noWrap w:val="0"/>
            <w:vAlign w:val="center"/>
          </w:tcPr>
          <w:p w14:paraId="3741E539">
            <w:pPr>
              <w:autoSpaceDE w:val="0"/>
              <w:autoSpaceDN w:val="0"/>
              <w:snapToGrid w:val="0"/>
              <w:spacing w:line="360" w:lineRule="exact"/>
              <w:textAlignment w:val="bottom"/>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政府采购合同双方自签订之日起1个工作日内将合同原件壹份交采购代理机构存档。采购代理机构将政府采购合同在省级以上人民政府财政部门指定媒体上公告并在政采云系统中进行备案。</w:t>
            </w:r>
          </w:p>
        </w:tc>
      </w:tr>
      <w:tr w14:paraId="615A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2" w:type="dxa"/>
            <w:noWrap w:val="0"/>
            <w:vAlign w:val="center"/>
          </w:tcPr>
          <w:p w14:paraId="465082EA">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33</w:t>
            </w:r>
          </w:p>
        </w:tc>
        <w:tc>
          <w:tcPr>
            <w:tcW w:w="898" w:type="dxa"/>
            <w:noWrap w:val="0"/>
            <w:vAlign w:val="center"/>
          </w:tcPr>
          <w:p w14:paraId="4426AB77">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28.1</w:t>
            </w:r>
          </w:p>
        </w:tc>
        <w:tc>
          <w:tcPr>
            <w:tcW w:w="1417" w:type="dxa"/>
            <w:noWrap w:val="0"/>
            <w:vAlign w:val="center"/>
          </w:tcPr>
          <w:p w14:paraId="4B4171BE">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采购代理服务费</w:t>
            </w:r>
          </w:p>
        </w:tc>
        <w:tc>
          <w:tcPr>
            <w:tcW w:w="6709" w:type="dxa"/>
            <w:noWrap w:val="0"/>
            <w:vAlign w:val="center"/>
          </w:tcPr>
          <w:p w14:paraId="15E62E96">
            <w:pPr>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本项目的采购代理服务收费标准参照计价格〔2002〕1980号《招标代理服务收费管理暂行办法》工程类收费标准向成交人收取</w:t>
            </w:r>
            <w:r>
              <w:rPr>
                <w:rFonts w:hint="eastAsia" w:ascii="宋体"/>
                <w:color w:val="000000" w:themeColor="text1"/>
                <w:sz w:val="21"/>
                <w:szCs w:val="21"/>
                <w:highlight w:val="none"/>
                <w:lang w:eastAsia="zh-CN"/>
                <w14:textFill>
                  <w14:solidFill>
                    <w14:schemeClr w14:val="tx1"/>
                  </w14:solidFill>
                </w14:textFill>
              </w:rPr>
              <w:t>（若按上述标准计取的费用低于6000元的，则按6000元计取</w:t>
            </w:r>
            <w:r>
              <w:rPr>
                <w:rFonts w:hint="eastAsia" w:ascii="宋体"/>
                <w:color w:val="000000" w:themeColor="text1"/>
                <w:sz w:val="21"/>
                <w:szCs w:val="21"/>
                <w:highlight w:val="none"/>
                <w:lang w:val="en-US" w:eastAsia="zh-CN"/>
                <w14:textFill>
                  <w14:solidFill>
                    <w14:schemeClr w14:val="tx1"/>
                  </w14:solidFill>
                </w14:textFill>
              </w:rPr>
              <w:t>）</w:t>
            </w:r>
            <w:r>
              <w:rPr>
                <w:rFonts w:hint="eastAsia" w:ascii="宋体"/>
                <w:color w:val="000000" w:themeColor="text1"/>
                <w:sz w:val="21"/>
                <w:szCs w:val="21"/>
                <w:highlight w:val="none"/>
                <w14:textFill>
                  <w14:solidFill>
                    <w14:schemeClr w14:val="tx1"/>
                  </w14:solidFill>
                </w14:textFill>
              </w:rPr>
              <w:t>，由成交人在领取成交通知书前，向采购代理机构一次付清代理服务费。</w:t>
            </w:r>
          </w:p>
          <w:p w14:paraId="5C1F34C6">
            <w:pPr>
              <w:spacing w:line="360" w:lineRule="exact"/>
              <w:ind w:firstLine="413" w:firstLineChars="196"/>
              <w:rPr>
                <w:rFonts w:hint="eastAsia" w:ascii="宋体"/>
                <w:color w:val="000000" w:themeColor="text1"/>
                <w:sz w:val="21"/>
                <w:szCs w:val="21"/>
                <w:highlight w:val="none"/>
                <w14:textFill>
                  <w14:solidFill>
                    <w14:schemeClr w14:val="tx1"/>
                  </w14:solidFill>
                </w14:textFill>
              </w:rPr>
            </w:pPr>
            <w:r>
              <w:rPr>
                <w:rFonts w:hint="eastAsia" w:ascii="宋体" w:cs="宋体"/>
                <w:b/>
                <w:color w:val="000000" w:themeColor="text1"/>
                <w:sz w:val="21"/>
                <w:szCs w:val="21"/>
                <w:highlight w:val="none"/>
                <w:lang w:bidi="ar-SA"/>
                <w14:textFill>
                  <w14:solidFill>
                    <w14:schemeClr w14:val="tx1"/>
                  </w14:solidFill>
                </w14:textFill>
              </w:rPr>
              <w:t>代理服务费的缴纳账户：</w:t>
            </w:r>
          </w:p>
          <w:p w14:paraId="2AF108B0">
            <w:pPr>
              <w:spacing w:line="360" w:lineRule="exact"/>
              <w:rPr>
                <w:rFonts w:hint="eastAsia" w:ascii="宋体" w:eastAsia="宋体" w:cs="宋体"/>
                <w:color w:val="000000" w:themeColor="text1"/>
                <w:sz w:val="21"/>
                <w:szCs w:val="21"/>
                <w:highlight w:val="none"/>
                <w:lang w:eastAsia="zh-CN" w:bidi="ar-SA"/>
                <w14:textFill>
                  <w14:solidFill>
                    <w14:schemeClr w14:val="tx1"/>
                  </w14:solidFill>
                </w14:textFill>
              </w:rPr>
            </w:pPr>
            <w:r>
              <w:rPr>
                <w:rFonts w:hint="eastAsia" w:ascii="宋体" w:cs="宋体"/>
                <w:color w:val="000000" w:themeColor="text1"/>
                <w:sz w:val="21"/>
                <w:szCs w:val="21"/>
                <w:highlight w:val="none"/>
                <w:lang w:bidi="ar-SA"/>
                <w14:textFill>
                  <w14:solidFill>
                    <w14:schemeClr w14:val="tx1"/>
                  </w14:solidFill>
                </w14:textFill>
              </w:rPr>
              <w:t>账户名称：</w:t>
            </w:r>
            <w:r>
              <w:rPr>
                <w:rFonts w:hint="eastAsia" w:ascii="宋体" w:cs="宋体"/>
                <w:color w:val="000000" w:themeColor="text1"/>
                <w:sz w:val="21"/>
                <w:szCs w:val="21"/>
                <w:highlight w:val="none"/>
                <w:lang w:eastAsia="zh-CN" w:bidi="ar-SA"/>
                <w14:textFill>
                  <w14:solidFill>
                    <w14:schemeClr w14:val="tx1"/>
                  </w14:solidFill>
                </w14:textFill>
              </w:rPr>
              <w:t>广西卓群项目管理有限公司</w:t>
            </w:r>
          </w:p>
          <w:p w14:paraId="02E340FB">
            <w:pPr>
              <w:spacing w:line="360" w:lineRule="exact"/>
              <w:jc w:val="left"/>
              <w:rPr>
                <w:rFonts w:hint="eastAsia" w:ascii="宋体" w:eastAsia="宋体"/>
                <w:color w:val="000000" w:themeColor="text1"/>
                <w:sz w:val="21"/>
                <w:szCs w:val="21"/>
                <w:highlight w:val="none"/>
                <w:lang w:eastAsia="zh-CN"/>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开户银行：</w:t>
            </w:r>
            <w:r>
              <w:rPr>
                <w:rFonts w:hint="eastAsia" w:ascii="宋体"/>
                <w:color w:val="000000" w:themeColor="text1"/>
                <w:sz w:val="21"/>
                <w:szCs w:val="21"/>
                <w:highlight w:val="none"/>
                <w:lang w:eastAsia="zh-CN"/>
                <w14:textFill>
                  <w14:solidFill>
                    <w14:schemeClr w14:val="tx1"/>
                  </w14:solidFill>
                </w14:textFill>
              </w:rPr>
              <w:t>桂林银行股份有限公司城北支</w:t>
            </w:r>
          </w:p>
          <w:p w14:paraId="1B35E4EC">
            <w:pPr>
              <w:spacing w:line="360" w:lineRule="exact"/>
              <w:rPr>
                <w:rFonts w:hint="eastAsia" w:ascii="宋体" w:eastAsia="宋体"/>
                <w:color w:val="000000" w:themeColor="text1"/>
                <w:sz w:val="21"/>
                <w:szCs w:val="21"/>
                <w:highlight w:val="none"/>
                <w:lang w:eastAsia="zh-CN"/>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银行账号：</w:t>
            </w:r>
            <w:r>
              <w:rPr>
                <w:rFonts w:hint="eastAsia" w:ascii="宋体"/>
                <w:color w:val="000000" w:themeColor="text1"/>
                <w:sz w:val="21"/>
                <w:szCs w:val="21"/>
                <w:highlight w:val="none"/>
                <w:lang w:eastAsia="zh-CN"/>
                <w14:textFill>
                  <w14:solidFill>
                    <w14:schemeClr w14:val="tx1"/>
                  </w14:solidFill>
                </w14:textFill>
              </w:rPr>
              <w:t>660000020758700016</w:t>
            </w:r>
          </w:p>
        </w:tc>
      </w:tr>
      <w:tr w14:paraId="11120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2" w:type="dxa"/>
            <w:noWrap w:val="0"/>
            <w:vAlign w:val="center"/>
          </w:tcPr>
          <w:p w14:paraId="4395862C">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34</w:t>
            </w:r>
          </w:p>
        </w:tc>
        <w:tc>
          <w:tcPr>
            <w:tcW w:w="898" w:type="dxa"/>
            <w:noWrap w:val="0"/>
            <w:vAlign w:val="center"/>
          </w:tcPr>
          <w:p w14:paraId="17DBEC9F">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w:t>
            </w:r>
          </w:p>
        </w:tc>
        <w:tc>
          <w:tcPr>
            <w:tcW w:w="1417" w:type="dxa"/>
            <w:noWrap w:val="0"/>
            <w:vAlign w:val="center"/>
          </w:tcPr>
          <w:p w14:paraId="5D14D519">
            <w:pPr>
              <w:pStyle w:val="39"/>
              <w:spacing w:line="360" w:lineRule="exact"/>
              <w:jc w:val="center"/>
              <w:rPr>
                <w:rFonts w:hint="eastAsia"/>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监督</w:t>
            </w:r>
            <w:r>
              <w:rPr>
                <w:rFonts w:hint="eastAsia"/>
                <w:color w:val="000000" w:themeColor="text1"/>
                <w:sz w:val="21"/>
                <w:szCs w:val="21"/>
                <w:highlight w:val="none"/>
                <w14:textFill>
                  <w14:solidFill>
                    <w14:schemeClr w14:val="tx1"/>
                  </w14:solidFill>
                </w14:textFill>
              </w:rPr>
              <w:t>管理</w:t>
            </w:r>
          </w:p>
          <w:p w14:paraId="419C0554">
            <w:pPr>
              <w:pStyle w:val="39"/>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部门</w:t>
            </w:r>
          </w:p>
        </w:tc>
        <w:tc>
          <w:tcPr>
            <w:tcW w:w="6709" w:type="dxa"/>
            <w:noWrap w:val="0"/>
            <w:vAlign w:val="center"/>
          </w:tcPr>
          <w:p w14:paraId="19BE59E2">
            <w:pPr>
              <w:spacing w:line="360" w:lineRule="exact"/>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lang w:eastAsia="zh-CN"/>
                <w14:textFill>
                  <w14:solidFill>
                    <w14:schemeClr w14:val="tx1"/>
                  </w14:solidFill>
                </w14:textFill>
              </w:rPr>
              <w:t>兴安县采购中心</w:t>
            </w:r>
            <w:r>
              <w:rPr>
                <w:rFonts w:hint="eastAsia" w:ascii="宋体"/>
                <w:color w:val="000000" w:themeColor="text1"/>
                <w:sz w:val="21"/>
                <w:szCs w:val="21"/>
                <w:highlight w:val="none"/>
                <w14:textFill>
                  <w14:solidFill>
                    <w14:schemeClr w14:val="tx1"/>
                  </w14:solidFill>
                </w14:textFill>
              </w:rPr>
              <w:t xml:space="preserve">    联系电话</w:t>
            </w:r>
            <w:r>
              <w:rPr>
                <w:rFonts w:hint="eastAsia" w:ascii="宋体"/>
                <w:color w:val="000000" w:themeColor="text1"/>
                <w:sz w:val="21"/>
                <w:szCs w:val="21"/>
                <w:highlight w:val="none"/>
                <w:lang w:eastAsia="zh-CN"/>
                <w14:textFill>
                  <w14:solidFill>
                    <w14:schemeClr w14:val="tx1"/>
                  </w14:solidFill>
                </w14:textFill>
              </w:rPr>
              <w:t>：0773-6220651</w:t>
            </w:r>
            <w:r>
              <w:rPr>
                <w:rFonts w:hint="eastAsia" w:ascii="宋体"/>
                <w:color w:val="000000" w:themeColor="text1"/>
                <w:sz w:val="21"/>
                <w:szCs w:val="21"/>
                <w:highlight w:val="none"/>
                <w:lang w:val="en-US" w:eastAsia="zh-CN"/>
                <w14:textFill>
                  <w14:solidFill>
                    <w14:schemeClr w14:val="tx1"/>
                  </w14:solidFill>
                </w14:textFill>
              </w:rPr>
              <w:t xml:space="preserve"> </w:t>
            </w:r>
          </w:p>
        </w:tc>
      </w:tr>
      <w:tr w14:paraId="39E1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32" w:type="dxa"/>
            <w:noWrap w:val="0"/>
            <w:vAlign w:val="center"/>
          </w:tcPr>
          <w:p w14:paraId="34E786D8">
            <w:pPr>
              <w:spacing w:line="360" w:lineRule="exact"/>
              <w:jc w:val="center"/>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35</w:t>
            </w:r>
          </w:p>
        </w:tc>
        <w:tc>
          <w:tcPr>
            <w:tcW w:w="898" w:type="dxa"/>
            <w:noWrap w:val="0"/>
            <w:vAlign w:val="center"/>
          </w:tcPr>
          <w:p w14:paraId="694ED107">
            <w:pPr>
              <w:spacing w:line="360" w:lineRule="exact"/>
              <w:jc w:val="center"/>
              <w:rPr>
                <w:rFonts w:hint="eastAsia"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33</w:t>
            </w:r>
          </w:p>
        </w:tc>
        <w:tc>
          <w:tcPr>
            <w:tcW w:w="1417" w:type="dxa"/>
            <w:noWrap w:val="0"/>
            <w:vAlign w:val="center"/>
          </w:tcPr>
          <w:p w14:paraId="4492A279">
            <w:pPr>
              <w:spacing w:line="360" w:lineRule="exact"/>
              <w:jc w:val="center"/>
              <w:rPr>
                <w:rFonts w:hint="eastAsia" w:ascii="宋体"/>
                <w:color w:val="000000" w:themeColor="text1"/>
                <w:sz w:val="21"/>
                <w:szCs w:val="21"/>
                <w:highlight w:val="none"/>
                <w14:textFill>
                  <w14:solidFill>
                    <w14:schemeClr w14:val="tx1"/>
                  </w14:solidFill>
                </w14:textFill>
              </w:rPr>
            </w:pPr>
            <w:r>
              <w:rPr>
                <w:rFonts w:hint="eastAsia" w:ascii="宋体"/>
                <w:bCs/>
                <w:color w:val="000000" w:themeColor="text1"/>
                <w:sz w:val="21"/>
                <w:szCs w:val="21"/>
                <w:highlight w:val="none"/>
                <w14:textFill>
                  <w14:solidFill>
                    <w14:schemeClr w14:val="tx1"/>
                  </w14:solidFill>
                </w14:textFill>
              </w:rPr>
              <w:t>解释权</w:t>
            </w:r>
          </w:p>
        </w:tc>
        <w:tc>
          <w:tcPr>
            <w:tcW w:w="6709" w:type="dxa"/>
            <w:noWrap w:val="0"/>
            <w:vAlign w:val="center"/>
          </w:tcPr>
          <w:p w14:paraId="7A662B83">
            <w:pPr>
              <w:pStyle w:val="12"/>
              <w:spacing w:line="360" w:lineRule="exact"/>
              <w:rPr>
                <w:rFonts w:hint="eastAsia"/>
                <w:b/>
                <w:color w:val="000000" w:themeColor="text1"/>
                <w:sz w:val="21"/>
                <w:szCs w:val="21"/>
                <w:highlight w:val="none"/>
                <w14:textFill>
                  <w14:solidFill>
                    <w14:schemeClr w14:val="tx1"/>
                  </w14:solidFill>
                </w14:textFill>
              </w:rPr>
            </w:pPr>
            <w:r>
              <w:rPr>
                <w:rFonts w:hint="eastAsia"/>
                <w:color w:val="000000" w:themeColor="text1"/>
                <w:spacing w:val="-4"/>
                <w:sz w:val="21"/>
                <w:szCs w:val="21"/>
                <w:highlight w:val="none"/>
                <w14:textFill>
                  <w14:solidFill>
                    <w14:schemeClr w14:val="tx1"/>
                  </w14:solidFill>
                </w14:textFill>
              </w:rPr>
              <w:t>本</w:t>
            </w:r>
            <w:r>
              <w:rPr>
                <w:rFonts w:hint="eastAsia"/>
                <w:color w:val="000000" w:themeColor="text1"/>
                <w:sz w:val="21"/>
                <w:szCs w:val="21"/>
                <w:highlight w:val="none"/>
                <w14:textFill>
                  <w14:solidFill>
                    <w14:schemeClr w14:val="tx1"/>
                  </w14:solidFill>
                </w14:textFill>
              </w:rPr>
              <w:t>竞争性磋商文件</w:t>
            </w:r>
            <w:r>
              <w:rPr>
                <w:rFonts w:hint="eastAsia"/>
                <w:color w:val="000000" w:themeColor="text1"/>
                <w:spacing w:val="-4"/>
                <w:sz w:val="21"/>
                <w:szCs w:val="21"/>
                <w:highlight w:val="none"/>
                <w14:textFill>
                  <w14:solidFill>
                    <w14:schemeClr w14:val="tx1"/>
                  </w14:solidFill>
                </w14:textFill>
              </w:rPr>
              <w:t>解释权属</w:t>
            </w:r>
            <w:r>
              <w:rPr>
                <w:rFonts w:hint="eastAsia"/>
                <w:color w:val="000000" w:themeColor="text1"/>
                <w:spacing w:val="-4"/>
                <w:sz w:val="21"/>
                <w:szCs w:val="21"/>
                <w:highlight w:val="none"/>
                <w:lang w:eastAsia="zh-CN"/>
                <w14:textFill>
                  <w14:solidFill>
                    <w14:schemeClr w14:val="tx1"/>
                  </w14:solidFill>
                </w14:textFill>
              </w:rPr>
              <w:t>广西卓群项目管理有限公司</w:t>
            </w:r>
            <w:r>
              <w:rPr>
                <w:rFonts w:hint="eastAsia"/>
                <w:color w:val="000000" w:themeColor="text1"/>
                <w:spacing w:val="-4"/>
                <w:sz w:val="21"/>
                <w:szCs w:val="21"/>
                <w:highlight w:val="none"/>
                <w14:textFill>
                  <w14:solidFill>
                    <w14:schemeClr w14:val="tx1"/>
                  </w14:solidFill>
                </w14:textFill>
              </w:rPr>
              <w:t>。</w:t>
            </w:r>
          </w:p>
        </w:tc>
      </w:tr>
    </w:tbl>
    <w:p w14:paraId="159EF877">
      <w:pPr>
        <w:spacing w:line="350" w:lineRule="exact"/>
        <w:ind w:firstLine="527" w:firstLineChars="25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br w:type="page"/>
      </w:r>
      <w:r>
        <w:rPr>
          <w:rFonts w:hint="eastAsia" w:ascii="宋体"/>
          <w:b/>
          <w:color w:val="000000" w:themeColor="text1"/>
          <w:szCs w:val="21"/>
          <w:highlight w:val="none"/>
          <w14:textFill>
            <w14:solidFill>
              <w14:schemeClr w14:val="tx1"/>
            </w14:solidFill>
          </w14:textFill>
        </w:rPr>
        <w:t>一、总　则</w:t>
      </w:r>
    </w:p>
    <w:p w14:paraId="7BD5E856">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 项目概况：</w:t>
      </w:r>
    </w:p>
    <w:p w14:paraId="3BFD15A1">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1.1本采购项目采购人：详见磋商供应商须知前附表第1条。</w:t>
      </w:r>
    </w:p>
    <w:p w14:paraId="4BA8A9D5">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1.2本工程采购代理机构：详见磋商供应商须知前附表第2条。</w:t>
      </w:r>
    </w:p>
    <w:p w14:paraId="31EA2C34">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1.3本采购项目名称及项目编号：详见磋商供应商须知前附表第3条。</w:t>
      </w:r>
    </w:p>
    <w:p w14:paraId="0A3B229B">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1.4本工程建设地点：详见磋商供应商须知前附表第4条。</w:t>
      </w:r>
    </w:p>
    <w:p w14:paraId="175230CE">
      <w:pPr>
        <w:spacing w:line="35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2.</w:t>
      </w:r>
      <w:r>
        <w:rPr>
          <w:rFonts w:hint="eastAsia" w:ascii="宋体"/>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资金来源和落实情况</w:t>
      </w:r>
    </w:p>
    <w:p w14:paraId="387EF30C">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2.1资金来源：详见磋商供应商须知前附表第5条。</w:t>
      </w:r>
    </w:p>
    <w:p w14:paraId="137BF3E7">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2.2出资比例：详见磋商供应商须知前附表第6条。</w:t>
      </w:r>
    </w:p>
    <w:p w14:paraId="2977827E">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2.3 资金落实情况：详见磋商供应商须知前附表第7条。</w:t>
      </w:r>
    </w:p>
    <w:p w14:paraId="7161559B">
      <w:pPr>
        <w:spacing w:line="35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3. 采购范围、计划工期和质量要求</w:t>
      </w:r>
    </w:p>
    <w:p w14:paraId="7B8F4066">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3.1  本次采购范围：详见磋商供应商须知前附表第8条。</w:t>
      </w:r>
    </w:p>
    <w:p w14:paraId="6F231A08">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3.2  本工程的要求工期：详见磋商供应商须知前附表第9条。</w:t>
      </w:r>
    </w:p>
    <w:p w14:paraId="7425B413">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3.3  本工程的质量要求：详见磋商供应商须知前附表第10条。</w:t>
      </w:r>
    </w:p>
    <w:p w14:paraId="4669D9CE">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3.4  本工程的标段划分：详见磋商供应商须知前附表第11条。</w:t>
      </w:r>
    </w:p>
    <w:p w14:paraId="6FE5AB3F">
      <w:pPr>
        <w:spacing w:line="350" w:lineRule="exact"/>
        <w:ind w:firstLine="422" w:firstLineChars="200"/>
        <w:rPr>
          <w:rFonts w:hint="eastAsia" w:ascii="宋体"/>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4. 磋商供应商的资格要求：</w:t>
      </w:r>
      <w:r>
        <w:rPr>
          <w:rFonts w:hint="eastAsia" w:ascii="宋体"/>
          <w:color w:val="000000" w:themeColor="text1"/>
          <w:szCs w:val="21"/>
          <w:highlight w:val="none"/>
          <w14:textFill>
            <w14:solidFill>
              <w14:schemeClr w14:val="tx1"/>
            </w14:solidFill>
          </w14:textFill>
        </w:rPr>
        <w:t>详见磋商供应商须知前附表第12条。</w:t>
      </w:r>
    </w:p>
    <w:p w14:paraId="73ED4B54">
      <w:pPr>
        <w:spacing w:line="350" w:lineRule="exact"/>
        <w:ind w:firstLine="422" w:firstLineChars="200"/>
        <w:rPr>
          <w:rFonts w:hint="eastAsia" w:ascii="宋体"/>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5. 踏勘现场：</w:t>
      </w:r>
      <w:r>
        <w:rPr>
          <w:rFonts w:hint="eastAsia" w:ascii="宋体"/>
          <w:color w:val="000000" w:themeColor="text1"/>
          <w:szCs w:val="21"/>
          <w:highlight w:val="none"/>
          <w14:textFill>
            <w14:solidFill>
              <w14:schemeClr w14:val="tx1"/>
            </w14:solidFill>
          </w14:textFill>
        </w:rPr>
        <w:t>详见磋商供应商须知前附表第13条。</w:t>
      </w:r>
    </w:p>
    <w:p w14:paraId="77EAD790">
      <w:pPr>
        <w:spacing w:line="350" w:lineRule="exact"/>
        <w:ind w:firstLine="422" w:firstLineChars="200"/>
        <w:rPr>
          <w:rFonts w:hint="eastAsia" w:ascii="宋体"/>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6. 参与在线响应（电子响应）的准备工作及磋商费用：</w:t>
      </w:r>
    </w:p>
    <w:p w14:paraId="4858A0BE">
      <w:pPr>
        <w:spacing w:line="35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6.1参与在线响应（电子响应）的准备工作</w:t>
      </w:r>
    </w:p>
    <w:p w14:paraId="76B31547">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6.1.1本项目实行全流程电子化采购，供应商通过“广西政府采购云平台”平台参与在线响应（电子响应），并应做好以下相关准备工作：①在“广西政府采购云平台”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政采云电子投标客户端”）并安装成功，供应商应当在提交响应文件截止时间前在“广西政府采购云平台”平台完成的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在线响应（电子响应）或响应失败的，造成的一切后果，由供应商自行承担。</w:t>
      </w:r>
    </w:p>
    <w:p w14:paraId="1697AD91">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6.1.2在线响应（电子响应）具体操作流程参考《政府采购项目电子交易管理操作指南-供应商》（详见广西壮族自治区政府采购网—办事服务—下载专区-广西壮族自治区全流程电子招投标项目管理系统--供应商客户端）；如遇平台技术问题详询95763。</w:t>
      </w:r>
    </w:p>
    <w:p w14:paraId="0A446182">
      <w:pPr>
        <w:spacing w:line="350" w:lineRule="exact"/>
        <w:ind w:firstLine="422" w:firstLineChars="200"/>
        <w:rPr>
          <w:rFonts w:hint="eastAsia" w:ascii="宋体"/>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6.2磋商费用：</w:t>
      </w:r>
      <w:r>
        <w:rPr>
          <w:rFonts w:hint="eastAsia" w:ascii="宋体"/>
          <w:color w:val="000000" w:themeColor="text1"/>
          <w:szCs w:val="21"/>
          <w:highlight w:val="none"/>
          <w14:textFill>
            <w14:solidFill>
              <w14:schemeClr w14:val="tx1"/>
            </w14:solidFill>
          </w14:textFill>
        </w:rPr>
        <w:t>供应商应自行承担所有与编写和提交竞争性磋商响应文件有关的费用，不论磋商结果如何，采购人和采购代理机构在任何情况下无义务和责任承担此类费用。</w:t>
      </w:r>
    </w:p>
    <w:p w14:paraId="2DB5F3F7">
      <w:pPr>
        <w:tabs>
          <w:tab w:val="left" w:pos="1635"/>
        </w:tabs>
        <w:spacing w:line="350" w:lineRule="exact"/>
        <w:ind w:firstLine="435"/>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7.分包：</w:t>
      </w:r>
    </w:p>
    <w:p w14:paraId="6EB28E47">
      <w:pPr>
        <w:tabs>
          <w:tab w:val="left" w:pos="1635"/>
        </w:tabs>
        <w:spacing w:line="350" w:lineRule="exact"/>
        <w:ind w:firstLine="435"/>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供应商拟在成交后将中标项目的部分非主体、非关键性工作进行分包的，应符合磋商供应商须知前附表规定的分包内容、分包金额和接受分包的第三人资质要求等限制性条件。详见磋商供应商须知前附表第15条。</w:t>
      </w:r>
    </w:p>
    <w:p w14:paraId="4DF1E1C0">
      <w:pPr>
        <w:tabs>
          <w:tab w:val="left" w:pos="1635"/>
        </w:tabs>
        <w:spacing w:line="350" w:lineRule="exact"/>
        <w:ind w:firstLine="435"/>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8.</w:t>
      </w:r>
      <w:r>
        <w:rPr>
          <w:rFonts w:hint="eastAsia" w:ascii="宋体"/>
          <w:b/>
          <w:color w:val="000000" w:themeColor="text1"/>
          <w:kern w:val="0"/>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偏离</w:t>
      </w:r>
    </w:p>
    <w:p w14:paraId="2808538A">
      <w:pPr>
        <w:tabs>
          <w:tab w:val="left" w:pos="1635"/>
        </w:tabs>
        <w:spacing w:line="350" w:lineRule="exact"/>
        <w:ind w:firstLine="435"/>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磋商供应商须知前附表允许响应文件偏离竞争性磋商文件某些要求的，偏离应当符竞争性磋商规定的偏离范围和幅度。详见磋商供应商须知前附表第16条。</w:t>
      </w:r>
    </w:p>
    <w:p w14:paraId="47413534">
      <w:pPr>
        <w:spacing w:line="400" w:lineRule="exact"/>
        <w:ind w:firstLine="413" w:firstLineChars="196"/>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9.询问、质疑和投诉</w:t>
      </w:r>
    </w:p>
    <w:p w14:paraId="5A7727D9">
      <w:pPr>
        <w:pStyle w:val="12"/>
        <w:adjustRightInd w:val="0"/>
        <w:snapToGrid w:val="0"/>
        <w:spacing w:line="400" w:lineRule="exac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9.1供应商对政府采购活动事项有疑问的，可以向采购人、采购代理机构提出询问。</w:t>
      </w:r>
    </w:p>
    <w:p w14:paraId="1A3FA4B7">
      <w:pPr>
        <w:pStyle w:val="12"/>
        <w:adjustRightInd w:val="0"/>
        <w:snapToGrid w:val="0"/>
        <w:spacing w:line="400" w:lineRule="exac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9.2供应商认为竞争性磋商文件、采购过程或成交结果使自己的合法权益受到损害的，应当在知道或者应知其权益受到损害之日起七个工作日内，以书面形式向采购人、采购代理机构提出质疑。具体计算时间如下：</w:t>
      </w:r>
    </w:p>
    <w:p w14:paraId="67DC35C1">
      <w:pPr>
        <w:pStyle w:val="12"/>
        <w:adjustRightInd w:val="0"/>
        <w:snapToGrid w:val="0"/>
        <w:spacing w:line="400" w:lineRule="exact"/>
        <w:ind w:firstLine="310" w:firstLineChars="147"/>
        <w:rPr>
          <w:rFonts w:hint="eastAsia"/>
          <w:bCs/>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（1）对可以质疑的竞争性磋商文件提出质疑的，为获取采购文件之日；</w:t>
      </w:r>
    </w:p>
    <w:p w14:paraId="741499F0">
      <w:pPr>
        <w:widowControl/>
        <w:adjustRightInd w:val="0"/>
        <w:snapToGrid w:val="0"/>
        <w:spacing w:line="400" w:lineRule="exact"/>
        <w:jc w:val="left"/>
        <w:rPr>
          <w:rFonts w:hint="eastAsia" w:cs="Courier New"/>
          <w:b/>
          <w:color w:val="000000" w:themeColor="text1"/>
          <w:szCs w:val="21"/>
          <w:highlight w:val="none"/>
          <w:lang w:bidi="ar-SA"/>
          <w14:textFill>
            <w14:solidFill>
              <w14:schemeClr w14:val="tx1"/>
            </w14:solidFill>
          </w14:textFill>
        </w:rPr>
      </w:pPr>
      <w:r>
        <w:rPr>
          <w:rFonts w:hint="eastAsia" w:cs="Courier New"/>
          <w:color w:val="000000" w:themeColor="text1"/>
          <w:szCs w:val="21"/>
          <w:highlight w:val="none"/>
          <w:lang w:bidi="ar-SA"/>
          <w14:textFill>
            <w14:solidFill>
              <w14:schemeClr w14:val="tx1"/>
            </w14:solidFill>
          </w14:textFill>
        </w:rPr>
        <w:t xml:space="preserve">　 </w:t>
      </w:r>
      <w:r>
        <w:rPr>
          <w:rFonts w:hint="eastAsia" w:cs="Courier New"/>
          <w:b/>
          <w:color w:val="000000" w:themeColor="text1"/>
          <w:szCs w:val="21"/>
          <w:highlight w:val="none"/>
          <w:lang w:bidi="ar-SA"/>
          <w14:textFill>
            <w14:solidFill>
              <w14:schemeClr w14:val="tx1"/>
            </w14:solidFill>
          </w14:textFill>
        </w:rPr>
        <w:t>（2）对竞争性磋商过程提出质疑的，为各采购程序环节结束之日；</w:t>
      </w:r>
    </w:p>
    <w:p w14:paraId="728F0C94">
      <w:pPr>
        <w:widowControl/>
        <w:adjustRightInd w:val="0"/>
        <w:snapToGrid w:val="0"/>
        <w:spacing w:line="400" w:lineRule="exact"/>
        <w:ind w:firstLine="103" w:firstLineChars="49"/>
        <w:jc w:val="left"/>
        <w:rPr>
          <w:rFonts w:hint="eastAsia" w:cs="Courier New"/>
          <w:b/>
          <w:color w:val="000000" w:themeColor="text1"/>
          <w:szCs w:val="21"/>
          <w:highlight w:val="none"/>
          <w:lang w:bidi="ar-SA"/>
          <w14:textFill>
            <w14:solidFill>
              <w14:schemeClr w14:val="tx1"/>
            </w14:solidFill>
          </w14:textFill>
        </w:rPr>
      </w:pPr>
      <w:r>
        <w:rPr>
          <w:rFonts w:hint="eastAsia" w:cs="Courier New"/>
          <w:b/>
          <w:color w:val="000000" w:themeColor="text1"/>
          <w:szCs w:val="21"/>
          <w:highlight w:val="none"/>
          <w:lang w:bidi="ar-SA"/>
          <w14:textFill>
            <w14:solidFill>
              <w14:schemeClr w14:val="tx1"/>
            </w14:solidFill>
          </w14:textFill>
        </w:rPr>
        <w:t xml:space="preserve">  （3）对成交结果提出质疑的，为成交结果公告期限届满之日。供应商对采购人、采购代理机构的质疑答复不满意或者采购人、采购代理机构未在规定时间内作出答复的，可以在答复期满后十五个工作日内向</w:t>
      </w:r>
      <w:r>
        <w:rPr>
          <w:rFonts w:hint="eastAsia" w:cs="Courier New"/>
          <w:b/>
          <w:color w:val="000000" w:themeColor="text1"/>
          <w:szCs w:val="21"/>
          <w:highlight w:val="none"/>
          <w:lang w:eastAsia="zh-CN" w:bidi="ar-SA"/>
          <w14:textFill>
            <w14:solidFill>
              <w14:schemeClr w14:val="tx1"/>
            </w14:solidFill>
          </w14:textFill>
        </w:rPr>
        <w:t>兴安县财政局</w:t>
      </w:r>
      <w:r>
        <w:rPr>
          <w:rFonts w:hint="eastAsia" w:cs="Courier New"/>
          <w:b/>
          <w:color w:val="000000" w:themeColor="text1"/>
          <w:szCs w:val="21"/>
          <w:highlight w:val="none"/>
          <w:lang w:bidi="ar-SA"/>
          <w14:textFill>
            <w14:solidFill>
              <w14:schemeClr w14:val="tx1"/>
            </w14:solidFill>
          </w14:textFill>
        </w:rPr>
        <w:t>投诉。</w:t>
      </w:r>
    </w:p>
    <w:p w14:paraId="28AD763B">
      <w:pPr>
        <w:pStyle w:val="12"/>
        <w:adjustRightInd w:val="0"/>
        <w:snapToGrid w:val="0"/>
        <w:spacing w:line="400" w:lineRule="exact"/>
        <w:ind w:firstLine="420" w:firstLineChars="200"/>
        <w:rPr>
          <w:rFonts w:hint="eastAsia"/>
          <w:b/>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9.3质疑、投诉应当采用书面形式，质疑书、投诉书均应明确阐述采购文件、采购过程、成交结果中使自己合法权益受到损害的实质性内容，提供相关事实、明确的请求、必要的证明材料，便于有关单位调查、答复和处理。</w:t>
      </w:r>
      <w:r>
        <w:rPr>
          <w:rFonts w:hint="eastAsia"/>
          <w:b/>
          <w:bCs/>
          <w:color w:val="000000" w:themeColor="text1"/>
          <w:highlight w:val="none"/>
          <w14:textFill>
            <w14:solidFill>
              <w14:schemeClr w14:val="tx1"/>
            </w14:solidFill>
          </w14:textFill>
        </w:rPr>
        <w:t>质疑格式见附件1。</w:t>
      </w:r>
    </w:p>
    <w:p w14:paraId="57A637B2">
      <w:pPr>
        <w:pStyle w:val="12"/>
        <w:adjustRightInd w:val="0"/>
        <w:snapToGrid w:val="0"/>
        <w:spacing w:line="400" w:lineRule="exact"/>
        <w:ind w:firstLine="420" w:firstLineChars="200"/>
        <w:rPr>
          <w:rFonts w:hint="eastAsia" w:eastAsia="宋体"/>
          <w:color w:val="000000" w:themeColor="text1"/>
          <w:highlight w:val="none"/>
          <w:lang w:eastAsia="zh-CN"/>
          <w14:textFill>
            <w14:solidFill>
              <w14:schemeClr w14:val="tx1"/>
            </w14:solidFill>
          </w14:textFill>
        </w:rPr>
      </w:pPr>
      <w:r>
        <w:rPr>
          <w:rFonts w:hint="eastAsia"/>
          <w:bCs/>
          <w:color w:val="000000" w:themeColor="text1"/>
          <w:highlight w:val="none"/>
          <w14:textFill>
            <w14:solidFill>
              <w14:schemeClr w14:val="tx1"/>
            </w14:solidFill>
          </w14:textFill>
        </w:rPr>
        <w:t>①质疑部门及电话为：</w:t>
      </w:r>
      <w:r>
        <w:rPr>
          <w:rFonts w:hint="eastAsia"/>
          <w:color w:val="000000" w:themeColor="text1"/>
          <w:highlight w:val="none"/>
          <w:lang w:eastAsia="zh-CN"/>
          <w14:textFill>
            <w14:solidFill>
              <w14:schemeClr w14:val="tx1"/>
            </w14:solidFill>
          </w14:textFill>
        </w:rPr>
        <w:t>广西卓群项目管理有限公司</w:t>
      </w:r>
      <w:r>
        <w:rPr>
          <w:rFonts w:hint="eastAsia"/>
          <w:color w:val="000000" w:themeColor="text1"/>
          <w:highlight w:val="none"/>
          <w14:textFill>
            <w14:solidFill>
              <w14:schemeClr w14:val="tx1"/>
            </w14:solidFill>
          </w14:textFill>
        </w:rPr>
        <w:t xml:space="preserve">    联系电话：</w:t>
      </w:r>
      <w:r>
        <w:rPr>
          <w:rFonts w:hint="eastAsia"/>
          <w:color w:val="000000" w:themeColor="text1"/>
          <w:highlight w:val="none"/>
          <w:lang w:eastAsia="zh-CN"/>
          <w14:textFill>
            <w14:solidFill>
              <w14:schemeClr w14:val="tx1"/>
            </w14:solidFill>
          </w14:textFill>
        </w:rPr>
        <w:t>18278360891</w:t>
      </w:r>
    </w:p>
    <w:p w14:paraId="6505FF93">
      <w:pPr>
        <w:pStyle w:val="12"/>
        <w:adjustRightInd w:val="0"/>
        <w:snapToGrid w:val="0"/>
        <w:spacing w:line="400" w:lineRule="exact"/>
        <w:ind w:firstLine="420" w:firstLineChars="200"/>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②投诉联系部门及电话为：</w:t>
      </w:r>
      <w:r>
        <w:rPr>
          <w:rFonts w:hint="eastAsia"/>
          <w:bCs/>
          <w:color w:val="000000" w:themeColor="text1"/>
          <w:highlight w:val="none"/>
          <w:lang w:eastAsia="zh-CN"/>
          <w14:textFill>
            <w14:solidFill>
              <w14:schemeClr w14:val="tx1"/>
            </w14:solidFill>
          </w14:textFill>
        </w:rPr>
        <w:t>兴安县采购中心</w:t>
      </w:r>
      <w:r>
        <w:rPr>
          <w:rFonts w:hint="eastAsia"/>
          <w:bCs/>
          <w:color w:val="000000" w:themeColor="text1"/>
          <w:highlight w:val="none"/>
          <w14:textFill>
            <w14:solidFill>
              <w14:schemeClr w14:val="tx1"/>
            </w14:solidFill>
          </w14:textFill>
        </w:rPr>
        <w:t xml:space="preserve">    联系电话：</w:t>
      </w:r>
      <w:r>
        <w:rPr>
          <w:rFonts w:hint="eastAsia"/>
          <w:bCs/>
          <w:color w:val="000000" w:themeColor="text1"/>
          <w:highlight w:val="none"/>
          <w:lang w:eastAsia="zh-CN"/>
          <w14:textFill>
            <w14:solidFill>
              <w14:schemeClr w14:val="tx1"/>
            </w14:solidFill>
          </w14:textFill>
        </w:rPr>
        <w:t>0773-6220651</w:t>
      </w:r>
      <w:r>
        <w:rPr>
          <w:rFonts w:hint="eastAsia"/>
          <w:bCs/>
          <w:color w:val="000000" w:themeColor="text1"/>
          <w:highlight w:val="none"/>
          <w14:textFill>
            <w14:solidFill>
              <w14:schemeClr w14:val="tx1"/>
            </w14:solidFill>
          </w14:textFill>
        </w:rPr>
        <w:t xml:space="preserve"> </w:t>
      </w:r>
    </w:p>
    <w:p w14:paraId="432DFE79">
      <w:pPr>
        <w:spacing w:line="40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10.特别说明</w:t>
      </w:r>
    </w:p>
    <w:p w14:paraId="554B9672">
      <w:pPr>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10.1单位负责人为同一人或者存在直接控股、管理关系的，不得参加同一分标磋商或未划分分标的同一合同项下的磋商，否则，响应文件无效。</w:t>
      </w:r>
    </w:p>
    <w:p w14:paraId="3B21DEB8">
      <w:pPr>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除单一来源采购项目外，为采购项目提供整体设计、规范编制或者项目管理、监理、检测等服务的供应商，不得再参加该采购项目的其他采购活动，否则响应文件无效。</w:t>
      </w:r>
    </w:p>
    <w:p w14:paraId="3276F16A">
      <w:pPr>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10.2供应商磋商所使用的资格、信誉、荣誉、业绩与企业认证必须为本法人所拥有。供应商磋商所使用的采购项目实施人员必须为本法人员工（或必须为本法人或控股公司正式员工）。</w:t>
      </w:r>
    </w:p>
    <w:p w14:paraId="11EA5808">
      <w:pPr>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10.3供应商应仔细阅读竞争性磋商文件的所有内容，按照竞争性磋商文件的要求提交响应文件，并对所提供的全部资料的真实性承担法律责任。</w:t>
      </w:r>
    </w:p>
    <w:p w14:paraId="272E1548">
      <w:pPr>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10.4供应商在磋商活动中提供任何虚假材料，其响应文件无效，并报监管部门查处；成交后发现的，成交人须依照《中华人民共和国消费者权益保护法》第49条之规定双倍赔偿采购人，且民事赔偿并不免除违法供应商的行政与刑事责任。</w:t>
      </w:r>
    </w:p>
    <w:p w14:paraId="3A606E57">
      <w:pPr>
        <w:snapToGrid w:val="0"/>
        <w:spacing w:line="400" w:lineRule="exact"/>
        <w:ind w:firstLine="42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10.5根据财库〔2017〕141号《三部门联合发布关于促进残疾人就业政府采购政策的通知》第三条规定，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81AEE86">
      <w:pPr>
        <w:widowControl/>
        <w:spacing w:line="40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10.5.1符合条件的残疾人福利性单位在参加政府采购活动时，应当提供本通知规定的《残疾人福利性单位声明函》（见本竞争性磋商文件第六章附件），并对声明的真实性负责。</w:t>
      </w:r>
    </w:p>
    <w:p w14:paraId="3F1C4B89">
      <w:pPr>
        <w:widowControl/>
        <w:spacing w:line="400" w:lineRule="exact"/>
        <w:ind w:firstLine="422" w:firstLineChars="200"/>
        <w:jc w:val="left"/>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中标、成交供应商为残疾人福利性单位的，采购人或者其委托的采购代理机构应当随中标、成交结果同时公告其《残疾人福利性单位声明函》，接受社会监督。</w:t>
      </w:r>
    </w:p>
    <w:p w14:paraId="561FA13F">
      <w:pPr>
        <w:widowControl/>
        <w:spacing w:line="40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10.5.2供应商提供的《残疾人福利性单位声明函》与事实不符的，依照《政府采购法》第七十七条第一款的规定追究法律责任。</w:t>
      </w:r>
    </w:p>
    <w:p w14:paraId="66F01AE0">
      <w:pPr>
        <w:widowControl/>
        <w:spacing w:line="40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10.5.3享受政府采购支持政策的残疾人福利性单位应当同时满足以下条件：</w:t>
      </w:r>
    </w:p>
    <w:p w14:paraId="7A51A477">
      <w:pPr>
        <w:widowControl/>
        <w:spacing w:line="40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（1）安置的残疾人占本单位在职职工人数的比例不低于25%（含25%），并且安置的残疾人人数不少于10人（含10人）；</w:t>
      </w:r>
    </w:p>
    <w:p w14:paraId="062F5E9C">
      <w:pPr>
        <w:widowControl/>
        <w:spacing w:line="40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（2）依法与安置的每位残疾人签订了一年以上（含一年）的劳动合同或服务协议；</w:t>
      </w:r>
    </w:p>
    <w:p w14:paraId="5A9AB7E6">
      <w:pPr>
        <w:widowControl/>
        <w:spacing w:line="40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（3）为安置的每位残疾人按月足额缴纳了基本养老保险、基本医疗保险、失业保险、工伤保险和生育保险等社会保险费；</w:t>
      </w:r>
    </w:p>
    <w:p w14:paraId="188AFF3A">
      <w:pPr>
        <w:widowControl/>
        <w:spacing w:line="40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（4）通过银行等金融机构向安置的每位残疾人，按月支付了不低于单位所在区县适用的经省级人民政府批准的月最低工资标准的工资；</w:t>
      </w:r>
    </w:p>
    <w:p w14:paraId="449520D0">
      <w:pPr>
        <w:widowControl/>
        <w:spacing w:line="40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5AC6F41C">
      <w:pPr>
        <w:widowControl/>
        <w:spacing w:line="40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本文件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014CC5C">
      <w:pPr>
        <w:tabs>
          <w:tab w:val="left" w:pos="1635"/>
        </w:tabs>
        <w:spacing w:line="350" w:lineRule="exact"/>
        <w:ind w:firstLine="435"/>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二、竞争性磋商文件（简称磋商文件）</w:t>
      </w:r>
    </w:p>
    <w:p w14:paraId="7BEDA45A">
      <w:pPr>
        <w:tabs>
          <w:tab w:val="left" w:pos="2190"/>
        </w:tabs>
        <w:spacing w:line="350" w:lineRule="exact"/>
        <w:ind w:firstLine="437"/>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11.磋商文件的构成</w:t>
      </w:r>
    </w:p>
    <w:p w14:paraId="47EA2429">
      <w:pPr>
        <w:tabs>
          <w:tab w:val="left" w:pos="2190"/>
        </w:tabs>
        <w:spacing w:line="350" w:lineRule="exact"/>
        <w:ind w:firstLine="43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（1）竞争性磋商公告；</w:t>
      </w:r>
    </w:p>
    <w:p w14:paraId="5CF35335">
      <w:pPr>
        <w:tabs>
          <w:tab w:val="left" w:pos="2190"/>
        </w:tabs>
        <w:spacing w:line="350" w:lineRule="exact"/>
        <w:ind w:firstLine="43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（2）磋商供应商须知；</w:t>
      </w:r>
    </w:p>
    <w:p w14:paraId="25AFCAE9">
      <w:pPr>
        <w:tabs>
          <w:tab w:val="left" w:pos="2190"/>
        </w:tabs>
        <w:spacing w:line="350" w:lineRule="exact"/>
        <w:ind w:firstLine="43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（3）评审方法；</w:t>
      </w:r>
    </w:p>
    <w:p w14:paraId="64626499">
      <w:pPr>
        <w:tabs>
          <w:tab w:val="left" w:pos="2190"/>
        </w:tabs>
        <w:spacing w:line="350" w:lineRule="exact"/>
        <w:ind w:firstLine="43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（4）合同条款</w:t>
      </w:r>
      <w:r>
        <w:rPr>
          <w:rFonts w:hint="eastAsia" w:ascii="宋体"/>
          <w:color w:val="000000" w:themeColor="text1"/>
          <w:szCs w:val="21"/>
          <w:highlight w:val="none"/>
          <w:lang w:eastAsia="zh-CN"/>
          <w14:textFill>
            <w14:solidFill>
              <w14:schemeClr w14:val="tx1"/>
            </w14:solidFill>
          </w14:textFill>
        </w:rPr>
        <w:t>及格式</w:t>
      </w:r>
      <w:r>
        <w:rPr>
          <w:rFonts w:hint="eastAsia" w:ascii="宋体"/>
          <w:color w:val="000000" w:themeColor="text1"/>
          <w:szCs w:val="21"/>
          <w:highlight w:val="none"/>
          <w14:textFill>
            <w14:solidFill>
              <w14:schemeClr w14:val="tx1"/>
            </w14:solidFill>
          </w14:textFill>
        </w:rPr>
        <w:t>；</w:t>
      </w:r>
    </w:p>
    <w:p w14:paraId="7529D780">
      <w:pPr>
        <w:tabs>
          <w:tab w:val="left" w:pos="2190"/>
        </w:tabs>
        <w:spacing w:line="350" w:lineRule="exact"/>
        <w:ind w:firstLine="43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（5）工程量清单；</w:t>
      </w:r>
    </w:p>
    <w:p w14:paraId="4D46327E">
      <w:pPr>
        <w:tabs>
          <w:tab w:val="left" w:pos="2190"/>
        </w:tabs>
        <w:spacing w:line="350" w:lineRule="exact"/>
        <w:ind w:firstLine="437"/>
        <w:rPr>
          <w:rFonts w:hint="eastAsia" w:ascii="宋体" w:eastAsia="宋体"/>
          <w:color w:val="000000" w:themeColor="text1"/>
          <w:szCs w:val="21"/>
          <w:highlight w:val="none"/>
          <w:lang w:eastAsia="zh-CN"/>
          <w14:textFill>
            <w14:solidFill>
              <w14:schemeClr w14:val="tx1"/>
            </w14:solidFill>
          </w14:textFill>
        </w:rPr>
      </w:pPr>
      <w:r>
        <w:rPr>
          <w:rFonts w:hint="eastAsia" w:ascii="宋体"/>
          <w:color w:val="000000" w:themeColor="text1"/>
          <w:szCs w:val="21"/>
          <w:highlight w:val="none"/>
          <w:lang w:eastAsia="zh-CN"/>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6</w:t>
      </w:r>
      <w:r>
        <w:rPr>
          <w:rFonts w:hint="eastAsia" w:ascii="宋体"/>
          <w:color w:val="000000" w:themeColor="text1"/>
          <w:szCs w:val="21"/>
          <w:highlight w:val="none"/>
          <w:lang w:eastAsia="zh-CN"/>
          <w14:textFill>
            <w14:solidFill>
              <w14:schemeClr w14:val="tx1"/>
            </w14:solidFill>
          </w14:textFill>
        </w:rPr>
        <w:t>）技术标准和要求；</w:t>
      </w:r>
    </w:p>
    <w:p w14:paraId="50207FA9">
      <w:pPr>
        <w:tabs>
          <w:tab w:val="left" w:pos="2190"/>
        </w:tabs>
        <w:spacing w:line="350" w:lineRule="exact"/>
        <w:ind w:firstLine="43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7</w:t>
      </w:r>
      <w:r>
        <w:rPr>
          <w:rFonts w:hint="eastAsia" w:ascii="宋体"/>
          <w:color w:val="000000" w:themeColor="text1"/>
          <w:szCs w:val="21"/>
          <w:highlight w:val="none"/>
          <w14:textFill>
            <w14:solidFill>
              <w14:schemeClr w14:val="tx1"/>
            </w14:solidFill>
          </w14:textFill>
        </w:rPr>
        <w:t>）竞争性磋商响应文件格式；</w:t>
      </w:r>
    </w:p>
    <w:p w14:paraId="295BE5ED">
      <w:pPr>
        <w:tabs>
          <w:tab w:val="left" w:pos="2190"/>
        </w:tabs>
        <w:spacing w:line="350" w:lineRule="exact"/>
        <w:ind w:firstLine="43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8</w:t>
      </w:r>
      <w:r>
        <w:rPr>
          <w:rFonts w:hint="eastAsia" w:ascii="宋体"/>
          <w:color w:val="000000" w:themeColor="text1"/>
          <w:szCs w:val="21"/>
          <w:highlight w:val="none"/>
          <w14:textFill>
            <w14:solidFill>
              <w14:schemeClr w14:val="tx1"/>
            </w14:solidFill>
          </w14:textFill>
        </w:rPr>
        <w:t>）图 纸（自行下载）。</w:t>
      </w:r>
    </w:p>
    <w:p w14:paraId="6E64B0F7">
      <w:pPr>
        <w:tabs>
          <w:tab w:val="left" w:pos="2190"/>
        </w:tabs>
        <w:spacing w:line="350" w:lineRule="exact"/>
        <w:ind w:firstLine="437"/>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12.磋商文件的澄清与修改</w:t>
      </w:r>
    </w:p>
    <w:p w14:paraId="7CF52B58">
      <w:pPr>
        <w:tabs>
          <w:tab w:val="left" w:pos="2190"/>
        </w:tabs>
        <w:spacing w:line="350" w:lineRule="exact"/>
        <w:ind w:firstLine="43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12.1供应商应认真阅读竞争性磋商文件，发现其中有误或有不合理要求的，应在规定的时间前要求澄清，否则，由此产生的后果由供应商负责。</w:t>
      </w:r>
    </w:p>
    <w:p w14:paraId="40E4EFCA">
      <w:pPr>
        <w:tabs>
          <w:tab w:val="left" w:pos="2190"/>
        </w:tabs>
        <w:spacing w:line="400" w:lineRule="exact"/>
        <w:ind w:firstLine="43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12.2提交首次响应文件截止之日前，采购代理机构可以对已发出的磋商文件进行必要澄清或者修改，澄清或者修改的内容可能影响响应文件编制的，应当在响应文件递交截止时间5日前在本磋商项目竞争性磋商公告发布的同一媒体上发布更正公告，并以书面形式通知所有竞争性磋商文件收受人；不足5日的，应当顺延提交首次响应文件截止时间。</w:t>
      </w:r>
    </w:p>
    <w:p w14:paraId="50FDBEC7">
      <w:pPr>
        <w:tabs>
          <w:tab w:val="left" w:pos="2190"/>
        </w:tabs>
        <w:spacing w:line="400" w:lineRule="exact"/>
        <w:ind w:firstLine="43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12.3采购人和采购代理机构在竞争性磋商公告发布的相关网站发布更正公告的同时，视同供应商已知晓竞争性磋商文件的澄清或者修改，供应商应将澄清或者修改的内容考虑在响应文件中，供应商在响应文件递交截止前未登录竞争性磋商公告发布的相关网站查看澄清或者修改的，造成供应商的响应文件不符合竞争性磋商文件要求或废标的，由供应商自行承担责任。</w:t>
      </w:r>
    </w:p>
    <w:p w14:paraId="33EF365D">
      <w:pPr>
        <w:tabs>
          <w:tab w:val="left" w:pos="2190"/>
        </w:tabs>
        <w:spacing w:line="400" w:lineRule="exact"/>
        <w:ind w:firstLine="43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12.4澄清、答复、修改、补充的内容为磋商文件的组成部分。当澄清、答复、修改、补充通知就同一内容的表述不一致时，以最后发出的文件为准。</w:t>
      </w:r>
    </w:p>
    <w:p w14:paraId="7D59B17B">
      <w:pPr>
        <w:tabs>
          <w:tab w:val="left" w:pos="2190"/>
        </w:tabs>
        <w:spacing w:line="400" w:lineRule="exact"/>
        <w:ind w:firstLine="43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12.5竞争性磋商文件的澄清、答复、修改或补充都应该通过本项目采购代理机构以法定形式发布，采购人非通过本机构，不得擅自澄清、答复、修改或补充磋商文件。</w:t>
      </w:r>
    </w:p>
    <w:p w14:paraId="0FE6A21E">
      <w:pPr>
        <w:tabs>
          <w:tab w:val="left" w:pos="2190"/>
        </w:tabs>
        <w:spacing w:line="400" w:lineRule="exact"/>
        <w:ind w:firstLine="43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12.6采购人和采购代理机构可以视采购具体情况，延长响应文件截止时间和磋商时间，在本项目竞争性磋商公告发布的同一媒体上发布更正公告，供应商自行登录竞争性磋商公告发布的相关网站进行查询，未在进行查询的，造成供应商未在规定的时间递交响应文件的，由供应商自行承担责任。</w:t>
      </w:r>
    </w:p>
    <w:p w14:paraId="508BB43B">
      <w:pPr>
        <w:spacing w:line="35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三、竞争性磋商响应文件的编制</w:t>
      </w:r>
    </w:p>
    <w:p w14:paraId="5D7A9751">
      <w:pPr>
        <w:spacing w:line="35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13.竞争性磋商响应文件编制基本要求：</w:t>
      </w:r>
    </w:p>
    <w:p w14:paraId="243FD4DB">
      <w:pPr>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13.1供应商提交的竞争性磋商响应文件以及供应商与采购代理机构和采购人就有关磋商的所有来往函电均应使用中文。供应商提交的支持文件和印刷的文献可以使用别的语言，但其相应内容必须附有中文翻译文本，在解释竞争性磋商响应文件时以翻译文本为主。</w:t>
      </w:r>
    </w:p>
    <w:p w14:paraId="3A490169">
      <w:pPr>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13.2磋商供应商应认真阅读、并充分理解本文件的全部内容（包括所有的澄清、更改、补充、答疑等内容），承诺并履行本文件中各项条款规定及要求。</w:t>
      </w:r>
    </w:p>
    <w:p w14:paraId="4A89F23B">
      <w:pPr>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13.3竞争性磋商响应文件必须按本文件的全部内容，包括所有的澄清、更改、补充、答疑等内容及附件进行编制。</w:t>
      </w:r>
    </w:p>
    <w:p w14:paraId="781528E2">
      <w:pPr>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13.4如因供应商只填写和提供了本文件要求的部分内容和附件，而给磋商小组评审造成困难，其可能导致的结果和责任由磋商供应商自行承担。</w:t>
      </w:r>
    </w:p>
    <w:p w14:paraId="6E138C08">
      <w:pPr>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13.5 计量单位：除技术要求中另有规定外，本文件所要求使用的计量单位均应采用国家法定计量单位。</w:t>
      </w:r>
    </w:p>
    <w:p w14:paraId="0FEBEA95">
      <w:pPr>
        <w:spacing w:line="40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14.竞争性磋商响应文件的组成：竞争性磋商响应文件应由资格性证明文件、商务、技术响应证明材料组成。</w:t>
      </w:r>
    </w:p>
    <w:p w14:paraId="741C804D">
      <w:pPr>
        <w:spacing w:line="35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14.1资格证明文件</w:t>
      </w:r>
    </w:p>
    <w:p w14:paraId="3D6B6C66">
      <w:pPr>
        <w:snapToGrid w:val="0"/>
        <w:spacing w:line="350" w:lineRule="exact"/>
        <w:ind w:firstLine="411" w:firstLineChars="196"/>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（1）法定代表人的</w:t>
      </w:r>
      <w:r>
        <w:rPr>
          <w:rStyle w:val="35"/>
          <w:rFonts w:hint="eastAsia" w:ascii="宋体"/>
          <w:color w:val="000000" w:themeColor="text1"/>
          <w:szCs w:val="21"/>
          <w:highlight w:val="none"/>
          <w14:textFill>
            <w14:solidFill>
              <w14:schemeClr w14:val="tx1"/>
            </w14:solidFill>
          </w14:textFill>
        </w:rPr>
        <w:t>正反两面</w:t>
      </w:r>
      <w:r>
        <w:rPr>
          <w:rFonts w:hint="eastAsia" w:ascii="宋体"/>
          <w:color w:val="000000" w:themeColor="text1"/>
          <w:szCs w:val="21"/>
          <w:highlight w:val="none"/>
          <w14:textFill>
            <w14:solidFill>
              <w14:schemeClr w14:val="tx1"/>
            </w14:solidFill>
          </w14:textFill>
        </w:rPr>
        <w:t>身份证扫描件</w:t>
      </w:r>
      <w:r>
        <w:rPr>
          <w:rFonts w:hint="eastAsia" w:ascii="宋体"/>
          <w:b/>
          <w:color w:val="000000" w:themeColor="text1"/>
          <w:szCs w:val="21"/>
          <w:highlight w:val="none"/>
          <w14:textFill>
            <w14:solidFill>
              <w14:schemeClr w14:val="tx1"/>
            </w14:solidFill>
          </w14:textFill>
        </w:rPr>
        <w:t>（必须提供）；</w:t>
      </w:r>
      <w:r>
        <w:rPr>
          <w:rFonts w:hint="eastAsia" w:ascii="宋体"/>
          <w:color w:val="000000" w:themeColor="text1"/>
          <w:szCs w:val="21"/>
          <w:highlight w:val="none"/>
          <w14:textFill>
            <w14:solidFill>
              <w14:schemeClr w14:val="tx1"/>
            </w14:solidFill>
          </w14:textFill>
        </w:rPr>
        <w:t xml:space="preserve"> </w:t>
      </w:r>
    </w:p>
    <w:p w14:paraId="57D56FD4">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w:t>
      </w:r>
      <w:bookmarkStart w:id="3" w:name="OLE_LINK22"/>
      <w:r>
        <w:rPr>
          <w:rFonts w:hint="eastAsia" w:ascii="宋体" w:hAnsi="宋体" w:eastAsia="宋体" w:cs="宋体"/>
          <w:color w:val="000000" w:themeColor="text1"/>
          <w:szCs w:val="21"/>
          <w:highlight w:val="none"/>
          <w14:textFill>
            <w14:solidFill>
              <w14:schemeClr w14:val="tx1"/>
            </w14:solidFill>
          </w14:textFill>
        </w:rPr>
        <w:t>供应商的授权委托书原件、委托代理人身份证正反面</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以及由县级以上（含县级）社会养老保险经办机构出具的供应商为委托代理人交纳的响应文件递交截止时间前</w:t>
      </w:r>
      <w:r>
        <w:rPr>
          <w:rFonts w:hint="eastAsia" w:ascii="宋体" w:hAnsi="宋体" w:eastAsia="宋体" w:cs="宋体"/>
          <w:color w:val="000000" w:themeColor="text1"/>
          <w:szCs w:val="21"/>
          <w:highlight w:val="none"/>
          <w:lang w:val="en-US" w:eastAsia="zh-CN"/>
          <w14:textFill>
            <w14:solidFill>
              <w14:schemeClr w14:val="tx1"/>
            </w14:solidFill>
          </w14:textFill>
        </w:rPr>
        <w:t>半年内任意一个月</w:t>
      </w:r>
      <w:r>
        <w:rPr>
          <w:rFonts w:hint="eastAsia" w:ascii="宋体" w:hAnsi="宋体" w:eastAsia="宋体" w:cs="宋体"/>
          <w:color w:val="000000" w:themeColor="text1"/>
          <w:szCs w:val="21"/>
          <w:highlight w:val="none"/>
          <w14:textFill>
            <w14:solidFill>
              <w14:schemeClr w14:val="tx1"/>
            </w14:solidFill>
          </w14:textFill>
        </w:rPr>
        <w:t>社保证明</w:t>
      </w:r>
      <w:bookmarkEnd w:id="3"/>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（委托代理时必须提供）</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除供应商为以下三种情形的：</w:t>
      </w:r>
    </w:p>
    <w:p w14:paraId="6359CAA6">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①如供应商为截标时间前60日以内成立的公司，可以提供供应商与委托代理人签订的劳动合同</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代替社保证明</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w:t>
      </w:r>
    </w:p>
    <w:p w14:paraId="1A1B0D01">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②如供应商为事业单位，可以提供事业单位机构编制管理证</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或事业单位机构为其发放工资的工资条</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代替社保证明</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w:t>
      </w:r>
    </w:p>
    <w:p w14:paraId="425422A9">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③如委托代理人为免缴纳社保人员，提供免缴纳社保的证明材料</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及供应商与委托代理人签订的劳动合同</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代替社保证明</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w:t>
      </w:r>
    </w:p>
    <w:p w14:paraId="093567C4">
      <w:pPr>
        <w:spacing w:line="35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【属自然人的应提供由县级以上（含县级）社会养老保险经办机构出具的自然人本人及委托代理人所交纳的响应文件递交截止时间前</w:t>
      </w:r>
      <w:r>
        <w:rPr>
          <w:rFonts w:hint="eastAsia" w:ascii="宋体" w:hAnsi="宋体" w:eastAsia="宋体" w:cs="宋体"/>
          <w:b/>
          <w:bCs/>
          <w:color w:val="000000" w:themeColor="text1"/>
          <w:szCs w:val="21"/>
          <w:highlight w:val="none"/>
          <w:lang w:val="en-US" w:eastAsia="zh-CN"/>
          <w14:textFill>
            <w14:solidFill>
              <w14:schemeClr w14:val="tx1"/>
            </w14:solidFill>
          </w14:textFill>
        </w:rPr>
        <w:t>半年内任意一个月</w:t>
      </w:r>
      <w:r>
        <w:rPr>
          <w:rFonts w:hint="eastAsia" w:ascii="宋体" w:hAnsi="宋体" w:eastAsia="宋体" w:cs="宋体"/>
          <w:b/>
          <w:bCs/>
          <w:color w:val="000000" w:themeColor="text1"/>
          <w:szCs w:val="21"/>
          <w:highlight w:val="none"/>
          <w14:textFill>
            <w14:solidFill>
              <w14:schemeClr w14:val="tx1"/>
            </w14:solidFill>
          </w14:textFill>
        </w:rPr>
        <w:t>社保证明</w:t>
      </w:r>
      <w:r>
        <w:rPr>
          <w:rFonts w:hint="eastAsia" w:ascii="宋体" w:hAnsi="宋体" w:cs="宋体"/>
          <w:b/>
          <w:bCs/>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b/>
          <w:color w:val="000000" w:themeColor="text1"/>
          <w:szCs w:val="21"/>
          <w:highlight w:val="none"/>
          <w14:textFill>
            <w14:solidFill>
              <w14:schemeClr w14:val="tx1"/>
            </w14:solidFill>
          </w14:textFill>
        </w:rPr>
        <w:t>；</w:t>
      </w:r>
    </w:p>
    <w:p w14:paraId="2EA320C5">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（3）供应商有效的营业执照副本扫描件</w:t>
      </w:r>
      <w:r>
        <w:rPr>
          <w:rFonts w:hint="eastAsia" w:ascii="宋体"/>
          <w:b/>
          <w:color w:val="000000" w:themeColor="text1"/>
          <w:szCs w:val="21"/>
          <w:highlight w:val="none"/>
          <w14:textFill>
            <w14:solidFill>
              <w14:schemeClr w14:val="tx1"/>
            </w14:solidFill>
          </w14:textFill>
        </w:rPr>
        <w:t>（必须提供）；</w:t>
      </w:r>
    </w:p>
    <w:p w14:paraId="0723DB3E">
      <w:pPr>
        <w:spacing w:line="350" w:lineRule="exact"/>
        <w:ind w:firstLine="420" w:firstLineChars="200"/>
        <w:rPr>
          <w:rFonts w:hint="eastAsia" w:ascii="宋体"/>
          <w:b/>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（4）供应商相应有效的企业资质证书副本及安全生产许可证证副本扫描件、拟投入项目经理的注册建造师执业资格证书及安全生产考核合格证书（B类）扫描件</w:t>
      </w:r>
      <w:r>
        <w:rPr>
          <w:rFonts w:hint="eastAsia" w:ascii="宋体"/>
          <w:b/>
          <w:color w:val="000000" w:themeColor="text1"/>
          <w:szCs w:val="21"/>
          <w:highlight w:val="none"/>
          <w14:textFill>
            <w14:solidFill>
              <w14:schemeClr w14:val="tx1"/>
            </w14:solidFill>
          </w14:textFill>
        </w:rPr>
        <w:t>（必须提供）；</w:t>
      </w:r>
    </w:p>
    <w:p w14:paraId="1AA82D36">
      <w:pPr>
        <w:spacing w:line="350" w:lineRule="exact"/>
        <w:ind w:firstLine="420" w:firstLineChars="200"/>
        <w:rPr>
          <w:rFonts w:hint="eastAsia" w:ascii="宋体"/>
          <w:b/>
          <w:color w:val="000000" w:themeColor="text1"/>
          <w:highlight w:val="none"/>
          <w14:textFill>
            <w14:solidFill>
              <w14:schemeClr w14:val="tx1"/>
            </w14:solidFill>
          </w14:textFill>
        </w:rPr>
      </w:pPr>
      <w:r>
        <w:rPr>
          <w:rFonts w:hint="eastAsia" w:ascii="宋体" w:cs="Arial"/>
          <w:color w:val="000000" w:themeColor="text1"/>
          <w:kern w:val="0"/>
          <w:szCs w:val="21"/>
          <w:highlight w:val="none"/>
          <w:lang w:bidi="ar-SA"/>
          <w14:textFill>
            <w14:solidFill>
              <w14:schemeClr w14:val="tx1"/>
            </w14:solidFill>
          </w14:textFill>
        </w:rPr>
        <w:t>（5）项目经理无在建工程承诺书</w:t>
      </w:r>
      <w:r>
        <w:rPr>
          <w:rFonts w:hint="eastAsia" w:ascii="宋体"/>
          <w:b/>
          <w:color w:val="000000" w:themeColor="text1"/>
          <w:highlight w:val="none"/>
          <w14:textFill>
            <w14:solidFill>
              <w14:schemeClr w14:val="tx1"/>
            </w14:solidFill>
          </w14:textFill>
        </w:rPr>
        <w:t>（</w:t>
      </w:r>
      <w:r>
        <w:rPr>
          <w:rFonts w:hint="eastAsia" w:ascii="宋体" w:cs="宋体"/>
          <w:b/>
          <w:bCs/>
          <w:color w:val="000000" w:themeColor="text1"/>
          <w:highlight w:val="none"/>
          <w:lang w:bidi="ar-SA"/>
          <w14:textFill>
            <w14:solidFill>
              <w14:schemeClr w14:val="tx1"/>
            </w14:solidFill>
          </w14:textFill>
        </w:rPr>
        <w:t>格式自拟，</w:t>
      </w:r>
      <w:r>
        <w:rPr>
          <w:rFonts w:hint="eastAsia" w:ascii="宋体"/>
          <w:b/>
          <w:color w:val="000000" w:themeColor="text1"/>
          <w:highlight w:val="none"/>
          <w14:textFill>
            <w14:solidFill>
              <w14:schemeClr w14:val="tx1"/>
            </w14:solidFill>
          </w14:textFill>
        </w:rPr>
        <w:t>必须提供）；</w:t>
      </w:r>
    </w:p>
    <w:p w14:paraId="32DF3B86">
      <w:pPr>
        <w:widowControl w:val="0"/>
        <w:adjustRightInd/>
        <w:snapToGrid/>
        <w:spacing w:after="0" w:line="380" w:lineRule="exact"/>
        <w:ind w:firstLine="435"/>
        <w:jc w:val="both"/>
        <w:rPr>
          <w:rFonts w:hint="eastAsia" w:ascii="宋体" w:hAnsi="宋体" w:eastAsia="宋体" w:cs="Times New Roman"/>
          <w:b/>
          <w:bCs/>
          <w:color w:val="000000" w:themeColor="text1"/>
          <w:kern w:val="2"/>
          <w:sz w:val="21"/>
          <w:szCs w:val="21"/>
          <w:highlight w:val="none"/>
          <w14:textFill>
            <w14:solidFill>
              <w14:schemeClr w14:val="tx1"/>
            </w14:solidFill>
          </w14:textFill>
        </w:rPr>
      </w:pPr>
      <w:r>
        <w:rPr>
          <w:rFonts w:hint="eastAsia" w:ascii="宋体" w:hAnsi="宋体" w:eastAsia="宋体" w:cs="Times New Roman"/>
          <w:b w:val="0"/>
          <w:bCs w:val="0"/>
          <w:color w:val="000000" w:themeColor="text1"/>
          <w:kern w:val="2"/>
          <w:sz w:val="21"/>
          <w:szCs w:val="21"/>
          <w:highlight w:val="none"/>
          <w14:textFill>
            <w14:solidFill>
              <w14:schemeClr w14:val="tx1"/>
            </w14:solidFill>
          </w14:textFill>
        </w:rPr>
        <w:t>（</w:t>
      </w:r>
      <w:r>
        <w:rPr>
          <w:rFonts w:hint="eastAsia" w:ascii="宋体" w:hAnsi="宋体" w:eastAsia="宋体" w:cs="Times New Roman"/>
          <w:b w:val="0"/>
          <w:bCs w:val="0"/>
          <w:color w:val="000000" w:themeColor="text1"/>
          <w:kern w:val="2"/>
          <w:sz w:val="21"/>
          <w:szCs w:val="21"/>
          <w:highlight w:val="none"/>
          <w:lang w:val="en-US" w:eastAsia="zh-CN"/>
          <w14:textFill>
            <w14:solidFill>
              <w14:schemeClr w14:val="tx1"/>
            </w14:solidFill>
          </w14:textFill>
        </w:rPr>
        <w:t>6</w:t>
      </w:r>
      <w:r>
        <w:rPr>
          <w:rFonts w:hint="eastAsia" w:ascii="宋体" w:hAnsi="宋体" w:eastAsia="宋体" w:cs="Times New Roman"/>
          <w:b w:val="0"/>
          <w:bCs w:val="0"/>
          <w:color w:val="000000" w:themeColor="text1"/>
          <w:kern w:val="2"/>
          <w:sz w:val="21"/>
          <w:szCs w:val="21"/>
          <w:highlight w:val="none"/>
          <w14:textFill>
            <w14:solidFill>
              <w14:schemeClr w14:val="tx1"/>
            </w14:solidFill>
          </w14:textFill>
        </w:rPr>
        <w:t>）</w:t>
      </w:r>
      <w:r>
        <w:rPr>
          <w:rFonts w:hint="eastAsia" w:ascii="宋体" w:hAnsi="宋体" w:eastAsia="宋体" w:cs="Times New Roman"/>
          <w:b w:val="0"/>
          <w:bCs w:val="0"/>
          <w:color w:val="000000" w:themeColor="text1"/>
          <w:kern w:val="2"/>
          <w:sz w:val="21"/>
          <w:szCs w:val="21"/>
          <w:highlight w:val="none"/>
          <w:lang w:eastAsia="zh-CN"/>
          <w14:textFill>
            <w14:solidFill>
              <w14:schemeClr w14:val="tx1"/>
            </w14:solidFill>
          </w14:textFill>
        </w:rPr>
        <w:t>供应商</w:t>
      </w:r>
      <w:r>
        <w:rPr>
          <w:rFonts w:hint="eastAsia" w:ascii="宋体" w:hAnsi="宋体" w:eastAsia="宋体" w:cs="Times New Roman"/>
          <w:b w:val="0"/>
          <w:bCs w:val="0"/>
          <w:color w:val="000000" w:themeColor="text1"/>
          <w:kern w:val="2"/>
          <w:sz w:val="21"/>
          <w:szCs w:val="21"/>
          <w:highlight w:val="none"/>
          <w14:textFill>
            <w14:solidFill>
              <w14:schemeClr w14:val="tx1"/>
            </w14:solidFill>
          </w14:textFill>
        </w:rPr>
        <w:t>202</w:t>
      </w:r>
      <w:r>
        <w:rPr>
          <w:rFonts w:hint="eastAsia" w:ascii="宋体" w:hAnsi="宋体" w:eastAsia="宋体" w:cs="Times New Roman"/>
          <w:b w:val="0"/>
          <w:bCs w:val="0"/>
          <w:color w:val="000000" w:themeColor="text1"/>
          <w:kern w:val="2"/>
          <w:sz w:val="21"/>
          <w:szCs w:val="21"/>
          <w:highlight w:val="none"/>
          <w:lang w:val="en-US" w:eastAsia="zh-CN"/>
          <w14:textFill>
            <w14:solidFill>
              <w14:schemeClr w14:val="tx1"/>
            </w14:solidFill>
          </w14:textFill>
        </w:rPr>
        <w:t>4</w:t>
      </w:r>
      <w:r>
        <w:rPr>
          <w:rFonts w:hint="eastAsia" w:ascii="宋体" w:hAnsi="宋体" w:eastAsia="宋体" w:cs="Times New Roman"/>
          <w:b w:val="0"/>
          <w:bCs w:val="0"/>
          <w:color w:val="000000" w:themeColor="text1"/>
          <w:kern w:val="2"/>
          <w:sz w:val="21"/>
          <w:szCs w:val="21"/>
          <w:highlight w:val="none"/>
          <w14:textFill>
            <w14:solidFill>
              <w14:schemeClr w14:val="tx1"/>
            </w14:solidFill>
          </w14:textFill>
        </w:rPr>
        <w:t>年度以来任意一个年度的财务状况报告</w:t>
      </w:r>
      <w:r>
        <w:rPr>
          <w:rFonts w:hint="eastAsia" w:ascii="宋体" w:hAnsi="宋体" w:eastAsia="宋体" w:cs="Times New Roman"/>
          <w:b w:val="0"/>
          <w:bCs w:val="0"/>
          <w:color w:val="000000" w:themeColor="text1"/>
          <w:kern w:val="2"/>
          <w:sz w:val="21"/>
          <w:szCs w:val="21"/>
          <w:highlight w:val="none"/>
          <w:lang w:eastAsia="zh-CN"/>
          <w14:textFill>
            <w14:solidFill>
              <w14:schemeClr w14:val="tx1"/>
            </w14:solidFill>
          </w14:textFill>
        </w:rPr>
        <w:t>【</w:t>
      </w:r>
      <w:r>
        <w:rPr>
          <w:rFonts w:hint="eastAsia" w:ascii="宋体" w:hAnsi="宋体" w:eastAsia="宋体" w:cs="Times New Roman"/>
          <w:color w:val="000000" w:themeColor="text1"/>
          <w:kern w:val="2"/>
          <w:sz w:val="21"/>
          <w:szCs w:val="21"/>
          <w:highlight w:val="none"/>
          <w14:textFill>
            <w14:solidFill>
              <w14:schemeClr w14:val="tx1"/>
            </w14:solidFill>
          </w14:textFill>
        </w:rPr>
        <w:t>提供第三方出具的财务审计报告，或供应商出具的财务报表（格式自拟，须提供现金流量表、负债表及利润表），</w:t>
      </w:r>
      <w:r>
        <w:rPr>
          <w:rFonts w:hint="eastAsia" w:ascii="宋体" w:hAnsi="宋体" w:eastAsia="宋体" w:cs="Times New Roman"/>
          <w:b w:val="0"/>
          <w:bCs w:val="0"/>
          <w:color w:val="000000" w:themeColor="text1"/>
          <w:kern w:val="2"/>
          <w:sz w:val="21"/>
          <w:szCs w:val="21"/>
          <w:highlight w:val="none"/>
          <w14:textFill>
            <w14:solidFill>
              <w14:schemeClr w14:val="tx1"/>
            </w14:solidFill>
          </w14:textFill>
        </w:rPr>
        <w:t>或</w:t>
      </w:r>
      <w:r>
        <w:rPr>
          <w:rFonts w:hint="eastAsia" w:ascii="宋体" w:hAnsi="宋体" w:eastAsia="宋体" w:cs="Times New Roman"/>
          <w:b w:val="0"/>
          <w:bCs w:val="0"/>
          <w:color w:val="000000" w:themeColor="text1"/>
          <w:kern w:val="2"/>
          <w:sz w:val="21"/>
          <w:szCs w:val="21"/>
          <w:highlight w:val="none"/>
          <w:lang w:eastAsia="zh-CN"/>
          <w14:textFill>
            <w14:solidFill>
              <w14:schemeClr w14:val="tx1"/>
            </w14:solidFill>
          </w14:textFill>
        </w:rPr>
        <w:t>2026</w:t>
      </w:r>
      <w:r>
        <w:rPr>
          <w:rFonts w:hint="eastAsia" w:ascii="宋体" w:hAnsi="宋体" w:eastAsia="宋体" w:cs="Times New Roman"/>
          <w:b w:val="0"/>
          <w:bCs w:val="0"/>
          <w:color w:val="000000" w:themeColor="text1"/>
          <w:kern w:val="2"/>
          <w:sz w:val="21"/>
          <w:szCs w:val="21"/>
          <w:highlight w:val="none"/>
          <w14:textFill>
            <w14:solidFill>
              <w14:schemeClr w14:val="tx1"/>
            </w14:solidFill>
          </w14:textFill>
        </w:rPr>
        <w:t>年以来</w:t>
      </w:r>
      <w:r>
        <w:rPr>
          <w:rFonts w:hint="eastAsia" w:ascii="宋体" w:hAnsi="宋体" w:eastAsia="宋体" w:cs="Times New Roman"/>
          <w:color w:val="000000" w:themeColor="text1"/>
          <w:kern w:val="2"/>
          <w:sz w:val="21"/>
          <w:szCs w:val="21"/>
          <w:highlight w:val="none"/>
          <w14:textFill>
            <w14:solidFill>
              <w14:schemeClr w14:val="tx1"/>
            </w14:solidFill>
          </w14:textFill>
        </w:rPr>
        <w:t>其基本开户银行出具的资信证明</w:t>
      </w:r>
      <w:r>
        <w:rPr>
          <w:rFonts w:hint="eastAsia" w:ascii="宋体" w:hAnsi="宋体" w:eastAsia="宋体" w:cs="Times New Roman"/>
          <w:b w:val="0"/>
          <w:bCs w:val="0"/>
          <w:color w:val="000000" w:themeColor="text1"/>
          <w:kern w:val="2"/>
          <w:sz w:val="21"/>
          <w:szCs w:val="21"/>
          <w:highlight w:val="none"/>
          <w:lang w:eastAsia="zh-CN"/>
          <w14:textFill>
            <w14:solidFill>
              <w14:schemeClr w14:val="tx1"/>
            </w14:solidFill>
          </w14:textFill>
        </w:rPr>
        <w:t>】</w:t>
      </w:r>
      <w:r>
        <w:rPr>
          <w:rFonts w:hint="eastAsia" w:ascii="宋体" w:hAnsi="宋体" w:eastAsia="宋体" w:cs="Times New Roman"/>
          <w:color w:val="000000" w:themeColor="text1"/>
          <w:kern w:val="2"/>
          <w:sz w:val="21"/>
          <w:szCs w:val="21"/>
          <w:highlight w:val="none"/>
          <w14:textFill>
            <w14:solidFill>
              <w14:schemeClr w14:val="tx1"/>
            </w14:solidFill>
          </w14:textFill>
        </w:rPr>
        <w:t>扫描件</w:t>
      </w:r>
      <w:r>
        <w:rPr>
          <w:rFonts w:hint="eastAsia" w:ascii="宋体" w:hAnsi="宋体" w:eastAsia="宋体" w:cs="Times New Roman"/>
          <w:b/>
          <w:bCs/>
          <w:color w:val="000000" w:themeColor="text1"/>
          <w:kern w:val="2"/>
          <w:sz w:val="21"/>
          <w:szCs w:val="21"/>
          <w:highlight w:val="none"/>
          <w14:textFill>
            <w14:solidFill>
              <w14:schemeClr w14:val="tx1"/>
            </w14:solidFill>
          </w14:textFill>
        </w:rPr>
        <w:t>（必须提供）；</w:t>
      </w:r>
    </w:p>
    <w:p w14:paraId="2B8D8879">
      <w:pPr>
        <w:pageBreakBefore w:val="0"/>
        <w:widowControl w:val="0"/>
        <w:numPr>
          <w:ilvl w:val="0"/>
          <w:numId w:val="0"/>
        </w:numPr>
        <w:kinsoku/>
        <w:wordWrap/>
        <w:overflowPunct/>
        <w:topLinePunct w:val="0"/>
        <w:bidi w:val="0"/>
        <w:spacing w:line="440" w:lineRule="exact"/>
        <w:ind w:firstLine="420" w:firstLineChars="200"/>
        <w:textAlignment w:val="auto"/>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7</w:t>
      </w:r>
      <w:r>
        <w:rPr>
          <w:rFonts w:hint="eastAsia" w:ascii="宋体"/>
          <w:color w:val="000000" w:themeColor="text1"/>
          <w:szCs w:val="21"/>
          <w:highlight w:val="none"/>
          <w14:textFill>
            <w14:solidFill>
              <w14:schemeClr w14:val="tx1"/>
            </w14:solidFill>
          </w14:textFill>
        </w:rPr>
        <w:t>）</w:t>
      </w:r>
      <w:bookmarkStart w:id="4" w:name="OLE_LINK50"/>
      <w:r>
        <w:rPr>
          <w:rFonts w:hint="eastAsia" w:ascii="宋体" w:hAnsi="宋体" w:eastAsia="宋体" w:cs="宋体"/>
          <w:color w:val="000000" w:themeColor="text1"/>
          <w:szCs w:val="21"/>
          <w:highlight w:val="none"/>
          <w14:textFill>
            <w14:solidFill>
              <w14:schemeClr w14:val="tx1"/>
            </w14:solidFill>
          </w14:textFill>
        </w:rPr>
        <w:t>供</w:t>
      </w:r>
      <w:bookmarkStart w:id="5" w:name="OLE_LINK65"/>
      <w:r>
        <w:rPr>
          <w:rFonts w:hint="eastAsia" w:ascii="宋体" w:hAnsi="宋体" w:eastAsia="宋体" w:cs="宋体"/>
          <w:color w:val="000000" w:themeColor="text1"/>
          <w:szCs w:val="21"/>
          <w:highlight w:val="none"/>
          <w14:textFill>
            <w14:solidFill>
              <w14:schemeClr w14:val="tx1"/>
            </w14:solidFill>
          </w14:textFill>
        </w:rPr>
        <w:t>应商近半年内任意一个月或任一季度依法缴纳税收的证明材料</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增值税</w:t>
      </w:r>
      <w:r>
        <w:rPr>
          <w:rFonts w:hint="eastAsia" w:ascii="宋体" w:hAnsi="宋体" w:cs="宋体"/>
          <w:color w:val="000000" w:themeColor="text1"/>
          <w:szCs w:val="21"/>
          <w:highlight w:val="none"/>
          <w:lang w:eastAsia="zh-CN"/>
          <w14:textFill>
            <w14:solidFill>
              <w14:schemeClr w14:val="tx1"/>
            </w14:solidFill>
          </w14:textFill>
        </w:rPr>
        <w:t>缴纳</w:t>
      </w:r>
      <w:r>
        <w:rPr>
          <w:rFonts w:hint="eastAsia" w:ascii="宋体" w:hAnsi="宋体" w:eastAsia="宋体" w:cs="宋体"/>
          <w:color w:val="000000" w:themeColor="text1"/>
          <w:szCs w:val="21"/>
          <w:highlight w:val="none"/>
          <w14:textFill>
            <w14:solidFill>
              <w14:schemeClr w14:val="tx1"/>
            </w14:solidFill>
          </w14:textFill>
        </w:rPr>
        <w:t>发票(税收完税证明)或企业所得税完税证明或税务部门出具的免税证明</w:t>
      </w:r>
      <w:r>
        <w:rPr>
          <w:rFonts w:hint="eastAsia" w:ascii="宋体" w:hAnsi="宋体" w:cs="宋体"/>
          <w:color w:val="000000" w:themeColor="text1"/>
          <w:szCs w:val="21"/>
          <w:highlight w:val="none"/>
          <w:lang w:val="en-US" w:eastAsia="zh-CN"/>
          <w14:textFill>
            <w14:solidFill>
              <w14:schemeClr w14:val="tx1"/>
            </w14:solidFill>
          </w14:textFill>
        </w:rPr>
        <w:t>]</w:t>
      </w:r>
      <w:bookmarkEnd w:id="4"/>
      <w:bookmarkEnd w:id="5"/>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b/>
          <w:bCs/>
          <w:color w:val="000000" w:themeColor="text1"/>
          <w:szCs w:val="21"/>
          <w:highlight w:val="none"/>
          <w14:textFill>
            <w14:solidFill>
              <w14:schemeClr w14:val="tx1"/>
            </w14:solidFill>
          </w14:textFill>
        </w:rPr>
        <w:t>（必须提供）。</w:t>
      </w:r>
    </w:p>
    <w:p w14:paraId="1365E41B">
      <w:pPr>
        <w:snapToGrid w:val="0"/>
        <w:spacing w:line="350" w:lineRule="exact"/>
        <w:ind w:firstLine="420" w:firstLineChars="200"/>
        <w:jc w:val="left"/>
        <w:rPr>
          <w:rFonts w:hint="eastAsia" w:ascii="宋体" w:cs="Arial"/>
          <w:color w:val="000000" w:themeColor="text1"/>
          <w:kern w:val="0"/>
          <w:szCs w:val="21"/>
          <w:highlight w:val="none"/>
          <w:lang w:bidi="ar-SA"/>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8</w:t>
      </w:r>
      <w:r>
        <w:rPr>
          <w:rFonts w:hint="eastAsia" w:ascii="宋体"/>
          <w:color w:val="000000" w:themeColor="text1"/>
          <w:szCs w:val="21"/>
          <w:highlight w:val="none"/>
          <w14:textFill>
            <w14:solidFill>
              <w14:schemeClr w14:val="tx1"/>
            </w14:solidFill>
          </w14:textFill>
        </w:rPr>
        <w:t>）供应商参加政府采购活动前3年内在经营活动中没有重大违法记录及有关信用信息、前期服务情况的书面声明</w:t>
      </w:r>
      <w:r>
        <w:rPr>
          <w:rFonts w:hint="eastAsia" w:ascii="宋体"/>
          <w:b/>
          <w:color w:val="000000" w:themeColor="text1"/>
          <w:szCs w:val="21"/>
          <w:highlight w:val="none"/>
          <w14:textFill>
            <w14:solidFill>
              <w14:schemeClr w14:val="tx1"/>
            </w14:solidFill>
          </w14:textFill>
        </w:rPr>
        <w:t>（格式见附件，必须提供）</w:t>
      </w:r>
      <w:r>
        <w:rPr>
          <w:rFonts w:hint="eastAsia" w:ascii="宋体" w:cs="Arial"/>
          <w:color w:val="000000" w:themeColor="text1"/>
          <w:kern w:val="0"/>
          <w:szCs w:val="21"/>
          <w:highlight w:val="none"/>
          <w:lang w:bidi="ar-SA"/>
          <w14:textFill>
            <w14:solidFill>
              <w14:schemeClr w14:val="tx1"/>
            </w14:solidFill>
          </w14:textFill>
        </w:rPr>
        <w:t xml:space="preserve"> ；</w:t>
      </w:r>
    </w:p>
    <w:p w14:paraId="2EC9C41D">
      <w:pPr>
        <w:pStyle w:val="12"/>
        <w:spacing w:line="400" w:lineRule="exact"/>
        <w:ind w:firstLine="420" w:firstLineChars="200"/>
        <w:rPr>
          <w:rFonts w:hint="eastAsia"/>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）中小企业相应有效的证明文件</w:t>
      </w:r>
      <w:r>
        <w:rPr>
          <w:rFonts w:hint="eastAsia"/>
          <w:b/>
          <w:color w:val="000000" w:themeColor="text1"/>
          <w:highlight w:val="none"/>
          <w14:textFill>
            <w14:solidFill>
              <w14:schemeClr w14:val="tx1"/>
            </w14:solidFill>
          </w14:textFill>
        </w:rPr>
        <w:t>（必须提供）；</w:t>
      </w:r>
    </w:p>
    <w:p w14:paraId="14FAAE15">
      <w:pPr>
        <w:pStyle w:val="12"/>
        <w:spacing w:line="400" w:lineRule="exact"/>
        <w:ind w:firstLine="422" w:firstLineChars="200"/>
        <w:rPr>
          <w:rFonts w:hint="eastAsia"/>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根据企业所属类型，必须提供以下材料之一</w:t>
      </w:r>
      <w:r>
        <w:rPr>
          <w:rFonts w:hint="eastAsia"/>
          <w:color w:val="000000" w:themeColor="text1"/>
          <w:highlight w:val="none"/>
          <w14:textFill>
            <w14:solidFill>
              <w14:schemeClr w14:val="tx1"/>
            </w14:solidFill>
          </w14:textFill>
        </w:rPr>
        <w:t>：</w:t>
      </w:r>
    </w:p>
    <w:p w14:paraId="5F516537">
      <w:pPr>
        <w:pStyle w:val="12"/>
        <w:spacing w:line="400" w:lineRule="exac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①中小企业声明函【如工程由中型、小型、微型企业（中小微型企业划分标准按照《国家统计局关于印发《统计上大中小微型企业划分办法〔2017〕》的通知》（国统字〔2017〕213号）执行）承建的，供应商应如实声明并对出具的声明函（格式见附件）真实性负责。成交结果将同时公告该企业《中小企业声明函》，接受社会监督。】</w:t>
      </w:r>
    </w:p>
    <w:p w14:paraId="110012F2">
      <w:pPr>
        <w:spacing w:line="400" w:lineRule="exact"/>
        <w:ind w:firstLine="420" w:firstLineChars="200"/>
        <w:rPr>
          <w:rFonts w:hint="eastAsia"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②监狱企业的证明文件【</w:t>
      </w:r>
      <w:r>
        <w:rPr>
          <w:rFonts w:hint="eastAsia"/>
          <w:color w:val="000000" w:themeColor="text1"/>
          <w:highlight w:val="none"/>
          <w14:textFill>
            <w14:solidFill>
              <w14:schemeClr w14:val="tx1"/>
            </w14:solidFill>
          </w14:textFill>
        </w:rPr>
        <w:t>如工程由监狱企业承建</w:t>
      </w:r>
      <w:r>
        <w:rPr>
          <w:rFonts w:hint="eastAsia" w:ascii="宋体"/>
          <w:color w:val="000000" w:themeColor="text1"/>
          <w:highlight w:val="none"/>
          <w14:textFill>
            <w14:solidFill>
              <w14:schemeClr w14:val="tx1"/>
            </w14:solidFill>
          </w14:textFill>
        </w:rPr>
        <w:t>，供应商应当提供由省级以上监狱管理局、戒毒管理局（含新疆生产建设兵团）出具的属于监狱企业的证明文件，否则不予享受中小企业政策】；</w:t>
      </w:r>
    </w:p>
    <w:p w14:paraId="3ABF0912">
      <w:pPr>
        <w:tabs>
          <w:tab w:val="left" w:pos="1305"/>
        </w:tabs>
        <w:spacing w:line="400" w:lineRule="exact"/>
        <w:ind w:firstLine="420" w:firstLineChars="200"/>
        <w:rPr>
          <w:rFonts w:hint="eastAsia"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③《残疾人福利性单位声明函》【符合条件的残疾人福利性单位在参加政府采购活动时，供应商应如实声明并对出具的声明函（格式见附件）真实性负责，否则不予享受中小企业政策】。</w:t>
      </w:r>
    </w:p>
    <w:p w14:paraId="2A3EB0CB">
      <w:pPr>
        <w:tabs>
          <w:tab w:val="left" w:pos="1305"/>
        </w:tabs>
        <w:spacing w:line="400" w:lineRule="exact"/>
        <w:ind w:firstLine="422" w:firstLineChars="200"/>
        <w:rPr>
          <w:rFonts w:hint="eastAsia"/>
          <w:b/>
          <w:color w:val="000000" w:themeColor="text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注：</w:t>
      </w:r>
      <w:r>
        <w:rPr>
          <w:rFonts w:hint="eastAsia" w:ascii="宋体"/>
          <w:b/>
          <w:color w:val="000000" w:themeColor="text1"/>
          <w:highlight w:val="none"/>
          <w:lang w:eastAsia="zh-CN"/>
          <w14:textFill>
            <w14:solidFill>
              <w14:schemeClr w14:val="tx1"/>
            </w14:solidFill>
          </w14:textFill>
        </w:rPr>
        <w:t>本项目</w:t>
      </w:r>
      <w:r>
        <w:rPr>
          <w:rFonts w:hint="eastAsia" w:ascii="宋体"/>
          <w:b/>
          <w:color w:val="000000" w:themeColor="text1"/>
          <w:highlight w:val="none"/>
          <w14:textFill>
            <w14:solidFill>
              <w14:schemeClr w14:val="tx1"/>
            </w14:solidFill>
          </w14:textFill>
        </w:rPr>
        <w:t>专门面向</w:t>
      </w:r>
      <w:r>
        <w:rPr>
          <w:rFonts w:hint="eastAsia" w:ascii="宋体"/>
          <w:b/>
          <w:color w:val="000000" w:themeColor="text1"/>
          <w:highlight w:val="none"/>
          <w:lang w:eastAsia="zh-CN"/>
          <w14:textFill>
            <w14:solidFill>
              <w14:schemeClr w14:val="tx1"/>
            </w14:solidFill>
          </w14:textFill>
        </w:rPr>
        <w:t>中小</w:t>
      </w:r>
      <w:r>
        <w:rPr>
          <w:rFonts w:hint="eastAsia" w:ascii="宋体"/>
          <w:b/>
          <w:color w:val="000000" w:themeColor="text1"/>
          <w:highlight w:val="none"/>
          <w14:textFill>
            <w14:solidFill>
              <w14:schemeClr w14:val="tx1"/>
            </w14:solidFill>
          </w14:textFill>
        </w:rPr>
        <w:t>企业采购的项目（供应商应为</w:t>
      </w:r>
      <w:r>
        <w:rPr>
          <w:rFonts w:hint="eastAsia" w:ascii="宋体"/>
          <w:b/>
          <w:color w:val="000000" w:themeColor="text1"/>
          <w:highlight w:val="none"/>
          <w:lang w:eastAsia="zh-CN"/>
          <w14:textFill>
            <w14:solidFill>
              <w14:schemeClr w14:val="tx1"/>
            </w14:solidFill>
          </w14:textFill>
        </w:rPr>
        <w:t>中小</w:t>
      </w:r>
      <w:r>
        <w:rPr>
          <w:rFonts w:hint="eastAsia" w:ascii="宋体"/>
          <w:b/>
          <w:color w:val="000000" w:themeColor="text1"/>
          <w:highlight w:val="none"/>
          <w14:textFill>
            <w14:solidFill>
              <w14:schemeClr w14:val="tx1"/>
            </w14:solidFill>
          </w14:textFill>
        </w:rPr>
        <w:t xml:space="preserve">企业、监狱企业、残疾人福利性单位) </w:t>
      </w:r>
      <w:r>
        <w:rPr>
          <w:rFonts w:hint="eastAsia"/>
          <w:b/>
          <w:color w:val="000000" w:themeColor="text1"/>
          <w:highlight w:val="none"/>
          <w14:textFill>
            <w14:solidFill>
              <w14:schemeClr w14:val="tx1"/>
            </w14:solidFill>
          </w14:textFill>
        </w:rPr>
        <w:t>，</w:t>
      </w:r>
      <w:r>
        <w:rPr>
          <w:b/>
          <w:color w:val="000000" w:themeColor="text1"/>
          <w:highlight w:val="none"/>
          <w14:textFill>
            <w14:solidFill>
              <w14:schemeClr w14:val="tx1"/>
            </w14:solidFill>
          </w14:textFill>
        </w:rPr>
        <w:t>不接受非上述企业参与</w:t>
      </w:r>
      <w:r>
        <w:rPr>
          <w:rFonts w:hint="eastAsia"/>
          <w:b/>
          <w:color w:val="000000" w:themeColor="text1"/>
          <w:highlight w:val="none"/>
          <w14:textFill>
            <w14:solidFill>
              <w14:schemeClr w14:val="tx1"/>
            </w14:solidFill>
          </w14:textFill>
        </w:rPr>
        <w:t>磋商。</w:t>
      </w:r>
    </w:p>
    <w:p w14:paraId="222BA66B">
      <w:pPr>
        <w:spacing w:line="35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14.2商务、技术响应证明材料</w:t>
      </w:r>
    </w:p>
    <w:p w14:paraId="1E6744C3">
      <w:pPr>
        <w:tabs>
          <w:tab w:val="left" w:pos="1305"/>
        </w:tabs>
        <w:snapToGrid w:val="0"/>
        <w:spacing w:line="350" w:lineRule="exact"/>
        <w:ind w:firstLine="527" w:firstLineChars="250"/>
        <w:rPr>
          <w:rFonts w:hint="eastAsia"/>
          <w:color w:val="000000" w:themeColor="text1"/>
          <w:highlight w:val="none"/>
          <w14:textFill>
            <w14:solidFill>
              <w14:schemeClr w14:val="tx1"/>
            </w14:solidFill>
          </w14:textFill>
        </w:rPr>
      </w:pPr>
      <w:r>
        <w:rPr>
          <w:rStyle w:val="35"/>
          <w:rFonts w:hint="eastAsia" w:ascii="宋体"/>
          <w:b/>
          <w:color w:val="000000" w:themeColor="text1"/>
          <w:szCs w:val="21"/>
          <w:highlight w:val="none"/>
          <w14:textFill>
            <w14:solidFill>
              <w14:schemeClr w14:val="tx1"/>
            </w14:solidFill>
          </w14:textFill>
        </w:rPr>
        <w:t>符合性响应证明材料：</w:t>
      </w:r>
    </w:p>
    <w:p w14:paraId="006A5D7A">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（1）响应函及响应函附录</w:t>
      </w:r>
      <w:r>
        <w:rPr>
          <w:rFonts w:hint="eastAsia" w:ascii="宋体"/>
          <w:b/>
          <w:color w:val="000000" w:themeColor="text1"/>
          <w:szCs w:val="21"/>
          <w:highlight w:val="none"/>
          <w14:textFill>
            <w14:solidFill>
              <w14:schemeClr w14:val="tx1"/>
            </w14:solidFill>
          </w14:textFill>
        </w:rPr>
        <w:t>（格式见附件，必须提供）；</w:t>
      </w:r>
    </w:p>
    <w:p w14:paraId="30A134F9">
      <w:pPr>
        <w:snapToGrid w:val="0"/>
        <w:spacing w:line="350" w:lineRule="exact"/>
        <w:ind w:firstLine="420" w:firstLineChars="200"/>
        <w:outlineLvl w:val="4"/>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（2）已标价工程量清单</w:t>
      </w:r>
      <w:r>
        <w:rPr>
          <w:rFonts w:hint="eastAsia" w:ascii="宋体"/>
          <w:b/>
          <w:color w:val="000000" w:themeColor="text1"/>
          <w:szCs w:val="21"/>
          <w:highlight w:val="none"/>
          <w14:textFill>
            <w14:solidFill>
              <w14:schemeClr w14:val="tx1"/>
            </w14:solidFill>
          </w14:textFill>
        </w:rPr>
        <w:t>（必须提供）</w:t>
      </w:r>
      <w:r>
        <w:rPr>
          <w:rFonts w:hint="eastAsia" w:ascii="宋体"/>
          <w:color w:val="000000" w:themeColor="text1"/>
          <w:szCs w:val="21"/>
          <w:highlight w:val="none"/>
          <w14:textFill>
            <w14:solidFill>
              <w14:schemeClr w14:val="tx1"/>
            </w14:solidFill>
          </w14:textFill>
        </w:rPr>
        <w:t xml:space="preserve"> ；</w:t>
      </w:r>
    </w:p>
    <w:p w14:paraId="1D78BE18">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（3）项目管理机构组成表</w:t>
      </w:r>
      <w:r>
        <w:rPr>
          <w:rFonts w:hint="eastAsia" w:ascii="宋体"/>
          <w:b/>
          <w:color w:val="000000" w:themeColor="text1"/>
          <w:szCs w:val="21"/>
          <w:highlight w:val="none"/>
          <w14:textFill>
            <w14:solidFill>
              <w14:schemeClr w14:val="tx1"/>
            </w14:solidFill>
          </w14:textFill>
        </w:rPr>
        <w:t>【</w:t>
      </w:r>
      <w:r>
        <w:rPr>
          <w:rFonts w:hint="eastAsia" w:ascii="宋体" w:cs="MingLiU"/>
          <w:color w:val="000000" w:themeColor="text1"/>
          <w:kern w:val="0"/>
          <w:szCs w:val="21"/>
          <w:highlight w:val="none"/>
          <w:lang w:bidi="ar-SA"/>
          <w14:textFill>
            <w14:solidFill>
              <w14:schemeClr w14:val="tx1"/>
            </w14:solidFill>
          </w14:textFill>
        </w:rPr>
        <w:t>项目经理应附身份证、注册建造师执业资格证书、安全生产考核合格证书（B类）、职称证书（如有）的</w:t>
      </w:r>
      <w:r>
        <w:rPr>
          <w:rFonts w:hint="eastAsia" w:ascii="宋体"/>
          <w:color w:val="000000" w:themeColor="text1"/>
          <w:kern w:val="0"/>
          <w:szCs w:val="21"/>
          <w:highlight w:val="none"/>
          <w14:textFill>
            <w14:solidFill>
              <w14:schemeClr w14:val="tx1"/>
            </w14:solidFill>
          </w14:textFill>
        </w:rPr>
        <w:t>扫描件</w:t>
      </w:r>
      <w:r>
        <w:rPr>
          <w:rFonts w:hint="eastAsia" w:ascii="宋体" w:cs="MingLiU"/>
          <w:color w:val="000000" w:themeColor="text1"/>
          <w:kern w:val="0"/>
          <w:szCs w:val="21"/>
          <w:highlight w:val="none"/>
          <w:lang w:bidi="ar-SA"/>
          <w14:textFill>
            <w14:solidFill>
              <w14:schemeClr w14:val="tx1"/>
            </w14:solidFill>
          </w14:textFill>
        </w:rPr>
        <w:t>；项目技术负责人应附身份证</w:t>
      </w:r>
      <w:r>
        <w:rPr>
          <w:rFonts w:hint="eastAsia" w:ascii="宋体"/>
          <w:color w:val="000000" w:themeColor="text1"/>
          <w:kern w:val="0"/>
          <w:szCs w:val="21"/>
          <w:highlight w:val="none"/>
          <w14:textFill>
            <w14:solidFill>
              <w14:schemeClr w14:val="tx1"/>
            </w14:solidFill>
          </w14:textFill>
        </w:rPr>
        <w:t>扫描件</w:t>
      </w:r>
      <w:r>
        <w:rPr>
          <w:rFonts w:hint="eastAsia" w:ascii="宋体" w:cs="MingLiU"/>
          <w:color w:val="000000" w:themeColor="text1"/>
          <w:kern w:val="0"/>
          <w:szCs w:val="21"/>
          <w:highlight w:val="none"/>
          <w:lang w:bidi="ar-SA"/>
          <w14:textFill>
            <w14:solidFill>
              <w14:schemeClr w14:val="tx1"/>
            </w14:solidFill>
          </w14:textFill>
        </w:rPr>
        <w:t>、职称证书</w:t>
      </w:r>
      <w:r>
        <w:rPr>
          <w:rFonts w:hint="eastAsia" w:ascii="宋体"/>
          <w:color w:val="000000" w:themeColor="text1"/>
          <w:kern w:val="0"/>
          <w:szCs w:val="21"/>
          <w:highlight w:val="none"/>
          <w14:textFill>
            <w14:solidFill>
              <w14:schemeClr w14:val="tx1"/>
            </w14:solidFill>
          </w14:textFill>
        </w:rPr>
        <w:t>扫描件</w:t>
      </w:r>
      <w:r>
        <w:rPr>
          <w:rFonts w:hint="eastAsia" w:ascii="宋体" w:cs="MingLiU"/>
          <w:color w:val="000000" w:themeColor="text1"/>
          <w:kern w:val="0"/>
          <w:szCs w:val="21"/>
          <w:highlight w:val="none"/>
          <w:lang w:bidi="ar-SA"/>
          <w14:textFill>
            <w14:solidFill>
              <w14:schemeClr w14:val="tx1"/>
            </w14:solidFill>
          </w14:textFill>
        </w:rPr>
        <w:t>；专职安全生产管理人员应附身份证、专职安全员安全生产考核合格证书（C类）、职称证书（如有）</w:t>
      </w:r>
      <w:r>
        <w:rPr>
          <w:rFonts w:hint="eastAsia" w:ascii="宋体"/>
          <w:color w:val="000000" w:themeColor="text1"/>
          <w:kern w:val="0"/>
          <w:szCs w:val="21"/>
          <w:highlight w:val="none"/>
          <w14:textFill>
            <w14:solidFill>
              <w14:schemeClr w14:val="tx1"/>
            </w14:solidFill>
          </w14:textFill>
        </w:rPr>
        <w:t>扫描件</w:t>
      </w:r>
      <w:r>
        <w:rPr>
          <w:rFonts w:hint="eastAsia" w:ascii="宋体" w:cs="MingLiU"/>
          <w:color w:val="000000" w:themeColor="text1"/>
          <w:kern w:val="0"/>
          <w:szCs w:val="21"/>
          <w:highlight w:val="none"/>
          <w:lang w:bidi="ar-SA"/>
          <w14:textFill>
            <w14:solidFill>
              <w14:schemeClr w14:val="tx1"/>
            </w14:solidFill>
          </w14:textFill>
        </w:rPr>
        <w:t>；其他主要人员应附执业证或上岗证书、职称证书（如有）</w:t>
      </w:r>
      <w:r>
        <w:rPr>
          <w:rFonts w:hint="eastAsia" w:ascii="宋体"/>
          <w:color w:val="000000" w:themeColor="text1"/>
          <w:kern w:val="0"/>
          <w:szCs w:val="21"/>
          <w:highlight w:val="none"/>
          <w14:textFill>
            <w14:solidFill>
              <w14:schemeClr w14:val="tx1"/>
            </w14:solidFill>
          </w14:textFill>
        </w:rPr>
        <w:t>扫描件；提供以上人员由社保部门出具的供应商为其缴纳的响应文件递交截止时间前半年内任意一个月社保证明扫描件，除供应商为以下三种情形的：①如供应商为截标时间前60日以内成立的公司，可以提供供应商与委托代理人签订的劳动合同扫描件代替社保证明扫描件；②如供应商为事业单位，可以提供事业单位机构编制管理证扫描件或事业单位机构为其发放工资的工资条扫描件代替社保证明扫描件；③如委托代理人为免缴纳社保人员，提供免缴纳社保的证明材料扫描件及供应商与委托代理人签订的劳动合同扫描件代替社保证明扫描件。</w:t>
      </w:r>
      <w:r>
        <w:rPr>
          <w:rFonts w:hint="eastAsia" w:ascii="宋体" w:cs="MingLiU"/>
          <w:color w:val="000000" w:themeColor="text1"/>
          <w:kern w:val="0"/>
          <w:szCs w:val="21"/>
          <w:highlight w:val="none"/>
          <w:lang w:bidi="ar-SA"/>
          <w14:textFill>
            <w14:solidFill>
              <w14:schemeClr w14:val="tx1"/>
            </w14:solidFill>
          </w14:textFill>
        </w:rPr>
        <w:t>】</w:t>
      </w:r>
      <w:r>
        <w:rPr>
          <w:rFonts w:hint="eastAsia" w:ascii="宋体"/>
          <w:b/>
          <w:color w:val="000000" w:themeColor="text1"/>
          <w:szCs w:val="21"/>
          <w:highlight w:val="none"/>
          <w14:textFill>
            <w14:solidFill>
              <w14:schemeClr w14:val="tx1"/>
            </w14:solidFill>
          </w14:textFill>
        </w:rPr>
        <w:t>（格式见附件，必须提供）</w:t>
      </w:r>
      <w:r>
        <w:rPr>
          <w:rFonts w:hint="eastAsia" w:ascii="宋体"/>
          <w:color w:val="000000" w:themeColor="text1"/>
          <w:szCs w:val="21"/>
          <w:highlight w:val="none"/>
          <w14:textFill>
            <w14:solidFill>
              <w14:schemeClr w14:val="tx1"/>
            </w14:solidFill>
          </w14:textFill>
        </w:rPr>
        <w:t>；</w:t>
      </w:r>
    </w:p>
    <w:p w14:paraId="61837546">
      <w:pPr>
        <w:spacing w:line="350" w:lineRule="exact"/>
        <w:ind w:firstLine="420" w:firstLineChars="200"/>
        <w:rPr>
          <w:rFonts w:hint="eastAsia" w:ascii="宋体" w:cs="MingLiU"/>
          <w:color w:val="000000" w:themeColor="text1"/>
          <w:kern w:val="0"/>
          <w:szCs w:val="21"/>
          <w:highlight w:val="none"/>
          <w:lang w:bidi="ar-SA"/>
          <w14:textFill>
            <w14:solidFill>
              <w14:schemeClr w14:val="tx1"/>
            </w14:solidFill>
          </w14:textFill>
        </w:rPr>
      </w:pPr>
      <w:r>
        <w:rPr>
          <w:rFonts w:hint="eastAsia" w:ascii="宋体"/>
          <w:color w:val="000000" w:themeColor="text1"/>
          <w:szCs w:val="21"/>
          <w:highlight w:val="none"/>
          <w14:textFill>
            <w14:solidFill>
              <w14:schemeClr w14:val="tx1"/>
            </w14:solidFill>
          </w14:textFill>
        </w:rPr>
        <w:t>（4）施工组织设计（根据工程量清单及工程情况自行编制）</w:t>
      </w:r>
      <w:r>
        <w:rPr>
          <w:rFonts w:hint="eastAsia" w:ascii="宋体"/>
          <w:b/>
          <w:color w:val="000000" w:themeColor="text1"/>
          <w:szCs w:val="21"/>
          <w:highlight w:val="none"/>
          <w14:textFill>
            <w14:solidFill>
              <w14:schemeClr w14:val="tx1"/>
            </w14:solidFill>
          </w14:textFill>
        </w:rPr>
        <w:t>（格式自拟，必须提供）</w:t>
      </w:r>
      <w:r>
        <w:rPr>
          <w:rFonts w:hint="eastAsia" w:ascii="宋体"/>
          <w:color w:val="000000" w:themeColor="text1"/>
          <w:szCs w:val="21"/>
          <w:highlight w:val="none"/>
          <w14:textFill>
            <w14:solidFill>
              <w14:schemeClr w14:val="tx1"/>
            </w14:solidFill>
          </w14:textFill>
        </w:rPr>
        <w:t>；</w:t>
      </w:r>
    </w:p>
    <w:p w14:paraId="270B2DCE">
      <w:pPr>
        <w:spacing w:line="350" w:lineRule="exact"/>
        <w:ind w:firstLine="420" w:firstLineChars="200"/>
        <w:rPr>
          <w:rFonts w:hint="eastAsia"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w:t>
      </w:r>
      <w:r>
        <w:rPr>
          <w:rFonts w:hint="eastAsia" w:ascii="宋体"/>
          <w:color w:val="000000" w:themeColor="text1"/>
          <w:highlight w:val="none"/>
          <w:lang w:val="en-US" w:eastAsia="zh-CN"/>
          <w14:textFill>
            <w14:solidFill>
              <w14:schemeClr w14:val="tx1"/>
            </w14:solidFill>
          </w14:textFill>
        </w:rPr>
        <w:t>5</w:t>
      </w:r>
      <w:r>
        <w:rPr>
          <w:rFonts w:hint="eastAsia" w:ascii="宋体"/>
          <w:color w:val="000000" w:themeColor="text1"/>
          <w:highlight w:val="none"/>
          <w14:textFill>
            <w14:solidFill>
              <w14:schemeClr w14:val="tx1"/>
            </w14:solidFill>
          </w14:textFill>
        </w:rPr>
        <w:t>）</w:t>
      </w:r>
      <w:r>
        <w:rPr>
          <w:rFonts w:hint="eastAsia" w:ascii="宋体"/>
          <w:color w:val="000000" w:themeColor="text1"/>
          <w:szCs w:val="21"/>
          <w:highlight w:val="none"/>
          <w14:textFill>
            <w14:solidFill>
              <w14:schemeClr w14:val="tx1"/>
            </w14:solidFill>
          </w14:textFill>
        </w:rPr>
        <w:t>建设工程项目管理承诺书</w:t>
      </w:r>
      <w:r>
        <w:rPr>
          <w:rFonts w:hint="eastAsia" w:ascii="宋体"/>
          <w:b/>
          <w:color w:val="000000" w:themeColor="text1"/>
          <w:szCs w:val="21"/>
          <w:highlight w:val="none"/>
          <w14:textFill>
            <w14:solidFill>
              <w14:schemeClr w14:val="tx1"/>
            </w14:solidFill>
          </w14:textFill>
        </w:rPr>
        <w:t>（格式见附件，必须提供）；</w:t>
      </w:r>
    </w:p>
    <w:p w14:paraId="3A3870B5">
      <w:pPr>
        <w:spacing w:line="350" w:lineRule="exact"/>
        <w:ind w:firstLine="420" w:firstLineChars="200"/>
        <w:rPr>
          <w:rFonts w:hint="eastAsia" w:ascii="宋体"/>
          <w:b/>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6</w:t>
      </w:r>
      <w:r>
        <w:rPr>
          <w:rFonts w:hint="eastAsia" w:ascii="宋体"/>
          <w:color w:val="000000" w:themeColor="text1"/>
          <w:szCs w:val="21"/>
          <w:highlight w:val="none"/>
          <w14:textFill>
            <w14:solidFill>
              <w14:schemeClr w14:val="tx1"/>
            </w14:solidFill>
          </w14:textFill>
        </w:rPr>
        <w:t>）</w:t>
      </w:r>
      <w:r>
        <w:rPr>
          <w:rFonts w:hint="eastAsia" w:ascii="宋体" w:hAnsi="宋体" w:cs="宋体"/>
          <w:bCs/>
          <w:color w:val="000000" w:themeColor="text1"/>
          <w:kern w:val="0"/>
          <w:szCs w:val="21"/>
          <w:highlight w:val="none"/>
          <w14:textFill>
            <w14:solidFill>
              <w14:schemeClr w14:val="tx1"/>
            </w14:solidFill>
          </w14:textFill>
        </w:rPr>
        <w:t>城乡清洁</w:t>
      </w:r>
      <w:r>
        <w:rPr>
          <w:rFonts w:hint="eastAsia" w:ascii="宋体"/>
          <w:color w:val="000000" w:themeColor="text1"/>
          <w:szCs w:val="21"/>
          <w:highlight w:val="none"/>
          <w14:textFill>
            <w14:solidFill>
              <w14:schemeClr w14:val="tx1"/>
            </w14:solidFill>
          </w14:textFill>
        </w:rPr>
        <w:t>工程渣土清运承诺书</w:t>
      </w:r>
      <w:r>
        <w:rPr>
          <w:rFonts w:hint="eastAsia" w:ascii="宋体"/>
          <w:b/>
          <w:color w:val="000000" w:themeColor="text1"/>
          <w:szCs w:val="21"/>
          <w:highlight w:val="none"/>
          <w14:textFill>
            <w14:solidFill>
              <w14:schemeClr w14:val="tx1"/>
            </w14:solidFill>
          </w14:textFill>
        </w:rPr>
        <w:t>（必须提供）；</w:t>
      </w:r>
    </w:p>
    <w:p w14:paraId="72D9F68A">
      <w:pPr>
        <w:tabs>
          <w:tab w:val="left" w:pos="1305"/>
        </w:tabs>
        <w:snapToGrid w:val="0"/>
        <w:spacing w:line="350" w:lineRule="exact"/>
        <w:ind w:firstLine="422" w:firstLineChars="200"/>
        <w:rPr>
          <w:rFonts w:hint="eastAsia"/>
          <w:color w:val="000000" w:themeColor="text1"/>
          <w:highlight w:val="none"/>
          <w14:textFill>
            <w14:solidFill>
              <w14:schemeClr w14:val="tx1"/>
            </w14:solidFill>
          </w14:textFill>
        </w:rPr>
      </w:pPr>
      <w:r>
        <w:rPr>
          <w:rStyle w:val="35"/>
          <w:rFonts w:hint="eastAsia" w:ascii="宋体"/>
          <w:b/>
          <w:color w:val="000000" w:themeColor="text1"/>
          <w:szCs w:val="21"/>
          <w:highlight w:val="none"/>
          <w14:textFill>
            <w14:solidFill>
              <w14:schemeClr w14:val="tx1"/>
            </w14:solidFill>
          </w14:textFill>
        </w:rPr>
        <w:t>其他响应证明材料：</w:t>
      </w:r>
    </w:p>
    <w:p w14:paraId="4EB197AC">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7</w:t>
      </w:r>
      <w:r>
        <w:rPr>
          <w:rFonts w:hint="eastAsia" w:ascii="宋体"/>
          <w:color w:val="000000" w:themeColor="text1"/>
          <w:szCs w:val="21"/>
          <w:highlight w:val="none"/>
          <w14:textFill>
            <w14:solidFill>
              <w14:schemeClr w14:val="tx1"/>
            </w14:solidFill>
          </w14:textFill>
        </w:rPr>
        <w:t>）磋商供应商认为需要提供的有关资料。</w:t>
      </w:r>
    </w:p>
    <w:p w14:paraId="591DF1A3">
      <w:pPr>
        <w:spacing w:line="400" w:lineRule="exact"/>
        <w:ind w:firstLine="422" w:firstLineChars="200"/>
        <w:rPr>
          <w:rFonts w:hint="eastAsia"/>
          <w:b/>
          <w:color w:val="000000" w:themeColor="text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以上有关材料应真实有效，属于“必须提供”的文件均必须于本项目响应文件提交截止前作为竞争性磋商响应文件提交，并加盖供应商CA证书签章，否则响应文件无效；</w:t>
      </w:r>
      <w:r>
        <w:rPr>
          <w:b/>
          <w:color w:val="000000" w:themeColor="text1"/>
          <w:highlight w:val="none"/>
          <w14:textFill>
            <w14:solidFill>
              <w14:schemeClr w14:val="tx1"/>
            </w14:solidFill>
          </w14:textFill>
        </w:rPr>
        <w:t>其余由供应商视自身情况自行提交</w:t>
      </w:r>
      <w:r>
        <w:rPr>
          <w:rFonts w:hint="eastAsia"/>
          <w:b/>
          <w:color w:val="000000" w:themeColor="text1"/>
          <w:szCs w:val="21"/>
          <w:highlight w:val="none"/>
          <w14:textFill>
            <w14:solidFill>
              <w14:schemeClr w14:val="tx1"/>
            </w14:solidFill>
          </w14:textFill>
        </w:rPr>
        <w:t>。</w:t>
      </w:r>
    </w:p>
    <w:p w14:paraId="2BB840C9">
      <w:pPr>
        <w:spacing w:line="35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15.电子响应文件的制作、加密、供应商公章及签字：</w:t>
      </w:r>
    </w:p>
    <w:p w14:paraId="0D78A1D8">
      <w:pPr>
        <w:spacing w:line="40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15.1电子响应文件的制作、加密</w:t>
      </w:r>
    </w:p>
    <w:p w14:paraId="669BBBE3">
      <w:pPr>
        <w:spacing w:line="340" w:lineRule="exact"/>
        <w:ind w:firstLine="420" w:firstLineChars="200"/>
        <w:rPr>
          <w:rFonts w:hint="eastAsia" w:ascii="宋体" w:cs="宋体"/>
          <w:color w:val="000000" w:themeColor="text1"/>
          <w:szCs w:val="21"/>
          <w:highlight w:val="none"/>
          <w:lang w:bidi="ar-SA"/>
          <w14:textFill>
            <w14:solidFill>
              <w14:schemeClr w14:val="tx1"/>
            </w14:solidFill>
          </w14:textFill>
        </w:rPr>
      </w:pPr>
      <w:r>
        <w:rPr>
          <w:rFonts w:hint="eastAsia" w:ascii="宋体" w:cs="宋体"/>
          <w:color w:val="000000" w:themeColor="text1"/>
          <w:szCs w:val="21"/>
          <w:highlight w:val="none"/>
          <w:lang w:bidi="ar-SA"/>
          <w14:textFill>
            <w14:solidFill>
              <w14:schemeClr w14:val="tx1"/>
            </w14:solidFill>
          </w14:textFill>
        </w:rPr>
        <w:t>15.1.1供应商制作电子响应文件前，必须登录“广西政府采购云平台”平台进行竞争性磋商文件获取的操作。</w:t>
      </w:r>
    </w:p>
    <w:p w14:paraId="503E88D2">
      <w:pPr>
        <w:spacing w:line="340" w:lineRule="exact"/>
        <w:ind w:firstLine="420" w:firstLineChars="200"/>
        <w:rPr>
          <w:rFonts w:hint="eastAsia" w:ascii="宋体" w:cs="宋体"/>
          <w:color w:val="000000" w:themeColor="text1"/>
          <w:szCs w:val="21"/>
          <w:highlight w:val="none"/>
          <w:lang w:bidi="ar-SA"/>
          <w14:textFill>
            <w14:solidFill>
              <w14:schemeClr w14:val="tx1"/>
            </w14:solidFill>
          </w14:textFill>
        </w:rPr>
      </w:pPr>
      <w:r>
        <w:rPr>
          <w:rFonts w:hint="eastAsia" w:ascii="宋体" w:cs="宋体"/>
          <w:color w:val="000000" w:themeColor="text1"/>
          <w:szCs w:val="21"/>
          <w:highlight w:val="none"/>
          <w:lang w:bidi="ar-SA"/>
          <w14:textFill>
            <w14:solidFill>
              <w14:schemeClr w14:val="tx1"/>
            </w14:solidFill>
          </w14:textFill>
        </w:rPr>
        <w:t>15.1.2供应商下载或获取竞争性磋商文件后，登录“政采云电子投标客户端”，按照本竞争性磋商文件规定的响应文件格式、顺序以及“广西政府采购云平台”平台的要求，通过“政采云电子投标客户端”编制电子响应文件。</w:t>
      </w:r>
    </w:p>
    <w:p w14:paraId="7B98AF92">
      <w:pPr>
        <w:spacing w:line="340" w:lineRule="exact"/>
        <w:ind w:firstLine="420" w:firstLineChars="200"/>
        <w:rPr>
          <w:rFonts w:hint="eastAsia" w:ascii="宋体" w:cs="宋体"/>
          <w:color w:val="000000" w:themeColor="text1"/>
          <w:szCs w:val="21"/>
          <w:highlight w:val="none"/>
          <w:lang w:bidi="ar-SA"/>
          <w14:textFill>
            <w14:solidFill>
              <w14:schemeClr w14:val="tx1"/>
            </w14:solidFill>
          </w14:textFill>
        </w:rPr>
      </w:pPr>
      <w:r>
        <w:rPr>
          <w:rFonts w:hint="eastAsia" w:ascii="宋体" w:cs="宋体"/>
          <w:color w:val="000000" w:themeColor="text1"/>
          <w:szCs w:val="21"/>
          <w:highlight w:val="none"/>
          <w:lang w:bidi="ar-SA"/>
          <w14:textFill>
            <w14:solidFill>
              <w14:schemeClr w14:val="tx1"/>
            </w14:solidFill>
          </w14:textFill>
        </w:rPr>
        <w:t>15.1.3供应商应按“政采云电子投标客户端”载明的“标书关联”功能进行电子响应文件相应内容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2F091C7F">
      <w:pPr>
        <w:spacing w:line="340" w:lineRule="exact"/>
        <w:ind w:firstLine="420" w:firstLineChars="200"/>
        <w:rPr>
          <w:rFonts w:hint="eastAsia" w:ascii="宋体" w:cs="宋体"/>
          <w:color w:val="000000" w:themeColor="text1"/>
          <w:szCs w:val="21"/>
          <w:highlight w:val="none"/>
          <w:lang w:bidi="ar-SA"/>
          <w14:textFill>
            <w14:solidFill>
              <w14:schemeClr w14:val="tx1"/>
            </w14:solidFill>
          </w14:textFill>
        </w:rPr>
      </w:pPr>
      <w:r>
        <w:rPr>
          <w:rFonts w:hint="eastAsia" w:ascii="宋体" w:cs="宋体"/>
          <w:color w:val="000000" w:themeColor="text1"/>
          <w:szCs w:val="21"/>
          <w:highlight w:val="none"/>
          <w:lang w:bidi="ar-SA"/>
          <w14:textFill>
            <w14:solidFill>
              <w14:schemeClr w14:val="tx1"/>
            </w14:solidFill>
          </w14:textFill>
        </w:rPr>
        <w:t>15.1.4电子响应文件不得涂改，若有修改错漏处，须加盖法定代表人或授权委托代理人通过“政采云电子投标客户端”采用政采云个人CA证书签章，没有办理政采云个人CA证书签章的，应在响应文件中相应位置手写签字后扫描或者拍照做成 PDF 的格式上传。因响应文件字迹潦草、表达不清、内容不完整、编排混乱导致响应文件被误读、漏读，或者按竞争性磋商文件规定的部位查找不到相关内容的，其不利后果由供应商自行承担。</w:t>
      </w:r>
    </w:p>
    <w:p w14:paraId="689F7059">
      <w:pPr>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lang w:bidi="ar-SA"/>
          <w14:textFill>
            <w14:solidFill>
              <w14:schemeClr w14:val="tx1"/>
            </w14:solidFill>
          </w14:textFill>
        </w:rPr>
        <w:t>15.1.5供应商编制、生成电子响应文件后应当进行加密。供应商未按规定编制并加密的响应文件，“广西政府采购云平台”平台将予以拒收。</w:t>
      </w:r>
    </w:p>
    <w:p w14:paraId="1CDE2DFF">
      <w:pPr>
        <w:spacing w:line="340" w:lineRule="exact"/>
        <w:ind w:firstLine="422" w:firstLineChars="200"/>
        <w:rPr>
          <w:rFonts w:hint="eastAsia" w:ascii="宋体" w:cs="宋体"/>
          <w:color w:val="000000" w:themeColor="text1"/>
          <w:szCs w:val="21"/>
          <w:highlight w:val="none"/>
          <w:lang w:bidi="ar-SA"/>
          <w14:textFill>
            <w14:solidFill>
              <w14:schemeClr w14:val="tx1"/>
            </w14:solidFill>
          </w14:textFill>
        </w:rPr>
      </w:pPr>
      <w:r>
        <w:rPr>
          <w:rFonts w:hint="eastAsia" w:ascii="宋体"/>
          <w:b/>
          <w:color w:val="000000" w:themeColor="text1"/>
          <w:szCs w:val="21"/>
          <w:highlight w:val="none"/>
          <w14:textFill>
            <w14:solidFill>
              <w14:schemeClr w14:val="tx1"/>
            </w14:solidFill>
          </w14:textFill>
        </w:rPr>
        <w:t>15.2</w:t>
      </w:r>
      <w:r>
        <w:rPr>
          <w:rFonts w:hint="eastAsia"/>
          <w:b/>
          <w:color w:val="000000" w:themeColor="text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供应商公章及签字：</w:t>
      </w:r>
    </w:p>
    <w:p w14:paraId="10DD0DBB">
      <w:pPr>
        <w:spacing w:line="340" w:lineRule="exact"/>
        <w:ind w:firstLine="420" w:firstLineChars="200"/>
        <w:rPr>
          <w:rFonts w:hint="eastAsia" w:ascii="宋体" w:cs="宋体"/>
          <w:color w:val="000000" w:themeColor="text1"/>
          <w:szCs w:val="21"/>
          <w:highlight w:val="none"/>
          <w:lang w:bidi="ar-SA"/>
          <w14:textFill>
            <w14:solidFill>
              <w14:schemeClr w14:val="tx1"/>
            </w14:solidFill>
          </w14:textFill>
        </w:rPr>
      </w:pPr>
      <w:r>
        <w:rPr>
          <w:rFonts w:hint="eastAsia" w:ascii="宋体" w:cs="宋体"/>
          <w:color w:val="000000" w:themeColor="text1"/>
          <w:szCs w:val="21"/>
          <w:highlight w:val="none"/>
          <w:lang w:bidi="ar-SA"/>
          <w14:textFill>
            <w14:solidFill>
              <w14:schemeClr w14:val="tx1"/>
            </w14:solidFill>
          </w14:textFill>
        </w:rPr>
        <w:t>15.2.1本竞争性磋商文件中描述供应商的“公章”是指供应商通过指定电子化政府采购平台办理数字证书（CA认证证书）获得的以法定主体行为名称制作的电子印章。</w:t>
      </w:r>
    </w:p>
    <w:p w14:paraId="137A4F3E">
      <w:pPr>
        <w:spacing w:line="340" w:lineRule="exact"/>
        <w:ind w:firstLine="420" w:firstLineChars="200"/>
        <w:rPr>
          <w:rFonts w:hint="eastAsia" w:ascii="宋体" w:cs="宋体"/>
          <w:color w:val="000000" w:themeColor="text1"/>
          <w:szCs w:val="21"/>
          <w:highlight w:val="none"/>
          <w:lang w:bidi="ar-SA"/>
          <w14:textFill>
            <w14:solidFill>
              <w14:schemeClr w14:val="tx1"/>
            </w14:solidFill>
          </w14:textFill>
        </w:rPr>
      </w:pPr>
      <w:r>
        <w:rPr>
          <w:rFonts w:hint="eastAsia" w:ascii="宋体" w:cs="宋体"/>
          <w:color w:val="000000" w:themeColor="text1"/>
          <w:szCs w:val="21"/>
          <w:highlight w:val="none"/>
          <w:lang w:bidi="ar-SA"/>
          <w14:textFill>
            <w14:solidFill>
              <w14:schemeClr w14:val="tx1"/>
            </w14:solidFill>
          </w14:textFill>
        </w:rPr>
        <w:t>15.2.2本竞争性磋商文件中要求供应商对其电子响应文件的相关内容加盖公章的，均指采用CA证书签章。</w:t>
      </w:r>
    </w:p>
    <w:p w14:paraId="12393037">
      <w:pPr>
        <w:spacing w:line="400" w:lineRule="exact"/>
        <w:ind w:firstLine="420" w:firstLineChars="200"/>
        <w:rPr>
          <w:rFonts w:hint="eastAsia" w:ascii="宋体"/>
          <w:b/>
          <w:color w:val="000000" w:themeColor="text1"/>
          <w:szCs w:val="21"/>
          <w:highlight w:val="none"/>
          <w14:textFill>
            <w14:solidFill>
              <w14:schemeClr w14:val="tx1"/>
            </w14:solidFill>
          </w14:textFill>
        </w:rPr>
      </w:pPr>
      <w:r>
        <w:rPr>
          <w:rFonts w:hint="eastAsia" w:ascii="宋体" w:cs="宋体"/>
          <w:color w:val="000000" w:themeColor="text1"/>
          <w:szCs w:val="21"/>
          <w:highlight w:val="none"/>
          <w:lang w:bidi="ar-SA"/>
          <w14:textFill>
            <w14:solidFill>
              <w14:schemeClr w14:val="tx1"/>
            </w14:solidFill>
          </w14:textFill>
        </w:rPr>
        <w:t>15.2.3本竞争性磋商文件中描述供应商的“签字”是指供应商通过指定电子化政府采购平台办理数字证书（CA认证证书）获得的以供应商法定代表人或者委托代理人姓名制作的个人电子印章（个人CA证书签章）或手写签字。没有办理个人电子印章（个人CA证书签章）的，可以为手写签字的形式(可在响应文件中涉及到签字的位置手写签字后扫描或者拍照做成 PDF 的格式上传即可)。</w:t>
      </w:r>
    </w:p>
    <w:p w14:paraId="534D7AB2">
      <w:pPr>
        <w:snapToGrid w:val="0"/>
        <w:spacing w:line="400" w:lineRule="exact"/>
        <w:ind w:firstLine="422" w:firstLineChars="200"/>
        <w:jc w:val="left"/>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16.</w:t>
      </w:r>
      <w:r>
        <w:rPr>
          <w:rFonts w:hint="eastAsia"/>
          <w:color w:val="000000" w:themeColor="text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响应文件的补充、修改和撤回</w:t>
      </w:r>
    </w:p>
    <w:p w14:paraId="14B613A1">
      <w:pPr>
        <w:adjustRightInd w:val="0"/>
        <w:snapToGrid w:val="0"/>
        <w:spacing w:line="340" w:lineRule="exact"/>
        <w:ind w:firstLine="420" w:firstLineChars="200"/>
        <w:rPr>
          <w:rFonts w:hint="eastAsia" w:ascii="宋体" w:cs="宋体"/>
          <w:bCs/>
          <w:color w:val="000000" w:themeColor="text1"/>
          <w:szCs w:val="21"/>
          <w:highlight w:val="none"/>
          <w:lang w:bidi="ar-SA"/>
          <w14:textFill>
            <w14:solidFill>
              <w14:schemeClr w14:val="tx1"/>
            </w14:solidFill>
          </w14:textFill>
        </w:rPr>
      </w:pPr>
      <w:r>
        <w:rPr>
          <w:rFonts w:hint="eastAsia" w:ascii="宋体" w:cs="宋体"/>
          <w:bCs/>
          <w:color w:val="000000" w:themeColor="text1"/>
          <w:szCs w:val="21"/>
          <w:highlight w:val="none"/>
          <w:lang w:bidi="ar-SA"/>
          <w14:textFill>
            <w14:solidFill>
              <w14:schemeClr w14:val="tx1"/>
            </w14:solidFill>
          </w14:textFill>
        </w:rPr>
        <w:t>16.1供应商应当在</w:t>
      </w:r>
      <w:r>
        <w:rPr>
          <w:rFonts w:hint="eastAsia" w:ascii="宋体"/>
          <w:bCs/>
          <w:color w:val="000000" w:themeColor="text1"/>
          <w:highlight w:val="none"/>
          <w14:textFill>
            <w14:solidFill>
              <w14:schemeClr w14:val="tx1"/>
            </w14:solidFill>
          </w14:textFill>
        </w:rPr>
        <w:t>提交响应文件截止时间</w:t>
      </w:r>
      <w:r>
        <w:rPr>
          <w:rFonts w:hint="eastAsia" w:ascii="宋体" w:cs="宋体"/>
          <w:bCs/>
          <w:color w:val="000000" w:themeColor="text1"/>
          <w:szCs w:val="21"/>
          <w:highlight w:val="none"/>
          <w:lang w:bidi="ar-SA"/>
          <w14:textFill>
            <w14:solidFill>
              <w14:schemeClr w14:val="tx1"/>
            </w14:solidFill>
          </w14:textFill>
        </w:rPr>
        <w:t>前，将生成的电子响应文件上传提交至“广西政府采购云平台”平台。响应文件提交截止时间前可以补充、修改或撤回电子响应文件，补充、修改电子响应文件的，应当先行撤回原文件，补充、修改后重新传输提交。</w:t>
      </w:r>
      <w:r>
        <w:rPr>
          <w:rFonts w:hint="eastAsia" w:ascii="宋体"/>
          <w:bCs/>
          <w:color w:val="000000" w:themeColor="text1"/>
          <w:highlight w:val="none"/>
          <w14:textFill>
            <w14:solidFill>
              <w14:schemeClr w14:val="tx1"/>
            </w14:solidFill>
          </w14:textFill>
        </w:rPr>
        <w:t>提交响应文件截止时间</w:t>
      </w:r>
      <w:r>
        <w:rPr>
          <w:rFonts w:hint="eastAsia" w:ascii="宋体" w:cs="宋体"/>
          <w:bCs/>
          <w:color w:val="000000" w:themeColor="text1"/>
          <w:szCs w:val="21"/>
          <w:highlight w:val="none"/>
          <w:lang w:bidi="ar-SA"/>
          <w14:textFill>
            <w14:solidFill>
              <w14:schemeClr w14:val="tx1"/>
            </w14:solidFill>
          </w14:textFill>
        </w:rPr>
        <w:t>前未成功将电子响应文件上传“广西政府采购云平台”平台的，视为未提交响应文件。</w:t>
      </w:r>
    </w:p>
    <w:p w14:paraId="51DCE608">
      <w:pPr>
        <w:spacing w:line="340" w:lineRule="exact"/>
        <w:ind w:firstLine="435"/>
        <w:rPr>
          <w:rFonts w:hint="eastAsia" w:ascii="宋体"/>
          <w:color w:val="000000" w:themeColor="text1"/>
          <w:szCs w:val="21"/>
          <w:highlight w:val="none"/>
          <w14:textFill>
            <w14:solidFill>
              <w14:schemeClr w14:val="tx1"/>
            </w14:solidFill>
          </w14:textFill>
        </w:rPr>
      </w:pPr>
      <w:r>
        <w:rPr>
          <w:rFonts w:hint="eastAsia" w:ascii="宋体" w:cs="宋体"/>
          <w:bCs/>
          <w:color w:val="000000" w:themeColor="text1"/>
          <w:szCs w:val="21"/>
          <w:highlight w:val="none"/>
          <w:lang w:bidi="ar-SA"/>
          <w14:textFill>
            <w14:solidFill>
              <w14:schemeClr w14:val="tx1"/>
            </w14:solidFill>
          </w14:textFill>
        </w:rPr>
        <w:t>16.2</w:t>
      </w:r>
      <w:r>
        <w:rPr>
          <w:rFonts w:hint="eastAsia" w:ascii="宋体"/>
          <w:color w:val="000000" w:themeColor="text1"/>
          <w:szCs w:val="21"/>
          <w:highlight w:val="none"/>
          <w14:textFill>
            <w14:solidFill>
              <w14:schemeClr w14:val="tx1"/>
            </w14:solidFill>
          </w14:textFill>
        </w:rPr>
        <w:t>在提交响应文件截止时间后的响应文件有效期内，供应商不得撤回或修改其响应文件。</w:t>
      </w:r>
    </w:p>
    <w:p w14:paraId="019CB65C">
      <w:pPr>
        <w:tabs>
          <w:tab w:val="left" w:pos="1305"/>
        </w:tabs>
        <w:spacing w:line="40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17. 响应文件有效期</w:t>
      </w:r>
    </w:p>
    <w:p w14:paraId="11BA9421">
      <w:pPr>
        <w:tabs>
          <w:tab w:val="left" w:pos="1305"/>
        </w:tabs>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17.1 响应文件有效期：见磋商供应商须知前附表第20条。</w:t>
      </w:r>
    </w:p>
    <w:p w14:paraId="3EDC98ED">
      <w:pPr>
        <w:tabs>
          <w:tab w:val="left" w:pos="1305"/>
        </w:tabs>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17.2 出现特殊情况下，需要延长响应文件有效期的，采购代理机构以书面形式通知供应商延长响应文件有效期。供应商同意延长的，但不能修改响应文件。供应商拒绝延长的，其响应文件无效。</w:t>
      </w:r>
    </w:p>
    <w:p w14:paraId="551B2F4B">
      <w:pPr>
        <w:spacing w:line="35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四、工程预算总造价、</w:t>
      </w:r>
      <w:r>
        <w:rPr>
          <w:rFonts w:hint="eastAsia" w:ascii="宋体"/>
          <w:b/>
          <w:color w:val="000000" w:themeColor="text1"/>
          <w:szCs w:val="21"/>
          <w:highlight w:val="none"/>
          <w:lang w:eastAsia="zh-CN"/>
          <w14:textFill>
            <w14:solidFill>
              <w14:schemeClr w14:val="tx1"/>
            </w14:solidFill>
          </w14:textFill>
        </w:rPr>
        <w:t>最高磋商限价</w:t>
      </w:r>
      <w:r>
        <w:rPr>
          <w:rFonts w:hint="eastAsia" w:ascii="宋体"/>
          <w:b/>
          <w:color w:val="000000" w:themeColor="text1"/>
          <w:szCs w:val="21"/>
          <w:highlight w:val="none"/>
          <w14:textFill>
            <w14:solidFill>
              <w14:schemeClr w14:val="tx1"/>
            </w14:solidFill>
          </w14:textFill>
        </w:rPr>
        <w:t>及磋商报价要求</w:t>
      </w:r>
    </w:p>
    <w:p w14:paraId="71306F80">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18.1本工程预算总造价、</w:t>
      </w:r>
      <w:r>
        <w:rPr>
          <w:rFonts w:hint="eastAsia"/>
          <w:color w:val="000000" w:themeColor="text1"/>
          <w:szCs w:val="21"/>
          <w:highlight w:val="none"/>
          <w:lang w:eastAsia="zh-CN"/>
          <w14:textFill>
            <w14:solidFill>
              <w14:schemeClr w14:val="tx1"/>
            </w14:solidFill>
          </w14:textFill>
        </w:rPr>
        <w:t>最高磋商限价</w:t>
      </w:r>
      <w:r>
        <w:rPr>
          <w:rFonts w:hint="eastAsia" w:ascii="宋体"/>
          <w:color w:val="000000" w:themeColor="text1"/>
          <w:szCs w:val="21"/>
          <w:highlight w:val="none"/>
          <w14:textFill>
            <w14:solidFill>
              <w14:schemeClr w14:val="tx1"/>
            </w14:solidFill>
          </w14:textFill>
        </w:rPr>
        <w:t>：详见磋商供应商须知前附表第21条。</w:t>
      </w:r>
    </w:p>
    <w:p w14:paraId="4D72A89D">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18.2磋商报价：</w:t>
      </w:r>
    </w:p>
    <w:p w14:paraId="13384E7C">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18.2.1供应商应按第五章“工程量清单”的要求填写相应表格。磋商供应商必须就《工程量清单》中所有的工程内容作完整唯一报价，否则，其响应文件无效。响应文件只允许有一个报价，有选择的或有条件的报价将不予接受。</w:t>
      </w:r>
    </w:p>
    <w:p w14:paraId="1079BCAA">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18.2.2供应商在响应文件提交截止时间前修改报价表中的磋商报价的，应同时修改第五章“工程量清单”中的相应报价。此修改须符合本章第15款的有关要求。</w:t>
      </w:r>
    </w:p>
    <w:p w14:paraId="0D8D83CF">
      <w:pPr>
        <w:spacing w:line="35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五、竞争性磋商响应文件的提交</w:t>
      </w:r>
    </w:p>
    <w:p w14:paraId="03B335F6">
      <w:pPr>
        <w:spacing w:line="350" w:lineRule="exact"/>
        <w:ind w:firstLine="435"/>
        <w:rPr>
          <w:rFonts w:hint="eastAsia" w:ascii="宋体" w:cs="宋体"/>
          <w:b/>
          <w:color w:val="000000" w:themeColor="text1"/>
          <w:szCs w:val="21"/>
          <w:highlight w:val="none"/>
          <w:lang w:bidi="ar-SA"/>
          <w14:textFill>
            <w14:solidFill>
              <w14:schemeClr w14:val="tx1"/>
            </w14:solidFill>
          </w14:textFill>
        </w:rPr>
      </w:pPr>
      <w:r>
        <w:rPr>
          <w:rFonts w:hint="eastAsia" w:ascii="宋体" w:cs="宋体"/>
          <w:b/>
          <w:color w:val="000000" w:themeColor="text1"/>
          <w:szCs w:val="21"/>
          <w:highlight w:val="none"/>
          <w:lang w:bidi="ar-SA"/>
          <w14:textFill>
            <w14:solidFill>
              <w14:schemeClr w14:val="tx1"/>
            </w14:solidFill>
          </w14:textFill>
        </w:rPr>
        <w:t>19. 响应文件提交截止时间及地点、响应文件解密</w:t>
      </w:r>
    </w:p>
    <w:p w14:paraId="251C83BD">
      <w:pPr>
        <w:tabs>
          <w:tab w:val="left" w:pos="1305"/>
        </w:tabs>
        <w:spacing w:line="350" w:lineRule="exact"/>
        <w:ind w:firstLine="420" w:firstLineChars="200"/>
        <w:rPr>
          <w:rFonts w:hint="eastAsia" w:ascii="宋体" w:cs="宋体"/>
          <w:b/>
          <w:color w:val="000000" w:themeColor="text1"/>
          <w:szCs w:val="21"/>
          <w:highlight w:val="none"/>
          <w:lang w:bidi="ar-SA"/>
          <w14:textFill>
            <w14:solidFill>
              <w14:schemeClr w14:val="tx1"/>
            </w14:solidFill>
          </w14:textFill>
        </w:rPr>
      </w:pPr>
      <w:r>
        <w:rPr>
          <w:rFonts w:hint="eastAsia" w:ascii="宋体" w:cs="宋体"/>
          <w:color w:val="000000" w:themeColor="text1"/>
          <w:szCs w:val="21"/>
          <w:highlight w:val="none"/>
          <w:lang w:bidi="ar-SA"/>
          <w14:textFill>
            <w14:solidFill>
              <w14:schemeClr w14:val="tx1"/>
            </w14:solidFill>
          </w14:textFill>
        </w:rPr>
        <w:t>19.1</w:t>
      </w:r>
      <w:r>
        <w:rPr>
          <w:rFonts w:hint="eastAsia" w:ascii="宋体" w:cs="宋体"/>
          <w:b/>
          <w:color w:val="000000" w:themeColor="text1"/>
          <w:szCs w:val="21"/>
          <w:highlight w:val="none"/>
          <w:lang w:bidi="ar-SA"/>
          <w14:textFill>
            <w14:solidFill>
              <w14:schemeClr w14:val="tx1"/>
            </w14:solidFill>
          </w14:textFill>
        </w:rPr>
        <w:t>响应文件提交截止时间及地点</w:t>
      </w:r>
    </w:p>
    <w:p w14:paraId="57085CFE">
      <w:pPr>
        <w:spacing w:line="34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19.1.1</w:t>
      </w:r>
      <w:r>
        <w:rPr>
          <w:rFonts w:hint="eastAsia" w:ascii="宋体" w:cs="宋体"/>
          <w:color w:val="000000" w:themeColor="text1"/>
          <w:spacing w:val="-4"/>
          <w:szCs w:val="21"/>
          <w:highlight w:val="none"/>
          <w:lang w:bidi="ar-SA"/>
          <w14:textFill>
            <w14:solidFill>
              <w14:schemeClr w14:val="tx1"/>
            </w14:solidFill>
          </w14:textFill>
        </w:rPr>
        <w:t>响应文件提交</w:t>
      </w:r>
      <w:r>
        <w:rPr>
          <w:rFonts w:hint="eastAsia" w:ascii="宋体"/>
          <w:color w:val="000000" w:themeColor="text1"/>
          <w:szCs w:val="21"/>
          <w:highlight w:val="none"/>
          <w14:textFill>
            <w14:solidFill>
              <w14:schemeClr w14:val="tx1"/>
            </w14:solidFill>
          </w14:textFill>
        </w:rPr>
        <w:t>截止时间：</w:t>
      </w:r>
      <w:r>
        <w:rPr>
          <w:rFonts w:hint="eastAsia" w:ascii="宋体" w:cs="宋体"/>
          <w:color w:val="000000" w:themeColor="text1"/>
          <w:szCs w:val="21"/>
          <w:highlight w:val="none"/>
          <w:lang w:bidi="ar-SA"/>
          <w14:textFill>
            <w14:solidFill>
              <w14:schemeClr w14:val="tx1"/>
            </w14:solidFill>
          </w14:textFill>
        </w:rPr>
        <w:t>见磋商供应商须知前附表第21条内容</w:t>
      </w:r>
      <w:r>
        <w:rPr>
          <w:rFonts w:hint="eastAsia" w:ascii="宋体"/>
          <w:color w:val="000000" w:themeColor="text1"/>
          <w:szCs w:val="21"/>
          <w:highlight w:val="none"/>
          <w14:textFill>
            <w14:solidFill>
              <w14:schemeClr w14:val="tx1"/>
            </w14:solidFill>
          </w14:textFill>
        </w:rPr>
        <w:t>。</w:t>
      </w:r>
    </w:p>
    <w:p w14:paraId="74CB099A">
      <w:pPr>
        <w:tabs>
          <w:tab w:val="left" w:pos="1305"/>
        </w:tabs>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19.1.2地点（网址）：</w:t>
      </w:r>
      <w:r>
        <w:rPr>
          <w:rFonts w:hint="eastAsia" w:ascii="宋体" w:cs="宋体"/>
          <w:color w:val="000000" w:themeColor="text1"/>
          <w:szCs w:val="21"/>
          <w:highlight w:val="none"/>
          <w:lang w:bidi="ar-SA"/>
          <w14:textFill>
            <w14:solidFill>
              <w14:schemeClr w14:val="tx1"/>
            </w14:solidFill>
          </w14:textFill>
        </w:rPr>
        <w:t>见磋商供应商须知前附表第21条内容</w:t>
      </w:r>
      <w:r>
        <w:rPr>
          <w:rFonts w:hint="eastAsia" w:ascii="宋体"/>
          <w:color w:val="000000" w:themeColor="text1"/>
          <w:szCs w:val="21"/>
          <w:highlight w:val="none"/>
          <w14:textFill>
            <w14:solidFill>
              <w14:schemeClr w14:val="tx1"/>
            </w14:solidFill>
          </w14:textFill>
        </w:rPr>
        <w:t>。</w:t>
      </w:r>
    </w:p>
    <w:p w14:paraId="7067362F">
      <w:pPr>
        <w:tabs>
          <w:tab w:val="left" w:pos="1305"/>
        </w:tabs>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19.1.3除竞争性磋商文件另有规定外，供应商所提交的响应文件不予退还。</w:t>
      </w:r>
    </w:p>
    <w:p w14:paraId="273EC45F">
      <w:pPr>
        <w:tabs>
          <w:tab w:val="left" w:pos="1305"/>
        </w:tabs>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19.1.4响应文件提交截止时间后提交的响应文件，“广西政府采购云平台”平台将拒收。</w:t>
      </w:r>
    </w:p>
    <w:p w14:paraId="02A5C0F6">
      <w:pPr>
        <w:tabs>
          <w:tab w:val="left" w:pos="1305"/>
        </w:tabs>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19.1.5如有特殊情况，采购代理机构延长响应文件提交截止时间，采购代理机构和供应商的权利和义务将受到新的响应文件提交截止时间和评审时间的约束。</w:t>
      </w:r>
    </w:p>
    <w:p w14:paraId="6FDDC37A">
      <w:pPr>
        <w:tabs>
          <w:tab w:val="left" w:pos="1305"/>
        </w:tabs>
        <w:spacing w:line="350" w:lineRule="exact"/>
        <w:ind w:firstLine="422" w:firstLineChars="200"/>
        <w:rPr>
          <w:rFonts w:hint="eastAsia" w:ascii="宋体"/>
          <w:color w:val="000000" w:themeColor="text1"/>
          <w:szCs w:val="21"/>
          <w:highlight w:val="none"/>
          <w14:textFill>
            <w14:solidFill>
              <w14:schemeClr w14:val="tx1"/>
            </w14:solidFill>
          </w14:textFill>
        </w:rPr>
      </w:pPr>
      <w:r>
        <w:rPr>
          <w:rFonts w:hint="eastAsia" w:ascii="宋体" w:cs="宋体"/>
          <w:b/>
          <w:color w:val="000000" w:themeColor="text1"/>
          <w:szCs w:val="21"/>
          <w:highlight w:val="none"/>
          <w:lang w:bidi="ar-SA"/>
          <w14:textFill>
            <w14:solidFill>
              <w14:schemeClr w14:val="tx1"/>
            </w14:solidFill>
          </w14:textFill>
        </w:rPr>
        <w:t>19.2</w:t>
      </w:r>
      <w:r>
        <w:rPr>
          <w:rFonts w:hint="eastAsia" w:ascii="宋体"/>
          <w:b/>
          <w:color w:val="000000" w:themeColor="text1"/>
          <w:szCs w:val="21"/>
          <w:highlight w:val="none"/>
          <w14:textFill>
            <w14:solidFill>
              <w14:schemeClr w14:val="tx1"/>
            </w14:solidFill>
          </w14:textFill>
        </w:rPr>
        <w:t>响应文件解密：</w:t>
      </w:r>
      <w:r>
        <w:rPr>
          <w:rFonts w:hint="eastAsia" w:ascii="宋体" w:cs="宋体"/>
          <w:color w:val="000000" w:themeColor="text1"/>
          <w:szCs w:val="21"/>
          <w:highlight w:val="none"/>
          <w:lang w:bidi="ar-SA"/>
          <w14:textFill>
            <w14:solidFill>
              <w14:schemeClr w14:val="tx1"/>
            </w14:solidFill>
          </w14:textFill>
        </w:rPr>
        <w:t>见</w:t>
      </w:r>
      <w:r>
        <w:rPr>
          <w:rFonts w:hint="eastAsia" w:ascii="宋体"/>
          <w:color w:val="000000" w:themeColor="text1"/>
          <w:szCs w:val="21"/>
          <w:highlight w:val="none"/>
          <w14:textFill>
            <w14:solidFill>
              <w14:schemeClr w14:val="tx1"/>
            </w14:solidFill>
          </w14:textFill>
        </w:rPr>
        <w:t>磋商</w:t>
      </w:r>
      <w:r>
        <w:rPr>
          <w:rFonts w:hint="eastAsia" w:ascii="宋体" w:cs="宋体"/>
          <w:color w:val="000000" w:themeColor="text1"/>
          <w:szCs w:val="21"/>
          <w:highlight w:val="none"/>
          <w:lang w:bidi="ar-SA"/>
          <w14:textFill>
            <w14:solidFill>
              <w14:schemeClr w14:val="tx1"/>
            </w14:solidFill>
          </w14:textFill>
        </w:rPr>
        <w:t>供应商须知前附表第24条内容。</w:t>
      </w:r>
    </w:p>
    <w:p w14:paraId="5BA2B7C4">
      <w:pPr>
        <w:spacing w:line="35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六、竞争性磋商（简称磋商）与评审</w:t>
      </w:r>
    </w:p>
    <w:p w14:paraId="40F01D4B">
      <w:pPr>
        <w:spacing w:line="40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20.磋商小组组成</w:t>
      </w:r>
    </w:p>
    <w:p w14:paraId="534B69EF">
      <w:pPr>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20.1磋商及评审组织工作由采购代理机构负责，具体磋商、评审工作由依法组建的磋商小组负责。</w:t>
      </w:r>
    </w:p>
    <w:p w14:paraId="32D6DE58">
      <w:pPr>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20.2磋商小组的构成：3人，其中采购人代表1人，评审专家：2人。</w:t>
      </w:r>
    </w:p>
    <w:p w14:paraId="0598CD77">
      <w:pPr>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20.3专家确定方式：开标前从广西壮族自治区政府采购专家库中通过电脑随机抽取。</w:t>
      </w:r>
    </w:p>
    <w:p w14:paraId="2F942232">
      <w:pPr>
        <w:spacing w:line="40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21. 响应文件开启、磋商时间、地点、人员</w:t>
      </w:r>
    </w:p>
    <w:p w14:paraId="7AEB9F40">
      <w:pPr>
        <w:spacing w:line="40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21.1响应文件开启</w:t>
      </w:r>
    </w:p>
    <w:p w14:paraId="70F7D561">
      <w:pPr>
        <w:tabs>
          <w:tab w:val="left" w:pos="1140"/>
        </w:tabs>
        <w:spacing w:line="400" w:lineRule="exact"/>
        <w:ind w:left="420" w:left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21</w:t>
      </w:r>
      <w:r>
        <w:rPr>
          <w:rFonts w:hint="eastAsia" w:ascii="宋体"/>
          <w:color w:val="000000" w:themeColor="text1"/>
          <w:position w:val="-2"/>
          <w:szCs w:val="21"/>
          <w:highlight w:val="none"/>
          <w14:textFill>
            <w14:solidFill>
              <w14:schemeClr w14:val="tx1"/>
            </w14:solidFill>
          </w14:textFill>
        </w:rPr>
        <w:t>.1.1开启时间：本项目响应文件提交截止时间后</w:t>
      </w:r>
      <w:r>
        <w:rPr>
          <w:rFonts w:hint="eastAsia" w:ascii="宋体"/>
          <w:color w:val="000000" w:themeColor="text1"/>
          <w:szCs w:val="21"/>
          <w:highlight w:val="none"/>
          <w14:textFill>
            <w14:solidFill>
              <w14:schemeClr w14:val="tx1"/>
            </w14:solidFill>
          </w14:textFill>
        </w:rPr>
        <w:t>；</w:t>
      </w:r>
    </w:p>
    <w:p w14:paraId="51108C4D">
      <w:pPr>
        <w:tabs>
          <w:tab w:val="left" w:pos="1140"/>
        </w:tabs>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21.1.2地点：通过“广西政府采购云平台”平台在线解密开启。</w:t>
      </w:r>
    </w:p>
    <w:p w14:paraId="022F9910">
      <w:pPr>
        <w:spacing w:line="400" w:lineRule="exact"/>
        <w:ind w:firstLine="422" w:firstLineChars="200"/>
        <w:rPr>
          <w:rFonts w:hint="eastAsia" w:ascii="宋体"/>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21.2磋商时间、地点、人员</w:t>
      </w:r>
    </w:p>
    <w:p w14:paraId="1DEB365B">
      <w:pPr>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21.2.1磋商时间：见磋商供应商须知前附表第26条内容。</w:t>
      </w:r>
    </w:p>
    <w:p w14:paraId="34A3B442">
      <w:pPr>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21.2.2磋商地点：</w:t>
      </w:r>
      <w:r>
        <w:rPr>
          <w:rFonts w:hint="eastAsia" w:ascii="宋体" w:cs="宋体"/>
          <w:color w:val="000000" w:themeColor="text1"/>
          <w:szCs w:val="21"/>
          <w:highlight w:val="none"/>
          <w:lang w:bidi="ar-SA"/>
          <w14:textFill>
            <w14:solidFill>
              <w14:schemeClr w14:val="tx1"/>
            </w14:solidFill>
          </w14:textFill>
        </w:rPr>
        <w:t>见</w:t>
      </w:r>
      <w:r>
        <w:rPr>
          <w:rFonts w:hint="eastAsia" w:ascii="宋体"/>
          <w:color w:val="000000" w:themeColor="text1"/>
          <w:szCs w:val="21"/>
          <w:highlight w:val="none"/>
          <w14:textFill>
            <w14:solidFill>
              <w14:schemeClr w14:val="tx1"/>
            </w14:solidFill>
          </w14:textFill>
        </w:rPr>
        <w:t>磋商</w:t>
      </w:r>
      <w:r>
        <w:rPr>
          <w:rFonts w:hint="eastAsia" w:ascii="宋体" w:cs="宋体"/>
          <w:color w:val="000000" w:themeColor="text1"/>
          <w:szCs w:val="21"/>
          <w:highlight w:val="none"/>
          <w:lang w:bidi="ar-SA"/>
          <w14:textFill>
            <w14:solidFill>
              <w14:schemeClr w14:val="tx1"/>
            </w14:solidFill>
          </w14:textFill>
        </w:rPr>
        <w:t>供应商须知前附表第26条内容</w:t>
      </w:r>
      <w:r>
        <w:rPr>
          <w:rFonts w:hint="eastAsia" w:ascii="宋体"/>
          <w:color w:val="000000" w:themeColor="text1"/>
          <w:szCs w:val="21"/>
          <w:highlight w:val="none"/>
          <w14:textFill>
            <w14:solidFill>
              <w14:schemeClr w14:val="tx1"/>
            </w14:solidFill>
          </w14:textFill>
        </w:rPr>
        <w:t>；</w:t>
      </w:r>
    </w:p>
    <w:p w14:paraId="7E0B0C13">
      <w:pPr>
        <w:spacing w:line="400" w:lineRule="exact"/>
        <w:ind w:firstLine="420" w:firstLineChars="200"/>
        <w:rPr>
          <w:rFonts w:hint="eastAsia" w:ascii="宋体" w:cs="宋体"/>
          <w:color w:val="000000" w:themeColor="text1"/>
          <w:szCs w:val="21"/>
          <w:highlight w:val="none"/>
          <w:lang w:bidi="ar-SA"/>
          <w14:textFill>
            <w14:solidFill>
              <w14:schemeClr w14:val="tx1"/>
            </w14:solidFill>
          </w14:textFill>
        </w:rPr>
      </w:pPr>
      <w:r>
        <w:rPr>
          <w:rFonts w:hint="eastAsia" w:ascii="宋体"/>
          <w:color w:val="000000" w:themeColor="text1"/>
          <w:szCs w:val="21"/>
          <w:highlight w:val="none"/>
          <w14:textFill>
            <w14:solidFill>
              <w14:schemeClr w14:val="tx1"/>
            </w14:solidFill>
          </w14:textFill>
        </w:rPr>
        <w:t>21.2.3磋商参加人员：</w:t>
      </w:r>
      <w:r>
        <w:rPr>
          <w:rFonts w:hint="eastAsia" w:ascii="宋体" w:cs="宋体"/>
          <w:color w:val="000000" w:themeColor="text1"/>
          <w:szCs w:val="21"/>
          <w:highlight w:val="none"/>
          <w:lang w:bidi="ar-SA"/>
          <w14:textFill>
            <w14:solidFill>
              <w14:schemeClr w14:val="tx1"/>
            </w14:solidFill>
          </w14:textFill>
        </w:rPr>
        <w:t>见</w:t>
      </w:r>
      <w:r>
        <w:rPr>
          <w:rFonts w:hint="eastAsia" w:ascii="宋体"/>
          <w:color w:val="000000" w:themeColor="text1"/>
          <w:szCs w:val="21"/>
          <w:highlight w:val="none"/>
          <w14:textFill>
            <w14:solidFill>
              <w14:schemeClr w14:val="tx1"/>
            </w14:solidFill>
          </w14:textFill>
        </w:rPr>
        <w:t>磋商</w:t>
      </w:r>
      <w:r>
        <w:rPr>
          <w:rFonts w:hint="eastAsia" w:ascii="宋体" w:cs="宋体"/>
          <w:color w:val="000000" w:themeColor="text1"/>
          <w:szCs w:val="21"/>
          <w:highlight w:val="none"/>
          <w:lang w:bidi="ar-SA"/>
          <w14:textFill>
            <w14:solidFill>
              <w14:schemeClr w14:val="tx1"/>
            </w14:solidFill>
          </w14:textFill>
        </w:rPr>
        <w:t>供应商须知前附表第26条内容；</w:t>
      </w:r>
    </w:p>
    <w:p w14:paraId="5CCD19B9">
      <w:pPr>
        <w:spacing w:line="400" w:lineRule="exact"/>
        <w:ind w:firstLine="422" w:firstLineChars="200"/>
        <w:rPr>
          <w:rFonts w:hint="eastAsia" w:ascii="宋体"/>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21.2.4本项目需要供应商代表在响应文件提交截止时间当天，按磋商小组要求及时登录“广西政府采购云平台”平台等候在线磋商及提交最后报价。</w:t>
      </w:r>
    </w:p>
    <w:p w14:paraId="7C6BC627">
      <w:pPr>
        <w:tabs>
          <w:tab w:val="left" w:pos="1140"/>
        </w:tabs>
        <w:spacing w:line="350" w:lineRule="exact"/>
        <w:ind w:left="420" w:leftChars="172" w:hanging="59" w:hangingChars="28"/>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22.评审原则和评审办法</w:t>
      </w:r>
    </w:p>
    <w:p w14:paraId="531ED14C">
      <w:pPr>
        <w:tabs>
          <w:tab w:val="left" w:pos="1140"/>
        </w:tabs>
        <w:spacing w:line="350" w:lineRule="exact"/>
        <w:ind w:firstLine="359" w:firstLineChars="171"/>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22.1磋商小组必须坚持公平、公正、科学和择优的原则。</w:t>
      </w:r>
    </w:p>
    <w:p w14:paraId="6A429FFE">
      <w:pPr>
        <w:tabs>
          <w:tab w:val="left" w:pos="1140"/>
        </w:tabs>
        <w:spacing w:line="350" w:lineRule="exact"/>
        <w:ind w:firstLine="359" w:firstLineChars="171"/>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22.2评审办法：详见供应商须知前附表第27条。</w:t>
      </w:r>
    </w:p>
    <w:p w14:paraId="68EEA84D">
      <w:pPr>
        <w:pStyle w:val="12"/>
        <w:spacing w:line="350" w:lineRule="exact"/>
        <w:ind w:firstLine="359" w:firstLineChars="17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22.3磋商小组应按竞争性磋商文件进行评标，不得擅自更改评审办法。</w:t>
      </w:r>
    </w:p>
    <w:p w14:paraId="5000E1FD">
      <w:pPr>
        <w:pStyle w:val="12"/>
        <w:spacing w:line="350" w:lineRule="exact"/>
        <w:ind w:firstLine="359" w:firstLineChars="17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22.4在评审过程中，磋商小组任何人不得对某个供应商发表任何倾向性意见，不得向其他磋商小组成员明示或者暗示自己的评审意见。</w:t>
      </w:r>
    </w:p>
    <w:p w14:paraId="35AA7818">
      <w:pPr>
        <w:tabs>
          <w:tab w:val="left" w:pos="1140"/>
        </w:tabs>
        <w:spacing w:line="350" w:lineRule="exact"/>
        <w:ind w:firstLine="359" w:firstLineChars="171"/>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22.5磋商小组成员对需要共同认定的事项存在争议的，按照少数服从多数的原则作出结论。持不同意见的磋商小组成员应当在评审报告上签署不同意见并说明理由，否则视为同意。</w:t>
      </w:r>
    </w:p>
    <w:p w14:paraId="612980BD">
      <w:pPr>
        <w:spacing w:line="35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23.磋商程序及评审</w:t>
      </w:r>
    </w:p>
    <w:p w14:paraId="6D28B4E7">
      <w:pPr>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23.1采购代理机构核实磋商小组成员身份，告知回避要求，宣布评审工作纪律和程序，统一保管通讯工具或相关电子设备，推选磋商小组组长。</w:t>
      </w:r>
    </w:p>
    <w:p w14:paraId="614D1416">
      <w:pPr>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在磋商正式开始前由磋商小组对竞争性磋商文件进行确认，认可竞争性磋商文件的内容符合法律法规的规定、不存在歧视性或排他性内容。</w:t>
      </w:r>
    </w:p>
    <w:p w14:paraId="730925BC">
      <w:pPr>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23.2对响应文件的资格性与符合性审查</w:t>
      </w:r>
    </w:p>
    <w:p w14:paraId="15929E9B">
      <w:pPr>
        <w:spacing w:line="38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磋商小组对供应商资格条件和响应文件的有效性、完整性和响应程度进行审查。</w:t>
      </w:r>
    </w:p>
    <w:p w14:paraId="713A70E1">
      <w:pPr>
        <w:spacing w:line="380" w:lineRule="exact"/>
        <w:ind w:firstLine="315" w:firstLineChars="150"/>
        <w:rPr>
          <w:rFonts w:hint="eastAsia" w:ascii="宋体"/>
          <w:color w:val="000000" w:themeColor="text1"/>
          <w:kern w:val="0"/>
          <w:highlight w:val="none"/>
          <w14:textFill>
            <w14:solidFill>
              <w14:schemeClr w14:val="tx1"/>
            </w14:solidFill>
          </w14:textFill>
        </w:rPr>
      </w:pPr>
      <w:r>
        <w:rPr>
          <w:rFonts w:hint="eastAsia" w:ascii="宋体" w:cs="宋体"/>
          <w:color w:val="000000" w:themeColor="text1"/>
          <w:kern w:val="0"/>
          <w:highlight w:val="none"/>
          <w:lang w:bidi="ar-SA"/>
          <w14:textFill>
            <w14:solidFill>
              <w14:schemeClr w14:val="tx1"/>
            </w14:solidFill>
          </w14:textFill>
        </w:rPr>
        <w:t>在进行资格性审查时，磋商小组将进入《国家企业信用信息公示系统》对企业股东及出资等信息进行查询，对存在《中华人民共和国政府采购法实施条例》第十八条第一款情形的，其响应文件将被视为无效文件。</w:t>
      </w:r>
    </w:p>
    <w:p w14:paraId="39D49D9F">
      <w:pPr>
        <w:spacing w:line="380" w:lineRule="exact"/>
        <w:ind w:firstLine="315" w:firstLineChars="150"/>
        <w:rPr>
          <w:rFonts w:hint="eastAsia" w:ascii="宋体"/>
          <w:color w:val="000000" w:themeColor="text1"/>
          <w:kern w:val="0"/>
          <w:highlight w:val="none"/>
          <w14:textFill>
            <w14:solidFill>
              <w14:schemeClr w14:val="tx1"/>
            </w14:solidFill>
          </w14:textFill>
        </w:rPr>
      </w:pPr>
      <w:r>
        <w:rPr>
          <w:rFonts w:hint="eastAsia" w:ascii="宋体" w:cs="宋体"/>
          <w:color w:val="000000" w:themeColor="text1"/>
          <w:kern w:val="0"/>
          <w:highlight w:val="none"/>
          <w:lang w:bidi="ar-SA"/>
          <w14:textFill>
            <w14:solidFill>
              <w14:schemeClr w14:val="tx1"/>
            </w14:solidFill>
          </w14:textFill>
        </w:rPr>
        <w:t>审查流程</w:t>
      </w:r>
    </w:p>
    <w:p w14:paraId="060FA101">
      <w:pPr>
        <w:spacing w:line="380" w:lineRule="exact"/>
        <w:ind w:firstLine="315" w:firstLineChars="150"/>
        <w:rPr>
          <w:rFonts w:hint="eastAsia" w:ascii="宋体"/>
          <w:color w:val="000000" w:themeColor="text1"/>
          <w:kern w:val="0"/>
          <w:highlight w:val="none"/>
          <w14:textFill>
            <w14:solidFill>
              <w14:schemeClr w14:val="tx1"/>
            </w14:solidFill>
          </w14:textFill>
        </w:rPr>
      </w:pPr>
      <w:r>
        <w:rPr>
          <w:rFonts w:hint="eastAsia" w:ascii="宋体" w:cs="宋体"/>
          <w:color w:val="000000" w:themeColor="text1"/>
          <w:kern w:val="0"/>
          <w:highlight w:val="none"/>
          <w:lang w:bidi="ar-SA"/>
          <w14:textFill>
            <w14:solidFill>
              <w14:schemeClr w14:val="tx1"/>
            </w14:solidFill>
          </w14:textFill>
        </w:rPr>
        <w:t>(1)进入《国家企业信用信息公示系统》（网址：http：//www.gsxt.gov.cn/index.html），输入企业名称，进入企业信息主页面。</w:t>
      </w:r>
    </w:p>
    <w:p w14:paraId="6FD0890E">
      <w:pPr>
        <w:spacing w:line="380" w:lineRule="exact"/>
        <w:ind w:firstLine="315" w:firstLineChars="150"/>
        <w:rPr>
          <w:rFonts w:hint="eastAsia" w:ascii="宋体"/>
          <w:color w:val="000000" w:themeColor="text1"/>
          <w:kern w:val="0"/>
          <w:highlight w:val="none"/>
          <w14:textFill>
            <w14:solidFill>
              <w14:schemeClr w14:val="tx1"/>
            </w14:solidFill>
          </w14:textFill>
        </w:rPr>
      </w:pPr>
      <w:r>
        <w:rPr>
          <w:rFonts w:hint="eastAsia" w:ascii="宋体" w:cs="宋体"/>
          <w:color w:val="000000" w:themeColor="text1"/>
          <w:kern w:val="0"/>
          <w:highlight w:val="none"/>
          <w:lang w:bidi="ar-SA"/>
          <w14:textFill>
            <w14:solidFill>
              <w14:schemeClr w14:val="tx1"/>
            </w14:solidFill>
          </w14:textFill>
        </w:rPr>
        <w:t>(2)查看主页“股东及出资信息”栏，或年报中的“股东及出资信息”栏信息。</w:t>
      </w:r>
    </w:p>
    <w:p w14:paraId="0482714C">
      <w:pPr>
        <w:spacing w:line="360" w:lineRule="exact"/>
        <w:ind w:firstLine="315" w:firstLineChars="150"/>
        <w:rPr>
          <w:rFonts w:hint="eastAsia" w:ascii="宋体"/>
          <w:color w:val="000000" w:themeColor="text1"/>
          <w:kern w:val="0"/>
          <w:highlight w:val="none"/>
          <w14:textFill>
            <w14:solidFill>
              <w14:schemeClr w14:val="tx1"/>
            </w14:solidFill>
          </w14:textFill>
        </w:rPr>
      </w:pPr>
      <w:r>
        <w:rPr>
          <w:rFonts w:hint="eastAsia" w:ascii="宋体" w:cs="宋体"/>
          <w:color w:val="000000" w:themeColor="text1"/>
          <w:kern w:val="0"/>
          <w:highlight w:val="none"/>
          <w:lang w:bidi="ar-SA"/>
          <w14:textFill>
            <w14:solidFill>
              <w14:schemeClr w14:val="tx1"/>
            </w14:solidFill>
          </w14:textFill>
        </w:rPr>
        <w:t>(3)将各供应商的股东及出资信息进行比对，如发现存在单位负责人为同一人或者存在直接控股、管理关系的不同供应商参加同一合同项下的政府采购活动，按无效处理。</w:t>
      </w:r>
    </w:p>
    <w:p w14:paraId="2AF62D65">
      <w:pPr>
        <w:spacing w:line="360" w:lineRule="exact"/>
        <w:ind w:firstLine="315" w:firstLineChars="150"/>
        <w:rPr>
          <w:rFonts w:hint="eastAsia" w:ascii="宋体" w:cs="宋体"/>
          <w:color w:val="000000" w:themeColor="text1"/>
          <w:kern w:val="0"/>
          <w:highlight w:val="none"/>
          <w:lang w:bidi="ar-SA"/>
          <w14:textFill>
            <w14:solidFill>
              <w14:schemeClr w14:val="tx1"/>
            </w14:solidFill>
          </w14:textFill>
        </w:rPr>
      </w:pPr>
      <w:r>
        <w:rPr>
          <w:rFonts w:hint="eastAsia" w:ascii="宋体" w:cs="宋体"/>
          <w:color w:val="000000" w:themeColor="text1"/>
          <w:kern w:val="0"/>
          <w:highlight w:val="none"/>
          <w:lang w:bidi="ar-SA"/>
          <w14:textFill>
            <w14:solidFill>
              <w14:schemeClr w14:val="tx1"/>
            </w14:solidFill>
          </w14:textFill>
        </w:rPr>
        <w:t>(4)将相关资料打印存档。</w:t>
      </w:r>
    </w:p>
    <w:p w14:paraId="0F0A97B3">
      <w:pPr>
        <w:tabs>
          <w:tab w:val="left" w:pos="1140"/>
        </w:tabs>
        <w:spacing w:line="35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无效处理。</w:t>
      </w:r>
    </w:p>
    <w:p w14:paraId="7BDA41CF">
      <w:pPr>
        <w:spacing w:line="360" w:lineRule="exact"/>
        <w:ind w:firstLine="420" w:firstLineChars="200"/>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再对通过资格性审查的供应商响应文件的有效性、完整性和对磋商文件的响应程度进行符合性审查，以确定是否对磋商文件的实质性要求做出响应。</w:t>
      </w:r>
    </w:p>
    <w:p w14:paraId="56FD15B8">
      <w:pPr>
        <w:spacing w:line="38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23.3响应文件的澄清</w:t>
      </w:r>
    </w:p>
    <w:p w14:paraId="08F20819">
      <w:pPr>
        <w:widowControl/>
        <w:tabs>
          <w:tab w:val="left" w:pos="540"/>
        </w:tabs>
        <w:spacing w:line="400" w:lineRule="exact"/>
        <w:ind w:firstLine="422" w:firstLineChars="200"/>
        <w:jc w:val="left"/>
        <w:rPr>
          <w:rFonts w:hint="eastAsia" w:ascii="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磋商小组如发现供应商提供的证明文件不齐全或不符合规定格式的，应一次性告知供应商，供应商应在规定的时间内</w:t>
      </w:r>
      <w:r>
        <w:rPr>
          <w:rFonts w:hint="eastAsia" w:ascii="宋体" w:hAnsi="宋体" w:eastAsia="宋体" w:cs="宋体"/>
          <w:b/>
          <w:bCs/>
          <w:color w:val="000000" w:themeColor="text1"/>
          <w:szCs w:val="21"/>
          <w:highlight w:val="none"/>
          <w:lang w:eastAsia="zh-CN"/>
          <w14:textFill>
            <w14:solidFill>
              <w14:schemeClr w14:val="tx1"/>
            </w14:solidFill>
          </w14:textFill>
        </w:rPr>
        <w:t>线上</w:t>
      </w:r>
      <w:r>
        <w:rPr>
          <w:rFonts w:hint="eastAsia" w:ascii="宋体" w:hAnsi="宋体" w:eastAsia="宋体" w:cs="宋体"/>
          <w:b/>
          <w:bCs/>
          <w:color w:val="000000" w:themeColor="text1"/>
          <w:szCs w:val="21"/>
          <w:highlight w:val="none"/>
          <w14:textFill>
            <w14:solidFill>
              <w14:schemeClr w14:val="tx1"/>
            </w14:solidFill>
          </w14:textFill>
        </w:rPr>
        <w:t>补正或更正。</w:t>
      </w:r>
    </w:p>
    <w:p w14:paraId="31D184C7">
      <w:pPr>
        <w:widowControl/>
        <w:tabs>
          <w:tab w:val="left" w:pos="540"/>
        </w:tabs>
        <w:spacing w:line="40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磋商小组在对响应文件的有效性、完整性和响应程度进行审查时，可以要求供应商对响应文件中含义不明确、同类问题表述不一致或者有明显文字和计算错误或供应商</w:t>
      </w:r>
      <w:r>
        <w:rPr>
          <w:rFonts w:hint="eastAsia" w:ascii="宋体" w:cs="MingLiU"/>
          <w:color w:val="000000" w:themeColor="text1"/>
          <w:kern w:val="0"/>
          <w:szCs w:val="21"/>
          <w:highlight w:val="none"/>
          <w:lang w:bidi="ar-SA"/>
          <w14:textFill>
            <w14:solidFill>
              <w14:schemeClr w14:val="tx1"/>
            </w14:solidFill>
          </w14:textFill>
        </w:rPr>
        <w:t>已标价工程量清单的项目名称或项目特征与招标工程量清单不一致</w:t>
      </w:r>
      <w:r>
        <w:rPr>
          <w:rFonts w:hint="eastAsia" w:ascii="宋体"/>
          <w:color w:val="000000" w:themeColor="text1"/>
          <w:szCs w:val="21"/>
          <w:highlight w:val="none"/>
          <w14:textFill>
            <w14:solidFill>
              <w14:schemeClr w14:val="tx1"/>
            </w14:solidFill>
          </w14:textFill>
        </w:rPr>
        <w:t>等内容作出必要的澄清、说明或者更正。</w:t>
      </w:r>
    </w:p>
    <w:p w14:paraId="2F7CBB14">
      <w:pPr>
        <w:widowControl/>
        <w:tabs>
          <w:tab w:val="left" w:pos="540"/>
        </w:tabs>
        <w:spacing w:line="40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供应商的澄清、说明或者更正不得超出响应文件的范围或者改变响应文件的实质性内容。澄清、说明或者更正应当采用书面形式，并由其法定代表人或授权委托代表签字（或加盖个人CA证书签章）或加盖供应商CA证书签章。</w:t>
      </w:r>
    </w:p>
    <w:p w14:paraId="6C82AB1C">
      <w:pPr>
        <w:spacing w:line="35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对未通过资格性审查或符合性审查的供应商，由磋商小组应当以电话或通过“广西政府采购云平台”平台告知供应商未通过的原因并做相应记录。</w:t>
      </w:r>
    </w:p>
    <w:p w14:paraId="5DCB336A">
      <w:pPr>
        <w:widowControl/>
        <w:tabs>
          <w:tab w:val="left" w:pos="540"/>
        </w:tabs>
        <w:spacing w:line="40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23.4磋商</w:t>
      </w:r>
    </w:p>
    <w:p w14:paraId="51CD2DD6">
      <w:pPr>
        <w:widowControl/>
        <w:tabs>
          <w:tab w:val="left" w:pos="540"/>
        </w:tabs>
        <w:spacing w:line="40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23.4.1磋商小组所有成员应当按已确定的磋商顺序分别与单一供应商分别进行磋商，并给予所有实质性响应竞争性磋商文件要求的供应商平等的磋商机会。</w:t>
      </w:r>
    </w:p>
    <w:p w14:paraId="381518AC">
      <w:pPr>
        <w:widowControl/>
        <w:tabs>
          <w:tab w:val="left" w:pos="540"/>
        </w:tabs>
        <w:spacing w:line="40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23.4.2在磋商过程中，磋商小组可以根据竞争性磋商文件和磋商情况实质性变动采购需求中的技术、服务要求以及合同草案条款，但不得变动竞争性磋商文件中的其他内容。实质性变动的内容，须经采购人代表确认。</w:t>
      </w:r>
    </w:p>
    <w:p w14:paraId="54D37077">
      <w:pPr>
        <w:widowControl/>
        <w:tabs>
          <w:tab w:val="left" w:pos="540"/>
        </w:tabs>
        <w:spacing w:line="40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对竞争性磋商文件作出的实质性变动是竞争性磋商文件的有效组成部分，磋商小组应当通过“广西政府采购云平台”平台告知知所有参加磋商的供应商。</w:t>
      </w:r>
    </w:p>
    <w:p w14:paraId="1DA66911">
      <w:pPr>
        <w:widowControl/>
        <w:tabs>
          <w:tab w:val="left" w:pos="540"/>
        </w:tabs>
        <w:spacing w:line="40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供应商应当按照磋商文件的变动情况和磋商小组的要求在“广西政府采购云平台”平台中重新提交响应文件，并由其法定代表人或授权委托代表签字（或加盖个人CA证书签章）或加盖供应商CA证书签章。逾时未提交的，视同放弃磋商。重新提交的响应文件与竞争性磋商响应文件同具法律效力。</w:t>
      </w:r>
    </w:p>
    <w:p w14:paraId="3B61E17E">
      <w:pPr>
        <w:widowControl/>
        <w:tabs>
          <w:tab w:val="left" w:pos="540"/>
        </w:tabs>
        <w:spacing w:line="40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磋商中，磋商小组不得透露与磋商有关的其他供应商的技术资料、价格和其他信息。</w:t>
      </w:r>
    </w:p>
    <w:p w14:paraId="618E7EC1">
      <w:pPr>
        <w:widowControl/>
        <w:spacing w:line="350" w:lineRule="exact"/>
        <w:ind w:firstLine="420" w:firstLineChars="200"/>
        <w:jc w:val="left"/>
        <w:rPr>
          <w:rFonts w:hint="eastAsia" w:ascii="宋体"/>
          <w:color w:val="000000" w:themeColor="text1"/>
          <w:kern w:val="0"/>
          <w:szCs w:val="21"/>
          <w:highlight w:val="none"/>
          <w14:textFill>
            <w14:solidFill>
              <w14:schemeClr w14:val="tx1"/>
            </w14:solidFill>
          </w14:textFill>
        </w:rPr>
      </w:pPr>
      <w:r>
        <w:rPr>
          <w:rFonts w:hint="eastAsia" w:ascii="宋体"/>
          <w:color w:val="000000" w:themeColor="text1"/>
          <w:kern w:val="0"/>
          <w:szCs w:val="21"/>
          <w:highlight w:val="none"/>
          <w14:textFill>
            <w14:solidFill>
              <w14:schemeClr w14:val="tx1"/>
            </w14:solidFill>
          </w14:textFill>
        </w:rPr>
        <w:t>23.5最后报价</w:t>
      </w:r>
    </w:p>
    <w:p w14:paraId="221C56BB">
      <w:pPr>
        <w:widowControl/>
        <w:tabs>
          <w:tab w:val="left" w:pos="540"/>
        </w:tabs>
        <w:spacing w:line="350" w:lineRule="exact"/>
        <w:ind w:firstLine="420" w:firstLineChars="200"/>
        <w:jc w:val="left"/>
        <w:rPr>
          <w:rFonts w:hint="eastAsia" w:ascii="宋体"/>
          <w:color w:val="000000" w:themeColor="text1"/>
          <w:kern w:val="0"/>
          <w:szCs w:val="21"/>
          <w:highlight w:val="none"/>
          <w14:textFill>
            <w14:solidFill>
              <w14:schemeClr w14:val="tx1"/>
            </w14:solidFill>
          </w14:textFill>
        </w:rPr>
      </w:pPr>
      <w:r>
        <w:rPr>
          <w:rFonts w:hint="eastAsia" w:ascii="宋体"/>
          <w:color w:val="000000" w:themeColor="text1"/>
          <w:kern w:val="0"/>
          <w:szCs w:val="21"/>
          <w:highlight w:val="none"/>
          <w14:textFill>
            <w14:solidFill>
              <w14:schemeClr w14:val="tx1"/>
            </w14:solidFill>
          </w14:textFill>
        </w:rPr>
        <w:t>23.5.1磋商结束后，磋商小组应当要求所有继续参加磋商的供应商在“广西政府采购云平台”平台规定时间内线上提交最后报价，提交最后报价的供应商不得少于3家。</w:t>
      </w:r>
    </w:p>
    <w:p w14:paraId="2ABFC390">
      <w:pPr>
        <w:widowControl/>
        <w:tabs>
          <w:tab w:val="left" w:pos="540"/>
        </w:tabs>
        <w:spacing w:line="350" w:lineRule="exact"/>
        <w:ind w:firstLine="422" w:firstLineChars="200"/>
        <w:jc w:val="left"/>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在最后报价过程中，如供应商维持磋商报价不变，以第一次磋商报价作为供应商最后报价；如供应商需要改变原磋商报价时，供应商应采用综合单价进行工程量清单报价，不得采用总价让利或以百分比让利等形式进行报价，供应商应预先准备好调整后的报价清单计价表，在磋商小组或采购代理机构开启新一轮报价时，通过政采云平台“上传附件”功能上传。如供应商在磋商过程中，改变原报价且未按竞争性磋商采购文件要求提供调整后的报价清单计价表的，其报价不予认可，视供应商维持原磋商报价不变。</w:t>
      </w:r>
    </w:p>
    <w:p w14:paraId="45147792">
      <w:pPr>
        <w:widowControl/>
        <w:spacing w:line="400" w:lineRule="exact"/>
        <w:ind w:firstLine="420" w:firstLineChars="200"/>
        <w:jc w:val="left"/>
        <w:rPr>
          <w:rFonts w:hint="eastAsia" w:ascii="宋体" w:cs="宋体"/>
          <w:color w:val="000000" w:themeColor="text1"/>
          <w:kern w:val="0"/>
          <w:szCs w:val="21"/>
          <w:highlight w:val="none"/>
          <w:lang w:bidi="ar-SA"/>
          <w14:textFill>
            <w14:solidFill>
              <w14:schemeClr w14:val="tx1"/>
            </w14:solidFill>
          </w14:textFill>
        </w:rPr>
      </w:pPr>
      <w:r>
        <w:rPr>
          <w:rFonts w:hint="eastAsia" w:ascii="宋体" w:cs="宋体"/>
          <w:color w:val="000000" w:themeColor="text1"/>
          <w:kern w:val="0"/>
          <w:szCs w:val="21"/>
          <w:highlight w:val="none"/>
          <w:lang w:bidi="ar-SA"/>
          <w14:textFill>
            <w14:solidFill>
              <w14:schemeClr w14:val="tx1"/>
            </w14:solidFill>
          </w14:textFill>
        </w:rPr>
        <w:t>供应商未在</w:t>
      </w:r>
      <w:r>
        <w:rPr>
          <w:rFonts w:hint="eastAsia" w:cs="宋体"/>
          <w:bCs/>
          <w:color w:val="000000" w:themeColor="text1"/>
          <w:szCs w:val="21"/>
          <w:highlight w:val="none"/>
          <w:lang w:bidi="ar-SA"/>
          <w14:textFill>
            <w14:solidFill>
              <w14:schemeClr w14:val="tx1"/>
            </w14:solidFill>
          </w14:textFill>
        </w:rPr>
        <w:t>“广西政府采购云平台”平台</w:t>
      </w:r>
      <w:r>
        <w:rPr>
          <w:rFonts w:hint="eastAsia" w:ascii="宋体" w:cs="宋体"/>
          <w:color w:val="000000" w:themeColor="text1"/>
          <w:kern w:val="0"/>
          <w:szCs w:val="21"/>
          <w:highlight w:val="none"/>
          <w:lang w:bidi="ar-SA"/>
          <w14:textFill>
            <w14:solidFill>
              <w14:schemeClr w14:val="tx1"/>
            </w14:solidFill>
          </w14:textFill>
        </w:rPr>
        <w:t>规定时间内线上提交最后报价的，视同放弃最后报价权利，其响应文件作无效处理。</w:t>
      </w:r>
    </w:p>
    <w:p w14:paraId="0AAE0A8B">
      <w:pPr>
        <w:widowControl/>
        <w:spacing w:line="400" w:lineRule="exact"/>
        <w:ind w:firstLine="420" w:firstLineChars="200"/>
        <w:jc w:val="left"/>
        <w:rPr>
          <w:rFonts w:hint="eastAsia" w:ascii="宋体" w:cs="宋体"/>
          <w:color w:val="000000" w:themeColor="text1"/>
          <w:kern w:val="0"/>
          <w:szCs w:val="21"/>
          <w:highlight w:val="none"/>
          <w:lang w:bidi="ar-SA"/>
          <w14:textFill>
            <w14:solidFill>
              <w14:schemeClr w14:val="tx1"/>
            </w14:solidFill>
          </w14:textFill>
        </w:rPr>
      </w:pPr>
      <w:r>
        <w:rPr>
          <w:rFonts w:hint="eastAsia" w:ascii="宋体"/>
          <w:color w:val="000000" w:themeColor="text1"/>
          <w:szCs w:val="21"/>
          <w:highlight w:val="none"/>
          <w14:textFill>
            <w14:solidFill>
              <w14:schemeClr w14:val="tx1"/>
            </w14:solidFill>
          </w14:textFill>
        </w:rPr>
        <w:t>23.5</w:t>
      </w:r>
      <w:r>
        <w:rPr>
          <w:rFonts w:hint="eastAsia" w:ascii="宋体" w:cs="宋体"/>
          <w:color w:val="000000" w:themeColor="text1"/>
          <w:kern w:val="0"/>
          <w:szCs w:val="21"/>
          <w:highlight w:val="none"/>
          <w:lang w:bidi="ar-SA"/>
          <w14:textFill>
            <w14:solidFill>
              <w14:schemeClr w14:val="tx1"/>
            </w14:solidFill>
          </w14:textFill>
        </w:rPr>
        <w:t>.2最后报价是供应商响应文件的有效组成部分。</w:t>
      </w:r>
    </w:p>
    <w:p w14:paraId="065D90BC">
      <w:pPr>
        <w:widowControl/>
        <w:spacing w:line="400" w:lineRule="exact"/>
        <w:ind w:firstLine="420" w:firstLineChars="200"/>
        <w:jc w:val="left"/>
        <w:rPr>
          <w:rFonts w:hint="eastAsia" w:ascii="宋体" w:cs="宋体"/>
          <w:color w:val="000000" w:themeColor="text1"/>
          <w:kern w:val="0"/>
          <w:szCs w:val="21"/>
          <w:highlight w:val="none"/>
          <w:lang w:bidi="ar-SA"/>
          <w14:textFill>
            <w14:solidFill>
              <w14:schemeClr w14:val="tx1"/>
            </w14:solidFill>
          </w14:textFill>
        </w:rPr>
      </w:pPr>
      <w:r>
        <w:rPr>
          <w:rFonts w:hint="eastAsia" w:ascii="宋体"/>
          <w:color w:val="000000" w:themeColor="text1"/>
          <w:szCs w:val="21"/>
          <w:highlight w:val="none"/>
          <w14:textFill>
            <w14:solidFill>
              <w14:schemeClr w14:val="tx1"/>
            </w14:solidFill>
          </w14:textFill>
        </w:rPr>
        <w:t>23.5</w:t>
      </w:r>
      <w:r>
        <w:rPr>
          <w:rFonts w:hint="eastAsia" w:ascii="宋体" w:cs="宋体"/>
          <w:color w:val="000000" w:themeColor="text1"/>
          <w:kern w:val="0"/>
          <w:szCs w:val="21"/>
          <w:highlight w:val="none"/>
          <w:lang w:bidi="ar-SA"/>
          <w14:textFill>
            <w14:solidFill>
              <w14:schemeClr w14:val="tx1"/>
            </w14:solidFill>
          </w14:textFill>
        </w:rPr>
        <w:t>.3已提交响应文件的供应商，在提交最后报价之前，可以根据</w:t>
      </w:r>
      <w:r>
        <w:rPr>
          <w:rFonts w:hint="eastAsia" w:ascii="宋体"/>
          <w:color w:val="000000" w:themeColor="text1"/>
          <w:szCs w:val="21"/>
          <w:highlight w:val="none"/>
          <w14:textFill>
            <w14:solidFill>
              <w14:schemeClr w14:val="tx1"/>
            </w14:solidFill>
          </w14:textFill>
        </w:rPr>
        <w:t>磋商</w:t>
      </w:r>
      <w:r>
        <w:rPr>
          <w:rFonts w:hint="eastAsia" w:ascii="宋体" w:cs="宋体"/>
          <w:color w:val="000000" w:themeColor="text1"/>
          <w:kern w:val="0"/>
          <w:szCs w:val="21"/>
          <w:highlight w:val="none"/>
          <w:lang w:bidi="ar-SA"/>
          <w14:textFill>
            <w14:solidFill>
              <w14:schemeClr w14:val="tx1"/>
            </w14:solidFill>
          </w14:textFill>
        </w:rPr>
        <w:t>情况在“广西政府采购云平台”平台中书面退出</w:t>
      </w:r>
      <w:r>
        <w:rPr>
          <w:rFonts w:hint="eastAsia" w:ascii="宋体"/>
          <w:color w:val="000000" w:themeColor="text1"/>
          <w:szCs w:val="21"/>
          <w:highlight w:val="none"/>
          <w14:textFill>
            <w14:solidFill>
              <w14:schemeClr w14:val="tx1"/>
            </w14:solidFill>
          </w14:textFill>
        </w:rPr>
        <w:t>磋商</w:t>
      </w:r>
      <w:r>
        <w:rPr>
          <w:rFonts w:hint="eastAsia" w:ascii="宋体" w:cs="宋体"/>
          <w:color w:val="000000" w:themeColor="text1"/>
          <w:kern w:val="0"/>
          <w:szCs w:val="21"/>
          <w:highlight w:val="none"/>
          <w:lang w:bidi="ar-SA"/>
          <w14:textFill>
            <w14:solidFill>
              <w14:schemeClr w14:val="tx1"/>
            </w14:solidFill>
          </w14:textFill>
        </w:rPr>
        <w:t>。在“广西政府采购云平台”平台中书面退出磋商的，视同放弃最后报价权利，其响应文件作无效处理。</w:t>
      </w:r>
    </w:p>
    <w:p w14:paraId="5A5D22AC">
      <w:pPr>
        <w:widowControl/>
        <w:spacing w:line="400" w:lineRule="exact"/>
        <w:ind w:firstLine="420" w:firstLineChars="200"/>
        <w:jc w:val="left"/>
        <w:rPr>
          <w:rFonts w:hint="eastAsia" w:ascii="宋体" w:cs="宋体"/>
          <w:color w:val="000000" w:themeColor="text1"/>
          <w:kern w:val="0"/>
          <w:szCs w:val="21"/>
          <w:highlight w:val="none"/>
          <w:lang w:bidi="ar-SA"/>
          <w14:textFill>
            <w14:solidFill>
              <w14:schemeClr w14:val="tx1"/>
            </w14:solidFill>
          </w14:textFill>
        </w:rPr>
      </w:pPr>
      <w:r>
        <w:rPr>
          <w:rFonts w:hint="eastAsia" w:ascii="宋体"/>
          <w:color w:val="000000" w:themeColor="text1"/>
          <w:szCs w:val="21"/>
          <w:highlight w:val="none"/>
          <w14:textFill>
            <w14:solidFill>
              <w14:schemeClr w14:val="tx1"/>
            </w14:solidFill>
          </w14:textFill>
        </w:rPr>
        <w:t>23.5</w:t>
      </w:r>
      <w:r>
        <w:rPr>
          <w:rFonts w:hint="eastAsia" w:ascii="宋体" w:cs="宋体"/>
          <w:color w:val="000000" w:themeColor="text1"/>
          <w:kern w:val="0"/>
          <w:szCs w:val="21"/>
          <w:highlight w:val="none"/>
          <w:lang w:bidi="ar-SA"/>
          <w14:textFill>
            <w14:solidFill>
              <w14:schemeClr w14:val="tx1"/>
            </w14:solidFill>
          </w14:textFill>
        </w:rPr>
        <w:t>.4未书面退出磋商的供应商在“广西政府采购云平台”平台规定时间内线上提交最后报价，其最后报价不得超出采购预算价，否则，按响应文件无效处理；磋商过程中磋商文件未作实质性变动的，最后报价不得超过首次报价。</w:t>
      </w:r>
    </w:p>
    <w:p w14:paraId="4EC95258">
      <w:pPr>
        <w:widowControl/>
        <w:spacing w:line="400" w:lineRule="exact"/>
        <w:ind w:firstLine="420" w:firstLineChars="200"/>
        <w:jc w:val="left"/>
        <w:rPr>
          <w:rFonts w:hint="eastAsia" w:ascii="宋体" w:cs="宋体"/>
          <w:color w:val="000000" w:themeColor="text1"/>
          <w:kern w:val="0"/>
          <w:szCs w:val="21"/>
          <w:highlight w:val="none"/>
          <w:lang w:bidi="ar-SA"/>
          <w14:textFill>
            <w14:solidFill>
              <w14:schemeClr w14:val="tx1"/>
            </w14:solidFill>
          </w14:textFill>
        </w:rPr>
      </w:pPr>
      <w:r>
        <w:rPr>
          <w:rFonts w:hint="eastAsia" w:ascii="宋体"/>
          <w:color w:val="000000" w:themeColor="text1"/>
          <w:szCs w:val="21"/>
          <w:highlight w:val="none"/>
          <w14:textFill>
            <w14:solidFill>
              <w14:schemeClr w14:val="tx1"/>
            </w14:solidFill>
          </w14:textFill>
        </w:rPr>
        <w:t>23.5</w:t>
      </w:r>
      <w:r>
        <w:rPr>
          <w:rFonts w:hint="eastAsia" w:ascii="宋体" w:cs="宋体"/>
          <w:color w:val="000000" w:themeColor="text1"/>
          <w:kern w:val="0"/>
          <w:szCs w:val="21"/>
          <w:highlight w:val="none"/>
          <w:lang w:bidi="ar-SA"/>
          <w14:textFill>
            <w14:solidFill>
              <w14:schemeClr w14:val="tx1"/>
            </w14:solidFill>
          </w14:textFill>
        </w:rPr>
        <w:t>.5供应商的最后报价均超过了政府采购预算，采购人不能支付的，磋商活动终止。</w:t>
      </w:r>
    </w:p>
    <w:p w14:paraId="1794573A">
      <w:pPr>
        <w:pStyle w:val="12"/>
        <w:spacing w:line="400" w:lineRule="exact"/>
        <w:ind w:firstLine="420"/>
        <w:rPr>
          <w:rFonts w:hint="eastAsia" w:cs="宋体"/>
          <w:color w:val="000000" w:themeColor="text1"/>
          <w:kern w:val="0"/>
          <w:highlight w:val="none"/>
          <w:lang w:bidi="ar-SA"/>
          <w14:textFill>
            <w14:solidFill>
              <w14:schemeClr w14:val="tx1"/>
            </w14:solidFill>
          </w14:textFill>
        </w:rPr>
      </w:pPr>
      <w:r>
        <w:rPr>
          <w:rFonts w:hint="eastAsia"/>
          <w:color w:val="000000" w:themeColor="text1"/>
          <w:highlight w:val="none"/>
          <w14:textFill>
            <w14:solidFill>
              <w14:schemeClr w14:val="tx1"/>
            </w14:solidFill>
          </w14:textFill>
        </w:rPr>
        <w:t>23.5</w:t>
      </w:r>
      <w:r>
        <w:rPr>
          <w:rFonts w:hint="eastAsia" w:cs="宋体"/>
          <w:color w:val="000000" w:themeColor="text1"/>
          <w:kern w:val="0"/>
          <w:highlight w:val="none"/>
          <w:lang w:bidi="ar-SA"/>
          <w14:textFill>
            <w14:solidFill>
              <w14:schemeClr w14:val="tx1"/>
            </w14:solidFill>
          </w14:textFill>
        </w:rPr>
        <w:t>.6响应文件中磋商报价（含最后报价）出现前后不一致的，按照下列规定修正：</w:t>
      </w:r>
    </w:p>
    <w:p w14:paraId="4C634676">
      <w:pPr>
        <w:pStyle w:val="12"/>
        <w:snapToGrid w:val="0"/>
        <w:spacing w:line="36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（1）响应文件中报价明细表内容与响应文件中相应内容不一致的，以报价明细表为准；</w:t>
      </w:r>
    </w:p>
    <w:p w14:paraId="5B441B2C">
      <w:pPr>
        <w:pStyle w:val="12"/>
        <w:snapToGrid w:val="0"/>
        <w:spacing w:line="36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（2）大写金额和小写金额不一致的，以大写金额为准；</w:t>
      </w:r>
    </w:p>
    <w:p w14:paraId="4B6CD657">
      <w:pPr>
        <w:pStyle w:val="12"/>
        <w:snapToGrid w:val="0"/>
        <w:spacing w:line="36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（3）单价金额小数点或者百分比有明显错位的，以报价明细表的总价为准，并修改单价；</w:t>
      </w:r>
    </w:p>
    <w:p w14:paraId="79C4B4B2">
      <w:pPr>
        <w:pStyle w:val="12"/>
        <w:snapToGrid w:val="0"/>
        <w:spacing w:line="36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（4）总价金额与按单价汇总金额不一致的，以单价金额计算结果为准。</w:t>
      </w:r>
    </w:p>
    <w:p w14:paraId="1FA9BB14">
      <w:pPr>
        <w:pStyle w:val="12"/>
        <w:snapToGrid w:val="0"/>
        <w:spacing w:line="360" w:lineRule="exact"/>
        <w:ind w:firstLine="422" w:firstLineChars="200"/>
        <w:rPr>
          <w:b/>
          <w:bCs/>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同时出现两种以上不一致的，按照第（1）-（4）规定的顺序修正。</w:t>
      </w:r>
      <w:r>
        <w:rPr>
          <w:rFonts w:hint="eastAsia"/>
          <w:b/>
          <w:bCs/>
          <w:color w:val="000000" w:themeColor="text1"/>
          <w:highlight w:val="none"/>
          <w14:textFill>
            <w14:solidFill>
              <w14:schemeClr w14:val="tx1"/>
            </w14:solidFill>
          </w14:textFill>
        </w:rPr>
        <w:t>修正的报价经供应商确认（须供应商在线签字或加盖个人CA证书签章确认）后产生约束力，供应商不确认的，其响应文件无效。</w:t>
      </w:r>
    </w:p>
    <w:p w14:paraId="00E0FFB6">
      <w:pPr>
        <w:widowControl/>
        <w:spacing w:line="400" w:lineRule="exact"/>
        <w:ind w:firstLine="420" w:firstLineChars="20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除上述原因以外，如果因供应商原因引起的报价失误，并在磋商时被接受，其后果由供应商自行承担。</w:t>
      </w:r>
    </w:p>
    <w:p w14:paraId="004ADB5C">
      <w:pPr>
        <w:pStyle w:val="1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宋体"/>
          <w:color w:val="000000" w:themeColor="text1"/>
          <w:highlight w:val="none"/>
          <w:lang w:bidi="ar-SA"/>
          <w14:textFill>
            <w14:solidFill>
              <w14:schemeClr w14:val="tx1"/>
            </w14:solidFill>
          </w14:textFill>
        </w:rPr>
      </w:pPr>
      <w:r>
        <w:rPr>
          <w:rFonts w:hint="eastAsia" w:cs="宋体"/>
          <w:b w:val="0"/>
          <w:bCs w:val="0"/>
          <w:color w:val="000000" w:themeColor="text1"/>
          <w:highlight w:val="none"/>
          <w:lang w:val="en-US" w:eastAsia="zh-CN" w:bidi="ar-SA"/>
          <w14:textFill>
            <w14:solidFill>
              <w14:schemeClr w14:val="tx1"/>
            </w14:solidFill>
          </w14:textFill>
        </w:rPr>
        <w:t>23.5.7</w:t>
      </w:r>
      <w:r>
        <w:rPr>
          <w:rFonts w:hint="eastAsia" w:cs="宋体"/>
          <w:b/>
          <w:bCs/>
          <w:color w:val="000000" w:themeColor="text1"/>
          <w:highlight w:val="none"/>
          <w:lang w:bidi="ar-SA"/>
          <w14:textFill>
            <w14:solidFill>
              <w14:schemeClr w14:val="tx1"/>
            </w14:solidFill>
          </w14:textFill>
        </w:rPr>
        <w:t>异常低价响应审查</w:t>
      </w:r>
    </w:p>
    <w:p w14:paraId="698C253F">
      <w:pPr>
        <w:pStyle w:val="1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宋体"/>
          <w:color w:val="000000" w:themeColor="text1"/>
          <w:highlight w:val="none"/>
          <w:lang w:bidi="ar-SA"/>
          <w14:textFill>
            <w14:solidFill>
              <w14:schemeClr w14:val="tx1"/>
            </w14:solidFill>
          </w14:textFill>
        </w:rPr>
      </w:pPr>
      <w:r>
        <w:rPr>
          <w:rFonts w:hint="eastAsia" w:cs="宋体"/>
          <w:color w:val="000000" w:themeColor="text1"/>
          <w:highlight w:val="none"/>
          <w:lang w:bidi="ar-SA"/>
          <w14:textFill>
            <w14:solidFill>
              <w14:schemeClr w14:val="tx1"/>
            </w14:solidFill>
          </w14:textFill>
        </w:rPr>
        <w:t>（1）磋商小组在评审中发现下列情形之一的，应当启动异常低价响应审查程序：</w:t>
      </w:r>
    </w:p>
    <w:p w14:paraId="4A021BEF">
      <w:pPr>
        <w:pStyle w:val="1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宋体"/>
          <w:color w:val="000000" w:themeColor="text1"/>
          <w:highlight w:val="none"/>
          <w:lang w:bidi="ar-SA"/>
          <w14:textFill>
            <w14:solidFill>
              <w14:schemeClr w14:val="tx1"/>
            </w14:solidFill>
          </w14:textFill>
        </w:rPr>
      </w:pPr>
      <w:r>
        <w:rPr>
          <w:rFonts w:hint="eastAsia" w:cs="宋体"/>
          <w:color w:val="000000" w:themeColor="text1"/>
          <w:highlight w:val="none"/>
          <w:lang w:bidi="ar-SA"/>
          <w14:textFill>
            <w14:solidFill>
              <w14:schemeClr w14:val="tx1"/>
            </w14:solidFill>
          </w14:textFill>
        </w:rPr>
        <w:t>①响应报价低于全部通过符合性审查供应商响应报价平均值50%的，即响应报价＜全部通过符合性审查供应商响应报价平均值×50%；</w:t>
      </w:r>
    </w:p>
    <w:p w14:paraId="4640410D">
      <w:pPr>
        <w:pStyle w:val="1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宋体"/>
          <w:color w:val="000000" w:themeColor="text1"/>
          <w:highlight w:val="none"/>
          <w:lang w:bidi="ar-SA"/>
          <w14:textFill>
            <w14:solidFill>
              <w14:schemeClr w14:val="tx1"/>
            </w14:solidFill>
          </w14:textFill>
        </w:rPr>
      </w:pPr>
      <w:r>
        <w:rPr>
          <w:rFonts w:hint="eastAsia" w:cs="宋体"/>
          <w:color w:val="000000" w:themeColor="text1"/>
          <w:highlight w:val="none"/>
          <w:lang w:bidi="ar-SA"/>
          <w14:textFill>
            <w14:solidFill>
              <w14:schemeClr w14:val="tx1"/>
            </w14:solidFill>
          </w14:textFill>
        </w:rPr>
        <w:t>②响应报价低于通过符合性审查的次低报价供应商响应报价50%的，即响应报价＜通过符合性审查的次低报价供应商响应报价×50% ；</w:t>
      </w:r>
    </w:p>
    <w:p w14:paraId="6DC76464">
      <w:pPr>
        <w:pStyle w:val="1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宋体"/>
          <w:color w:val="000000" w:themeColor="text1"/>
          <w:highlight w:val="none"/>
          <w:lang w:bidi="ar-SA"/>
          <w14:textFill>
            <w14:solidFill>
              <w14:schemeClr w14:val="tx1"/>
            </w14:solidFill>
          </w14:textFill>
        </w:rPr>
      </w:pPr>
      <w:r>
        <w:rPr>
          <w:rFonts w:hint="eastAsia" w:cs="宋体"/>
          <w:color w:val="000000" w:themeColor="text1"/>
          <w:highlight w:val="none"/>
          <w:lang w:bidi="ar-SA"/>
          <w14:textFill>
            <w14:solidFill>
              <w14:schemeClr w14:val="tx1"/>
            </w14:solidFill>
          </w14:textFill>
        </w:rPr>
        <w:t>③响应报价低于采购项目最高限价65%的，即响应报价＜采购项目最高限价×65%；</w:t>
      </w:r>
    </w:p>
    <w:p w14:paraId="6E70CD3C">
      <w:pPr>
        <w:pStyle w:val="1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宋体"/>
          <w:color w:val="000000" w:themeColor="text1"/>
          <w:highlight w:val="none"/>
          <w:lang w:bidi="ar-SA"/>
          <w14:textFill>
            <w14:solidFill>
              <w14:schemeClr w14:val="tx1"/>
            </w14:solidFill>
          </w14:textFill>
        </w:rPr>
      </w:pPr>
      <w:r>
        <w:rPr>
          <w:rFonts w:hint="eastAsia" w:cs="宋体"/>
          <w:color w:val="000000" w:themeColor="text1"/>
          <w:highlight w:val="none"/>
          <w:lang w:bidi="ar-SA"/>
          <w14:textFill>
            <w14:solidFill>
              <w14:schemeClr w14:val="tx1"/>
            </w14:solidFill>
          </w14:textFill>
        </w:rPr>
        <w:t>④磋商小组基于专业判断，认为供应商报价过低，有可能影响产品质量或者不能诚信履约的其他情形。</w:t>
      </w:r>
    </w:p>
    <w:p w14:paraId="7F60B720">
      <w:pPr>
        <w:pStyle w:val="1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宋体"/>
          <w:color w:val="000000" w:themeColor="text1"/>
          <w:highlight w:val="none"/>
          <w:lang w:bidi="ar-SA"/>
          <w14:textFill>
            <w14:solidFill>
              <w14:schemeClr w14:val="tx1"/>
            </w14:solidFill>
          </w14:textFill>
        </w:rPr>
      </w:pPr>
      <w:r>
        <w:rPr>
          <w:rFonts w:hint="eastAsia" w:cs="宋体"/>
          <w:color w:val="000000" w:themeColor="text1"/>
          <w:highlight w:val="none"/>
          <w:lang w:bidi="ar-SA"/>
          <w14:textFill>
            <w14:solidFill>
              <w14:schemeClr w14:val="tx1"/>
            </w14:solidFill>
          </w14:textFill>
        </w:rPr>
        <w:t>（2）磋商小组启动异常低价响应审查后，属于前述第①项至第④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7FB54C6A">
      <w:pPr>
        <w:pStyle w:val="1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宋体"/>
          <w:color w:val="000000" w:themeColor="text1"/>
          <w:highlight w:val="none"/>
          <w:lang w:bidi="ar-SA"/>
          <w14:textFill>
            <w14:solidFill>
              <w14:schemeClr w14:val="tx1"/>
            </w14:solidFill>
          </w14:textFill>
        </w:rPr>
      </w:pPr>
      <w:r>
        <w:rPr>
          <w:rFonts w:hint="eastAsia" w:cs="宋体"/>
          <w:color w:val="000000" w:themeColor="text1"/>
          <w:highlight w:val="none"/>
          <w:lang w:bidi="ar-SA"/>
          <w14:textFill>
            <w14:solidFill>
              <w14:schemeClr w14:val="tx1"/>
            </w14:solidFill>
          </w14:textFill>
        </w:rPr>
        <w:t>磋商小组依据专业经验，参考同类项目中标（成交）价格、类似产品市场价格水平、行业人工费用标准、国家有关部门指导行业协会发布的行业平均成本等情况，对报价合理性进行判断。</w:t>
      </w:r>
      <w:r>
        <w:rPr>
          <w:rFonts w:hint="eastAsia" w:cs="宋体"/>
          <w:b/>
          <w:bCs/>
          <w:color w:val="000000" w:themeColor="text1"/>
          <w:highlight w:val="none"/>
          <w:lang w:bidi="ar-SA"/>
          <w14:textFill>
            <w14:solidFill>
              <w14:schemeClr w14:val="tx1"/>
            </w14:solidFill>
          </w14:textFill>
        </w:rPr>
        <w:t>相关供应商不能提供书面说明、证明材料，或者提供的书面说明、证明材料不能证明其报价合理性的，磋商小组应当将其</w:t>
      </w:r>
      <w:r>
        <w:rPr>
          <w:rFonts w:hint="eastAsia" w:cs="宋体"/>
          <w:b/>
          <w:bCs/>
          <w:color w:val="000000" w:themeColor="text1"/>
          <w:highlight w:val="none"/>
          <w:lang w:eastAsia="zh-CN" w:bidi="ar-SA"/>
          <w14:textFill>
            <w14:solidFill>
              <w14:schemeClr w14:val="tx1"/>
            </w14:solidFill>
          </w14:textFill>
        </w:rPr>
        <w:t>响应文件</w:t>
      </w:r>
      <w:r>
        <w:rPr>
          <w:rFonts w:hint="eastAsia" w:cs="宋体"/>
          <w:b/>
          <w:bCs/>
          <w:color w:val="000000" w:themeColor="text1"/>
          <w:highlight w:val="none"/>
          <w:lang w:bidi="ar-SA"/>
          <w14:textFill>
            <w14:solidFill>
              <w14:schemeClr w14:val="tx1"/>
            </w14:solidFill>
          </w14:textFill>
        </w:rPr>
        <w:t>作为无效响应处理。</w:t>
      </w:r>
    </w:p>
    <w:p w14:paraId="264A5488">
      <w:pPr>
        <w:pStyle w:val="1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宋体"/>
          <w:color w:val="000000" w:themeColor="text1"/>
          <w:highlight w:val="none"/>
          <w:lang w:bidi="ar-SA"/>
          <w14:textFill>
            <w14:solidFill>
              <w14:schemeClr w14:val="tx1"/>
            </w14:solidFill>
          </w14:textFill>
        </w:rPr>
      </w:pPr>
      <w:r>
        <w:rPr>
          <w:rFonts w:hint="eastAsia" w:cs="宋体"/>
          <w:color w:val="000000" w:themeColor="text1"/>
          <w:highlight w:val="none"/>
          <w:lang w:bidi="ar-SA"/>
          <w14:textFill>
            <w14:solidFill>
              <w14:schemeClr w14:val="tx1"/>
            </w14:solidFill>
          </w14:textFill>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725C4C26">
      <w:pPr>
        <w:pStyle w:val="1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宋体"/>
          <w:color w:val="000000" w:themeColor="text1"/>
          <w:highlight w:val="none"/>
          <w:lang w:bidi="ar-SA"/>
          <w14:textFill>
            <w14:solidFill>
              <w14:schemeClr w14:val="tx1"/>
            </w14:solidFill>
          </w14:textFill>
        </w:rPr>
      </w:pPr>
      <w:r>
        <w:rPr>
          <w:rFonts w:hint="eastAsia" w:cs="宋体"/>
          <w:color w:val="000000" w:themeColor="text1"/>
          <w:highlight w:val="none"/>
          <w:lang w:bidi="ar-SA"/>
          <w14:textFill>
            <w14:solidFill>
              <w14:schemeClr w14:val="tx1"/>
            </w14:solidFill>
          </w14:textFill>
        </w:rPr>
        <w:t>异常低价响应审查的启动原因、审查意见和审查结果应当在评审报告中记录，并随供应商提供的相关书面说明及证明材料，以及磋商小组有关互联网浏览、查询历史一并归档。</w:t>
      </w:r>
    </w:p>
    <w:p w14:paraId="7D251847">
      <w:pPr>
        <w:pStyle w:val="12"/>
        <w:spacing w:line="370" w:lineRule="exact"/>
        <w:ind w:firstLine="420" w:firstLineChars="200"/>
        <w:rPr>
          <w:rFonts w:cs="宋体"/>
          <w:color w:val="000000" w:themeColor="text1"/>
          <w:highlight w:val="none"/>
          <w:lang w:bidi="ar-SA"/>
          <w14:textFill>
            <w14:solidFill>
              <w14:schemeClr w14:val="tx1"/>
            </w14:solidFill>
          </w14:textFill>
        </w:rPr>
      </w:pPr>
      <w:r>
        <w:rPr>
          <w:rFonts w:hint="eastAsia" w:cs="宋体"/>
          <w:color w:val="000000" w:themeColor="text1"/>
          <w:highlight w:val="none"/>
          <w:lang w:bidi="ar-SA"/>
          <w14:textFill>
            <w14:solidFill>
              <w14:schemeClr w14:val="tx1"/>
            </w14:solidFill>
          </w14:textFill>
        </w:rPr>
        <w:t>23.6</w:t>
      </w:r>
      <w:r>
        <w:rPr>
          <w:rFonts w:cs="宋体"/>
          <w:color w:val="000000" w:themeColor="text1"/>
          <w:highlight w:val="none"/>
          <w:lang w:bidi="ar-SA"/>
          <w14:textFill>
            <w14:solidFill>
              <w14:schemeClr w14:val="tx1"/>
            </w14:solidFill>
          </w14:textFill>
        </w:rPr>
        <w:t>综合</w:t>
      </w:r>
      <w:r>
        <w:rPr>
          <w:rFonts w:hint="eastAsia" w:cs="宋体"/>
          <w:color w:val="000000" w:themeColor="text1"/>
          <w:highlight w:val="none"/>
          <w:lang w:bidi="ar-SA"/>
          <w14:textFill>
            <w14:solidFill>
              <w14:schemeClr w14:val="tx1"/>
            </w14:solidFill>
          </w14:textFill>
        </w:rPr>
        <w:t>比较与评价</w:t>
      </w:r>
    </w:p>
    <w:p w14:paraId="6A6252F5">
      <w:pPr>
        <w:pStyle w:val="12"/>
        <w:spacing w:line="370" w:lineRule="exact"/>
        <w:ind w:firstLine="420" w:firstLineChars="200"/>
        <w:rPr>
          <w:rFonts w:cs="宋体"/>
          <w:color w:val="000000" w:themeColor="text1"/>
          <w:highlight w:val="none"/>
          <w:lang w:bidi="ar-SA"/>
          <w14:textFill>
            <w14:solidFill>
              <w14:schemeClr w14:val="tx1"/>
            </w14:solidFill>
          </w14:textFill>
        </w:rPr>
      </w:pPr>
      <w:r>
        <w:rPr>
          <w:rFonts w:hint="eastAsia" w:cs="宋体"/>
          <w:color w:val="000000" w:themeColor="text1"/>
          <w:highlight w:val="none"/>
          <w:lang w:bidi="ar-SA"/>
          <w14:textFill>
            <w14:solidFill>
              <w14:schemeClr w14:val="tx1"/>
            </w14:solidFill>
          </w14:textFill>
        </w:rPr>
        <w:t>23.6.1 磋商小组按竞争性磋商文件中规定的评审办法，</w:t>
      </w:r>
      <w:r>
        <w:rPr>
          <w:rFonts w:cs="宋体"/>
          <w:color w:val="000000" w:themeColor="text1"/>
          <w:highlight w:val="none"/>
          <w:lang w:bidi="ar-SA"/>
          <w14:textFill>
            <w14:solidFill>
              <w14:schemeClr w14:val="tx1"/>
            </w14:solidFill>
          </w14:textFill>
        </w:rPr>
        <w:t>对</w:t>
      </w:r>
      <w:r>
        <w:rPr>
          <w:rFonts w:hint="eastAsia" w:cs="宋体"/>
          <w:color w:val="000000" w:themeColor="text1"/>
          <w:highlight w:val="none"/>
          <w:lang w:bidi="ar-SA"/>
          <w14:textFill>
            <w14:solidFill>
              <w14:schemeClr w14:val="tx1"/>
            </w14:solidFill>
          </w14:textFill>
        </w:rPr>
        <w:t>资格性审查和符合性审查合格的响应文件进行商务和技术评估，</w:t>
      </w:r>
      <w:r>
        <w:rPr>
          <w:rFonts w:cs="宋体"/>
          <w:color w:val="000000" w:themeColor="text1"/>
          <w:highlight w:val="none"/>
          <w:lang w:bidi="ar-SA"/>
          <w14:textFill>
            <w14:solidFill>
              <w14:schemeClr w14:val="tx1"/>
            </w14:solidFill>
          </w14:textFill>
        </w:rPr>
        <w:t>综合</w:t>
      </w:r>
      <w:r>
        <w:rPr>
          <w:rFonts w:hint="eastAsia" w:cs="宋体"/>
          <w:color w:val="000000" w:themeColor="text1"/>
          <w:highlight w:val="none"/>
          <w:lang w:bidi="ar-SA"/>
          <w14:textFill>
            <w14:solidFill>
              <w14:schemeClr w14:val="tx1"/>
            </w14:solidFill>
          </w14:textFill>
        </w:rPr>
        <w:t>比较与评价。</w:t>
      </w:r>
    </w:p>
    <w:p w14:paraId="36CAF369">
      <w:pPr>
        <w:pStyle w:val="12"/>
        <w:spacing w:line="370" w:lineRule="exact"/>
        <w:ind w:firstLine="420" w:firstLineChars="200"/>
        <w:rPr>
          <w:rFonts w:hint="eastAsia" w:cs="宋体"/>
          <w:color w:val="000000" w:themeColor="text1"/>
          <w:highlight w:val="none"/>
          <w:lang w:bidi="ar-SA"/>
          <w14:textFill>
            <w14:solidFill>
              <w14:schemeClr w14:val="tx1"/>
            </w14:solidFill>
          </w14:textFill>
        </w:rPr>
      </w:pPr>
      <w:r>
        <w:rPr>
          <w:rFonts w:hint="eastAsia" w:cs="宋体"/>
          <w:color w:val="000000" w:themeColor="text1"/>
          <w:highlight w:val="none"/>
          <w:lang w:bidi="ar-SA"/>
          <w14:textFill>
            <w14:solidFill>
              <w14:schemeClr w14:val="tx1"/>
            </w14:solidFill>
          </w14:textFill>
        </w:rPr>
        <w:t>23.6</w:t>
      </w:r>
      <w:r>
        <w:rPr>
          <w:rFonts w:cs="宋体"/>
          <w:color w:val="000000" w:themeColor="text1"/>
          <w:highlight w:val="none"/>
          <w:lang w:bidi="ar-SA"/>
          <w14:textFill>
            <w14:solidFill>
              <w14:schemeClr w14:val="tx1"/>
            </w14:solidFill>
          </w14:textFill>
        </w:rPr>
        <w:t xml:space="preserve">.2 </w:t>
      </w:r>
      <w:r>
        <w:rPr>
          <w:rFonts w:hint="eastAsia" w:cs="宋体"/>
          <w:color w:val="000000" w:themeColor="text1"/>
          <w:highlight w:val="none"/>
          <w:lang w:bidi="ar-SA"/>
          <w14:textFill>
            <w14:solidFill>
              <w14:schemeClr w14:val="tx1"/>
            </w14:solidFill>
          </w14:textFill>
        </w:rPr>
        <w:t>采购代理机构对评审数据进行校对、</w:t>
      </w:r>
      <w:r>
        <w:rPr>
          <w:rFonts w:cs="宋体"/>
          <w:color w:val="000000" w:themeColor="text1"/>
          <w:highlight w:val="none"/>
          <w:lang w:bidi="ar-SA"/>
          <w14:textFill>
            <w14:solidFill>
              <w14:schemeClr w14:val="tx1"/>
            </w14:solidFill>
          </w14:textFill>
        </w:rPr>
        <w:t>核对</w:t>
      </w:r>
      <w:r>
        <w:rPr>
          <w:rFonts w:hint="eastAsia" w:cs="宋体"/>
          <w:color w:val="000000" w:themeColor="text1"/>
          <w:highlight w:val="none"/>
          <w:lang w:bidi="ar-SA"/>
          <w14:textFill>
            <w14:solidFill>
              <w14:schemeClr w14:val="tx1"/>
            </w14:solidFill>
          </w14:textFill>
        </w:rPr>
        <w:t>，</w:t>
      </w:r>
      <w:r>
        <w:rPr>
          <w:rFonts w:cs="宋体"/>
          <w:color w:val="000000" w:themeColor="text1"/>
          <w:highlight w:val="none"/>
          <w:lang w:bidi="ar-SA"/>
          <w14:textFill>
            <w14:solidFill>
              <w14:schemeClr w14:val="tx1"/>
            </w14:solidFill>
          </w14:textFill>
        </w:rPr>
        <w:t>对</w:t>
      </w:r>
      <w:r>
        <w:rPr>
          <w:rFonts w:hint="eastAsia" w:cs="宋体"/>
          <w:color w:val="000000" w:themeColor="text1"/>
          <w:highlight w:val="none"/>
          <w:lang w:bidi="ar-SA"/>
          <w14:textFill>
            <w14:solidFill>
              <w14:schemeClr w14:val="tx1"/>
            </w14:solidFill>
          </w14:textFill>
        </w:rPr>
        <w:t>畸高、畸低的重大差异评分提示磋商小组复核或书面说明理由。</w:t>
      </w:r>
    </w:p>
    <w:p w14:paraId="707E11F5">
      <w:pPr>
        <w:widowControl/>
        <w:tabs>
          <w:tab w:val="left" w:pos="540"/>
        </w:tabs>
        <w:spacing w:line="350" w:lineRule="exact"/>
        <w:ind w:firstLine="420" w:firstLineChars="200"/>
        <w:jc w:val="left"/>
        <w:rPr>
          <w:rFonts w:hint="eastAsia" w:ascii="宋体"/>
          <w:color w:val="000000" w:themeColor="text1"/>
          <w:kern w:val="0"/>
          <w:szCs w:val="21"/>
          <w:highlight w:val="none"/>
          <w14:textFill>
            <w14:solidFill>
              <w14:schemeClr w14:val="tx1"/>
            </w14:solidFill>
          </w14:textFill>
        </w:rPr>
      </w:pPr>
      <w:r>
        <w:rPr>
          <w:rFonts w:hint="eastAsia" w:ascii="宋体"/>
          <w:color w:val="000000" w:themeColor="text1"/>
          <w:kern w:val="0"/>
          <w:szCs w:val="21"/>
          <w:highlight w:val="none"/>
          <w14:textFill>
            <w14:solidFill>
              <w14:schemeClr w14:val="tx1"/>
            </w14:solidFill>
          </w14:textFill>
        </w:rPr>
        <w:t>23.7评审报告</w:t>
      </w:r>
    </w:p>
    <w:p w14:paraId="22F97E85">
      <w:pPr>
        <w:pStyle w:val="12"/>
        <w:tabs>
          <w:tab w:val="left" w:pos="4214"/>
        </w:tabs>
        <w:spacing w:line="370" w:lineRule="exact"/>
        <w:ind w:firstLine="420" w:firstLineChars="200"/>
        <w:rPr>
          <w:rFonts w:hint="eastAsia"/>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23.7.1</w:t>
      </w:r>
      <w:r>
        <w:rPr>
          <w:rFonts w:hint="eastAsia" w:cs="宋体"/>
          <w:color w:val="000000" w:themeColor="text1"/>
          <w:highlight w:val="none"/>
          <w:lang w:bidi="ar-SA"/>
          <w14:textFill>
            <w14:solidFill>
              <w14:schemeClr w14:val="tx1"/>
            </w14:solidFill>
          </w14:textFill>
        </w:rPr>
        <w:t>磋商小组将根据得分由高到低排列次序并推荐三名成交候选供应商，并编写评审报告。磋商小组根据综合得分由高到低排列次序，若得分相同时，以评审报价由低到高顺序排列；若得分相同且评审报价相同的，依次按施工组织设计、企业信誉实力得分由高到低顺序排列并推荐成交候选供应商。若仍相同时，则由磋商小组集体讨论确定</w:t>
      </w:r>
      <w:r>
        <w:rPr>
          <w:rFonts w:hint="eastAsia"/>
          <w:color w:val="000000" w:themeColor="text1"/>
          <w:kern w:val="0"/>
          <w:highlight w:val="none"/>
          <w14:textFill>
            <w14:solidFill>
              <w14:schemeClr w14:val="tx1"/>
            </w14:solidFill>
          </w14:textFill>
        </w:rPr>
        <w:t>。</w:t>
      </w:r>
    </w:p>
    <w:p w14:paraId="0129664B">
      <w:pPr>
        <w:widowControl/>
        <w:spacing w:line="400" w:lineRule="exact"/>
        <w:ind w:firstLine="420" w:firstLineChars="200"/>
        <w:jc w:val="left"/>
        <w:rPr>
          <w:rFonts w:hint="eastAsia" w:ascii="宋体" w:cs="宋体"/>
          <w:color w:val="000000" w:themeColor="text1"/>
          <w:kern w:val="0"/>
          <w:szCs w:val="21"/>
          <w:highlight w:val="none"/>
          <w:lang w:bidi="ar-SA"/>
          <w14:textFill>
            <w14:solidFill>
              <w14:schemeClr w14:val="tx1"/>
            </w14:solidFill>
          </w14:textFill>
        </w:rPr>
      </w:pPr>
      <w:r>
        <w:rPr>
          <w:rFonts w:hint="eastAsia" w:ascii="宋体" w:cs="宋体"/>
          <w:color w:val="000000" w:themeColor="text1"/>
          <w:kern w:val="0"/>
          <w:szCs w:val="21"/>
          <w:highlight w:val="none"/>
          <w:lang w:bidi="ar-SA"/>
          <w14:textFill>
            <w14:solidFill>
              <w14:schemeClr w14:val="tx1"/>
            </w14:solidFill>
          </w14:textFill>
        </w:rPr>
        <w:t>23.7.2评审报告应当由磋商小组全体人员签字认可，磋商小组成员对评审报告有异议的，磋商小组按照少数服从多数的原则推荐成交候选人，采购程序继续进行。对评审报告有异议的磋商小组成员，应当在评审报告上签署不同意见及理由，由磋商小组书面记录相关情况。磋商小组成员拒绝在报告上签字又不书面说明其不同意见和理由的，视为同意评审报告。</w:t>
      </w:r>
    </w:p>
    <w:p w14:paraId="6A5C3E29">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23.8在评审过程中出现法律法规和磋商文件均没有明确规定的情形时，由磋商小组现场协商解决，协商不一致的，由全体磋商小组投票表决，</w:t>
      </w:r>
      <w:r>
        <w:rPr>
          <w:rFonts w:hint="eastAsia" w:ascii="宋体"/>
          <w:color w:val="000000" w:themeColor="text1"/>
          <w:szCs w:val="21"/>
          <w:highlight w:val="none"/>
          <w:lang w:eastAsia="zh-CN"/>
          <w14:textFill>
            <w14:solidFill>
              <w14:schemeClr w14:val="tx1"/>
            </w14:solidFill>
          </w14:textFill>
        </w:rPr>
        <w:t>按照少数服从多数的原则作出结论。</w:t>
      </w:r>
      <w:r>
        <w:rPr>
          <w:rFonts w:hint="eastAsia" w:ascii="宋体"/>
          <w:color w:val="000000" w:themeColor="text1"/>
          <w:szCs w:val="21"/>
          <w:highlight w:val="none"/>
          <w14:textFill>
            <w14:solidFill>
              <w14:schemeClr w14:val="tx1"/>
            </w14:solidFill>
          </w14:textFill>
        </w:rPr>
        <w:t>。</w:t>
      </w:r>
    </w:p>
    <w:p w14:paraId="7CA3FAD4">
      <w:pPr>
        <w:widowControl/>
        <w:spacing w:line="400" w:lineRule="exact"/>
        <w:ind w:firstLine="420" w:firstLineChars="200"/>
        <w:jc w:val="left"/>
        <w:rPr>
          <w:rFonts w:hint="eastAsia" w:ascii="宋体" w:cs="宋体"/>
          <w:color w:val="000000" w:themeColor="text1"/>
          <w:kern w:val="0"/>
          <w:szCs w:val="21"/>
          <w:highlight w:val="none"/>
          <w:lang w:bidi="ar-SA"/>
          <w14:textFill>
            <w14:solidFill>
              <w14:schemeClr w14:val="tx1"/>
            </w14:solidFill>
          </w14:textFill>
        </w:rPr>
      </w:pPr>
      <w:r>
        <w:rPr>
          <w:rFonts w:hint="eastAsia" w:ascii="宋体" w:cs="宋体"/>
          <w:color w:val="000000" w:themeColor="text1"/>
          <w:kern w:val="0"/>
          <w:szCs w:val="21"/>
          <w:highlight w:val="none"/>
          <w:lang w:bidi="ar-SA"/>
          <w14:textFill>
            <w14:solidFill>
              <w14:schemeClr w14:val="tx1"/>
            </w14:solidFill>
          </w14:textFill>
        </w:rPr>
        <w:t>23.9采购代理机构发现磋商小组有明显的违规倾向或歧视现象，或不按评审办法进行，或其他不正常行为的，应当及时制止。如制止无效，应及时向同级政府采购监督管理机构报告。</w:t>
      </w:r>
    </w:p>
    <w:p w14:paraId="638A7809">
      <w:pPr>
        <w:widowControl/>
        <w:spacing w:line="400" w:lineRule="exact"/>
        <w:ind w:firstLine="420" w:firstLineChars="200"/>
        <w:jc w:val="left"/>
        <w:rPr>
          <w:rFonts w:hint="eastAsia" w:ascii="宋体" w:cs="宋体"/>
          <w:color w:val="000000" w:themeColor="text1"/>
          <w:kern w:val="0"/>
          <w:szCs w:val="21"/>
          <w:highlight w:val="none"/>
          <w:lang w:bidi="ar-SA"/>
          <w14:textFill>
            <w14:solidFill>
              <w14:schemeClr w14:val="tx1"/>
            </w14:solidFill>
          </w14:textFill>
        </w:rPr>
      </w:pPr>
      <w:r>
        <w:rPr>
          <w:rFonts w:hint="eastAsia" w:ascii="宋体" w:cs="宋体"/>
          <w:color w:val="000000" w:themeColor="text1"/>
          <w:kern w:val="0"/>
          <w:szCs w:val="21"/>
          <w:highlight w:val="none"/>
          <w:lang w:bidi="ar-SA"/>
          <w14:textFill>
            <w14:solidFill>
              <w14:schemeClr w14:val="tx1"/>
            </w14:solidFill>
          </w14:textFill>
        </w:rPr>
        <w:t>23.10磋商小组判断响应文件的响应性仅基于响应文件本身而不靠外部证据。</w:t>
      </w:r>
    </w:p>
    <w:p w14:paraId="7C5DDD9E">
      <w:pPr>
        <w:widowControl/>
        <w:spacing w:line="400" w:lineRule="exact"/>
        <w:ind w:firstLine="420" w:firstLineChars="200"/>
        <w:jc w:val="left"/>
        <w:rPr>
          <w:rFonts w:hint="eastAsia" w:ascii="宋体" w:cs="宋体"/>
          <w:color w:val="000000" w:themeColor="text1"/>
          <w:kern w:val="0"/>
          <w:szCs w:val="21"/>
          <w:highlight w:val="none"/>
          <w:lang w:bidi="ar-SA"/>
          <w14:textFill>
            <w14:solidFill>
              <w14:schemeClr w14:val="tx1"/>
            </w14:solidFill>
          </w14:textFill>
        </w:rPr>
      </w:pPr>
      <w:r>
        <w:rPr>
          <w:rFonts w:hint="eastAsia" w:ascii="宋体" w:cs="宋体"/>
          <w:color w:val="000000" w:themeColor="text1"/>
          <w:kern w:val="0"/>
          <w:szCs w:val="21"/>
          <w:highlight w:val="none"/>
          <w:lang w:bidi="ar-SA"/>
          <w14:textFill>
            <w14:solidFill>
              <w14:schemeClr w14:val="tx1"/>
            </w14:solidFill>
          </w14:textFill>
        </w:rPr>
        <w:t>23.11本项目是以招标控制价为最高限价，超出</w:t>
      </w:r>
      <w:r>
        <w:rPr>
          <w:rFonts w:hint="eastAsia" w:ascii="宋体" w:cs="宋体"/>
          <w:color w:val="000000" w:themeColor="text1"/>
          <w:kern w:val="0"/>
          <w:szCs w:val="21"/>
          <w:highlight w:val="none"/>
          <w:lang w:eastAsia="zh-CN" w:bidi="ar-SA"/>
          <w14:textFill>
            <w14:solidFill>
              <w14:schemeClr w14:val="tx1"/>
            </w14:solidFill>
          </w14:textFill>
        </w:rPr>
        <w:t>最高磋商限价</w:t>
      </w:r>
      <w:r>
        <w:rPr>
          <w:rFonts w:hint="eastAsia" w:ascii="宋体" w:cs="宋体"/>
          <w:color w:val="000000" w:themeColor="text1"/>
          <w:kern w:val="0"/>
          <w:szCs w:val="21"/>
          <w:highlight w:val="none"/>
          <w:lang w:bidi="ar-SA"/>
          <w14:textFill>
            <w14:solidFill>
              <w14:schemeClr w14:val="tx1"/>
            </w14:solidFill>
          </w14:textFill>
        </w:rPr>
        <w:t>的最后报价，磋商小组可以不予以评审。当全部最后报价均超出</w:t>
      </w:r>
      <w:r>
        <w:rPr>
          <w:rFonts w:hint="eastAsia" w:ascii="宋体" w:cs="宋体"/>
          <w:color w:val="000000" w:themeColor="text1"/>
          <w:kern w:val="0"/>
          <w:szCs w:val="21"/>
          <w:highlight w:val="none"/>
          <w:lang w:eastAsia="zh-CN" w:bidi="ar-SA"/>
          <w14:textFill>
            <w14:solidFill>
              <w14:schemeClr w14:val="tx1"/>
            </w14:solidFill>
          </w14:textFill>
        </w:rPr>
        <w:t>最高磋商限价</w:t>
      </w:r>
      <w:r>
        <w:rPr>
          <w:rFonts w:hint="eastAsia" w:ascii="宋体" w:cs="宋体"/>
          <w:color w:val="000000" w:themeColor="text1"/>
          <w:kern w:val="0"/>
          <w:szCs w:val="21"/>
          <w:highlight w:val="none"/>
          <w:lang w:bidi="ar-SA"/>
          <w14:textFill>
            <w14:solidFill>
              <w14:schemeClr w14:val="tx1"/>
            </w14:solidFill>
          </w14:textFill>
        </w:rPr>
        <w:t>时，磋商小组有权决定全部废标或以书面形式要求所有供应商在规定时间内以书面密封形式重新报价。</w:t>
      </w:r>
    </w:p>
    <w:p w14:paraId="29ED6119">
      <w:pPr>
        <w:widowControl/>
        <w:shd w:val="clear" w:color="auto" w:fill="FFFFFF"/>
        <w:spacing w:line="350" w:lineRule="exact"/>
        <w:ind w:firstLine="480"/>
        <w:jc w:val="left"/>
        <w:rPr>
          <w:rFonts w:hint="eastAsia" w:ascii="宋体"/>
          <w:b/>
          <w:color w:val="000000" w:themeColor="text1"/>
          <w:szCs w:val="21"/>
          <w:highlight w:val="none"/>
          <w14:textFill>
            <w14:solidFill>
              <w14:schemeClr w14:val="tx1"/>
            </w14:solidFill>
          </w14:textFill>
        </w:rPr>
      </w:pPr>
      <w:r>
        <w:rPr>
          <w:rFonts w:hint="eastAsia" w:ascii="宋体"/>
          <w:b/>
          <w:bCs/>
          <w:color w:val="000000" w:themeColor="text1"/>
          <w:szCs w:val="21"/>
          <w:highlight w:val="none"/>
          <w14:textFill>
            <w14:solidFill>
              <w14:schemeClr w14:val="tx1"/>
            </w14:solidFill>
          </w14:textFill>
        </w:rPr>
        <w:t>23.12属</w:t>
      </w:r>
      <w:r>
        <w:rPr>
          <w:rFonts w:hint="eastAsia" w:ascii="宋体"/>
          <w:b/>
          <w:color w:val="000000" w:themeColor="text1"/>
          <w:szCs w:val="21"/>
          <w:highlight w:val="none"/>
          <w14:textFill>
            <w14:solidFill>
              <w14:schemeClr w14:val="tx1"/>
            </w14:solidFill>
          </w14:textFill>
        </w:rPr>
        <w:t>于下列情况之一者，响应文件无效：</w:t>
      </w:r>
    </w:p>
    <w:p w14:paraId="28649469">
      <w:pPr>
        <w:snapToGrid w:val="0"/>
        <w:spacing w:line="350" w:lineRule="exact"/>
        <w:ind w:firstLine="411" w:firstLineChars="196"/>
        <w:outlineLvl w:val="4"/>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（1）未按竞争性磋商文件规定完整提交</w:t>
      </w:r>
      <w:r>
        <w:rPr>
          <w:rFonts w:hint="eastAsia" w:ascii="宋体"/>
          <w:color w:val="000000" w:themeColor="text1"/>
          <w:highlight w:val="none"/>
          <w14:textFill>
            <w14:solidFill>
              <w14:schemeClr w14:val="tx1"/>
            </w14:solidFill>
          </w14:textFill>
        </w:rPr>
        <w:t>响应</w:t>
      </w:r>
      <w:r>
        <w:rPr>
          <w:rFonts w:hint="eastAsia" w:ascii="宋体"/>
          <w:color w:val="000000" w:themeColor="text1"/>
          <w:szCs w:val="21"/>
          <w:highlight w:val="none"/>
          <w14:textFill>
            <w14:solidFill>
              <w14:schemeClr w14:val="tx1"/>
            </w14:solidFill>
          </w14:textFill>
        </w:rPr>
        <w:t>文件或未按规定要求签署、盖章的，或未提供法人授权委托书（委托代理的）；</w:t>
      </w:r>
    </w:p>
    <w:p w14:paraId="29F18C0A">
      <w:pPr>
        <w:snapToGrid w:val="0"/>
        <w:spacing w:line="350" w:lineRule="exact"/>
        <w:ind w:firstLine="411" w:firstLineChars="196"/>
        <w:outlineLvl w:val="4"/>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（2）不具备竞争性磋商文件规定的资格要求的；</w:t>
      </w:r>
    </w:p>
    <w:p w14:paraId="7BB404C2">
      <w:pPr>
        <w:snapToGrid w:val="0"/>
        <w:spacing w:line="350" w:lineRule="exact"/>
        <w:ind w:firstLine="411" w:firstLineChars="196"/>
        <w:outlineLvl w:val="4"/>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（3）竞争性磋商响应文件未按竞争性磋商文件的内容和要求编写，或提供虚假材料的；</w:t>
      </w:r>
    </w:p>
    <w:p w14:paraId="6792A17C">
      <w:pPr>
        <w:snapToGrid w:val="0"/>
        <w:spacing w:line="350" w:lineRule="exact"/>
        <w:ind w:firstLine="411" w:firstLineChars="196"/>
        <w:outlineLvl w:val="4"/>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（4）竞争性磋商响应文件有效期、工期、质量等服务不能满足竞争性磋商文件要求的；</w:t>
      </w:r>
    </w:p>
    <w:p w14:paraId="3EDB3FB7">
      <w:pPr>
        <w:snapToGrid w:val="0"/>
        <w:spacing w:line="350" w:lineRule="exact"/>
        <w:ind w:firstLine="411" w:firstLineChars="196"/>
        <w:outlineLvl w:val="4"/>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（5）供应商响应文件的最后磋商报价超出</w:t>
      </w:r>
      <w:r>
        <w:rPr>
          <w:rFonts w:hint="eastAsia"/>
          <w:color w:val="000000" w:themeColor="text1"/>
          <w:highlight w:val="none"/>
          <w14:textFill>
            <w14:solidFill>
              <w14:schemeClr w14:val="tx1"/>
            </w14:solidFill>
          </w14:textFill>
        </w:rPr>
        <w:t>最高磋商限价</w:t>
      </w:r>
      <w:r>
        <w:rPr>
          <w:rFonts w:hint="eastAsia" w:ascii="宋体"/>
          <w:color w:val="000000" w:themeColor="text1"/>
          <w:szCs w:val="21"/>
          <w:highlight w:val="none"/>
          <w14:textFill>
            <w14:solidFill>
              <w14:schemeClr w14:val="tx1"/>
            </w14:solidFill>
          </w14:textFill>
        </w:rPr>
        <w:t>的；</w:t>
      </w:r>
    </w:p>
    <w:p w14:paraId="7AAAE100">
      <w:pPr>
        <w:pStyle w:val="12"/>
        <w:spacing w:line="350" w:lineRule="exac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）未实质性响应竞争性磋商文件要求的；或者竞争性磋商响应文件有采购人不能接受的附加条件或有备选方案的；</w:t>
      </w:r>
    </w:p>
    <w:p w14:paraId="40B1DCC9">
      <w:pPr>
        <w:snapToGrid w:val="0"/>
        <w:spacing w:line="350" w:lineRule="exact"/>
        <w:ind w:firstLine="352" w:firstLineChars="168"/>
        <w:outlineLvl w:val="4"/>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7</w:t>
      </w:r>
      <w:r>
        <w:rPr>
          <w:rFonts w:hint="eastAsia" w:ascii="宋体"/>
          <w:color w:val="000000" w:themeColor="text1"/>
          <w:szCs w:val="21"/>
          <w:highlight w:val="none"/>
          <w14:textFill>
            <w14:solidFill>
              <w14:schemeClr w14:val="tx1"/>
            </w14:solidFill>
          </w14:textFill>
        </w:rPr>
        <w:t>）</w:t>
      </w:r>
      <w:r>
        <w:rPr>
          <w:rFonts w:hint="eastAsia" w:ascii="Calibri" w:hAnsi="Calibri" w:cs="宋体"/>
          <w:color w:val="000000" w:themeColor="text1"/>
          <w:szCs w:val="22"/>
          <w:highlight w:val="none"/>
          <w:lang w:bidi="ar-SA"/>
          <w14:textFill>
            <w14:solidFill>
              <w14:schemeClr w14:val="tx1"/>
            </w14:solidFill>
          </w14:textFill>
        </w:rPr>
        <w:t>供应商</w:t>
      </w:r>
      <w:r>
        <w:rPr>
          <w:rFonts w:hint="eastAsia" w:ascii="宋体" w:cs="MingLiU"/>
          <w:color w:val="000000" w:themeColor="text1"/>
          <w:kern w:val="0"/>
          <w:szCs w:val="21"/>
          <w:highlight w:val="none"/>
          <w:lang w:bidi="ar-SA"/>
          <w14:textFill>
            <w14:solidFill>
              <w14:schemeClr w14:val="tx1"/>
            </w14:solidFill>
          </w14:textFill>
        </w:rPr>
        <w:t>已标价工程量清单的项目名称或项目特征与招标工程量清单不一致，评标委员会要求澄清、说明或补正，但</w:t>
      </w:r>
      <w:r>
        <w:rPr>
          <w:rFonts w:hint="eastAsia" w:ascii="Calibri" w:hAnsi="Calibri" w:cs="宋体"/>
          <w:color w:val="000000" w:themeColor="text1"/>
          <w:szCs w:val="22"/>
          <w:highlight w:val="none"/>
          <w:lang w:bidi="ar-SA"/>
          <w14:textFill>
            <w14:solidFill>
              <w14:schemeClr w14:val="tx1"/>
            </w14:solidFill>
          </w14:textFill>
        </w:rPr>
        <w:t>供应商</w:t>
      </w:r>
      <w:r>
        <w:rPr>
          <w:rFonts w:hint="eastAsia" w:ascii="宋体" w:cs="MingLiU"/>
          <w:color w:val="000000" w:themeColor="text1"/>
          <w:kern w:val="0"/>
          <w:szCs w:val="21"/>
          <w:highlight w:val="none"/>
          <w:lang w:bidi="ar-SA"/>
          <w14:textFill>
            <w14:solidFill>
              <w14:schemeClr w14:val="tx1"/>
            </w14:solidFill>
          </w14:textFill>
        </w:rPr>
        <w:t>拒绝澄清、说明或补正的；</w:t>
      </w:r>
    </w:p>
    <w:p w14:paraId="48CCBAF2">
      <w:pPr>
        <w:snapToGrid w:val="0"/>
        <w:spacing w:line="350" w:lineRule="exact"/>
        <w:ind w:firstLine="352" w:firstLineChars="168"/>
        <w:outlineLvl w:val="4"/>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8</w:t>
      </w:r>
      <w:r>
        <w:rPr>
          <w:rFonts w:hint="eastAsia" w:ascii="宋体"/>
          <w:color w:val="000000" w:themeColor="text1"/>
          <w:szCs w:val="21"/>
          <w:highlight w:val="none"/>
          <w14:textFill>
            <w14:solidFill>
              <w14:schemeClr w14:val="tx1"/>
            </w14:solidFill>
          </w14:textFill>
        </w:rPr>
        <w:t>）属于“必须提供”的响应文件未能按时提供的；</w:t>
      </w:r>
    </w:p>
    <w:p w14:paraId="50D088CE">
      <w:pPr>
        <w:snapToGrid w:val="0"/>
        <w:spacing w:line="350" w:lineRule="exact"/>
        <w:ind w:firstLine="352" w:firstLineChars="168"/>
        <w:outlineLvl w:val="4"/>
        <w:rPr>
          <w:rFonts w:hint="eastAsia" w:ascii="宋体" w:eastAsia="宋体"/>
          <w:color w:val="000000" w:themeColor="text1"/>
          <w:highlight w:val="none"/>
          <w:lang w:eastAsia="zh-CN"/>
          <w14:textFill>
            <w14:solidFill>
              <w14:schemeClr w14:val="tx1"/>
            </w14:solidFill>
          </w14:textFill>
        </w:rPr>
      </w:pPr>
      <w:r>
        <w:rPr>
          <w:rFonts w:hint="eastAsia" w:ascii="宋体"/>
          <w:color w:val="000000" w:themeColor="text1"/>
          <w:highlight w:val="none"/>
          <w14:textFill>
            <w14:solidFill>
              <w14:schemeClr w14:val="tx1"/>
            </w14:solidFill>
          </w14:textFill>
        </w:rPr>
        <w:t>（</w:t>
      </w:r>
      <w:r>
        <w:rPr>
          <w:rFonts w:hint="eastAsia" w:ascii="宋体"/>
          <w:color w:val="000000" w:themeColor="text1"/>
          <w:highlight w:val="none"/>
          <w:lang w:val="en-US" w:eastAsia="zh-CN"/>
          <w14:textFill>
            <w14:solidFill>
              <w14:schemeClr w14:val="tx1"/>
            </w14:solidFill>
          </w14:textFill>
        </w:rPr>
        <w:t>9</w:t>
      </w:r>
      <w:r>
        <w:rPr>
          <w:rFonts w:hint="eastAsia" w:ascii="宋体"/>
          <w:color w:val="000000" w:themeColor="text1"/>
          <w:highlight w:val="none"/>
          <w14:textFill>
            <w14:solidFill>
              <w14:schemeClr w14:val="tx1"/>
            </w14:solidFill>
          </w14:textFill>
        </w:rPr>
        <w:t>）</w:t>
      </w:r>
      <w:r>
        <w:rPr>
          <w:rStyle w:val="35"/>
          <w:rFonts w:hint="eastAsia" w:ascii="宋体"/>
          <w:color w:val="000000" w:themeColor="text1"/>
          <w:szCs w:val="21"/>
          <w:highlight w:val="none"/>
          <w14:textFill>
            <w14:solidFill>
              <w14:schemeClr w14:val="tx1"/>
            </w14:solidFill>
          </w14:textFill>
        </w:rPr>
        <w:t>响应文件实质性要求未做变动，供应商最后报价高于第一次报价的</w:t>
      </w:r>
      <w:r>
        <w:rPr>
          <w:rStyle w:val="35"/>
          <w:rFonts w:hint="eastAsia" w:ascii="宋体"/>
          <w:color w:val="000000" w:themeColor="text1"/>
          <w:szCs w:val="21"/>
          <w:highlight w:val="none"/>
          <w:lang w:eastAsia="zh-CN"/>
          <w14:textFill>
            <w14:solidFill>
              <w14:schemeClr w14:val="tx1"/>
            </w14:solidFill>
          </w14:textFill>
        </w:rPr>
        <w:t>；</w:t>
      </w:r>
    </w:p>
    <w:p w14:paraId="726DFCEA">
      <w:pPr>
        <w:snapToGrid w:val="0"/>
        <w:spacing w:line="350" w:lineRule="exact"/>
        <w:ind w:firstLine="352" w:firstLineChars="168"/>
        <w:outlineLvl w:val="4"/>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10</w:t>
      </w:r>
      <w:r>
        <w:rPr>
          <w:rFonts w:hint="eastAsia" w:ascii="宋体"/>
          <w:color w:val="000000" w:themeColor="text1"/>
          <w:szCs w:val="21"/>
          <w:highlight w:val="none"/>
          <w14:textFill>
            <w14:solidFill>
              <w14:schemeClr w14:val="tx1"/>
            </w14:solidFill>
          </w14:textFill>
        </w:rPr>
        <w:t>）</w:t>
      </w:r>
      <w:r>
        <w:rPr>
          <w:rFonts w:hint="eastAsia" w:ascii="宋体"/>
          <w:color w:val="000000" w:themeColor="text1"/>
          <w:highlight w:val="none"/>
          <w14:textFill>
            <w14:solidFill>
              <w14:schemeClr w14:val="tx1"/>
            </w14:solidFill>
          </w14:textFill>
        </w:rPr>
        <w:t>未在磋商小组规定的时间内线上提交响应文件（含最后报价）的；</w:t>
      </w:r>
    </w:p>
    <w:p w14:paraId="473F03B1">
      <w:pPr>
        <w:snapToGrid w:val="0"/>
        <w:spacing w:line="350" w:lineRule="exact"/>
        <w:ind w:firstLine="352" w:firstLineChars="168"/>
        <w:outlineLvl w:val="4"/>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11</w:t>
      </w:r>
      <w:r>
        <w:rPr>
          <w:rFonts w:hint="eastAsia" w:ascii="宋体"/>
          <w:color w:val="000000" w:themeColor="text1"/>
          <w:szCs w:val="21"/>
          <w:highlight w:val="none"/>
          <w14:textFill>
            <w14:solidFill>
              <w14:schemeClr w14:val="tx1"/>
            </w14:solidFill>
          </w14:textFill>
        </w:rPr>
        <w:t>）不符合法律、法规和磋商文件规定的其他实质性要求和条件的。</w:t>
      </w:r>
    </w:p>
    <w:p w14:paraId="23BCEE3F">
      <w:pPr>
        <w:snapToGrid w:val="0"/>
        <w:spacing w:line="350" w:lineRule="exact"/>
        <w:ind w:firstLine="527" w:firstLineChars="250"/>
        <w:outlineLvl w:val="4"/>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23.13有下列情形之一的视为供应商相互串通投标，响应文件将被视为无效：</w:t>
      </w:r>
    </w:p>
    <w:p w14:paraId="705F8DEF">
      <w:pPr>
        <w:snapToGrid w:val="0"/>
        <w:spacing w:line="350" w:lineRule="exact"/>
        <w:ind w:firstLine="516" w:firstLineChars="246"/>
        <w:outlineLvl w:val="4"/>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（1）不同供应商的响应文件由同一单位或者个人编制；或不同供应商报名的IP地址一致的；</w:t>
      </w:r>
    </w:p>
    <w:p w14:paraId="3FBAC9CC">
      <w:pPr>
        <w:snapToGrid w:val="0"/>
        <w:spacing w:line="350" w:lineRule="exact"/>
        <w:ind w:firstLine="516" w:firstLineChars="246"/>
        <w:outlineLvl w:val="4"/>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（2）不同供应商委托同一单位或者个人办理磋商事宜；</w:t>
      </w:r>
    </w:p>
    <w:p w14:paraId="140F615D">
      <w:pPr>
        <w:snapToGrid w:val="0"/>
        <w:spacing w:line="350" w:lineRule="exact"/>
        <w:ind w:firstLine="516" w:firstLineChars="246"/>
        <w:outlineLvl w:val="4"/>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（3）不同的供应商的响应文件载明的项目管理员为同一个人；</w:t>
      </w:r>
    </w:p>
    <w:p w14:paraId="7AE0A89B">
      <w:pPr>
        <w:snapToGrid w:val="0"/>
        <w:spacing w:line="350" w:lineRule="exact"/>
        <w:ind w:firstLine="516" w:firstLineChars="246"/>
        <w:outlineLvl w:val="4"/>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（4）不同的供应商的响应文件异常一致或磋商报价呈现规律性差异；</w:t>
      </w:r>
    </w:p>
    <w:p w14:paraId="1993936E">
      <w:pPr>
        <w:snapToGrid w:val="0"/>
        <w:spacing w:line="350" w:lineRule="exact"/>
        <w:ind w:firstLine="516" w:firstLineChars="246"/>
        <w:outlineLvl w:val="4"/>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（5）不同供应商的响应文件相互混装。</w:t>
      </w:r>
    </w:p>
    <w:p w14:paraId="0E8769B0">
      <w:pPr>
        <w:spacing w:line="35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七、确定成交供应商办法</w:t>
      </w:r>
    </w:p>
    <w:p w14:paraId="045D38C5">
      <w:pPr>
        <w:widowControl/>
        <w:spacing w:line="400" w:lineRule="exact"/>
        <w:ind w:firstLine="525" w:firstLineChars="250"/>
        <w:jc w:val="left"/>
        <w:rPr>
          <w:rFonts w:hint="eastAsia" w:ascii="宋体" w:cs="宋体"/>
          <w:color w:val="000000" w:themeColor="text1"/>
          <w:kern w:val="0"/>
          <w:szCs w:val="21"/>
          <w:highlight w:val="none"/>
          <w:lang w:bidi="ar-SA"/>
          <w14:textFill>
            <w14:solidFill>
              <w14:schemeClr w14:val="tx1"/>
            </w14:solidFill>
          </w14:textFill>
        </w:rPr>
      </w:pPr>
      <w:r>
        <w:rPr>
          <w:rFonts w:hint="eastAsia" w:ascii="宋体" w:cs="宋体"/>
          <w:color w:val="000000" w:themeColor="text1"/>
          <w:kern w:val="0"/>
          <w:szCs w:val="21"/>
          <w:highlight w:val="none"/>
          <w:lang w:bidi="ar-SA"/>
          <w14:textFill>
            <w14:solidFill>
              <w14:schemeClr w14:val="tx1"/>
            </w14:solidFill>
          </w14:textFill>
        </w:rPr>
        <w:t>24.1采购人应当确定磋商小组推荐排名第一的成交候选人为成交供应商。</w:t>
      </w:r>
    </w:p>
    <w:p w14:paraId="798DC23F">
      <w:pPr>
        <w:widowControl/>
        <w:spacing w:line="400" w:lineRule="exact"/>
        <w:ind w:firstLine="525" w:firstLineChars="250"/>
        <w:jc w:val="left"/>
        <w:rPr>
          <w:rFonts w:hint="eastAsia" w:ascii="宋体" w:cs="宋体"/>
          <w:color w:val="000000" w:themeColor="text1"/>
          <w:kern w:val="0"/>
          <w:szCs w:val="21"/>
          <w:highlight w:val="none"/>
          <w:lang w:bidi="ar-SA"/>
          <w14:textFill>
            <w14:solidFill>
              <w14:schemeClr w14:val="tx1"/>
            </w14:solidFill>
          </w14:textFill>
        </w:rPr>
      </w:pPr>
      <w:r>
        <w:rPr>
          <w:rFonts w:hint="eastAsia" w:ascii="宋体" w:cs="宋体"/>
          <w:color w:val="000000" w:themeColor="text1"/>
          <w:kern w:val="0"/>
          <w:szCs w:val="21"/>
          <w:highlight w:val="none"/>
          <w:lang w:bidi="ar-SA"/>
          <w14:textFill>
            <w14:solidFill>
              <w14:schemeClr w14:val="tx1"/>
            </w14:solidFill>
          </w14:textFill>
        </w:rPr>
        <w:t>24.2排名第一的成交候选人放弃成交、因不可抗力提出不能履行合同，或信用信息记录不符合相关规定的，采购人可以确定排名第二的成交候选人为成交供应商或重新采购。</w:t>
      </w:r>
    </w:p>
    <w:p w14:paraId="79899489">
      <w:pPr>
        <w:widowControl/>
        <w:spacing w:line="400" w:lineRule="exact"/>
        <w:ind w:firstLine="525" w:firstLineChars="250"/>
        <w:jc w:val="left"/>
        <w:rPr>
          <w:rFonts w:hint="eastAsia" w:ascii="宋体" w:cs="宋体"/>
          <w:color w:val="000000" w:themeColor="text1"/>
          <w:kern w:val="0"/>
          <w:szCs w:val="21"/>
          <w:highlight w:val="none"/>
          <w:lang w:bidi="ar-SA"/>
          <w14:textFill>
            <w14:solidFill>
              <w14:schemeClr w14:val="tx1"/>
            </w14:solidFill>
          </w14:textFill>
        </w:rPr>
      </w:pPr>
      <w:r>
        <w:rPr>
          <w:rFonts w:hint="eastAsia" w:ascii="宋体" w:cs="宋体"/>
          <w:color w:val="000000" w:themeColor="text1"/>
          <w:kern w:val="0"/>
          <w:szCs w:val="21"/>
          <w:highlight w:val="none"/>
          <w:lang w:bidi="ar-SA"/>
          <w14:textFill>
            <w14:solidFill>
              <w14:schemeClr w14:val="tx1"/>
            </w14:solidFill>
          </w14:textFill>
        </w:rPr>
        <w:t>24.3排名第二的成交候选人因前款规定的同样原因不能签订合同的，采购人可以确定排名第三的成交候选人为成交供应商或重新采购。</w:t>
      </w:r>
    </w:p>
    <w:p w14:paraId="2BB3A4B6">
      <w:pPr>
        <w:widowControl/>
        <w:spacing w:line="400" w:lineRule="exact"/>
        <w:ind w:firstLine="525" w:firstLineChars="250"/>
        <w:jc w:val="left"/>
        <w:rPr>
          <w:rFonts w:hint="eastAsia" w:ascii="宋体" w:cs="宋体"/>
          <w:color w:val="000000" w:themeColor="text1"/>
          <w:kern w:val="0"/>
          <w:szCs w:val="21"/>
          <w:highlight w:val="none"/>
          <w:lang w:bidi="ar-SA"/>
          <w14:textFill>
            <w14:solidFill>
              <w14:schemeClr w14:val="tx1"/>
            </w14:solidFill>
          </w14:textFill>
        </w:rPr>
      </w:pPr>
      <w:r>
        <w:rPr>
          <w:rFonts w:hint="eastAsia" w:ascii="宋体" w:cs="宋体"/>
          <w:color w:val="000000" w:themeColor="text1"/>
          <w:kern w:val="0"/>
          <w:szCs w:val="21"/>
          <w:highlight w:val="none"/>
          <w:lang w:bidi="ar-SA"/>
          <w14:textFill>
            <w14:solidFill>
              <w14:schemeClr w14:val="tx1"/>
            </w14:solidFill>
          </w14:textFill>
        </w:rPr>
        <w:t>24.4成交人信用信息查询</w:t>
      </w:r>
    </w:p>
    <w:p w14:paraId="6F80E95B">
      <w:pPr>
        <w:widowControl/>
        <w:spacing w:line="400" w:lineRule="exact"/>
        <w:ind w:firstLine="525" w:firstLineChars="250"/>
        <w:jc w:val="left"/>
        <w:rPr>
          <w:rFonts w:hint="eastAsia" w:ascii="宋体" w:cs="宋体"/>
          <w:color w:val="000000" w:themeColor="text1"/>
          <w:kern w:val="0"/>
          <w:szCs w:val="21"/>
          <w:highlight w:val="none"/>
          <w:lang w:bidi="ar-SA"/>
          <w14:textFill>
            <w14:solidFill>
              <w14:schemeClr w14:val="tx1"/>
            </w14:solidFill>
          </w14:textFill>
        </w:rPr>
      </w:pPr>
      <w:r>
        <w:rPr>
          <w:rFonts w:hint="eastAsia" w:ascii="宋体" w:cs="宋体"/>
          <w:color w:val="000000" w:themeColor="text1"/>
          <w:kern w:val="0"/>
          <w:szCs w:val="21"/>
          <w:highlight w:val="none"/>
          <w:lang w:bidi="ar-SA"/>
          <w14:textFill>
            <w14:solidFill>
              <w14:schemeClr w14:val="tx1"/>
            </w14:solidFill>
          </w14:textFill>
        </w:rPr>
        <w:t>根据《关于做好政府采购有关信用主体标识码登记及在政府采购活动中查询使用信用记录有关问题的通知》桂财采〔2016〕37号的通知，在对成交人的成交资格进行信用查询：</w:t>
      </w:r>
    </w:p>
    <w:p w14:paraId="368CF4D4">
      <w:pPr>
        <w:widowControl/>
        <w:spacing w:line="400" w:lineRule="exact"/>
        <w:ind w:firstLine="525" w:firstLineChars="250"/>
        <w:jc w:val="left"/>
        <w:rPr>
          <w:rFonts w:hint="eastAsia" w:ascii="宋体" w:cs="宋体"/>
          <w:color w:val="000000" w:themeColor="text1"/>
          <w:kern w:val="0"/>
          <w:szCs w:val="21"/>
          <w:highlight w:val="none"/>
          <w:lang w:bidi="ar-SA"/>
          <w14:textFill>
            <w14:solidFill>
              <w14:schemeClr w14:val="tx1"/>
            </w14:solidFill>
          </w14:textFill>
        </w:rPr>
      </w:pPr>
      <w:r>
        <w:rPr>
          <w:rFonts w:hint="eastAsia" w:ascii="宋体" w:cs="宋体"/>
          <w:color w:val="000000" w:themeColor="text1"/>
          <w:kern w:val="0"/>
          <w:szCs w:val="21"/>
          <w:highlight w:val="none"/>
          <w:lang w:bidi="ar-SA"/>
          <w14:textFill>
            <w14:solidFill>
              <w14:schemeClr w14:val="tx1"/>
            </w14:solidFill>
          </w14:textFill>
        </w:rPr>
        <w:t>（1）查询渠道：信用中国网站(www.creditchina.gov.cn)或“中国执行信息公开网”（https://zxgk.court.gov.cn/）、中国政府采购网(www.ccgp.gov.cn)等；</w:t>
      </w:r>
    </w:p>
    <w:p w14:paraId="1A560D99">
      <w:pPr>
        <w:widowControl/>
        <w:spacing w:line="400" w:lineRule="exact"/>
        <w:ind w:firstLine="525" w:firstLineChars="250"/>
        <w:jc w:val="left"/>
        <w:rPr>
          <w:rFonts w:hint="eastAsia" w:ascii="宋体" w:cs="宋体"/>
          <w:color w:val="000000" w:themeColor="text1"/>
          <w:kern w:val="0"/>
          <w:szCs w:val="21"/>
          <w:highlight w:val="none"/>
          <w:lang w:bidi="ar-SA"/>
          <w14:textFill>
            <w14:solidFill>
              <w14:schemeClr w14:val="tx1"/>
            </w14:solidFill>
          </w14:textFill>
        </w:rPr>
      </w:pPr>
      <w:r>
        <w:rPr>
          <w:rFonts w:hint="eastAsia" w:ascii="宋体" w:cs="宋体"/>
          <w:color w:val="000000" w:themeColor="text1"/>
          <w:kern w:val="0"/>
          <w:szCs w:val="21"/>
          <w:highlight w:val="none"/>
          <w:lang w:bidi="ar-SA"/>
          <w14:textFill>
            <w14:solidFill>
              <w14:schemeClr w14:val="tx1"/>
            </w14:solidFill>
          </w14:textFill>
        </w:rPr>
        <w:t>（2）查询截止时点：成交通知书发出前；</w:t>
      </w:r>
    </w:p>
    <w:p w14:paraId="0E2E8EFB">
      <w:pPr>
        <w:widowControl/>
        <w:spacing w:line="400" w:lineRule="exact"/>
        <w:ind w:firstLine="525" w:firstLineChars="250"/>
        <w:jc w:val="left"/>
        <w:rPr>
          <w:rFonts w:hint="eastAsia" w:ascii="宋体" w:cs="宋体"/>
          <w:color w:val="000000" w:themeColor="text1"/>
          <w:kern w:val="0"/>
          <w:szCs w:val="21"/>
          <w:highlight w:val="none"/>
          <w:lang w:bidi="ar-SA"/>
          <w14:textFill>
            <w14:solidFill>
              <w14:schemeClr w14:val="tx1"/>
            </w14:solidFill>
          </w14:textFill>
        </w:rPr>
      </w:pPr>
      <w:r>
        <w:rPr>
          <w:rFonts w:hint="eastAsia" w:ascii="宋体" w:cs="宋体"/>
          <w:color w:val="000000" w:themeColor="text1"/>
          <w:kern w:val="0"/>
          <w:szCs w:val="21"/>
          <w:highlight w:val="none"/>
          <w:lang w:bidi="ar-SA"/>
          <w14:textFill>
            <w14:solidFill>
              <w14:schemeClr w14:val="tx1"/>
            </w14:solidFill>
          </w14:textFill>
        </w:rPr>
        <w:t>（3）信用信息查询记录和证据留存方式：在查询网站中直接打印查询记录，打印材料作为采购活动资料保存。</w:t>
      </w:r>
    </w:p>
    <w:p w14:paraId="426E8777">
      <w:pPr>
        <w:widowControl/>
        <w:spacing w:line="400" w:lineRule="exact"/>
        <w:ind w:firstLine="525" w:firstLineChars="250"/>
        <w:jc w:val="left"/>
        <w:rPr>
          <w:rFonts w:hint="eastAsia" w:ascii="宋体" w:cs="宋体"/>
          <w:color w:val="000000" w:themeColor="text1"/>
          <w:kern w:val="0"/>
          <w:szCs w:val="21"/>
          <w:highlight w:val="none"/>
          <w:lang w:bidi="ar-SA"/>
          <w14:textFill>
            <w14:solidFill>
              <w14:schemeClr w14:val="tx1"/>
            </w14:solidFill>
          </w14:textFill>
        </w:rPr>
      </w:pPr>
      <w:r>
        <w:rPr>
          <w:rFonts w:hint="eastAsia" w:ascii="宋体" w:cs="宋体"/>
          <w:color w:val="000000" w:themeColor="text1"/>
          <w:kern w:val="0"/>
          <w:szCs w:val="21"/>
          <w:highlight w:val="none"/>
          <w:lang w:bidi="ar-SA"/>
          <w14:textFill>
            <w14:solidFill>
              <w14:schemeClr w14:val="tx1"/>
            </w14:solidFill>
          </w14:textFill>
        </w:rPr>
        <w:t>（4）信用信息使用规则：对在“信用中国”网站(www.creditchina.gov.cn)或“中国执行信息公开网”（https://zxgk.court.gov.cn/）、中国政府采购网(www.ccgp.gov.cn)等渠道列入失信被执行人、重大税收违法失信主体、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3A1663AD">
      <w:pPr>
        <w:autoSpaceDE w:val="0"/>
        <w:autoSpaceDN w:val="0"/>
        <w:snapToGrid w:val="0"/>
        <w:spacing w:line="350" w:lineRule="exact"/>
        <w:ind w:firstLine="422" w:firstLineChars="200"/>
        <w:textAlignment w:val="bottom"/>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八、成交结果公告、成交通知书</w:t>
      </w:r>
    </w:p>
    <w:p w14:paraId="21ED0F45">
      <w:pPr>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25.1</w:t>
      </w:r>
      <w:r>
        <w:rPr>
          <w:rFonts w:hint="eastAsia" w:ascii="宋体"/>
          <w:color w:val="000000" w:themeColor="text1"/>
          <w:szCs w:val="21"/>
          <w:highlight w:val="none"/>
          <w14:textFill>
            <w14:solidFill>
              <w14:schemeClr w14:val="tx1"/>
            </w14:solidFill>
          </w14:textFill>
        </w:rPr>
        <w:t>采购代理机构于评审结束后两个工作日内将评审报告送交采购人，采购人应当自收到评审报告五个工作日内在评审报告推荐的成交候选人中按顺序确定成交供应商，采购代理机构在成交供应商确定之日起两个工作日内在指定竞争性磋商公告发布媒体上公告成交结果信息。</w:t>
      </w:r>
    </w:p>
    <w:p w14:paraId="567E92FB">
      <w:pPr>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25.2 在发布成交结果公告的同时，采购代理机构在线向成交供应商发出成交通知书。</w:t>
      </w:r>
    </w:p>
    <w:p w14:paraId="07496424">
      <w:pPr>
        <w:pStyle w:val="12"/>
        <w:spacing w:line="350" w:lineRule="exact"/>
        <w:rPr>
          <w:rFonts w:hint="eastAsia"/>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b/>
          <w:color w:val="000000" w:themeColor="text1"/>
          <w:highlight w:val="none"/>
          <w14:textFill>
            <w14:solidFill>
              <w14:schemeClr w14:val="tx1"/>
            </w14:solidFill>
          </w14:textFill>
        </w:rPr>
        <w:t>九、签订合同</w:t>
      </w:r>
    </w:p>
    <w:p w14:paraId="345686E7">
      <w:pPr>
        <w:autoSpaceDE w:val="0"/>
        <w:autoSpaceDN w:val="0"/>
        <w:snapToGrid w:val="0"/>
        <w:spacing w:line="350" w:lineRule="exact"/>
        <w:ind w:firstLine="315" w:firstLineChars="150"/>
        <w:textAlignment w:val="bottom"/>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26.1履约保证金：详见磋商供应商须知前附表第30条。</w:t>
      </w:r>
    </w:p>
    <w:p w14:paraId="292418D4">
      <w:pPr>
        <w:autoSpaceDE w:val="0"/>
        <w:autoSpaceDN w:val="0"/>
        <w:snapToGrid w:val="0"/>
        <w:spacing w:line="350" w:lineRule="exact"/>
        <w:ind w:firstLine="315" w:firstLineChars="150"/>
        <w:textAlignment w:val="bottom"/>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26.2签订合同时间：详见磋商供应商须知前附表第31条。</w:t>
      </w:r>
    </w:p>
    <w:p w14:paraId="5782EF3E">
      <w:pPr>
        <w:autoSpaceDE w:val="0"/>
        <w:autoSpaceDN w:val="0"/>
        <w:snapToGrid w:val="0"/>
        <w:spacing w:line="350" w:lineRule="exact"/>
        <w:ind w:firstLine="315" w:firstLineChars="150"/>
        <w:textAlignment w:val="bottom"/>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26.3合同备案存档：详见磋商供应商须知前附表第32条。</w:t>
      </w:r>
    </w:p>
    <w:p w14:paraId="77EED677">
      <w:pPr>
        <w:autoSpaceDE w:val="0"/>
        <w:autoSpaceDN w:val="0"/>
        <w:snapToGrid w:val="0"/>
        <w:spacing w:line="350" w:lineRule="exact"/>
        <w:ind w:firstLine="315" w:firstLineChars="150"/>
        <w:textAlignment w:val="bottom"/>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26.4如成交供应商有下列情形之一，采购代理机构将上报同级财政部门，情节严重的，由财政部门将其列入不良行为记录名单，在一至三年内禁止参加政府采购活动，并予以通报。采购人可以从磋商小组推荐的成交侯选人中按顺序重新确定成交供应商或重新组织采购活动。拒绝签订政府采购合同的成交供应商不得参加对该项目重新开展的采购活动。</w:t>
      </w:r>
    </w:p>
    <w:p w14:paraId="556223DC">
      <w:pPr>
        <w:autoSpaceDE w:val="0"/>
        <w:autoSpaceDN w:val="0"/>
        <w:snapToGrid w:val="0"/>
        <w:spacing w:line="350" w:lineRule="exact"/>
        <w:ind w:firstLine="315" w:firstLineChars="150"/>
        <w:textAlignment w:val="bottom"/>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（1）成交后不与采购人签订合同的（不可抗力除外）；</w:t>
      </w:r>
    </w:p>
    <w:p w14:paraId="735B786D">
      <w:pPr>
        <w:autoSpaceDE w:val="0"/>
        <w:autoSpaceDN w:val="0"/>
        <w:snapToGrid w:val="0"/>
        <w:spacing w:line="350" w:lineRule="exact"/>
        <w:ind w:firstLine="315" w:firstLineChars="150"/>
        <w:textAlignment w:val="bottom"/>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（2）将成交项目转让给他人，或者在响应文件中未说明，且未经采购人同意，将成交项目分包给他人的；</w:t>
      </w:r>
    </w:p>
    <w:p w14:paraId="731B4664">
      <w:pPr>
        <w:autoSpaceDE w:val="0"/>
        <w:autoSpaceDN w:val="0"/>
        <w:snapToGrid w:val="0"/>
        <w:spacing w:line="350" w:lineRule="exact"/>
        <w:ind w:firstLine="315" w:firstLineChars="150"/>
        <w:textAlignment w:val="bottom"/>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（3）拒绝履行合同义务的；</w:t>
      </w:r>
    </w:p>
    <w:p w14:paraId="4402893B">
      <w:pPr>
        <w:autoSpaceDE w:val="0"/>
        <w:autoSpaceDN w:val="0"/>
        <w:snapToGrid w:val="0"/>
        <w:spacing w:line="350" w:lineRule="exact"/>
        <w:ind w:firstLine="316" w:firstLineChars="150"/>
        <w:textAlignment w:val="bottom"/>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十、适用法律</w:t>
      </w:r>
    </w:p>
    <w:p w14:paraId="0980EDD4">
      <w:pPr>
        <w:autoSpaceDE w:val="0"/>
        <w:autoSpaceDN w:val="0"/>
        <w:snapToGrid w:val="0"/>
        <w:spacing w:line="350" w:lineRule="exact"/>
        <w:ind w:firstLine="315" w:firstLineChars="150"/>
        <w:textAlignment w:val="bottom"/>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27.采购当事人的一切活动均适用于《中华人民共和国政府采购法》、《政府采购竞争性磋商采购方式管理暂行办法》及相关规定。</w:t>
      </w:r>
    </w:p>
    <w:p w14:paraId="07B6DE7D">
      <w:pPr>
        <w:spacing w:line="350" w:lineRule="exact"/>
        <w:ind w:firstLine="312" w:firstLineChars="148"/>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十一、其他事项</w:t>
      </w:r>
    </w:p>
    <w:p w14:paraId="0B1328B3">
      <w:pPr>
        <w:spacing w:line="350" w:lineRule="exact"/>
        <w:ind w:firstLine="315" w:firstLineChars="15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28.1采购代理服务费：详见磋商供应商须知前附表第33条。</w:t>
      </w:r>
    </w:p>
    <w:p w14:paraId="26A7B695">
      <w:pPr>
        <w:spacing w:line="350" w:lineRule="exact"/>
        <w:ind w:firstLine="316" w:firstLineChars="15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29.工程材料</w:t>
      </w:r>
    </w:p>
    <w:p w14:paraId="051A3B6C">
      <w:pPr>
        <w:spacing w:line="350" w:lineRule="exact"/>
        <w:ind w:firstLine="316" w:firstLineChars="150"/>
        <w:rPr>
          <w:rFonts w:hint="eastAsia" w:ascii="宋体"/>
          <w:b/>
          <w:bCs/>
          <w:color w:val="000000" w:themeColor="text1"/>
          <w:szCs w:val="21"/>
          <w:highlight w:val="none"/>
          <w14:textFill>
            <w14:solidFill>
              <w14:schemeClr w14:val="tx1"/>
            </w14:solidFill>
          </w14:textFill>
        </w:rPr>
      </w:pPr>
      <w:r>
        <w:rPr>
          <w:rFonts w:hint="eastAsia" w:ascii="宋体"/>
          <w:b/>
          <w:bCs/>
          <w:color w:val="000000" w:themeColor="text1"/>
          <w:szCs w:val="21"/>
          <w:highlight w:val="none"/>
          <w14:textFill>
            <w14:solidFill>
              <w14:schemeClr w14:val="tx1"/>
            </w14:solidFill>
          </w14:textFill>
        </w:rPr>
        <w:t>29.1施工方施工时所用的所有配件和材料，均要求使用相当于或优于工程量清单中已注明的品牌、型号，履约时随时接受检查，如发现施工方使用与响应文件上所报不相符的配件和材料，或发现施工方使用不合格产品的，采购人有权将其清理出场外，并按违约责任处理，同时施工方还必须在建设方规定时间内退还已付工程款。</w:t>
      </w:r>
    </w:p>
    <w:p w14:paraId="5E348DE3">
      <w:pPr>
        <w:spacing w:line="350" w:lineRule="exact"/>
        <w:ind w:firstLine="413" w:firstLineChars="196"/>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30.保险</w:t>
      </w:r>
    </w:p>
    <w:p w14:paraId="0EBCCEBE">
      <w:pPr>
        <w:spacing w:line="35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30.1成交人应按规定办理行业职工人身意外伤害保险，并为施工场地内自有人员生命财产和施工机械设备办理保险支付保险费用。</w:t>
      </w:r>
    </w:p>
    <w:p w14:paraId="17365DB8">
      <w:pPr>
        <w:spacing w:line="350" w:lineRule="exact"/>
        <w:ind w:firstLine="422" w:firstLineChars="200"/>
        <w:rPr>
          <w:rFonts w:hint="eastAsia" w:ascii="宋体"/>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31.农民工工资</w:t>
      </w:r>
    </w:p>
    <w:p w14:paraId="3F71158F">
      <w:pPr>
        <w:pStyle w:val="12"/>
        <w:tabs>
          <w:tab w:val="left" w:pos="430"/>
        </w:tabs>
        <w:spacing w:line="350" w:lineRule="exact"/>
        <w:ind w:left="23" w:leftChars="11"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31.1农民工工资按桂林市工程建设领域民工工资支付与监管指（试行）（市人社政规〔2023〕1号）文件执行，由采购人督促成交人按规定自行办理农民工工资保证金的交纳与使用。</w:t>
      </w:r>
    </w:p>
    <w:p w14:paraId="6B375AB7">
      <w:pPr>
        <w:pStyle w:val="12"/>
        <w:spacing w:line="350" w:lineRule="exact"/>
        <w:ind w:firstLine="413" w:firstLineChars="196"/>
        <w:rPr>
          <w:rFonts w:hint="eastAsia" w:ascii="宋体"/>
          <w:color w:val="000000" w:themeColor="text1"/>
          <w:szCs w:val="21"/>
          <w:highlight w:val="none"/>
          <w:lang w:eastAsia="zh-CN"/>
          <w14:textFill>
            <w14:solidFill>
              <w14:schemeClr w14:val="tx1"/>
            </w14:solidFill>
          </w14:textFill>
        </w:rPr>
      </w:pPr>
      <w:r>
        <w:rPr>
          <w:rFonts w:hint="eastAsia"/>
          <w:b/>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t xml:space="preserve"> 监督</w:t>
      </w:r>
      <w:r>
        <w:rPr>
          <w:rFonts w:hint="eastAsia"/>
          <w:color w:val="000000" w:themeColor="text1"/>
          <w:highlight w:val="none"/>
          <w14:textFill>
            <w14:solidFill>
              <w14:schemeClr w14:val="tx1"/>
            </w14:solidFill>
          </w14:textFill>
        </w:rPr>
        <w:t>管理部门：</w:t>
      </w:r>
      <w:r>
        <w:rPr>
          <w:rFonts w:hint="eastAsia"/>
          <w:color w:val="000000" w:themeColor="text1"/>
          <w:szCs w:val="21"/>
          <w:highlight w:val="none"/>
          <w:lang w:eastAsia="zh-CN"/>
          <w14:textFill>
            <w14:solidFill>
              <w14:schemeClr w14:val="tx1"/>
            </w14:solidFill>
          </w14:textFill>
        </w:rPr>
        <w:t>兴安县采购中心</w:t>
      </w:r>
      <w:r>
        <w:rPr>
          <w:rFonts w:hint="eastAsia" w:ascii="宋体"/>
          <w:color w:val="000000" w:themeColor="text1"/>
          <w:szCs w:val="21"/>
          <w:highlight w:val="none"/>
          <w14:textFill>
            <w14:solidFill>
              <w14:schemeClr w14:val="tx1"/>
            </w14:solidFill>
          </w14:textFill>
        </w:rPr>
        <w:t xml:space="preserve">    联系电话</w:t>
      </w:r>
      <w:r>
        <w:rPr>
          <w:rFonts w:hint="eastAsia" w:ascii="宋体"/>
          <w:color w:val="000000" w:themeColor="text1"/>
          <w:szCs w:val="21"/>
          <w:highlight w:val="none"/>
          <w:lang w:eastAsia="zh-CN"/>
          <w14:textFill>
            <w14:solidFill>
              <w14:schemeClr w14:val="tx1"/>
            </w14:solidFill>
          </w14:textFill>
        </w:rPr>
        <w:t>：</w:t>
      </w:r>
      <w:r>
        <w:rPr>
          <w:rFonts w:hint="eastAsia"/>
          <w:color w:val="000000" w:themeColor="text1"/>
          <w:szCs w:val="21"/>
          <w:highlight w:val="none"/>
          <w:lang w:eastAsia="zh-CN"/>
          <w14:textFill>
            <w14:solidFill>
              <w14:schemeClr w14:val="tx1"/>
            </w14:solidFill>
          </w14:textFill>
        </w:rPr>
        <w:t>0773-6220651</w:t>
      </w:r>
    </w:p>
    <w:p w14:paraId="4B858489">
      <w:pPr>
        <w:pStyle w:val="12"/>
        <w:spacing w:line="350" w:lineRule="exact"/>
        <w:ind w:firstLine="413" w:firstLineChars="196"/>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33.解释权</w:t>
      </w:r>
    </w:p>
    <w:p w14:paraId="46488213">
      <w:pPr>
        <w:pStyle w:val="12"/>
        <w:spacing w:line="350" w:lineRule="exact"/>
        <w:ind w:firstLine="404" w:firstLineChars="200"/>
        <w:rPr>
          <w:rFonts w:hint="eastAsia"/>
          <w:color w:val="000000" w:themeColor="text1"/>
          <w:spacing w:val="-4"/>
          <w:highlight w:val="none"/>
          <w14:textFill>
            <w14:solidFill>
              <w14:schemeClr w14:val="tx1"/>
            </w14:solidFill>
          </w14:textFill>
        </w:rPr>
      </w:pPr>
      <w:r>
        <w:rPr>
          <w:rFonts w:hint="eastAsia"/>
          <w:color w:val="000000" w:themeColor="text1"/>
          <w:spacing w:val="-4"/>
          <w:highlight w:val="none"/>
          <w14:textFill>
            <w14:solidFill>
              <w14:schemeClr w14:val="tx1"/>
            </w14:solidFill>
          </w14:textFill>
        </w:rPr>
        <w:t>本</w:t>
      </w:r>
      <w:r>
        <w:rPr>
          <w:rFonts w:hint="eastAsia"/>
          <w:color w:val="000000" w:themeColor="text1"/>
          <w:highlight w:val="none"/>
          <w14:textFill>
            <w14:solidFill>
              <w14:schemeClr w14:val="tx1"/>
            </w14:solidFill>
          </w14:textFill>
        </w:rPr>
        <w:t>竞争性磋商文件</w:t>
      </w:r>
      <w:r>
        <w:rPr>
          <w:rFonts w:hint="eastAsia"/>
          <w:color w:val="000000" w:themeColor="text1"/>
          <w:spacing w:val="-4"/>
          <w:highlight w:val="none"/>
          <w14:textFill>
            <w14:solidFill>
              <w14:schemeClr w14:val="tx1"/>
            </w14:solidFill>
          </w14:textFill>
        </w:rPr>
        <w:t>解释权属</w:t>
      </w:r>
      <w:r>
        <w:rPr>
          <w:rFonts w:hint="eastAsia"/>
          <w:color w:val="000000" w:themeColor="text1"/>
          <w:spacing w:val="-4"/>
          <w:highlight w:val="none"/>
          <w:lang w:eastAsia="zh-CN"/>
          <w14:textFill>
            <w14:solidFill>
              <w14:schemeClr w14:val="tx1"/>
            </w14:solidFill>
          </w14:textFill>
        </w:rPr>
        <w:t>广西卓群项目管理有限公司</w:t>
      </w:r>
      <w:r>
        <w:rPr>
          <w:rFonts w:hint="eastAsia"/>
          <w:color w:val="000000" w:themeColor="text1"/>
          <w:spacing w:val="-4"/>
          <w:highlight w:val="none"/>
          <w14:textFill>
            <w14:solidFill>
              <w14:schemeClr w14:val="tx1"/>
            </w14:solidFill>
          </w14:textFill>
        </w:rPr>
        <w:t>。</w:t>
      </w:r>
    </w:p>
    <w:p w14:paraId="0B0A0B86">
      <w:pPr>
        <w:pStyle w:val="12"/>
        <w:spacing w:line="350" w:lineRule="exact"/>
        <w:ind w:firstLine="413" w:firstLineChars="196"/>
        <w:rPr>
          <w:rFonts w:hint="eastAsia"/>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34.有关事宜</w:t>
      </w:r>
    </w:p>
    <w:p w14:paraId="1A97F23A">
      <w:pPr>
        <w:pStyle w:val="12"/>
        <w:spacing w:line="350" w:lineRule="exac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所有与本竞争性磋商文件有关的函件请按下列通讯地址联系：</w:t>
      </w:r>
    </w:p>
    <w:p w14:paraId="46058F39">
      <w:pPr>
        <w:pStyle w:val="12"/>
        <w:tabs>
          <w:tab w:val="left" w:pos="1990"/>
        </w:tabs>
        <w:spacing w:line="350" w:lineRule="exact"/>
        <w:ind w:firstLine="824"/>
        <w:rPr>
          <w:rFonts w:hint="eastAsia" w:eastAsia="宋体"/>
          <w:color w:val="000000" w:themeColor="text1"/>
          <w:spacing w:val="-4"/>
          <w:highlight w:val="none"/>
          <w:lang w:eastAsia="zh-CN"/>
          <w14:textFill>
            <w14:solidFill>
              <w14:schemeClr w14:val="tx1"/>
            </w14:solidFill>
          </w14:textFill>
        </w:rPr>
      </w:pPr>
      <w:r>
        <w:rPr>
          <w:rFonts w:hint="eastAsia"/>
          <w:color w:val="000000" w:themeColor="text1"/>
          <w:spacing w:val="-4"/>
          <w:highlight w:val="none"/>
          <w:lang w:eastAsia="zh-CN"/>
          <w14:textFill>
            <w14:solidFill>
              <w14:schemeClr w14:val="tx1"/>
            </w14:solidFill>
          </w14:textFill>
        </w:rPr>
        <w:t>广西卓群项目管理有限公司</w:t>
      </w:r>
    </w:p>
    <w:p w14:paraId="55AFF8D1">
      <w:pPr>
        <w:pStyle w:val="12"/>
        <w:tabs>
          <w:tab w:val="left" w:pos="1990"/>
        </w:tabs>
        <w:spacing w:line="350" w:lineRule="exact"/>
        <w:ind w:firstLine="824"/>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通讯地址：</w:t>
      </w:r>
      <w:r>
        <w:rPr>
          <w:rFonts w:hint="eastAsia"/>
          <w:color w:val="000000" w:themeColor="text1"/>
          <w:highlight w:val="none"/>
          <w:lang w:eastAsia="zh-CN"/>
          <w14:textFill>
            <w14:solidFill>
              <w14:schemeClr w14:val="tx1"/>
            </w14:solidFill>
          </w14:textFill>
        </w:rPr>
        <w:t>桂林市象山区平山村委北村174号</w:t>
      </w:r>
    </w:p>
    <w:p w14:paraId="498DEF83">
      <w:pPr>
        <w:pStyle w:val="12"/>
        <w:tabs>
          <w:tab w:val="left" w:pos="1990"/>
        </w:tabs>
        <w:spacing w:line="350" w:lineRule="exact"/>
        <w:ind w:firstLine="824"/>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    话：</w:t>
      </w:r>
      <w:r>
        <w:rPr>
          <w:rFonts w:hint="eastAsia"/>
          <w:color w:val="000000" w:themeColor="text1"/>
          <w:szCs w:val="21"/>
          <w:highlight w:val="none"/>
          <w:lang w:eastAsia="zh-CN"/>
          <w14:textFill>
            <w14:solidFill>
              <w14:schemeClr w14:val="tx1"/>
            </w14:solidFill>
          </w14:textFill>
        </w:rPr>
        <w:t>18278360891</w:t>
      </w:r>
      <w:r>
        <w:rPr>
          <w:rFonts w:hint="eastAsia"/>
          <w:color w:val="000000" w:themeColor="text1"/>
          <w:highlight w:val="none"/>
          <w14:textFill>
            <w14:solidFill>
              <w14:schemeClr w14:val="tx1"/>
            </w14:solidFill>
          </w14:textFill>
        </w:rPr>
        <w:t xml:space="preserve">  </w:t>
      </w:r>
    </w:p>
    <w:p w14:paraId="3913F0FE">
      <w:pPr>
        <w:pStyle w:val="12"/>
        <w:tabs>
          <w:tab w:val="left" w:pos="1990"/>
        </w:tabs>
        <w:spacing w:line="340" w:lineRule="exact"/>
        <w:ind w:firstLine="211" w:firstLineChars="100"/>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 xml:space="preserve">  35.</w:t>
      </w:r>
      <w:r>
        <w:rPr>
          <w:rFonts w:hint="eastAsia"/>
          <w:color w:val="000000" w:themeColor="text1"/>
          <w:highlight w:val="none"/>
          <w14:textFill>
            <w14:solidFill>
              <w14:schemeClr w14:val="tx1"/>
            </w14:solidFill>
          </w14:textFill>
        </w:rPr>
        <w:t>根据中国人民银行桂林市中心支行 桂林市财政局关于转发《中国人民银行南宁中心支行广西壮族自治区财政厅关于推广线上“政采贷”融资模式的通知》的通知【桂人银发（2021）246号】，支持银行金融机构与政府采购供应商开展线上“政采贷”业务，具体内容详见《广西线上“政采贷”政策告知函》（附后）。</w:t>
      </w:r>
    </w:p>
    <w:p w14:paraId="1BB2952A">
      <w:pPr>
        <w:pStyle w:val="12"/>
        <w:tabs>
          <w:tab w:val="left" w:pos="1990"/>
        </w:tabs>
        <w:spacing w:line="340" w:lineRule="exact"/>
        <w:rPr>
          <w:rFonts w:hint="eastAsia"/>
          <w:b/>
          <w:color w:val="000000" w:themeColor="text1"/>
          <w:highlight w:val="none"/>
          <w14:textFill>
            <w14:solidFill>
              <w14:schemeClr w14:val="tx1"/>
            </w14:solidFill>
          </w14:textFill>
        </w:rPr>
      </w:pPr>
    </w:p>
    <w:p w14:paraId="387D581E">
      <w:pPr>
        <w:pStyle w:val="12"/>
        <w:tabs>
          <w:tab w:val="left" w:pos="1990"/>
        </w:tabs>
        <w:spacing w:line="340" w:lineRule="exact"/>
        <w:rPr>
          <w:rFonts w:hint="eastAsia"/>
          <w:b/>
          <w:color w:val="000000" w:themeColor="text1"/>
          <w:highlight w:val="none"/>
          <w14:textFill>
            <w14:solidFill>
              <w14:schemeClr w14:val="tx1"/>
            </w14:solidFill>
          </w14:textFill>
        </w:rPr>
      </w:pPr>
    </w:p>
    <w:p w14:paraId="4DFC6016">
      <w:pPr>
        <w:pStyle w:val="12"/>
        <w:tabs>
          <w:tab w:val="left" w:pos="1990"/>
        </w:tabs>
        <w:spacing w:line="340" w:lineRule="exact"/>
        <w:rPr>
          <w:rFonts w:hint="eastAsia"/>
          <w:b/>
          <w:color w:val="000000" w:themeColor="text1"/>
          <w:highlight w:val="none"/>
          <w14:textFill>
            <w14:solidFill>
              <w14:schemeClr w14:val="tx1"/>
            </w14:solidFill>
          </w14:textFill>
        </w:rPr>
      </w:pPr>
    </w:p>
    <w:p w14:paraId="7BFA317C">
      <w:pPr>
        <w:pStyle w:val="12"/>
        <w:tabs>
          <w:tab w:val="left" w:pos="1990"/>
        </w:tabs>
        <w:spacing w:line="340" w:lineRule="exact"/>
        <w:rPr>
          <w:rFonts w:hint="eastAsia"/>
          <w:b/>
          <w:color w:val="000000" w:themeColor="text1"/>
          <w:highlight w:val="none"/>
          <w14:textFill>
            <w14:solidFill>
              <w14:schemeClr w14:val="tx1"/>
            </w14:solidFill>
          </w14:textFill>
        </w:rPr>
      </w:pPr>
    </w:p>
    <w:p w14:paraId="7747C882">
      <w:pPr>
        <w:pStyle w:val="12"/>
        <w:tabs>
          <w:tab w:val="left" w:pos="1990"/>
        </w:tabs>
        <w:spacing w:line="340" w:lineRule="exact"/>
        <w:rPr>
          <w:rFonts w:hint="eastAsia"/>
          <w:b/>
          <w:color w:val="000000" w:themeColor="text1"/>
          <w:highlight w:val="none"/>
          <w14:textFill>
            <w14:solidFill>
              <w14:schemeClr w14:val="tx1"/>
            </w14:solidFill>
          </w14:textFill>
        </w:rPr>
      </w:pPr>
    </w:p>
    <w:p w14:paraId="77561062">
      <w:pPr>
        <w:jc w:val="both"/>
        <w:rPr>
          <w:rFonts w:hint="eastAsia"/>
          <w:b/>
          <w:color w:val="000000" w:themeColor="text1"/>
          <w:sz w:val="36"/>
          <w:szCs w:val="36"/>
          <w:highlight w:val="none"/>
          <w14:textFill>
            <w14:solidFill>
              <w14:schemeClr w14:val="tx1"/>
            </w14:solidFill>
          </w14:textFill>
        </w:rPr>
      </w:pPr>
    </w:p>
    <w:p w14:paraId="78CB47B5">
      <w:pPr>
        <w:autoSpaceDE w:val="0"/>
        <w:autoSpaceDN w:val="0"/>
        <w:adjustRightInd w:val="0"/>
        <w:snapToGrid w:val="0"/>
        <w:spacing w:line="300" w:lineRule="auto"/>
        <w:jc w:val="center"/>
        <w:outlineLvl w:val="0"/>
        <w:rPr>
          <w:rFonts w:hint="eastAsia" w:ascii="宋体"/>
          <w:b/>
          <w:color w:val="000000" w:themeColor="text1"/>
          <w:kern w:val="0"/>
          <w:sz w:val="44"/>
          <w:szCs w:val="44"/>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br w:type="page"/>
      </w:r>
      <w:bookmarkStart w:id="6" w:name="_Toc14909"/>
      <w:r>
        <w:rPr>
          <w:rFonts w:hint="eastAsia"/>
          <w:b/>
          <w:color w:val="000000" w:themeColor="text1"/>
          <w:sz w:val="36"/>
          <w:szCs w:val="36"/>
          <w:highlight w:val="none"/>
          <w14:textFill>
            <w14:solidFill>
              <w14:schemeClr w14:val="tx1"/>
            </w14:solidFill>
          </w14:textFill>
        </w:rPr>
        <w:t xml:space="preserve">第三章  </w:t>
      </w:r>
      <w:r>
        <w:rPr>
          <w:rFonts w:hint="eastAsia" w:ascii="宋体"/>
          <w:b/>
          <w:color w:val="000000" w:themeColor="text1"/>
          <w:kern w:val="0"/>
          <w:sz w:val="44"/>
          <w:szCs w:val="44"/>
          <w:highlight w:val="none"/>
          <w14:textFill>
            <w14:solidFill>
              <w14:schemeClr w14:val="tx1"/>
            </w14:solidFill>
          </w14:textFill>
        </w:rPr>
        <w:t>评审方法</w:t>
      </w:r>
      <w:bookmarkEnd w:id="6"/>
    </w:p>
    <w:p w14:paraId="4631D8A8">
      <w:pPr>
        <w:pStyle w:val="12"/>
        <w:spacing w:line="320" w:lineRule="exact"/>
        <w:ind w:firstLine="413" w:firstLineChars="196"/>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一、评审原则</w:t>
      </w:r>
    </w:p>
    <w:p w14:paraId="2B16BD93">
      <w:pPr>
        <w:pStyle w:val="12"/>
        <w:spacing w:line="32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1、评审依据：磋商小组以竞争性磋商文件和响应文件为评审依据，对磋商供应商的最后报价、项目管理机构、施工组织设计、企业信誉实力等方面内容按百分制打分。</w:t>
      </w:r>
    </w:p>
    <w:p w14:paraId="7CFC77CE">
      <w:pPr>
        <w:pStyle w:val="12"/>
        <w:spacing w:line="32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2、评审方式：以封闭方式进行评审。</w:t>
      </w:r>
    </w:p>
    <w:p w14:paraId="014AAB48">
      <w:pPr>
        <w:pStyle w:val="12"/>
        <w:spacing w:line="320" w:lineRule="exact"/>
        <w:ind w:firstLine="420" w:firstLineChars="200"/>
        <w:rPr>
          <w:rFonts w:cs="宋体"/>
          <w:color w:val="000000" w:themeColor="text1"/>
          <w:highlight w:val="none"/>
          <w:lang w:bidi="ar-SA"/>
          <w14:textFill>
            <w14:solidFill>
              <w14:schemeClr w14:val="tx1"/>
            </w14:solidFill>
          </w14:textFill>
        </w:rPr>
      </w:pPr>
      <w:r>
        <w:rPr>
          <w:rFonts w:hint="eastAsia"/>
          <w:color w:val="000000" w:themeColor="text1"/>
          <w:highlight w:val="none"/>
          <w14:textFill>
            <w14:solidFill>
              <w14:schemeClr w14:val="tx1"/>
            </w14:solidFill>
          </w14:textFill>
        </w:rPr>
        <w:t>3、根据财库〔2012〕69号文规定，采购人和采购代理机构、磋商小组成员要严格遵守政府采购相关法律制度，依法履行各自职责，公正、客观、审慎地组织和参与评审工作。</w:t>
      </w:r>
    </w:p>
    <w:p w14:paraId="398D6C53">
      <w:pPr>
        <w:pStyle w:val="12"/>
        <w:spacing w:line="320" w:lineRule="exact"/>
        <w:ind w:firstLine="422" w:firstLineChars="20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二、评审办法</w:t>
      </w:r>
    </w:p>
    <w:p w14:paraId="6E07AF2E">
      <w:pPr>
        <w:pStyle w:val="12"/>
        <w:spacing w:line="320" w:lineRule="exact"/>
        <w:ind w:firstLine="420" w:firstLineChars="20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（一）本次评标采用综合评分法。磋商小组会首先对磋商供应商提交的响应文件进行资格性审查和符合性审查，只有通过了资格性审查和符合性审查才能进入详评。</w:t>
      </w:r>
    </w:p>
    <w:p w14:paraId="7C6746A3">
      <w:pPr>
        <w:pStyle w:val="12"/>
        <w:spacing w:line="320" w:lineRule="exact"/>
        <w:ind w:firstLine="420" w:firstLineChars="200"/>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（二）计分办法（按四舍五入取至小数点后二位）</w:t>
      </w:r>
    </w:p>
    <w:tbl>
      <w:tblPr>
        <w:tblStyle w:val="20"/>
        <w:tblW w:w="9049" w:type="dxa"/>
        <w:jc w:val="center"/>
        <w:tblLayout w:type="fixed"/>
        <w:tblCellMar>
          <w:top w:w="0" w:type="dxa"/>
          <w:left w:w="108" w:type="dxa"/>
          <w:bottom w:w="0" w:type="dxa"/>
          <w:right w:w="108" w:type="dxa"/>
        </w:tblCellMar>
      </w:tblPr>
      <w:tblGrid>
        <w:gridCol w:w="944"/>
        <w:gridCol w:w="1324"/>
        <w:gridCol w:w="2141"/>
        <w:gridCol w:w="4555"/>
        <w:gridCol w:w="85"/>
      </w:tblGrid>
      <w:tr w14:paraId="298FA59E">
        <w:tblPrEx>
          <w:tblCellMar>
            <w:top w:w="0" w:type="dxa"/>
            <w:left w:w="108" w:type="dxa"/>
            <w:bottom w:w="0" w:type="dxa"/>
            <w:right w:w="108" w:type="dxa"/>
          </w:tblCellMar>
        </w:tblPrEx>
        <w:trPr>
          <w:gridAfter w:val="1"/>
          <w:wAfter w:w="85" w:type="dxa"/>
          <w:trHeight w:val="609" w:hRule="atLeast"/>
          <w:jc w:val="center"/>
        </w:trPr>
        <w:tc>
          <w:tcPr>
            <w:tcW w:w="944" w:type="dxa"/>
            <w:tcBorders>
              <w:top w:val="single" w:color="auto" w:sz="4" w:space="0"/>
              <w:left w:val="single" w:color="auto" w:sz="4" w:space="0"/>
              <w:bottom w:val="single" w:color="auto" w:sz="4" w:space="0"/>
              <w:right w:val="single" w:color="000000" w:sz="4" w:space="0"/>
            </w:tcBorders>
            <w:noWrap w:val="0"/>
            <w:vAlign w:val="center"/>
          </w:tcPr>
          <w:p w14:paraId="4CABF1C9">
            <w:pPr>
              <w:pStyle w:val="27"/>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条款号</w:t>
            </w:r>
          </w:p>
        </w:tc>
        <w:tc>
          <w:tcPr>
            <w:tcW w:w="8020" w:type="dxa"/>
            <w:gridSpan w:val="3"/>
            <w:tcBorders>
              <w:top w:val="single" w:color="auto" w:sz="4" w:space="0"/>
              <w:left w:val="nil"/>
              <w:bottom w:val="single" w:color="auto" w:sz="4" w:space="0"/>
              <w:right w:val="single" w:color="auto" w:sz="4" w:space="0"/>
            </w:tcBorders>
            <w:noWrap w:val="0"/>
            <w:vAlign w:val="center"/>
          </w:tcPr>
          <w:p w14:paraId="5CB2B19B">
            <w:pPr>
              <w:pStyle w:val="27"/>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评审标准</w:t>
            </w:r>
          </w:p>
        </w:tc>
      </w:tr>
      <w:tr w14:paraId="7EDDA70B">
        <w:tblPrEx>
          <w:tblCellMar>
            <w:top w:w="0" w:type="dxa"/>
            <w:left w:w="108" w:type="dxa"/>
            <w:bottom w:w="0" w:type="dxa"/>
            <w:right w:w="108" w:type="dxa"/>
          </w:tblCellMar>
        </w:tblPrEx>
        <w:trPr>
          <w:gridAfter w:val="1"/>
          <w:wAfter w:w="85" w:type="dxa"/>
          <w:trHeight w:val="453" w:hRule="atLeast"/>
          <w:jc w:val="center"/>
        </w:trPr>
        <w:tc>
          <w:tcPr>
            <w:tcW w:w="944" w:type="dxa"/>
            <w:vMerge w:val="restart"/>
            <w:tcBorders>
              <w:top w:val="single" w:color="auto" w:sz="4" w:space="0"/>
              <w:left w:val="single" w:color="auto" w:sz="4" w:space="0"/>
              <w:right w:val="single" w:color="auto" w:sz="4" w:space="0"/>
            </w:tcBorders>
            <w:noWrap w:val="0"/>
            <w:vAlign w:val="center"/>
          </w:tcPr>
          <w:p w14:paraId="63E391EB">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.1</w:t>
            </w:r>
          </w:p>
        </w:tc>
        <w:tc>
          <w:tcPr>
            <w:tcW w:w="1324" w:type="dxa"/>
            <w:vMerge w:val="restart"/>
            <w:tcBorders>
              <w:top w:val="single" w:color="auto" w:sz="4" w:space="0"/>
              <w:left w:val="single" w:color="auto" w:sz="4" w:space="0"/>
              <w:right w:val="single" w:color="auto" w:sz="4" w:space="0"/>
            </w:tcBorders>
            <w:noWrap w:val="0"/>
            <w:vAlign w:val="center"/>
          </w:tcPr>
          <w:p w14:paraId="4AA95873">
            <w:pPr>
              <w:pStyle w:val="27"/>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themeColor="text1"/>
                <w:spacing w:val="-6"/>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资格</w:t>
            </w:r>
            <w:r>
              <w:rPr>
                <w:rFonts w:hint="eastAsia" w:ascii="宋体" w:hAnsi="宋体" w:cs="宋体"/>
                <w:color w:val="000000" w:themeColor="text1"/>
                <w:highlight w:val="none"/>
                <w:lang w:eastAsia="zh-CN"/>
                <w14:textFill>
                  <w14:solidFill>
                    <w14:schemeClr w14:val="tx1"/>
                  </w14:solidFill>
                </w14:textFill>
              </w:rPr>
              <w:t>评审</w:t>
            </w:r>
          </w:p>
          <w:p w14:paraId="79895C17">
            <w:pPr>
              <w:pStyle w:val="16"/>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color w:val="000000" w:themeColor="text1"/>
                <w:spacing w:val="-6"/>
                <w:highlight w:val="none"/>
                <w14:textFill>
                  <w14:solidFill>
                    <w14:schemeClr w14:val="tx1"/>
                  </w14:solidFill>
                </w14:textFill>
              </w:rPr>
            </w:pPr>
          </w:p>
        </w:tc>
        <w:tc>
          <w:tcPr>
            <w:tcW w:w="2141" w:type="dxa"/>
            <w:tcBorders>
              <w:top w:val="single" w:color="auto" w:sz="4" w:space="0"/>
              <w:left w:val="single" w:color="auto" w:sz="4" w:space="0"/>
              <w:bottom w:val="single" w:color="auto" w:sz="4" w:space="0"/>
              <w:right w:val="single" w:color="auto" w:sz="4" w:space="0"/>
            </w:tcBorders>
            <w:noWrap w:val="0"/>
            <w:vAlign w:val="center"/>
          </w:tcPr>
          <w:p w14:paraId="1041C9BA">
            <w:pPr>
              <w:pStyle w:val="27"/>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评审因素</w:t>
            </w:r>
          </w:p>
        </w:tc>
        <w:tc>
          <w:tcPr>
            <w:tcW w:w="4555" w:type="dxa"/>
            <w:tcBorders>
              <w:top w:val="single" w:color="auto" w:sz="4" w:space="0"/>
              <w:left w:val="single" w:color="auto" w:sz="4" w:space="0"/>
              <w:bottom w:val="single" w:color="auto" w:sz="4" w:space="0"/>
              <w:right w:val="single" w:color="auto" w:sz="4" w:space="0"/>
            </w:tcBorders>
            <w:noWrap w:val="0"/>
            <w:vAlign w:val="center"/>
          </w:tcPr>
          <w:p w14:paraId="168FEEDB">
            <w:pPr>
              <w:pStyle w:val="27"/>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评审标准</w:t>
            </w:r>
            <w:r>
              <w:rPr>
                <w:rFonts w:hint="eastAsia" w:ascii="宋体" w:hAnsi="宋体" w:cs="宋体"/>
                <w:b/>
                <w:bCs/>
                <w:color w:val="000000" w:themeColor="text1"/>
                <w:highlight w:val="none"/>
                <w14:textFill>
                  <w14:solidFill>
                    <w14:schemeClr w14:val="tx1"/>
                  </w14:solidFill>
                </w14:textFill>
              </w:rPr>
              <w:t>（合格标准：缺少任何一项或有任何一项不合格者，其资格</w:t>
            </w:r>
            <w:r>
              <w:rPr>
                <w:rFonts w:hint="eastAsia" w:ascii="宋体" w:hAnsi="宋体" w:cs="宋体"/>
                <w:b/>
                <w:bCs/>
                <w:color w:val="000000" w:themeColor="text1"/>
                <w:highlight w:val="none"/>
                <w:lang w:eastAsia="zh-CN"/>
                <w14:textFill>
                  <w14:solidFill>
                    <w14:schemeClr w14:val="tx1"/>
                  </w14:solidFill>
                </w14:textFill>
              </w:rPr>
              <w:t>评审</w:t>
            </w:r>
            <w:r>
              <w:rPr>
                <w:rFonts w:hint="eastAsia" w:ascii="宋体" w:hAnsi="宋体" w:cs="宋体"/>
                <w:b/>
                <w:bCs/>
                <w:color w:val="000000" w:themeColor="text1"/>
                <w:highlight w:val="none"/>
                <w14:textFill>
                  <w14:solidFill>
                    <w14:schemeClr w14:val="tx1"/>
                  </w14:solidFill>
                </w14:textFill>
              </w:rPr>
              <w:t>视为不合格）</w:t>
            </w:r>
          </w:p>
        </w:tc>
      </w:tr>
      <w:tr w14:paraId="16303CBE">
        <w:tblPrEx>
          <w:tblCellMar>
            <w:top w:w="0" w:type="dxa"/>
            <w:left w:w="108" w:type="dxa"/>
            <w:bottom w:w="0" w:type="dxa"/>
            <w:right w:w="108" w:type="dxa"/>
          </w:tblCellMar>
        </w:tblPrEx>
        <w:trPr>
          <w:gridAfter w:val="1"/>
          <w:wAfter w:w="85" w:type="dxa"/>
          <w:trHeight w:val="537" w:hRule="atLeast"/>
          <w:jc w:val="center"/>
        </w:trPr>
        <w:tc>
          <w:tcPr>
            <w:tcW w:w="944" w:type="dxa"/>
            <w:vMerge w:val="continue"/>
            <w:tcBorders>
              <w:left w:val="single" w:color="auto" w:sz="4" w:space="0"/>
              <w:right w:val="single" w:color="auto" w:sz="4" w:space="0"/>
            </w:tcBorders>
            <w:noWrap w:val="0"/>
            <w:vAlign w:val="center"/>
          </w:tcPr>
          <w:p w14:paraId="6809CB73">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highlight w:val="none"/>
                <w14:textFill>
                  <w14:solidFill>
                    <w14:schemeClr w14:val="tx1"/>
                  </w14:solidFill>
                </w14:textFill>
              </w:rPr>
            </w:pPr>
          </w:p>
        </w:tc>
        <w:tc>
          <w:tcPr>
            <w:tcW w:w="1324" w:type="dxa"/>
            <w:vMerge w:val="continue"/>
            <w:tcBorders>
              <w:left w:val="single" w:color="auto" w:sz="4" w:space="0"/>
              <w:right w:val="single" w:color="auto" w:sz="4" w:space="0"/>
            </w:tcBorders>
            <w:noWrap w:val="0"/>
            <w:vAlign w:val="center"/>
          </w:tcPr>
          <w:p w14:paraId="07A752E4">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kern w:val="0"/>
                <w:highlight w:val="none"/>
                <w14:textFill>
                  <w14:solidFill>
                    <w14:schemeClr w14:val="tx1"/>
                  </w14:solidFill>
                </w14:textFill>
              </w:rPr>
            </w:pPr>
          </w:p>
        </w:tc>
        <w:tc>
          <w:tcPr>
            <w:tcW w:w="2141" w:type="dxa"/>
            <w:tcBorders>
              <w:top w:val="single" w:color="auto" w:sz="4" w:space="0"/>
              <w:left w:val="single" w:color="auto" w:sz="4" w:space="0"/>
              <w:bottom w:val="single" w:color="auto" w:sz="4" w:space="0"/>
              <w:right w:val="single" w:color="auto" w:sz="4" w:space="0"/>
            </w:tcBorders>
            <w:noWrap w:val="0"/>
            <w:vAlign w:val="center"/>
          </w:tcPr>
          <w:p w14:paraId="0A487996">
            <w:pPr>
              <w:pStyle w:val="27"/>
              <w:keepNext w:val="0"/>
              <w:keepLines w:val="0"/>
              <w:pageBreakBefore w:val="0"/>
              <w:kinsoku/>
              <w:wordWrap/>
              <w:overflowPunct/>
              <w:topLinePunct w:val="0"/>
              <w:autoSpaceDE/>
              <w:autoSpaceDN/>
              <w:bidi w:val="0"/>
              <w:adjustRightInd/>
              <w:snapToGrid w:val="0"/>
              <w:spacing w:line="360" w:lineRule="exact"/>
              <w:ind w:left="0" w:leftChars="0" w:firstLine="0" w:firstLineChars="0"/>
              <w:jc w:val="both"/>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w:t>
            </w:r>
            <w:r>
              <w:rPr>
                <w:rFonts w:hint="eastAsia" w:ascii="宋体" w:hAnsi="宋体" w:eastAsia="宋体" w:cs="宋体"/>
                <w:color w:val="000000" w:themeColor="text1"/>
                <w:szCs w:val="21"/>
                <w:highlight w:val="none"/>
                <w:lang w:eastAsia="zh-CN"/>
                <w14:textFill>
                  <w14:solidFill>
                    <w14:schemeClr w14:val="tx1"/>
                  </w14:solidFill>
                </w14:textFill>
              </w:rPr>
              <w:t>身份证明</w:t>
            </w:r>
          </w:p>
        </w:tc>
        <w:tc>
          <w:tcPr>
            <w:tcW w:w="4555" w:type="dxa"/>
            <w:tcBorders>
              <w:top w:val="single" w:color="auto" w:sz="4" w:space="0"/>
              <w:left w:val="single" w:color="auto" w:sz="4" w:space="0"/>
              <w:bottom w:val="single" w:color="auto" w:sz="4" w:space="0"/>
              <w:right w:val="single" w:color="auto" w:sz="4" w:space="0"/>
            </w:tcBorders>
            <w:noWrap w:val="0"/>
            <w:vAlign w:val="center"/>
          </w:tcPr>
          <w:p w14:paraId="728A78F7">
            <w:pPr>
              <w:pStyle w:val="27"/>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cs="宋体"/>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法定代表人的</w:t>
            </w:r>
            <w:r>
              <w:rPr>
                <w:rStyle w:val="35"/>
                <w:rFonts w:hint="eastAsia" w:ascii="宋体"/>
                <w:color w:val="000000" w:themeColor="text1"/>
                <w:szCs w:val="21"/>
                <w:highlight w:val="none"/>
                <w14:textFill>
                  <w14:solidFill>
                    <w14:schemeClr w14:val="tx1"/>
                  </w14:solidFill>
                </w14:textFill>
              </w:rPr>
              <w:t>正反两面</w:t>
            </w:r>
            <w:r>
              <w:rPr>
                <w:rFonts w:hint="eastAsia" w:ascii="宋体"/>
                <w:color w:val="000000" w:themeColor="text1"/>
                <w:szCs w:val="21"/>
                <w:highlight w:val="none"/>
                <w14:textFill>
                  <w14:solidFill>
                    <w14:schemeClr w14:val="tx1"/>
                  </w14:solidFill>
                </w14:textFill>
              </w:rPr>
              <w:t>身份证扫描件</w:t>
            </w:r>
            <w:r>
              <w:rPr>
                <w:rFonts w:hint="eastAsia" w:ascii="宋体"/>
                <w:b/>
                <w:color w:val="000000" w:themeColor="text1"/>
                <w:szCs w:val="21"/>
                <w:highlight w:val="none"/>
                <w14:textFill>
                  <w14:solidFill>
                    <w14:schemeClr w14:val="tx1"/>
                  </w14:solidFill>
                </w14:textFill>
              </w:rPr>
              <w:t>（必须提供）</w:t>
            </w:r>
          </w:p>
        </w:tc>
      </w:tr>
      <w:tr w14:paraId="7B1910A8">
        <w:tblPrEx>
          <w:tblCellMar>
            <w:top w:w="0" w:type="dxa"/>
            <w:left w:w="108" w:type="dxa"/>
            <w:bottom w:w="0" w:type="dxa"/>
            <w:right w:w="108" w:type="dxa"/>
          </w:tblCellMar>
        </w:tblPrEx>
        <w:trPr>
          <w:gridAfter w:val="1"/>
          <w:wAfter w:w="85" w:type="dxa"/>
          <w:trHeight w:val="537" w:hRule="atLeast"/>
          <w:jc w:val="center"/>
        </w:trPr>
        <w:tc>
          <w:tcPr>
            <w:tcW w:w="944" w:type="dxa"/>
            <w:vMerge w:val="continue"/>
            <w:tcBorders>
              <w:left w:val="single" w:color="auto" w:sz="4" w:space="0"/>
              <w:right w:val="single" w:color="auto" w:sz="4" w:space="0"/>
            </w:tcBorders>
            <w:noWrap w:val="0"/>
            <w:vAlign w:val="center"/>
          </w:tcPr>
          <w:p w14:paraId="366E1B0A">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highlight w:val="none"/>
                <w14:textFill>
                  <w14:solidFill>
                    <w14:schemeClr w14:val="tx1"/>
                  </w14:solidFill>
                </w14:textFill>
              </w:rPr>
            </w:pPr>
          </w:p>
        </w:tc>
        <w:tc>
          <w:tcPr>
            <w:tcW w:w="1324" w:type="dxa"/>
            <w:vMerge w:val="continue"/>
            <w:tcBorders>
              <w:left w:val="single" w:color="auto" w:sz="4" w:space="0"/>
              <w:right w:val="single" w:color="auto" w:sz="4" w:space="0"/>
            </w:tcBorders>
            <w:noWrap w:val="0"/>
            <w:vAlign w:val="center"/>
          </w:tcPr>
          <w:p w14:paraId="4CE8F435">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kern w:val="0"/>
                <w:highlight w:val="none"/>
                <w14:textFill>
                  <w14:solidFill>
                    <w14:schemeClr w14:val="tx1"/>
                  </w14:solidFill>
                </w14:textFill>
              </w:rPr>
            </w:pPr>
          </w:p>
        </w:tc>
        <w:tc>
          <w:tcPr>
            <w:tcW w:w="2141" w:type="dxa"/>
            <w:tcBorders>
              <w:top w:val="single" w:color="auto" w:sz="4" w:space="0"/>
              <w:left w:val="single" w:color="auto" w:sz="4" w:space="0"/>
              <w:bottom w:val="single" w:color="auto" w:sz="4" w:space="0"/>
              <w:right w:val="single" w:color="auto" w:sz="4" w:space="0"/>
            </w:tcBorders>
            <w:noWrap w:val="0"/>
            <w:vAlign w:val="center"/>
          </w:tcPr>
          <w:p w14:paraId="191B42BB">
            <w:pPr>
              <w:pStyle w:val="27"/>
              <w:keepNext w:val="0"/>
              <w:keepLines w:val="0"/>
              <w:pageBreakBefore w:val="0"/>
              <w:kinsoku/>
              <w:wordWrap/>
              <w:overflowPunct/>
              <w:topLinePunct w:val="0"/>
              <w:autoSpaceDE/>
              <w:autoSpaceDN/>
              <w:bidi w:val="0"/>
              <w:adjustRightInd/>
              <w:snapToGrid w:val="0"/>
              <w:spacing w:line="360" w:lineRule="exact"/>
              <w:ind w:left="720" w:hanging="720"/>
              <w:jc w:val="both"/>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委托代理人身份证明</w:t>
            </w:r>
          </w:p>
        </w:tc>
        <w:tc>
          <w:tcPr>
            <w:tcW w:w="4555" w:type="dxa"/>
            <w:tcBorders>
              <w:top w:val="single" w:color="auto" w:sz="4" w:space="0"/>
              <w:left w:val="single" w:color="auto" w:sz="4" w:space="0"/>
              <w:bottom w:val="single" w:color="auto" w:sz="4" w:space="0"/>
              <w:right w:val="single" w:color="auto" w:sz="4" w:space="0"/>
            </w:tcBorders>
            <w:noWrap w:val="0"/>
            <w:vAlign w:val="center"/>
          </w:tcPr>
          <w:p w14:paraId="162F5E8B">
            <w:pPr>
              <w:pStyle w:val="27"/>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按采购文件要求提供</w:t>
            </w:r>
            <w:r>
              <w:rPr>
                <w:rFonts w:hint="eastAsia" w:ascii="宋体" w:hAnsi="宋体" w:eastAsia="宋体" w:cs="宋体"/>
                <w:b/>
                <w:bCs/>
                <w:color w:val="000000" w:themeColor="text1"/>
                <w:szCs w:val="21"/>
                <w:highlight w:val="none"/>
                <w14:textFill>
                  <w14:solidFill>
                    <w14:schemeClr w14:val="tx1"/>
                  </w14:solidFill>
                </w14:textFill>
              </w:rPr>
              <w:t>（委托代理时必须提供）</w:t>
            </w:r>
          </w:p>
        </w:tc>
      </w:tr>
      <w:tr w14:paraId="2B81831A">
        <w:tblPrEx>
          <w:tblCellMar>
            <w:top w:w="0" w:type="dxa"/>
            <w:left w:w="108" w:type="dxa"/>
            <w:bottom w:w="0" w:type="dxa"/>
            <w:right w:w="108" w:type="dxa"/>
          </w:tblCellMar>
        </w:tblPrEx>
        <w:trPr>
          <w:gridAfter w:val="1"/>
          <w:wAfter w:w="85" w:type="dxa"/>
          <w:trHeight w:val="537" w:hRule="atLeast"/>
          <w:jc w:val="center"/>
        </w:trPr>
        <w:tc>
          <w:tcPr>
            <w:tcW w:w="944" w:type="dxa"/>
            <w:vMerge w:val="continue"/>
            <w:tcBorders>
              <w:left w:val="single" w:color="auto" w:sz="4" w:space="0"/>
              <w:right w:val="single" w:color="auto" w:sz="4" w:space="0"/>
            </w:tcBorders>
            <w:noWrap w:val="0"/>
            <w:vAlign w:val="center"/>
          </w:tcPr>
          <w:p w14:paraId="23520ECC">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highlight w:val="none"/>
                <w14:textFill>
                  <w14:solidFill>
                    <w14:schemeClr w14:val="tx1"/>
                  </w14:solidFill>
                </w14:textFill>
              </w:rPr>
            </w:pPr>
          </w:p>
        </w:tc>
        <w:tc>
          <w:tcPr>
            <w:tcW w:w="1324" w:type="dxa"/>
            <w:vMerge w:val="continue"/>
            <w:tcBorders>
              <w:left w:val="single" w:color="auto" w:sz="4" w:space="0"/>
              <w:right w:val="single" w:color="auto" w:sz="4" w:space="0"/>
            </w:tcBorders>
            <w:noWrap w:val="0"/>
            <w:vAlign w:val="center"/>
          </w:tcPr>
          <w:p w14:paraId="6141DDC4">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kern w:val="0"/>
                <w:highlight w:val="none"/>
                <w14:textFill>
                  <w14:solidFill>
                    <w14:schemeClr w14:val="tx1"/>
                  </w14:solidFill>
                </w14:textFill>
              </w:rPr>
            </w:pPr>
          </w:p>
        </w:tc>
        <w:tc>
          <w:tcPr>
            <w:tcW w:w="2141" w:type="dxa"/>
            <w:tcBorders>
              <w:top w:val="single" w:color="auto" w:sz="4" w:space="0"/>
              <w:left w:val="single" w:color="auto" w:sz="4" w:space="0"/>
              <w:bottom w:val="single" w:color="auto" w:sz="4" w:space="0"/>
              <w:right w:val="single" w:color="auto" w:sz="4" w:space="0"/>
            </w:tcBorders>
            <w:noWrap w:val="0"/>
            <w:vAlign w:val="center"/>
          </w:tcPr>
          <w:p w14:paraId="5BDD1418">
            <w:pPr>
              <w:pStyle w:val="27"/>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营业执照</w:t>
            </w:r>
          </w:p>
        </w:tc>
        <w:tc>
          <w:tcPr>
            <w:tcW w:w="4555" w:type="dxa"/>
            <w:tcBorders>
              <w:top w:val="single" w:color="auto" w:sz="4" w:space="0"/>
              <w:left w:val="single" w:color="auto" w:sz="4" w:space="0"/>
              <w:bottom w:val="single" w:color="auto" w:sz="4" w:space="0"/>
              <w:right w:val="single" w:color="auto" w:sz="4" w:space="0"/>
            </w:tcBorders>
            <w:noWrap w:val="0"/>
            <w:vAlign w:val="center"/>
          </w:tcPr>
          <w:p w14:paraId="3A7F62D8">
            <w:pPr>
              <w:pStyle w:val="27"/>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color w:val="000000" w:themeColor="text1"/>
                <w:szCs w:val="21"/>
                <w:highlight w:val="none"/>
                <w14:textFill>
                  <w14:solidFill>
                    <w14:schemeClr w14:val="tx1"/>
                  </w14:solidFill>
                </w14:textFill>
              </w:rPr>
              <w:t>供应商有效的营业执照副本扫描件</w:t>
            </w:r>
            <w:r>
              <w:rPr>
                <w:rFonts w:hint="eastAsia" w:ascii="宋体"/>
                <w:b/>
                <w:color w:val="000000" w:themeColor="text1"/>
                <w:szCs w:val="21"/>
                <w:highlight w:val="none"/>
                <w14:textFill>
                  <w14:solidFill>
                    <w14:schemeClr w14:val="tx1"/>
                  </w14:solidFill>
                </w14:textFill>
              </w:rPr>
              <w:t>（必须提供）</w:t>
            </w:r>
          </w:p>
        </w:tc>
      </w:tr>
      <w:tr w14:paraId="63CF26B2">
        <w:tblPrEx>
          <w:tblCellMar>
            <w:top w:w="0" w:type="dxa"/>
            <w:left w:w="108" w:type="dxa"/>
            <w:bottom w:w="0" w:type="dxa"/>
            <w:right w:w="108" w:type="dxa"/>
          </w:tblCellMar>
        </w:tblPrEx>
        <w:trPr>
          <w:gridAfter w:val="1"/>
          <w:wAfter w:w="85" w:type="dxa"/>
          <w:trHeight w:val="621" w:hRule="atLeast"/>
          <w:jc w:val="center"/>
        </w:trPr>
        <w:tc>
          <w:tcPr>
            <w:tcW w:w="944" w:type="dxa"/>
            <w:vMerge w:val="continue"/>
            <w:tcBorders>
              <w:left w:val="single" w:color="auto" w:sz="4" w:space="0"/>
              <w:right w:val="single" w:color="auto" w:sz="4" w:space="0"/>
            </w:tcBorders>
            <w:noWrap w:val="0"/>
            <w:vAlign w:val="center"/>
          </w:tcPr>
          <w:p w14:paraId="22144469">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highlight w:val="none"/>
                <w14:textFill>
                  <w14:solidFill>
                    <w14:schemeClr w14:val="tx1"/>
                  </w14:solidFill>
                </w14:textFill>
              </w:rPr>
            </w:pPr>
          </w:p>
        </w:tc>
        <w:tc>
          <w:tcPr>
            <w:tcW w:w="1324" w:type="dxa"/>
            <w:vMerge w:val="continue"/>
            <w:tcBorders>
              <w:left w:val="single" w:color="auto" w:sz="4" w:space="0"/>
              <w:right w:val="single" w:color="auto" w:sz="4" w:space="0"/>
            </w:tcBorders>
            <w:noWrap w:val="0"/>
            <w:vAlign w:val="center"/>
          </w:tcPr>
          <w:p w14:paraId="02B9FE4D">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kern w:val="0"/>
                <w:highlight w:val="none"/>
                <w14:textFill>
                  <w14:solidFill>
                    <w14:schemeClr w14:val="tx1"/>
                  </w14:solidFill>
                </w14:textFill>
              </w:rPr>
            </w:pPr>
          </w:p>
        </w:tc>
        <w:tc>
          <w:tcPr>
            <w:tcW w:w="2141" w:type="dxa"/>
            <w:tcBorders>
              <w:top w:val="single" w:color="auto" w:sz="4" w:space="0"/>
              <w:left w:val="single" w:color="auto" w:sz="4" w:space="0"/>
              <w:bottom w:val="single" w:color="auto" w:sz="4" w:space="0"/>
              <w:right w:val="single" w:color="auto" w:sz="4" w:space="0"/>
            </w:tcBorders>
            <w:noWrap w:val="0"/>
            <w:vAlign w:val="center"/>
          </w:tcPr>
          <w:p w14:paraId="0066DB7D">
            <w:pPr>
              <w:pStyle w:val="27"/>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color w:val="000000" w:themeColor="text1"/>
                <w:szCs w:val="21"/>
                <w:highlight w:val="none"/>
                <w14:textFill>
                  <w14:solidFill>
                    <w14:schemeClr w14:val="tx1"/>
                  </w14:solidFill>
                </w14:textFill>
              </w:rPr>
              <w:t>有效的企业资质证书副本及安全生产许可证副本扫描件、拟投入项目经理的注册建造师执业资格证书及安全生产考核合格证书（B类）</w:t>
            </w:r>
          </w:p>
        </w:tc>
        <w:tc>
          <w:tcPr>
            <w:tcW w:w="4555" w:type="dxa"/>
            <w:tcBorders>
              <w:top w:val="single" w:color="auto" w:sz="4" w:space="0"/>
              <w:left w:val="single" w:color="auto" w:sz="4" w:space="0"/>
              <w:bottom w:val="single" w:color="auto" w:sz="4" w:space="0"/>
              <w:right w:val="single" w:color="auto" w:sz="4" w:space="0"/>
            </w:tcBorders>
            <w:noWrap w:val="0"/>
            <w:vAlign w:val="center"/>
          </w:tcPr>
          <w:p w14:paraId="1C5D6E9C">
            <w:pPr>
              <w:pStyle w:val="27"/>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b w:val="0"/>
                <w:bCs/>
                <w:color w:val="000000" w:themeColor="text1"/>
                <w:szCs w:val="21"/>
                <w:highlight w:val="none"/>
                <w:lang w:eastAsia="zh-CN"/>
                <w14:textFill>
                  <w14:solidFill>
                    <w14:schemeClr w14:val="tx1"/>
                  </w14:solidFill>
                </w14:textFill>
              </w:rPr>
              <w:t>符合本项目的特定资格要求</w:t>
            </w:r>
            <w:r>
              <w:rPr>
                <w:rFonts w:hint="eastAsia" w:ascii="宋体"/>
                <w:b/>
                <w:color w:val="000000" w:themeColor="text1"/>
                <w:szCs w:val="21"/>
                <w:highlight w:val="none"/>
                <w14:textFill>
                  <w14:solidFill>
                    <w14:schemeClr w14:val="tx1"/>
                  </w14:solidFill>
                </w14:textFill>
              </w:rPr>
              <w:t>（必须提供）</w:t>
            </w:r>
          </w:p>
        </w:tc>
      </w:tr>
      <w:tr w14:paraId="35793C80">
        <w:tblPrEx>
          <w:tblCellMar>
            <w:top w:w="0" w:type="dxa"/>
            <w:left w:w="108" w:type="dxa"/>
            <w:bottom w:w="0" w:type="dxa"/>
            <w:right w:w="108" w:type="dxa"/>
          </w:tblCellMar>
        </w:tblPrEx>
        <w:trPr>
          <w:gridAfter w:val="1"/>
          <w:wAfter w:w="85" w:type="dxa"/>
          <w:trHeight w:val="622" w:hRule="atLeast"/>
          <w:jc w:val="center"/>
        </w:trPr>
        <w:tc>
          <w:tcPr>
            <w:tcW w:w="944" w:type="dxa"/>
            <w:vMerge w:val="continue"/>
            <w:tcBorders>
              <w:left w:val="single" w:color="auto" w:sz="4" w:space="0"/>
              <w:right w:val="single" w:color="auto" w:sz="4" w:space="0"/>
            </w:tcBorders>
            <w:noWrap w:val="0"/>
            <w:vAlign w:val="center"/>
          </w:tcPr>
          <w:p w14:paraId="6D7D4A10">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highlight w:val="none"/>
                <w14:textFill>
                  <w14:solidFill>
                    <w14:schemeClr w14:val="tx1"/>
                  </w14:solidFill>
                </w14:textFill>
              </w:rPr>
            </w:pPr>
          </w:p>
        </w:tc>
        <w:tc>
          <w:tcPr>
            <w:tcW w:w="1324" w:type="dxa"/>
            <w:vMerge w:val="continue"/>
            <w:tcBorders>
              <w:left w:val="single" w:color="auto" w:sz="4" w:space="0"/>
              <w:right w:val="single" w:color="auto" w:sz="4" w:space="0"/>
            </w:tcBorders>
            <w:noWrap w:val="0"/>
            <w:vAlign w:val="center"/>
          </w:tcPr>
          <w:p w14:paraId="44965F9D">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kern w:val="0"/>
                <w:highlight w:val="none"/>
                <w14:textFill>
                  <w14:solidFill>
                    <w14:schemeClr w14:val="tx1"/>
                  </w14:solidFill>
                </w14:textFill>
              </w:rPr>
            </w:pPr>
          </w:p>
        </w:tc>
        <w:tc>
          <w:tcPr>
            <w:tcW w:w="2141" w:type="dxa"/>
            <w:tcBorders>
              <w:top w:val="single" w:color="auto" w:sz="4" w:space="0"/>
              <w:left w:val="single" w:color="auto" w:sz="4" w:space="0"/>
              <w:bottom w:val="single" w:color="auto" w:sz="4" w:space="0"/>
              <w:right w:val="single" w:color="auto" w:sz="4" w:space="0"/>
            </w:tcBorders>
            <w:noWrap w:val="0"/>
            <w:vAlign w:val="center"/>
          </w:tcPr>
          <w:p w14:paraId="7C0E33BA">
            <w:pPr>
              <w:pStyle w:val="27"/>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cs="宋体"/>
                <w:color w:val="000000" w:themeColor="text1"/>
                <w:kern w:val="0"/>
                <w:sz w:val="21"/>
                <w:szCs w:val="21"/>
                <w:highlight w:val="none"/>
                <w:lang w:val="en-US" w:eastAsia="zh-CN" w:bidi="ar-SA"/>
                <w14:textFill>
                  <w14:solidFill>
                    <w14:schemeClr w14:val="tx1"/>
                  </w14:solidFill>
                </w14:textFill>
              </w:rPr>
            </w:pPr>
            <w:r>
              <w:rPr>
                <w:rFonts w:hint="eastAsia" w:ascii="宋体" w:cs="Arial"/>
                <w:color w:val="000000" w:themeColor="text1"/>
                <w:kern w:val="0"/>
                <w:szCs w:val="21"/>
                <w:highlight w:val="none"/>
                <w:lang w:bidi="ar-SA"/>
                <w14:textFill>
                  <w14:solidFill>
                    <w14:schemeClr w14:val="tx1"/>
                  </w14:solidFill>
                </w14:textFill>
              </w:rPr>
              <w:t>项目经理无在建工程承诺书</w:t>
            </w:r>
          </w:p>
        </w:tc>
        <w:tc>
          <w:tcPr>
            <w:tcW w:w="4555" w:type="dxa"/>
            <w:tcBorders>
              <w:top w:val="single" w:color="auto" w:sz="4" w:space="0"/>
              <w:left w:val="single" w:color="auto" w:sz="4" w:space="0"/>
              <w:bottom w:val="single" w:color="auto" w:sz="4" w:space="0"/>
              <w:right w:val="single" w:color="auto" w:sz="4" w:space="0"/>
            </w:tcBorders>
            <w:noWrap w:val="0"/>
            <w:vAlign w:val="center"/>
          </w:tcPr>
          <w:p w14:paraId="711A1F2F">
            <w:pPr>
              <w:pStyle w:val="27"/>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w:t>
            </w:r>
            <w:r>
              <w:rPr>
                <w:rFonts w:hint="eastAsia" w:ascii="宋体"/>
                <w:b w:val="0"/>
                <w:bCs/>
                <w:color w:val="000000" w:themeColor="text1"/>
                <w:szCs w:val="21"/>
                <w:highlight w:val="none"/>
                <w:lang w:eastAsia="zh-CN"/>
                <w14:textFill>
                  <w14:solidFill>
                    <w14:schemeClr w14:val="tx1"/>
                  </w14:solidFill>
                </w14:textFill>
              </w:rPr>
              <w:t>本项目的特定资格要求</w:t>
            </w:r>
            <w:r>
              <w:rPr>
                <w:rFonts w:hint="eastAsia" w:ascii="宋体"/>
                <w:b/>
                <w:color w:val="000000" w:themeColor="text1"/>
                <w:highlight w:val="none"/>
                <w14:textFill>
                  <w14:solidFill>
                    <w14:schemeClr w14:val="tx1"/>
                  </w14:solidFill>
                </w14:textFill>
              </w:rPr>
              <w:t>（必须提供）</w:t>
            </w:r>
          </w:p>
        </w:tc>
      </w:tr>
      <w:tr w14:paraId="2932AF4E">
        <w:tblPrEx>
          <w:tblCellMar>
            <w:top w:w="0" w:type="dxa"/>
            <w:left w:w="108" w:type="dxa"/>
            <w:bottom w:w="0" w:type="dxa"/>
            <w:right w:w="108" w:type="dxa"/>
          </w:tblCellMar>
        </w:tblPrEx>
        <w:trPr>
          <w:gridAfter w:val="1"/>
          <w:wAfter w:w="85" w:type="dxa"/>
          <w:trHeight w:val="622" w:hRule="atLeast"/>
          <w:jc w:val="center"/>
        </w:trPr>
        <w:tc>
          <w:tcPr>
            <w:tcW w:w="944" w:type="dxa"/>
            <w:vMerge w:val="continue"/>
            <w:tcBorders>
              <w:left w:val="single" w:color="auto" w:sz="4" w:space="0"/>
              <w:right w:val="single" w:color="auto" w:sz="4" w:space="0"/>
            </w:tcBorders>
            <w:noWrap w:val="0"/>
            <w:vAlign w:val="center"/>
          </w:tcPr>
          <w:p w14:paraId="2C48B71F">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highlight w:val="none"/>
                <w14:textFill>
                  <w14:solidFill>
                    <w14:schemeClr w14:val="tx1"/>
                  </w14:solidFill>
                </w14:textFill>
              </w:rPr>
            </w:pPr>
          </w:p>
        </w:tc>
        <w:tc>
          <w:tcPr>
            <w:tcW w:w="1324" w:type="dxa"/>
            <w:vMerge w:val="continue"/>
            <w:tcBorders>
              <w:left w:val="single" w:color="auto" w:sz="4" w:space="0"/>
              <w:right w:val="single" w:color="auto" w:sz="4" w:space="0"/>
            </w:tcBorders>
            <w:noWrap w:val="0"/>
            <w:vAlign w:val="center"/>
          </w:tcPr>
          <w:p w14:paraId="19FEDDBB">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kern w:val="0"/>
                <w:highlight w:val="none"/>
                <w14:textFill>
                  <w14:solidFill>
                    <w14:schemeClr w14:val="tx1"/>
                  </w14:solidFill>
                </w14:textFill>
              </w:rPr>
            </w:pPr>
          </w:p>
        </w:tc>
        <w:tc>
          <w:tcPr>
            <w:tcW w:w="2141" w:type="dxa"/>
            <w:tcBorders>
              <w:top w:val="single" w:color="auto" w:sz="4" w:space="0"/>
              <w:left w:val="single" w:color="auto" w:sz="4" w:space="0"/>
              <w:bottom w:val="single" w:color="auto" w:sz="4" w:space="0"/>
              <w:right w:val="single" w:color="auto" w:sz="4" w:space="0"/>
            </w:tcBorders>
            <w:noWrap w:val="0"/>
            <w:vAlign w:val="center"/>
          </w:tcPr>
          <w:p w14:paraId="6685E699">
            <w:pPr>
              <w:pStyle w:val="27"/>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财务状况报告</w:t>
            </w:r>
          </w:p>
        </w:tc>
        <w:tc>
          <w:tcPr>
            <w:tcW w:w="4555" w:type="dxa"/>
            <w:tcBorders>
              <w:top w:val="single" w:color="auto" w:sz="4" w:space="0"/>
              <w:left w:val="single" w:color="auto" w:sz="4" w:space="0"/>
              <w:bottom w:val="single" w:color="auto" w:sz="4" w:space="0"/>
              <w:right w:val="single" w:color="auto" w:sz="4" w:space="0"/>
            </w:tcBorders>
            <w:noWrap w:val="0"/>
            <w:vAlign w:val="center"/>
          </w:tcPr>
          <w:p w14:paraId="6E99C45F">
            <w:pPr>
              <w:pStyle w:val="27"/>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按采购文件要求提供</w:t>
            </w:r>
            <w:r>
              <w:rPr>
                <w:rFonts w:hint="eastAsia" w:ascii="宋体"/>
                <w:b/>
                <w:color w:val="000000" w:themeColor="text1"/>
                <w:szCs w:val="21"/>
                <w:highlight w:val="none"/>
                <w14:textFill>
                  <w14:solidFill>
                    <w14:schemeClr w14:val="tx1"/>
                  </w14:solidFill>
                </w14:textFill>
              </w:rPr>
              <w:t>（必须提供）</w:t>
            </w:r>
          </w:p>
        </w:tc>
      </w:tr>
      <w:tr w14:paraId="74C77690">
        <w:tblPrEx>
          <w:tblCellMar>
            <w:top w:w="0" w:type="dxa"/>
            <w:left w:w="108" w:type="dxa"/>
            <w:bottom w:w="0" w:type="dxa"/>
            <w:right w:w="108" w:type="dxa"/>
          </w:tblCellMar>
        </w:tblPrEx>
        <w:trPr>
          <w:gridAfter w:val="1"/>
          <w:wAfter w:w="85" w:type="dxa"/>
          <w:trHeight w:val="497" w:hRule="atLeast"/>
          <w:jc w:val="center"/>
        </w:trPr>
        <w:tc>
          <w:tcPr>
            <w:tcW w:w="944" w:type="dxa"/>
            <w:vMerge w:val="continue"/>
            <w:tcBorders>
              <w:left w:val="single" w:color="auto" w:sz="4" w:space="0"/>
              <w:right w:val="single" w:color="auto" w:sz="4" w:space="0"/>
            </w:tcBorders>
            <w:noWrap w:val="0"/>
            <w:vAlign w:val="center"/>
          </w:tcPr>
          <w:p w14:paraId="504B709C">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highlight w:val="none"/>
                <w14:textFill>
                  <w14:solidFill>
                    <w14:schemeClr w14:val="tx1"/>
                  </w14:solidFill>
                </w14:textFill>
              </w:rPr>
            </w:pPr>
          </w:p>
        </w:tc>
        <w:tc>
          <w:tcPr>
            <w:tcW w:w="1324" w:type="dxa"/>
            <w:vMerge w:val="continue"/>
            <w:tcBorders>
              <w:left w:val="single" w:color="auto" w:sz="4" w:space="0"/>
              <w:right w:val="single" w:color="auto" w:sz="4" w:space="0"/>
            </w:tcBorders>
            <w:noWrap w:val="0"/>
            <w:vAlign w:val="center"/>
          </w:tcPr>
          <w:p w14:paraId="4AAC2A2D">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kern w:val="0"/>
                <w:highlight w:val="none"/>
                <w14:textFill>
                  <w14:solidFill>
                    <w14:schemeClr w14:val="tx1"/>
                  </w14:solidFill>
                </w14:textFill>
              </w:rPr>
            </w:pPr>
          </w:p>
        </w:tc>
        <w:tc>
          <w:tcPr>
            <w:tcW w:w="2141" w:type="dxa"/>
            <w:tcBorders>
              <w:top w:val="single" w:color="auto" w:sz="4" w:space="0"/>
              <w:left w:val="single" w:color="auto" w:sz="4" w:space="0"/>
              <w:bottom w:val="single" w:color="auto" w:sz="4" w:space="0"/>
              <w:right w:val="single" w:color="auto" w:sz="4" w:space="0"/>
            </w:tcBorders>
            <w:noWrap w:val="0"/>
            <w:vAlign w:val="center"/>
          </w:tcPr>
          <w:p w14:paraId="2DD6F4A9">
            <w:pPr>
              <w:pStyle w:val="27"/>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依法纳税证明材料</w:t>
            </w:r>
          </w:p>
        </w:tc>
        <w:tc>
          <w:tcPr>
            <w:tcW w:w="4555" w:type="dxa"/>
            <w:tcBorders>
              <w:top w:val="single" w:color="auto" w:sz="4" w:space="0"/>
              <w:left w:val="single" w:color="auto" w:sz="4" w:space="0"/>
              <w:bottom w:val="single" w:color="auto" w:sz="4" w:space="0"/>
              <w:right w:val="single" w:color="auto" w:sz="4" w:space="0"/>
            </w:tcBorders>
            <w:noWrap w:val="0"/>
            <w:vAlign w:val="center"/>
          </w:tcPr>
          <w:p w14:paraId="3318B5EF">
            <w:pPr>
              <w:pStyle w:val="27"/>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按采购文件要求提供</w:t>
            </w:r>
            <w:r>
              <w:rPr>
                <w:rFonts w:hint="eastAsia" w:ascii="宋体"/>
                <w:b/>
                <w:color w:val="000000" w:themeColor="text1"/>
                <w:szCs w:val="21"/>
                <w:highlight w:val="none"/>
                <w14:textFill>
                  <w14:solidFill>
                    <w14:schemeClr w14:val="tx1"/>
                  </w14:solidFill>
                </w14:textFill>
              </w:rPr>
              <w:t>（必须提供）</w:t>
            </w:r>
          </w:p>
        </w:tc>
      </w:tr>
      <w:tr w14:paraId="6E01401F">
        <w:tblPrEx>
          <w:tblCellMar>
            <w:top w:w="0" w:type="dxa"/>
            <w:left w:w="108" w:type="dxa"/>
            <w:bottom w:w="0" w:type="dxa"/>
            <w:right w:w="108" w:type="dxa"/>
          </w:tblCellMar>
        </w:tblPrEx>
        <w:trPr>
          <w:gridAfter w:val="1"/>
          <w:wAfter w:w="85" w:type="dxa"/>
          <w:trHeight w:val="560" w:hRule="atLeast"/>
          <w:jc w:val="center"/>
        </w:trPr>
        <w:tc>
          <w:tcPr>
            <w:tcW w:w="944" w:type="dxa"/>
            <w:vMerge w:val="continue"/>
            <w:tcBorders>
              <w:left w:val="single" w:color="auto" w:sz="4" w:space="0"/>
              <w:right w:val="single" w:color="auto" w:sz="4" w:space="0"/>
            </w:tcBorders>
            <w:noWrap w:val="0"/>
            <w:vAlign w:val="center"/>
          </w:tcPr>
          <w:p w14:paraId="001877EE">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highlight w:val="none"/>
                <w14:textFill>
                  <w14:solidFill>
                    <w14:schemeClr w14:val="tx1"/>
                  </w14:solidFill>
                </w14:textFill>
              </w:rPr>
            </w:pPr>
          </w:p>
        </w:tc>
        <w:tc>
          <w:tcPr>
            <w:tcW w:w="1324" w:type="dxa"/>
            <w:vMerge w:val="continue"/>
            <w:tcBorders>
              <w:left w:val="single" w:color="auto" w:sz="4" w:space="0"/>
              <w:right w:val="single" w:color="auto" w:sz="4" w:space="0"/>
            </w:tcBorders>
            <w:noWrap w:val="0"/>
            <w:vAlign w:val="center"/>
          </w:tcPr>
          <w:p w14:paraId="71AD791D">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kern w:val="0"/>
                <w:highlight w:val="none"/>
                <w14:textFill>
                  <w14:solidFill>
                    <w14:schemeClr w14:val="tx1"/>
                  </w14:solidFill>
                </w14:textFill>
              </w:rPr>
            </w:pPr>
          </w:p>
        </w:tc>
        <w:tc>
          <w:tcPr>
            <w:tcW w:w="2141" w:type="dxa"/>
            <w:tcBorders>
              <w:top w:val="single" w:color="auto" w:sz="4" w:space="0"/>
              <w:left w:val="single" w:color="auto" w:sz="4" w:space="0"/>
              <w:bottom w:val="single" w:color="auto" w:sz="4" w:space="0"/>
              <w:right w:val="single" w:color="auto" w:sz="4" w:space="0"/>
            </w:tcBorders>
            <w:noWrap w:val="0"/>
            <w:vAlign w:val="center"/>
          </w:tcPr>
          <w:p w14:paraId="7903B0E2">
            <w:pPr>
              <w:pStyle w:val="27"/>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无</w:t>
            </w:r>
            <w:r>
              <w:rPr>
                <w:rFonts w:hint="eastAsia" w:ascii="宋体" w:hAnsi="宋体" w:eastAsia="宋体" w:cs="宋体"/>
                <w:color w:val="000000" w:themeColor="text1"/>
                <w:szCs w:val="21"/>
                <w:highlight w:val="none"/>
                <w14:textFill>
                  <w14:solidFill>
                    <w14:schemeClr w14:val="tx1"/>
                  </w14:solidFill>
                </w14:textFill>
              </w:rPr>
              <w:t>重大违法记录的书面声明</w:t>
            </w:r>
          </w:p>
        </w:tc>
        <w:tc>
          <w:tcPr>
            <w:tcW w:w="4555" w:type="dxa"/>
            <w:tcBorders>
              <w:top w:val="single" w:color="auto" w:sz="4" w:space="0"/>
              <w:left w:val="single" w:color="auto" w:sz="4" w:space="0"/>
              <w:bottom w:val="single" w:color="auto" w:sz="4" w:space="0"/>
              <w:right w:val="single" w:color="auto" w:sz="4" w:space="0"/>
            </w:tcBorders>
            <w:noWrap w:val="0"/>
            <w:vAlign w:val="center"/>
          </w:tcPr>
          <w:p w14:paraId="69A5D838">
            <w:pPr>
              <w:pStyle w:val="27"/>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cs="宋体"/>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参加政府采购活动前3年内在经营活动中没有重大违法记录及有关信用信息、前期服务情况的书面声明</w:t>
            </w:r>
            <w:r>
              <w:rPr>
                <w:rFonts w:hint="eastAsia" w:ascii="宋体"/>
                <w:b/>
                <w:color w:val="000000" w:themeColor="text1"/>
                <w:szCs w:val="21"/>
                <w:highlight w:val="none"/>
                <w14:textFill>
                  <w14:solidFill>
                    <w14:schemeClr w14:val="tx1"/>
                  </w14:solidFill>
                </w14:textFill>
              </w:rPr>
              <w:t>（必须提供）</w:t>
            </w:r>
          </w:p>
        </w:tc>
      </w:tr>
      <w:tr w14:paraId="48AEF3F3">
        <w:tblPrEx>
          <w:tblCellMar>
            <w:top w:w="0" w:type="dxa"/>
            <w:left w:w="108" w:type="dxa"/>
            <w:bottom w:w="0" w:type="dxa"/>
            <w:right w:w="108" w:type="dxa"/>
          </w:tblCellMar>
        </w:tblPrEx>
        <w:trPr>
          <w:gridAfter w:val="1"/>
          <w:wAfter w:w="85" w:type="dxa"/>
          <w:trHeight w:val="610" w:hRule="atLeast"/>
          <w:jc w:val="center"/>
        </w:trPr>
        <w:tc>
          <w:tcPr>
            <w:tcW w:w="944" w:type="dxa"/>
            <w:vMerge w:val="continue"/>
            <w:tcBorders>
              <w:left w:val="single" w:color="auto" w:sz="4" w:space="0"/>
              <w:right w:val="single" w:color="auto" w:sz="4" w:space="0"/>
            </w:tcBorders>
            <w:noWrap w:val="0"/>
            <w:vAlign w:val="center"/>
          </w:tcPr>
          <w:p w14:paraId="7F952DAB">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highlight w:val="none"/>
                <w14:textFill>
                  <w14:solidFill>
                    <w14:schemeClr w14:val="tx1"/>
                  </w14:solidFill>
                </w14:textFill>
              </w:rPr>
            </w:pPr>
          </w:p>
        </w:tc>
        <w:tc>
          <w:tcPr>
            <w:tcW w:w="1324" w:type="dxa"/>
            <w:vMerge w:val="continue"/>
            <w:tcBorders>
              <w:left w:val="single" w:color="auto" w:sz="4" w:space="0"/>
              <w:right w:val="single" w:color="auto" w:sz="4" w:space="0"/>
            </w:tcBorders>
            <w:noWrap w:val="0"/>
            <w:vAlign w:val="center"/>
          </w:tcPr>
          <w:p w14:paraId="36F7375B">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kern w:val="0"/>
                <w:highlight w:val="none"/>
                <w14:textFill>
                  <w14:solidFill>
                    <w14:schemeClr w14:val="tx1"/>
                  </w14:solidFill>
                </w14:textFill>
              </w:rPr>
            </w:pPr>
          </w:p>
        </w:tc>
        <w:tc>
          <w:tcPr>
            <w:tcW w:w="2141" w:type="dxa"/>
            <w:tcBorders>
              <w:top w:val="single" w:color="auto" w:sz="4" w:space="0"/>
              <w:left w:val="single" w:color="auto" w:sz="4" w:space="0"/>
              <w:bottom w:val="single" w:color="auto" w:sz="4" w:space="0"/>
              <w:right w:val="single" w:color="auto" w:sz="4" w:space="0"/>
            </w:tcBorders>
            <w:noWrap w:val="0"/>
            <w:vAlign w:val="center"/>
          </w:tcPr>
          <w:p w14:paraId="78EA95BF">
            <w:pPr>
              <w:pStyle w:val="27"/>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中小企业相应有效的证明文件</w:t>
            </w:r>
          </w:p>
        </w:tc>
        <w:tc>
          <w:tcPr>
            <w:tcW w:w="4555" w:type="dxa"/>
            <w:tcBorders>
              <w:top w:val="single" w:color="auto" w:sz="4" w:space="0"/>
              <w:left w:val="single" w:color="auto" w:sz="4" w:space="0"/>
              <w:bottom w:val="single" w:color="auto" w:sz="4" w:space="0"/>
              <w:right w:val="single" w:color="auto" w:sz="4" w:space="0"/>
            </w:tcBorders>
            <w:noWrap w:val="0"/>
            <w:vAlign w:val="center"/>
          </w:tcPr>
          <w:p w14:paraId="13675673">
            <w:pPr>
              <w:pStyle w:val="27"/>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000000" w:themeColor="text1"/>
                <w:highlight w:val="none"/>
                <w:lang w:eastAsia="zh-CN"/>
                <w14:textFill>
                  <w14:solidFill>
                    <w14:schemeClr w14:val="tx1"/>
                  </w14:solidFill>
                </w14:textFill>
              </w:rPr>
            </w:pPr>
            <w:bookmarkStart w:id="1302" w:name="_GoBack"/>
            <w:r>
              <w:rPr>
                <w:rFonts w:hint="eastAsia" w:ascii="宋体"/>
                <w:b/>
                <w:color w:val="000000" w:themeColor="text1"/>
                <w:highlight w:val="none"/>
                <w:lang w:eastAsia="zh-CN"/>
                <w14:textFill>
                  <w14:solidFill>
                    <w14:schemeClr w14:val="tx1"/>
                  </w14:solidFill>
                </w14:textFill>
              </w:rPr>
              <w:t>本项目</w:t>
            </w:r>
            <w:r>
              <w:rPr>
                <w:rFonts w:hint="eastAsia" w:ascii="宋体"/>
                <w:b/>
                <w:color w:val="000000" w:themeColor="text1"/>
                <w:highlight w:val="none"/>
                <w14:textFill>
                  <w14:solidFill>
                    <w14:schemeClr w14:val="tx1"/>
                  </w14:solidFill>
                </w14:textFill>
              </w:rPr>
              <w:t>专门面向</w:t>
            </w:r>
            <w:r>
              <w:rPr>
                <w:rFonts w:hint="eastAsia" w:ascii="宋体"/>
                <w:b/>
                <w:color w:val="000000" w:themeColor="text1"/>
                <w:highlight w:val="none"/>
                <w:lang w:eastAsia="zh-CN"/>
                <w14:textFill>
                  <w14:solidFill>
                    <w14:schemeClr w14:val="tx1"/>
                  </w14:solidFill>
                </w14:textFill>
              </w:rPr>
              <w:t>中小</w:t>
            </w:r>
            <w:r>
              <w:rPr>
                <w:rFonts w:hint="eastAsia" w:ascii="宋体"/>
                <w:b/>
                <w:color w:val="000000" w:themeColor="text1"/>
                <w:highlight w:val="none"/>
                <w14:textFill>
                  <w14:solidFill>
                    <w14:schemeClr w14:val="tx1"/>
                  </w14:solidFill>
                </w14:textFill>
              </w:rPr>
              <w:t>企业采购的项目（供应商应为</w:t>
            </w:r>
            <w:r>
              <w:rPr>
                <w:rFonts w:hint="eastAsia" w:ascii="宋体"/>
                <w:b/>
                <w:color w:val="000000" w:themeColor="text1"/>
                <w:highlight w:val="none"/>
                <w:lang w:eastAsia="zh-CN"/>
                <w14:textFill>
                  <w14:solidFill>
                    <w14:schemeClr w14:val="tx1"/>
                  </w14:solidFill>
                </w14:textFill>
              </w:rPr>
              <w:t>中小</w:t>
            </w:r>
            <w:r>
              <w:rPr>
                <w:rFonts w:hint="eastAsia" w:ascii="宋体"/>
                <w:b/>
                <w:color w:val="000000" w:themeColor="text1"/>
                <w:highlight w:val="none"/>
                <w14:textFill>
                  <w14:solidFill>
                    <w14:schemeClr w14:val="tx1"/>
                  </w14:solidFill>
                </w14:textFill>
              </w:rPr>
              <w:t xml:space="preserve">企业、监狱企业、残疾人福利性单位) </w:t>
            </w:r>
            <w:r>
              <w:rPr>
                <w:rFonts w:hint="eastAsia"/>
                <w:b/>
                <w:color w:val="000000" w:themeColor="text1"/>
                <w:highlight w:val="none"/>
                <w14:textFill>
                  <w14:solidFill>
                    <w14:schemeClr w14:val="tx1"/>
                  </w14:solidFill>
                </w14:textFill>
              </w:rPr>
              <w:t>，</w:t>
            </w:r>
            <w:r>
              <w:rPr>
                <w:b/>
                <w:color w:val="000000" w:themeColor="text1"/>
                <w:highlight w:val="none"/>
                <w14:textFill>
                  <w14:solidFill>
                    <w14:schemeClr w14:val="tx1"/>
                  </w14:solidFill>
                </w14:textFill>
              </w:rPr>
              <w:t>不接受非上述企业参与</w:t>
            </w:r>
            <w:r>
              <w:rPr>
                <w:rFonts w:hint="eastAsia"/>
                <w:b/>
                <w:color w:val="000000" w:themeColor="text1"/>
                <w:highlight w:val="none"/>
                <w14:textFill>
                  <w14:solidFill>
                    <w14:schemeClr w14:val="tx1"/>
                  </w14:solidFill>
                </w14:textFill>
              </w:rPr>
              <w:t>磋商</w:t>
            </w:r>
            <w:r>
              <w:rPr>
                <w:rFonts w:hint="eastAsia" w:ascii="宋体"/>
                <w:b/>
                <w:color w:val="000000" w:themeColor="text1"/>
                <w:szCs w:val="21"/>
                <w:highlight w:val="none"/>
                <w14:textFill>
                  <w14:solidFill>
                    <w14:schemeClr w14:val="tx1"/>
                  </w14:solidFill>
                </w14:textFill>
              </w:rPr>
              <w:t>（必须提供）</w:t>
            </w:r>
            <w:bookmarkEnd w:id="1302"/>
          </w:p>
        </w:tc>
      </w:tr>
      <w:tr w14:paraId="649156EA">
        <w:tblPrEx>
          <w:tblCellMar>
            <w:top w:w="0" w:type="dxa"/>
            <w:left w:w="108" w:type="dxa"/>
            <w:bottom w:w="0" w:type="dxa"/>
            <w:right w:w="108" w:type="dxa"/>
          </w:tblCellMar>
        </w:tblPrEx>
        <w:trPr>
          <w:gridAfter w:val="1"/>
          <w:wAfter w:w="85" w:type="dxa"/>
          <w:trHeight w:val="487" w:hRule="atLeast"/>
          <w:jc w:val="center"/>
        </w:trPr>
        <w:tc>
          <w:tcPr>
            <w:tcW w:w="944" w:type="dxa"/>
            <w:vMerge w:val="restart"/>
            <w:tcBorders>
              <w:top w:val="single" w:color="auto" w:sz="4" w:space="0"/>
              <w:left w:val="single" w:color="000000" w:sz="4" w:space="0"/>
              <w:bottom w:val="single" w:color="auto" w:sz="4" w:space="0"/>
              <w:right w:val="single" w:color="000000" w:sz="4" w:space="0"/>
            </w:tcBorders>
            <w:noWrap w:val="0"/>
            <w:vAlign w:val="center"/>
          </w:tcPr>
          <w:p w14:paraId="6ABE607B">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s="宋体"/>
                <w:b/>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1.2</w:t>
            </w:r>
          </w:p>
        </w:tc>
        <w:tc>
          <w:tcPr>
            <w:tcW w:w="1324" w:type="dxa"/>
            <w:vMerge w:val="restart"/>
            <w:tcBorders>
              <w:top w:val="single" w:color="auto" w:sz="4" w:space="0"/>
              <w:left w:val="single" w:color="000000" w:sz="4" w:space="0"/>
              <w:bottom w:val="single" w:color="auto" w:sz="4" w:space="0"/>
              <w:right w:val="single" w:color="000000" w:sz="4" w:space="0"/>
            </w:tcBorders>
            <w:noWrap w:val="0"/>
            <w:vAlign w:val="center"/>
          </w:tcPr>
          <w:p w14:paraId="3B16B83C">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符合性评审</w:t>
            </w:r>
          </w:p>
        </w:tc>
        <w:tc>
          <w:tcPr>
            <w:tcW w:w="2141" w:type="dxa"/>
            <w:tcBorders>
              <w:top w:val="single" w:color="auto" w:sz="4" w:space="0"/>
              <w:left w:val="single" w:color="000000" w:sz="4" w:space="0"/>
              <w:bottom w:val="single" w:color="000000" w:sz="4" w:space="0"/>
              <w:right w:val="single" w:color="000000" w:sz="4" w:space="0"/>
            </w:tcBorders>
            <w:noWrap w:val="0"/>
            <w:vAlign w:val="center"/>
          </w:tcPr>
          <w:p w14:paraId="33670DC4">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评审因素</w:t>
            </w:r>
          </w:p>
        </w:tc>
        <w:tc>
          <w:tcPr>
            <w:tcW w:w="4555" w:type="dxa"/>
            <w:tcBorders>
              <w:top w:val="single" w:color="auto" w:sz="4" w:space="0"/>
              <w:left w:val="single" w:color="000000" w:sz="4" w:space="0"/>
              <w:bottom w:val="single" w:color="000000" w:sz="4" w:space="0"/>
              <w:right w:val="single" w:color="000000" w:sz="4" w:space="0"/>
            </w:tcBorders>
            <w:noWrap w:val="0"/>
            <w:vAlign w:val="center"/>
          </w:tcPr>
          <w:p w14:paraId="1B718985">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评审标准（合格标准：缺少任何一项或有任何一项不合格者，其</w:t>
            </w:r>
            <w:r>
              <w:rPr>
                <w:rFonts w:hint="eastAsia" w:ascii="宋体" w:hAnsi="宋体" w:cs="宋体"/>
                <w:b/>
                <w:bCs/>
                <w:color w:val="000000" w:themeColor="text1"/>
                <w:highlight w:val="none"/>
                <w:lang w:eastAsia="zh-CN"/>
                <w14:textFill>
                  <w14:solidFill>
                    <w14:schemeClr w14:val="tx1"/>
                  </w14:solidFill>
                </w14:textFill>
              </w:rPr>
              <w:t>符合性评审</w:t>
            </w:r>
            <w:r>
              <w:rPr>
                <w:rFonts w:hint="eastAsia" w:ascii="宋体" w:hAnsi="宋体" w:cs="宋体"/>
                <w:b/>
                <w:bCs/>
                <w:color w:val="000000" w:themeColor="text1"/>
                <w:highlight w:val="none"/>
                <w14:textFill>
                  <w14:solidFill>
                    <w14:schemeClr w14:val="tx1"/>
                  </w14:solidFill>
                </w14:textFill>
              </w:rPr>
              <w:t>视为不合格）</w:t>
            </w:r>
          </w:p>
        </w:tc>
      </w:tr>
      <w:tr w14:paraId="65E13F52">
        <w:tblPrEx>
          <w:tblCellMar>
            <w:top w:w="0" w:type="dxa"/>
            <w:left w:w="108" w:type="dxa"/>
            <w:bottom w:w="0" w:type="dxa"/>
            <w:right w:w="108" w:type="dxa"/>
          </w:tblCellMar>
        </w:tblPrEx>
        <w:trPr>
          <w:gridAfter w:val="1"/>
          <w:wAfter w:w="85" w:type="dxa"/>
          <w:trHeight w:val="515" w:hRule="atLeast"/>
          <w:jc w:val="center"/>
        </w:trPr>
        <w:tc>
          <w:tcPr>
            <w:tcW w:w="944" w:type="dxa"/>
            <w:vMerge w:val="continue"/>
            <w:tcBorders>
              <w:top w:val="single" w:color="auto" w:sz="4" w:space="0"/>
              <w:left w:val="single" w:color="000000" w:sz="4" w:space="0"/>
              <w:bottom w:val="single" w:color="auto" w:sz="4" w:space="0"/>
              <w:right w:val="single" w:color="000000" w:sz="4" w:space="0"/>
            </w:tcBorders>
            <w:noWrap w:val="0"/>
            <w:vAlign w:val="center"/>
          </w:tcPr>
          <w:p w14:paraId="4DD6E601">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s="宋体"/>
                <w:color w:val="000000" w:themeColor="text1"/>
                <w:highlight w:val="none"/>
                <w14:textFill>
                  <w14:solidFill>
                    <w14:schemeClr w14:val="tx1"/>
                  </w14:solidFill>
                </w14:textFill>
              </w:rPr>
            </w:pPr>
          </w:p>
        </w:tc>
        <w:tc>
          <w:tcPr>
            <w:tcW w:w="1324" w:type="dxa"/>
            <w:vMerge w:val="continue"/>
            <w:tcBorders>
              <w:top w:val="single" w:color="auto" w:sz="4" w:space="0"/>
              <w:left w:val="single" w:color="000000" w:sz="4" w:space="0"/>
              <w:bottom w:val="single" w:color="auto" w:sz="4" w:space="0"/>
              <w:right w:val="single" w:color="000000" w:sz="4" w:space="0"/>
            </w:tcBorders>
            <w:noWrap w:val="0"/>
            <w:vAlign w:val="center"/>
          </w:tcPr>
          <w:p w14:paraId="146B8DED">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s="宋体"/>
                <w:color w:val="000000" w:themeColor="text1"/>
                <w:highlight w:val="none"/>
                <w14:textFill>
                  <w14:solidFill>
                    <w14:schemeClr w14:val="tx1"/>
                  </w14:solidFill>
                </w14:textFill>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750080EC">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cs="宋体"/>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响应函及响应函附录</w:t>
            </w:r>
          </w:p>
        </w:tc>
        <w:tc>
          <w:tcPr>
            <w:tcW w:w="4555" w:type="dxa"/>
            <w:tcBorders>
              <w:top w:val="single" w:color="000000" w:sz="4" w:space="0"/>
              <w:left w:val="single" w:color="000000" w:sz="4" w:space="0"/>
              <w:bottom w:val="single" w:color="000000" w:sz="4" w:space="0"/>
              <w:right w:val="single" w:color="000000" w:sz="4" w:space="0"/>
            </w:tcBorders>
            <w:noWrap w:val="0"/>
            <w:vAlign w:val="center"/>
          </w:tcPr>
          <w:p w14:paraId="6FA99950">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kern w:val="0"/>
                <w:highlight w:val="none"/>
                <w:lang w:eastAsia="zh-CN"/>
                <w14:textFill>
                  <w14:solidFill>
                    <w14:schemeClr w14:val="tx1"/>
                  </w14:solidFill>
                </w14:textFill>
              </w:rPr>
              <w:t>必须提供</w:t>
            </w:r>
          </w:p>
        </w:tc>
      </w:tr>
      <w:tr w14:paraId="4F235916">
        <w:tblPrEx>
          <w:tblCellMar>
            <w:top w:w="0" w:type="dxa"/>
            <w:left w:w="108" w:type="dxa"/>
            <w:bottom w:w="0" w:type="dxa"/>
            <w:right w:w="108" w:type="dxa"/>
          </w:tblCellMar>
        </w:tblPrEx>
        <w:trPr>
          <w:gridAfter w:val="1"/>
          <w:wAfter w:w="85" w:type="dxa"/>
          <w:trHeight w:val="525" w:hRule="atLeast"/>
          <w:jc w:val="center"/>
        </w:trPr>
        <w:tc>
          <w:tcPr>
            <w:tcW w:w="944" w:type="dxa"/>
            <w:vMerge w:val="continue"/>
            <w:tcBorders>
              <w:top w:val="single" w:color="auto" w:sz="4" w:space="0"/>
              <w:left w:val="single" w:color="000000" w:sz="4" w:space="0"/>
              <w:bottom w:val="single" w:color="auto" w:sz="4" w:space="0"/>
              <w:right w:val="single" w:color="000000" w:sz="4" w:space="0"/>
            </w:tcBorders>
            <w:noWrap w:val="0"/>
            <w:vAlign w:val="center"/>
          </w:tcPr>
          <w:p w14:paraId="0D688DB3">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highlight w:val="none"/>
                <w14:textFill>
                  <w14:solidFill>
                    <w14:schemeClr w14:val="tx1"/>
                  </w14:solidFill>
                </w14:textFill>
              </w:rPr>
            </w:pPr>
          </w:p>
        </w:tc>
        <w:tc>
          <w:tcPr>
            <w:tcW w:w="1324" w:type="dxa"/>
            <w:vMerge w:val="continue"/>
            <w:tcBorders>
              <w:top w:val="single" w:color="auto" w:sz="4" w:space="0"/>
              <w:left w:val="single" w:color="000000" w:sz="4" w:space="0"/>
              <w:bottom w:val="single" w:color="auto" w:sz="4" w:space="0"/>
              <w:right w:val="single" w:color="000000" w:sz="4" w:space="0"/>
            </w:tcBorders>
            <w:noWrap w:val="0"/>
            <w:vAlign w:val="center"/>
          </w:tcPr>
          <w:p w14:paraId="6707B022">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highlight w:val="none"/>
                <w14:textFill>
                  <w14:solidFill>
                    <w14:schemeClr w14:val="tx1"/>
                  </w14:solidFill>
                </w14:textFill>
              </w:rPr>
            </w:pPr>
          </w:p>
        </w:tc>
        <w:tc>
          <w:tcPr>
            <w:tcW w:w="2141" w:type="dxa"/>
            <w:tcBorders>
              <w:top w:val="single" w:color="000000" w:sz="4" w:space="0"/>
              <w:left w:val="single" w:color="000000" w:sz="4" w:space="0"/>
              <w:bottom w:val="single" w:color="auto" w:sz="4" w:space="0"/>
              <w:right w:val="single" w:color="000000" w:sz="4" w:space="0"/>
            </w:tcBorders>
            <w:noWrap w:val="0"/>
            <w:vAlign w:val="center"/>
          </w:tcPr>
          <w:p w14:paraId="3321F17D">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已标价工程量清单</w:t>
            </w:r>
          </w:p>
        </w:tc>
        <w:tc>
          <w:tcPr>
            <w:tcW w:w="4555" w:type="dxa"/>
            <w:tcBorders>
              <w:top w:val="single" w:color="000000" w:sz="4" w:space="0"/>
              <w:left w:val="single" w:color="000000" w:sz="4" w:space="0"/>
              <w:bottom w:val="single" w:color="000000" w:sz="4" w:space="0"/>
              <w:right w:val="single" w:color="000000" w:sz="4" w:space="0"/>
            </w:tcBorders>
            <w:noWrap w:val="0"/>
            <w:vAlign w:val="center"/>
          </w:tcPr>
          <w:p w14:paraId="677CAE17">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highlight w:val="none"/>
                <w:lang w:eastAsia="zh-CN"/>
                <w14:textFill>
                  <w14:solidFill>
                    <w14:schemeClr w14:val="tx1"/>
                  </w14:solidFill>
                </w14:textFill>
              </w:rPr>
              <w:t>必须提供</w:t>
            </w:r>
          </w:p>
        </w:tc>
      </w:tr>
      <w:tr w14:paraId="486214DC">
        <w:tblPrEx>
          <w:tblCellMar>
            <w:top w:w="0" w:type="dxa"/>
            <w:left w:w="108" w:type="dxa"/>
            <w:bottom w:w="0" w:type="dxa"/>
            <w:right w:w="108" w:type="dxa"/>
          </w:tblCellMar>
        </w:tblPrEx>
        <w:trPr>
          <w:gridAfter w:val="1"/>
          <w:wAfter w:w="85" w:type="dxa"/>
          <w:trHeight w:val="491" w:hRule="atLeast"/>
          <w:jc w:val="center"/>
        </w:trPr>
        <w:tc>
          <w:tcPr>
            <w:tcW w:w="944" w:type="dxa"/>
            <w:vMerge w:val="continue"/>
            <w:tcBorders>
              <w:top w:val="single" w:color="auto" w:sz="4" w:space="0"/>
              <w:left w:val="single" w:color="000000" w:sz="4" w:space="0"/>
              <w:bottom w:val="single" w:color="auto" w:sz="4" w:space="0"/>
              <w:right w:val="single" w:color="000000" w:sz="4" w:space="0"/>
            </w:tcBorders>
            <w:noWrap w:val="0"/>
            <w:vAlign w:val="center"/>
          </w:tcPr>
          <w:p w14:paraId="44F558C1">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highlight w:val="none"/>
                <w14:textFill>
                  <w14:solidFill>
                    <w14:schemeClr w14:val="tx1"/>
                  </w14:solidFill>
                </w14:textFill>
              </w:rPr>
            </w:pPr>
          </w:p>
        </w:tc>
        <w:tc>
          <w:tcPr>
            <w:tcW w:w="1324" w:type="dxa"/>
            <w:vMerge w:val="continue"/>
            <w:tcBorders>
              <w:top w:val="single" w:color="auto" w:sz="4" w:space="0"/>
              <w:left w:val="single" w:color="000000" w:sz="4" w:space="0"/>
              <w:bottom w:val="single" w:color="auto" w:sz="4" w:space="0"/>
              <w:right w:val="single" w:color="000000" w:sz="4" w:space="0"/>
            </w:tcBorders>
            <w:noWrap w:val="0"/>
            <w:vAlign w:val="center"/>
          </w:tcPr>
          <w:p w14:paraId="762A438F">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highlight w:val="none"/>
                <w14:textFill>
                  <w14:solidFill>
                    <w14:schemeClr w14:val="tx1"/>
                  </w14:solidFill>
                </w14:textFill>
              </w:rPr>
            </w:pPr>
          </w:p>
        </w:tc>
        <w:tc>
          <w:tcPr>
            <w:tcW w:w="2141" w:type="dxa"/>
            <w:tcBorders>
              <w:top w:val="single" w:color="auto" w:sz="4" w:space="0"/>
              <w:left w:val="single" w:color="000000" w:sz="4" w:space="0"/>
              <w:bottom w:val="single" w:color="auto" w:sz="4" w:space="0"/>
              <w:right w:val="single" w:color="000000" w:sz="4" w:space="0"/>
            </w:tcBorders>
            <w:noWrap w:val="0"/>
            <w:vAlign w:val="center"/>
          </w:tcPr>
          <w:p w14:paraId="11357063">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color w:val="000000" w:themeColor="text1"/>
                <w:szCs w:val="21"/>
                <w:highlight w:val="none"/>
                <w14:textFill>
                  <w14:solidFill>
                    <w14:schemeClr w14:val="tx1"/>
                  </w14:solidFill>
                </w14:textFill>
              </w:rPr>
              <w:t>项目管理机构组成表</w:t>
            </w:r>
          </w:p>
        </w:tc>
        <w:tc>
          <w:tcPr>
            <w:tcW w:w="4555" w:type="dxa"/>
            <w:tcBorders>
              <w:top w:val="single" w:color="000000" w:sz="4" w:space="0"/>
              <w:left w:val="single" w:color="000000" w:sz="4" w:space="0"/>
              <w:bottom w:val="single" w:color="auto" w:sz="4" w:space="0"/>
              <w:right w:val="single" w:color="000000" w:sz="4" w:space="0"/>
            </w:tcBorders>
            <w:noWrap w:val="0"/>
            <w:vAlign w:val="center"/>
          </w:tcPr>
          <w:p w14:paraId="2BEB2F24">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kern w:val="0"/>
                <w:highlight w:val="none"/>
                <w:lang w:eastAsia="zh-CN"/>
                <w14:textFill>
                  <w14:solidFill>
                    <w14:schemeClr w14:val="tx1"/>
                  </w14:solidFill>
                </w14:textFill>
              </w:rPr>
              <w:t>符合采购文件要求</w:t>
            </w:r>
          </w:p>
        </w:tc>
      </w:tr>
      <w:tr w14:paraId="355B2D10">
        <w:tblPrEx>
          <w:tblCellMar>
            <w:top w:w="0" w:type="dxa"/>
            <w:left w:w="108" w:type="dxa"/>
            <w:bottom w:w="0" w:type="dxa"/>
            <w:right w:w="108" w:type="dxa"/>
          </w:tblCellMar>
        </w:tblPrEx>
        <w:trPr>
          <w:gridAfter w:val="1"/>
          <w:wAfter w:w="85" w:type="dxa"/>
          <w:trHeight w:val="470" w:hRule="atLeast"/>
          <w:jc w:val="center"/>
        </w:trPr>
        <w:tc>
          <w:tcPr>
            <w:tcW w:w="944" w:type="dxa"/>
            <w:vMerge w:val="continue"/>
            <w:tcBorders>
              <w:top w:val="single" w:color="auto" w:sz="4" w:space="0"/>
              <w:left w:val="single" w:color="000000" w:sz="4" w:space="0"/>
              <w:bottom w:val="single" w:color="auto" w:sz="4" w:space="0"/>
              <w:right w:val="single" w:color="000000" w:sz="4" w:space="0"/>
            </w:tcBorders>
            <w:noWrap w:val="0"/>
            <w:vAlign w:val="center"/>
          </w:tcPr>
          <w:p w14:paraId="48D292A4">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highlight w:val="none"/>
                <w14:textFill>
                  <w14:solidFill>
                    <w14:schemeClr w14:val="tx1"/>
                  </w14:solidFill>
                </w14:textFill>
              </w:rPr>
            </w:pPr>
          </w:p>
        </w:tc>
        <w:tc>
          <w:tcPr>
            <w:tcW w:w="1324" w:type="dxa"/>
            <w:vMerge w:val="continue"/>
            <w:tcBorders>
              <w:top w:val="single" w:color="auto" w:sz="4" w:space="0"/>
              <w:left w:val="single" w:color="000000" w:sz="4" w:space="0"/>
              <w:bottom w:val="single" w:color="auto" w:sz="4" w:space="0"/>
              <w:right w:val="single" w:color="000000" w:sz="4" w:space="0"/>
            </w:tcBorders>
            <w:noWrap w:val="0"/>
            <w:vAlign w:val="center"/>
          </w:tcPr>
          <w:p w14:paraId="284D3518">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highlight w:val="none"/>
                <w14:textFill>
                  <w14:solidFill>
                    <w14:schemeClr w14:val="tx1"/>
                  </w14:solidFill>
                </w14:textFill>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526E74F8">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color w:val="000000" w:themeColor="text1"/>
                <w:szCs w:val="21"/>
                <w:highlight w:val="none"/>
                <w14:textFill>
                  <w14:solidFill>
                    <w14:schemeClr w14:val="tx1"/>
                  </w14:solidFill>
                </w14:textFill>
              </w:rPr>
              <w:t>施工组织设计</w:t>
            </w:r>
          </w:p>
        </w:tc>
        <w:tc>
          <w:tcPr>
            <w:tcW w:w="4555" w:type="dxa"/>
            <w:tcBorders>
              <w:top w:val="single" w:color="000000" w:sz="4" w:space="0"/>
              <w:left w:val="single" w:color="000000" w:sz="4" w:space="0"/>
              <w:bottom w:val="single" w:color="000000" w:sz="4" w:space="0"/>
              <w:right w:val="single" w:color="auto" w:sz="4" w:space="0"/>
            </w:tcBorders>
            <w:noWrap w:val="0"/>
            <w:vAlign w:val="center"/>
          </w:tcPr>
          <w:p w14:paraId="7B15A663">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kern w:val="0"/>
                <w:highlight w:val="none"/>
                <w:lang w:eastAsia="zh-CN"/>
                <w14:textFill>
                  <w14:solidFill>
                    <w14:schemeClr w14:val="tx1"/>
                  </w14:solidFill>
                </w14:textFill>
              </w:rPr>
              <w:t>必须提供</w:t>
            </w:r>
          </w:p>
        </w:tc>
      </w:tr>
      <w:tr w14:paraId="79BD514B">
        <w:tblPrEx>
          <w:tblCellMar>
            <w:top w:w="0" w:type="dxa"/>
            <w:left w:w="108" w:type="dxa"/>
            <w:bottom w:w="0" w:type="dxa"/>
            <w:right w:w="108" w:type="dxa"/>
          </w:tblCellMar>
        </w:tblPrEx>
        <w:trPr>
          <w:gridAfter w:val="1"/>
          <w:wAfter w:w="85" w:type="dxa"/>
          <w:trHeight w:val="523" w:hRule="atLeast"/>
          <w:jc w:val="center"/>
        </w:trPr>
        <w:tc>
          <w:tcPr>
            <w:tcW w:w="944" w:type="dxa"/>
            <w:vMerge w:val="continue"/>
            <w:tcBorders>
              <w:top w:val="single" w:color="auto" w:sz="4" w:space="0"/>
              <w:left w:val="single" w:color="000000" w:sz="4" w:space="0"/>
              <w:bottom w:val="single" w:color="auto" w:sz="4" w:space="0"/>
              <w:right w:val="single" w:color="000000" w:sz="4" w:space="0"/>
            </w:tcBorders>
            <w:noWrap w:val="0"/>
            <w:vAlign w:val="center"/>
          </w:tcPr>
          <w:p w14:paraId="1BB0E813">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highlight w:val="none"/>
                <w14:textFill>
                  <w14:solidFill>
                    <w14:schemeClr w14:val="tx1"/>
                  </w14:solidFill>
                </w14:textFill>
              </w:rPr>
            </w:pPr>
          </w:p>
        </w:tc>
        <w:tc>
          <w:tcPr>
            <w:tcW w:w="1324" w:type="dxa"/>
            <w:vMerge w:val="continue"/>
            <w:tcBorders>
              <w:top w:val="single" w:color="auto" w:sz="4" w:space="0"/>
              <w:left w:val="single" w:color="000000" w:sz="4" w:space="0"/>
              <w:bottom w:val="single" w:color="auto" w:sz="4" w:space="0"/>
              <w:right w:val="single" w:color="000000" w:sz="4" w:space="0"/>
            </w:tcBorders>
            <w:noWrap w:val="0"/>
            <w:vAlign w:val="center"/>
          </w:tcPr>
          <w:p w14:paraId="59A2B023">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highlight w:val="none"/>
                <w14:textFill>
                  <w14:solidFill>
                    <w14:schemeClr w14:val="tx1"/>
                  </w14:solidFill>
                </w14:textFill>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36FB41AD">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color w:val="000000" w:themeColor="text1"/>
                <w:szCs w:val="21"/>
                <w:highlight w:val="none"/>
                <w14:textFill>
                  <w14:solidFill>
                    <w14:schemeClr w14:val="tx1"/>
                  </w14:solidFill>
                </w14:textFill>
              </w:rPr>
              <w:t>建设工程项目管理承诺书</w:t>
            </w:r>
          </w:p>
        </w:tc>
        <w:tc>
          <w:tcPr>
            <w:tcW w:w="4555" w:type="dxa"/>
            <w:tcBorders>
              <w:top w:val="single" w:color="000000" w:sz="4" w:space="0"/>
              <w:left w:val="single" w:color="000000" w:sz="4" w:space="0"/>
              <w:bottom w:val="single" w:color="000000" w:sz="4" w:space="0"/>
              <w:right w:val="single" w:color="auto" w:sz="4" w:space="0"/>
            </w:tcBorders>
            <w:noWrap w:val="0"/>
            <w:vAlign w:val="center"/>
          </w:tcPr>
          <w:p w14:paraId="2BB926C3">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highlight w:val="none"/>
                <w:lang w:eastAsia="zh-CN"/>
                <w14:textFill>
                  <w14:solidFill>
                    <w14:schemeClr w14:val="tx1"/>
                  </w14:solidFill>
                </w14:textFill>
              </w:rPr>
              <w:t>必须提供</w:t>
            </w:r>
          </w:p>
        </w:tc>
      </w:tr>
      <w:tr w14:paraId="4CE11867">
        <w:tblPrEx>
          <w:tblCellMar>
            <w:top w:w="0" w:type="dxa"/>
            <w:left w:w="108" w:type="dxa"/>
            <w:bottom w:w="0" w:type="dxa"/>
            <w:right w:w="108" w:type="dxa"/>
          </w:tblCellMar>
        </w:tblPrEx>
        <w:trPr>
          <w:gridAfter w:val="1"/>
          <w:wAfter w:w="85" w:type="dxa"/>
          <w:trHeight w:val="577" w:hRule="atLeast"/>
          <w:jc w:val="center"/>
        </w:trPr>
        <w:tc>
          <w:tcPr>
            <w:tcW w:w="944" w:type="dxa"/>
            <w:vMerge w:val="continue"/>
            <w:tcBorders>
              <w:top w:val="single" w:color="auto" w:sz="4" w:space="0"/>
              <w:left w:val="single" w:color="000000" w:sz="4" w:space="0"/>
              <w:bottom w:val="single" w:color="auto" w:sz="4" w:space="0"/>
              <w:right w:val="single" w:color="000000" w:sz="4" w:space="0"/>
            </w:tcBorders>
            <w:noWrap w:val="0"/>
            <w:vAlign w:val="center"/>
          </w:tcPr>
          <w:p w14:paraId="60ABB959">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highlight w:val="none"/>
                <w14:textFill>
                  <w14:solidFill>
                    <w14:schemeClr w14:val="tx1"/>
                  </w14:solidFill>
                </w14:textFill>
              </w:rPr>
            </w:pPr>
          </w:p>
        </w:tc>
        <w:tc>
          <w:tcPr>
            <w:tcW w:w="1324" w:type="dxa"/>
            <w:vMerge w:val="continue"/>
            <w:tcBorders>
              <w:top w:val="single" w:color="auto" w:sz="4" w:space="0"/>
              <w:left w:val="single" w:color="000000" w:sz="4" w:space="0"/>
              <w:bottom w:val="single" w:color="auto" w:sz="4" w:space="0"/>
              <w:right w:val="single" w:color="000000" w:sz="4" w:space="0"/>
            </w:tcBorders>
            <w:noWrap w:val="0"/>
            <w:vAlign w:val="center"/>
          </w:tcPr>
          <w:p w14:paraId="702D6CC6">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000000" w:themeColor="text1"/>
                <w:highlight w:val="none"/>
                <w14:textFill>
                  <w14:solidFill>
                    <w14:schemeClr w14:val="tx1"/>
                  </w14:solidFill>
                </w14:textFill>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797B95CE">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城乡清洁</w:t>
            </w:r>
            <w:r>
              <w:rPr>
                <w:rFonts w:hint="eastAsia" w:ascii="宋体"/>
                <w:color w:val="000000" w:themeColor="text1"/>
                <w:szCs w:val="21"/>
                <w:highlight w:val="none"/>
                <w14:textFill>
                  <w14:solidFill>
                    <w14:schemeClr w14:val="tx1"/>
                  </w14:solidFill>
                </w14:textFill>
              </w:rPr>
              <w:t>工程渣土清运承诺书</w:t>
            </w:r>
          </w:p>
        </w:tc>
        <w:tc>
          <w:tcPr>
            <w:tcW w:w="4555" w:type="dxa"/>
            <w:tcBorders>
              <w:top w:val="single" w:color="000000" w:sz="4" w:space="0"/>
              <w:left w:val="single" w:color="000000" w:sz="4" w:space="0"/>
              <w:bottom w:val="single" w:color="000000" w:sz="4" w:space="0"/>
              <w:right w:val="single" w:color="auto" w:sz="4" w:space="0"/>
            </w:tcBorders>
            <w:noWrap w:val="0"/>
            <w:vAlign w:val="center"/>
          </w:tcPr>
          <w:p w14:paraId="17826B39">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kern w:val="0"/>
                <w:highlight w:val="none"/>
                <w:lang w:eastAsia="zh-CN"/>
                <w14:textFill>
                  <w14:solidFill>
                    <w14:schemeClr w14:val="tx1"/>
                  </w14:solidFill>
                </w14:textFill>
              </w:rPr>
              <w:t>必须提供</w:t>
            </w:r>
          </w:p>
        </w:tc>
      </w:tr>
      <w:tr w14:paraId="72638C2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944" w:type="dxa"/>
            <w:tcBorders>
              <w:top w:val="outset" w:color="auto" w:sz="6" w:space="0"/>
              <w:left w:val="outset" w:color="auto" w:sz="6" w:space="0"/>
              <w:bottom w:val="outset" w:color="auto" w:sz="6" w:space="0"/>
              <w:right w:val="outset" w:color="auto" w:sz="6" w:space="0"/>
            </w:tcBorders>
            <w:noWrap w:val="0"/>
            <w:vAlign w:val="center"/>
          </w:tcPr>
          <w:p w14:paraId="19484351">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cs="宋体"/>
                <w:color w:val="000000" w:themeColor="text1"/>
                <w:highlight w:val="none"/>
                <w:lang w:bidi="ar-SA"/>
                <w14:textFill>
                  <w14:solidFill>
                    <w14:schemeClr w14:val="tx1"/>
                  </w14:solidFill>
                </w14:textFill>
              </w:rPr>
            </w:pPr>
            <w:r>
              <w:rPr>
                <w:color w:val="000000" w:themeColor="text1"/>
                <w:szCs w:val="21"/>
                <w:highlight w:val="none"/>
                <w14:textFill>
                  <w14:solidFill>
                    <w14:schemeClr w14:val="tx1"/>
                  </w14:solidFill>
                </w14:textFill>
              </w:rPr>
              <w:t>条款号</w:t>
            </w:r>
          </w:p>
        </w:tc>
        <w:tc>
          <w:tcPr>
            <w:tcW w:w="1324" w:type="dxa"/>
            <w:tcBorders>
              <w:top w:val="outset" w:color="auto" w:sz="6" w:space="0"/>
              <w:left w:val="outset" w:color="auto" w:sz="6" w:space="0"/>
              <w:bottom w:val="outset" w:color="auto" w:sz="6" w:space="0"/>
              <w:right w:val="outset" w:color="auto" w:sz="6" w:space="0"/>
            </w:tcBorders>
            <w:noWrap w:val="0"/>
            <w:vAlign w:val="center"/>
          </w:tcPr>
          <w:p w14:paraId="519A6AA3">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分值构成</w:t>
            </w:r>
          </w:p>
        </w:tc>
        <w:tc>
          <w:tcPr>
            <w:tcW w:w="2141" w:type="dxa"/>
            <w:tcBorders>
              <w:top w:val="outset" w:color="auto" w:sz="6" w:space="0"/>
              <w:left w:val="outset" w:color="auto" w:sz="6" w:space="0"/>
              <w:bottom w:val="outset" w:color="auto" w:sz="6" w:space="0"/>
              <w:right w:val="outset" w:color="auto" w:sz="6" w:space="0"/>
            </w:tcBorders>
            <w:noWrap w:val="0"/>
            <w:vAlign w:val="center"/>
          </w:tcPr>
          <w:p w14:paraId="310D497F">
            <w:pPr>
              <w:pStyle w:val="40"/>
              <w:keepNext w:val="0"/>
              <w:keepLines w:val="0"/>
              <w:pageBreakBefore w:val="0"/>
              <w:kinsoku/>
              <w:wordWrap/>
              <w:overflowPunct/>
              <w:topLinePunct w:val="0"/>
              <w:autoSpaceDE/>
              <w:autoSpaceDN/>
              <w:bidi w:val="0"/>
              <w:adjustRightInd/>
              <w:spacing w:after="160" w:line="360" w:lineRule="exact"/>
              <w:ind w:firstLine="160"/>
              <w:jc w:val="center"/>
              <w:textAlignment w:val="auto"/>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分值构成</w:t>
            </w:r>
          </w:p>
          <w:p w14:paraId="5F39F888">
            <w:pPr>
              <w:pStyle w:val="40"/>
              <w:keepNext w:val="0"/>
              <w:keepLines w:val="0"/>
              <w:pageBreakBefore w:val="0"/>
              <w:kinsoku/>
              <w:wordWrap/>
              <w:overflowPunct/>
              <w:topLinePunct w:val="0"/>
              <w:autoSpaceDE/>
              <w:autoSpaceDN/>
              <w:bidi w:val="0"/>
              <w:adjustRightInd/>
              <w:spacing w:after="160" w:line="360" w:lineRule="exact"/>
              <w:ind w:firstLine="160"/>
              <w:jc w:val="center"/>
              <w:textAlignment w:val="auto"/>
              <w:rPr>
                <w:rFonts w:hint="eastAsia"/>
                <w:color w:val="000000" w:themeColor="text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（总分100分）</w:t>
            </w:r>
          </w:p>
        </w:tc>
        <w:tc>
          <w:tcPr>
            <w:tcW w:w="4640" w:type="dxa"/>
            <w:gridSpan w:val="2"/>
            <w:tcBorders>
              <w:top w:val="outset" w:color="auto" w:sz="6" w:space="0"/>
              <w:left w:val="outset" w:color="auto" w:sz="6" w:space="0"/>
              <w:bottom w:val="outset" w:color="auto" w:sz="6" w:space="0"/>
              <w:right w:val="outset" w:color="auto" w:sz="6" w:space="0"/>
            </w:tcBorders>
            <w:noWrap w:val="0"/>
            <w:vAlign w:val="center"/>
          </w:tcPr>
          <w:p w14:paraId="55AAA1CC">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b/>
                <w:bCs/>
                <w:color w:val="000000" w:themeColor="text1"/>
                <w:highlight w:val="none"/>
                <w:lang w:bidi="ar-SA"/>
                <w14:textFill>
                  <w14:solidFill>
                    <w14:schemeClr w14:val="tx1"/>
                  </w14:solidFill>
                </w14:textFill>
              </w:rPr>
            </w:pPr>
            <w:r>
              <w:rPr>
                <w:rFonts w:hint="eastAsia" w:ascii="宋体" w:cs="宋体"/>
                <w:b/>
                <w:bCs/>
                <w:color w:val="000000" w:themeColor="text1"/>
                <w:highlight w:val="none"/>
                <w:lang w:bidi="ar-SA"/>
                <w14:textFill>
                  <w14:solidFill>
                    <w14:schemeClr w14:val="tx1"/>
                  </w14:solidFill>
                </w14:textFill>
              </w:rPr>
              <w:t xml:space="preserve">价格分：30分 </w:t>
            </w:r>
          </w:p>
          <w:p w14:paraId="0BC1F24C">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eastAsia="宋体" w:cs="宋体"/>
                <w:b/>
                <w:bCs/>
                <w:color w:val="000000" w:themeColor="text1"/>
                <w:highlight w:val="none"/>
                <w:lang w:eastAsia="zh-CN" w:bidi="ar-SA"/>
                <w14:textFill>
                  <w14:solidFill>
                    <w14:schemeClr w14:val="tx1"/>
                  </w14:solidFill>
                </w14:textFill>
              </w:rPr>
            </w:pPr>
            <w:r>
              <w:rPr>
                <w:rFonts w:hint="eastAsia" w:ascii="宋体" w:cs="宋体"/>
                <w:b/>
                <w:bCs/>
                <w:color w:val="000000" w:themeColor="text1"/>
                <w:highlight w:val="none"/>
                <w:lang w:bidi="ar-SA"/>
                <w14:textFill>
                  <w14:solidFill>
                    <w14:schemeClr w14:val="tx1"/>
                  </w14:solidFill>
                </w14:textFill>
              </w:rPr>
              <w:t>施工组织设计分：60分</w:t>
            </w:r>
          </w:p>
          <w:p w14:paraId="2C043471">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b/>
                <w:bCs/>
                <w:color w:val="000000" w:themeColor="text1"/>
                <w:highlight w:val="none"/>
                <w:lang w:bidi="ar-SA"/>
                <w14:textFill>
                  <w14:solidFill>
                    <w14:schemeClr w14:val="tx1"/>
                  </w14:solidFill>
                </w14:textFill>
              </w:rPr>
            </w:pPr>
            <w:r>
              <w:rPr>
                <w:rFonts w:hint="eastAsia" w:ascii="宋体" w:cs="宋体"/>
                <w:b/>
                <w:bCs/>
                <w:color w:val="000000" w:themeColor="text1"/>
                <w:highlight w:val="none"/>
                <w:lang w:bidi="ar-SA"/>
                <w14:textFill>
                  <w14:solidFill>
                    <w14:schemeClr w14:val="tx1"/>
                  </w14:solidFill>
                </w14:textFill>
              </w:rPr>
              <w:t>企业信誉实力分：</w:t>
            </w:r>
            <w:r>
              <w:rPr>
                <w:rFonts w:hint="eastAsia" w:ascii="宋体" w:cs="宋体"/>
                <w:b/>
                <w:bCs/>
                <w:color w:val="000000" w:themeColor="text1"/>
                <w:highlight w:val="none"/>
                <w:lang w:val="en-US" w:eastAsia="zh-CN" w:bidi="ar-SA"/>
                <w14:textFill>
                  <w14:solidFill>
                    <w14:schemeClr w14:val="tx1"/>
                  </w14:solidFill>
                </w14:textFill>
              </w:rPr>
              <w:t>10</w:t>
            </w:r>
            <w:r>
              <w:rPr>
                <w:rFonts w:hint="eastAsia" w:ascii="宋体" w:cs="宋体"/>
                <w:b/>
                <w:bCs/>
                <w:color w:val="000000" w:themeColor="text1"/>
                <w:highlight w:val="none"/>
                <w:lang w:bidi="ar-SA"/>
                <w14:textFill>
                  <w14:solidFill>
                    <w14:schemeClr w14:val="tx1"/>
                  </w14:solidFill>
                </w14:textFill>
              </w:rPr>
              <w:t>分</w:t>
            </w:r>
          </w:p>
        </w:tc>
      </w:tr>
      <w:tr w14:paraId="4550ADA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944" w:type="dxa"/>
            <w:tcBorders>
              <w:top w:val="outset" w:color="auto" w:sz="6" w:space="0"/>
              <w:left w:val="outset" w:color="auto" w:sz="6" w:space="0"/>
              <w:bottom w:val="outset" w:color="auto" w:sz="6" w:space="0"/>
              <w:right w:val="outset" w:color="auto" w:sz="6" w:space="0"/>
            </w:tcBorders>
            <w:noWrap w:val="0"/>
            <w:vAlign w:val="center"/>
          </w:tcPr>
          <w:p w14:paraId="296BBE49">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cs="宋体"/>
                <w:color w:val="000000" w:themeColor="text1"/>
                <w:kern w:val="0"/>
                <w:szCs w:val="21"/>
                <w:highlight w:val="none"/>
                <w:lang w:bidi="ar-SA"/>
                <w14:textFill>
                  <w14:solidFill>
                    <w14:schemeClr w14:val="tx1"/>
                  </w14:solidFill>
                </w14:textFill>
              </w:rPr>
            </w:pPr>
            <w:r>
              <w:rPr>
                <w:rFonts w:hint="eastAsia" w:ascii="宋体" w:cs="宋体"/>
                <w:color w:val="000000" w:themeColor="text1"/>
                <w:kern w:val="0"/>
                <w:szCs w:val="21"/>
                <w:highlight w:val="none"/>
                <w:lang w:val="en-US" w:eastAsia="zh-CN" w:bidi="ar-SA"/>
                <w14:textFill>
                  <w14:solidFill>
                    <w14:schemeClr w14:val="tx1"/>
                  </w14:solidFill>
                </w14:textFill>
              </w:rPr>
              <w:t>2.</w:t>
            </w:r>
            <w:r>
              <w:rPr>
                <w:rFonts w:hint="eastAsia" w:ascii="宋体" w:cs="宋体"/>
                <w:color w:val="000000" w:themeColor="text1"/>
                <w:kern w:val="0"/>
                <w:szCs w:val="21"/>
                <w:highlight w:val="none"/>
                <w:lang w:bidi="ar-SA"/>
                <w14:textFill>
                  <w14:solidFill>
                    <w14:schemeClr w14:val="tx1"/>
                  </w14:solidFill>
                </w14:textFill>
              </w:rPr>
              <w:t>1</w:t>
            </w:r>
          </w:p>
        </w:tc>
        <w:tc>
          <w:tcPr>
            <w:tcW w:w="1324" w:type="dxa"/>
            <w:tcBorders>
              <w:top w:val="outset" w:color="auto" w:sz="6" w:space="0"/>
              <w:left w:val="outset" w:color="auto" w:sz="6" w:space="0"/>
              <w:bottom w:val="outset" w:color="auto" w:sz="6" w:space="0"/>
              <w:right w:val="outset" w:color="auto" w:sz="6" w:space="0"/>
            </w:tcBorders>
            <w:noWrap w:val="0"/>
            <w:vAlign w:val="center"/>
          </w:tcPr>
          <w:p w14:paraId="5ACEAC65">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szCs w:val="21"/>
                <w:highlight w:val="none"/>
                <w:lang w:bidi="ar-SA"/>
                <w14:textFill>
                  <w14:solidFill>
                    <w14:schemeClr w14:val="tx1"/>
                  </w14:solidFill>
                </w14:textFill>
              </w:rPr>
              <w:t>价格评分标准</w:t>
            </w:r>
            <w:r>
              <w:rPr>
                <w:rFonts w:hint="eastAsia" w:ascii="宋体" w:cs="宋体"/>
                <w:color w:val="000000" w:themeColor="text1"/>
                <w:kern w:val="0"/>
                <w:szCs w:val="21"/>
                <w:highlight w:val="none"/>
                <w:lang w:bidi="ar-SA"/>
                <w14:textFill>
                  <w14:solidFill>
                    <w14:schemeClr w14:val="tx1"/>
                  </w14:solidFill>
                </w14:textFill>
              </w:rPr>
              <w:t>（满分30分）</w:t>
            </w:r>
          </w:p>
        </w:tc>
        <w:tc>
          <w:tcPr>
            <w:tcW w:w="6781" w:type="dxa"/>
            <w:gridSpan w:val="3"/>
            <w:tcBorders>
              <w:top w:val="outset" w:color="auto" w:sz="6" w:space="0"/>
              <w:left w:val="outset" w:color="auto" w:sz="6" w:space="0"/>
              <w:bottom w:val="outset" w:color="auto" w:sz="6" w:space="0"/>
              <w:right w:val="outset" w:color="auto" w:sz="6" w:space="0"/>
            </w:tcBorders>
            <w:noWrap w:val="0"/>
            <w:vAlign w:val="center"/>
          </w:tcPr>
          <w:p w14:paraId="29DB500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1.</w:t>
            </w:r>
            <w:r>
              <w:rPr>
                <w:rFonts w:hint="eastAsia"/>
                <w:bCs/>
                <w:color w:val="000000" w:themeColor="text1"/>
                <w:szCs w:val="21"/>
                <w:highlight w:val="none"/>
                <w14:textFill>
                  <w14:solidFill>
                    <w14:schemeClr w14:val="tx1"/>
                  </w14:solidFill>
                </w14:textFill>
              </w:rPr>
              <w:t>以进入评审的最低的评审</w:t>
            </w:r>
            <w:r>
              <w:rPr>
                <w:rFonts w:hint="eastAsia" w:ascii="宋体" w:cs="宋体"/>
                <w:bCs/>
                <w:color w:val="000000" w:themeColor="text1"/>
                <w:szCs w:val="21"/>
                <w:highlight w:val="none"/>
                <w:lang w:bidi="ar-SA"/>
                <w14:textFill>
                  <w14:solidFill>
                    <w14:schemeClr w14:val="tx1"/>
                  </w14:solidFill>
                </w14:textFill>
              </w:rPr>
              <w:t>报价为30分，</w:t>
            </w:r>
            <w:r>
              <w:rPr>
                <w:rFonts w:hint="eastAsia" w:ascii="宋体" w:cs="宋体"/>
                <w:color w:val="000000" w:themeColor="text1"/>
                <w:szCs w:val="21"/>
                <w:highlight w:val="none"/>
                <w:lang w:bidi="ar-SA"/>
                <w14:textFill>
                  <w14:solidFill>
                    <w14:schemeClr w14:val="tx1"/>
                  </w14:solidFill>
                </w14:textFill>
              </w:rPr>
              <w:t>评审报价=最后磋商报价</w:t>
            </w:r>
            <w:r>
              <w:rPr>
                <w:rFonts w:hint="eastAsia" w:ascii="宋体" w:cs="宋体"/>
                <w:color w:val="000000" w:themeColor="text1"/>
                <w:highlight w:val="none"/>
                <w:lang w:bidi="ar-SA"/>
                <w14:textFill>
                  <w14:solidFill>
                    <w14:schemeClr w14:val="tx1"/>
                  </w14:solidFill>
                </w14:textFill>
              </w:rPr>
              <w:t>。</w:t>
            </w:r>
          </w:p>
          <w:p w14:paraId="7C3B91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000000" w:themeColor="text1"/>
                <w:highlight w:val="none"/>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2.价格分计算公式：报价得分=（</w:t>
            </w:r>
            <w:r>
              <w:rPr>
                <w:rFonts w:hint="eastAsia"/>
                <w:bCs/>
                <w:color w:val="000000" w:themeColor="text1"/>
                <w:szCs w:val="21"/>
                <w:highlight w:val="none"/>
                <w14:textFill>
                  <w14:solidFill>
                    <w14:schemeClr w14:val="tx1"/>
                  </w14:solidFill>
                </w14:textFill>
              </w:rPr>
              <w:t>最低</w:t>
            </w:r>
            <w:r>
              <w:rPr>
                <w:rFonts w:hint="eastAsia"/>
                <w:color w:val="000000" w:themeColor="text1"/>
                <w:szCs w:val="21"/>
                <w:highlight w:val="none"/>
                <w14:textFill>
                  <w14:solidFill>
                    <w14:schemeClr w14:val="tx1"/>
                  </w14:solidFill>
                </w14:textFill>
              </w:rPr>
              <w:t>磋商供应商评审报价</w:t>
            </w:r>
            <w:r>
              <w:rPr>
                <w:rFonts w:hint="eastAsia"/>
                <w:bCs/>
                <w:color w:val="000000" w:themeColor="text1"/>
                <w:szCs w:val="21"/>
                <w:highlight w:val="none"/>
                <w14:textFill>
                  <w14:solidFill>
                    <w14:schemeClr w14:val="tx1"/>
                  </w14:solidFill>
                </w14:textFill>
              </w:rPr>
              <w:t>金额</w:t>
            </w:r>
            <w:r>
              <w:rPr>
                <w:rFonts w:hint="eastAsia" w:ascii="宋体" w:cs="宋体"/>
                <w:color w:val="000000" w:themeColor="text1"/>
                <w:highlight w:val="none"/>
                <w:lang w:bidi="ar-SA"/>
                <w14:textFill>
                  <w14:solidFill>
                    <w14:schemeClr w14:val="tx1"/>
                  </w14:solidFill>
                </w14:textFill>
              </w:rPr>
              <w:t>/</w:t>
            </w:r>
            <w:r>
              <w:rPr>
                <w:rFonts w:hint="eastAsia"/>
                <w:bCs/>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磋商供应商评审报价</w:t>
            </w:r>
            <w:r>
              <w:rPr>
                <w:rFonts w:hint="eastAsia"/>
                <w:bCs/>
                <w:color w:val="000000" w:themeColor="text1"/>
                <w:szCs w:val="21"/>
                <w:highlight w:val="none"/>
                <w14:textFill>
                  <w14:solidFill>
                    <w14:schemeClr w14:val="tx1"/>
                  </w14:solidFill>
                </w14:textFill>
              </w:rPr>
              <w:t>金额</w:t>
            </w:r>
            <w:r>
              <w:rPr>
                <w:rFonts w:hint="eastAsia" w:ascii="宋体" w:cs="宋体"/>
                <w:color w:val="000000" w:themeColor="text1"/>
                <w:highlight w:val="none"/>
                <w:lang w:bidi="ar-SA"/>
                <w14:textFill>
                  <w14:solidFill>
                    <w14:schemeClr w14:val="tx1"/>
                  </w14:solidFill>
                </w14:textFill>
              </w:rPr>
              <w:t>）×30分</w:t>
            </w:r>
          </w:p>
        </w:tc>
      </w:tr>
      <w:tr w14:paraId="1DBC42C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944" w:type="dxa"/>
            <w:vMerge w:val="restart"/>
            <w:tcBorders>
              <w:top w:val="outset" w:color="auto" w:sz="6" w:space="0"/>
              <w:left w:val="outset" w:color="auto" w:sz="6" w:space="0"/>
              <w:right w:val="outset" w:color="auto" w:sz="6" w:space="0"/>
            </w:tcBorders>
            <w:noWrap w:val="0"/>
            <w:vAlign w:val="center"/>
          </w:tcPr>
          <w:p w14:paraId="0C2C3146">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eastAsia="宋体" w:cs="宋体"/>
                <w:color w:val="000000" w:themeColor="text1"/>
                <w:kern w:val="0"/>
                <w:szCs w:val="21"/>
                <w:highlight w:val="none"/>
                <w:lang w:eastAsia="zh-CN" w:bidi="ar-SA"/>
                <w14:textFill>
                  <w14:solidFill>
                    <w14:schemeClr w14:val="tx1"/>
                  </w14:solidFill>
                </w14:textFill>
              </w:rPr>
            </w:pPr>
            <w:r>
              <w:rPr>
                <w:rFonts w:hint="eastAsia" w:ascii="宋体" w:cs="宋体"/>
                <w:color w:val="000000" w:themeColor="text1"/>
                <w:kern w:val="0"/>
                <w:szCs w:val="21"/>
                <w:highlight w:val="none"/>
                <w:lang w:val="en-US" w:eastAsia="zh-CN" w:bidi="ar-SA"/>
                <w14:textFill>
                  <w14:solidFill>
                    <w14:schemeClr w14:val="tx1"/>
                  </w14:solidFill>
                </w14:textFill>
              </w:rPr>
              <w:t>2.2</w:t>
            </w:r>
          </w:p>
        </w:tc>
        <w:tc>
          <w:tcPr>
            <w:tcW w:w="1324" w:type="dxa"/>
            <w:vMerge w:val="restart"/>
            <w:tcBorders>
              <w:top w:val="outset" w:color="auto" w:sz="6" w:space="0"/>
              <w:left w:val="outset" w:color="auto" w:sz="6" w:space="0"/>
              <w:right w:val="outset" w:color="auto" w:sz="6" w:space="0"/>
            </w:tcBorders>
            <w:noWrap w:val="0"/>
            <w:vAlign w:val="center"/>
          </w:tcPr>
          <w:p w14:paraId="7D4D06A6">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cs="宋体"/>
                <w:color w:val="000000" w:themeColor="text1"/>
                <w:kern w:val="0"/>
                <w:szCs w:val="21"/>
                <w:highlight w:val="none"/>
                <w:lang w:bidi="ar-SA"/>
                <w14:textFill>
                  <w14:solidFill>
                    <w14:schemeClr w14:val="tx1"/>
                  </w14:solidFill>
                </w14:textFill>
              </w:rPr>
            </w:pPr>
            <w:r>
              <w:rPr>
                <w:rFonts w:hint="eastAsia" w:ascii="宋体" w:cs="宋体"/>
                <w:color w:val="000000" w:themeColor="text1"/>
                <w:kern w:val="0"/>
                <w:szCs w:val="21"/>
                <w:highlight w:val="none"/>
                <w:lang w:bidi="ar-SA"/>
                <w14:textFill>
                  <w14:solidFill>
                    <w14:schemeClr w14:val="tx1"/>
                  </w14:solidFill>
                </w14:textFill>
              </w:rPr>
              <w:t>施工组织设计</w:t>
            </w:r>
            <w:r>
              <w:rPr>
                <w:rFonts w:hint="eastAsia" w:ascii="宋体" w:cs="宋体"/>
                <w:color w:val="000000" w:themeColor="text1"/>
                <w:szCs w:val="21"/>
                <w:highlight w:val="none"/>
                <w:lang w:bidi="ar-SA"/>
                <w14:textFill>
                  <w14:solidFill>
                    <w14:schemeClr w14:val="tx1"/>
                  </w14:solidFill>
                </w14:textFill>
              </w:rPr>
              <w:t>评分标准</w:t>
            </w:r>
          </w:p>
          <w:p w14:paraId="23CD62C4">
            <w:pPr>
              <w:keepNext w:val="0"/>
              <w:keepLines w:val="0"/>
              <w:pageBreakBefore w:val="0"/>
              <w:kinsoku/>
              <w:wordWrap/>
              <w:overflowPunct/>
              <w:topLinePunct w:val="0"/>
              <w:autoSpaceDE/>
              <w:autoSpaceDN/>
              <w:bidi w:val="0"/>
              <w:adjustRightInd/>
              <w:spacing w:line="360" w:lineRule="exact"/>
              <w:jc w:val="both"/>
              <w:textAlignment w:val="auto"/>
              <w:rPr>
                <w:rFonts w:hint="default" w:ascii="宋体" w:eastAsia="宋体" w:cs="宋体"/>
                <w:color w:val="000000" w:themeColor="text1"/>
                <w:highlight w:val="none"/>
                <w:lang w:val="en-US" w:eastAsia="zh-CN" w:bidi="ar-SA"/>
                <w14:textFill>
                  <w14:solidFill>
                    <w14:schemeClr w14:val="tx1"/>
                  </w14:solidFill>
                </w14:textFill>
              </w:rPr>
            </w:pPr>
            <w:r>
              <w:rPr>
                <w:rFonts w:hint="eastAsia" w:ascii="宋体" w:cs="宋体"/>
                <w:color w:val="000000" w:themeColor="text1"/>
                <w:kern w:val="0"/>
                <w:szCs w:val="21"/>
                <w:highlight w:val="none"/>
                <w:lang w:bidi="ar-SA"/>
                <w14:textFill>
                  <w14:solidFill>
                    <w14:schemeClr w14:val="tx1"/>
                  </w14:solidFill>
                </w14:textFill>
              </w:rPr>
              <w:t>（满分60分）</w:t>
            </w:r>
            <w:r>
              <w:rPr>
                <w:rFonts w:hint="eastAsia" w:ascii="宋体" w:cs="宋体"/>
                <w:b/>
                <w:bCs/>
                <w:color w:val="000000" w:themeColor="text1"/>
                <w:kern w:val="0"/>
                <w:szCs w:val="21"/>
                <w:highlight w:val="none"/>
                <w:lang w:bidi="ar-SA"/>
                <w14:textFill>
                  <w14:solidFill>
                    <w14:schemeClr w14:val="tx1"/>
                  </w14:solidFill>
                </w14:textFill>
              </w:rPr>
              <w:t>注：供应商未提供“施工组织设计”相应内容的，相应项</w:t>
            </w:r>
            <w:r>
              <w:rPr>
                <w:rFonts w:hint="eastAsia" w:ascii="宋体" w:cs="宋体"/>
                <w:b/>
                <w:bCs/>
                <w:color w:val="000000" w:themeColor="text1"/>
                <w:kern w:val="0"/>
                <w:szCs w:val="21"/>
                <w:highlight w:val="none"/>
                <w:lang w:eastAsia="zh-CN" w:bidi="ar-SA"/>
                <w14:textFill>
                  <w14:solidFill>
                    <w14:schemeClr w14:val="tx1"/>
                  </w14:solidFill>
                </w14:textFill>
              </w:rPr>
              <w:t>按</w:t>
            </w:r>
            <w:r>
              <w:rPr>
                <w:rFonts w:hint="eastAsia" w:ascii="宋体" w:cs="宋体"/>
                <w:b/>
                <w:bCs/>
                <w:color w:val="000000" w:themeColor="text1"/>
                <w:kern w:val="0"/>
                <w:szCs w:val="21"/>
                <w:highlight w:val="none"/>
                <w:lang w:val="en-US" w:eastAsia="zh-CN" w:bidi="ar-SA"/>
                <w14:textFill>
                  <w14:solidFill>
                    <w14:schemeClr w14:val="tx1"/>
                  </w14:solidFill>
                </w14:textFill>
              </w:rPr>
              <w:t>0分计。</w:t>
            </w:r>
          </w:p>
        </w:tc>
        <w:tc>
          <w:tcPr>
            <w:tcW w:w="2141" w:type="dxa"/>
            <w:tcBorders>
              <w:top w:val="outset" w:color="auto" w:sz="6" w:space="0"/>
              <w:left w:val="outset" w:color="auto" w:sz="6" w:space="0"/>
              <w:bottom w:val="outset" w:color="auto" w:sz="6" w:space="0"/>
              <w:right w:val="outset" w:color="auto" w:sz="6" w:space="0"/>
            </w:tcBorders>
            <w:noWrap w:val="0"/>
            <w:vAlign w:val="center"/>
          </w:tcPr>
          <w:p w14:paraId="1DCE9576">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(1)总体概述（满分</w:t>
            </w:r>
            <w:r>
              <w:rPr>
                <w:rFonts w:hint="eastAsia" w:ascii="宋体" w:cs="宋体"/>
                <w:color w:val="000000" w:themeColor="text1"/>
                <w:highlight w:val="none"/>
                <w:lang w:val="en-US" w:eastAsia="zh-CN" w:bidi="ar-SA"/>
                <w14:textFill>
                  <w14:solidFill>
                    <w14:schemeClr w14:val="tx1"/>
                  </w14:solidFill>
                </w14:textFill>
              </w:rPr>
              <w:t>9</w:t>
            </w:r>
            <w:r>
              <w:rPr>
                <w:rFonts w:hint="eastAsia" w:ascii="宋体" w:cs="宋体"/>
                <w:color w:val="000000" w:themeColor="text1"/>
                <w:highlight w:val="none"/>
                <w:lang w:bidi="ar-SA"/>
                <w14:textFill>
                  <w14:solidFill>
                    <w14:schemeClr w14:val="tx1"/>
                  </w14:solidFill>
                </w14:textFill>
              </w:rPr>
              <w:t>分）</w:t>
            </w:r>
          </w:p>
        </w:tc>
        <w:tc>
          <w:tcPr>
            <w:tcW w:w="4640" w:type="dxa"/>
            <w:gridSpan w:val="2"/>
            <w:tcBorders>
              <w:top w:val="outset" w:color="auto" w:sz="6" w:space="0"/>
              <w:left w:val="outset" w:color="auto" w:sz="6" w:space="0"/>
              <w:bottom w:val="outset" w:color="auto" w:sz="6" w:space="0"/>
              <w:right w:val="outset" w:color="auto" w:sz="6" w:space="0"/>
            </w:tcBorders>
            <w:noWrap w:val="0"/>
            <w:vAlign w:val="center"/>
          </w:tcPr>
          <w:p w14:paraId="2A2A9748">
            <w:pPr>
              <w:pStyle w:val="7"/>
              <w:keepNext w:val="0"/>
              <w:keepLines w:val="0"/>
              <w:pageBreakBefore w:val="0"/>
              <w:kinsoku/>
              <w:wordWrap/>
              <w:overflowPunct/>
              <w:topLinePunct w:val="0"/>
              <w:autoSpaceDE/>
              <w:autoSpaceDN/>
              <w:bidi w:val="0"/>
              <w:adjustRightInd/>
              <w:spacing w:line="360" w:lineRule="exact"/>
              <w:ind w:firstLine="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优（9分）：对项目总体有深刻认识，表达清晰、完整、严谨、合理，措施先进、具体、有效、成熟；施工段划分清晰、合理，符合规范要求；</w:t>
            </w:r>
          </w:p>
          <w:p w14:paraId="5CD79676">
            <w:pPr>
              <w:pStyle w:val="7"/>
              <w:keepNext w:val="0"/>
              <w:keepLines w:val="0"/>
              <w:pageBreakBefore w:val="0"/>
              <w:kinsoku/>
              <w:wordWrap/>
              <w:overflowPunct/>
              <w:topLinePunct w:val="0"/>
              <w:autoSpaceDE/>
              <w:autoSpaceDN/>
              <w:bidi w:val="0"/>
              <w:adjustRightInd/>
              <w:spacing w:line="360" w:lineRule="exact"/>
              <w:ind w:firstLine="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良（6分）：对项目总体有一定认识，表达清晰、完整，措施具体有效；施工段划分清晰，符合规范要求；</w:t>
            </w:r>
          </w:p>
          <w:p w14:paraId="0E53FB88">
            <w:pPr>
              <w:pStyle w:val="7"/>
              <w:keepNext w:val="0"/>
              <w:keepLines w:val="0"/>
              <w:pageBreakBefore w:val="0"/>
              <w:kinsoku/>
              <w:wordWrap/>
              <w:overflowPunct/>
              <w:topLinePunct w:val="0"/>
              <w:autoSpaceDE/>
              <w:autoSpaceDN/>
              <w:bidi w:val="0"/>
              <w:adjustRightInd/>
              <w:spacing w:line="360" w:lineRule="exact"/>
              <w:ind w:firstLine="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中（3分）：对项目总体有认识，有一定的措施但部分不具体；施工段划分较合理，符合规范要求；</w:t>
            </w:r>
          </w:p>
          <w:p w14:paraId="3344F1D2">
            <w:pPr>
              <w:pStyle w:val="7"/>
              <w:keepNext w:val="0"/>
              <w:keepLines w:val="0"/>
              <w:pageBreakBefore w:val="0"/>
              <w:kinsoku/>
              <w:wordWrap/>
              <w:overflowPunct/>
              <w:topLinePunct w:val="0"/>
              <w:autoSpaceDE/>
              <w:autoSpaceDN/>
              <w:bidi w:val="0"/>
              <w:adjustRightInd/>
              <w:spacing w:line="360" w:lineRule="exact"/>
              <w:ind w:firstLine="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差（1分）：对项目认识不足，表达不清晰，措施不具体；施工段划分不合理。</w:t>
            </w:r>
          </w:p>
        </w:tc>
      </w:tr>
      <w:tr w14:paraId="0238DB6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944" w:type="dxa"/>
            <w:vMerge w:val="continue"/>
            <w:tcBorders>
              <w:left w:val="outset" w:color="auto" w:sz="6" w:space="0"/>
              <w:right w:val="outset" w:color="auto" w:sz="6" w:space="0"/>
            </w:tcBorders>
            <w:noWrap w:val="0"/>
            <w:vAlign w:val="center"/>
          </w:tcPr>
          <w:p w14:paraId="63BB3F50">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p>
        </w:tc>
        <w:tc>
          <w:tcPr>
            <w:tcW w:w="1324" w:type="dxa"/>
            <w:vMerge w:val="continue"/>
            <w:tcBorders>
              <w:left w:val="outset" w:color="auto" w:sz="6" w:space="0"/>
              <w:right w:val="outset" w:color="auto" w:sz="6" w:space="0"/>
            </w:tcBorders>
            <w:noWrap w:val="0"/>
            <w:vAlign w:val="center"/>
          </w:tcPr>
          <w:p w14:paraId="0D0AC0D8">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p>
        </w:tc>
        <w:tc>
          <w:tcPr>
            <w:tcW w:w="2141" w:type="dxa"/>
            <w:tcBorders>
              <w:top w:val="outset" w:color="auto" w:sz="6" w:space="0"/>
              <w:left w:val="outset" w:color="auto" w:sz="6" w:space="0"/>
              <w:bottom w:val="outset" w:color="auto" w:sz="6" w:space="0"/>
              <w:right w:val="outset" w:color="auto" w:sz="6" w:space="0"/>
            </w:tcBorders>
            <w:noWrap w:val="0"/>
            <w:vAlign w:val="center"/>
          </w:tcPr>
          <w:p w14:paraId="49F4C833">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(2)主要施工方法（满分</w:t>
            </w:r>
            <w:r>
              <w:rPr>
                <w:rFonts w:hint="eastAsia" w:ascii="宋体" w:cs="宋体"/>
                <w:color w:val="000000" w:themeColor="text1"/>
                <w:highlight w:val="none"/>
                <w:lang w:val="en-US" w:eastAsia="zh-CN" w:bidi="ar-SA"/>
                <w14:textFill>
                  <w14:solidFill>
                    <w14:schemeClr w14:val="tx1"/>
                  </w14:solidFill>
                </w14:textFill>
              </w:rPr>
              <w:t>12</w:t>
            </w:r>
            <w:r>
              <w:rPr>
                <w:rFonts w:hint="eastAsia" w:ascii="宋体" w:cs="宋体"/>
                <w:color w:val="000000" w:themeColor="text1"/>
                <w:highlight w:val="none"/>
                <w:lang w:bidi="ar-SA"/>
                <w14:textFill>
                  <w14:solidFill>
                    <w14:schemeClr w14:val="tx1"/>
                  </w14:solidFill>
                </w14:textFill>
              </w:rPr>
              <w:t>分）</w:t>
            </w:r>
          </w:p>
        </w:tc>
        <w:tc>
          <w:tcPr>
            <w:tcW w:w="4640" w:type="dxa"/>
            <w:gridSpan w:val="2"/>
            <w:tcBorders>
              <w:top w:val="outset" w:color="auto" w:sz="6" w:space="0"/>
              <w:left w:val="outset" w:color="auto" w:sz="6" w:space="0"/>
              <w:bottom w:val="outset" w:color="auto" w:sz="6" w:space="0"/>
              <w:right w:val="outset" w:color="auto" w:sz="6" w:space="0"/>
            </w:tcBorders>
            <w:noWrap w:val="0"/>
            <w:vAlign w:val="center"/>
          </w:tcPr>
          <w:p w14:paraId="1F268B2C">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优（12分）：各主要分部施工方法符合项目实际，有详尽的施工技术方案，工艺先进、方法科学合理、可行，能指导具体施工并确保安全；</w:t>
            </w:r>
          </w:p>
          <w:p w14:paraId="012111E7">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良（8分）：各主要分部施工方法符合项目实际，有较详尽的施工技术方案，工艺较好、方法科学合理、可行，能指导具体施工并确保安全；</w:t>
            </w:r>
          </w:p>
          <w:p w14:paraId="354C6EFD">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中（4分）：各主要分部施工方法能满足项目需求，有施工技术方案，能指导具体施工并确保安全；</w:t>
            </w:r>
          </w:p>
          <w:p w14:paraId="0313B1DF">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差（1分）：各主要分部施工方法不能满足项目需求，施工技术方案简劣，不能指导具体施工并确保安全。</w:t>
            </w:r>
          </w:p>
        </w:tc>
      </w:tr>
      <w:tr w14:paraId="02E100E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944" w:type="dxa"/>
            <w:vMerge w:val="continue"/>
            <w:tcBorders>
              <w:left w:val="outset" w:color="auto" w:sz="6" w:space="0"/>
              <w:right w:val="outset" w:color="auto" w:sz="6" w:space="0"/>
            </w:tcBorders>
            <w:noWrap w:val="0"/>
            <w:vAlign w:val="center"/>
          </w:tcPr>
          <w:p w14:paraId="573C8998">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p>
        </w:tc>
        <w:tc>
          <w:tcPr>
            <w:tcW w:w="1324" w:type="dxa"/>
            <w:vMerge w:val="continue"/>
            <w:tcBorders>
              <w:top w:val="outset" w:color="auto" w:sz="6" w:space="0"/>
              <w:left w:val="outset" w:color="auto" w:sz="6" w:space="0"/>
              <w:bottom w:val="outset" w:color="auto" w:sz="6" w:space="0"/>
              <w:right w:val="outset" w:color="auto" w:sz="6" w:space="0"/>
            </w:tcBorders>
            <w:noWrap w:val="0"/>
            <w:vAlign w:val="center"/>
          </w:tcPr>
          <w:p w14:paraId="02CCD224">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p>
        </w:tc>
        <w:tc>
          <w:tcPr>
            <w:tcW w:w="2141" w:type="dxa"/>
            <w:tcBorders>
              <w:top w:val="outset" w:color="auto" w:sz="6" w:space="0"/>
              <w:left w:val="outset" w:color="auto" w:sz="6" w:space="0"/>
              <w:bottom w:val="outset" w:color="auto" w:sz="6" w:space="0"/>
              <w:right w:val="outset" w:color="auto" w:sz="6" w:space="0"/>
            </w:tcBorders>
            <w:noWrap w:val="0"/>
            <w:vAlign w:val="center"/>
          </w:tcPr>
          <w:p w14:paraId="1A4D9C9A">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(3)施工进度计划和各阶段进度的保证措施（满分</w:t>
            </w:r>
            <w:r>
              <w:rPr>
                <w:rFonts w:hint="eastAsia" w:ascii="宋体" w:cs="宋体"/>
                <w:color w:val="000000" w:themeColor="text1"/>
                <w:highlight w:val="none"/>
                <w:lang w:val="en-US" w:eastAsia="zh-CN" w:bidi="ar-SA"/>
                <w14:textFill>
                  <w14:solidFill>
                    <w14:schemeClr w14:val="tx1"/>
                  </w14:solidFill>
                </w14:textFill>
              </w:rPr>
              <w:t>9</w:t>
            </w:r>
            <w:r>
              <w:rPr>
                <w:rFonts w:hint="eastAsia" w:ascii="宋体" w:cs="宋体"/>
                <w:color w:val="000000" w:themeColor="text1"/>
                <w:highlight w:val="none"/>
                <w:lang w:bidi="ar-SA"/>
                <w14:textFill>
                  <w14:solidFill>
                    <w14:schemeClr w14:val="tx1"/>
                  </w14:solidFill>
                </w14:textFill>
              </w:rPr>
              <w:t>分）</w:t>
            </w:r>
          </w:p>
        </w:tc>
        <w:tc>
          <w:tcPr>
            <w:tcW w:w="4640" w:type="dxa"/>
            <w:gridSpan w:val="2"/>
            <w:tcBorders>
              <w:top w:val="outset" w:color="auto" w:sz="6" w:space="0"/>
              <w:left w:val="outset" w:color="auto" w:sz="6" w:space="0"/>
              <w:bottom w:val="outset" w:color="auto" w:sz="6" w:space="0"/>
              <w:right w:val="outset" w:color="auto" w:sz="6" w:space="0"/>
            </w:tcBorders>
            <w:noWrap w:val="0"/>
            <w:vAlign w:val="center"/>
          </w:tcPr>
          <w:p w14:paraId="1FFD7378">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优（9分）：关键线路清晰、准确、完整，计划编制合理、可行，关键节点的控制措施有力、合理、可行；</w:t>
            </w:r>
          </w:p>
          <w:p w14:paraId="7F938A3E">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良（6分）：关键线路清晰、准确、完整，计划编制可行，关键节点的控制措施合理、可行；</w:t>
            </w:r>
          </w:p>
          <w:p w14:paraId="73EE850F">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中（3分）：关键线路基本准确，计划编制合理，关键节点的控制措施基本可行；</w:t>
            </w:r>
          </w:p>
          <w:p w14:paraId="7D82B671">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 xml:space="preserve">差（1分）：关键线路不准确，计划编制不合理，关键节点的控制不可行。 </w:t>
            </w:r>
          </w:p>
        </w:tc>
      </w:tr>
      <w:tr w14:paraId="67661A6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944" w:type="dxa"/>
            <w:vMerge w:val="continue"/>
            <w:tcBorders>
              <w:left w:val="outset" w:color="auto" w:sz="6" w:space="0"/>
              <w:right w:val="outset" w:color="auto" w:sz="6" w:space="0"/>
            </w:tcBorders>
            <w:noWrap w:val="0"/>
            <w:vAlign w:val="center"/>
          </w:tcPr>
          <w:p w14:paraId="7E7E91A0">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p>
        </w:tc>
        <w:tc>
          <w:tcPr>
            <w:tcW w:w="1324" w:type="dxa"/>
            <w:vMerge w:val="continue"/>
            <w:tcBorders>
              <w:top w:val="outset" w:color="auto" w:sz="6" w:space="0"/>
              <w:left w:val="outset" w:color="auto" w:sz="6" w:space="0"/>
              <w:bottom w:val="outset" w:color="auto" w:sz="6" w:space="0"/>
              <w:right w:val="outset" w:color="auto" w:sz="6" w:space="0"/>
            </w:tcBorders>
            <w:noWrap w:val="0"/>
            <w:vAlign w:val="center"/>
          </w:tcPr>
          <w:p w14:paraId="584933EE">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p>
        </w:tc>
        <w:tc>
          <w:tcPr>
            <w:tcW w:w="2141" w:type="dxa"/>
            <w:tcBorders>
              <w:top w:val="outset" w:color="auto" w:sz="6" w:space="0"/>
              <w:left w:val="outset" w:color="auto" w:sz="6" w:space="0"/>
              <w:bottom w:val="outset" w:color="auto" w:sz="6" w:space="0"/>
              <w:right w:val="outset" w:color="auto" w:sz="6" w:space="0"/>
            </w:tcBorders>
            <w:noWrap w:val="0"/>
            <w:vAlign w:val="center"/>
          </w:tcPr>
          <w:p w14:paraId="0F075589">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(4)关键施工技术、工艺及工程实施的重点、难点和解决方案（满分</w:t>
            </w:r>
            <w:r>
              <w:rPr>
                <w:rFonts w:hint="eastAsia" w:ascii="宋体" w:cs="宋体"/>
                <w:color w:val="000000" w:themeColor="text1"/>
                <w:highlight w:val="none"/>
                <w:lang w:val="en-US" w:eastAsia="zh-CN" w:bidi="ar-SA"/>
                <w14:textFill>
                  <w14:solidFill>
                    <w14:schemeClr w14:val="tx1"/>
                  </w14:solidFill>
                </w14:textFill>
              </w:rPr>
              <w:t>12</w:t>
            </w:r>
            <w:r>
              <w:rPr>
                <w:rFonts w:hint="eastAsia" w:ascii="宋体" w:cs="宋体"/>
                <w:color w:val="000000" w:themeColor="text1"/>
                <w:highlight w:val="none"/>
                <w:lang w:bidi="ar-SA"/>
                <w14:textFill>
                  <w14:solidFill>
                    <w14:schemeClr w14:val="tx1"/>
                  </w14:solidFill>
                </w14:textFill>
              </w:rPr>
              <w:t>分）</w:t>
            </w:r>
          </w:p>
        </w:tc>
        <w:tc>
          <w:tcPr>
            <w:tcW w:w="4640" w:type="dxa"/>
            <w:gridSpan w:val="2"/>
            <w:tcBorders>
              <w:top w:val="outset" w:color="auto" w:sz="6" w:space="0"/>
              <w:left w:val="outset" w:color="auto" w:sz="6" w:space="0"/>
              <w:bottom w:val="outset" w:color="auto" w:sz="6" w:space="0"/>
              <w:right w:val="outset" w:color="auto" w:sz="6" w:space="0"/>
            </w:tcBorders>
            <w:noWrap w:val="0"/>
            <w:vAlign w:val="center"/>
          </w:tcPr>
          <w:p w14:paraId="510E0660">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优（12分）：对项目关键技术、工艺有深入的表达，对重点、难点有先进合理的施工措施并有可行的安全措施，解决方案完整、经济、安全、切实可行，措施得力。</w:t>
            </w:r>
          </w:p>
          <w:p w14:paraId="2F956FD6">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良（8分）：对项目关键技术、工艺有深入的表达，对重点、难点有合理的建议，解决方案经济、安全、基本可行。</w:t>
            </w:r>
          </w:p>
          <w:p w14:paraId="2FD790C7">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中（4分）：对项目关键技术有一定了解，对重点、难点有建议，大部分重点、难点有解决方案。</w:t>
            </w:r>
          </w:p>
          <w:p w14:paraId="6B822D2C">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 xml:space="preserve">差（1分）：对项目关键技术有表述，对重点、难点有建议，仅有部分重点、难点的解决方案。 </w:t>
            </w:r>
          </w:p>
        </w:tc>
      </w:tr>
      <w:tr w14:paraId="218B750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329" w:hRule="atLeast"/>
          <w:jc w:val="center"/>
        </w:trPr>
        <w:tc>
          <w:tcPr>
            <w:tcW w:w="944" w:type="dxa"/>
            <w:vMerge w:val="continue"/>
            <w:tcBorders>
              <w:left w:val="outset" w:color="auto" w:sz="6" w:space="0"/>
              <w:right w:val="outset" w:color="auto" w:sz="6" w:space="0"/>
            </w:tcBorders>
            <w:noWrap w:val="0"/>
            <w:vAlign w:val="center"/>
          </w:tcPr>
          <w:p w14:paraId="5B8039C7">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p>
        </w:tc>
        <w:tc>
          <w:tcPr>
            <w:tcW w:w="1324" w:type="dxa"/>
            <w:vMerge w:val="continue"/>
            <w:tcBorders>
              <w:top w:val="outset" w:color="auto" w:sz="6" w:space="0"/>
              <w:left w:val="outset" w:color="auto" w:sz="6" w:space="0"/>
              <w:bottom w:val="outset" w:color="auto" w:sz="6" w:space="0"/>
              <w:right w:val="outset" w:color="auto" w:sz="6" w:space="0"/>
            </w:tcBorders>
            <w:noWrap w:val="0"/>
            <w:vAlign w:val="center"/>
          </w:tcPr>
          <w:p w14:paraId="617F62AA">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p>
        </w:tc>
        <w:tc>
          <w:tcPr>
            <w:tcW w:w="2141" w:type="dxa"/>
            <w:tcBorders>
              <w:top w:val="outset" w:color="auto" w:sz="6" w:space="0"/>
              <w:left w:val="outset" w:color="auto" w:sz="6" w:space="0"/>
              <w:right w:val="outset" w:color="auto" w:sz="6" w:space="0"/>
            </w:tcBorders>
            <w:noWrap w:val="0"/>
            <w:vAlign w:val="center"/>
          </w:tcPr>
          <w:p w14:paraId="3F56D3BA">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(5)安全文明施工措施（满分</w:t>
            </w:r>
            <w:r>
              <w:rPr>
                <w:rFonts w:hint="eastAsia" w:ascii="宋体" w:cs="宋体"/>
                <w:color w:val="000000" w:themeColor="text1"/>
                <w:highlight w:val="none"/>
                <w:lang w:val="en-US" w:eastAsia="zh-CN" w:bidi="ar-SA"/>
                <w14:textFill>
                  <w14:solidFill>
                    <w14:schemeClr w14:val="tx1"/>
                  </w14:solidFill>
                </w14:textFill>
              </w:rPr>
              <w:t>9</w:t>
            </w:r>
            <w:r>
              <w:rPr>
                <w:rFonts w:hint="eastAsia" w:ascii="宋体" w:cs="宋体"/>
                <w:color w:val="000000" w:themeColor="text1"/>
                <w:highlight w:val="none"/>
                <w:lang w:bidi="ar-SA"/>
                <w14:textFill>
                  <w14:solidFill>
                    <w14:schemeClr w14:val="tx1"/>
                  </w14:solidFill>
                </w14:textFill>
              </w:rPr>
              <w:t>分）</w:t>
            </w:r>
          </w:p>
        </w:tc>
        <w:tc>
          <w:tcPr>
            <w:tcW w:w="4640" w:type="dxa"/>
            <w:gridSpan w:val="2"/>
            <w:tcBorders>
              <w:top w:val="outset" w:color="auto" w:sz="6" w:space="0"/>
              <w:left w:val="outset" w:color="auto" w:sz="6" w:space="0"/>
              <w:bottom w:val="outset" w:color="auto" w:sz="6" w:space="0"/>
              <w:right w:val="outset" w:color="auto" w:sz="6" w:space="0"/>
            </w:tcBorders>
            <w:noWrap w:val="0"/>
            <w:vAlign w:val="center"/>
          </w:tcPr>
          <w:p w14:paraId="7E8ABE16">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优（9分）：针对项目实际情况，有先进、具体、完整、可行的实施措施，采用规范正确、清晰。</w:t>
            </w:r>
          </w:p>
          <w:p w14:paraId="4834610A">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良（6分）：针对项目实际情况，有合理的措施且具体、完整，采用规范正确。</w:t>
            </w:r>
          </w:p>
          <w:p w14:paraId="3EB7F322">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中（3分）：有基本合理的措施，采用规范正确。</w:t>
            </w:r>
          </w:p>
          <w:p w14:paraId="14FE3832">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 xml:space="preserve">差（1分）：安全文明措施不得力，采用规范部分不正确。 </w:t>
            </w:r>
          </w:p>
        </w:tc>
      </w:tr>
      <w:tr w14:paraId="713D023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944" w:type="dxa"/>
            <w:vMerge w:val="continue"/>
            <w:tcBorders>
              <w:left w:val="outset" w:color="auto" w:sz="6" w:space="0"/>
              <w:bottom w:val="outset" w:color="auto" w:sz="6" w:space="0"/>
              <w:right w:val="outset" w:color="auto" w:sz="6" w:space="0"/>
            </w:tcBorders>
            <w:noWrap w:val="0"/>
            <w:vAlign w:val="center"/>
          </w:tcPr>
          <w:p w14:paraId="0B8DA2F0">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p>
        </w:tc>
        <w:tc>
          <w:tcPr>
            <w:tcW w:w="1324" w:type="dxa"/>
            <w:vMerge w:val="continue"/>
            <w:tcBorders>
              <w:top w:val="outset" w:color="auto" w:sz="6" w:space="0"/>
              <w:left w:val="outset" w:color="auto" w:sz="6" w:space="0"/>
              <w:bottom w:val="outset" w:color="auto" w:sz="6" w:space="0"/>
              <w:right w:val="outset" w:color="auto" w:sz="6" w:space="0"/>
            </w:tcBorders>
            <w:noWrap w:val="0"/>
            <w:vAlign w:val="center"/>
          </w:tcPr>
          <w:p w14:paraId="320DC060">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p>
        </w:tc>
        <w:tc>
          <w:tcPr>
            <w:tcW w:w="2141" w:type="dxa"/>
            <w:tcBorders>
              <w:top w:val="outset" w:color="auto" w:sz="6" w:space="0"/>
              <w:left w:val="outset" w:color="auto" w:sz="6" w:space="0"/>
              <w:bottom w:val="outset" w:color="auto" w:sz="6" w:space="0"/>
              <w:right w:val="outset" w:color="auto" w:sz="6" w:space="0"/>
            </w:tcBorders>
            <w:noWrap w:val="0"/>
            <w:vAlign w:val="center"/>
          </w:tcPr>
          <w:p w14:paraId="25A66410">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(6)质量保证与承诺（满分</w:t>
            </w:r>
            <w:r>
              <w:rPr>
                <w:rFonts w:hint="eastAsia" w:ascii="宋体" w:cs="宋体"/>
                <w:color w:val="000000" w:themeColor="text1"/>
                <w:highlight w:val="none"/>
                <w:lang w:val="en-US" w:eastAsia="zh-CN" w:bidi="ar-SA"/>
                <w14:textFill>
                  <w14:solidFill>
                    <w14:schemeClr w14:val="tx1"/>
                  </w14:solidFill>
                </w14:textFill>
              </w:rPr>
              <w:t>9</w:t>
            </w:r>
            <w:r>
              <w:rPr>
                <w:rFonts w:hint="eastAsia" w:ascii="宋体" w:cs="宋体"/>
                <w:color w:val="000000" w:themeColor="text1"/>
                <w:highlight w:val="none"/>
                <w:lang w:bidi="ar-SA"/>
                <w14:textFill>
                  <w14:solidFill>
                    <w14:schemeClr w14:val="tx1"/>
                  </w14:solidFill>
                </w14:textFill>
              </w:rPr>
              <w:t>分）</w:t>
            </w:r>
          </w:p>
        </w:tc>
        <w:tc>
          <w:tcPr>
            <w:tcW w:w="4640" w:type="dxa"/>
            <w:gridSpan w:val="2"/>
            <w:tcBorders>
              <w:top w:val="outset" w:color="auto" w:sz="6" w:space="0"/>
              <w:left w:val="outset" w:color="auto" w:sz="6" w:space="0"/>
              <w:bottom w:val="outset" w:color="auto" w:sz="6" w:space="0"/>
              <w:right w:val="outset" w:color="auto" w:sz="6" w:space="0"/>
            </w:tcBorders>
            <w:noWrap w:val="0"/>
            <w:vAlign w:val="center"/>
          </w:tcPr>
          <w:p w14:paraId="51E7FDA7">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优（9分）：针对项目实际提出先进、可行、具体的保证措施，超过招标文件的质量要求及施工验收规范要求。</w:t>
            </w:r>
          </w:p>
          <w:p w14:paraId="127B3CF1">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良（6分）：针对项目实际提出先进、可行、具体的保证措施，满足招标文件的质量要求。</w:t>
            </w:r>
          </w:p>
          <w:p w14:paraId="10292115">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中（3分）：具体措施可行，满足招标文件的质量要求。</w:t>
            </w:r>
          </w:p>
          <w:p w14:paraId="007530CC">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差（1分）：无具体质量保证措施或措施仅部分可行，不能满足招标文件的质量要求。</w:t>
            </w:r>
          </w:p>
        </w:tc>
      </w:tr>
      <w:tr w14:paraId="1F1E588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655" w:hRule="atLeast"/>
          <w:jc w:val="center"/>
        </w:trPr>
        <w:tc>
          <w:tcPr>
            <w:tcW w:w="944" w:type="dxa"/>
            <w:tcBorders>
              <w:top w:val="outset" w:color="auto" w:sz="6" w:space="0"/>
              <w:left w:val="outset" w:color="auto" w:sz="6" w:space="0"/>
              <w:bottom w:val="outset" w:color="auto" w:sz="6" w:space="0"/>
              <w:right w:val="outset" w:color="auto" w:sz="6" w:space="0"/>
            </w:tcBorders>
            <w:noWrap w:val="0"/>
            <w:vAlign w:val="center"/>
          </w:tcPr>
          <w:p w14:paraId="0370FCB5">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eastAsia="宋体" w:cs="宋体"/>
                <w:color w:val="000000" w:themeColor="text1"/>
                <w:kern w:val="0"/>
                <w:szCs w:val="21"/>
                <w:highlight w:val="none"/>
                <w:lang w:eastAsia="zh-CN" w:bidi="ar-SA"/>
                <w14:textFill>
                  <w14:solidFill>
                    <w14:schemeClr w14:val="tx1"/>
                  </w14:solidFill>
                </w14:textFill>
              </w:rPr>
            </w:pPr>
            <w:r>
              <w:rPr>
                <w:rFonts w:hint="eastAsia" w:ascii="宋体" w:cs="宋体"/>
                <w:color w:val="000000" w:themeColor="text1"/>
                <w:kern w:val="0"/>
                <w:szCs w:val="21"/>
                <w:highlight w:val="none"/>
                <w:lang w:val="en-US" w:eastAsia="zh-CN" w:bidi="ar-SA"/>
                <w14:textFill>
                  <w14:solidFill>
                    <w14:schemeClr w14:val="tx1"/>
                  </w14:solidFill>
                </w14:textFill>
              </w:rPr>
              <w:t>2.3</w:t>
            </w:r>
          </w:p>
        </w:tc>
        <w:tc>
          <w:tcPr>
            <w:tcW w:w="1324" w:type="dxa"/>
            <w:tcBorders>
              <w:top w:val="outset" w:color="auto" w:sz="6" w:space="0"/>
              <w:left w:val="outset" w:color="auto" w:sz="6" w:space="0"/>
              <w:bottom w:val="outset" w:color="auto" w:sz="6" w:space="0"/>
              <w:right w:val="outset" w:color="auto" w:sz="6" w:space="0"/>
            </w:tcBorders>
            <w:noWrap w:val="0"/>
            <w:vAlign w:val="center"/>
          </w:tcPr>
          <w:p w14:paraId="7A6B0010">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cs="宋体"/>
                <w:color w:val="000000" w:themeColor="text1"/>
                <w:kern w:val="0"/>
                <w:szCs w:val="21"/>
                <w:highlight w:val="none"/>
                <w:lang w:bidi="ar-SA"/>
                <w14:textFill>
                  <w14:solidFill>
                    <w14:schemeClr w14:val="tx1"/>
                  </w14:solidFill>
                </w14:textFill>
              </w:rPr>
            </w:pPr>
            <w:r>
              <w:rPr>
                <w:rFonts w:hint="eastAsia" w:ascii="宋体" w:cs="宋体"/>
                <w:color w:val="000000" w:themeColor="text1"/>
                <w:kern w:val="0"/>
                <w:szCs w:val="21"/>
                <w:highlight w:val="none"/>
                <w:lang w:bidi="ar-SA"/>
                <w14:textFill>
                  <w14:solidFill>
                    <w14:schemeClr w14:val="tx1"/>
                  </w14:solidFill>
                </w14:textFill>
              </w:rPr>
              <w:t>企业信誉实力评分标准</w:t>
            </w:r>
          </w:p>
          <w:p w14:paraId="1DA6562C">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cs="宋体"/>
                <w:color w:val="000000" w:themeColor="text1"/>
                <w:highlight w:val="none"/>
                <w:lang w:bidi="ar-SA"/>
                <w14:textFill>
                  <w14:solidFill>
                    <w14:schemeClr w14:val="tx1"/>
                  </w14:solidFill>
                </w14:textFill>
              </w:rPr>
            </w:pPr>
            <w:r>
              <w:rPr>
                <w:rFonts w:hint="eastAsia" w:ascii="宋体" w:cs="宋体"/>
                <w:color w:val="000000" w:themeColor="text1"/>
                <w:kern w:val="0"/>
                <w:szCs w:val="21"/>
                <w:highlight w:val="none"/>
                <w:lang w:bidi="ar-SA"/>
                <w14:textFill>
                  <w14:solidFill>
                    <w14:schemeClr w14:val="tx1"/>
                  </w14:solidFill>
                </w14:textFill>
              </w:rPr>
              <w:t>（满分</w:t>
            </w:r>
            <w:r>
              <w:rPr>
                <w:rFonts w:hint="eastAsia" w:ascii="宋体" w:cs="宋体"/>
                <w:color w:val="000000" w:themeColor="text1"/>
                <w:kern w:val="0"/>
                <w:szCs w:val="21"/>
                <w:highlight w:val="none"/>
                <w:lang w:val="en-US" w:eastAsia="zh-CN" w:bidi="ar-SA"/>
                <w14:textFill>
                  <w14:solidFill>
                    <w14:schemeClr w14:val="tx1"/>
                  </w14:solidFill>
                </w14:textFill>
              </w:rPr>
              <w:t>10</w:t>
            </w:r>
            <w:r>
              <w:rPr>
                <w:rFonts w:hint="eastAsia" w:ascii="宋体" w:cs="宋体"/>
                <w:color w:val="000000" w:themeColor="text1"/>
                <w:kern w:val="0"/>
                <w:szCs w:val="21"/>
                <w:highlight w:val="none"/>
                <w:lang w:bidi="ar-SA"/>
                <w14:textFill>
                  <w14:solidFill>
                    <w14:schemeClr w14:val="tx1"/>
                  </w14:solidFill>
                </w14:textFill>
              </w:rPr>
              <w:t>分）</w:t>
            </w:r>
          </w:p>
        </w:tc>
        <w:tc>
          <w:tcPr>
            <w:tcW w:w="6781" w:type="dxa"/>
            <w:gridSpan w:val="3"/>
            <w:tcBorders>
              <w:top w:val="outset" w:color="auto" w:sz="6" w:space="0"/>
              <w:left w:val="outset" w:color="auto" w:sz="6" w:space="0"/>
              <w:bottom w:val="outset" w:color="auto" w:sz="6" w:space="0"/>
              <w:right w:val="outset" w:color="auto" w:sz="6" w:space="0"/>
            </w:tcBorders>
            <w:noWrap w:val="0"/>
            <w:vAlign w:val="center"/>
          </w:tcPr>
          <w:p w14:paraId="2922697E">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000000" w:themeColor="text1"/>
                <w:highlight w:val="none"/>
                <w:lang w:bidi="ar-SA"/>
                <w14:textFill>
                  <w14:solidFill>
                    <w14:schemeClr w14:val="tx1"/>
                  </w14:solidFill>
                </w14:textFill>
              </w:rPr>
            </w:pPr>
            <w:r>
              <w:rPr>
                <w:rFonts w:hint="eastAsia" w:ascii="宋体" w:eastAsia="宋体" w:cs="宋体"/>
                <w:color w:val="000000" w:themeColor="text1"/>
                <w:szCs w:val="21"/>
                <w:highlight w:val="none"/>
                <w:lang w:bidi="ar-SA"/>
                <w14:textFill>
                  <w14:solidFill>
                    <w14:schemeClr w14:val="tx1"/>
                  </w14:solidFill>
                </w14:textFill>
              </w:rPr>
              <w:t>供应商2023年1月1日以来承接的类似项目（公路工程施工），每提供一个得</w:t>
            </w:r>
            <w:r>
              <w:rPr>
                <w:rFonts w:hint="eastAsia" w:ascii="宋体" w:cs="宋体"/>
                <w:color w:val="000000" w:themeColor="text1"/>
                <w:szCs w:val="21"/>
                <w:highlight w:val="none"/>
                <w:lang w:val="en-US" w:eastAsia="zh-CN" w:bidi="ar-SA"/>
                <w14:textFill>
                  <w14:solidFill>
                    <w14:schemeClr w14:val="tx1"/>
                  </w14:solidFill>
                </w14:textFill>
              </w:rPr>
              <w:t>5</w:t>
            </w:r>
            <w:r>
              <w:rPr>
                <w:rFonts w:hint="eastAsia" w:ascii="宋体" w:eastAsia="宋体" w:cs="宋体"/>
                <w:color w:val="000000" w:themeColor="text1"/>
                <w:szCs w:val="21"/>
                <w:highlight w:val="none"/>
                <w:lang w:bidi="ar-SA"/>
                <w14:textFill>
                  <w14:solidFill>
                    <w14:schemeClr w14:val="tx1"/>
                  </w14:solidFill>
                </w14:textFill>
              </w:rPr>
              <w:t>分，满分</w:t>
            </w:r>
            <w:r>
              <w:rPr>
                <w:rFonts w:hint="eastAsia" w:ascii="宋体" w:cs="宋体"/>
                <w:color w:val="000000" w:themeColor="text1"/>
                <w:szCs w:val="21"/>
                <w:highlight w:val="none"/>
                <w:lang w:val="en-US" w:eastAsia="zh-CN" w:bidi="ar-SA"/>
                <w14:textFill>
                  <w14:solidFill>
                    <w14:schemeClr w14:val="tx1"/>
                  </w14:solidFill>
                </w14:textFill>
              </w:rPr>
              <w:t>10</w:t>
            </w:r>
            <w:r>
              <w:rPr>
                <w:rFonts w:hint="eastAsia" w:ascii="宋体" w:eastAsia="宋体" w:cs="宋体"/>
                <w:color w:val="000000" w:themeColor="text1"/>
                <w:szCs w:val="21"/>
                <w:highlight w:val="none"/>
                <w:lang w:bidi="ar-SA"/>
                <w14:textFill>
                  <w14:solidFill>
                    <w14:schemeClr w14:val="tx1"/>
                  </w14:solidFill>
                </w14:textFill>
              </w:rPr>
              <w:t>分。以中标、成交通知书或签订的合同为准。</w:t>
            </w:r>
          </w:p>
        </w:tc>
      </w:tr>
    </w:tbl>
    <w:p w14:paraId="35550D9B">
      <w:pPr>
        <w:pStyle w:val="12"/>
        <w:tabs>
          <w:tab w:val="left" w:pos="4214"/>
        </w:tabs>
        <w:spacing w:line="400" w:lineRule="exact"/>
        <w:ind w:firstLine="422" w:firstLineChars="200"/>
        <w:rPr>
          <w:rFonts w:hint="eastAsia" w:cs="宋体"/>
          <w:color w:val="000000" w:themeColor="text1"/>
          <w:highlight w:val="none"/>
          <w:lang w:bidi="ar-SA"/>
          <w14:textFill>
            <w14:solidFill>
              <w14:schemeClr w14:val="tx1"/>
            </w14:solidFill>
          </w14:textFill>
        </w:rPr>
      </w:pPr>
      <w:r>
        <w:rPr>
          <w:rFonts w:hint="eastAsia" w:cs="宋体"/>
          <w:b/>
          <w:color w:val="000000" w:themeColor="text1"/>
          <w:highlight w:val="none"/>
          <w:lang w:bidi="ar-SA"/>
          <w14:textFill>
            <w14:solidFill>
              <w14:schemeClr w14:val="tx1"/>
            </w14:solidFill>
          </w14:textFill>
        </w:rPr>
        <w:t>综合得分＝价格得分+项目管理机构得分+施工组织设计得分+企业信誉实力得分</w:t>
      </w:r>
    </w:p>
    <w:p w14:paraId="584AAC57">
      <w:pPr>
        <w:pStyle w:val="12"/>
        <w:tabs>
          <w:tab w:val="left" w:pos="4214"/>
        </w:tabs>
        <w:spacing w:line="360" w:lineRule="exact"/>
        <w:ind w:firstLine="422" w:firstLineChars="200"/>
        <w:rPr>
          <w:rFonts w:hint="eastAsia" w:cs="宋体"/>
          <w:b/>
          <w:color w:val="000000" w:themeColor="text1"/>
          <w:highlight w:val="none"/>
          <w:lang w:bidi="ar-SA"/>
          <w14:textFill>
            <w14:solidFill>
              <w14:schemeClr w14:val="tx1"/>
            </w14:solidFill>
          </w14:textFill>
        </w:rPr>
      </w:pPr>
      <w:r>
        <w:rPr>
          <w:rFonts w:hint="eastAsia" w:cs="宋体"/>
          <w:b/>
          <w:color w:val="000000" w:themeColor="text1"/>
          <w:highlight w:val="none"/>
          <w:lang w:bidi="ar-SA"/>
          <w14:textFill>
            <w14:solidFill>
              <w14:schemeClr w14:val="tx1"/>
            </w14:solidFill>
          </w14:textFill>
        </w:rPr>
        <w:t>三、推荐成交候选供应商原则</w:t>
      </w:r>
    </w:p>
    <w:p w14:paraId="79198FC6">
      <w:pPr>
        <w:pStyle w:val="12"/>
        <w:tabs>
          <w:tab w:val="left" w:pos="4214"/>
        </w:tabs>
        <w:spacing w:line="360" w:lineRule="exact"/>
        <w:ind w:firstLine="315" w:firstLineChars="150"/>
        <w:rPr>
          <w:rFonts w:hint="eastAsia" w:cs="宋体"/>
          <w:color w:val="000000" w:themeColor="text1"/>
          <w:highlight w:val="none"/>
          <w:lang w:bidi="ar-SA"/>
          <w14:textFill>
            <w14:solidFill>
              <w14:schemeClr w14:val="tx1"/>
            </w14:solidFill>
          </w14:textFill>
        </w:rPr>
      </w:pPr>
      <w:r>
        <w:rPr>
          <w:rFonts w:hint="eastAsia" w:cs="宋体"/>
          <w:color w:val="000000" w:themeColor="text1"/>
          <w:highlight w:val="none"/>
          <w:lang w:bidi="ar-SA"/>
          <w14:textFill>
            <w14:solidFill>
              <w14:schemeClr w14:val="tx1"/>
            </w14:solidFill>
          </w14:textFill>
        </w:rPr>
        <w:t>（1）磋商小组将根据得分由高到低排列次序并推荐三名成交候选供应商，并编写评审报告。磋商小组根据综合得分由高到低排列次序，若得分相同时，以评审报价由低到高顺序排列；若得分相同且评审报价相同的，依次按施工组织设计、企业信誉实力得分由高到低顺序排列并推荐成交候选供应商。若仍相同时，则由磋商小组集体讨论确定。</w:t>
      </w:r>
    </w:p>
    <w:p w14:paraId="1FEF41A3">
      <w:pPr>
        <w:pStyle w:val="12"/>
        <w:tabs>
          <w:tab w:val="left" w:pos="4214"/>
        </w:tabs>
        <w:spacing w:line="360" w:lineRule="exact"/>
        <w:ind w:firstLine="420" w:firstLineChars="200"/>
        <w:rPr>
          <w:rFonts w:hint="eastAsia" w:cs="宋体"/>
          <w:color w:val="000000" w:themeColor="text1"/>
          <w:highlight w:val="none"/>
          <w:lang w:bidi="ar-SA"/>
          <w14:textFill>
            <w14:solidFill>
              <w14:schemeClr w14:val="tx1"/>
            </w14:solidFill>
          </w14:textFill>
        </w:rPr>
      </w:pPr>
      <w:r>
        <w:rPr>
          <w:rFonts w:hint="eastAsia" w:cs="宋体"/>
          <w:color w:val="000000" w:themeColor="text1"/>
          <w:highlight w:val="none"/>
          <w:lang w:bidi="ar-SA"/>
          <w14:textFill>
            <w14:solidFill>
              <w14:schemeClr w14:val="tx1"/>
            </w14:solidFill>
          </w14:textFill>
        </w:rPr>
        <w:t>（2）采购人应当确定磋商小组推荐排名第一的供应商为成交供应商。</w:t>
      </w:r>
    </w:p>
    <w:p w14:paraId="282DDE5B">
      <w:pPr>
        <w:widowControl/>
        <w:spacing w:line="400" w:lineRule="exact"/>
        <w:ind w:firstLine="420" w:firstLineChars="200"/>
        <w:jc w:val="left"/>
        <w:rPr>
          <w:rFonts w:hint="eastAsia" w:cs="宋体"/>
          <w:color w:val="000000" w:themeColor="text1"/>
          <w:highlight w:val="none"/>
          <w:lang w:bidi="ar-SA"/>
          <w14:textFill>
            <w14:solidFill>
              <w14:schemeClr w14:val="tx1"/>
            </w14:solidFill>
          </w14:textFill>
        </w:rPr>
      </w:pPr>
      <w:r>
        <w:rPr>
          <w:rFonts w:hint="eastAsia" w:ascii="宋体" w:cs="宋体"/>
          <w:color w:val="000000" w:themeColor="text1"/>
          <w:highlight w:val="none"/>
          <w:lang w:bidi="ar-SA"/>
          <w14:textFill>
            <w14:solidFill>
              <w14:schemeClr w14:val="tx1"/>
            </w14:solidFill>
          </w14:textFill>
        </w:rPr>
        <w:t>（3）</w:t>
      </w:r>
      <w:r>
        <w:rPr>
          <w:rFonts w:hint="eastAsia" w:ascii="宋体" w:cs="宋体"/>
          <w:color w:val="000000" w:themeColor="text1"/>
          <w:kern w:val="0"/>
          <w:szCs w:val="21"/>
          <w:highlight w:val="none"/>
          <w:lang w:bidi="ar-SA"/>
          <w14:textFill>
            <w14:solidFill>
              <w14:schemeClr w14:val="tx1"/>
            </w14:solidFill>
          </w14:textFill>
        </w:rPr>
        <w:t>排名第一的成交候选人放弃成交、因不可抗力提出不能履行合同，或信用信息记录不符合相关规定的，采购人可以确定排名第二的成交候选人为成交供应商或重新采购</w:t>
      </w:r>
      <w:r>
        <w:rPr>
          <w:rFonts w:hint="eastAsia" w:cs="宋体"/>
          <w:color w:val="000000" w:themeColor="text1"/>
          <w:highlight w:val="none"/>
          <w:lang w:bidi="ar-SA"/>
          <w14:textFill>
            <w14:solidFill>
              <w14:schemeClr w14:val="tx1"/>
            </w14:solidFill>
          </w14:textFill>
        </w:rPr>
        <w:t>。</w:t>
      </w:r>
    </w:p>
    <w:p w14:paraId="4DFBC699">
      <w:pPr>
        <w:ind w:firstLine="420" w:firstLineChars="200"/>
        <w:jc w:val="left"/>
        <w:rPr>
          <w:rFonts w:hint="eastAsia"/>
          <w:b/>
          <w:color w:val="000000" w:themeColor="text1"/>
          <w:sz w:val="36"/>
          <w:szCs w:val="36"/>
          <w:highlight w:val="none"/>
          <w14:textFill>
            <w14:solidFill>
              <w14:schemeClr w14:val="tx1"/>
            </w14:solidFill>
          </w14:textFill>
        </w:rPr>
      </w:pPr>
      <w:r>
        <w:rPr>
          <w:rFonts w:hint="eastAsia" w:cs="宋体"/>
          <w:color w:val="000000" w:themeColor="text1"/>
          <w:highlight w:val="none"/>
          <w:lang w:bidi="ar-SA"/>
          <w14:textFill>
            <w14:solidFill>
              <w14:schemeClr w14:val="tx1"/>
            </w14:solidFill>
          </w14:textFill>
        </w:rPr>
        <w:t>（4）第二成交候选人因前款规定的同样原因不能签订合同的，采购人可以确定排名第三的成交候选人为成交供应商或者重新组织采购。</w:t>
      </w:r>
    </w:p>
    <w:p w14:paraId="35101155">
      <w:pPr>
        <w:spacing w:line="400" w:lineRule="exact"/>
        <w:ind w:firstLine="422" w:firstLineChars="200"/>
        <w:jc w:val="left"/>
        <w:rPr>
          <w:rFonts w:hint="eastAsia" w:cs="宋体"/>
          <w:b/>
          <w:bCs/>
          <w:color w:val="000000" w:themeColor="text1"/>
          <w:kern w:val="0"/>
          <w:highlight w:val="none"/>
          <w:lang w:val="en" w:eastAsia="en" w:bidi="ar-SA"/>
          <w14:textFill>
            <w14:solidFill>
              <w14:schemeClr w14:val="tx1"/>
            </w14:solidFill>
          </w14:textFill>
        </w:rPr>
      </w:pPr>
    </w:p>
    <w:p w14:paraId="2EE735DA">
      <w:pPr>
        <w:spacing w:line="620" w:lineRule="exact"/>
        <w:rPr>
          <w:rFonts w:hint="eastAsia" w:ascii="仿宋_GB2312" w:eastAsia="仿宋_GB2312"/>
          <w:b/>
          <w:color w:val="000000" w:themeColor="text1"/>
          <w:sz w:val="44"/>
          <w:szCs w:val="44"/>
          <w:highlight w:val="none"/>
          <w14:textFill>
            <w14:solidFill>
              <w14:schemeClr w14:val="tx1"/>
            </w14:solidFill>
          </w14:textFill>
        </w:rPr>
      </w:pPr>
    </w:p>
    <w:p w14:paraId="7F575BE7">
      <w:pPr>
        <w:autoSpaceDE w:val="0"/>
        <w:autoSpaceDN w:val="0"/>
        <w:adjustRightInd w:val="0"/>
        <w:snapToGrid w:val="0"/>
        <w:spacing w:line="300" w:lineRule="auto"/>
        <w:jc w:val="center"/>
        <w:outlineLvl w:val="0"/>
        <w:rPr>
          <w:rFonts w:hint="eastAsia" w:ascii="仿宋_GB2312" w:eastAsia="仿宋_GB2312"/>
          <w:b/>
          <w:color w:val="000000" w:themeColor="text1"/>
          <w:kern w:val="0"/>
          <w:sz w:val="44"/>
          <w:szCs w:val="44"/>
          <w:highlight w:val="none"/>
          <w14:textFill>
            <w14:solidFill>
              <w14:schemeClr w14:val="tx1"/>
            </w14:solidFill>
          </w14:textFill>
        </w:rPr>
      </w:pPr>
      <w:r>
        <w:rPr>
          <w:rFonts w:hint="eastAsia" w:ascii="仿宋_GB2312" w:eastAsia="仿宋_GB2312"/>
          <w:b/>
          <w:color w:val="000000" w:themeColor="text1"/>
          <w:sz w:val="44"/>
          <w:szCs w:val="44"/>
          <w:highlight w:val="none"/>
          <w14:textFill>
            <w14:solidFill>
              <w14:schemeClr w14:val="tx1"/>
            </w14:solidFill>
          </w14:textFill>
        </w:rPr>
        <w:br w:type="page"/>
      </w:r>
      <w:bookmarkStart w:id="7" w:name="_Toc10515"/>
      <w:r>
        <w:rPr>
          <w:rFonts w:hint="eastAsia" w:ascii="仿宋_GB2312" w:eastAsia="仿宋_GB2312"/>
          <w:b/>
          <w:color w:val="000000" w:themeColor="text1"/>
          <w:sz w:val="44"/>
          <w:szCs w:val="44"/>
          <w:highlight w:val="none"/>
          <w14:textFill>
            <w14:solidFill>
              <w14:schemeClr w14:val="tx1"/>
            </w14:solidFill>
          </w14:textFill>
        </w:rPr>
        <w:t xml:space="preserve">第四章  </w:t>
      </w:r>
      <w:r>
        <w:rPr>
          <w:rFonts w:hint="eastAsia" w:ascii="仿宋_GB2312" w:eastAsia="仿宋_GB2312"/>
          <w:b/>
          <w:color w:val="000000" w:themeColor="text1"/>
          <w:kern w:val="0"/>
          <w:sz w:val="44"/>
          <w:szCs w:val="44"/>
          <w:highlight w:val="none"/>
          <w14:textFill>
            <w14:solidFill>
              <w14:schemeClr w14:val="tx1"/>
            </w14:solidFill>
          </w14:textFill>
        </w:rPr>
        <w:t>合同条款及格式</w:t>
      </w:r>
      <w:bookmarkEnd w:id="7"/>
    </w:p>
    <w:p w14:paraId="32F57152">
      <w:pPr>
        <w:pStyle w:val="41"/>
        <w:snapToGrid w:val="0"/>
        <w:spacing w:line="360" w:lineRule="auto"/>
        <w:jc w:val="center"/>
        <w:outlineLvl w:val="9"/>
        <w:rPr>
          <w:rFonts w:hint="eastAsia" w:ascii="宋体"/>
          <w:color w:val="000000" w:themeColor="text1"/>
          <w:sz w:val="32"/>
          <w:highlight w:val="none"/>
          <w14:textFill>
            <w14:solidFill>
              <w14:schemeClr w14:val="tx1"/>
            </w14:solidFill>
          </w14:textFill>
        </w:rPr>
      </w:pPr>
      <w:bookmarkStart w:id="8" w:name="_Toc20097"/>
      <w:bookmarkStart w:id="9" w:name="_Toc296890982"/>
      <w:bookmarkStart w:id="10" w:name="_Toc296503025"/>
      <w:bookmarkStart w:id="11" w:name="_Toc14946"/>
      <w:bookmarkStart w:id="12" w:name="_Toc389065255"/>
      <w:bookmarkStart w:id="13" w:name="_Toc406522027"/>
      <w:bookmarkStart w:id="14" w:name="_Toc483317088"/>
      <w:bookmarkStart w:id="15" w:name="_Toc351203480"/>
      <w:bookmarkStart w:id="16" w:name="_Toc373227552"/>
      <w:bookmarkStart w:id="17" w:name="_Toc418752049"/>
      <w:bookmarkStart w:id="18" w:name="_Toc373478199"/>
      <w:bookmarkStart w:id="19" w:name="_Toc395382491"/>
      <w:bookmarkStart w:id="20" w:name="_Toc6698"/>
      <w:r>
        <w:rPr>
          <w:rFonts w:hint="eastAsia" w:ascii="宋体"/>
          <w:color w:val="000000" w:themeColor="text1"/>
          <w:sz w:val="32"/>
          <w:highlight w:val="none"/>
          <w14:textFill>
            <w14:solidFill>
              <w14:schemeClr w14:val="tx1"/>
            </w14:solidFill>
          </w14:textFill>
        </w:rPr>
        <w:t>第一部分 合同协议书</w:t>
      </w:r>
      <w:bookmarkEnd w:id="8"/>
      <w:bookmarkEnd w:id="9"/>
      <w:bookmarkEnd w:id="10"/>
      <w:bookmarkEnd w:id="11"/>
      <w:bookmarkEnd w:id="12"/>
      <w:bookmarkEnd w:id="13"/>
      <w:bookmarkEnd w:id="14"/>
      <w:bookmarkEnd w:id="15"/>
      <w:bookmarkEnd w:id="16"/>
      <w:bookmarkEnd w:id="17"/>
      <w:bookmarkEnd w:id="18"/>
      <w:bookmarkEnd w:id="19"/>
      <w:bookmarkEnd w:id="20"/>
    </w:p>
    <w:p w14:paraId="789E8E5E">
      <w:pPr>
        <w:adjustRightInd w:val="0"/>
        <w:snapToGrid w:val="0"/>
        <w:spacing w:line="400" w:lineRule="exact"/>
        <w:outlineLvl w:val="9"/>
        <w:rPr>
          <w:rFonts w:hint="eastAsia" w:ascii="宋体"/>
          <w:color w:val="000000" w:themeColor="text1"/>
          <w:szCs w:val="21"/>
          <w:highlight w:val="none"/>
          <w:u w:val="single"/>
          <w14:textFill>
            <w14:solidFill>
              <w14:schemeClr w14:val="tx1"/>
            </w14:solidFill>
          </w14:textFill>
        </w:rPr>
      </w:pPr>
      <w:r>
        <w:rPr>
          <w:rFonts w:hint="eastAsia" w:ascii="宋体"/>
          <w:color w:val="000000" w:themeColor="text1"/>
          <w:szCs w:val="21"/>
          <w:highlight w:val="none"/>
          <w14:textFill>
            <w14:solidFill>
              <w14:schemeClr w14:val="tx1"/>
            </w14:solidFill>
          </w14:textFill>
        </w:rPr>
        <w:t>发包人（全称）：</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lang w:eastAsia="zh-CN"/>
          <w14:textFill>
            <w14:solidFill>
              <w14:schemeClr w14:val="tx1"/>
            </w14:solidFill>
          </w14:textFill>
        </w:rPr>
        <w:t>兴安县农业农村局</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lang w:val="en-US" w:eastAsia="zh-CN"/>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p>
    <w:p w14:paraId="262D3424">
      <w:pPr>
        <w:adjustRightInd w:val="0"/>
        <w:snapToGrid w:val="0"/>
        <w:spacing w:line="400" w:lineRule="exact"/>
        <w:outlineLvl w:val="9"/>
        <w:rPr>
          <w:rFonts w:hint="eastAsia" w:ascii="宋体"/>
          <w:color w:val="000000" w:themeColor="text1"/>
          <w:szCs w:val="21"/>
          <w:highlight w:val="none"/>
          <w:u w:val="single"/>
          <w14:textFill>
            <w14:solidFill>
              <w14:schemeClr w14:val="tx1"/>
            </w14:solidFill>
          </w14:textFill>
        </w:rPr>
      </w:pPr>
      <w:r>
        <w:rPr>
          <w:rFonts w:hint="eastAsia" w:ascii="宋体"/>
          <w:color w:val="000000" w:themeColor="text1"/>
          <w:szCs w:val="21"/>
          <w:highlight w:val="none"/>
          <w14:textFill>
            <w14:solidFill>
              <w14:schemeClr w14:val="tx1"/>
            </w14:solidFill>
          </w14:textFill>
        </w:rPr>
        <w:t>承包人（全称）：</w:t>
      </w:r>
      <w:r>
        <w:rPr>
          <w:rFonts w:hint="eastAsia" w:ascii="宋体"/>
          <w:color w:val="000000" w:themeColor="text1"/>
          <w:szCs w:val="21"/>
          <w:highlight w:val="none"/>
          <w:u w:val="single"/>
          <w14:textFill>
            <w14:solidFill>
              <w14:schemeClr w14:val="tx1"/>
            </w14:solidFill>
          </w14:textFill>
        </w:rPr>
        <w:t xml:space="preserve">                                        </w:t>
      </w:r>
    </w:p>
    <w:p w14:paraId="116F643D">
      <w:pPr>
        <w:adjustRightInd w:val="0"/>
        <w:snapToGrid w:val="0"/>
        <w:spacing w:line="40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根据《中华人民共和国民法典》、《中华人民共和国建筑法》及有关法律规定，遵循平等、自愿、公平和诚实信用的原则，双方就</w:t>
      </w:r>
      <w:r>
        <w:rPr>
          <w:rFonts w:hint="eastAsia" w:ascii="宋体"/>
          <w:color w:val="000000" w:themeColor="text1"/>
          <w:szCs w:val="21"/>
          <w:highlight w:val="none"/>
          <w:u w:val="single"/>
          <w:lang w:eastAsia="zh-CN"/>
          <w14:textFill>
            <w14:solidFill>
              <w14:schemeClr w14:val="tx1"/>
            </w14:solidFill>
          </w14:textFill>
        </w:rPr>
        <w:t>界首镇兴田村委址福田村柑橘产业道路硬化项目</w:t>
      </w:r>
      <w:r>
        <w:rPr>
          <w:rFonts w:hint="eastAsia" w:ascii="宋体"/>
          <w:color w:val="000000" w:themeColor="text1"/>
          <w:szCs w:val="21"/>
          <w:highlight w:val="none"/>
          <w:u w:val="single"/>
          <w14:textFill>
            <w14:solidFill>
              <w14:schemeClr w14:val="tx1"/>
            </w14:solidFill>
          </w14:textFill>
        </w:rPr>
        <w:t xml:space="preserve">（项目编号： </w:t>
      </w:r>
      <w:r>
        <w:rPr>
          <w:rFonts w:hint="eastAsia" w:ascii="宋体"/>
          <w:color w:val="000000" w:themeColor="text1"/>
          <w:szCs w:val="21"/>
          <w:highlight w:val="none"/>
          <w:u w:val="single"/>
          <w:lang w:eastAsia="zh-CN"/>
          <w14:textFill>
            <w14:solidFill>
              <w14:schemeClr w14:val="tx1"/>
            </w14:solidFill>
          </w14:textFill>
        </w:rPr>
        <w:t>GLZC2026-C2-250027-GXZQ</w:t>
      </w:r>
      <w:r>
        <w:rPr>
          <w:rFonts w:hint="eastAsia" w:ascii="宋体"/>
          <w:color w:val="000000" w:themeColor="text1"/>
          <w:szCs w:val="21"/>
          <w:highlight w:val="none"/>
          <w:u w:val="single"/>
          <w14:textFill>
            <w14:solidFill>
              <w14:schemeClr w14:val="tx1"/>
            </w14:solidFill>
          </w14:textFill>
        </w:rPr>
        <w:t>）</w:t>
      </w:r>
      <w:r>
        <w:rPr>
          <w:rFonts w:hint="eastAsia" w:ascii="宋体"/>
          <w:color w:val="000000" w:themeColor="text1"/>
          <w:szCs w:val="21"/>
          <w:highlight w:val="none"/>
          <w14:textFill>
            <w14:solidFill>
              <w14:schemeClr w14:val="tx1"/>
            </w14:solidFill>
          </w14:textFill>
        </w:rPr>
        <w:t>工程施工及有关事项协商一致，共同达成如下协议：</w:t>
      </w:r>
      <w:bookmarkStart w:id="21" w:name="_Toc351203481"/>
    </w:p>
    <w:p w14:paraId="58CF9338">
      <w:pPr>
        <w:pStyle w:val="42"/>
        <w:adjustRightInd w:val="0"/>
        <w:snapToGrid w:val="0"/>
        <w:spacing w:line="400" w:lineRule="exact"/>
        <w:outlineLvl w:val="9"/>
        <w:rPr>
          <w:b/>
          <w:color w:val="000000" w:themeColor="text1"/>
          <w:highlight w:val="none"/>
          <w14:textFill>
            <w14:solidFill>
              <w14:schemeClr w14:val="tx1"/>
            </w14:solidFill>
          </w14:textFill>
        </w:rPr>
      </w:pPr>
      <w:bookmarkStart w:id="22" w:name="_Toc418752050"/>
      <w:bookmarkStart w:id="23" w:name="_Toc406522028"/>
      <w:bookmarkStart w:id="24" w:name="_Toc406419153"/>
      <w:bookmarkStart w:id="25" w:name="_Toc483317089"/>
      <w:r>
        <w:rPr>
          <w:b/>
          <w:color w:val="000000" w:themeColor="text1"/>
          <w:highlight w:val="none"/>
          <w14:textFill>
            <w14:solidFill>
              <w14:schemeClr w14:val="tx1"/>
            </w14:solidFill>
          </w14:textFill>
        </w:rPr>
        <w:t>一、工程概况</w:t>
      </w:r>
      <w:bookmarkEnd w:id="21"/>
      <w:bookmarkEnd w:id="22"/>
      <w:bookmarkEnd w:id="23"/>
      <w:bookmarkEnd w:id="24"/>
      <w:bookmarkEnd w:id="25"/>
    </w:p>
    <w:p w14:paraId="409B2D11">
      <w:pPr>
        <w:numPr>
          <w:ilvl w:val="0"/>
          <w:numId w:val="2"/>
        </w:numPr>
        <w:adjustRightInd w:val="0"/>
        <w:snapToGrid w:val="0"/>
        <w:spacing w:line="400" w:lineRule="exact"/>
        <w:rPr>
          <w:rFonts w:hint="eastAsia" w:ascii="宋体"/>
          <w:b w:val="0"/>
          <w:color w:val="000000" w:themeColor="text1"/>
          <w:sz w:val="2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工程名称</w:t>
      </w:r>
      <w:r>
        <w:rPr>
          <w:rFonts w:hint="eastAsia" w:ascii="宋体"/>
          <w:color w:val="000000" w:themeColor="text1"/>
          <w:szCs w:val="21"/>
          <w:highlight w:val="none"/>
          <w14:textFill>
            <w14:solidFill>
              <w14:schemeClr w14:val="tx1"/>
            </w14:solidFill>
          </w14:textFill>
        </w:rPr>
        <w:t>：</w:t>
      </w:r>
      <w:r>
        <w:rPr>
          <w:rFonts w:hint="eastAsia" w:ascii="宋体"/>
          <w:color w:val="000000" w:themeColor="text1"/>
          <w:szCs w:val="21"/>
          <w:highlight w:val="none"/>
          <w:u w:val="single"/>
          <w:lang w:eastAsia="zh-CN"/>
          <w14:textFill>
            <w14:solidFill>
              <w14:schemeClr w14:val="tx1"/>
            </w14:solidFill>
          </w14:textFill>
        </w:rPr>
        <w:t>界首镇兴田村委址福田村柑橘产业道路硬化项目</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lang w:eastAsia="zh-CN"/>
          <w14:textFill>
            <w14:solidFill>
              <w14:schemeClr w14:val="tx1"/>
            </w14:solidFill>
          </w14:textFill>
        </w:rPr>
        <w:t>。</w:t>
      </w:r>
    </w:p>
    <w:p w14:paraId="013987EB">
      <w:pPr>
        <w:adjustRightInd w:val="0"/>
        <w:snapToGrid w:val="0"/>
        <w:spacing w:line="400" w:lineRule="exact"/>
        <w:ind w:firstLine="411" w:firstLineChars="196"/>
        <w:rPr>
          <w:rFonts w:hint="eastAsia" w:ascii="宋体"/>
          <w:bCs/>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2. 工程地点：</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lang w:eastAsia="zh-CN"/>
          <w14:textFill>
            <w14:solidFill>
              <w14:schemeClr w14:val="tx1"/>
            </w14:solidFill>
          </w14:textFill>
        </w:rPr>
        <w:t>桂林市兴安县界首镇</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w:t>
      </w:r>
    </w:p>
    <w:p w14:paraId="6CB70A72">
      <w:pPr>
        <w:adjustRightInd w:val="0"/>
        <w:snapToGrid w:val="0"/>
        <w:spacing w:line="400" w:lineRule="exact"/>
        <w:ind w:firstLine="411" w:firstLineChars="196"/>
        <w:rPr>
          <w:rFonts w:hint="eastAsia" w:ascii="宋体" w:eastAsia="宋体"/>
          <w:bCs/>
          <w:color w:val="000000" w:themeColor="text1"/>
          <w:szCs w:val="21"/>
          <w:highlight w:val="none"/>
          <w:lang w:eastAsia="zh-CN"/>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3. 资金来源：</w:t>
      </w:r>
      <w:r>
        <w:rPr>
          <w:rFonts w:hint="eastAsia" w:ascii="宋体"/>
          <w:color w:val="000000" w:themeColor="text1"/>
          <w:szCs w:val="21"/>
          <w:highlight w:val="none"/>
          <w:u w:val="single"/>
          <w14:textFill>
            <w14:solidFill>
              <w14:schemeClr w14:val="tx1"/>
            </w14:solidFill>
          </w14:textFill>
        </w:rPr>
        <w:t xml:space="preserve"> 财政资金  </w:t>
      </w:r>
      <w:r>
        <w:rPr>
          <w:rFonts w:hint="eastAsia" w:ascii="宋体"/>
          <w:bCs/>
          <w:color w:val="000000" w:themeColor="text1"/>
          <w:szCs w:val="21"/>
          <w:highlight w:val="none"/>
          <w14:textFill>
            <w14:solidFill>
              <w14:schemeClr w14:val="tx1"/>
            </w14:solidFill>
          </w14:textFill>
        </w:rPr>
        <w:t>。</w:t>
      </w:r>
    </w:p>
    <w:p w14:paraId="38BC1516">
      <w:pPr>
        <w:adjustRightInd w:val="0"/>
        <w:snapToGrid w:val="0"/>
        <w:spacing w:line="400" w:lineRule="exact"/>
        <w:ind w:firstLine="411" w:firstLineChars="196"/>
        <w:rPr>
          <w:rFonts w:hint="default" w:ascii="宋体" w:eastAsia="宋体"/>
          <w:bCs/>
          <w:color w:val="000000" w:themeColor="text1"/>
          <w:szCs w:val="21"/>
          <w:highlight w:val="none"/>
          <w:lang w:val="en-US" w:eastAsia="zh-CN"/>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4. 工程内容：</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lang w:val="en-US" w:eastAsia="zh-CN"/>
          <w14:textFill>
            <w14:solidFill>
              <w14:schemeClr w14:val="tx1"/>
            </w14:solidFill>
          </w14:textFill>
        </w:rPr>
        <w:t xml:space="preserve"> 道路硬化长1.725公里，路基宽度4.5米，路面硬化宽度3.5米，为水泥混凝土路面。 </w:t>
      </w:r>
    </w:p>
    <w:p w14:paraId="05BEFD74">
      <w:pPr>
        <w:adjustRightInd w:val="0"/>
        <w:snapToGrid w:val="0"/>
        <w:spacing w:line="400" w:lineRule="exact"/>
        <w:ind w:firstLine="411" w:firstLineChars="196"/>
        <w:rPr>
          <w:rFonts w:hint="eastAsia" w:ascii="宋体"/>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5. 工程承包范围：</w:t>
      </w:r>
      <w:r>
        <w:rPr>
          <w:rFonts w:hint="eastAsia" w:ascii="宋体"/>
          <w:color w:val="000000" w:themeColor="text1"/>
          <w:szCs w:val="21"/>
          <w:highlight w:val="none"/>
          <w:u w:val="single"/>
          <w14:textFill>
            <w14:solidFill>
              <w14:schemeClr w14:val="tx1"/>
            </w14:solidFill>
          </w14:textFill>
        </w:rPr>
        <w:t>施工图纸范围内的工程，具体情况详见施工图纸及工程量清单</w:t>
      </w:r>
      <w:r>
        <w:rPr>
          <w:rFonts w:hint="eastAsia" w:ascii="宋体"/>
          <w:color w:val="000000" w:themeColor="text1"/>
          <w:szCs w:val="21"/>
          <w:highlight w:val="none"/>
          <w14:textFill>
            <w14:solidFill>
              <w14:schemeClr w14:val="tx1"/>
            </w14:solidFill>
          </w14:textFill>
        </w:rPr>
        <w:t>。</w:t>
      </w:r>
    </w:p>
    <w:p w14:paraId="11737799">
      <w:pPr>
        <w:pStyle w:val="42"/>
        <w:adjustRightInd w:val="0"/>
        <w:snapToGrid w:val="0"/>
        <w:spacing w:line="400" w:lineRule="exact"/>
        <w:outlineLvl w:val="9"/>
        <w:rPr>
          <w:b/>
          <w:color w:val="000000" w:themeColor="text1"/>
          <w:highlight w:val="none"/>
          <w14:textFill>
            <w14:solidFill>
              <w14:schemeClr w14:val="tx1"/>
            </w14:solidFill>
          </w14:textFill>
        </w:rPr>
      </w:pPr>
      <w:bookmarkStart w:id="26" w:name="_Toc483317090"/>
      <w:bookmarkStart w:id="27" w:name="_Toc406522029"/>
      <w:bookmarkStart w:id="28" w:name="_Toc351203482"/>
      <w:bookmarkStart w:id="29" w:name="_Toc406419154"/>
      <w:bookmarkStart w:id="30" w:name="_Toc418752051"/>
      <w:r>
        <w:rPr>
          <w:b/>
          <w:color w:val="000000" w:themeColor="text1"/>
          <w:highlight w:val="none"/>
          <w14:textFill>
            <w14:solidFill>
              <w14:schemeClr w14:val="tx1"/>
            </w14:solidFill>
          </w14:textFill>
        </w:rPr>
        <w:t>二、合同工期</w:t>
      </w:r>
      <w:bookmarkEnd w:id="26"/>
      <w:bookmarkEnd w:id="27"/>
      <w:bookmarkEnd w:id="28"/>
      <w:bookmarkEnd w:id="29"/>
      <w:bookmarkEnd w:id="30"/>
    </w:p>
    <w:p w14:paraId="32E80D34">
      <w:pPr>
        <w:adjustRightInd w:val="0"/>
        <w:snapToGrid w:val="0"/>
        <w:spacing w:line="400" w:lineRule="exact"/>
        <w:ind w:firstLine="459"/>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计划开工日期：</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年</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月</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日。</w:t>
      </w:r>
    </w:p>
    <w:p w14:paraId="61002868">
      <w:pPr>
        <w:adjustRightInd w:val="0"/>
        <w:snapToGrid w:val="0"/>
        <w:spacing w:line="400" w:lineRule="exact"/>
        <w:ind w:firstLine="459"/>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计划竣工日期：</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年</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月</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日。</w:t>
      </w:r>
    </w:p>
    <w:p w14:paraId="05F9FC34">
      <w:pPr>
        <w:adjustRightInd w:val="0"/>
        <w:snapToGrid w:val="0"/>
        <w:spacing w:line="400" w:lineRule="exact"/>
        <w:ind w:firstLine="459"/>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工期总日历天数：</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lang w:val="en-US" w:eastAsia="zh-CN"/>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天（以招标人通知开工之日起计算）。工期总日历天数与根据前述计划开竣工日期计算的工期天数不一致的，以工期总日历天数为准。</w:t>
      </w:r>
    </w:p>
    <w:p w14:paraId="47AE607F">
      <w:pPr>
        <w:pStyle w:val="42"/>
        <w:adjustRightInd w:val="0"/>
        <w:snapToGrid w:val="0"/>
        <w:spacing w:line="400" w:lineRule="exact"/>
        <w:outlineLvl w:val="9"/>
        <w:rPr>
          <w:rFonts w:hint="eastAsia" w:eastAsia="宋体"/>
          <w:b/>
          <w:color w:val="000000" w:themeColor="text1"/>
          <w:highlight w:val="none"/>
          <w:lang w:eastAsia="zh-CN"/>
          <w14:textFill>
            <w14:solidFill>
              <w14:schemeClr w14:val="tx1"/>
            </w14:solidFill>
          </w14:textFill>
        </w:rPr>
      </w:pPr>
      <w:bookmarkStart w:id="31" w:name="_Toc483317091"/>
      <w:bookmarkStart w:id="32" w:name="_Toc351203483"/>
      <w:bookmarkStart w:id="33" w:name="_Toc418752052"/>
      <w:bookmarkStart w:id="34" w:name="_Toc406419155"/>
      <w:bookmarkStart w:id="35" w:name="_Toc406522030"/>
      <w:bookmarkStart w:id="36" w:name="_Toc418751606"/>
      <w:r>
        <w:rPr>
          <w:b/>
          <w:color w:val="000000" w:themeColor="text1"/>
          <w:highlight w:val="none"/>
          <w14:textFill>
            <w14:solidFill>
              <w14:schemeClr w14:val="tx1"/>
            </w14:solidFill>
          </w14:textFill>
        </w:rPr>
        <w:t>三、质量标准</w:t>
      </w:r>
      <w:bookmarkEnd w:id="31"/>
      <w:bookmarkEnd w:id="32"/>
      <w:bookmarkEnd w:id="33"/>
      <w:bookmarkEnd w:id="34"/>
      <w:bookmarkEnd w:id="35"/>
      <w:bookmarkEnd w:id="36"/>
    </w:p>
    <w:p w14:paraId="57FD2FA3">
      <w:pPr>
        <w:adjustRightInd w:val="0"/>
        <w:snapToGrid w:val="0"/>
        <w:spacing w:line="400" w:lineRule="exact"/>
        <w:ind w:firstLine="459"/>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工程质量符合</w:t>
      </w:r>
      <w:r>
        <w:rPr>
          <w:rFonts w:hint="eastAsia" w:ascii="宋体"/>
          <w:color w:val="000000" w:themeColor="text1"/>
          <w:szCs w:val="21"/>
          <w:highlight w:val="none"/>
          <w:u w:val="single"/>
          <w14:textFill>
            <w14:solidFill>
              <w14:schemeClr w14:val="tx1"/>
            </w14:solidFill>
          </w14:textFill>
        </w:rPr>
        <w:t xml:space="preserve">  国家施工验收规范合格  </w:t>
      </w:r>
      <w:r>
        <w:rPr>
          <w:rFonts w:hint="eastAsia" w:ascii="宋体"/>
          <w:color w:val="000000" w:themeColor="text1"/>
          <w:szCs w:val="21"/>
          <w:highlight w:val="none"/>
          <w14:textFill>
            <w14:solidFill>
              <w14:schemeClr w14:val="tx1"/>
            </w14:solidFill>
          </w14:textFill>
        </w:rPr>
        <w:t>标准。</w:t>
      </w:r>
    </w:p>
    <w:p w14:paraId="530190B8">
      <w:pPr>
        <w:pStyle w:val="42"/>
        <w:adjustRightInd w:val="0"/>
        <w:snapToGrid w:val="0"/>
        <w:spacing w:line="400" w:lineRule="exact"/>
        <w:outlineLvl w:val="9"/>
        <w:rPr>
          <w:b/>
          <w:color w:val="000000" w:themeColor="text1"/>
          <w:highlight w:val="none"/>
          <w14:textFill>
            <w14:solidFill>
              <w14:schemeClr w14:val="tx1"/>
            </w14:solidFill>
          </w14:textFill>
        </w:rPr>
      </w:pPr>
      <w:bookmarkStart w:id="37" w:name="_Toc418752053"/>
      <w:bookmarkStart w:id="38" w:name="_Toc483317092"/>
      <w:bookmarkStart w:id="39" w:name="_Toc418751607"/>
      <w:bookmarkStart w:id="40" w:name="_Toc351203484"/>
      <w:bookmarkStart w:id="41" w:name="_Toc406419156"/>
      <w:bookmarkStart w:id="42" w:name="_Toc406522031"/>
      <w:r>
        <w:rPr>
          <w:b/>
          <w:color w:val="000000" w:themeColor="text1"/>
          <w:highlight w:val="none"/>
          <w14:textFill>
            <w14:solidFill>
              <w14:schemeClr w14:val="tx1"/>
            </w14:solidFill>
          </w14:textFill>
        </w:rPr>
        <w:t>四、签约合同价与合同价格形式</w:t>
      </w:r>
      <w:bookmarkEnd w:id="37"/>
      <w:bookmarkEnd w:id="38"/>
      <w:bookmarkEnd w:id="39"/>
      <w:bookmarkEnd w:id="40"/>
      <w:bookmarkEnd w:id="41"/>
      <w:bookmarkEnd w:id="42"/>
    </w:p>
    <w:p w14:paraId="150E68CA">
      <w:pPr>
        <w:adjustRightInd w:val="0"/>
        <w:snapToGrid w:val="0"/>
        <w:spacing w:line="400" w:lineRule="exact"/>
        <w:ind w:firstLine="459"/>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 签约合同价为：</w:t>
      </w:r>
    </w:p>
    <w:p w14:paraId="29B55DE4">
      <w:pPr>
        <w:adjustRightInd w:val="0"/>
        <w:snapToGrid w:val="0"/>
        <w:spacing w:line="400" w:lineRule="exact"/>
        <w:ind w:firstLine="525" w:firstLineChars="250"/>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总价：人民币（大写）</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元）；</w:t>
      </w:r>
      <w:r>
        <w:rPr>
          <w:rFonts w:hint="eastAsia"/>
          <w:color w:val="000000" w:themeColor="text1"/>
          <w:szCs w:val="21"/>
          <w:highlight w:val="none"/>
          <w14:textFill>
            <w14:solidFill>
              <w14:schemeClr w14:val="tx1"/>
            </w14:solidFill>
          </w14:textFill>
        </w:rPr>
        <w:t xml:space="preserve">     </w:t>
      </w:r>
    </w:p>
    <w:p w14:paraId="30B8655F">
      <w:pPr>
        <w:adjustRightInd w:val="0"/>
        <w:snapToGrid w:val="0"/>
        <w:spacing w:line="400" w:lineRule="exact"/>
        <w:ind w:firstLine="420" w:firstLineChars="200"/>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 合同价格形式：</w:t>
      </w:r>
      <w:r>
        <w:rPr>
          <w:rFonts w:hint="eastAsia" w:ascii="宋体"/>
          <w:color w:val="000000" w:themeColor="text1"/>
          <w:szCs w:val="21"/>
          <w:highlight w:val="none"/>
          <w:u w:val="single"/>
          <w14:textFill>
            <w14:solidFill>
              <w14:schemeClr w14:val="tx1"/>
            </w14:solidFill>
          </w14:textFill>
        </w:rPr>
        <w:t xml:space="preserve">  单价合同    </w:t>
      </w:r>
      <w:r>
        <w:rPr>
          <w:rFonts w:hint="eastAsia" w:ascii="宋体"/>
          <w:color w:val="000000" w:themeColor="text1"/>
          <w:szCs w:val="21"/>
          <w:highlight w:val="none"/>
          <w14:textFill>
            <w14:solidFill>
              <w14:schemeClr w14:val="tx1"/>
            </w14:solidFill>
          </w14:textFill>
        </w:rPr>
        <w:t>。</w:t>
      </w:r>
    </w:p>
    <w:p w14:paraId="3C395DCB">
      <w:pPr>
        <w:pStyle w:val="42"/>
        <w:adjustRightInd w:val="0"/>
        <w:snapToGrid w:val="0"/>
        <w:spacing w:line="400" w:lineRule="exact"/>
        <w:outlineLvl w:val="9"/>
        <w:rPr>
          <w:b/>
          <w:color w:val="000000" w:themeColor="text1"/>
          <w:highlight w:val="none"/>
          <w14:textFill>
            <w14:solidFill>
              <w14:schemeClr w14:val="tx1"/>
            </w14:solidFill>
          </w14:textFill>
        </w:rPr>
      </w:pPr>
      <w:bookmarkStart w:id="43" w:name="_Toc351203485"/>
      <w:bookmarkStart w:id="44" w:name="_Toc406419157"/>
      <w:bookmarkStart w:id="45" w:name="_Toc483317093"/>
      <w:bookmarkStart w:id="46" w:name="_Toc418751608"/>
      <w:bookmarkStart w:id="47" w:name="_Toc406522032"/>
      <w:bookmarkStart w:id="48" w:name="_Toc418752054"/>
      <w:r>
        <w:rPr>
          <w:b/>
          <w:color w:val="000000" w:themeColor="text1"/>
          <w:highlight w:val="none"/>
          <w14:textFill>
            <w14:solidFill>
              <w14:schemeClr w14:val="tx1"/>
            </w14:solidFill>
          </w14:textFill>
        </w:rPr>
        <w:t>五、</w:t>
      </w:r>
      <w:bookmarkEnd w:id="43"/>
      <w:r>
        <w:rPr>
          <w:b/>
          <w:color w:val="000000" w:themeColor="text1"/>
          <w:highlight w:val="none"/>
          <w14:textFill>
            <w14:solidFill>
              <w14:schemeClr w14:val="tx1"/>
            </w14:solidFill>
          </w14:textFill>
        </w:rPr>
        <w:t>项目经理</w:t>
      </w:r>
      <w:bookmarkEnd w:id="44"/>
      <w:bookmarkEnd w:id="45"/>
      <w:bookmarkEnd w:id="46"/>
      <w:bookmarkEnd w:id="47"/>
      <w:bookmarkEnd w:id="48"/>
    </w:p>
    <w:p w14:paraId="080318C0">
      <w:pPr>
        <w:adjustRightInd w:val="0"/>
        <w:snapToGrid w:val="0"/>
        <w:spacing w:line="400" w:lineRule="exact"/>
        <w:ind w:firstLine="420" w:firstLineChars="200"/>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承包人项目经理：</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w:t>
      </w:r>
    </w:p>
    <w:p w14:paraId="15BE3075">
      <w:pPr>
        <w:pStyle w:val="42"/>
        <w:adjustRightInd w:val="0"/>
        <w:snapToGrid w:val="0"/>
        <w:spacing w:line="400" w:lineRule="exact"/>
        <w:outlineLvl w:val="9"/>
        <w:rPr>
          <w:b/>
          <w:color w:val="000000" w:themeColor="text1"/>
          <w:highlight w:val="none"/>
          <w14:textFill>
            <w14:solidFill>
              <w14:schemeClr w14:val="tx1"/>
            </w14:solidFill>
          </w14:textFill>
        </w:rPr>
      </w:pPr>
      <w:bookmarkStart w:id="49" w:name="_Toc406419158"/>
      <w:bookmarkStart w:id="50" w:name="_Toc351203486"/>
      <w:bookmarkStart w:id="51" w:name="_Toc406522033"/>
      <w:bookmarkStart w:id="52" w:name="_Toc418752055"/>
      <w:bookmarkStart w:id="53" w:name="_Toc483317094"/>
      <w:bookmarkStart w:id="54" w:name="_Toc418751609"/>
      <w:r>
        <w:rPr>
          <w:b/>
          <w:color w:val="000000" w:themeColor="text1"/>
          <w:highlight w:val="none"/>
          <w14:textFill>
            <w14:solidFill>
              <w14:schemeClr w14:val="tx1"/>
            </w14:solidFill>
          </w14:textFill>
        </w:rPr>
        <w:t>六、合同文件构成</w:t>
      </w:r>
      <w:bookmarkEnd w:id="49"/>
      <w:bookmarkEnd w:id="50"/>
      <w:bookmarkEnd w:id="51"/>
      <w:bookmarkEnd w:id="52"/>
      <w:bookmarkEnd w:id="53"/>
      <w:bookmarkEnd w:id="54"/>
    </w:p>
    <w:p w14:paraId="2FD3ED40">
      <w:pPr>
        <w:adjustRightInd w:val="0"/>
        <w:snapToGrid w:val="0"/>
        <w:spacing w:line="400" w:lineRule="exact"/>
        <w:ind w:firstLine="420" w:firstLineChars="200"/>
        <w:outlineLvl w:val="9"/>
        <w:rPr>
          <w:rFonts w:hint="eastAsia" w:ascii="宋体"/>
          <w:bCs/>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本协议书与下列文件一起构成合同文件：</w:t>
      </w:r>
    </w:p>
    <w:p w14:paraId="0FA52A75">
      <w:pPr>
        <w:autoSpaceDE w:val="0"/>
        <w:autoSpaceDN w:val="0"/>
        <w:adjustRightInd w:val="0"/>
        <w:snapToGrid w:val="0"/>
        <w:spacing w:line="400" w:lineRule="exact"/>
        <w:ind w:firstLine="420" w:firstLineChars="200"/>
        <w:jc w:val="left"/>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（1）中标通知书（如果有）；</w:t>
      </w:r>
    </w:p>
    <w:p w14:paraId="3A445AB7">
      <w:pPr>
        <w:autoSpaceDE w:val="0"/>
        <w:autoSpaceDN w:val="0"/>
        <w:adjustRightInd w:val="0"/>
        <w:snapToGrid w:val="0"/>
        <w:spacing w:line="400" w:lineRule="exact"/>
        <w:ind w:firstLine="420" w:firstLineChars="200"/>
        <w:jc w:val="left"/>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 xml:space="preserve">（2）投标函及其附录（如果有）； </w:t>
      </w:r>
    </w:p>
    <w:p w14:paraId="5246EF2A">
      <w:pPr>
        <w:autoSpaceDE w:val="0"/>
        <w:autoSpaceDN w:val="0"/>
        <w:adjustRightInd w:val="0"/>
        <w:snapToGrid w:val="0"/>
        <w:spacing w:line="400" w:lineRule="exact"/>
        <w:ind w:firstLine="420" w:firstLineChars="200"/>
        <w:jc w:val="left"/>
        <w:outlineLvl w:val="9"/>
        <w:rPr>
          <w:rFonts w:hint="eastAsia" w:ascii="宋体"/>
          <w:b/>
          <w:color w:val="000000" w:themeColor="text1"/>
          <w:sz w:val="24"/>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（3）专用合同条款及其附件</w:t>
      </w:r>
      <w:r>
        <w:rPr>
          <w:rFonts w:hint="eastAsia" w:ascii="宋体"/>
          <w:b/>
          <w:color w:val="000000" w:themeColor="text1"/>
          <w:sz w:val="24"/>
          <w:highlight w:val="none"/>
          <w14:textFill>
            <w14:solidFill>
              <w14:schemeClr w14:val="tx1"/>
            </w14:solidFill>
          </w14:textFill>
        </w:rPr>
        <w:t>；</w:t>
      </w:r>
    </w:p>
    <w:p w14:paraId="5CBAD6D0">
      <w:pPr>
        <w:autoSpaceDE w:val="0"/>
        <w:autoSpaceDN w:val="0"/>
        <w:adjustRightInd w:val="0"/>
        <w:snapToGrid w:val="0"/>
        <w:spacing w:line="400" w:lineRule="exact"/>
        <w:ind w:firstLine="420" w:firstLineChars="200"/>
        <w:jc w:val="left"/>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（4）通用合同条款；</w:t>
      </w:r>
    </w:p>
    <w:p w14:paraId="3FDCE260">
      <w:pPr>
        <w:pStyle w:val="44"/>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（5）技术标准和要求；</w:t>
      </w:r>
    </w:p>
    <w:p w14:paraId="5E00A819">
      <w:pPr>
        <w:pStyle w:val="44"/>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（6）图纸；</w:t>
      </w:r>
    </w:p>
    <w:p w14:paraId="0659E794">
      <w:pPr>
        <w:pStyle w:val="44"/>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（7）已标价工程量清单或预算书；</w:t>
      </w:r>
    </w:p>
    <w:p w14:paraId="37120BC8">
      <w:pPr>
        <w:autoSpaceDE w:val="0"/>
        <w:autoSpaceDN w:val="0"/>
        <w:adjustRightInd w:val="0"/>
        <w:snapToGrid w:val="0"/>
        <w:spacing w:line="400" w:lineRule="exact"/>
        <w:ind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（8）其他合同文件。</w:t>
      </w:r>
    </w:p>
    <w:p w14:paraId="7143A5A8">
      <w:pPr>
        <w:autoSpaceDE w:val="0"/>
        <w:autoSpaceDN w:val="0"/>
        <w:adjustRightInd w:val="0"/>
        <w:snapToGrid w:val="0"/>
        <w:spacing w:line="400" w:lineRule="exact"/>
        <w:ind w:firstLine="420" w:firstLineChars="200"/>
        <w:jc w:val="left"/>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在合同订立及履行过程中形成的与合同有关的文件均构成合同文件组成部分。</w:t>
      </w:r>
    </w:p>
    <w:p w14:paraId="6CEC8641">
      <w:pPr>
        <w:autoSpaceDE w:val="0"/>
        <w:autoSpaceDN w:val="0"/>
        <w:adjustRightInd w:val="0"/>
        <w:snapToGrid w:val="0"/>
        <w:spacing w:line="400" w:lineRule="exact"/>
        <w:ind w:firstLine="420" w:firstLineChars="200"/>
        <w:jc w:val="left"/>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上述各项合同文件包括合同当事人就该项合同文件所作出的补充和修改，属于同一类内容的文件，应以最新签署的为准。专用合同条款及其附件须经合同当事人签字或盖章。</w:t>
      </w:r>
    </w:p>
    <w:p w14:paraId="4CCABA8F">
      <w:pPr>
        <w:pStyle w:val="42"/>
        <w:adjustRightInd w:val="0"/>
        <w:snapToGrid w:val="0"/>
        <w:spacing w:line="400" w:lineRule="exact"/>
        <w:outlineLvl w:val="9"/>
        <w:rPr>
          <w:b/>
          <w:color w:val="000000" w:themeColor="text1"/>
          <w:highlight w:val="none"/>
          <w14:textFill>
            <w14:solidFill>
              <w14:schemeClr w14:val="tx1"/>
            </w14:solidFill>
          </w14:textFill>
        </w:rPr>
      </w:pPr>
      <w:bookmarkStart w:id="55" w:name="_Toc351203487"/>
      <w:bookmarkStart w:id="56" w:name="_Toc406522034"/>
      <w:bookmarkStart w:id="57" w:name="_Toc418752056"/>
      <w:bookmarkStart w:id="58" w:name="_Toc406419159"/>
      <w:bookmarkStart w:id="59" w:name="_Toc418751610"/>
      <w:bookmarkStart w:id="60" w:name="_Toc483317095"/>
      <w:r>
        <w:rPr>
          <w:b/>
          <w:color w:val="000000" w:themeColor="text1"/>
          <w:highlight w:val="none"/>
          <w14:textFill>
            <w14:solidFill>
              <w14:schemeClr w14:val="tx1"/>
            </w14:solidFill>
          </w14:textFill>
        </w:rPr>
        <w:t>七、承诺</w:t>
      </w:r>
      <w:bookmarkEnd w:id="55"/>
      <w:bookmarkEnd w:id="56"/>
      <w:bookmarkEnd w:id="57"/>
      <w:bookmarkEnd w:id="58"/>
      <w:bookmarkEnd w:id="59"/>
      <w:bookmarkEnd w:id="60"/>
    </w:p>
    <w:p w14:paraId="73FD5538">
      <w:pPr>
        <w:adjustRightInd w:val="0"/>
        <w:snapToGrid w:val="0"/>
        <w:spacing w:line="400" w:lineRule="exact"/>
        <w:ind w:firstLine="420" w:firstLineChars="200"/>
        <w:outlineLvl w:val="9"/>
        <w:rPr>
          <w:rFonts w:hint="eastAsia" w:ascii="宋体"/>
          <w:bCs/>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1. 发包人承诺按照法律规定履行项目审批手续、筹集工程建设资金并按照合同约定的期限和方式支付合同价款。</w:t>
      </w:r>
    </w:p>
    <w:p w14:paraId="1E6E6A02">
      <w:pPr>
        <w:adjustRightInd w:val="0"/>
        <w:snapToGrid w:val="0"/>
        <w:spacing w:line="400" w:lineRule="exact"/>
        <w:ind w:firstLine="420" w:firstLineChars="200"/>
        <w:outlineLvl w:val="9"/>
        <w:rPr>
          <w:rFonts w:hint="eastAsia" w:ascii="宋体"/>
          <w:bCs/>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2. 承包人承诺按照法律规定及合同约定组织完成工程施工，确保工程质量和安全，不进行转包及违法分包，并在缺陷责任期及保修期内承担相应的工程维修责任。</w:t>
      </w:r>
    </w:p>
    <w:p w14:paraId="43E28279">
      <w:pPr>
        <w:adjustRightInd w:val="0"/>
        <w:snapToGrid w:val="0"/>
        <w:spacing w:line="400" w:lineRule="exact"/>
        <w:ind w:firstLine="420" w:firstLineChars="200"/>
        <w:outlineLvl w:val="9"/>
        <w:rPr>
          <w:rFonts w:hint="eastAsia" w:ascii="宋体"/>
          <w:bCs/>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3. 发包人和承包人通过招投标形式签订合同的，双方理解并承诺不再就同一工程另行签订与合同实质性内容相背离的协议。</w:t>
      </w:r>
      <w:bookmarkStart w:id="61" w:name="_Toc351203488"/>
    </w:p>
    <w:p w14:paraId="405549EA">
      <w:pPr>
        <w:pStyle w:val="9"/>
        <w:ind w:firstLine="420" w:firstLineChars="200"/>
        <w:outlineLvl w:val="9"/>
        <w:rPr>
          <w:rFonts w:hint="eastAsia" w:ascii="宋体" w:cs="宋体"/>
          <w:color w:val="000000" w:themeColor="text1"/>
          <w:sz w:val="21"/>
          <w:szCs w:val="21"/>
          <w:highlight w:val="none"/>
          <w:lang w:bidi="ar-SA"/>
          <w14:textFill>
            <w14:solidFill>
              <w14:schemeClr w14:val="tx1"/>
            </w14:solidFill>
          </w14:textFill>
        </w:rPr>
      </w:pPr>
      <w:r>
        <w:rPr>
          <w:rFonts w:hint="eastAsia" w:ascii="宋体" w:cs="宋体"/>
          <w:color w:val="000000" w:themeColor="text1"/>
          <w:sz w:val="21"/>
          <w:szCs w:val="21"/>
          <w:highlight w:val="none"/>
          <w:lang w:bidi="ar-SA"/>
          <w14:textFill>
            <w14:solidFill>
              <w14:schemeClr w14:val="tx1"/>
            </w14:solidFill>
          </w14:textFill>
        </w:rPr>
        <w:t>4.承包人必须按照桂林市财政局《桂林市财政局关于落实政府投资工程项目工程款与农民工工资分账拨款的通知》（市财建（2018）73号）文件要求，设立独立农民工工资支付专用账号，严格按要求及时支付农民工工资，绝不拖欠农民工工资。如承包人未能严格按照要求执行，由此产生的经济及法律责任由承包人承担。</w:t>
      </w:r>
    </w:p>
    <w:p w14:paraId="3010F187">
      <w:pPr>
        <w:pStyle w:val="42"/>
        <w:adjustRightInd w:val="0"/>
        <w:snapToGrid w:val="0"/>
        <w:spacing w:line="400" w:lineRule="exact"/>
        <w:outlineLvl w:val="9"/>
        <w:rPr>
          <w:b/>
          <w:color w:val="000000" w:themeColor="text1"/>
          <w:highlight w:val="none"/>
          <w14:textFill>
            <w14:solidFill>
              <w14:schemeClr w14:val="tx1"/>
            </w14:solidFill>
          </w14:textFill>
        </w:rPr>
      </w:pPr>
      <w:bookmarkStart w:id="62" w:name="_Toc406522035"/>
      <w:bookmarkStart w:id="63" w:name="_Toc483317096"/>
      <w:bookmarkStart w:id="64" w:name="_Toc418752057"/>
      <w:bookmarkStart w:id="65" w:name="_Toc406419160"/>
      <w:bookmarkStart w:id="66" w:name="_Toc418751611"/>
      <w:r>
        <w:rPr>
          <w:b/>
          <w:color w:val="000000" w:themeColor="text1"/>
          <w:highlight w:val="none"/>
          <w14:textFill>
            <w14:solidFill>
              <w14:schemeClr w14:val="tx1"/>
            </w14:solidFill>
          </w14:textFill>
        </w:rPr>
        <w:t>八、词语含义</w:t>
      </w:r>
      <w:bookmarkEnd w:id="61"/>
      <w:bookmarkEnd w:id="62"/>
      <w:bookmarkEnd w:id="63"/>
      <w:bookmarkEnd w:id="64"/>
      <w:bookmarkEnd w:id="65"/>
      <w:bookmarkEnd w:id="66"/>
    </w:p>
    <w:p w14:paraId="5641EC18">
      <w:pPr>
        <w:adjustRightInd w:val="0"/>
        <w:snapToGrid w:val="0"/>
        <w:spacing w:line="400" w:lineRule="exact"/>
        <w:ind w:firstLine="420" w:firstLineChars="200"/>
        <w:outlineLvl w:val="9"/>
        <w:rPr>
          <w:rFonts w:hint="eastAsia" w:ascii="宋体"/>
          <w:bCs/>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本协议书中词语含义与第二部分通用合同条款中赋予的含义相同。</w:t>
      </w:r>
    </w:p>
    <w:p w14:paraId="3C14BBC2">
      <w:pPr>
        <w:pStyle w:val="42"/>
        <w:adjustRightInd w:val="0"/>
        <w:snapToGrid w:val="0"/>
        <w:spacing w:line="400" w:lineRule="exact"/>
        <w:outlineLvl w:val="9"/>
        <w:rPr>
          <w:b/>
          <w:color w:val="000000" w:themeColor="text1"/>
          <w:highlight w:val="none"/>
          <w14:textFill>
            <w14:solidFill>
              <w14:schemeClr w14:val="tx1"/>
            </w14:solidFill>
          </w14:textFill>
        </w:rPr>
      </w:pPr>
      <w:bookmarkStart w:id="67" w:name="_Toc418751612"/>
      <w:bookmarkStart w:id="68" w:name="_Toc351203489"/>
      <w:bookmarkStart w:id="69" w:name="_Toc418752058"/>
      <w:bookmarkStart w:id="70" w:name="_Toc406419161"/>
      <w:bookmarkStart w:id="71" w:name="_Toc406522036"/>
      <w:bookmarkStart w:id="72" w:name="_Toc483317097"/>
      <w:r>
        <w:rPr>
          <w:b/>
          <w:color w:val="000000" w:themeColor="text1"/>
          <w:highlight w:val="none"/>
          <w14:textFill>
            <w14:solidFill>
              <w14:schemeClr w14:val="tx1"/>
            </w14:solidFill>
          </w14:textFill>
        </w:rPr>
        <w:t>九、签订时间</w:t>
      </w:r>
      <w:bookmarkEnd w:id="67"/>
      <w:bookmarkEnd w:id="68"/>
      <w:bookmarkEnd w:id="69"/>
      <w:bookmarkEnd w:id="70"/>
      <w:bookmarkEnd w:id="71"/>
      <w:bookmarkEnd w:id="72"/>
    </w:p>
    <w:p w14:paraId="3DE39C90">
      <w:pPr>
        <w:adjustRightInd w:val="0"/>
        <w:snapToGrid w:val="0"/>
        <w:spacing w:line="400" w:lineRule="exact"/>
        <w:ind w:firstLine="420" w:firstLineChars="200"/>
        <w:outlineLvl w:val="9"/>
        <w:rPr>
          <w:rFonts w:hint="eastAsia" w:ascii="宋体"/>
          <w:bCs/>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本合同于</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bCs/>
          <w:color w:val="000000" w:themeColor="text1"/>
          <w:szCs w:val="21"/>
          <w:highlight w:val="none"/>
          <w14:textFill>
            <w14:solidFill>
              <w14:schemeClr w14:val="tx1"/>
            </w14:solidFill>
          </w14:textFill>
        </w:rPr>
        <w:t>年</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bCs/>
          <w:color w:val="000000" w:themeColor="text1"/>
          <w:szCs w:val="21"/>
          <w:highlight w:val="none"/>
          <w14:textFill>
            <w14:solidFill>
              <w14:schemeClr w14:val="tx1"/>
            </w14:solidFill>
          </w14:textFill>
        </w:rPr>
        <w:t>月</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bCs/>
          <w:color w:val="000000" w:themeColor="text1"/>
          <w:szCs w:val="21"/>
          <w:highlight w:val="none"/>
          <w14:textFill>
            <w14:solidFill>
              <w14:schemeClr w14:val="tx1"/>
            </w14:solidFill>
          </w14:textFill>
        </w:rPr>
        <w:t>日签订。</w:t>
      </w:r>
    </w:p>
    <w:p w14:paraId="5833D0B2">
      <w:pPr>
        <w:pStyle w:val="42"/>
        <w:adjustRightInd w:val="0"/>
        <w:snapToGrid w:val="0"/>
        <w:spacing w:line="400" w:lineRule="exact"/>
        <w:outlineLvl w:val="9"/>
        <w:rPr>
          <w:b/>
          <w:color w:val="000000" w:themeColor="text1"/>
          <w:highlight w:val="none"/>
          <w14:textFill>
            <w14:solidFill>
              <w14:schemeClr w14:val="tx1"/>
            </w14:solidFill>
          </w14:textFill>
        </w:rPr>
      </w:pPr>
      <w:bookmarkStart w:id="73" w:name="_Toc406522037"/>
      <w:bookmarkStart w:id="74" w:name="_Toc351203490"/>
      <w:bookmarkStart w:id="75" w:name="_Toc406419162"/>
      <w:bookmarkStart w:id="76" w:name="_Toc483317098"/>
      <w:bookmarkStart w:id="77" w:name="_Toc418752059"/>
      <w:bookmarkStart w:id="78" w:name="_Toc418751613"/>
      <w:r>
        <w:rPr>
          <w:b/>
          <w:color w:val="000000" w:themeColor="text1"/>
          <w:highlight w:val="none"/>
          <w14:textFill>
            <w14:solidFill>
              <w14:schemeClr w14:val="tx1"/>
            </w14:solidFill>
          </w14:textFill>
        </w:rPr>
        <w:t>十、签订地点</w:t>
      </w:r>
      <w:bookmarkEnd w:id="73"/>
      <w:bookmarkEnd w:id="74"/>
      <w:bookmarkEnd w:id="75"/>
      <w:bookmarkEnd w:id="76"/>
      <w:bookmarkEnd w:id="77"/>
      <w:bookmarkEnd w:id="78"/>
    </w:p>
    <w:p w14:paraId="0D4653F0">
      <w:pPr>
        <w:adjustRightInd w:val="0"/>
        <w:snapToGrid w:val="0"/>
        <w:spacing w:line="400" w:lineRule="exact"/>
        <w:ind w:firstLine="420" w:firstLineChars="200"/>
        <w:outlineLvl w:val="9"/>
        <w:rPr>
          <w:rFonts w:hint="eastAsia" w:ascii="宋体"/>
          <w:bCs/>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本合同在</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bCs/>
          <w:color w:val="000000" w:themeColor="text1"/>
          <w:szCs w:val="21"/>
          <w:highlight w:val="none"/>
          <w14:textFill>
            <w14:solidFill>
              <w14:schemeClr w14:val="tx1"/>
            </w14:solidFill>
          </w14:textFill>
        </w:rPr>
        <w:t>签订。</w:t>
      </w:r>
    </w:p>
    <w:p w14:paraId="5728FA4B">
      <w:pPr>
        <w:pStyle w:val="42"/>
        <w:adjustRightInd w:val="0"/>
        <w:snapToGrid w:val="0"/>
        <w:spacing w:line="400" w:lineRule="exact"/>
        <w:outlineLvl w:val="9"/>
        <w:rPr>
          <w:b/>
          <w:color w:val="000000" w:themeColor="text1"/>
          <w:highlight w:val="none"/>
          <w14:textFill>
            <w14:solidFill>
              <w14:schemeClr w14:val="tx1"/>
            </w14:solidFill>
          </w14:textFill>
        </w:rPr>
      </w:pPr>
      <w:bookmarkStart w:id="79" w:name="_Toc406522038"/>
      <w:bookmarkStart w:id="80" w:name="_Toc418751614"/>
      <w:bookmarkStart w:id="81" w:name="_Toc406419163"/>
      <w:bookmarkStart w:id="82" w:name="_Toc418752060"/>
      <w:bookmarkStart w:id="83" w:name="_Toc483317099"/>
      <w:bookmarkStart w:id="84" w:name="_Toc351203491"/>
      <w:r>
        <w:rPr>
          <w:b/>
          <w:color w:val="000000" w:themeColor="text1"/>
          <w:highlight w:val="none"/>
          <w14:textFill>
            <w14:solidFill>
              <w14:schemeClr w14:val="tx1"/>
            </w14:solidFill>
          </w14:textFill>
        </w:rPr>
        <w:t>十一、补充协议</w:t>
      </w:r>
      <w:bookmarkEnd w:id="79"/>
      <w:bookmarkEnd w:id="80"/>
      <w:bookmarkEnd w:id="81"/>
      <w:bookmarkEnd w:id="82"/>
      <w:bookmarkEnd w:id="83"/>
      <w:bookmarkEnd w:id="84"/>
    </w:p>
    <w:p w14:paraId="08A84C88">
      <w:pPr>
        <w:adjustRightInd w:val="0"/>
        <w:snapToGrid w:val="0"/>
        <w:spacing w:line="400" w:lineRule="exact"/>
        <w:ind w:firstLine="420" w:firstLineChars="200"/>
        <w:outlineLvl w:val="9"/>
        <w:rPr>
          <w:rFonts w:hint="eastAsia" w:ascii="宋体"/>
          <w:bCs/>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合同未尽事宜，合同当事人另行签订补充协议，补充协议是合同的组成部分。</w:t>
      </w:r>
    </w:p>
    <w:p w14:paraId="069D1383">
      <w:pPr>
        <w:pStyle w:val="42"/>
        <w:adjustRightInd w:val="0"/>
        <w:snapToGrid w:val="0"/>
        <w:spacing w:line="400" w:lineRule="exact"/>
        <w:outlineLvl w:val="9"/>
        <w:rPr>
          <w:b/>
          <w:color w:val="000000" w:themeColor="text1"/>
          <w:highlight w:val="none"/>
          <w14:textFill>
            <w14:solidFill>
              <w14:schemeClr w14:val="tx1"/>
            </w14:solidFill>
          </w14:textFill>
        </w:rPr>
      </w:pPr>
      <w:bookmarkStart w:id="85" w:name="_Toc406522039"/>
      <w:bookmarkStart w:id="86" w:name="_Toc406419164"/>
      <w:bookmarkStart w:id="87" w:name="_Toc351203492"/>
      <w:bookmarkStart w:id="88" w:name="_Toc483317100"/>
      <w:bookmarkStart w:id="89" w:name="_Toc418752061"/>
      <w:bookmarkStart w:id="90" w:name="_Toc418751615"/>
      <w:r>
        <w:rPr>
          <w:b/>
          <w:color w:val="000000" w:themeColor="text1"/>
          <w:highlight w:val="none"/>
          <w14:textFill>
            <w14:solidFill>
              <w14:schemeClr w14:val="tx1"/>
            </w14:solidFill>
          </w14:textFill>
        </w:rPr>
        <w:t>十二、合同生效</w:t>
      </w:r>
      <w:bookmarkEnd w:id="85"/>
      <w:bookmarkEnd w:id="86"/>
      <w:bookmarkEnd w:id="87"/>
      <w:bookmarkEnd w:id="88"/>
      <w:bookmarkEnd w:id="89"/>
      <w:bookmarkEnd w:id="90"/>
    </w:p>
    <w:p w14:paraId="7ADB613D">
      <w:pPr>
        <w:adjustRightInd w:val="0"/>
        <w:snapToGrid w:val="0"/>
        <w:spacing w:line="400" w:lineRule="exact"/>
        <w:ind w:firstLine="420" w:firstLineChars="200"/>
        <w:outlineLvl w:val="9"/>
        <w:rPr>
          <w:rFonts w:hint="eastAsia" w:ascii="宋体"/>
          <w:bCs/>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本合同自</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bCs/>
          <w:color w:val="000000" w:themeColor="text1"/>
          <w:szCs w:val="21"/>
          <w:highlight w:val="none"/>
          <w14:textFill>
            <w14:solidFill>
              <w14:schemeClr w14:val="tx1"/>
            </w14:solidFill>
          </w14:textFill>
        </w:rPr>
        <w:t>生效。</w:t>
      </w:r>
    </w:p>
    <w:p w14:paraId="6D47EFC3">
      <w:pPr>
        <w:pStyle w:val="42"/>
        <w:adjustRightInd w:val="0"/>
        <w:snapToGrid w:val="0"/>
        <w:spacing w:line="400" w:lineRule="exact"/>
        <w:outlineLvl w:val="9"/>
        <w:rPr>
          <w:b/>
          <w:color w:val="000000" w:themeColor="text1"/>
          <w:highlight w:val="none"/>
          <w14:textFill>
            <w14:solidFill>
              <w14:schemeClr w14:val="tx1"/>
            </w14:solidFill>
          </w14:textFill>
        </w:rPr>
      </w:pPr>
      <w:bookmarkStart w:id="91" w:name="_Toc418751616"/>
      <w:bookmarkStart w:id="92" w:name="_Toc406522040"/>
      <w:bookmarkStart w:id="93" w:name="_Toc406419165"/>
      <w:bookmarkStart w:id="94" w:name="_Toc418752062"/>
      <w:bookmarkStart w:id="95" w:name="_Toc351203493"/>
      <w:bookmarkStart w:id="96" w:name="_Toc483317101"/>
      <w:r>
        <w:rPr>
          <w:b/>
          <w:color w:val="000000" w:themeColor="text1"/>
          <w:highlight w:val="none"/>
          <w14:textFill>
            <w14:solidFill>
              <w14:schemeClr w14:val="tx1"/>
            </w14:solidFill>
          </w14:textFill>
        </w:rPr>
        <w:t>十三、合同份数</w:t>
      </w:r>
      <w:bookmarkEnd w:id="91"/>
      <w:bookmarkEnd w:id="92"/>
      <w:bookmarkEnd w:id="93"/>
      <w:bookmarkEnd w:id="94"/>
      <w:bookmarkEnd w:id="95"/>
      <w:bookmarkEnd w:id="96"/>
    </w:p>
    <w:p w14:paraId="63FBE8B4">
      <w:pPr>
        <w:adjustRightInd w:val="0"/>
        <w:snapToGrid w:val="0"/>
        <w:spacing w:line="400" w:lineRule="exact"/>
        <w:ind w:firstLine="420" w:firstLineChars="200"/>
        <w:outlineLvl w:val="9"/>
        <w:rPr>
          <w:rFonts w:hint="eastAsia" w:ascii="宋体"/>
          <w:bCs/>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本合同一式</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bCs/>
          <w:color w:val="000000" w:themeColor="text1"/>
          <w:szCs w:val="21"/>
          <w:highlight w:val="none"/>
          <w:u w:val="single"/>
          <w:lang w:eastAsia="zh-CN"/>
          <w14:textFill>
            <w14:solidFill>
              <w14:schemeClr w14:val="tx1"/>
            </w14:solidFill>
          </w14:textFill>
        </w:rPr>
        <w:t>玖</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bCs/>
          <w:color w:val="000000" w:themeColor="text1"/>
          <w:szCs w:val="21"/>
          <w:highlight w:val="none"/>
          <w14:textFill>
            <w14:solidFill>
              <w14:schemeClr w14:val="tx1"/>
            </w14:solidFill>
          </w14:textFill>
        </w:rPr>
        <w:t>份，均具有同等法律效力，发包人执</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bCs/>
          <w:color w:val="000000" w:themeColor="text1"/>
          <w:szCs w:val="21"/>
          <w:highlight w:val="none"/>
          <w:u w:val="single"/>
          <w:lang w:eastAsia="zh-CN"/>
          <w14:textFill>
            <w14:solidFill>
              <w14:schemeClr w14:val="tx1"/>
            </w14:solidFill>
          </w14:textFill>
        </w:rPr>
        <w:t>陆</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bCs/>
          <w:color w:val="000000" w:themeColor="text1"/>
          <w:szCs w:val="21"/>
          <w:highlight w:val="none"/>
          <w14:textFill>
            <w14:solidFill>
              <w14:schemeClr w14:val="tx1"/>
            </w14:solidFill>
          </w14:textFill>
        </w:rPr>
        <w:t>份，承包人执</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bCs/>
          <w:color w:val="000000" w:themeColor="text1"/>
          <w:szCs w:val="21"/>
          <w:highlight w:val="none"/>
          <w:u w:val="single"/>
          <w:lang w:eastAsia="zh-CN"/>
          <w14:textFill>
            <w14:solidFill>
              <w14:schemeClr w14:val="tx1"/>
            </w14:solidFill>
          </w14:textFill>
        </w:rPr>
        <w:t>贰</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bCs/>
          <w:color w:val="000000" w:themeColor="text1"/>
          <w:szCs w:val="21"/>
          <w:highlight w:val="none"/>
          <w14:textFill>
            <w14:solidFill>
              <w14:schemeClr w14:val="tx1"/>
            </w14:solidFill>
          </w14:textFill>
        </w:rPr>
        <w:t>份，招标代理机构</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bCs/>
          <w:color w:val="000000" w:themeColor="text1"/>
          <w:szCs w:val="21"/>
          <w:highlight w:val="none"/>
          <w:u w:val="single"/>
          <w:lang w:eastAsia="zh-CN"/>
          <w14:textFill>
            <w14:solidFill>
              <w14:schemeClr w14:val="tx1"/>
            </w14:solidFill>
          </w14:textFill>
        </w:rPr>
        <w:t>壹</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bCs/>
          <w:color w:val="000000" w:themeColor="text1"/>
          <w:szCs w:val="21"/>
          <w:highlight w:val="none"/>
          <w14:textFill>
            <w14:solidFill>
              <w14:schemeClr w14:val="tx1"/>
            </w14:solidFill>
          </w14:textFill>
        </w:rPr>
        <w:t>份。</w:t>
      </w:r>
    </w:p>
    <w:p w14:paraId="316D29BC">
      <w:pPr>
        <w:adjustRightInd w:val="0"/>
        <w:snapToGrid w:val="0"/>
        <w:spacing w:line="400" w:lineRule="exact"/>
        <w:outlineLvl w:val="9"/>
        <w:rPr>
          <w:rFonts w:hint="eastAsia" w:ascii="宋体"/>
          <w:color w:val="000000" w:themeColor="text1"/>
          <w:szCs w:val="21"/>
          <w:highlight w:val="none"/>
          <w14:textFill>
            <w14:solidFill>
              <w14:schemeClr w14:val="tx1"/>
            </w14:solidFill>
          </w14:textFill>
        </w:rPr>
      </w:pPr>
    </w:p>
    <w:p w14:paraId="5B98C597">
      <w:pPr>
        <w:adjustRightInd w:val="0"/>
        <w:snapToGrid w:val="0"/>
        <w:spacing w:line="400" w:lineRule="exact"/>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发包人：  （公章）                          承包人：  （公章）</w:t>
      </w:r>
    </w:p>
    <w:p w14:paraId="7C226A92">
      <w:pPr>
        <w:adjustRightInd w:val="0"/>
        <w:snapToGrid w:val="0"/>
        <w:spacing w:line="400" w:lineRule="exact"/>
        <w:outlineLvl w:val="9"/>
        <w:rPr>
          <w:rFonts w:hint="eastAsia" w:ascii="宋体"/>
          <w:color w:val="000000" w:themeColor="text1"/>
          <w:szCs w:val="21"/>
          <w:highlight w:val="none"/>
          <w:u w:val="single"/>
          <w14:textFill>
            <w14:solidFill>
              <w14:schemeClr w14:val="tx1"/>
            </w14:solidFill>
          </w14:textFill>
        </w:rPr>
      </w:pPr>
      <w:r>
        <w:rPr>
          <w:rFonts w:hint="eastAsia" w:ascii="宋体"/>
          <w:color w:val="000000" w:themeColor="text1"/>
          <w:szCs w:val="21"/>
          <w:highlight w:val="none"/>
          <w14:textFill>
            <w14:solidFill>
              <w14:schemeClr w14:val="tx1"/>
            </w14:solidFill>
          </w14:textFill>
        </w:rPr>
        <w:t xml:space="preserve">                                 </w:t>
      </w:r>
    </w:p>
    <w:p w14:paraId="1B41081B">
      <w:pPr>
        <w:adjustRightInd w:val="0"/>
        <w:snapToGrid w:val="0"/>
        <w:spacing w:line="400" w:lineRule="exact"/>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法定代表人或其委托代理人：                  法定代表人或其委托代理人：</w:t>
      </w:r>
    </w:p>
    <w:p w14:paraId="25C0B4A1">
      <w:pPr>
        <w:adjustRightInd w:val="0"/>
        <w:snapToGrid w:val="0"/>
        <w:spacing w:line="400" w:lineRule="exact"/>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（签字）                                     （签字）</w:t>
      </w:r>
    </w:p>
    <w:p w14:paraId="22FB6DE6">
      <w:pPr>
        <w:adjustRightInd w:val="0"/>
        <w:snapToGrid w:val="0"/>
        <w:spacing w:line="400" w:lineRule="exact"/>
        <w:outlineLvl w:val="9"/>
        <w:rPr>
          <w:rFonts w:hint="eastAsia" w:ascii="宋体"/>
          <w:color w:val="000000" w:themeColor="text1"/>
          <w:szCs w:val="21"/>
          <w:highlight w:val="none"/>
          <w:u w:val="single"/>
          <w14:textFill>
            <w14:solidFill>
              <w14:schemeClr w14:val="tx1"/>
            </w14:solidFill>
          </w14:textFill>
        </w:rPr>
      </w:pPr>
    </w:p>
    <w:p w14:paraId="7BECA3DE">
      <w:pPr>
        <w:tabs>
          <w:tab w:val="left" w:pos="4410"/>
        </w:tabs>
        <w:adjustRightInd w:val="0"/>
        <w:snapToGrid w:val="0"/>
        <w:spacing w:line="400" w:lineRule="exact"/>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组织机构代码：</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 xml:space="preserve">                 组织机构代码：</w:t>
      </w:r>
      <w:r>
        <w:rPr>
          <w:rFonts w:hint="eastAsia" w:ascii="宋体"/>
          <w:bCs/>
          <w:color w:val="000000" w:themeColor="text1"/>
          <w:szCs w:val="21"/>
          <w:highlight w:val="none"/>
          <w:u w:val="single"/>
          <w14:textFill>
            <w14:solidFill>
              <w14:schemeClr w14:val="tx1"/>
            </w14:solidFill>
          </w14:textFill>
        </w:rPr>
        <w:t xml:space="preserve">              </w:t>
      </w:r>
    </w:p>
    <w:p w14:paraId="26366A6C">
      <w:pPr>
        <w:adjustRightInd w:val="0"/>
        <w:snapToGrid w:val="0"/>
        <w:spacing w:line="400" w:lineRule="exact"/>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地  址：</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 xml:space="preserve">                 地  址：</w:t>
      </w:r>
      <w:r>
        <w:rPr>
          <w:rFonts w:hint="eastAsia" w:ascii="宋体"/>
          <w:bCs/>
          <w:color w:val="000000" w:themeColor="text1"/>
          <w:szCs w:val="21"/>
          <w:highlight w:val="none"/>
          <w:u w:val="single"/>
          <w14:textFill>
            <w14:solidFill>
              <w14:schemeClr w14:val="tx1"/>
            </w14:solidFill>
          </w14:textFill>
        </w:rPr>
        <w:t xml:space="preserve">                    </w:t>
      </w:r>
    </w:p>
    <w:p w14:paraId="3E56B30C">
      <w:pPr>
        <w:adjustRightInd w:val="0"/>
        <w:snapToGrid w:val="0"/>
        <w:spacing w:line="400" w:lineRule="exact"/>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邮政编码：</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 xml:space="preserve">                 邮政编码：</w:t>
      </w:r>
      <w:r>
        <w:rPr>
          <w:rFonts w:hint="eastAsia" w:ascii="宋体"/>
          <w:bCs/>
          <w:color w:val="000000" w:themeColor="text1"/>
          <w:szCs w:val="21"/>
          <w:highlight w:val="none"/>
          <w:u w:val="single"/>
          <w14:textFill>
            <w14:solidFill>
              <w14:schemeClr w14:val="tx1"/>
            </w14:solidFill>
          </w14:textFill>
        </w:rPr>
        <w:t xml:space="preserve">                  </w:t>
      </w:r>
    </w:p>
    <w:p w14:paraId="62D1FD56">
      <w:pPr>
        <w:adjustRightInd w:val="0"/>
        <w:snapToGrid w:val="0"/>
        <w:spacing w:line="400" w:lineRule="exact"/>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法定代表人：</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 xml:space="preserve">                 法定代表人：</w:t>
      </w:r>
      <w:r>
        <w:rPr>
          <w:rFonts w:hint="eastAsia" w:ascii="宋体"/>
          <w:bCs/>
          <w:color w:val="000000" w:themeColor="text1"/>
          <w:szCs w:val="21"/>
          <w:highlight w:val="none"/>
          <w:u w:val="single"/>
          <w14:textFill>
            <w14:solidFill>
              <w14:schemeClr w14:val="tx1"/>
            </w14:solidFill>
          </w14:textFill>
        </w:rPr>
        <w:t xml:space="preserve">                </w:t>
      </w:r>
    </w:p>
    <w:p w14:paraId="0F0C216E">
      <w:pPr>
        <w:adjustRightInd w:val="0"/>
        <w:snapToGrid w:val="0"/>
        <w:spacing w:line="400" w:lineRule="exact"/>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委托代理人：</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 xml:space="preserve">                 委托代理人：</w:t>
      </w:r>
      <w:r>
        <w:rPr>
          <w:rFonts w:hint="eastAsia" w:ascii="宋体"/>
          <w:bCs/>
          <w:color w:val="000000" w:themeColor="text1"/>
          <w:szCs w:val="21"/>
          <w:highlight w:val="none"/>
          <w:u w:val="single"/>
          <w14:textFill>
            <w14:solidFill>
              <w14:schemeClr w14:val="tx1"/>
            </w14:solidFill>
          </w14:textFill>
        </w:rPr>
        <w:t xml:space="preserve">                </w:t>
      </w:r>
    </w:p>
    <w:p w14:paraId="5519ED66">
      <w:pPr>
        <w:adjustRightInd w:val="0"/>
        <w:snapToGrid w:val="0"/>
        <w:spacing w:line="400" w:lineRule="exact"/>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电  话：</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 xml:space="preserve">                 电  话：</w:t>
      </w:r>
      <w:r>
        <w:rPr>
          <w:rFonts w:hint="eastAsia" w:ascii="宋体"/>
          <w:bCs/>
          <w:color w:val="000000" w:themeColor="text1"/>
          <w:szCs w:val="21"/>
          <w:highlight w:val="none"/>
          <w:u w:val="single"/>
          <w14:textFill>
            <w14:solidFill>
              <w14:schemeClr w14:val="tx1"/>
            </w14:solidFill>
          </w14:textFill>
        </w:rPr>
        <w:t xml:space="preserve">                    </w:t>
      </w:r>
    </w:p>
    <w:p w14:paraId="5ECFFD90">
      <w:pPr>
        <w:adjustRightInd w:val="0"/>
        <w:snapToGrid w:val="0"/>
        <w:spacing w:line="400" w:lineRule="exact"/>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传  真：</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 xml:space="preserve">                 传  真：</w:t>
      </w:r>
      <w:r>
        <w:rPr>
          <w:rFonts w:hint="eastAsia" w:ascii="宋体"/>
          <w:bCs/>
          <w:color w:val="000000" w:themeColor="text1"/>
          <w:szCs w:val="21"/>
          <w:highlight w:val="none"/>
          <w:u w:val="single"/>
          <w14:textFill>
            <w14:solidFill>
              <w14:schemeClr w14:val="tx1"/>
            </w14:solidFill>
          </w14:textFill>
        </w:rPr>
        <w:t xml:space="preserve">                    </w:t>
      </w:r>
    </w:p>
    <w:p w14:paraId="06453C24">
      <w:pPr>
        <w:adjustRightInd w:val="0"/>
        <w:snapToGrid w:val="0"/>
        <w:spacing w:line="400" w:lineRule="exact"/>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电子信箱：</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 xml:space="preserve">                 电子信箱：</w:t>
      </w:r>
      <w:r>
        <w:rPr>
          <w:rFonts w:hint="eastAsia" w:ascii="宋体"/>
          <w:bCs/>
          <w:color w:val="000000" w:themeColor="text1"/>
          <w:szCs w:val="21"/>
          <w:highlight w:val="none"/>
          <w:u w:val="single"/>
          <w14:textFill>
            <w14:solidFill>
              <w14:schemeClr w14:val="tx1"/>
            </w14:solidFill>
          </w14:textFill>
        </w:rPr>
        <w:t xml:space="preserve">                  </w:t>
      </w:r>
    </w:p>
    <w:p w14:paraId="44B31AEE">
      <w:pPr>
        <w:adjustRightInd w:val="0"/>
        <w:snapToGrid w:val="0"/>
        <w:spacing w:line="400" w:lineRule="exact"/>
        <w:outlineLvl w:val="9"/>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开户银行：</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 xml:space="preserve">                开户银行：</w:t>
      </w:r>
      <w:r>
        <w:rPr>
          <w:rFonts w:hint="eastAsia" w:ascii="宋体"/>
          <w:bCs/>
          <w:color w:val="000000" w:themeColor="text1"/>
          <w:szCs w:val="21"/>
          <w:highlight w:val="none"/>
          <w:u w:val="single"/>
          <w14:textFill>
            <w14:solidFill>
              <w14:schemeClr w14:val="tx1"/>
            </w14:solidFill>
          </w14:textFill>
        </w:rPr>
        <w:t xml:space="preserve">                  </w:t>
      </w:r>
    </w:p>
    <w:p w14:paraId="307E64F6">
      <w:pPr>
        <w:adjustRightInd w:val="0"/>
        <w:snapToGrid w:val="0"/>
        <w:spacing w:line="400" w:lineRule="exact"/>
        <w:jc w:val="left"/>
        <w:outlineLvl w:val="9"/>
        <w:rPr>
          <w:rFonts w:hint="eastAsia" w:ascii="宋体"/>
          <w:bCs/>
          <w:color w:val="000000" w:themeColor="text1"/>
          <w:szCs w:val="21"/>
          <w:highlight w:val="none"/>
          <w:u w:val="single"/>
          <w14:textFill>
            <w14:solidFill>
              <w14:schemeClr w14:val="tx1"/>
            </w14:solidFill>
          </w14:textFill>
        </w:rPr>
      </w:pPr>
      <w:r>
        <w:rPr>
          <w:rFonts w:hint="eastAsia" w:ascii="宋体"/>
          <w:color w:val="000000" w:themeColor="text1"/>
          <w:szCs w:val="21"/>
          <w:highlight w:val="none"/>
          <w14:textFill>
            <w14:solidFill>
              <w14:schemeClr w14:val="tx1"/>
            </w14:solidFill>
          </w14:textFill>
        </w:rPr>
        <w:t>账  号：</w:t>
      </w:r>
      <w:r>
        <w:rPr>
          <w:rFonts w:hint="eastAsia" w:ascii="宋体"/>
          <w:bCs/>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 xml:space="preserve">                账  号：</w:t>
      </w:r>
      <w:r>
        <w:rPr>
          <w:rFonts w:hint="eastAsia" w:ascii="宋体"/>
          <w:bCs/>
          <w:color w:val="000000" w:themeColor="text1"/>
          <w:szCs w:val="21"/>
          <w:highlight w:val="none"/>
          <w:u w:val="single"/>
          <w14:textFill>
            <w14:solidFill>
              <w14:schemeClr w14:val="tx1"/>
            </w14:solidFill>
          </w14:textFill>
        </w:rPr>
        <w:t xml:space="preserve">                    </w:t>
      </w:r>
    </w:p>
    <w:p w14:paraId="79EB2CEB">
      <w:pPr>
        <w:adjustRightInd w:val="0"/>
        <w:snapToGrid w:val="0"/>
        <w:spacing w:line="400" w:lineRule="exact"/>
        <w:jc w:val="center"/>
        <w:outlineLvl w:val="9"/>
        <w:rPr>
          <w:rFonts w:hint="eastAsia" w:ascii="宋体"/>
          <w:b/>
          <w:bCs/>
          <w:color w:val="000000" w:themeColor="text1"/>
          <w:szCs w:val="21"/>
          <w:highlight w:val="none"/>
          <w14:textFill>
            <w14:solidFill>
              <w14:schemeClr w14:val="tx1"/>
            </w14:solidFill>
          </w14:textFill>
        </w:rPr>
      </w:pPr>
    </w:p>
    <w:p w14:paraId="2D4A04D6">
      <w:pPr>
        <w:adjustRightInd w:val="0"/>
        <w:snapToGrid w:val="0"/>
        <w:spacing w:line="400" w:lineRule="exact"/>
        <w:jc w:val="left"/>
        <w:outlineLvl w:val="9"/>
        <w:rPr>
          <w:rFonts w:hint="eastAsia" w:ascii="宋体"/>
          <w:bCs/>
          <w:color w:val="000000" w:themeColor="text1"/>
          <w:szCs w:val="21"/>
          <w:highlight w:val="none"/>
          <w14:textFill>
            <w14:solidFill>
              <w14:schemeClr w14:val="tx1"/>
            </w14:solidFill>
          </w14:textFill>
        </w:rPr>
      </w:pPr>
    </w:p>
    <w:p w14:paraId="28A25C9E">
      <w:pPr>
        <w:jc w:val="center"/>
        <w:outlineLvl w:val="9"/>
        <w:rPr>
          <w:rFonts w:hint="eastAsia" w:ascii="宋体"/>
          <w:b/>
          <w:bCs/>
          <w:color w:val="000000" w:themeColor="text1"/>
          <w:sz w:val="32"/>
          <w:szCs w:val="32"/>
          <w:highlight w:val="none"/>
          <w14:textFill>
            <w14:solidFill>
              <w14:schemeClr w14:val="tx1"/>
            </w14:solidFill>
          </w14:textFill>
        </w:rPr>
      </w:pPr>
      <w:r>
        <w:rPr>
          <w:rFonts w:hint="eastAsia" w:ascii="宋体"/>
          <w:b/>
          <w:bCs/>
          <w:color w:val="000000" w:themeColor="text1"/>
          <w:szCs w:val="21"/>
          <w:highlight w:val="none"/>
          <w14:textFill>
            <w14:solidFill>
              <w14:schemeClr w14:val="tx1"/>
            </w14:solidFill>
          </w14:textFill>
        </w:rPr>
        <w:br w:type="page"/>
      </w:r>
      <w:bookmarkStart w:id="97" w:name="_Toc351203494"/>
      <w:bookmarkStart w:id="98" w:name="_Toc32277"/>
      <w:bookmarkStart w:id="99" w:name="_Toc418751617"/>
      <w:bookmarkStart w:id="100" w:name="_Toc483317102"/>
      <w:bookmarkStart w:id="101" w:name="_Toc406522041"/>
      <w:bookmarkStart w:id="102" w:name="_Toc418752063"/>
      <w:bookmarkStart w:id="103" w:name="_Toc27223"/>
      <w:bookmarkStart w:id="104" w:name="_Toc32348"/>
      <w:r>
        <w:rPr>
          <w:rStyle w:val="45"/>
          <w:rFonts w:hint="eastAsia" w:ascii="宋体"/>
          <w:color w:val="000000" w:themeColor="text1"/>
          <w:sz w:val="32"/>
          <w:highlight w:val="none"/>
          <w14:textFill>
            <w14:solidFill>
              <w14:schemeClr w14:val="tx1"/>
            </w14:solidFill>
          </w14:textFill>
        </w:rPr>
        <w:t>第二部分 通用合同条款</w:t>
      </w:r>
      <w:bookmarkEnd w:id="97"/>
      <w:bookmarkEnd w:id="98"/>
      <w:bookmarkEnd w:id="99"/>
      <w:bookmarkEnd w:id="100"/>
      <w:bookmarkEnd w:id="101"/>
      <w:bookmarkEnd w:id="102"/>
      <w:bookmarkEnd w:id="103"/>
      <w:bookmarkEnd w:id="104"/>
      <w:bookmarkStart w:id="105" w:name="_Toc337558727"/>
    </w:p>
    <w:bookmarkEnd w:id="105"/>
    <w:p w14:paraId="7F6236BA">
      <w:pPr>
        <w:pStyle w:val="41"/>
        <w:jc w:val="center"/>
        <w:outlineLvl w:val="9"/>
        <w:rPr>
          <w:rFonts w:hint="eastAsia" w:ascii="宋体"/>
          <w:color w:val="000000" w:themeColor="text1"/>
          <w:sz w:val="32"/>
          <w:highlight w:val="none"/>
          <w14:textFill>
            <w14:solidFill>
              <w14:schemeClr w14:val="tx1"/>
            </w14:solidFill>
          </w14:textFill>
        </w:rPr>
      </w:pPr>
      <w:bookmarkStart w:id="106" w:name="_Toc418751788"/>
      <w:bookmarkStart w:id="107" w:name="_Toc406522212"/>
      <w:bookmarkStart w:id="108" w:name="_Toc418752234"/>
      <w:bookmarkStart w:id="109" w:name="_Toc351203652"/>
    </w:p>
    <w:p w14:paraId="003AF06B">
      <w:pPr>
        <w:jc w:val="left"/>
        <w:outlineLvl w:val="9"/>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详见《建筑工程施工合同（示范文本）》（GF-2017-0201）通用合同条款，专用条款有约定的，按专用条款执行</w:t>
      </w:r>
      <w:bookmarkStart w:id="110" w:name="_Toc483317103"/>
      <w:r>
        <w:rPr>
          <w:rFonts w:hint="eastAsia"/>
          <w:color w:val="000000" w:themeColor="text1"/>
          <w:szCs w:val="21"/>
          <w:highlight w:val="none"/>
          <w14:textFill>
            <w14:solidFill>
              <w14:schemeClr w14:val="tx1"/>
            </w14:solidFill>
          </w14:textFill>
        </w:rPr>
        <w:t>。</w:t>
      </w:r>
    </w:p>
    <w:p w14:paraId="54BFF69C">
      <w:pPr>
        <w:jc w:val="center"/>
        <w:outlineLvl w:val="9"/>
        <w:rPr>
          <w:rFonts w:hint="eastAsia" w:ascii="宋体"/>
          <w:b/>
          <w:color w:val="000000" w:themeColor="text1"/>
          <w:sz w:val="44"/>
          <w:highlight w:val="none"/>
          <w14:textFill>
            <w14:solidFill>
              <w14:schemeClr w14:val="tx1"/>
            </w14:solidFill>
          </w14:textFill>
        </w:rPr>
      </w:pPr>
      <w:r>
        <w:rPr>
          <w:rFonts w:hint="eastAsia" w:ascii="宋体"/>
          <w:b/>
          <w:color w:val="000000" w:themeColor="text1"/>
          <w:sz w:val="32"/>
          <w:highlight w:val="none"/>
          <w14:textFill>
            <w14:solidFill>
              <w14:schemeClr w14:val="tx1"/>
            </w14:solidFill>
          </w14:textFill>
        </w:rPr>
        <w:t>第三部分 专用合同条款</w:t>
      </w:r>
      <w:bookmarkEnd w:id="106"/>
      <w:bookmarkEnd w:id="107"/>
      <w:bookmarkEnd w:id="108"/>
      <w:bookmarkEnd w:id="110"/>
    </w:p>
    <w:bookmarkEnd w:id="109"/>
    <w:p w14:paraId="614007A0">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11" w:name="_Toc351203633"/>
      <w:r>
        <w:rPr>
          <w:rFonts w:hint="eastAsia" w:ascii="宋体" w:hAnsi="宋体" w:eastAsia="宋体" w:cs="宋体"/>
          <w:color w:val="000000" w:themeColor="text1"/>
          <w:highlight w:val="none"/>
          <w14:textFill>
            <w14:solidFill>
              <w14:schemeClr w14:val="tx1"/>
            </w14:solidFill>
          </w14:textFill>
        </w:rPr>
        <w:t>1</w:t>
      </w:r>
      <w:bookmarkStart w:id="112" w:name="_Toc296890984"/>
      <w:bookmarkStart w:id="113" w:name="_Toc292559866"/>
      <w:bookmarkStart w:id="114" w:name="_Toc296347155"/>
      <w:bookmarkStart w:id="115" w:name="_Toc297048342"/>
      <w:bookmarkStart w:id="116" w:name="_Toc296891196"/>
      <w:bookmarkStart w:id="117" w:name="_Toc296944495"/>
      <w:bookmarkStart w:id="118" w:name="_Toc292559361"/>
      <w:bookmarkStart w:id="119" w:name="_Toc296346657"/>
      <w:bookmarkStart w:id="120" w:name="_Toc296503156"/>
      <w:bookmarkStart w:id="121" w:name="_Toc297120456"/>
      <w:r>
        <w:rPr>
          <w:rFonts w:hint="eastAsia" w:ascii="宋体" w:hAnsi="宋体" w:eastAsia="宋体" w:cs="宋体"/>
          <w:color w:val="000000" w:themeColor="text1"/>
          <w:highlight w:val="none"/>
          <w14:textFill>
            <w14:solidFill>
              <w14:schemeClr w14:val="tx1"/>
            </w14:solidFill>
          </w14:textFill>
        </w:rPr>
        <w:t>. 一般约定</w:t>
      </w:r>
      <w:bookmarkEnd w:id="111"/>
    </w:p>
    <w:bookmarkEnd w:id="112"/>
    <w:bookmarkEnd w:id="113"/>
    <w:bookmarkEnd w:id="114"/>
    <w:bookmarkEnd w:id="115"/>
    <w:bookmarkEnd w:id="116"/>
    <w:bookmarkEnd w:id="117"/>
    <w:bookmarkEnd w:id="118"/>
    <w:bookmarkEnd w:id="119"/>
    <w:bookmarkEnd w:id="120"/>
    <w:bookmarkEnd w:id="121"/>
    <w:p w14:paraId="742C26F4">
      <w:pPr>
        <w:pStyle w:val="4"/>
        <w:pageBreakBefore w:val="0"/>
        <w:widowControl w:val="0"/>
        <w:kinsoku/>
        <w:wordWrap/>
        <w:overflowPunct/>
        <w:topLinePunct w:val="0"/>
        <w:bidi w:val="0"/>
        <w:snapToGrid w:val="0"/>
        <w:spacing w:before="0" w:beforeLines="0" w:after="0" w:afterLines="0" w:line="360" w:lineRule="auto"/>
        <w:rPr>
          <w:rFonts w:hint="eastAsia" w:ascii="宋体" w:eastAsia="宋体" w:cs="宋体"/>
          <w:color w:val="000000" w:themeColor="text1"/>
          <w:highlight w:val="none"/>
          <w:lang w:bidi="ar-SA"/>
          <w14:textFill>
            <w14:solidFill>
              <w14:schemeClr w14:val="tx1"/>
            </w14:solidFill>
          </w14:textFill>
        </w:rPr>
      </w:pPr>
      <w:bookmarkStart w:id="122" w:name="_Toc7131"/>
      <w:bookmarkStart w:id="123" w:name="_Toc23309"/>
      <w:r>
        <w:rPr>
          <w:rFonts w:hint="eastAsia" w:ascii="宋体" w:hAnsi="宋体" w:eastAsia="宋体" w:cs="宋体"/>
          <w:color w:val="000000" w:themeColor="text1"/>
          <w:highlight w:val="none"/>
          <w14:textFill>
            <w14:solidFill>
              <w14:schemeClr w14:val="tx1"/>
            </w14:solidFill>
          </w14:textFill>
        </w:rPr>
        <w:t>1.1 词语定义</w:t>
      </w:r>
      <w:bookmarkEnd w:id="122"/>
      <w:bookmarkEnd w:id="123"/>
    </w:p>
    <w:p w14:paraId="4AB10CBD">
      <w:pPr>
        <w:pStyle w:val="31"/>
        <w:pageBreakBefore w:val="0"/>
        <w:widowControl w:val="0"/>
        <w:kinsoku/>
        <w:wordWrap/>
        <w:overflowPunct/>
        <w:topLinePunct w:val="0"/>
        <w:bidi w:val="0"/>
        <w:snapToGrid w:val="0"/>
        <w:spacing w:line="360" w:lineRule="auto"/>
        <w:ind w:firstLine="420" w:firstLineChars="200"/>
        <w:jc w:val="left"/>
        <w:outlineLvl w:val="9"/>
        <w:rPr>
          <w:rFonts w:hint="eastAsia" w:ascii="宋体" w:eastAsia="宋体" w:cs="宋体"/>
          <w:color w:val="000000" w:themeColor="text1"/>
          <w:kern w:val="0"/>
          <w:highlight w:val="none"/>
          <w:lang w:bidi="ar-SA"/>
          <w14:textFill>
            <w14:solidFill>
              <w14:schemeClr w14:val="tx1"/>
            </w14:solidFill>
          </w14:textFill>
        </w:rPr>
      </w:pPr>
      <w:r>
        <w:rPr>
          <w:rFonts w:hint="eastAsia" w:ascii="宋体" w:eastAsia="宋体" w:cs="宋体"/>
          <w:color w:val="000000" w:themeColor="text1"/>
          <w:kern w:val="0"/>
          <w:highlight w:val="none"/>
          <w:lang w:bidi="ar-SA"/>
          <w14:textFill>
            <w14:solidFill>
              <w14:schemeClr w14:val="tx1"/>
            </w14:solidFill>
          </w14:textFill>
        </w:rPr>
        <w:t>1.1.1合同</w:t>
      </w:r>
    </w:p>
    <w:p w14:paraId="2C89DD80">
      <w:pPr>
        <w:pStyle w:val="31"/>
        <w:pageBreakBefore w:val="0"/>
        <w:widowControl w:val="0"/>
        <w:kinsoku/>
        <w:wordWrap/>
        <w:overflowPunct/>
        <w:topLinePunct w:val="0"/>
        <w:bidi w:val="0"/>
        <w:snapToGrid w:val="0"/>
        <w:spacing w:line="360" w:lineRule="auto"/>
        <w:ind w:firstLine="420" w:firstLineChars="200"/>
        <w:jc w:val="left"/>
        <w:outlineLvl w:val="9"/>
        <w:rPr>
          <w:rFonts w:hint="eastAsia" w:ascii="宋体" w:eastAsia="宋体" w:cs="宋体"/>
          <w:color w:val="000000" w:themeColor="text1"/>
          <w:kern w:val="0"/>
          <w:highlight w:val="none"/>
          <w:lang w:bidi="ar-SA"/>
          <w14:textFill>
            <w14:solidFill>
              <w14:schemeClr w14:val="tx1"/>
            </w14:solidFill>
          </w14:textFill>
        </w:rPr>
      </w:pPr>
      <w:r>
        <w:rPr>
          <w:rFonts w:hint="eastAsia" w:ascii="宋体" w:eastAsia="宋体" w:cs="宋体"/>
          <w:color w:val="000000" w:themeColor="text1"/>
          <w:kern w:val="0"/>
          <w:highlight w:val="none"/>
          <w:lang w:bidi="ar-SA"/>
          <w14:textFill>
            <w14:solidFill>
              <w14:schemeClr w14:val="tx1"/>
            </w14:solidFill>
          </w14:textFill>
        </w:rPr>
        <w:t>1.1.1.10其他合同文件包括：</w:t>
      </w:r>
      <w:r>
        <w:rPr>
          <w:rFonts w:hint="eastAsia" w:ascii="宋体" w:eastAsia="宋体" w:cs="宋体"/>
          <w:color w:val="000000" w:themeColor="text1"/>
          <w:highlight w:val="none"/>
          <w:u w:val="single"/>
          <w:lang w:bidi="ar-SA"/>
          <w14:textFill>
            <w14:solidFill>
              <w14:schemeClr w14:val="tx1"/>
            </w14:solidFill>
          </w14:textFill>
        </w:rPr>
        <w:t xml:space="preserve">（1）本合同协议书；（2）中标通知书；（3）投标函及其附录；（4）专用合同条款及其附件；（5）通用合同条款；（6）技术标准和要求；（7）已标价工程量清单或预算书；（8）图纸；（9）其他合同文件；（10）履行合同过程中双方确认的对合同有影响的会议纪要、签证、及设计变更等相关资料  </w:t>
      </w:r>
      <w:r>
        <w:rPr>
          <w:rFonts w:hint="eastAsia" w:ascii="宋体" w:eastAsia="宋体" w:cs="宋体"/>
          <w:color w:val="000000" w:themeColor="text1"/>
          <w:highlight w:val="none"/>
          <w:lang w:bidi="ar-SA"/>
          <w14:textFill>
            <w14:solidFill>
              <w14:schemeClr w14:val="tx1"/>
            </w14:solidFill>
          </w14:textFill>
        </w:rPr>
        <w:t>。</w:t>
      </w:r>
    </w:p>
    <w:p w14:paraId="4A755765">
      <w:pPr>
        <w:pStyle w:val="31"/>
        <w:pageBreakBefore w:val="0"/>
        <w:widowControl w:val="0"/>
        <w:kinsoku/>
        <w:wordWrap/>
        <w:overflowPunct/>
        <w:topLinePunct w:val="0"/>
        <w:bidi w:val="0"/>
        <w:snapToGrid w:val="0"/>
        <w:spacing w:line="360" w:lineRule="auto"/>
        <w:ind w:firstLine="420" w:firstLineChars="200"/>
        <w:jc w:val="left"/>
        <w:outlineLvl w:val="9"/>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1.1.2 合同当事人及其他相关方</w:t>
      </w:r>
    </w:p>
    <w:p w14:paraId="03A533EE">
      <w:pPr>
        <w:pStyle w:val="31"/>
        <w:pageBreakBefore w:val="0"/>
        <w:widowControl w:val="0"/>
        <w:kinsoku/>
        <w:wordWrap/>
        <w:overflowPunct/>
        <w:topLinePunct w:val="0"/>
        <w:bidi w:val="0"/>
        <w:snapToGrid w:val="0"/>
        <w:spacing w:line="360" w:lineRule="auto"/>
        <w:ind w:firstLine="420" w:firstLineChars="200"/>
        <w:jc w:val="left"/>
        <w:outlineLvl w:val="9"/>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1.1.2.4监理人：</w:t>
      </w:r>
    </w:p>
    <w:p w14:paraId="7B7D85F0">
      <w:pPr>
        <w:pStyle w:val="31"/>
        <w:pageBreakBefore w:val="0"/>
        <w:widowControl w:val="0"/>
        <w:kinsoku/>
        <w:wordWrap/>
        <w:overflowPunct/>
        <w:topLinePunct w:val="0"/>
        <w:bidi w:val="0"/>
        <w:snapToGrid w:val="0"/>
        <w:spacing w:line="360" w:lineRule="auto"/>
        <w:ind w:firstLine="420" w:firstLineChars="200"/>
        <w:jc w:val="left"/>
        <w:outlineLvl w:val="9"/>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名    称：</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eastAsia="宋体" w:cs="宋体"/>
          <w:color w:val="000000" w:themeColor="text1"/>
          <w:highlight w:val="none"/>
          <w:lang w:bidi="ar-SA"/>
          <w14:textFill>
            <w14:solidFill>
              <w14:schemeClr w14:val="tx1"/>
            </w14:solidFill>
          </w14:textFill>
        </w:rPr>
        <w:t>；</w:t>
      </w:r>
    </w:p>
    <w:p w14:paraId="38462922">
      <w:pPr>
        <w:pStyle w:val="31"/>
        <w:pageBreakBefore w:val="0"/>
        <w:widowControl w:val="0"/>
        <w:kinsoku/>
        <w:wordWrap/>
        <w:overflowPunct/>
        <w:topLinePunct w:val="0"/>
        <w:bidi w:val="0"/>
        <w:snapToGrid w:val="0"/>
        <w:spacing w:line="360" w:lineRule="auto"/>
        <w:ind w:firstLine="420" w:firstLineChars="200"/>
        <w:jc w:val="left"/>
        <w:outlineLvl w:val="9"/>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资质类别和等级：</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eastAsia="宋体" w:cs="宋体"/>
          <w:color w:val="000000" w:themeColor="text1"/>
          <w:highlight w:val="none"/>
          <w:lang w:bidi="ar-SA"/>
          <w14:textFill>
            <w14:solidFill>
              <w14:schemeClr w14:val="tx1"/>
            </w14:solidFill>
          </w14:textFill>
        </w:rPr>
        <w:t>；</w:t>
      </w:r>
    </w:p>
    <w:p w14:paraId="79B4F530">
      <w:pPr>
        <w:pStyle w:val="31"/>
        <w:pageBreakBefore w:val="0"/>
        <w:widowControl w:val="0"/>
        <w:kinsoku/>
        <w:wordWrap/>
        <w:overflowPunct/>
        <w:topLinePunct w:val="0"/>
        <w:bidi w:val="0"/>
        <w:snapToGrid w:val="0"/>
        <w:spacing w:line="360" w:lineRule="auto"/>
        <w:ind w:firstLine="420" w:firstLineChars="200"/>
        <w:jc w:val="left"/>
        <w:outlineLvl w:val="9"/>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联系电话：</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eastAsia="宋体" w:cs="宋体"/>
          <w:color w:val="000000" w:themeColor="text1"/>
          <w:highlight w:val="none"/>
          <w:lang w:bidi="ar-SA"/>
          <w14:textFill>
            <w14:solidFill>
              <w14:schemeClr w14:val="tx1"/>
            </w14:solidFill>
          </w14:textFill>
        </w:rPr>
        <w:t>；</w:t>
      </w:r>
    </w:p>
    <w:p w14:paraId="3CACE3C6">
      <w:pPr>
        <w:pStyle w:val="31"/>
        <w:pageBreakBefore w:val="0"/>
        <w:widowControl w:val="0"/>
        <w:kinsoku/>
        <w:wordWrap/>
        <w:overflowPunct/>
        <w:topLinePunct w:val="0"/>
        <w:bidi w:val="0"/>
        <w:snapToGrid w:val="0"/>
        <w:spacing w:line="360" w:lineRule="auto"/>
        <w:ind w:firstLine="420" w:firstLineChars="200"/>
        <w:jc w:val="left"/>
        <w:outlineLvl w:val="9"/>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电子信箱：</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 xml:space="preserve">）  </w:t>
      </w:r>
      <w:r>
        <w:rPr>
          <w:rFonts w:hint="eastAsia" w:ascii="宋体" w:eastAsia="宋体" w:cs="宋体"/>
          <w:color w:val="000000" w:themeColor="text1"/>
          <w:highlight w:val="none"/>
          <w:lang w:bidi="ar-SA"/>
          <w14:textFill>
            <w14:solidFill>
              <w14:schemeClr w14:val="tx1"/>
            </w14:solidFill>
          </w14:textFill>
        </w:rPr>
        <w:t>；</w:t>
      </w:r>
    </w:p>
    <w:p w14:paraId="2E74A119">
      <w:pPr>
        <w:pStyle w:val="31"/>
        <w:pageBreakBefore w:val="0"/>
        <w:widowControl w:val="0"/>
        <w:kinsoku/>
        <w:wordWrap/>
        <w:overflowPunct/>
        <w:topLinePunct w:val="0"/>
        <w:bidi w:val="0"/>
        <w:snapToGrid w:val="0"/>
        <w:spacing w:line="360" w:lineRule="auto"/>
        <w:ind w:firstLine="420" w:firstLineChars="200"/>
        <w:jc w:val="left"/>
        <w:outlineLvl w:val="9"/>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通信地址：</w:t>
      </w:r>
      <w:r>
        <w:rPr>
          <w:rFonts w:hint="eastAsia" w:ascii="宋体" w:eastAsia="宋体" w:cs="宋体"/>
          <w:color w:val="000000" w:themeColor="text1"/>
          <w:highlight w:val="none"/>
          <w:u w:val="single"/>
          <w:lang w:bidi="ar-SA"/>
          <w14:textFill>
            <w14:solidFill>
              <w14:schemeClr w14:val="tx1"/>
            </w14:solidFill>
          </w14:textFill>
        </w:rPr>
        <w:t>  （</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 xml:space="preserve">）  </w:t>
      </w:r>
      <w:r>
        <w:rPr>
          <w:rFonts w:hint="eastAsia" w:ascii="宋体" w:eastAsia="宋体" w:cs="宋体"/>
          <w:color w:val="000000" w:themeColor="text1"/>
          <w:highlight w:val="none"/>
          <w:lang w:bidi="ar-SA"/>
          <w14:textFill>
            <w14:solidFill>
              <w14:schemeClr w14:val="tx1"/>
            </w14:solidFill>
          </w14:textFill>
        </w:rPr>
        <w:t>。</w:t>
      </w:r>
    </w:p>
    <w:p w14:paraId="074A7167">
      <w:pPr>
        <w:pStyle w:val="31"/>
        <w:pageBreakBefore w:val="0"/>
        <w:widowControl w:val="0"/>
        <w:kinsoku/>
        <w:wordWrap/>
        <w:overflowPunct/>
        <w:topLinePunct w:val="0"/>
        <w:bidi w:val="0"/>
        <w:snapToGrid w:val="0"/>
        <w:spacing w:line="360" w:lineRule="auto"/>
        <w:ind w:firstLine="420" w:firstLineChars="200"/>
        <w:jc w:val="left"/>
        <w:outlineLvl w:val="9"/>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1.1.2.5 设计人：</w:t>
      </w:r>
    </w:p>
    <w:p w14:paraId="37D9E3E2">
      <w:pPr>
        <w:pStyle w:val="31"/>
        <w:pageBreakBefore w:val="0"/>
        <w:widowControl w:val="0"/>
        <w:kinsoku/>
        <w:wordWrap/>
        <w:overflowPunct/>
        <w:topLinePunct w:val="0"/>
        <w:bidi w:val="0"/>
        <w:snapToGrid w:val="0"/>
        <w:spacing w:line="360" w:lineRule="auto"/>
        <w:ind w:firstLine="420" w:firstLineChars="200"/>
        <w:jc w:val="left"/>
        <w:outlineLvl w:val="9"/>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名    称：</w:t>
      </w:r>
      <w:r>
        <w:rPr>
          <w:rFonts w:hint="eastAsia" w:ascii="宋体" w:eastAsia="宋体" w:cs="宋体"/>
          <w:color w:val="000000" w:themeColor="text1"/>
          <w:highlight w:val="none"/>
          <w:u w:val="single"/>
          <w:lang w:bidi="ar-SA"/>
          <w14:textFill>
            <w14:solidFill>
              <w14:schemeClr w14:val="tx1"/>
            </w14:solidFill>
          </w14:textFill>
        </w:rPr>
        <w:t>  （</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 </w:t>
      </w:r>
      <w:r>
        <w:rPr>
          <w:rFonts w:hint="eastAsia" w:ascii="宋体" w:eastAsia="宋体" w:cs="宋体"/>
          <w:color w:val="000000" w:themeColor="text1"/>
          <w:highlight w:val="none"/>
          <w:lang w:bidi="ar-SA"/>
          <w14:textFill>
            <w14:solidFill>
              <w14:schemeClr w14:val="tx1"/>
            </w14:solidFill>
          </w14:textFill>
        </w:rPr>
        <w:t>；</w:t>
      </w:r>
    </w:p>
    <w:p w14:paraId="3D95F29F">
      <w:pPr>
        <w:pStyle w:val="31"/>
        <w:pageBreakBefore w:val="0"/>
        <w:widowControl w:val="0"/>
        <w:kinsoku/>
        <w:wordWrap/>
        <w:overflowPunct/>
        <w:topLinePunct w:val="0"/>
        <w:bidi w:val="0"/>
        <w:snapToGrid w:val="0"/>
        <w:spacing w:line="360" w:lineRule="auto"/>
        <w:ind w:firstLine="420" w:firstLineChars="200"/>
        <w:jc w:val="left"/>
        <w:outlineLvl w:val="9"/>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资质类别和等级：</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 </w:t>
      </w:r>
      <w:r>
        <w:rPr>
          <w:rFonts w:hint="eastAsia" w:ascii="宋体" w:eastAsia="宋体" w:cs="宋体"/>
          <w:color w:val="000000" w:themeColor="text1"/>
          <w:highlight w:val="none"/>
          <w:lang w:bidi="ar-SA"/>
          <w14:textFill>
            <w14:solidFill>
              <w14:schemeClr w14:val="tx1"/>
            </w14:solidFill>
          </w14:textFill>
        </w:rPr>
        <w:t>；</w:t>
      </w:r>
    </w:p>
    <w:p w14:paraId="72C65F49">
      <w:pPr>
        <w:pStyle w:val="31"/>
        <w:pageBreakBefore w:val="0"/>
        <w:widowControl w:val="0"/>
        <w:kinsoku/>
        <w:wordWrap/>
        <w:overflowPunct/>
        <w:topLinePunct w:val="0"/>
        <w:bidi w:val="0"/>
        <w:snapToGrid w:val="0"/>
        <w:spacing w:line="360" w:lineRule="auto"/>
        <w:ind w:firstLine="420" w:firstLineChars="200"/>
        <w:jc w:val="left"/>
        <w:outlineLvl w:val="9"/>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联系电话：</w:t>
      </w:r>
      <w:r>
        <w:rPr>
          <w:rFonts w:hint="eastAsia" w:ascii="宋体" w:eastAsia="宋体" w:cs="宋体"/>
          <w:color w:val="000000" w:themeColor="text1"/>
          <w:highlight w:val="none"/>
          <w:u w:val="single"/>
          <w:lang w:bidi="ar-SA"/>
          <w14:textFill>
            <w14:solidFill>
              <w14:schemeClr w14:val="tx1"/>
            </w14:solidFill>
          </w14:textFill>
        </w:rPr>
        <w:t>  （</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 </w:t>
      </w:r>
      <w:r>
        <w:rPr>
          <w:rFonts w:hint="eastAsia" w:ascii="宋体" w:eastAsia="宋体" w:cs="宋体"/>
          <w:color w:val="000000" w:themeColor="text1"/>
          <w:highlight w:val="none"/>
          <w:lang w:bidi="ar-SA"/>
          <w14:textFill>
            <w14:solidFill>
              <w14:schemeClr w14:val="tx1"/>
            </w14:solidFill>
          </w14:textFill>
        </w:rPr>
        <w:t>；</w:t>
      </w:r>
    </w:p>
    <w:p w14:paraId="7547CCF0">
      <w:pPr>
        <w:pStyle w:val="31"/>
        <w:pageBreakBefore w:val="0"/>
        <w:widowControl w:val="0"/>
        <w:kinsoku/>
        <w:wordWrap/>
        <w:overflowPunct/>
        <w:topLinePunct w:val="0"/>
        <w:bidi w:val="0"/>
        <w:snapToGrid w:val="0"/>
        <w:spacing w:line="360" w:lineRule="auto"/>
        <w:ind w:firstLine="420" w:firstLineChars="200"/>
        <w:jc w:val="left"/>
        <w:outlineLvl w:val="9"/>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电子信箱：</w:t>
      </w:r>
      <w:r>
        <w:rPr>
          <w:rFonts w:hint="eastAsia" w:ascii="宋体" w:eastAsia="宋体" w:cs="宋体"/>
          <w:color w:val="000000" w:themeColor="text1"/>
          <w:highlight w:val="none"/>
          <w:u w:val="single"/>
          <w:lang w:bidi="ar-SA"/>
          <w14:textFill>
            <w14:solidFill>
              <w14:schemeClr w14:val="tx1"/>
            </w14:solidFill>
          </w14:textFill>
        </w:rPr>
        <w:t>  （</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 </w:t>
      </w:r>
      <w:r>
        <w:rPr>
          <w:rFonts w:hint="eastAsia" w:ascii="宋体" w:eastAsia="宋体" w:cs="宋体"/>
          <w:color w:val="000000" w:themeColor="text1"/>
          <w:highlight w:val="none"/>
          <w:lang w:bidi="ar-SA"/>
          <w14:textFill>
            <w14:solidFill>
              <w14:schemeClr w14:val="tx1"/>
            </w14:solidFill>
          </w14:textFill>
        </w:rPr>
        <w:t>；</w:t>
      </w:r>
    </w:p>
    <w:p w14:paraId="32B58852">
      <w:pPr>
        <w:pStyle w:val="31"/>
        <w:pageBreakBefore w:val="0"/>
        <w:widowControl w:val="0"/>
        <w:kinsoku/>
        <w:wordWrap/>
        <w:overflowPunct/>
        <w:topLinePunct w:val="0"/>
        <w:bidi w:val="0"/>
        <w:snapToGrid w:val="0"/>
        <w:spacing w:line="360" w:lineRule="auto"/>
        <w:ind w:firstLine="420" w:firstLineChars="200"/>
        <w:jc w:val="left"/>
        <w:outlineLvl w:val="9"/>
        <w:rPr>
          <w:rFonts w:hint="eastAsia" w:ascii="宋体" w:eastAsia="宋体" w:cs="宋体"/>
          <w:color w:val="000000" w:themeColor="text1"/>
          <w:highlight w:val="none"/>
          <w:lang w:bidi="ar-SA"/>
          <w14:textFill>
            <w14:solidFill>
              <w14:schemeClr w14:val="tx1"/>
            </w14:solidFill>
          </w14:textFill>
        </w:rPr>
      </w:pPr>
      <w:r>
        <w:rPr>
          <w:rFonts w:hint="eastAsia" w:ascii="宋体" w:eastAsia="宋体" w:cs="宋体"/>
          <w:color w:val="000000" w:themeColor="text1"/>
          <w:highlight w:val="none"/>
          <w:lang w:bidi="ar-SA"/>
          <w14:textFill>
            <w14:solidFill>
              <w14:schemeClr w14:val="tx1"/>
            </w14:solidFill>
          </w14:textFill>
        </w:rPr>
        <w:t>通信地址：</w:t>
      </w:r>
      <w:r>
        <w:rPr>
          <w:rFonts w:hint="eastAsia" w:ascii="宋体" w:eastAsia="宋体" w:cs="宋体"/>
          <w:color w:val="000000" w:themeColor="text1"/>
          <w:highlight w:val="none"/>
          <w:u w:val="single"/>
          <w:lang w:bidi="ar-SA"/>
          <w14:textFill>
            <w14:solidFill>
              <w14:schemeClr w14:val="tx1"/>
            </w14:solidFill>
          </w14:textFill>
        </w:rPr>
        <w:t>  （</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 </w:t>
      </w:r>
      <w:r>
        <w:rPr>
          <w:rFonts w:hint="eastAsia" w:ascii="宋体" w:eastAsia="宋体" w:cs="宋体"/>
          <w:color w:val="000000" w:themeColor="text1"/>
          <w:highlight w:val="none"/>
          <w:lang w:bidi="ar-SA"/>
          <w14:textFill>
            <w14:solidFill>
              <w14:schemeClr w14:val="tx1"/>
            </w14:solidFill>
          </w14:textFill>
        </w:rPr>
        <w:t>。</w:t>
      </w:r>
    </w:p>
    <w:p w14:paraId="7E4A06C4">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1.1.3 工程和设备</w:t>
      </w:r>
    </w:p>
    <w:p w14:paraId="11925D73">
      <w:pPr>
        <w:pageBreakBefore w:val="0"/>
        <w:widowControl w:val="0"/>
        <w:kinsoku/>
        <w:wordWrap/>
        <w:overflowPunct/>
        <w:topLinePunct w:val="0"/>
        <w:bidi w:val="0"/>
        <w:snapToGrid w:val="0"/>
        <w:spacing w:line="360" w:lineRule="auto"/>
        <w:ind w:firstLine="420" w:firstLineChars="200"/>
        <w:outlineLvl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1.1.3.7 作为施工现场组成部分的其他场所包括：</w:t>
      </w:r>
    </w:p>
    <w:p w14:paraId="0E5FABFF">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 xml:space="preserve">   按通用条款执行    </w:t>
      </w:r>
      <w:r>
        <w:rPr>
          <w:rFonts w:hint="eastAsia" w:ascii="宋体" w:hAnsi="宋体" w:eastAsia="宋体" w:cs="宋体"/>
          <w:color w:val="000000" w:themeColor="text1"/>
          <w:highlight w:val="none"/>
          <w14:textFill>
            <w14:solidFill>
              <w14:schemeClr w14:val="tx1"/>
            </w14:solidFill>
          </w14:textFill>
        </w:rPr>
        <w:t>。</w:t>
      </w:r>
    </w:p>
    <w:p w14:paraId="3C57759D">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1.1.3.9 永久占地包括：</w:t>
      </w:r>
      <w:r>
        <w:rPr>
          <w:rFonts w:hint="eastAsia" w:ascii="宋体" w:hAnsi="宋体" w:eastAsia="宋体" w:cs="宋体"/>
          <w:color w:val="000000" w:themeColor="text1"/>
          <w:highlight w:val="none"/>
          <w:u w:val="single"/>
          <w14:textFill>
            <w14:solidFill>
              <w14:schemeClr w14:val="tx1"/>
            </w14:solidFill>
          </w14:textFill>
        </w:rPr>
        <w:t xml:space="preserve">    同通用条款，无特殊约定     </w:t>
      </w:r>
      <w:r>
        <w:rPr>
          <w:rFonts w:hint="eastAsia" w:ascii="宋体" w:hAnsi="宋体" w:eastAsia="宋体" w:cs="宋体"/>
          <w:color w:val="000000" w:themeColor="text1"/>
          <w:kern w:val="0"/>
          <w:highlight w:val="none"/>
          <w14:textFill>
            <w14:solidFill>
              <w14:schemeClr w14:val="tx1"/>
            </w14:solidFill>
          </w14:textFill>
        </w:rPr>
        <w:t>。</w:t>
      </w:r>
    </w:p>
    <w:p w14:paraId="49F91030">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1.1.3.10 临时占地包括：</w:t>
      </w:r>
      <w:r>
        <w:rPr>
          <w:rFonts w:hint="eastAsia" w:ascii="宋体" w:hAnsi="宋体" w:eastAsia="宋体" w:cs="宋体"/>
          <w:color w:val="000000" w:themeColor="text1"/>
          <w:highlight w:val="none"/>
          <w:u w:val="single"/>
          <w14:textFill>
            <w14:solidFill>
              <w14:schemeClr w14:val="tx1"/>
            </w14:solidFill>
          </w14:textFill>
        </w:rPr>
        <w:t xml:space="preserve">  由承包人根据现场踏勘情况结合施工现场所处位置自行解决  </w:t>
      </w:r>
      <w:r>
        <w:rPr>
          <w:rFonts w:hint="eastAsia" w:ascii="宋体" w:hAnsi="宋体" w:eastAsia="宋体" w:cs="宋体"/>
          <w:color w:val="000000" w:themeColor="text1"/>
          <w:kern w:val="0"/>
          <w:highlight w:val="none"/>
          <w14:textFill>
            <w14:solidFill>
              <w14:schemeClr w14:val="tx1"/>
            </w14:solidFill>
          </w14:textFill>
        </w:rPr>
        <w:t>。</w:t>
      </w:r>
    </w:p>
    <w:p w14:paraId="6175B0CC">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24" w:name="_Toc407135196"/>
      <w:bookmarkStart w:id="125" w:name="_Toc78449782"/>
      <w:bookmarkStart w:id="126" w:name="_Toc373478341"/>
      <w:bookmarkStart w:id="127" w:name="_Toc1162259329"/>
      <w:bookmarkStart w:id="128" w:name="_Toc389065260"/>
      <w:bookmarkStart w:id="129" w:name="_Toc373227694"/>
      <w:bookmarkStart w:id="130" w:name="_Toc1182598796"/>
      <w:r>
        <w:rPr>
          <w:rFonts w:hint="eastAsia" w:ascii="宋体" w:hAnsi="宋体" w:eastAsia="宋体" w:cs="宋体"/>
          <w:color w:val="000000" w:themeColor="text1"/>
          <w:highlight w:val="none"/>
          <w14:textFill>
            <w14:solidFill>
              <w14:schemeClr w14:val="tx1"/>
            </w14:solidFill>
          </w14:textFill>
        </w:rPr>
        <w:t>1.3 法律</w:t>
      </w:r>
      <w:bookmarkEnd w:id="124"/>
      <w:bookmarkEnd w:id="125"/>
      <w:bookmarkEnd w:id="126"/>
      <w:bookmarkEnd w:id="127"/>
      <w:bookmarkEnd w:id="128"/>
      <w:bookmarkEnd w:id="129"/>
      <w:bookmarkEnd w:id="130"/>
    </w:p>
    <w:p w14:paraId="62BD23CC">
      <w:pPr>
        <w:pageBreakBefore w:val="0"/>
        <w:widowControl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适用于合同的其他规范性文件：</w:t>
      </w:r>
      <w:r>
        <w:rPr>
          <w:rFonts w:hint="eastAsia" w:ascii="宋体" w:hAnsi="宋体" w:eastAsia="宋体" w:cs="宋体"/>
          <w:color w:val="000000" w:themeColor="text1"/>
          <w:highlight w:val="none"/>
          <w:u w:val="single"/>
          <w14:textFill>
            <w14:solidFill>
              <w14:schemeClr w14:val="tx1"/>
            </w14:solidFill>
          </w14:textFill>
        </w:rPr>
        <w:t xml:space="preserve">  国家、广西壮族自治区、桂林市有关工程建设的法律法规及规范性文件 </w:t>
      </w:r>
      <w:r>
        <w:rPr>
          <w:rFonts w:hint="eastAsia" w:ascii="宋体" w:hAnsi="宋体" w:eastAsia="宋体" w:cs="宋体"/>
          <w:color w:val="000000" w:themeColor="text1"/>
          <w:highlight w:val="none"/>
          <w14:textFill>
            <w14:solidFill>
              <w14:schemeClr w14:val="tx1"/>
            </w14:solidFill>
          </w14:textFill>
        </w:rPr>
        <w:t>。</w:t>
      </w:r>
    </w:p>
    <w:p w14:paraId="7F96CE45">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31" w:name="_Toc389065261"/>
      <w:bookmarkStart w:id="132" w:name="_Toc407135197"/>
      <w:bookmarkStart w:id="133" w:name="_Toc78449783"/>
      <w:bookmarkStart w:id="134" w:name="_Toc373478342"/>
      <w:bookmarkStart w:id="135" w:name="_Toc373227695"/>
      <w:bookmarkStart w:id="136" w:name="_Toc1694357896"/>
      <w:bookmarkStart w:id="137" w:name="_Toc1569433547"/>
      <w:r>
        <w:rPr>
          <w:rFonts w:hint="eastAsia" w:ascii="宋体" w:hAnsi="宋体" w:eastAsia="宋体" w:cs="宋体"/>
          <w:color w:val="000000" w:themeColor="text1"/>
          <w:highlight w:val="none"/>
          <w14:textFill>
            <w14:solidFill>
              <w14:schemeClr w14:val="tx1"/>
            </w14:solidFill>
          </w14:textFill>
        </w:rPr>
        <w:t>1.4 标准和规范</w:t>
      </w:r>
      <w:bookmarkEnd w:id="131"/>
      <w:bookmarkEnd w:id="132"/>
      <w:bookmarkEnd w:id="133"/>
      <w:bookmarkEnd w:id="134"/>
      <w:bookmarkEnd w:id="135"/>
      <w:bookmarkEnd w:id="136"/>
      <w:bookmarkEnd w:id="137"/>
    </w:p>
    <w:p w14:paraId="1E28AF82">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1.4.1 适用于工程的标准规范包括：</w:t>
      </w:r>
      <w:r>
        <w:rPr>
          <w:rFonts w:hint="eastAsia" w:ascii="宋体" w:hAnsi="宋体" w:eastAsia="宋体" w:cs="宋体"/>
          <w:color w:val="000000" w:themeColor="text1"/>
          <w:highlight w:val="none"/>
          <w:u w:val="single"/>
          <w14:textFill>
            <w14:solidFill>
              <w14:schemeClr w14:val="tx1"/>
            </w14:solidFill>
          </w14:textFill>
        </w:rPr>
        <w:t xml:space="preserve"> 现行的国家、广西壮族自治区、桂林市有关工程建设的法律法规及规范性文件 。</w:t>
      </w:r>
    </w:p>
    <w:p w14:paraId="165FC89F">
      <w:pPr>
        <w:pageBreakBefore w:val="0"/>
        <w:widowControl w:val="0"/>
        <w:kinsoku/>
        <w:wordWrap/>
        <w:overflowPunct/>
        <w:topLinePunct w:val="0"/>
        <w:bidi w:val="0"/>
        <w:snapToGrid w:val="0"/>
        <w:spacing w:line="360" w:lineRule="auto"/>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1.4.2 发包人提供国外标准、规范的名称：</w:t>
      </w:r>
      <w:r>
        <w:rPr>
          <w:rFonts w:hint="eastAsia" w:ascii="宋体" w:hAnsi="宋体" w:eastAsia="宋体" w:cs="宋体"/>
          <w:color w:val="000000" w:themeColor="text1"/>
          <w:highlight w:val="none"/>
          <w:u w:val="single"/>
          <w14:textFill>
            <w14:solidFill>
              <w14:schemeClr w14:val="tx1"/>
            </w14:solidFill>
          </w14:textFill>
        </w:rPr>
        <w:t xml:space="preserve">    无       </w:t>
      </w:r>
      <w:r>
        <w:rPr>
          <w:rFonts w:hint="eastAsia" w:ascii="宋体" w:hAnsi="宋体" w:eastAsia="宋体" w:cs="宋体"/>
          <w:color w:val="000000" w:themeColor="text1"/>
          <w:highlight w:val="none"/>
          <w14:textFill>
            <w14:solidFill>
              <w14:schemeClr w14:val="tx1"/>
            </w14:solidFill>
          </w14:textFill>
        </w:rPr>
        <w:t>；</w:t>
      </w:r>
    </w:p>
    <w:p w14:paraId="3602F18B">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发包人提供国外标准、规范的份数：</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无</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w:t>
      </w:r>
    </w:p>
    <w:p w14:paraId="28613B52">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发包人提供国外标准、规范的名称：</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无</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w:t>
      </w:r>
    </w:p>
    <w:p w14:paraId="658C7347">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1.4.3 发包人对工程的技术标准和功能要求的特殊要求：</w:t>
      </w:r>
      <w:r>
        <w:rPr>
          <w:rFonts w:hint="eastAsia" w:ascii="宋体" w:hAnsi="宋体" w:eastAsia="宋体" w:cs="宋体"/>
          <w:color w:val="000000" w:themeColor="text1"/>
          <w:highlight w:val="none"/>
          <w:u w:val="single"/>
          <w14:textFill>
            <w14:solidFill>
              <w14:schemeClr w14:val="tx1"/>
            </w14:solidFill>
          </w14:textFill>
        </w:rPr>
        <w:t xml:space="preserve">      无  </w:t>
      </w:r>
      <w:r>
        <w:rPr>
          <w:rFonts w:hint="eastAsia" w:ascii="宋体" w:hAnsi="宋体" w:eastAsia="宋体" w:cs="宋体"/>
          <w:color w:val="000000" w:themeColor="text1"/>
          <w:highlight w:val="none"/>
          <w14:textFill>
            <w14:solidFill>
              <w14:schemeClr w14:val="tx1"/>
            </w14:solidFill>
          </w14:textFill>
        </w:rPr>
        <w:t>。</w:t>
      </w:r>
    </w:p>
    <w:p w14:paraId="6CAF79A9">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38" w:name="_Toc24431861"/>
      <w:bookmarkStart w:id="139" w:name="_Toc389065262"/>
      <w:bookmarkStart w:id="140" w:name="_Toc188277238"/>
      <w:bookmarkStart w:id="141" w:name="_Toc373227696"/>
      <w:bookmarkStart w:id="142" w:name="_Toc373478343"/>
      <w:bookmarkStart w:id="143" w:name="_Toc78449784"/>
      <w:bookmarkStart w:id="144" w:name="_Toc407135198"/>
      <w:r>
        <w:rPr>
          <w:rFonts w:hint="eastAsia" w:ascii="宋体" w:hAnsi="宋体" w:eastAsia="宋体" w:cs="宋体"/>
          <w:color w:val="000000" w:themeColor="text1"/>
          <w:highlight w:val="none"/>
          <w14:textFill>
            <w14:solidFill>
              <w14:schemeClr w14:val="tx1"/>
            </w14:solidFill>
          </w14:textFill>
        </w:rPr>
        <w:t>1.5 合同文件的优先顺序</w:t>
      </w:r>
      <w:bookmarkEnd w:id="138"/>
      <w:bookmarkEnd w:id="139"/>
      <w:bookmarkEnd w:id="140"/>
      <w:bookmarkEnd w:id="141"/>
      <w:bookmarkEnd w:id="142"/>
      <w:bookmarkEnd w:id="143"/>
      <w:bookmarkEnd w:id="144"/>
    </w:p>
    <w:p w14:paraId="26F1BD92">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合同文件组成及优先顺序为：</w:t>
      </w:r>
    </w:p>
    <w:p w14:paraId="35B5D217">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kern w:val="0"/>
          <w:highlight w:val="none"/>
          <w:u w:val="single"/>
          <w14:textFill>
            <w14:solidFill>
              <w14:schemeClr w14:val="tx1"/>
            </w14:solidFill>
          </w14:textFill>
        </w:rPr>
      </w:pPr>
      <w:r>
        <w:rPr>
          <w:rFonts w:hint="eastAsia" w:ascii="宋体" w:hAnsi="宋体" w:eastAsia="宋体" w:cs="宋体"/>
          <w:color w:val="000000" w:themeColor="text1"/>
          <w:kern w:val="0"/>
          <w:highlight w:val="none"/>
          <w:u w:val="single"/>
          <w14:textFill>
            <w14:solidFill>
              <w14:schemeClr w14:val="tx1"/>
            </w14:solidFill>
          </w14:textFill>
        </w:rPr>
        <w:t>（1）合同协议书；</w:t>
      </w:r>
      <w:bookmarkStart w:id="145" w:name="bookmark916"/>
      <w:bookmarkEnd w:id="145"/>
      <w:r>
        <w:rPr>
          <w:rFonts w:hint="eastAsia" w:ascii="宋体" w:hAnsi="宋体" w:eastAsia="宋体" w:cs="宋体"/>
          <w:color w:val="000000" w:themeColor="text1"/>
          <w:kern w:val="0"/>
          <w:highlight w:val="none"/>
          <w:u w:val="single"/>
          <w14:textFill>
            <w14:solidFill>
              <w14:schemeClr w14:val="tx1"/>
            </w14:solidFill>
          </w14:textFill>
        </w:rPr>
        <w:t>（2）中标通知书；</w:t>
      </w:r>
      <w:bookmarkStart w:id="146" w:name="bookmark917"/>
      <w:bookmarkEnd w:id="146"/>
      <w:r>
        <w:rPr>
          <w:rFonts w:hint="eastAsia" w:ascii="宋体" w:hAnsi="宋体" w:eastAsia="宋体" w:cs="宋体"/>
          <w:color w:val="000000" w:themeColor="text1"/>
          <w:kern w:val="0"/>
          <w:highlight w:val="none"/>
          <w:u w:val="single"/>
          <w14:textFill>
            <w14:solidFill>
              <w14:schemeClr w14:val="tx1"/>
            </w14:solidFill>
          </w14:textFill>
        </w:rPr>
        <w:t>（3）投标函及投标函附录；</w:t>
      </w:r>
      <w:bookmarkStart w:id="147" w:name="bookmark918"/>
      <w:bookmarkEnd w:id="147"/>
      <w:r>
        <w:rPr>
          <w:rFonts w:hint="eastAsia" w:ascii="宋体" w:hAnsi="宋体" w:eastAsia="宋体" w:cs="宋体"/>
          <w:color w:val="000000" w:themeColor="text1"/>
          <w:kern w:val="0"/>
          <w:highlight w:val="none"/>
          <w:u w:val="single"/>
          <w14:textFill>
            <w14:solidFill>
              <w14:schemeClr w14:val="tx1"/>
            </w14:solidFill>
          </w14:textFill>
        </w:rPr>
        <w:t>（4）专用合同条款；</w:t>
      </w:r>
      <w:bookmarkStart w:id="148" w:name="bookmark919"/>
      <w:bookmarkEnd w:id="148"/>
      <w:r>
        <w:rPr>
          <w:rFonts w:hint="eastAsia" w:ascii="宋体" w:hAnsi="宋体" w:eastAsia="宋体" w:cs="宋体"/>
          <w:color w:val="000000" w:themeColor="text1"/>
          <w:kern w:val="0"/>
          <w:highlight w:val="none"/>
          <w:u w:val="single"/>
          <w14:textFill>
            <w14:solidFill>
              <w14:schemeClr w14:val="tx1"/>
            </w14:solidFill>
          </w14:textFill>
        </w:rPr>
        <w:t>（5）通用合同条款；</w:t>
      </w:r>
      <w:bookmarkStart w:id="149" w:name="bookmark920"/>
      <w:bookmarkEnd w:id="149"/>
      <w:r>
        <w:rPr>
          <w:rFonts w:hint="eastAsia" w:ascii="宋体" w:hAnsi="宋体" w:eastAsia="宋体" w:cs="宋体"/>
          <w:color w:val="000000" w:themeColor="text1"/>
          <w:kern w:val="0"/>
          <w:highlight w:val="none"/>
          <w:u w:val="single"/>
          <w14:textFill>
            <w14:solidFill>
              <w14:schemeClr w14:val="tx1"/>
            </w14:solidFill>
          </w14:textFill>
        </w:rPr>
        <w:t>（6）技术标准和要求；</w:t>
      </w:r>
      <w:bookmarkStart w:id="150" w:name="bookmark921"/>
      <w:bookmarkEnd w:id="150"/>
      <w:r>
        <w:rPr>
          <w:rFonts w:hint="eastAsia" w:ascii="宋体" w:hAnsi="宋体" w:eastAsia="宋体" w:cs="宋体"/>
          <w:color w:val="000000" w:themeColor="text1"/>
          <w:kern w:val="0"/>
          <w:highlight w:val="none"/>
          <w:u w:val="single"/>
          <w14:textFill>
            <w14:solidFill>
              <w14:schemeClr w14:val="tx1"/>
            </w14:solidFill>
          </w14:textFill>
        </w:rPr>
        <w:t>（7）图纸；</w:t>
      </w:r>
      <w:bookmarkStart w:id="151" w:name="bookmark922"/>
      <w:bookmarkEnd w:id="151"/>
      <w:r>
        <w:rPr>
          <w:rFonts w:hint="eastAsia" w:ascii="宋体" w:hAnsi="宋体" w:eastAsia="宋体" w:cs="宋体"/>
          <w:color w:val="000000" w:themeColor="text1"/>
          <w:kern w:val="0"/>
          <w:highlight w:val="none"/>
          <w:u w:val="single"/>
          <w14:textFill>
            <w14:solidFill>
              <w14:schemeClr w14:val="tx1"/>
            </w14:solidFill>
          </w14:textFill>
        </w:rPr>
        <w:t>（8）已标价工程量清单；（9）其他合同文件。</w:t>
      </w:r>
    </w:p>
    <w:p w14:paraId="09D17E9C">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52" w:name="_Toc78449785"/>
      <w:bookmarkStart w:id="153" w:name="_Toc1531480704"/>
      <w:bookmarkStart w:id="154" w:name="_Toc389065263"/>
      <w:bookmarkStart w:id="155" w:name="_Toc373227697"/>
      <w:bookmarkStart w:id="156" w:name="_Toc373478344"/>
      <w:bookmarkStart w:id="157" w:name="_Toc1537247101"/>
      <w:bookmarkStart w:id="158" w:name="_Toc407135199"/>
      <w:r>
        <w:rPr>
          <w:rFonts w:hint="eastAsia" w:ascii="宋体" w:hAnsi="宋体" w:eastAsia="宋体" w:cs="宋体"/>
          <w:color w:val="000000" w:themeColor="text1"/>
          <w:highlight w:val="none"/>
          <w14:textFill>
            <w14:solidFill>
              <w14:schemeClr w14:val="tx1"/>
            </w14:solidFill>
          </w14:textFill>
        </w:rPr>
        <w:t>1.6 图纸和承包人文件</w:t>
      </w:r>
      <w:bookmarkEnd w:id="152"/>
      <w:bookmarkEnd w:id="153"/>
      <w:bookmarkEnd w:id="154"/>
      <w:bookmarkEnd w:id="155"/>
      <w:bookmarkEnd w:id="156"/>
      <w:bookmarkEnd w:id="157"/>
      <w:bookmarkEnd w:id="158"/>
      <w:r>
        <w:rPr>
          <w:rFonts w:hint="eastAsia" w:ascii="宋体" w:hAnsi="宋体" w:eastAsia="宋体" w:cs="宋体"/>
          <w:color w:val="000000" w:themeColor="text1"/>
          <w:highlight w:val="none"/>
          <w14:textFill>
            <w14:solidFill>
              <w14:schemeClr w14:val="tx1"/>
            </w14:solidFill>
          </w14:textFill>
        </w:rPr>
        <w:tab/>
      </w:r>
    </w:p>
    <w:p w14:paraId="35CB2732">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1.6.1 图纸的提供</w:t>
      </w:r>
    </w:p>
    <w:p w14:paraId="441D8BE7">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发包人向承包人提供图纸的期限：</w:t>
      </w:r>
      <w:r>
        <w:rPr>
          <w:rFonts w:hint="eastAsia" w:ascii="宋体" w:hAnsi="宋体" w:eastAsia="宋体" w:cs="宋体"/>
          <w:color w:val="000000" w:themeColor="text1"/>
          <w:highlight w:val="none"/>
          <w:u w:val="single"/>
          <w14:textFill>
            <w14:solidFill>
              <w14:schemeClr w14:val="tx1"/>
            </w14:solidFill>
          </w14:textFill>
        </w:rPr>
        <w:t xml:space="preserve">  合同签订生效后7天内    </w:t>
      </w:r>
      <w:r>
        <w:rPr>
          <w:rFonts w:hint="eastAsia" w:ascii="宋体" w:hAnsi="宋体" w:eastAsia="宋体" w:cs="宋体"/>
          <w:color w:val="000000" w:themeColor="text1"/>
          <w:highlight w:val="none"/>
          <w14:textFill>
            <w14:solidFill>
              <w14:schemeClr w14:val="tx1"/>
            </w14:solidFill>
          </w14:textFill>
        </w:rPr>
        <w:t>；</w:t>
      </w:r>
    </w:p>
    <w:p w14:paraId="427260C9">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发包人向承包人提供图纸的数量：</w:t>
      </w:r>
      <w:r>
        <w:rPr>
          <w:rFonts w:hint="eastAsia" w:ascii="宋体" w:hAnsi="宋体" w:eastAsia="宋体" w:cs="宋体"/>
          <w:color w:val="000000" w:themeColor="text1"/>
          <w:highlight w:val="none"/>
          <w:u w:val="single"/>
          <w14:textFill>
            <w14:solidFill>
              <w14:schemeClr w14:val="tx1"/>
            </w14:solidFill>
          </w14:textFill>
        </w:rPr>
        <w:t xml:space="preserve">  合同签订生效后7天内向承包人免费提供施工图肆份；承包人需要增加图纸套数的，复制费用由承包人承担</w:t>
      </w:r>
      <w:r>
        <w:rPr>
          <w:rFonts w:hint="eastAsia" w:ascii="宋体" w:hAnsi="宋体" w:eastAsia="宋体" w:cs="宋体"/>
          <w:color w:val="000000" w:themeColor="text1"/>
          <w:highlight w:val="none"/>
          <w14:textFill>
            <w14:solidFill>
              <w14:schemeClr w14:val="tx1"/>
            </w14:solidFill>
          </w14:textFill>
        </w:rPr>
        <w:t>；</w:t>
      </w:r>
    </w:p>
    <w:p w14:paraId="60948117">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发包人向承包人提供图纸的内容：</w:t>
      </w:r>
      <w:r>
        <w:rPr>
          <w:rFonts w:hint="eastAsia" w:ascii="宋体" w:hAnsi="宋体" w:eastAsia="宋体" w:cs="宋体"/>
          <w:color w:val="000000" w:themeColor="text1"/>
          <w:highlight w:val="none"/>
          <w:u w:val="single"/>
          <w14:textFill>
            <w14:solidFill>
              <w14:schemeClr w14:val="tx1"/>
            </w14:solidFill>
          </w14:textFill>
        </w:rPr>
        <w:t xml:space="preserve"> 工程承包范围内的各专业施工图、设计变更图等涉及工程施工所需的相关图纸</w:t>
      </w:r>
      <w:r>
        <w:rPr>
          <w:rFonts w:hint="eastAsia" w:ascii="宋体" w:hAnsi="宋体" w:eastAsia="宋体" w:cs="宋体"/>
          <w:color w:val="000000" w:themeColor="text1"/>
          <w:highlight w:val="none"/>
          <w14:textFill>
            <w14:solidFill>
              <w14:schemeClr w14:val="tx1"/>
            </w14:solidFill>
          </w14:textFill>
        </w:rPr>
        <w:t>。</w:t>
      </w:r>
    </w:p>
    <w:p w14:paraId="180A6AB7">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1.6.4 承包人文件</w:t>
      </w:r>
    </w:p>
    <w:p w14:paraId="7327F237">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需要由承包人提供的文件，包括：</w:t>
      </w:r>
      <w:r>
        <w:rPr>
          <w:rFonts w:hint="eastAsia" w:ascii="宋体" w:hAnsi="宋体" w:eastAsia="宋体" w:cs="宋体"/>
          <w:color w:val="000000" w:themeColor="text1"/>
          <w:highlight w:val="none"/>
          <w:u w:val="single"/>
          <w14:textFill>
            <w14:solidFill>
              <w14:schemeClr w14:val="tx1"/>
            </w14:solidFill>
          </w14:textFill>
        </w:rPr>
        <w:t xml:space="preserve">  （1）总进度计划 （2）施工组织设计；（3）施工图以外的大样图、加工图、标准图等   </w:t>
      </w:r>
      <w:r>
        <w:rPr>
          <w:rFonts w:hint="eastAsia" w:ascii="宋体" w:hAnsi="宋体" w:eastAsia="宋体" w:cs="宋体"/>
          <w:color w:val="000000" w:themeColor="text1"/>
          <w:highlight w:val="none"/>
          <w14:textFill>
            <w14:solidFill>
              <w14:schemeClr w14:val="tx1"/>
            </w14:solidFill>
          </w14:textFill>
        </w:rPr>
        <w:t>；</w:t>
      </w:r>
    </w:p>
    <w:p w14:paraId="2D3DB1E4">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承包人提供的文件的期限为：</w:t>
      </w:r>
      <w:r>
        <w:rPr>
          <w:rFonts w:hint="eastAsia" w:ascii="宋体" w:hAnsi="宋体" w:eastAsia="宋体" w:cs="宋体"/>
          <w:color w:val="000000" w:themeColor="text1"/>
          <w:highlight w:val="none"/>
          <w:u w:val="single"/>
          <w14:textFill>
            <w14:solidFill>
              <w14:schemeClr w14:val="tx1"/>
            </w14:solidFill>
          </w14:textFill>
        </w:rPr>
        <w:t xml:space="preserve">  开始施工前7天内  </w:t>
      </w:r>
      <w:r>
        <w:rPr>
          <w:rFonts w:hint="eastAsia" w:ascii="宋体" w:hAnsi="宋体" w:eastAsia="宋体" w:cs="宋体"/>
          <w:color w:val="000000" w:themeColor="text1"/>
          <w:highlight w:val="none"/>
          <w14:textFill>
            <w14:solidFill>
              <w14:schemeClr w14:val="tx1"/>
            </w14:solidFill>
          </w14:textFill>
        </w:rPr>
        <w:t>；</w:t>
      </w:r>
    </w:p>
    <w:p w14:paraId="3427E8F2">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承包人提供的文件的数量为：</w:t>
      </w:r>
      <w:r>
        <w:rPr>
          <w:rFonts w:hint="eastAsia" w:ascii="宋体" w:hAnsi="宋体" w:eastAsia="宋体" w:cs="宋体"/>
          <w:color w:val="000000" w:themeColor="text1"/>
          <w:highlight w:val="none"/>
          <w:u w:val="single"/>
          <w14:textFill>
            <w14:solidFill>
              <w14:schemeClr w14:val="tx1"/>
            </w14:solidFill>
          </w14:textFill>
        </w:rPr>
        <w:t xml:space="preserve">   肆份        </w:t>
      </w:r>
      <w:r>
        <w:rPr>
          <w:rFonts w:hint="eastAsia" w:ascii="宋体" w:hAnsi="宋体" w:eastAsia="宋体" w:cs="宋体"/>
          <w:color w:val="000000" w:themeColor="text1"/>
          <w:highlight w:val="none"/>
          <w14:textFill>
            <w14:solidFill>
              <w14:schemeClr w14:val="tx1"/>
            </w14:solidFill>
          </w14:textFill>
        </w:rPr>
        <w:t>；</w:t>
      </w:r>
    </w:p>
    <w:p w14:paraId="5C32CA82">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承包人提供的文件的形式为：</w:t>
      </w:r>
      <w:r>
        <w:rPr>
          <w:rFonts w:hint="eastAsia" w:ascii="宋体" w:hAnsi="宋体" w:eastAsia="宋体" w:cs="宋体"/>
          <w:color w:val="000000" w:themeColor="text1"/>
          <w:highlight w:val="none"/>
          <w:u w:val="single"/>
          <w14:textFill>
            <w14:solidFill>
              <w14:schemeClr w14:val="tx1"/>
            </w14:solidFill>
          </w14:textFill>
        </w:rPr>
        <w:t xml:space="preserve"> 纸质版和电子版  </w:t>
      </w:r>
      <w:r>
        <w:rPr>
          <w:rFonts w:hint="eastAsia" w:ascii="宋体" w:hAnsi="宋体" w:eastAsia="宋体" w:cs="宋体"/>
          <w:color w:val="000000" w:themeColor="text1"/>
          <w:highlight w:val="none"/>
          <w14:textFill>
            <w14:solidFill>
              <w14:schemeClr w14:val="tx1"/>
            </w14:solidFill>
          </w14:textFill>
        </w:rPr>
        <w:t>；</w:t>
      </w:r>
    </w:p>
    <w:p w14:paraId="7CA34D8C">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发包人审批承包人文件的期限：</w:t>
      </w:r>
      <w:r>
        <w:rPr>
          <w:rFonts w:hint="eastAsia" w:ascii="宋体" w:hAnsi="宋体" w:eastAsia="宋体" w:cs="宋体"/>
          <w:color w:val="000000" w:themeColor="text1"/>
          <w:highlight w:val="none"/>
          <w:u w:val="single"/>
          <w14:textFill>
            <w14:solidFill>
              <w14:schemeClr w14:val="tx1"/>
            </w14:solidFill>
          </w14:textFill>
        </w:rPr>
        <w:t xml:space="preserve">  7天       </w:t>
      </w:r>
      <w:r>
        <w:rPr>
          <w:rFonts w:hint="eastAsia" w:ascii="宋体" w:hAnsi="宋体" w:eastAsia="宋体" w:cs="宋体"/>
          <w:color w:val="000000" w:themeColor="text1"/>
          <w:highlight w:val="none"/>
          <w14:textFill>
            <w14:solidFill>
              <w14:schemeClr w14:val="tx1"/>
            </w14:solidFill>
          </w14:textFill>
        </w:rPr>
        <w:t>。</w:t>
      </w:r>
    </w:p>
    <w:p w14:paraId="5E679D4B">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1.6.5 现场图纸准备</w:t>
      </w:r>
    </w:p>
    <w:p w14:paraId="32D16B11">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关于现场图纸准备的约定：</w:t>
      </w:r>
      <w:r>
        <w:rPr>
          <w:rFonts w:hint="eastAsia" w:ascii="宋体" w:hAnsi="宋体" w:eastAsia="宋体" w:cs="宋体"/>
          <w:color w:val="000000" w:themeColor="text1"/>
          <w:highlight w:val="none"/>
          <w:u w:val="single"/>
          <w14:textFill>
            <w14:solidFill>
              <w14:schemeClr w14:val="tx1"/>
            </w14:solidFill>
          </w14:textFill>
        </w:rPr>
        <w:t xml:space="preserve">  承包人在施工现场保存至少3套完整施工图  </w:t>
      </w:r>
      <w:r>
        <w:rPr>
          <w:rFonts w:hint="eastAsia" w:ascii="宋体" w:hAnsi="宋体" w:eastAsia="宋体" w:cs="宋体"/>
          <w:color w:val="000000" w:themeColor="text1"/>
          <w:highlight w:val="none"/>
          <w14:textFill>
            <w14:solidFill>
              <w14:schemeClr w14:val="tx1"/>
            </w14:solidFill>
          </w14:textFill>
        </w:rPr>
        <w:t>。</w:t>
      </w:r>
    </w:p>
    <w:p w14:paraId="3491005D">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59" w:name="_Toc78449786"/>
      <w:bookmarkStart w:id="160" w:name="_Toc389065264"/>
      <w:bookmarkStart w:id="161" w:name="_Toc373227698"/>
      <w:bookmarkStart w:id="162" w:name="_Toc373478345"/>
      <w:bookmarkStart w:id="163" w:name="_Toc407135200"/>
      <w:bookmarkStart w:id="164" w:name="_Toc110523719"/>
      <w:bookmarkStart w:id="165" w:name="_Toc1944260835"/>
      <w:r>
        <w:rPr>
          <w:rFonts w:hint="eastAsia" w:ascii="宋体" w:hAnsi="宋体" w:eastAsia="宋体" w:cs="宋体"/>
          <w:color w:val="000000" w:themeColor="text1"/>
          <w:highlight w:val="none"/>
          <w14:textFill>
            <w14:solidFill>
              <w14:schemeClr w14:val="tx1"/>
            </w14:solidFill>
          </w14:textFill>
        </w:rPr>
        <w:t>1.7 联络</w:t>
      </w:r>
      <w:bookmarkEnd w:id="159"/>
      <w:bookmarkEnd w:id="160"/>
      <w:bookmarkEnd w:id="161"/>
      <w:bookmarkEnd w:id="162"/>
      <w:bookmarkEnd w:id="163"/>
      <w:bookmarkEnd w:id="164"/>
      <w:bookmarkEnd w:id="165"/>
    </w:p>
    <w:p w14:paraId="29EE378E">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1.7.1发包人和承包人应当在</w:t>
      </w:r>
      <w:r>
        <w:rPr>
          <w:rFonts w:hint="eastAsia" w:ascii="宋体" w:hAnsi="宋体" w:eastAsia="宋体" w:cs="宋体"/>
          <w:color w:val="000000" w:themeColor="text1"/>
          <w:highlight w:val="none"/>
          <w:u w:val="single"/>
          <w14:textFill>
            <w14:solidFill>
              <w14:schemeClr w14:val="tx1"/>
            </w14:solidFill>
          </w14:textFill>
        </w:rPr>
        <w:t xml:space="preserve">  3  </w:t>
      </w:r>
      <w:r>
        <w:rPr>
          <w:rFonts w:hint="eastAsia" w:ascii="宋体" w:hAnsi="宋体" w:eastAsia="宋体" w:cs="宋体"/>
          <w:color w:val="000000" w:themeColor="text1"/>
          <w:kern w:val="0"/>
          <w:highlight w:val="none"/>
          <w14:textFill>
            <w14:solidFill>
              <w14:schemeClr w14:val="tx1"/>
            </w14:solidFill>
          </w14:textFill>
        </w:rPr>
        <w:t>天内将与合同有关的通知、批准、证明、证书、指示、指令、要求、请求、同意、意见、确定和决定等书面函件送达对方当事人。</w:t>
      </w:r>
    </w:p>
    <w:p w14:paraId="10402FE9">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1.7.2 发包人接收文件的地点：</w:t>
      </w:r>
      <w:r>
        <w:rPr>
          <w:rFonts w:hint="eastAsia" w:ascii="宋体" w:hAnsi="宋体" w:eastAsia="宋体" w:cs="宋体"/>
          <w:color w:val="000000" w:themeColor="text1"/>
          <w:highlight w:val="none"/>
          <w:u w:val="single"/>
          <w14:textFill>
            <w14:solidFill>
              <w14:schemeClr w14:val="tx1"/>
            </w14:solidFill>
          </w14:textFill>
        </w:rPr>
        <w:t xml:space="preserve">  双方按实际情况现场约定  </w:t>
      </w:r>
      <w:r>
        <w:rPr>
          <w:rFonts w:hint="eastAsia" w:ascii="宋体" w:hAnsi="宋体" w:eastAsia="宋体" w:cs="宋体"/>
          <w:color w:val="000000" w:themeColor="text1"/>
          <w:kern w:val="0"/>
          <w:highlight w:val="none"/>
          <w14:textFill>
            <w14:solidFill>
              <w14:schemeClr w14:val="tx1"/>
            </w14:solidFill>
          </w14:textFill>
        </w:rPr>
        <w:t>；</w:t>
      </w:r>
    </w:p>
    <w:p w14:paraId="4C1D62D5">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发包人指定的接收人为：</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lang w:eastAsia="zh-CN"/>
          <w14:textFill>
            <w14:solidFill>
              <w14:schemeClr w14:val="tx1"/>
            </w14:solidFill>
          </w14:textFill>
        </w:rPr>
        <w:t>成交后填写</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w:t>
      </w:r>
    </w:p>
    <w:p w14:paraId="75024D02">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承包人接收文件的地点：</w:t>
      </w:r>
      <w:r>
        <w:rPr>
          <w:rFonts w:hint="eastAsia" w:ascii="宋体" w:hAnsi="宋体" w:eastAsia="宋体" w:cs="宋体"/>
          <w:color w:val="000000" w:themeColor="text1"/>
          <w:highlight w:val="none"/>
          <w:u w:val="single"/>
          <w14:textFill>
            <w14:solidFill>
              <w14:schemeClr w14:val="tx1"/>
            </w14:solidFill>
          </w14:textFill>
        </w:rPr>
        <w:t xml:space="preserve">  双方按实际情况现场约定  </w:t>
      </w:r>
      <w:r>
        <w:rPr>
          <w:rFonts w:hint="eastAsia" w:ascii="宋体" w:hAnsi="宋体" w:eastAsia="宋体" w:cs="宋体"/>
          <w:color w:val="000000" w:themeColor="text1"/>
          <w:kern w:val="0"/>
          <w:highlight w:val="none"/>
          <w14:textFill>
            <w14:solidFill>
              <w14:schemeClr w14:val="tx1"/>
            </w14:solidFill>
          </w14:textFill>
        </w:rPr>
        <w:t>；</w:t>
      </w:r>
    </w:p>
    <w:p w14:paraId="70E377C9">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承包人指定的接收人为：</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lang w:eastAsia="zh-CN"/>
          <w14:textFill>
            <w14:solidFill>
              <w14:schemeClr w14:val="tx1"/>
            </w14:solidFill>
          </w14:textFill>
        </w:rPr>
        <w:t>成交后填写</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w:t>
      </w:r>
    </w:p>
    <w:p w14:paraId="2C896DF3">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监理人接收文件的地点：</w:t>
      </w:r>
      <w:r>
        <w:rPr>
          <w:rFonts w:hint="eastAsia" w:ascii="宋体" w:hAnsi="宋体" w:eastAsia="宋体" w:cs="宋体"/>
          <w:color w:val="000000" w:themeColor="text1"/>
          <w:highlight w:val="none"/>
          <w:u w:val="single"/>
          <w14:textFill>
            <w14:solidFill>
              <w14:schemeClr w14:val="tx1"/>
            </w14:solidFill>
          </w14:textFill>
        </w:rPr>
        <w:t xml:space="preserve">  发包人指定地点      </w:t>
      </w:r>
      <w:r>
        <w:rPr>
          <w:rFonts w:hint="eastAsia" w:ascii="宋体" w:hAnsi="宋体" w:eastAsia="宋体" w:cs="宋体"/>
          <w:color w:val="000000" w:themeColor="text1"/>
          <w:kern w:val="0"/>
          <w:highlight w:val="none"/>
          <w14:textFill>
            <w14:solidFill>
              <w14:schemeClr w14:val="tx1"/>
            </w14:solidFill>
          </w14:textFill>
        </w:rPr>
        <w:t>；</w:t>
      </w:r>
    </w:p>
    <w:p w14:paraId="40F390E6">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监理人指定的接收人为：</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lang w:eastAsia="zh-CN"/>
          <w14:textFill>
            <w14:solidFill>
              <w14:schemeClr w14:val="tx1"/>
            </w14:solidFill>
          </w14:textFill>
        </w:rPr>
        <w:t>成交后填写</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w:t>
      </w:r>
    </w:p>
    <w:p w14:paraId="1D116303">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66" w:name="_Toc373227699"/>
      <w:bookmarkStart w:id="167" w:name="_Toc407135201"/>
      <w:bookmarkStart w:id="168" w:name="_Toc224348539"/>
      <w:bookmarkStart w:id="169" w:name="_Toc1387231545"/>
      <w:bookmarkStart w:id="170" w:name="_Toc389065265"/>
      <w:bookmarkStart w:id="171" w:name="_Toc78449787"/>
      <w:bookmarkStart w:id="172" w:name="_Toc373478346"/>
      <w:r>
        <w:rPr>
          <w:rFonts w:hint="eastAsia" w:ascii="宋体" w:hAnsi="宋体" w:eastAsia="宋体" w:cs="宋体"/>
          <w:color w:val="000000" w:themeColor="text1"/>
          <w:highlight w:val="none"/>
          <w14:textFill>
            <w14:solidFill>
              <w14:schemeClr w14:val="tx1"/>
            </w14:solidFill>
          </w14:textFill>
        </w:rPr>
        <w:t>1.10 交通运输</w:t>
      </w:r>
      <w:bookmarkEnd w:id="166"/>
      <w:bookmarkEnd w:id="167"/>
      <w:bookmarkEnd w:id="168"/>
      <w:bookmarkEnd w:id="169"/>
      <w:bookmarkEnd w:id="170"/>
      <w:bookmarkEnd w:id="171"/>
      <w:bookmarkEnd w:id="172"/>
    </w:p>
    <w:p w14:paraId="4FFBCD02">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bookmarkStart w:id="173" w:name="_Toc300934943"/>
      <w:bookmarkStart w:id="174" w:name="_Toc318581155"/>
      <w:bookmarkStart w:id="175" w:name="_Toc312677986"/>
      <w:bookmarkStart w:id="176" w:name="_Toc303539100"/>
      <w:bookmarkStart w:id="177" w:name="_Toc304295521"/>
      <w:r>
        <w:rPr>
          <w:rFonts w:hint="eastAsia" w:ascii="宋体" w:hAnsi="宋体" w:eastAsia="宋体" w:cs="宋体"/>
          <w:color w:val="000000" w:themeColor="text1"/>
          <w:highlight w:val="none"/>
          <w14:textFill>
            <w14:solidFill>
              <w14:schemeClr w14:val="tx1"/>
            </w14:solidFill>
          </w14:textFill>
        </w:rPr>
        <w:t>.10.1 出入现场的权利</w:t>
      </w:r>
    </w:p>
    <w:p w14:paraId="5416BAFF">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关于出入现场的权利的约定：</w:t>
      </w:r>
      <w:r>
        <w:rPr>
          <w:rFonts w:hint="eastAsia" w:ascii="宋体" w:hAnsi="宋体" w:eastAsia="宋体" w:cs="宋体"/>
          <w:color w:val="000000" w:themeColor="text1"/>
          <w:highlight w:val="none"/>
          <w:u w:val="single"/>
          <w14:textFill>
            <w14:solidFill>
              <w14:schemeClr w14:val="tx1"/>
            </w14:solidFill>
          </w14:textFill>
        </w:rPr>
        <w:t xml:space="preserve">  按通用条款1.10.1执行   </w:t>
      </w:r>
      <w:r>
        <w:rPr>
          <w:rFonts w:hint="eastAsia" w:ascii="宋体" w:hAnsi="宋体" w:eastAsia="宋体" w:cs="宋体"/>
          <w:color w:val="000000" w:themeColor="text1"/>
          <w:highlight w:val="none"/>
          <w14:textFill>
            <w14:solidFill>
              <w14:schemeClr w14:val="tx1"/>
            </w14:solidFill>
          </w14:textFill>
        </w:rPr>
        <w:t>。</w:t>
      </w:r>
    </w:p>
    <w:bookmarkEnd w:id="173"/>
    <w:bookmarkEnd w:id="174"/>
    <w:bookmarkEnd w:id="175"/>
    <w:bookmarkEnd w:id="176"/>
    <w:bookmarkEnd w:id="177"/>
    <w:p w14:paraId="557CD271">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bookmarkStart w:id="178" w:name="_Toc318581156"/>
      <w:bookmarkStart w:id="179" w:name="_Toc304295522"/>
      <w:bookmarkStart w:id="180" w:name="_Toc303539101"/>
      <w:bookmarkStart w:id="181" w:name="_Toc300934944"/>
      <w:bookmarkStart w:id="182" w:name="_Toc312677987"/>
      <w:r>
        <w:rPr>
          <w:rFonts w:hint="eastAsia" w:ascii="宋体" w:hAnsi="宋体" w:eastAsia="宋体" w:cs="宋体"/>
          <w:color w:val="000000" w:themeColor="text1"/>
          <w:highlight w:val="none"/>
          <w14:textFill>
            <w14:solidFill>
              <w14:schemeClr w14:val="tx1"/>
            </w14:solidFill>
          </w14:textFill>
        </w:rPr>
        <w:t>.10.3 场内交通</w:t>
      </w:r>
    </w:p>
    <w:p w14:paraId="41AB8881">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关于场外交通和场内交通的边界的约定：</w:t>
      </w:r>
      <w:r>
        <w:rPr>
          <w:rFonts w:hint="eastAsia" w:ascii="宋体" w:hAnsi="宋体" w:eastAsia="宋体" w:cs="宋体"/>
          <w:color w:val="000000" w:themeColor="text1"/>
          <w:highlight w:val="none"/>
          <w:u w:val="single"/>
          <w14:textFill>
            <w14:solidFill>
              <w14:schemeClr w14:val="tx1"/>
            </w14:solidFill>
          </w14:textFill>
        </w:rPr>
        <w:t xml:space="preserve"> 以本工程规划红线范围及桩号界定  </w:t>
      </w:r>
      <w:r>
        <w:rPr>
          <w:rFonts w:hint="eastAsia" w:ascii="宋体" w:hAnsi="宋体" w:eastAsia="宋体" w:cs="宋体"/>
          <w:color w:val="000000" w:themeColor="text1"/>
          <w:highlight w:val="none"/>
          <w14:textFill>
            <w14:solidFill>
              <w14:schemeClr w14:val="tx1"/>
            </w14:solidFill>
          </w14:textFill>
        </w:rPr>
        <w:t>。</w:t>
      </w:r>
    </w:p>
    <w:p w14:paraId="58B68E45">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关于发包人向承包人免费提供满足工程施工需要的场内道路和交通设施的约定：</w:t>
      </w:r>
      <w:r>
        <w:rPr>
          <w:rFonts w:hint="eastAsia" w:ascii="宋体" w:hAnsi="宋体" w:eastAsia="宋体" w:cs="宋体"/>
          <w:color w:val="000000" w:themeColor="text1"/>
          <w:highlight w:val="none"/>
          <w:u w:val="single"/>
          <w14:textFill>
            <w14:solidFill>
              <w14:schemeClr w14:val="tx1"/>
            </w14:solidFill>
          </w14:textFill>
        </w:rPr>
        <w:t xml:space="preserve">由承包人负责场内道路和交通设施的修建并承担相应费用（发包人和监理人可无偿使用）   </w:t>
      </w:r>
      <w:r>
        <w:rPr>
          <w:rFonts w:hint="eastAsia" w:ascii="宋体" w:hAnsi="宋体" w:eastAsia="宋体" w:cs="宋体"/>
          <w:color w:val="000000" w:themeColor="text1"/>
          <w:highlight w:val="none"/>
          <w14:textFill>
            <w14:solidFill>
              <w14:schemeClr w14:val="tx1"/>
            </w14:solidFill>
          </w14:textFill>
        </w:rPr>
        <w:t>。</w:t>
      </w:r>
      <w:bookmarkEnd w:id="178"/>
      <w:bookmarkEnd w:id="179"/>
      <w:bookmarkEnd w:id="180"/>
      <w:bookmarkEnd w:id="181"/>
      <w:bookmarkEnd w:id="182"/>
      <w:bookmarkStart w:id="183" w:name="_Toc318581157"/>
    </w:p>
    <w:p w14:paraId="2FA32BAF">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1.10.4 超大件和超重件的运输</w:t>
      </w:r>
    </w:p>
    <w:p w14:paraId="1CD964B0">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运输超大件或超重件所需的道路和桥梁临时加固改造费用和其他有关费用由</w:t>
      </w:r>
      <w:r>
        <w:rPr>
          <w:rFonts w:hint="eastAsia" w:ascii="宋体" w:hAnsi="宋体" w:eastAsia="宋体" w:cs="宋体"/>
          <w:color w:val="000000" w:themeColor="text1"/>
          <w:highlight w:val="none"/>
          <w:u w:val="single"/>
          <w14:textFill>
            <w14:solidFill>
              <w14:schemeClr w14:val="tx1"/>
            </w14:solidFill>
          </w14:textFill>
        </w:rPr>
        <w:t>承包人</w:t>
      </w:r>
      <w:r>
        <w:rPr>
          <w:rFonts w:hint="eastAsia" w:ascii="宋体" w:hAnsi="宋体" w:eastAsia="宋体" w:cs="宋体"/>
          <w:color w:val="000000" w:themeColor="text1"/>
          <w:highlight w:val="none"/>
          <w14:textFill>
            <w14:solidFill>
              <w14:schemeClr w14:val="tx1"/>
            </w14:solidFill>
          </w14:textFill>
        </w:rPr>
        <w:t>承担。</w:t>
      </w:r>
    </w:p>
    <w:bookmarkEnd w:id="183"/>
    <w:p w14:paraId="036FEB86">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84" w:name="_Toc373227700"/>
      <w:bookmarkStart w:id="185" w:name="_Toc512841653"/>
      <w:bookmarkStart w:id="186" w:name="_Toc373478347"/>
      <w:bookmarkStart w:id="187" w:name="_Toc78449788"/>
      <w:bookmarkStart w:id="188" w:name="_Toc1495098807"/>
      <w:bookmarkStart w:id="189" w:name="_Toc389065266"/>
      <w:bookmarkStart w:id="190" w:name="_Toc407135202"/>
      <w:r>
        <w:rPr>
          <w:rFonts w:hint="eastAsia" w:ascii="宋体" w:hAnsi="宋体" w:eastAsia="宋体" w:cs="宋体"/>
          <w:color w:val="000000" w:themeColor="text1"/>
          <w:highlight w:val="none"/>
          <w14:textFill>
            <w14:solidFill>
              <w14:schemeClr w14:val="tx1"/>
            </w14:solidFill>
          </w14:textFill>
        </w:rPr>
        <w:t>1.11 知识产权</w:t>
      </w:r>
      <w:bookmarkEnd w:id="184"/>
      <w:bookmarkEnd w:id="185"/>
      <w:bookmarkEnd w:id="186"/>
      <w:bookmarkEnd w:id="187"/>
      <w:bookmarkEnd w:id="188"/>
      <w:bookmarkEnd w:id="189"/>
      <w:bookmarkEnd w:id="190"/>
    </w:p>
    <w:p w14:paraId="6366619D">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themeColor="text1"/>
          <w:highlight w:val="none"/>
          <w:u w:val="single"/>
          <w14:textFill>
            <w14:solidFill>
              <w14:schemeClr w14:val="tx1"/>
            </w14:solidFill>
          </w14:textFill>
        </w:rPr>
        <w:t xml:space="preserve"> 著作权属于发包人 </w:t>
      </w:r>
      <w:r>
        <w:rPr>
          <w:rFonts w:hint="eastAsia" w:ascii="宋体" w:hAnsi="宋体" w:eastAsia="宋体" w:cs="宋体"/>
          <w:color w:val="000000" w:themeColor="text1"/>
          <w:highlight w:val="none"/>
          <w14:textFill>
            <w14:solidFill>
              <w14:schemeClr w14:val="tx1"/>
            </w14:solidFill>
          </w14:textFill>
        </w:rPr>
        <w:t>。</w:t>
      </w:r>
    </w:p>
    <w:p w14:paraId="72133E3F">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关于发包人提供的上述文件的使用限制的要求：</w:t>
      </w:r>
      <w:r>
        <w:rPr>
          <w:rFonts w:hint="eastAsia" w:ascii="宋体" w:hAnsi="宋体" w:eastAsia="宋体" w:cs="宋体"/>
          <w:color w:val="000000" w:themeColor="text1"/>
          <w:highlight w:val="none"/>
          <w:u w:val="single"/>
          <w14:textFill>
            <w14:solidFill>
              <w14:schemeClr w14:val="tx1"/>
            </w14:solidFill>
          </w14:textFill>
        </w:rPr>
        <w:t xml:space="preserve">  未经发包人同意，承包人不得为了合同以外的目的而复制、使用上述文件或将之提供给任何第三方  </w:t>
      </w:r>
      <w:r>
        <w:rPr>
          <w:rFonts w:hint="eastAsia" w:ascii="宋体" w:hAnsi="宋体" w:eastAsia="宋体" w:cs="宋体"/>
          <w:color w:val="000000" w:themeColor="text1"/>
          <w:highlight w:val="none"/>
          <w14:textFill>
            <w14:solidFill>
              <w14:schemeClr w14:val="tx1"/>
            </w14:solidFill>
          </w14:textFill>
        </w:rPr>
        <w:t>。</w:t>
      </w:r>
    </w:p>
    <w:p w14:paraId="5A7CCA67">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1.11.2 关于承包人为实施工程所编制文件的著作权的归属：</w:t>
      </w:r>
      <w:r>
        <w:rPr>
          <w:rFonts w:hint="eastAsia" w:ascii="宋体" w:hAnsi="宋体" w:eastAsia="宋体" w:cs="宋体"/>
          <w:color w:val="000000" w:themeColor="text1"/>
          <w:highlight w:val="none"/>
          <w:u w:val="single"/>
          <w14:textFill>
            <w14:solidFill>
              <w14:schemeClr w14:val="tx1"/>
            </w14:solidFill>
          </w14:textFill>
        </w:rPr>
        <w:t>除署名以外著作权属于发包人</w:t>
      </w:r>
      <w:r>
        <w:rPr>
          <w:rFonts w:hint="eastAsia" w:ascii="宋体" w:hAnsi="宋体" w:eastAsia="宋体" w:cs="宋体"/>
          <w:color w:val="000000" w:themeColor="text1"/>
          <w:highlight w:val="none"/>
          <w14:textFill>
            <w14:solidFill>
              <w14:schemeClr w14:val="tx1"/>
            </w14:solidFill>
          </w14:textFill>
        </w:rPr>
        <w:t>。</w:t>
      </w:r>
    </w:p>
    <w:p w14:paraId="73B2CD37">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关于承包人提供的上述文件的使用限制的要求：</w:t>
      </w:r>
      <w:r>
        <w:rPr>
          <w:rFonts w:hint="eastAsia" w:ascii="宋体" w:hAnsi="宋体" w:eastAsia="宋体" w:cs="宋体"/>
          <w:color w:val="000000" w:themeColor="text1"/>
          <w:highlight w:val="none"/>
          <w:u w:val="single"/>
          <w14:textFill>
            <w14:solidFill>
              <w14:schemeClr w14:val="tx1"/>
            </w14:solidFill>
          </w14:textFill>
        </w:rPr>
        <w:t xml:space="preserve"> 未经发包人同意，承包人不得为了合同以外的目的而复制、使用上述文件或将之提供给任何第三方 </w:t>
      </w:r>
      <w:r>
        <w:rPr>
          <w:rFonts w:hint="eastAsia" w:ascii="宋体" w:hAnsi="宋体" w:eastAsia="宋体" w:cs="宋体"/>
          <w:color w:val="000000" w:themeColor="text1"/>
          <w:highlight w:val="none"/>
          <w14:textFill>
            <w14:solidFill>
              <w14:schemeClr w14:val="tx1"/>
            </w14:solidFill>
          </w14:textFill>
        </w:rPr>
        <w:t>。</w:t>
      </w:r>
    </w:p>
    <w:p w14:paraId="135E2C69">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1.11.4 承包人在施工过程中所采用的专利、专有技术、技术秘密的使用费的承担方式：</w:t>
      </w:r>
      <w:r>
        <w:rPr>
          <w:rFonts w:hint="eastAsia" w:ascii="宋体" w:hAnsi="宋体" w:eastAsia="宋体" w:cs="宋体"/>
          <w:color w:val="000000" w:themeColor="text1"/>
          <w:highlight w:val="none"/>
          <w:u w:val="single"/>
          <w14:textFill>
            <w14:solidFill>
              <w14:schemeClr w14:val="tx1"/>
            </w14:solidFill>
          </w14:textFill>
        </w:rPr>
        <w:t xml:space="preserve"> 由承包人承担 </w:t>
      </w:r>
      <w:r>
        <w:rPr>
          <w:rFonts w:hint="eastAsia" w:ascii="宋体" w:hAnsi="宋体" w:eastAsia="宋体" w:cs="宋体"/>
          <w:color w:val="000000" w:themeColor="text1"/>
          <w:kern w:val="0"/>
          <w:highlight w:val="none"/>
          <w14:textFill>
            <w14:solidFill>
              <w14:schemeClr w14:val="tx1"/>
            </w14:solidFill>
          </w14:textFill>
        </w:rPr>
        <w:t>。</w:t>
      </w:r>
    </w:p>
    <w:p w14:paraId="5524F8CE">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91" w:name="_Toc267680563"/>
      <w:bookmarkStart w:id="192" w:name="_Toc78449789"/>
      <w:bookmarkStart w:id="193" w:name="_Toc373478348"/>
      <w:bookmarkStart w:id="194" w:name="_Toc407135203"/>
      <w:bookmarkStart w:id="195" w:name="_Toc1194977599"/>
      <w:bookmarkStart w:id="196" w:name="_Toc389065267"/>
      <w:bookmarkStart w:id="197" w:name="_Toc373227701"/>
      <w:r>
        <w:rPr>
          <w:rFonts w:hint="eastAsia" w:ascii="宋体" w:hAnsi="宋体" w:eastAsia="宋体" w:cs="宋体"/>
          <w:color w:val="000000" w:themeColor="text1"/>
          <w:highlight w:val="none"/>
          <w14:textFill>
            <w14:solidFill>
              <w14:schemeClr w14:val="tx1"/>
            </w14:solidFill>
          </w14:textFill>
        </w:rPr>
        <w:t>1.13工程量清单错误的修正</w:t>
      </w:r>
      <w:bookmarkEnd w:id="191"/>
      <w:bookmarkEnd w:id="192"/>
      <w:bookmarkEnd w:id="193"/>
      <w:bookmarkEnd w:id="194"/>
      <w:bookmarkEnd w:id="195"/>
      <w:bookmarkEnd w:id="196"/>
      <w:bookmarkEnd w:id="197"/>
    </w:p>
    <w:p w14:paraId="3983EC5F">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出现工程量清单工程量偏差时，是否调整合同价格：</w:t>
      </w:r>
      <w:r>
        <w:rPr>
          <w:rFonts w:hint="eastAsia" w:ascii="宋体" w:hAnsi="宋体" w:eastAsia="宋体" w:cs="宋体"/>
          <w:color w:val="000000" w:themeColor="text1"/>
          <w:highlight w:val="none"/>
          <w:u w:val="single"/>
          <w14:textFill>
            <w14:solidFill>
              <w14:schemeClr w14:val="tx1"/>
            </w14:solidFill>
          </w14:textFill>
        </w:rPr>
        <w:t>■是  □否</w:t>
      </w:r>
      <w:r>
        <w:rPr>
          <w:rFonts w:hint="eastAsia" w:ascii="宋体" w:hAnsi="宋体" w:eastAsia="宋体" w:cs="宋体"/>
          <w:color w:val="000000" w:themeColor="text1"/>
          <w:kern w:val="0"/>
          <w:highlight w:val="none"/>
          <w14:textFill>
            <w14:solidFill>
              <w14:schemeClr w14:val="tx1"/>
            </w14:solidFill>
          </w14:textFill>
        </w:rPr>
        <w:t>。</w:t>
      </w:r>
    </w:p>
    <w:p w14:paraId="16048CAA">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允许调整合同价格的工程量偏差范围及其调整办法：</w:t>
      </w:r>
    </w:p>
    <w:p w14:paraId="0E5EB597">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xml:space="preserve"> 除严重不平衡报价外，无论分部分项工程量清单项目中的工程量变化多少均不调整   </w:t>
      </w:r>
      <w:r>
        <w:rPr>
          <w:rFonts w:hint="eastAsia" w:ascii="宋体" w:hAnsi="宋体" w:eastAsia="宋体" w:cs="宋体"/>
          <w:color w:val="000000" w:themeColor="text1"/>
          <w:kern w:val="0"/>
          <w:highlight w:val="none"/>
          <w14:textFill>
            <w14:solidFill>
              <w14:schemeClr w14:val="tx1"/>
            </w14:solidFill>
          </w14:textFill>
        </w:rPr>
        <w:t>。</w:t>
      </w:r>
    </w:p>
    <w:p w14:paraId="07431ACB">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■承包人实际完成的某单项清单项目工程量与招标工程量清单工程量偏差超过5 %且该单项清单造价超过合同总价1 %以上的，超过后增加部分工程量或减少后剩余部分工程量的综合单价按以下方法调整： （1）合同中已有相同清单项目的，按合同该清单项目价格进行计算；（2）合同中只有类似清单项目的，参照该类似清单项目价格进行计算；（3）合同中没有适用或类似清单项目的价格计算方法：有定额的套定额，并乘以下浮系数（中标的投标总价÷招标控制价）计算，其中：材料设备价格按施工期间的《 桂林市建设工程造价信息》相应信息价的加权平均值计算，《桂林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p>
    <w:p w14:paraId="3DE19D2D">
      <w:pPr>
        <w:pStyle w:val="2"/>
        <w:pageBreakBefore w:val="0"/>
        <w:widowControl w:val="0"/>
        <w:kinsoku/>
        <w:wordWrap/>
        <w:overflowPunct/>
        <w:topLinePunct w:val="0"/>
        <w:bidi w:val="0"/>
        <w:snapToGrid w:val="0"/>
        <w:spacing w:before="0" w:after="0" w:line="360" w:lineRule="auto"/>
        <w:rPr>
          <w:rFonts w:hint="eastAsia" w:ascii="宋体" w:hAnsi="宋体" w:eastAsia="宋体" w:cs="宋体"/>
          <w:color w:val="000000" w:themeColor="text1"/>
          <w:highlight w:val="none"/>
          <w14:textFill>
            <w14:solidFill>
              <w14:schemeClr w14:val="tx1"/>
            </w14:solidFill>
          </w14:textFill>
        </w:rPr>
      </w:pPr>
      <w:bookmarkStart w:id="198" w:name="_Toc407135204"/>
      <w:bookmarkStart w:id="199" w:name="_Toc1415467590"/>
      <w:bookmarkStart w:id="200" w:name="_Toc78449790"/>
      <w:bookmarkStart w:id="201" w:name="_Toc389065268"/>
      <w:bookmarkStart w:id="202" w:name="_Toc351203634"/>
      <w:bookmarkStart w:id="203" w:name="_Toc373227702"/>
      <w:bookmarkStart w:id="204" w:name="_Toc143780453"/>
      <w:bookmarkStart w:id="205" w:name="_Toc373478349"/>
      <w:r>
        <w:rPr>
          <w:rFonts w:hint="eastAsia" w:ascii="宋体" w:hAnsi="宋体" w:eastAsia="宋体" w:cs="宋体"/>
          <w:color w:val="000000" w:themeColor="text1"/>
          <w:highlight w:val="none"/>
          <w14:textFill>
            <w14:solidFill>
              <w14:schemeClr w14:val="tx1"/>
            </w14:solidFill>
          </w14:textFill>
        </w:rPr>
        <w:t>2</w:t>
      </w:r>
      <w:bookmarkStart w:id="206" w:name="_Toc296891197"/>
      <w:bookmarkStart w:id="207" w:name="_Toc292559867"/>
      <w:bookmarkStart w:id="208" w:name="_Toc296503157"/>
      <w:bookmarkStart w:id="209" w:name="_Toc292559362"/>
      <w:bookmarkStart w:id="210" w:name="_Toc296890985"/>
      <w:bookmarkStart w:id="211" w:name="_Toc296346658"/>
      <w:bookmarkStart w:id="212" w:name="_Toc297120457"/>
      <w:bookmarkStart w:id="213" w:name="_Toc296944496"/>
      <w:bookmarkStart w:id="214" w:name="_Toc297048343"/>
      <w:bookmarkStart w:id="215" w:name="_Toc296347156"/>
      <w:r>
        <w:rPr>
          <w:rFonts w:hint="eastAsia" w:ascii="宋体" w:hAnsi="宋体" w:eastAsia="宋体" w:cs="宋体"/>
          <w:color w:val="000000" w:themeColor="text1"/>
          <w:highlight w:val="none"/>
          <w14:textFill>
            <w14:solidFill>
              <w14:schemeClr w14:val="tx1"/>
            </w14:solidFill>
          </w14:textFill>
        </w:rPr>
        <w:t>. 发包人</w:t>
      </w:r>
      <w:bookmarkEnd w:id="198"/>
      <w:bookmarkEnd w:id="199"/>
      <w:bookmarkEnd w:id="200"/>
      <w:bookmarkEnd w:id="201"/>
      <w:bookmarkEnd w:id="202"/>
      <w:bookmarkEnd w:id="203"/>
      <w:bookmarkEnd w:id="204"/>
      <w:bookmarkEnd w:id="205"/>
    </w:p>
    <w:bookmarkEnd w:id="206"/>
    <w:bookmarkEnd w:id="207"/>
    <w:bookmarkEnd w:id="208"/>
    <w:bookmarkEnd w:id="209"/>
    <w:bookmarkEnd w:id="210"/>
    <w:bookmarkEnd w:id="211"/>
    <w:bookmarkEnd w:id="212"/>
    <w:bookmarkEnd w:id="213"/>
    <w:bookmarkEnd w:id="214"/>
    <w:bookmarkEnd w:id="215"/>
    <w:p w14:paraId="79679AF1">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216" w:name="_Toc373478350"/>
      <w:bookmarkStart w:id="217" w:name="_Toc373227703"/>
      <w:bookmarkStart w:id="218" w:name="_Toc78449791"/>
      <w:bookmarkStart w:id="219" w:name="_Toc389065269"/>
      <w:bookmarkStart w:id="220" w:name="_Toc547644210"/>
      <w:bookmarkStart w:id="221" w:name="_Toc407135205"/>
      <w:bookmarkStart w:id="222" w:name="_Toc971240048"/>
      <w:r>
        <w:rPr>
          <w:rFonts w:hint="eastAsia" w:ascii="宋体" w:hAnsi="宋体" w:eastAsia="宋体" w:cs="宋体"/>
          <w:color w:val="000000" w:themeColor="text1"/>
          <w:highlight w:val="none"/>
          <w14:textFill>
            <w14:solidFill>
              <w14:schemeClr w14:val="tx1"/>
            </w14:solidFill>
          </w14:textFill>
        </w:rPr>
        <w:t>2.2 发包人代表</w:t>
      </w:r>
      <w:bookmarkEnd w:id="216"/>
      <w:bookmarkEnd w:id="217"/>
      <w:bookmarkEnd w:id="218"/>
      <w:bookmarkEnd w:id="219"/>
      <w:bookmarkEnd w:id="220"/>
      <w:bookmarkEnd w:id="221"/>
      <w:bookmarkEnd w:id="222"/>
    </w:p>
    <w:p w14:paraId="1D4A4795">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发包人代表：</w:t>
      </w:r>
    </w:p>
    <w:p w14:paraId="661DFDC9">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姓    名：</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xml:space="preserve">    </w:t>
      </w:r>
      <w:r>
        <w:rPr>
          <w:rFonts w:hint="eastAsia" w:ascii="宋体" w:hAnsi="宋体" w:eastAsia="宋体" w:cs="宋体"/>
          <w:color w:val="000000" w:themeColor="text1"/>
          <w:highlight w:val="none"/>
          <w14:textFill>
            <w14:solidFill>
              <w14:schemeClr w14:val="tx1"/>
            </w14:solidFill>
          </w14:textFill>
        </w:rPr>
        <w:t>；</w:t>
      </w:r>
    </w:p>
    <w:p w14:paraId="6E51BD78">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身份证号：</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w:t>
      </w:r>
    </w:p>
    <w:p w14:paraId="4925DBB8">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职    务：</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w:t>
      </w:r>
    </w:p>
    <w:p w14:paraId="037E8EE1">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xml:space="preserve">  </w:t>
      </w:r>
      <w:r>
        <w:rPr>
          <w:rFonts w:hint="eastAsia" w:ascii="宋体" w:hAnsi="宋体" w:eastAsia="宋体" w:cs="宋体"/>
          <w:color w:val="000000" w:themeColor="text1"/>
          <w:highlight w:val="none"/>
          <w14:textFill>
            <w14:solidFill>
              <w14:schemeClr w14:val="tx1"/>
            </w14:solidFill>
          </w14:textFill>
        </w:rPr>
        <w:t>；</w:t>
      </w:r>
    </w:p>
    <w:p w14:paraId="46D703AF">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电子信箱：</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w:t>
      </w:r>
    </w:p>
    <w:p w14:paraId="673FEE52">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通信地址：</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w:t>
      </w:r>
    </w:p>
    <w:p w14:paraId="71974098">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发包人对发包人代表的授权范围如下：</w:t>
      </w:r>
      <w:r>
        <w:rPr>
          <w:rFonts w:hint="eastAsia" w:ascii="宋体" w:hAnsi="宋体" w:eastAsia="宋体" w:cs="宋体"/>
          <w:color w:val="000000" w:themeColor="text1"/>
          <w:highlight w:val="none"/>
          <w:u w:val="single"/>
          <w14:textFill>
            <w14:solidFill>
              <w14:schemeClr w14:val="tx1"/>
            </w14:solidFill>
          </w14:textFill>
        </w:rPr>
        <w:t xml:space="preserve">  对工程进度、质量进行监督、办理中间交工工程验收手续，负责现场签证，解决由发包人授权处理的事宜  </w:t>
      </w:r>
      <w:r>
        <w:rPr>
          <w:rFonts w:hint="eastAsia" w:ascii="宋体" w:hAnsi="宋体" w:eastAsia="宋体" w:cs="宋体"/>
          <w:color w:val="000000" w:themeColor="text1"/>
          <w:highlight w:val="none"/>
          <w14:textFill>
            <w14:solidFill>
              <w14:schemeClr w14:val="tx1"/>
            </w14:solidFill>
          </w14:textFill>
        </w:rPr>
        <w:t>。</w:t>
      </w:r>
    </w:p>
    <w:p w14:paraId="42F0959E">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223" w:name="_Toc2077499244"/>
      <w:bookmarkStart w:id="224" w:name="_Toc2066513957"/>
      <w:bookmarkStart w:id="225" w:name="_Toc389065270"/>
      <w:bookmarkStart w:id="226" w:name="_Toc373478351"/>
      <w:bookmarkStart w:id="227" w:name="_Toc373227704"/>
      <w:bookmarkStart w:id="228" w:name="_Toc78449792"/>
      <w:bookmarkStart w:id="229" w:name="_Toc407135206"/>
      <w:r>
        <w:rPr>
          <w:rFonts w:hint="eastAsia" w:ascii="宋体" w:hAnsi="宋体" w:eastAsia="宋体" w:cs="宋体"/>
          <w:color w:val="000000" w:themeColor="text1"/>
          <w:highlight w:val="none"/>
          <w14:textFill>
            <w14:solidFill>
              <w14:schemeClr w14:val="tx1"/>
            </w14:solidFill>
          </w14:textFill>
        </w:rPr>
        <w:t>2.4 施工现场、施工条件和基础资料的提供</w:t>
      </w:r>
      <w:bookmarkEnd w:id="223"/>
      <w:bookmarkEnd w:id="224"/>
      <w:bookmarkEnd w:id="225"/>
      <w:bookmarkEnd w:id="226"/>
      <w:bookmarkEnd w:id="227"/>
      <w:bookmarkEnd w:id="228"/>
      <w:bookmarkEnd w:id="229"/>
    </w:p>
    <w:p w14:paraId="1711548B">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2.4.1 提供施工现场</w:t>
      </w:r>
    </w:p>
    <w:p w14:paraId="1EC0C723">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关于发包人移交施工现场的期限要求：</w:t>
      </w:r>
      <w:r>
        <w:rPr>
          <w:rFonts w:hint="eastAsia" w:ascii="宋体" w:hAnsi="宋体" w:eastAsia="宋体" w:cs="宋体"/>
          <w:color w:val="000000" w:themeColor="text1"/>
          <w:highlight w:val="none"/>
          <w:u w:val="single"/>
          <w14:textFill>
            <w14:solidFill>
              <w14:schemeClr w14:val="tx1"/>
            </w14:solidFill>
          </w14:textFill>
        </w:rPr>
        <w:t xml:space="preserve"> 施工合同签订7日内   </w:t>
      </w:r>
      <w:r>
        <w:rPr>
          <w:rFonts w:hint="eastAsia" w:ascii="宋体" w:hAnsi="宋体" w:eastAsia="宋体" w:cs="宋体"/>
          <w:color w:val="000000" w:themeColor="text1"/>
          <w:highlight w:val="none"/>
          <w14:textFill>
            <w14:solidFill>
              <w14:schemeClr w14:val="tx1"/>
            </w14:solidFill>
          </w14:textFill>
        </w:rPr>
        <w:t>。</w:t>
      </w:r>
    </w:p>
    <w:p w14:paraId="1AD5CA82">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2.4.2 提供施工条件</w:t>
      </w:r>
    </w:p>
    <w:p w14:paraId="780BD2D3">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关于发包人应负责提供施工所需要的条件，包括：</w:t>
      </w:r>
      <w:r>
        <w:rPr>
          <w:rFonts w:hint="eastAsia" w:ascii="宋体" w:hAnsi="宋体" w:eastAsia="宋体" w:cs="宋体"/>
          <w:color w:val="000000" w:themeColor="text1"/>
          <w:highlight w:val="none"/>
          <w:u w:val="single"/>
          <w14:textFill>
            <w14:solidFill>
              <w14:schemeClr w14:val="tx1"/>
            </w14:solidFill>
          </w14:textFill>
        </w:rPr>
        <w:t>发包人负责提供电源、水源。施工所需的水、电、由项目承包人接至施工场地，单独装表计量，费用已列入投标报价中，由承包人支付。</w:t>
      </w:r>
    </w:p>
    <w:p w14:paraId="741A5341">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230" w:name="_Toc672429943"/>
      <w:bookmarkStart w:id="231" w:name="_Toc373478352"/>
      <w:bookmarkStart w:id="232" w:name="_Toc407135207"/>
      <w:bookmarkStart w:id="233" w:name="_Toc373227705"/>
      <w:bookmarkStart w:id="234" w:name="_Toc78449793"/>
      <w:bookmarkStart w:id="235" w:name="_Toc1238195908"/>
      <w:bookmarkStart w:id="236" w:name="_Toc389065271"/>
      <w:r>
        <w:rPr>
          <w:rFonts w:hint="eastAsia" w:ascii="宋体" w:hAnsi="宋体" w:eastAsia="宋体" w:cs="宋体"/>
          <w:color w:val="000000" w:themeColor="text1"/>
          <w:highlight w:val="none"/>
          <w14:textFill>
            <w14:solidFill>
              <w14:schemeClr w14:val="tx1"/>
            </w14:solidFill>
          </w14:textFill>
        </w:rPr>
        <w:t>2.5 资金来源证明及支付担保</w:t>
      </w:r>
      <w:bookmarkEnd w:id="230"/>
      <w:bookmarkEnd w:id="231"/>
      <w:bookmarkEnd w:id="232"/>
      <w:bookmarkEnd w:id="233"/>
      <w:bookmarkEnd w:id="234"/>
      <w:bookmarkEnd w:id="235"/>
      <w:bookmarkEnd w:id="236"/>
    </w:p>
    <w:p w14:paraId="7F2FB52B">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发包人提供资金来源证明的期限要求：</w:t>
      </w:r>
      <w:r>
        <w:rPr>
          <w:rFonts w:hint="eastAsia" w:ascii="宋体" w:hAnsi="宋体" w:eastAsia="宋体" w:cs="宋体"/>
          <w:color w:val="000000" w:themeColor="text1"/>
          <w:highlight w:val="none"/>
          <w:u w:val="single"/>
          <w14:textFill>
            <w14:solidFill>
              <w14:schemeClr w14:val="tx1"/>
            </w14:solidFill>
          </w14:textFill>
        </w:rPr>
        <w:t xml:space="preserve">   不提供     </w:t>
      </w:r>
      <w:r>
        <w:rPr>
          <w:rFonts w:hint="eastAsia" w:ascii="宋体" w:hAnsi="宋体" w:eastAsia="宋体" w:cs="宋体"/>
          <w:color w:val="000000" w:themeColor="text1"/>
          <w:highlight w:val="none"/>
          <w14:textFill>
            <w14:solidFill>
              <w14:schemeClr w14:val="tx1"/>
            </w14:solidFill>
          </w14:textFill>
        </w:rPr>
        <w:t>。</w:t>
      </w:r>
    </w:p>
    <w:p w14:paraId="7E0F5D31">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发包人是否提供支付担保：</w:t>
      </w:r>
      <w:r>
        <w:rPr>
          <w:rFonts w:hint="eastAsia" w:ascii="宋体" w:hAnsi="宋体" w:eastAsia="宋体" w:cs="宋体"/>
          <w:color w:val="000000" w:themeColor="text1"/>
          <w:highlight w:val="none"/>
          <w:u w:val="single"/>
          <w14:textFill>
            <w14:solidFill>
              <w14:schemeClr w14:val="tx1"/>
            </w14:solidFill>
          </w14:textFill>
        </w:rPr>
        <w:t xml:space="preserve">   不提供    </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r>
        <w:rPr>
          <w:rFonts w:hint="eastAsia" w:ascii="宋体" w:hAnsi="宋体" w:eastAsia="宋体" w:cs="宋体"/>
          <w:color w:val="000000" w:themeColor="text1"/>
          <w:highlight w:val="none"/>
          <w14:textFill>
            <w14:solidFill>
              <w14:schemeClr w14:val="tx1"/>
            </w14:solidFill>
          </w14:textFill>
        </w:rPr>
        <w:t>】</w:t>
      </w:r>
    </w:p>
    <w:p w14:paraId="75089638">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lang w:val="e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r>
        <w:rPr>
          <w:rFonts w:hint="eastAsia" w:ascii="宋体" w:hAnsi="宋体" w:eastAsia="宋体" w:cs="宋体"/>
          <w:color w:val="000000" w:themeColor="text1"/>
          <w:highlight w:val="none"/>
          <w:lang w:val="en"/>
          <w14:textFill>
            <w14:solidFill>
              <w14:schemeClr w14:val="tx1"/>
            </w14:solidFill>
          </w14:textFill>
        </w:rPr>
        <w:t>。</w:t>
      </w:r>
    </w:p>
    <w:p w14:paraId="2D04189C">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发包人提供的支付担保格式见合同附件9。</w:t>
      </w:r>
    </w:p>
    <w:p w14:paraId="6809088E">
      <w:pPr>
        <w:pStyle w:val="2"/>
        <w:pageBreakBefore w:val="0"/>
        <w:widowControl w:val="0"/>
        <w:kinsoku/>
        <w:wordWrap/>
        <w:overflowPunct/>
        <w:topLinePunct w:val="0"/>
        <w:bidi w:val="0"/>
        <w:snapToGrid w:val="0"/>
        <w:spacing w:before="0" w:after="0" w:line="360" w:lineRule="auto"/>
        <w:rPr>
          <w:rFonts w:hint="eastAsia" w:ascii="宋体" w:hAnsi="宋体" w:eastAsia="宋体" w:cs="宋体"/>
          <w:color w:val="000000" w:themeColor="text1"/>
          <w:highlight w:val="none"/>
          <w14:textFill>
            <w14:solidFill>
              <w14:schemeClr w14:val="tx1"/>
            </w14:solidFill>
          </w14:textFill>
        </w:rPr>
      </w:pPr>
      <w:bookmarkStart w:id="237" w:name="_Toc389065272"/>
      <w:bookmarkStart w:id="238" w:name="_Toc407135208"/>
      <w:bookmarkStart w:id="239" w:name="_Toc373478353"/>
      <w:bookmarkStart w:id="240" w:name="_Toc373227706"/>
      <w:bookmarkStart w:id="241" w:name="_Toc351203635"/>
      <w:bookmarkStart w:id="242" w:name="_Toc1181400362"/>
      <w:bookmarkStart w:id="243" w:name="_Toc78449794"/>
      <w:bookmarkStart w:id="244" w:name="_Toc729657770"/>
      <w:r>
        <w:rPr>
          <w:rFonts w:hint="eastAsia" w:ascii="宋体" w:hAnsi="宋体" w:eastAsia="宋体" w:cs="宋体"/>
          <w:color w:val="000000" w:themeColor="text1"/>
          <w:highlight w:val="none"/>
          <w14:textFill>
            <w14:solidFill>
              <w14:schemeClr w14:val="tx1"/>
            </w14:solidFill>
          </w14:textFill>
        </w:rPr>
        <w:t>3</w:t>
      </w:r>
      <w:bookmarkStart w:id="245" w:name="_Toc296347157"/>
      <w:bookmarkStart w:id="246" w:name="_Toc292559868"/>
      <w:bookmarkStart w:id="247" w:name="_Toc297120458"/>
      <w:bookmarkStart w:id="248" w:name="_Toc296891198"/>
      <w:bookmarkStart w:id="249" w:name="_Toc292559363"/>
      <w:bookmarkStart w:id="250" w:name="_Toc297048344"/>
      <w:bookmarkStart w:id="251" w:name="_Toc296346659"/>
      <w:bookmarkStart w:id="252" w:name="_Toc296944497"/>
      <w:bookmarkStart w:id="253" w:name="_Toc296503158"/>
      <w:bookmarkStart w:id="254" w:name="_Toc296890986"/>
      <w:r>
        <w:rPr>
          <w:rFonts w:hint="eastAsia" w:ascii="宋体" w:hAnsi="宋体" w:eastAsia="宋体" w:cs="宋体"/>
          <w:color w:val="000000" w:themeColor="text1"/>
          <w:highlight w:val="none"/>
          <w14:textFill>
            <w14:solidFill>
              <w14:schemeClr w14:val="tx1"/>
            </w14:solidFill>
          </w14:textFill>
        </w:rPr>
        <w:t>. 承包人</w:t>
      </w:r>
      <w:bookmarkEnd w:id="237"/>
      <w:bookmarkEnd w:id="238"/>
      <w:bookmarkEnd w:id="239"/>
      <w:bookmarkEnd w:id="240"/>
      <w:bookmarkEnd w:id="241"/>
      <w:bookmarkEnd w:id="242"/>
      <w:bookmarkEnd w:id="243"/>
      <w:bookmarkEnd w:id="244"/>
    </w:p>
    <w:bookmarkEnd w:id="245"/>
    <w:bookmarkEnd w:id="246"/>
    <w:bookmarkEnd w:id="247"/>
    <w:bookmarkEnd w:id="248"/>
    <w:bookmarkEnd w:id="249"/>
    <w:bookmarkEnd w:id="250"/>
    <w:bookmarkEnd w:id="251"/>
    <w:bookmarkEnd w:id="252"/>
    <w:bookmarkEnd w:id="253"/>
    <w:bookmarkEnd w:id="254"/>
    <w:p w14:paraId="6637C5FC">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255" w:name="_Toc962678435"/>
      <w:bookmarkStart w:id="256" w:name="_Toc78449795"/>
      <w:bookmarkStart w:id="257" w:name="_Toc1642190822"/>
      <w:bookmarkStart w:id="258" w:name="_Toc407135209"/>
      <w:bookmarkStart w:id="259" w:name="_Toc389065273"/>
      <w:bookmarkStart w:id="260" w:name="_Toc373478354"/>
      <w:bookmarkStart w:id="261" w:name="_Toc373227707"/>
      <w:r>
        <w:rPr>
          <w:rFonts w:hint="eastAsia" w:ascii="宋体" w:hAnsi="宋体" w:eastAsia="宋体" w:cs="宋体"/>
          <w:color w:val="000000" w:themeColor="text1"/>
          <w:highlight w:val="none"/>
          <w14:textFill>
            <w14:solidFill>
              <w14:schemeClr w14:val="tx1"/>
            </w14:solidFill>
          </w14:textFill>
        </w:rPr>
        <w:t>3.1 承包人的一般义务</w:t>
      </w:r>
      <w:bookmarkEnd w:id="255"/>
      <w:bookmarkEnd w:id="256"/>
      <w:bookmarkEnd w:id="257"/>
      <w:bookmarkEnd w:id="258"/>
      <w:bookmarkEnd w:id="259"/>
      <w:bookmarkEnd w:id="260"/>
      <w:bookmarkEnd w:id="261"/>
    </w:p>
    <w:p w14:paraId="4E4AADC7">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承包人提交的竣工资料的内容：</w:t>
      </w:r>
      <w:r>
        <w:rPr>
          <w:rFonts w:hint="eastAsia" w:ascii="宋体" w:hAnsi="宋体" w:eastAsia="宋体" w:cs="宋体"/>
          <w:color w:val="000000" w:themeColor="text1"/>
          <w:highlight w:val="none"/>
          <w:u w:val="single"/>
          <w14:textFill>
            <w14:solidFill>
              <w14:schemeClr w14:val="tx1"/>
            </w14:solidFill>
          </w14:textFill>
        </w:rPr>
        <w:t xml:space="preserve"> 工程具备竣工验收条件，承包人按工程竣工验收有关规定，向发包人提交符合管理部门归档要求内容装订成册的完整竣工资料及竣工验收报告、工程竣工图  </w:t>
      </w:r>
      <w:r>
        <w:rPr>
          <w:rFonts w:hint="eastAsia" w:ascii="宋体" w:hAnsi="宋体" w:eastAsia="宋体" w:cs="宋体"/>
          <w:color w:val="000000" w:themeColor="text1"/>
          <w:highlight w:val="none"/>
          <w14:textFill>
            <w14:solidFill>
              <w14:schemeClr w14:val="tx1"/>
            </w14:solidFill>
          </w14:textFill>
        </w:rPr>
        <w:t>。</w:t>
      </w:r>
    </w:p>
    <w:p w14:paraId="2E25B38A">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承包人需要提交的竣工资料套数：</w:t>
      </w:r>
      <w:r>
        <w:rPr>
          <w:rFonts w:hint="eastAsia" w:ascii="宋体" w:hAnsi="宋体" w:eastAsia="宋体" w:cs="宋体"/>
          <w:color w:val="000000" w:themeColor="text1"/>
          <w:highlight w:val="none"/>
          <w:u w:val="single"/>
          <w14:textFill>
            <w14:solidFill>
              <w14:schemeClr w14:val="tx1"/>
            </w14:solidFill>
          </w14:textFill>
        </w:rPr>
        <w:t xml:space="preserve"> 全套竣工资料一式四份  </w:t>
      </w:r>
      <w:r>
        <w:rPr>
          <w:rFonts w:hint="eastAsia" w:ascii="宋体" w:hAnsi="宋体" w:eastAsia="宋体" w:cs="宋体"/>
          <w:color w:val="000000" w:themeColor="text1"/>
          <w:highlight w:val="none"/>
          <w14:textFill>
            <w14:solidFill>
              <w14:schemeClr w14:val="tx1"/>
            </w14:solidFill>
          </w14:textFill>
        </w:rPr>
        <w:t>。</w:t>
      </w:r>
    </w:p>
    <w:p w14:paraId="7BC2CE65">
      <w:pPr>
        <w:pageBreakBefore w:val="0"/>
        <w:widowControl w:val="0"/>
        <w:kinsoku/>
        <w:wordWrap/>
        <w:overflowPunct/>
        <w:topLinePunct w:val="0"/>
        <w:bidi w:val="0"/>
        <w:snapToGrid w:val="0"/>
        <w:spacing w:line="360" w:lineRule="auto"/>
        <w:ind w:left="424" w:leftChars="20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承包人提交的竣工资料的费用承担：</w:t>
      </w:r>
      <w:r>
        <w:rPr>
          <w:rFonts w:hint="eastAsia" w:ascii="宋体" w:hAnsi="宋体" w:eastAsia="宋体" w:cs="宋体"/>
          <w:color w:val="000000" w:themeColor="text1"/>
          <w:highlight w:val="none"/>
          <w:u w:val="single"/>
          <w14:textFill>
            <w14:solidFill>
              <w14:schemeClr w14:val="tx1"/>
            </w14:solidFill>
          </w14:textFill>
        </w:rPr>
        <w:t xml:space="preserve">  由承包人承担   </w:t>
      </w:r>
      <w:r>
        <w:rPr>
          <w:rFonts w:hint="eastAsia" w:ascii="宋体" w:hAnsi="宋体" w:eastAsia="宋体" w:cs="宋体"/>
          <w:color w:val="000000" w:themeColor="text1"/>
          <w:highlight w:val="none"/>
          <w14:textFill>
            <w14:solidFill>
              <w14:schemeClr w14:val="tx1"/>
            </w14:solidFill>
          </w14:textFill>
        </w:rPr>
        <w:t>。</w:t>
      </w:r>
    </w:p>
    <w:p w14:paraId="69E730CF">
      <w:pPr>
        <w:pageBreakBefore w:val="0"/>
        <w:widowControl w:val="0"/>
        <w:kinsoku/>
        <w:wordWrap/>
        <w:overflowPunct/>
        <w:topLinePunct w:val="0"/>
        <w:bidi w:val="0"/>
        <w:snapToGrid w:val="0"/>
        <w:spacing w:line="360" w:lineRule="auto"/>
        <w:ind w:left="424" w:leftChars="20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承包人提交的竣工资料移交时间：</w:t>
      </w:r>
      <w:r>
        <w:rPr>
          <w:rFonts w:hint="eastAsia" w:ascii="宋体" w:hAnsi="宋体" w:eastAsia="宋体" w:cs="宋体"/>
          <w:color w:val="000000" w:themeColor="text1"/>
          <w:highlight w:val="none"/>
          <w:u w:val="single"/>
          <w14:textFill>
            <w14:solidFill>
              <w14:schemeClr w14:val="tx1"/>
            </w14:solidFill>
          </w14:textFill>
        </w:rPr>
        <w:t xml:space="preserve">  工程竣工验收合格后14天内   </w:t>
      </w:r>
      <w:r>
        <w:rPr>
          <w:rFonts w:hint="eastAsia" w:ascii="宋体" w:hAnsi="宋体" w:eastAsia="宋体" w:cs="宋体"/>
          <w:color w:val="000000" w:themeColor="text1"/>
          <w:highlight w:val="none"/>
          <w14:textFill>
            <w14:solidFill>
              <w14:schemeClr w14:val="tx1"/>
            </w14:solidFill>
          </w14:textFill>
        </w:rPr>
        <w:t>。</w:t>
      </w:r>
    </w:p>
    <w:p w14:paraId="57707E88">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承包人提交的竣工资料形式要求：</w:t>
      </w:r>
      <w:r>
        <w:rPr>
          <w:rFonts w:hint="eastAsia" w:ascii="宋体" w:hAnsi="宋体" w:eastAsia="宋体" w:cs="宋体"/>
          <w:color w:val="000000" w:themeColor="text1"/>
          <w:highlight w:val="none"/>
          <w:u w:val="single"/>
          <w14:textFill>
            <w14:solidFill>
              <w14:schemeClr w14:val="tx1"/>
            </w14:solidFill>
          </w14:textFill>
        </w:rPr>
        <w:t xml:space="preserve">  纸质版和电子版（如有）及影像资料，现场交验给发包人代表人，代表人书面签收   </w:t>
      </w:r>
      <w:r>
        <w:rPr>
          <w:rFonts w:hint="eastAsia" w:ascii="宋体" w:hAnsi="宋体" w:eastAsia="宋体" w:cs="宋体"/>
          <w:color w:val="000000" w:themeColor="text1"/>
          <w:highlight w:val="none"/>
          <w14:textFill>
            <w14:solidFill>
              <w14:schemeClr w14:val="tx1"/>
            </w14:solidFill>
          </w14:textFill>
        </w:rPr>
        <w:t>。</w:t>
      </w:r>
    </w:p>
    <w:p w14:paraId="2DED1B86">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（10）承包人应履行的其他义务：</w:t>
      </w:r>
      <w:r>
        <w:rPr>
          <w:rFonts w:hint="eastAsia" w:ascii="宋体" w:hAnsi="宋体" w:eastAsia="宋体" w:cs="宋体"/>
          <w:color w:val="000000" w:themeColor="text1"/>
          <w:highlight w:val="none"/>
          <w:u w:val="single"/>
          <w14:textFill>
            <w14:solidFill>
              <w14:schemeClr w14:val="tx1"/>
            </w14:solidFill>
          </w14:textFill>
        </w:rPr>
        <w:t>①承包人应协调与施工现场周边社区及居民的关系，确保项目施工顺利进行；②应按监理人的指示为他人在施工场地或附近实施与工程有关的其他各项工作提供可能的条件并配合发包人做好安全文明工程、领导检查、宣传等工作，相关费用由承包人承担，并在投标报价清单中综合考虑，不再另计；③承包人在承包工程施工期间所发生的一切人身、财产安全责任事故，全部由承包人承担经济责任和法律责任；④承包人应负责协调解决来自当地居民对工程施工的人为干扰，并承担相关费用；⑤承包人应始终采取各种合理的预防措施，防止承包人员或其内部发生任何非法的、骚动的或无序的行为，以保持安定，保护现场及第三人的财产和人身安全；⑥为发包人依法发包的专业工程承包商提供总承包管理与协调服务，并为专业工程承包商提供一切施工方便。为发包人和监理人在施工现场提供必要的办公室和办公桌椅等设备；⑦按建设行政主管部门有关规定配合发包人其他工程的施工等。</w:t>
      </w:r>
    </w:p>
    <w:p w14:paraId="6BC33C2A">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262" w:name="_Toc1659520837"/>
      <w:bookmarkStart w:id="263" w:name="_Toc407135210"/>
      <w:bookmarkStart w:id="264" w:name="_Toc78449796"/>
      <w:bookmarkStart w:id="265" w:name="_Toc389065274"/>
      <w:bookmarkStart w:id="266" w:name="_Toc501741485"/>
      <w:bookmarkStart w:id="267" w:name="_Toc373227708"/>
      <w:bookmarkStart w:id="268" w:name="_Toc373478355"/>
      <w:r>
        <w:rPr>
          <w:rFonts w:hint="eastAsia" w:ascii="宋体" w:hAnsi="宋体" w:eastAsia="宋体" w:cs="宋体"/>
          <w:color w:val="000000" w:themeColor="text1"/>
          <w:highlight w:val="none"/>
          <w14:textFill>
            <w14:solidFill>
              <w14:schemeClr w14:val="tx1"/>
            </w14:solidFill>
          </w14:textFill>
        </w:rPr>
        <w:t>3.2 项目经理</w:t>
      </w:r>
      <w:bookmarkEnd w:id="262"/>
      <w:bookmarkEnd w:id="263"/>
      <w:bookmarkEnd w:id="264"/>
      <w:bookmarkEnd w:id="265"/>
      <w:bookmarkEnd w:id="266"/>
      <w:bookmarkEnd w:id="267"/>
      <w:bookmarkEnd w:id="268"/>
    </w:p>
    <w:p w14:paraId="3BB84637">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 xml:space="preserve">3.2.1 </w:t>
      </w:r>
      <w:r>
        <w:rPr>
          <w:rFonts w:hint="eastAsia" w:ascii="宋体" w:hAnsi="宋体" w:eastAsia="宋体" w:cs="宋体"/>
          <w:color w:val="000000" w:themeColor="text1"/>
          <w:highlight w:val="none"/>
          <w14:textFill>
            <w14:solidFill>
              <w14:schemeClr w14:val="tx1"/>
            </w14:solidFill>
          </w14:textFill>
        </w:rPr>
        <w:t>项目经理：</w:t>
      </w:r>
    </w:p>
    <w:p w14:paraId="2B6E56DF">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姓    名：</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w:t>
      </w:r>
    </w:p>
    <w:p w14:paraId="32CB5856">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身份证号：</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w:t>
      </w:r>
    </w:p>
    <w:p w14:paraId="21BDD64B">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工程师证书号：</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w:t>
      </w:r>
    </w:p>
    <w:p w14:paraId="63EEBE91">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w:t>
      </w:r>
    </w:p>
    <w:p w14:paraId="0806F88B">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电子信箱：</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w:t>
      </w:r>
    </w:p>
    <w:p w14:paraId="18F9E49F">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通信地址：</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w:t>
      </w:r>
    </w:p>
    <w:p w14:paraId="58224307">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承包人对项目经理的授权范围如下：</w:t>
      </w:r>
      <w:r>
        <w:rPr>
          <w:rFonts w:hint="eastAsia" w:ascii="宋体" w:hAnsi="宋体" w:eastAsia="宋体" w:cs="宋体"/>
          <w:color w:val="000000" w:themeColor="text1"/>
          <w:spacing w:val="-6"/>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u w:val="single"/>
          <w14:textFill>
            <w14:solidFill>
              <w14:schemeClr w14:val="tx1"/>
            </w14:solidFill>
          </w14:textFill>
        </w:rPr>
        <w:t>对本工程的建设进行全面管理，行使合同约定的权利，履行合同约定的义务；</w:t>
      </w:r>
    </w:p>
    <w:p w14:paraId="30136DF1">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（2）负责本工程的施工组织方案制定和施工组织设计；</w:t>
      </w:r>
    </w:p>
    <w:p w14:paraId="1037A430">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（3）负责本工程的劳动力组织和机械设备组织；</w:t>
      </w:r>
    </w:p>
    <w:p w14:paraId="5E7F678B">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（4）参与选择并使用具有相应资质的分包人；</w:t>
      </w:r>
    </w:p>
    <w:p w14:paraId="281B5A9B">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（5）参与选择物资供应单位；</w:t>
      </w:r>
    </w:p>
    <w:p w14:paraId="0FE6FF20">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（6）在授权范围内协调与项目有关的内、外部关系；</w:t>
      </w:r>
    </w:p>
    <w:p w14:paraId="5607C0B2">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（7）负责与发包人、监理人办理设计变更、现场签证等手续，及时办理本工程相关索赔；</w:t>
      </w:r>
    </w:p>
    <w:p w14:paraId="40E15803">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（8）负责签收发包人、监理人往来函件，承包人的要求、通知均应以书面形式由承包人项目经理签字并加盖承包人公司公章后递交发包人；</w:t>
      </w:r>
    </w:p>
    <w:p w14:paraId="1AE14919">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（9）代表承包人接受监理工程师或发包人现场代表发出的指示和指令；</w:t>
      </w:r>
    </w:p>
    <w:p w14:paraId="36B7B795">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（10）负责办理本工程竣工结算。</w:t>
      </w:r>
    </w:p>
    <w:p w14:paraId="4AE2FAE1">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但未经承包人盖章同意不得以承包人名义向外融资、采购材料设备、租用建筑周转材料、雇佣劳动力、签订分包合同等从事一切为承包人设立义务或责任的行为。</w:t>
      </w:r>
    </w:p>
    <w:p w14:paraId="52735B11">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关于项目经理每月在施工现场的时间要求：</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b/>
          <w:bCs/>
          <w:color w:val="000000" w:themeColor="text1"/>
          <w:highlight w:val="none"/>
          <w:u w:val="single"/>
          <w14:textFill>
            <w14:solidFill>
              <w14:schemeClr w14:val="tx1"/>
            </w14:solidFill>
          </w14:textFill>
        </w:rPr>
        <w:t>每月不少于22天</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w:t>
      </w:r>
    </w:p>
    <w:p w14:paraId="06B73DFE">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承包人未提交劳动合同，以及没有为项目经理缴纳社会保险证明的违约责任：</w:t>
      </w:r>
      <w:r>
        <w:rPr>
          <w:rFonts w:hint="eastAsia" w:ascii="宋体" w:hAnsi="宋体" w:eastAsia="宋体" w:cs="宋体"/>
          <w:color w:val="000000" w:themeColor="text1"/>
          <w:highlight w:val="none"/>
          <w:u w:val="single"/>
          <w14:textFill>
            <w14:solidFill>
              <w14:schemeClr w14:val="tx1"/>
            </w14:solidFill>
          </w14:textFill>
        </w:rPr>
        <w:t xml:space="preserve"> 发包人有权要求承包人支付10000元违约金，并限期承包人整改，提交项目经理的劳工合同并为其补缴社会保险。如承包人不按发包人的要求进行整改，发包人有权解除本合同，同时如承包人此项行为造成发包人支出相应费用或产生损失的，发包人有权向承包人索赔。</w:t>
      </w:r>
    </w:p>
    <w:p w14:paraId="5A9CF325">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项目经理未经批准，擅自离开施工现场的违约责任：</w:t>
      </w:r>
      <w:r>
        <w:rPr>
          <w:rFonts w:hint="eastAsia" w:ascii="宋体" w:hAnsi="宋体" w:eastAsia="宋体" w:cs="宋体"/>
          <w:color w:val="000000" w:themeColor="text1"/>
          <w:highlight w:val="none"/>
          <w:u w:val="single"/>
          <w14:textFill>
            <w14:solidFill>
              <w14:schemeClr w14:val="tx1"/>
            </w14:solidFill>
          </w14:textFill>
        </w:rPr>
        <w:t xml:space="preserve">项目经理每月在岗带班时间不得少于当月施工时间的80%。未经发包人同意或正当理由，项目经理每月在岗带班时间少于当月施工时间80%的，少在岗带班一天，发包人有权要求承包人支付违约金1000.00元/日（人民币）  </w:t>
      </w:r>
      <w:r>
        <w:rPr>
          <w:rFonts w:hint="eastAsia" w:ascii="宋体" w:hAnsi="宋体" w:eastAsia="宋体" w:cs="宋体"/>
          <w:color w:val="000000" w:themeColor="text1"/>
          <w:highlight w:val="none"/>
          <w14:textFill>
            <w14:solidFill>
              <w14:schemeClr w14:val="tx1"/>
            </w14:solidFill>
          </w14:textFill>
        </w:rPr>
        <w:t>。</w:t>
      </w:r>
    </w:p>
    <w:p w14:paraId="411F212B">
      <w:pPr>
        <w:pageBreakBefore w:val="0"/>
        <w:widowControl w:val="0"/>
        <w:kinsoku/>
        <w:wordWrap/>
        <w:overflowPunct/>
        <w:topLinePunct w:val="0"/>
        <w:bidi w:val="0"/>
        <w:adjustRightInd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3.2.3 承包人擅自更换项目经理的违约责任：</w:t>
      </w:r>
      <w:r>
        <w:rPr>
          <w:rFonts w:hint="eastAsia" w:ascii="宋体" w:hAnsi="宋体" w:eastAsia="宋体" w:cs="宋体"/>
          <w:color w:val="000000" w:themeColor="text1"/>
          <w:highlight w:val="none"/>
          <w:u w:val="single"/>
          <w14:textFill>
            <w14:solidFill>
              <w14:schemeClr w14:val="tx1"/>
            </w14:solidFill>
          </w14:textFill>
        </w:rPr>
        <w:t>承包人项目经理必须与承包人投标时所承诺的人员一致，并在  （开工日期）  前到</w:t>
      </w:r>
      <w:r>
        <w:rPr>
          <w:rFonts w:hint="eastAsia" w:ascii="宋体" w:hAnsi="宋体" w:eastAsia="宋体" w:cs="宋体"/>
          <w:color w:val="000000" w:themeColor="text1"/>
          <w:highlight w:val="none"/>
          <w14:textFill>
            <w14:solidFill>
              <w14:schemeClr w14:val="tx1"/>
            </w14:solidFill>
          </w14:textFill>
        </w:rPr>
        <w:t xml:space="preserve">任。在监理人向承包人颁发 </w:t>
      </w:r>
      <w:r>
        <w:rPr>
          <w:rFonts w:hint="eastAsia" w:ascii="宋体" w:hAnsi="宋体" w:eastAsia="宋体" w:cs="宋体"/>
          <w:color w:val="000000" w:themeColor="text1"/>
          <w:highlight w:val="none"/>
          <w:u w:val="single"/>
          <w14:textFill>
            <w14:solidFill>
              <w14:schemeClr w14:val="tx1"/>
            </w14:solidFill>
          </w14:textFill>
        </w:rPr>
        <w:t xml:space="preserve">   （竣工证明材料名称）   </w:t>
      </w:r>
      <w:r>
        <w:rPr>
          <w:rFonts w:hint="eastAsia" w:ascii="宋体" w:hAnsi="宋体" w:eastAsia="宋体" w:cs="宋体"/>
          <w:color w:val="000000" w:themeColor="text1"/>
          <w:highlight w:val="none"/>
          <w14:textFill>
            <w14:solidFill>
              <w14:schemeClr w14:val="tx1"/>
            </w14:solidFill>
          </w14:textFill>
        </w:rPr>
        <w:t xml:space="preserve"> 前，项目经理不得同时兼任其他任何项目的项目经理（符合《广西壮族自治区建筑市场诚信卡管理暂行办法》第十六条第一款及桂建管﹝2016﹞70号、</w:t>
      </w:r>
      <w:r>
        <w:rPr>
          <w:rFonts w:hint="eastAsia" w:ascii="宋体" w:hAnsi="宋体" w:eastAsia="宋体" w:cs="宋体"/>
          <w:color w:val="000000" w:themeColor="text1"/>
          <w:szCs w:val="21"/>
          <w:highlight w:val="none"/>
          <w14:textFill>
            <w14:solidFill>
              <w14:schemeClr w14:val="tx1"/>
            </w14:solidFill>
          </w14:textFill>
        </w:rPr>
        <w:t>桂建管〔2020〕11号</w:t>
      </w:r>
      <w:r>
        <w:rPr>
          <w:rFonts w:hint="eastAsia" w:ascii="宋体" w:hAnsi="宋体" w:eastAsia="宋体" w:cs="宋体"/>
          <w:color w:val="000000" w:themeColor="text1"/>
          <w:highlight w:val="none"/>
          <w14:textFill>
            <w14:solidFill>
              <w14:schemeClr w14:val="tx1"/>
            </w14:solidFill>
          </w14:textFill>
        </w:rPr>
        <w:t>文除外）。未经发包人书面同意，承包人擅自更换项目经理的视为违约，违约金处</w:t>
      </w:r>
      <w:r>
        <w:rPr>
          <w:rFonts w:hint="eastAsia" w:ascii="宋体" w:hAnsi="宋体" w:eastAsia="宋体" w:cs="宋体"/>
          <w:color w:val="000000" w:themeColor="text1"/>
          <w:highlight w:val="none"/>
          <w:u w:val="single"/>
          <w14:textFill>
            <w14:solidFill>
              <w14:schemeClr w14:val="tx1"/>
            </w14:solidFill>
          </w14:textFill>
        </w:rPr>
        <w:t xml:space="preserve">  10000 </w:t>
      </w:r>
      <w:r>
        <w:rPr>
          <w:rFonts w:hint="eastAsia" w:ascii="宋体" w:hAnsi="宋体" w:eastAsia="宋体" w:cs="宋体"/>
          <w:color w:val="000000" w:themeColor="text1"/>
          <w:highlight w:val="none"/>
          <w14:textFill>
            <w14:solidFill>
              <w14:schemeClr w14:val="tx1"/>
            </w14:solidFill>
          </w14:textFill>
        </w:rPr>
        <w:t>元/人•次（人民币）。</w:t>
      </w:r>
    </w:p>
    <w:p w14:paraId="4BFCCF3B">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3.2.4 承包人无正当理由拒绝更换项目经理的违约责任：</w:t>
      </w:r>
      <w:r>
        <w:rPr>
          <w:rFonts w:hint="eastAsia" w:ascii="宋体" w:hAnsi="宋体" w:eastAsia="宋体" w:cs="宋体"/>
          <w:color w:val="000000" w:themeColor="text1"/>
          <w:highlight w:val="none"/>
          <w:u w:val="single"/>
          <w14:textFill>
            <w14:solidFill>
              <w14:schemeClr w14:val="tx1"/>
            </w14:solidFill>
          </w14:textFill>
        </w:rPr>
        <w:t>因承包人项目经理不称职，发包人要求调换而承包人未及时调换的，发包人有权要求承包人支付违约金10000元/人•次。如承包人拒不调换，发包人有权解除本合同，同时如承包人此项行为造成发包人支出相应费用或产生损失的，发包人有权向承包人索赔。</w:t>
      </w:r>
    </w:p>
    <w:p w14:paraId="27272E1B">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269" w:name="_Toc78449797"/>
      <w:bookmarkStart w:id="270" w:name="_Toc373227709"/>
      <w:bookmarkStart w:id="271" w:name="_Toc407135211"/>
      <w:bookmarkStart w:id="272" w:name="_Toc373478356"/>
      <w:bookmarkStart w:id="273" w:name="_Toc747710271"/>
      <w:bookmarkStart w:id="274" w:name="_Toc389065275"/>
      <w:bookmarkStart w:id="275" w:name="_Toc1443830486"/>
      <w:r>
        <w:rPr>
          <w:rFonts w:hint="eastAsia" w:ascii="宋体" w:hAnsi="宋体" w:eastAsia="宋体" w:cs="宋体"/>
          <w:color w:val="000000" w:themeColor="text1"/>
          <w:highlight w:val="none"/>
          <w14:textFill>
            <w14:solidFill>
              <w14:schemeClr w14:val="tx1"/>
            </w14:solidFill>
          </w14:textFill>
        </w:rPr>
        <w:t>3.3 承包人人员</w:t>
      </w:r>
      <w:bookmarkEnd w:id="269"/>
      <w:bookmarkEnd w:id="270"/>
      <w:bookmarkEnd w:id="271"/>
      <w:bookmarkEnd w:id="272"/>
      <w:bookmarkEnd w:id="273"/>
      <w:bookmarkEnd w:id="274"/>
      <w:bookmarkEnd w:id="275"/>
    </w:p>
    <w:p w14:paraId="71B39506">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3.3.1 承包人提交项目管理机构及施工现场管理人员安排报告（格式见合同附件5）的期限：</w:t>
      </w:r>
    </w:p>
    <w:p w14:paraId="2700FEDB">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 xml:space="preserve"> 合同签订后3日内</w:t>
      </w:r>
      <w:r>
        <w:rPr>
          <w:rFonts w:hint="eastAsia" w:ascii="宋体" w:hAnsi="宋体" w:eastAsia="宋体" w:cs="宋体"/>
          <w:color w:val="000000" w:themeColor="text1"/>
          <w:highlight w:val="none"/>
          <w14:textFill>
            <w14:solidFill>
              <w14:schemeClr w14:val="tx1"/>
            </w14:solidFill>
          </w14:textFill>
        </w:rPr>
        <w:t>。</w:t>
      </w:r>
    </w:p>
    <w:p w14:paraId="4D051674">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3.3.3 承包人无正当理由拒绝撤换主要施工管理人员的违约责任：</w:t>
      </w:r>
      <w:r>
        <w:rPr>
          <w:rFonts w:hint="eastAsia" w:ascii="宋体" w:hAnsi="宋体" w:eastAsia="宋体" w:cs="宋体"/>
          <w:color w:val="000000" w:themeColor="text1"/>
          <w:highlight w:val="none"/>
          <w:u w:val="single"/>
          <w14:textFill>
            <w14:solidFill>
              <w14:schemeClr w14:val="tx1"/>
            </w14:solidFill>
          </w14:textFill>
        </w:rPr>
        <w:t>因承包人主要施工管理人员不称职，发包人要求调换而无正当理由拒绝撤换或未及时调换的，视为承包人违约，必须向发包人交纳违约金，违约金标准：技术负责人2000元/人•次（人民币）；专业工程师 1500元/人•次（人民币）</w:t>
      </w:r>
      <w:r>
        <w:rPr>
          <w:rFonts w:hint="eastAsia" w:ascii="宋体" w:hAnsi="宋体" w:eastAsia="宋体" w:cs="宋体"/>
          <w:color w:val="000000" w:themeColor="text1"/>
          <w:highlight w:val="none"/>
          <w14:textFill>
            <w14:solidFill>
              <w14:schemeClr w14:val="tx1"/>
            </w14:solidFill>
          </w14:textFill>
        </w:rPr>
        <w:t>。</w:t>
      </w:r>
    </w:p>
    <w:p w14:paraId="7A43C68A">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3.3.4 承包人主要施工管理人员离开施工现场的批准要求：</w:t>
      </w:r>
      <w:r>
        <w:rPr>
          <w:rFonts w:hint="eastAsia" w:ascii="宋体" w:hAnsi="宋体" w:eastAsia="宋体" w:cs="宋体"/>
          <w:color w:val="000000" w:themeColor="text1"/>
          <w:highlight w:val="none"/>
          <w:u w:val="single"/>
          <w14:textFill>
            <w14:solidFill>
              <w14:schemeClr w14:val="tx1"/>
            </w14:solidFill>
          </w14:textFill>
        </w:rPr>
        <w:t xml:space="preserve">  由总监理工程师批准，发包人认可方可离开  </w:t>
      </w:r>
      <w:r>
        <w:rPr>
          <w:rFonts w:hint="eastAsia" w:ascii="宋体" w:hAnsi="宋体" w:eastAsia="宋体" w:cs="宋体"/>
          <w:color w:val="000000" w:themeColor="text1"/>
          <w:highlight w:val="none"/>
          <w14:textFill>
            <w14:solidFill>
              <w14:schemeClr w14:val="tx1"/>
            </w14:solidFill>
          </w14:textFill>
        </w:rPr>
        <w:t>。</w:t>
      </w:r>
    </w:p>
    <w:p w14:paraId="02FDCC78">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3.3.5 承包人擅自更换主要施工管理人员的违约责任：</w:t>
      </w:r>
      <w:r>
        <w:rPr>
          <w:rFonts w:hint="eastAsia" w:ascii="宋体" w:hAnsi="宋体" w:eastAsia="宋体" w:cs="宋体"/>
          <w:color w:val="000000" w:themeColor="text1"/>
          <w:highlight w:val="none"/>
          <w:u w:val="single"/>
          <w14:textFill>
            <w14:solidFill>
              <w14:schemeClr w14:val="tx1"/>
            </w14:solidFill>
          </w14:textFill>
        </w:rPr>
        <w:t>项目技术负责人、专职安全生产管理人员及其承诺的其它在场管理人员未经发包人书面同意不准擅自更换，承包人擅自更换项目技术负责人的，发包人有权要求承包人支付2000元/人•次（人民币）违约金；承包人擅自更换专职安全生产管理人员处2000元/人•次（人民币）违约金；承包人擅自更换其它在场管理人员处1500元/人•次（人民币）违约金</w:t>
      </w:r>
      <w:r>
        <w:rPr>
          <w:rFonts w:hint="eastAsia" w:ascii="宋体" w:hAnsi="宋体" w:eastAsia="宋体" w:cs="宋体"/>
          <w:color w:val="000000" w:themeColor="text1"/>
          <w:highlight w:val="none"/>
          <w14:textFill>
            <w14:solidFill>
              <w14:schemeClr w14:val="tx1"/>
            </w14:solidFill>
          </w14:textFill>
        </w:rPr>
        <w:t>。</w:t>
      </w:r>
    </w:p>
    <w:p w14:paraId="752370B6">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承包人主要施工管理人员擅自离开施工现场的违约责任：</w:t>
      </w:r>
      <w:r>
        <w:rPr>
          <w:rFonts w:hint="eastAsia" w:ascii="宋体" w:hAnsi="宋体" w:eastAsia="宋体" w:cs="宋体"/>
          <w:color w:val="000000" w:themeColor="text1"/>
          <w:highlight w:val="none"/>
          <w:u w:val="single"/>
          <w14:textFill>
            <w14:solidFill>
              <w14:schemeClr w14:val="tx1"/>
            </w14:solidFill>
          </w14:textFill>
        </w:rPr>
        <w:t>未经发包人同意，承包人的项目技术负责人擅自离岗的，视为承包人违约，发包人有权要求承包人支付违约金 1000元/人•次（人民币）；未经发包人同意，承包人的专职安全生产管理人员擅自离岗的，视为承包人违约，发包人有权要求承包人支付违约金1000元/人•次（人民币）；承包人的其它在场管理人员擅自离岗的，视为承包人违约，发包人有权要求承包人支付违约金500元/人•次（人民币）</w:t>
      </w:r>
      <w:r>
        <w:rPr>
          <w:rFonts w:hint="eastAsia" w:ascii="宋体" w:hAnsi="宋体" w:eastAsia="宋体" w:cs="宋体"/>
          <w:color w:val="000000" w:themeColor="text1"/>
          <w:highlight w:val="none"/>
          <w14:textFill>
            <w14:solidFill>
              <w14:schemeClr w14:val="tx1"/>
            </w14:solidFill>
          </w14:textFill>
        </w:rPr>
        <w:t>。</w:t>
      </w:r>
    </w:p>
    <w:p w14:paraId="32203848">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276" w:name="_Toc2025600126"/>
      <w:bookmarkStart w:id="277" w:name="_Toc373227710"/>
      <w:bookmarkStart w:id="278" w:name="_Toc389065276"/>
      <w:bookmarkStart w:id="279" w:name="_Toc78449798"/>
      <w:bookmarkStart w:id="280" w:name="_Toc2066279184"/>
      <w:bookmarkStart w:id="281" w:name="_Toc373478357"/>
      <w:bookmarkStart w:id="282" w:name="_Toc407135212"/>
      <w:r>
        <w:rPr>
          <w:rFonts w:hint="eastAsia" w:ascii="宋体" w:hAnsi="宋体" w:eastAsia="宋体" w:cs="宋体"/>
          <w:color w:val="000000" w:themeColor="text1"/>
          <w:highlight w:val="none"/>
          <w14:textFill>
            <w14:solidFill>
              <w14:schemeClr w14:val="tx1"/>
            </w14:solidFill>
          </w14:textFill>
        </w:rPr>
        <w:t>3</w:t>
      </w:r>
      <w:bookmarkStart w:id="283" w:name="_Toc297123492"/>
      <w:bookmarkStart w:id="284" w:name="_Toc312677988"/>
      <w:bookmarkStart w:id="285" w:name="_Toc296346660"/>
      <w:bookmarkStart w:id="286" w:name="_Toc303539102"/>
      <w:bookmarkStart w:id="287" w:name="_Toc296891199"/>
      <w:bookmarkStart w:id="288" w:name="_Toc300934945"/>
      <w:bookmarkStart w:id="289" w:name="_Toc296890987"/>
      <w:bookmarkStart w:id="290" w:name="_Toc296503159"/>
      <w:bookmarkStart w:id="291" w:name="_Toc297048345"/>
      <w:bookmarkStart w:id="292" w:name="_Toc297216151"/>
      <w:bookmarkStart w:id="293" w:name="_Toc297120459"/>
      <w:bookmarkStart w:id="294" w:name="_Toc292559364"/>
      <w:bookmarkStart w:id="295" w:name="_Toc292559869"/>
      <w:bookmarkStart w:id="296" w:name="_Toc296944498"/>
      <w:bookmarkStart w:id="297" w:name="_Toc296347158"/>
      <w:bookmarkStart w:id="298" w:name="_Toc304295523"/>
      <w:r>
        <w:rPr>
          <w:rFonts w:hint="eastAsia" w:ascii="宋体" w:hAnsi="宋体" w:eastAsia="宋体" w:cs="宋体"/>
          <w:color w:val="000000" w:themeColor="text1"/>
          <w:highlight w:val="none"/>
          <w14:textFill>
            <w14:solidFill>
              <w14:schemeClr w14:val="tx1"/>
            </w14:solidFill>
          </w14:textFill>
        </w:rPr>
        <w:t>.5 分包</w:t>
      </w:r>
      <w:bookmarkEnd w:id="276"/>
      <w:bookmarkEnd w:id="277"/>
      <w:bookmarkEnd w:id="278"/>
      <w:bookmarkEnd w:id="279"/>
      <w:bookmarkEnd w:id="280"/>
      <w:bookmarkEnd w:id="281"/>
      <w:bookmarkEnd w:id="282"/>
    </w:p>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14:paraId="0A501DE8">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bookmarkStart w:id="299" w:name="_Toc297048346"/>
      <w:bookmarkStart w:id="300" w:name="_Toc296944499"/>
      <w:bookmarkStart w:id="301" w:name="_Toc303539103"/>
      <w:bookmarkStart w:id="302" w:name="_Toc296890988"/>
      <w:bookmarkStart w:id="303" w:name="_Toc297120460"/>
      <w:bookmarkStart w:id="304" w:name="_Toc296347159"/>
      <w:bookmarkStart w:id="305" w:name="_Toc292559870"/>
      <w:bookmarkStart w:id="306" w:name="_Toc304295524"/>
      <w:bookmarkStart w:id="307" w:name="_Toc297123493"/>
      <w:bookmarkStart w:id="308" w:name="_Toc300934946"/>
      <w:bookmarkStart w:id="309" w:name="_Toc296503160"/>
      <w:bookmarkStart w:id="310" w:name="_Toc292559365"/>
      <w:bookmarkStart w:id="311" w:name="_Toc297216152"/>
      <w:bookmarkStart w:id="312" w:name="_Toc312677989"/>
      <w:bookmarkStart w:id="313" w:name="_Toc318581158"/>
      <w:bookmarkStart w:id="314" w:name="_Toc296346661"/>
      <w:bookmarkStart w:id="315" w:name="_Toc296891200"/>
      <w:r>
        <w:rPr>
          <w:rFonts w:hint="eastAsia" w:ascii="宋体" w:hAnsi="宋体" w:eastAsia="宋体" w:cs="宋体"/>
          <w:color w:val="000000" w:themeColor="text1"/>
          <w:highlight w:val="none"/>
          <w14:textFill>
            <w14:solidFill>
              <w14:schemeClr w14:val="tx1"/>
            </w14:solidFill>
          </w14:textFill>
        </w:rPr>
        <w:t>.5.1 分包的一般约定</w:t>
      </w:r>
    </w:p>
    <w:p w14:paraId="19027297">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禁止分包的工程包括：</w:t>
      </w:r>
      <w:r>
        <w:rPr>
          <w:rFonts w:hint="eastAsia" w:ascii="宋体" w:hAnsi="宋体" w:eastAsia="宋体" w:cs="宋体"/>
          <w:color w:val="000000" w:themeColor="text1"/>
          <w:highlight w:val="none"/>
          <w:u w:val="single"/>
          <w14:textFill>
            <w14:solidFill>
              <w14:schemeClr w14:val="tx1"/>
            </w14:solidFill>
          </w14:textFill>
        </w:rPr>
        <w:t xml:space="preserve">  经评审备案的施工图纸范围内包含的施工内容 </w:t>
      </w:r>
      <w:r>
        <w:rPr>
          <w:rFonts w:hint="eastAsia" w:ascii="宋体" w:hAnsi="宋体" w:eastAsia="宋体" w:cs="宋体"/>
          <w:color w:val="000000" w:themeColor="text1"/>
          <w:highlight w:val="none"/>
          <w14:textFill>
            <w14:solidFill>
              <w14:schemeClr w14:val="tx1"/>
            </w14:solidFill>
          </w14:textFill>
        </w:rPr>
        <w:t>。</w:t>
      </w:r>
    </w:p>
    <w:p w14:paraId="10335F37">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主体结构、关键性工作的范围：</w:t>
      </w:r>
      <w:r>
        <w:rPr>
          <w:rFonts w:hint="eastAsia" w:ascii="宋体" w:hAnsi="宋体" w:eastAsia="宋体" w:cs="宋体"/>
          <w:color w:val="000000" w:themeColor="text1"/>
          <w:highlight w:val="none"/>
          <w:u w:val="single"/>
          <w14:textFill>
            <w14:solidFill>
              <w14:schemeClr w14:val="tx1"/>
            </w14:solidFill>
          </w14:textFill>
        </w:rPr>
        <w:t xml:space="preserve">             /              </w:t>
      </w:r>
      <w:r>
        <w:rPr>
          <w:rFonts w:hint="eastAsia" w:ascii="宋体" w:hAnsi="宋体" w:eastAsia="宋体" w:cs="宋体"/>
          <w:color w:val="000000" w:themeColor="text1"/>
          <w:highlight w:val="none"/>
          <w14:textFill>
            <w14:solidFill>
              <w14:schemeClr w14:val="tx1"/>
            </w14:solidFill>
          </w14:textFill>
        </w:rPr>
        <w:t>。</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45223251">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bookmarkStart w:id="316" w:name="_Toc318581159"/>
      <w:bookmarkStart w:id="317" w:name="_Toc312677990"/>
      <w:r>
        <w:rPr>
          <w:rFonts w:hint="eastAsia" w:ascii="宋体" w:hAnsi="宋体" w:eastAsia="宋体" w:cs="宋体"/>
          <w:color w:val="000000" w:themeColor="text1"/>
          <w:highlight w:val="none"/>
          <w14:textFill>
            <w14:solidFill>
              <w14:schemeClr w14:val="tx1"/>
            </w14:solidFill>
          </w14:textFill>
        </w:rPr>
        <w:t>.5.2 分包的确定</w:t>
      </w:r>
    </w:p>
    <w:p w14:paraId="3BDEB716">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允许分包的专业工程包括：</w:t>
      </w:r>
      <w:r>
        <w:rPr>
          <w:rFonts w:hint="eastAsia" w:ascii="宋体" w:hAnsi="宋体" w:eastAsia="宋体" w:cs="宋体"/>
          <w:color w:val="000000" w:themeColor="text1"/>
          <w:highlight w:val="none"/>
          <w:u w:val="single"/>
          <w14:textFill>
            <w14:solidFill>
              <w14:schemeClr w14:val="tx1"/>
            </w14:solidFill>
          </w14:textFill>
        </w:rPr>
        <w:t xml:space="preserve">   工程劳务   </w:t>
      </w:r>
      <w:r>
        <w:rPr>
          <w:rFonts w:hint="eastAsia" w:ascii="宋体" w:hAnsi="宋体" w:eastAsia="宋体" w:cs="宋体"/>
          <w:color w:val="000000" w:themeColor="text1"/>
          <w:highlight w:val="none"/>
          <w14:textFill>
            <w14:solidFill>
              <w14:schemeClr w14:val="tx1"/>
            </w14:solidFill>
          </w14:textFill>
        </w:rPr>
        <w:t>。</w:t>
      </w:r>
    </w:p>
    <w:p w14:paraId="30A94089">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其他关于分包的约定：</w:t>
      </w:r>
    </w:p>
    <w:p w14:paraId="3DBA245E">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360E8CA1">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（2）在相关分包合同签订并报送有关建设行政主管部门备案后7天内，承包人应当将一份副本提交给监理人，承包人应保障分包工作不得再次分包。</w:t>
      </w:r>
    </w:p>
    <w:p w14:paraId="67C7A66A">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（3）未经承包人和监理人审批同意的分包工程和分包人，承包人有权拒绝验收分包工程和支付相应款项，由此引起的发包人费用增加和(或)延误的工期由发包人承担。</w:t>
      </w:r>
    </w:p>
    <w:p w14:paraId="7C366202">
      <w:pPr>
        <w:pStyle w:val="12"/>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（4）承包人有以下情况之一者，发包人有权解除合同，并视情况扣除其履约保证金：</w:t>
      </w:r>
    </w:p>
    <w:p w14:paraId="654CDBAB">
      <w:pPr>
        <w:pStyle w:val="12"/>
        <w:pageBreakBefore w:val="0"/>
        <w:widowControl w:val="0"/>
        <w:kinsoku/>
        <w:wordWrap/>
        <w:overflowPunct/>
        <w:topLinePunct w:val="0"/>
        <w:bidi w:val="0"/>
        <w:snapToGrid w:val="0"/>
        <w:spacing w:line="360" w:lineRule="auto"/>
        <w:ind w:firstLine="441" w:firstLineChars="21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①个人承包工程，包括本人单位及外单位人员承包，发包人不承认其个人拥有任何资质等级及营业许可资格。没收全部履约保证金。</w:t>
      </w:r>
    </w:p>
    <w:p w14:paraId="164EBF65">
      <w:pPr>
        <w:pStyle w:val="12"/>
        <w:pageBreakBefore w:val="0"/>
        <w:widowControl w:val="0"/>
        <w:kinsoku/>
        <w:wordWrap/>
        <w:overflowPunct/>
        <w:topLinePunct w:val="0"/>
        <w:bidi w:val="0"/>
        <w:snapToGrid w:val="0"/>
        <w:spacing w:line="360" w:lineRule="auto"/>
        <w:ind w:firstLine="441" w:firstLineChars="21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②联合承包工程，就地组织暗分包队伍，不具备完成本工程的技术、机械能力，被发包人判定为没有能力履行的承包人。没收全部履约保证金。</w:t>
      </w:r>
    </w:p>
    <w:p w14:paraId="1911B02D">
      <w:pPr>
        <w:pStyle w:val="12"/>
        <w:pageBreakBefore w:val="0"/>
        <w:widowControl w:val="0"/>
        <w:kinsoku/>
        <w:wordWrap/>
        <w:overflowPunct/>
        <w:topLinePunct w:val="0"/>
        <w:bidi w:val="0"/>
        <w:snapToGrid w:val="0"/>
        <w:spacing w:line="360" w:lineRule="auto"/>
        <w:ind w:firstLine="441" w:firstLineChars="21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③就地转包全部的工程，以谋取高额转让费、管理费的承包人。没收全部履约保证金。</w:t>
      </w:r>
    </w:p>
    <w:p w14:paraId="4F405176">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④承包人有部分分包现象（其中包括冒充承包人下属单位的挂勾单位，凭口头协议参与施工的分包人及其他暗分包个体户），一经发现核实，发包人将采取驱逐该暗分包人措施。没收全部履约保证金。</w:t>
      </w:r>
    </w:p>
    <w:p w14:paraId="76CC2E4C">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3.5.4 分包合同价款</w:t>
      </w:r>
    </w:p>
    <w:bookmarkEnd w:id="316"/>
    <w:bookmarkEnd w:id="317"/>
    <w:p w14:paraId="7C9404C9">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bookmarkStart w:id="318" w:name="_Toc389065277"/>
      <w:bookmarkStart w:id="319" w:name="_Toc373227711"/>
      <w:bookmarkStart w:id="320" w:name="_Toc373478358"/>
      <w:r>
        <w:rPr>
          <w:rFonts w:hint="eastAsia" w:ascii="宋体" w:hAnsi="宋体" w:eastAsia="宋体" w:cs="宋体"/>
          <w:color w:val="000000" w:themeColor="text1"/>
          <w:highlight w:val="none"/>
          <w14:textFill>
            <w14:solidFill>
              <w14:schemeClr w14:val="tx1"/>
            </w14:solidFill>
          </w14:textFill>
        </w:rPr>
        <w:t>关于分包合同价款支付的约定：</w:t>
      </w:r>
      <w:r>
        <w:rPr>
          <w:rFonts w:hint="eastAsia" w:ascii="宋体" w:hAnsi="宋体" w:eastAsia="宋体" w:cs="宋体"/>
          <w:color w:val="000000" w:themeColor="text1"/>
          <w:highlight w:val="none"/>
          <w:u w:val="single"/>
          <w14:textFill>
            <w14:solidFill>
              <w14:schemeClr w14:val="tx1"/>
            </w14:solidFill>
          </w14:textFill>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但承包人拖欠分包人合同价款对发包人造成不良影响的或者严重影响施工进度的除外。</w:t>
      </w:r>
    </w:p>
    <w:p w14:paraId="7AB20BB2">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p>
    <w:p w14:paraId="70CB6EE4">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321" w:name="_Toc101808609"/>
      <w:bookmarkStart w:id="322" w:name="_Toc57329529"/>
      <w:bookmarkStart w:id="323" w:name="_Toc78449799"/>
      <w:bookmarkStart w:id="324" w:name="_Toc407135213"/>
      <w:r>
        <w:rPr>
          <w:rFonts w:hint="eastAsia" w:ascii="宋体" w:hAnsi="宋体" w:eastAsia="宋体" w:cs="宋体"/>
          <w:color w:val="000000" w:themeColor="text1"/>
          <w:highlight w:val="none"/>
          <w14:textFill>
            <w14:solidFill>
              <w14:schemeClr w14:val="tx1"/>
            </w14:solidFill>
          </w14:textFill>
        </w:rPr>
        <w:t>3.6 工程照管与成品、半成品保护</w:t>
      </w:r>
      <w:bookmarkEnd w:id="318"/>
      <w:bookmarkEnd w:id="319"/>
      <w:bookmarkEnd w:id="320"/>
      <w:bookmarkEnd w:id="321"/>
      <w:bookmarkEnd w:id="322"/>
      <w:bookmarkEnd w:id="323"/>
      <w:bookmarkEnd w:id="324"/>
    </w:p>
    <w:p w14:paraId="34E78C6E">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kern w:val="0"/>
          <w:highlight w:val="none"/>
          <w:u w:val="singl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承包人负责照管工程及工程相关的材料、工程设备的起始时间：</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按通用条款执行</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w:t>
      </w:r>
    </w:p>
    <w:p w14:paraId="7CC36466">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325" w:name="_Toc373478359"/>
      <w:bookmarkStart w:id="326" w:name="_Toc389065278"/>
      <w:bookmarkStart w:id="327" w:name="_Toc373227712"/>
      <w:bookmarkStart w:id="328" w:name="_Toc1042049436"/>
      <w:bookmarkStart w:id="329" w:name="_Toc1649716734"/>
      <w:bookmarkStart w:id="330" w:name="_Toc78449800"/>
      <w:bookmarkStart w:id="331" w:name="_Toc407135214"/>
      <w:r>
        <w:rPr>
          <w:rFonts w:hint="eastAsia" w:ascii="宋体" w:hAnsi="宋体" w:eastAsia="宋体" w:cs="宋体"/>
          <w:color w:val="000000" w:themeColor="text1"/>
          <w:highlight w:val="none"/>
          <w14:textFill>
            <w14:solidFill>
              <w14:schemeClr w14:val="tx1"/>
            </w14:solidFill>
          </w14:textFill>
        </w:rPr>
        <w:t>3.7 履约</w:t>
      </w:r>
      <w:bookmarkEnd w:id="325"/>
      <w:bookmarkEnd w:id="326"/>
      <w:bookmarkEnd w:id="327"/>
      <w:r>
        <w:rPr>
          <w:rFonts w:hint="eastAsia" w:ascii="宋体" w:hAnsi="宋体" w:eastAsia="宋体" w:cs="宋体"/>
          <w:color w:val="000000" w:themeColor="text1"/>
          <w:highlight w:val="none"/>
          <w14:textFill>
            <w14:solidFill>
              <w14:schemeClr w14:val="tx1"/>
            </w14:solidFill>
          </w14:textFill>
        </w:rPr>
        <w:t>保证金</w:t>
      </w:r>
      <w:bookmarkEnd w:id="328"/>
      <w:bookmarkEnd w:id="329"/>
      <w:bookmarkEnd w:id="330"/>
      <w:bookmarkEnd w:id="331"/>
    </w:p>
    <w:p w14:paraId="113852D7">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lang w:eastAsia="zh-CN"/>
          <w14:textFill>
            <w14:solidFill>
              <w14:schemeClr w14:val="tx1"/>
            </w14:solidFill>
          </w14:textFill>
        </w:rPr>
      </w:pPr>
      <w:bookmarkStart w:id="332" w:name="_Toc373227713"/>
      <w:bookmarkStart w:id="333" w:name="_Toc373478360"/>
      <w:bookmarkStart w:id="334" w:name="_Toc389065279"/>
      <w:bookmarkStart w:id="335" w:name="_Toc351203636"/>
      <w:r>
        <w:rPr>
          <w:rFonts w:hint="eastAsia" w:ascii="宋体" w:hAnsi="宋体" w:eastAsia="宋体" w:cs="宋体"/>
          <w:color w:val="000000" w:themeColor="text1"/>
          <w:highlight w:val="none"/>
          <w14:textFill>
            <w14:solidFill>
              <w14:schemeClr w14:val="tx1"/>
            </w14:solidFill>
          </w14:textFill>
        </w:rPr>
        <w:t>承包人提供履约担保的形式、金额及期限的：</w:t>
      </w:r>
      <w:r>
        <w:rPr>
          <w:rFonts w:hint="eastAsia" w:ascii="宋体" w:hAnsi="宋体" w:eastAsia="宋体" w:cs="宋体"/>
          <w:color w:val="000000" w:themeColor="text1"/>
          <w:highlight w:val="none"/>
          <w:lang w:eastAsia="zh-CN"/>
          <w14:textFill>
            <w14:solidFill>
              <w14:schemeClr w14:val="tx1"/>
            </w14:solidFill>
          </w14:textFill>
        </w:rPr>
        <w:t>本项目免收履约保证金。</w:t>
      </w:r>
    </w:p>
    <w:p w14:paraId="6DCC72AE">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承包人提供履约担保的形式：</w:t>
      </w:r>
      <w:r>
        <w:rPr>
          <w:rFonts w:hint="eastAsia" w:ascii="宋体" w:hAnsi="宋体" w:eastAsia="宋体" w:cs="宋体"/>
          <w:color w:val="000000" w:themeColor="text1"/>
          <w:highlight w:val="none"/>
          <w:u w:val="single"/>
          <w14:textFill>
            <w14:solidFill>
              <w14:schemeClr w14:val="tx1"/>
            </w14:solidFill>
          </w14:textFill>
        </w:rPr>
        <w:t>可以是</w:t>
      </w:r>
      <w:r>
        <w:rPr>
          <w:rFonts w:hint="eastAsia" w:ascii="宋体" w:hAnsi="宋体" w:eastAsia="宋体" w:cs="宋体"/>
          <w:color w:val="000000" w:themeColor="text1"/>
          <w:highlight w:val="none"/>
          <w14:textFill>
            <w14:solidFill>
              <w14:schemeClr w14:val="tx1"/>
            </w14:solidFill>
          </w14:textFill>
        </w:rPr>
        <w:t>银行转账、电汇或网上支付、保函（银行保函、电子保函、保证保险保函、工程担保保函）等形式。</w:t>
      </w:r>
    </w:p>
    <w:p w14:paraId="10499C96">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承包人提供银行转账、电汇或网上支付形式履约担保的，在工程竣工验收合格并对验收发现的问题完成整改后的7个日历天内，发包人退还剩余履约保证金的50%；承包人向发包人完成（施工）竣工资料移交手续后，可向发包人申请退还剩余履约保证金，发包人应在收到申请之日起28个日历天内扣减承包人违约金、赔偿金和其他应从承包人扣回的款项后，将履约保证金的余额无息退还给承包人。</w:t>
      </w:r>
    </w:p>
    <w:p w14:paraId="20A40CF1">
      <w:pPr>
        <w:pStyle w:val="2"/>
        <w:pageBreakBefore w:val="0"/>
        <w:widowControl w:val="0"/>
        <w:kinsoku/>
        <w:wordWrap/>
        <w:overflowPunct/>
        <w:topLinePunct w:val="0"/>
        <w:bidi w:val="0"/>
        <w:snapToGrid w:val="0"/>
        <w:spacing w:before="0" w:after="0" w:line="360" w:lineRule="auto"/>
        <w:rPr>
          <w:rFonts w:hint="eastAsia" w:ascii="宋体" w:hAnsi="宋体" w:eastAsia="宋体" w:cs="宋体"/>
          <w:color w:val="000000" w:themeColor="text1"/>
          <w:highlight w:val="none"/>
          <w14:textFill>
            <w14:solidFill>
              <w14:schemeClr w14:val="tx1"/>
            </w14:solidFill>
          </w14:textFill>
        </w:rPr>
      </w:pPr>
      <w:bookmarkStart w:id="336" w:name="_Toc78449801"/>
      <w:bookmarkStart w:id="337" w:name="_Toc907912356"/>
      <w:bookmarkStart w:id="338" w:name="_Toc407135215"/>
      <w:bookmarkStart w:id="339" w:name="_Toc931514330"/>
      <w:r>
        <w:rPr>
          <w:rFonts w:hint="eastAsia" w:ascii="宋体" w:hAnsi="宋体" w:eastAsia="宋体" w:cs="宋体"/>
          <w:color w:val="000000" w:themeColor="text1"/>
          <w:highlight w:val="none"/>
          <w14:textFill>
            <w14:solidFill>
              <w14:schemeClr w14:val="tx1"/>
            </w14:solidFill>
          </w14:textFill>
        </w:rPr>
        <w:t>4</w:t>
      </w:r>
      <w:bookmarkStart w:id="340" w:name="_Toc292559871"/>
      <w:bookmarkStart w:id="341" w:name="_Toc296347161"/>
      <w:bookmarkStart w:id="342" w:name="_Toc296503162"/>
      <w:bookmarkStart w:id="343" w:name="_Toc297048348"/>
      <w:bookmarkStart w:id="344" w:name="_Toc296346663"/>
      <w:bookmarkStart w:id="345" w:name="_Toc296890990"/>
      <w:bookmarkStart w:id="346" w:name="_Toc267251413"/>
      <w:bookmarkStart w:id="347" w:name="_Toc292559366"/>
      <w:bookmarkStart w:id="348" w:name="_Toc297120462"/>
      <w:bookmarkStart w:id="349" w:name="_Toc296944501"/>
      <w:bookmarkStart w:id="350" w:name="_Toc296891202"/>
      <w:r>
        <w:rPr>
          <w:rFonts w:hint="eastAsia" w:ascii="宋体" w:hAnsi="宋体" w:eastAsia="宋体" w:cs="宋体"/>
          <w:color w:val="000000" w:themeColor="text1"/>
          <w:highlight w:val="none"/>
          <w14:textFill>
            <w14:solidFill>
              <w14:schemeClr w14:val="tx1"/>
            </w14:solidFill>
          </w14:textFill>
        </w:rPr>
        <w:t>. 监</w:t>
      </w:r>
      <w:bookmarkEnd w:id="340"/>
      <w:bookmarkEnd w:id="341"/>
      <w:bookmarkEnd w:id="342"/>
      <w:bookmarkEnd w:id="343"/>
      <w:bookmarkEnd w:id="344"/>
      <w:bookmarkEnd w:id="345"/>
      <w:bookmarkEnd w:id="346"/>
      <w:bookmarkEnd w:id="347"/>
      <w:bookmarkEnd w:id="348"/>
      <w:bookmarkEnd w:id="349"/>
      <w:bookmarkEnd w:id="350"/>
      <w:r>
        <w:rPr>
          <w:rFonts w:hint="eastAsia" w:ascii="宋体" w:hAnsi="宋体" w:eastAsia="宋体" w:cs="宋体"/>
          <w:color w:val="000000" w:themeColor="text1"/>
          <w:highlight w:val="none"/>
          <w14:textFill>
            <w14:solidFill>
              <w14:schemeClr w14:val="tx1"/>
            </w14:solidFill>
          </w14:textFill>
        </w:rPr>
        <w:t>理人</w:t>
      </w:r>
      <w:bookmarkEnd w:id="332"/>
      <w:bookmarkEnd w:id="333"/>
      <w:bookmarkEnd w:id="334"/>
      <w:bookmarkEnd w:id="335"/>
      <w:bookmarkEnd w:id="336"/>
      <w:bookmarkEnd w:id="337"/>
      <w:bookmarkEnd w:id="338"/>
      <w:bookmarkEnd w:id="339"/>
    </w:p>
    <w:p w14:paraId="17DE38D4">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351" w:name="_Toc1595043148"/>
      <w:bookmarkStart w:id="352" w:name="_Toc407135216"/>
      <w:bookmarkStart w:id="353" w:name="_Toc389065280"/>
      <w:bookmarkStart w:id="354" w:name="_Toc373227714"/>
      <w:bookmarkStart w:id="355" w:name="_Toc78449802"/>
      <w:bookmarkStart w:id="356" w:name="_Toc373478361"/>
      <w:bookmarkStart w:id="357" w:name="_Toc1008304989"/>
      <w:r>
        <w:rPr>
          <w:rFonts w:hint="eastAsia" w:ascii="宋体" w:hAnsi="宋体" w:eastAsia="宋体" w:cs="宋体"/>
          <w:color w:val="000000" w:themeColor="text1"/>
          <w:highlight w:val="none"/>
          <w14:textFill>
            <w14:solidFill>
              <w14:schemeClr w14:val="tx1"/>
            </w14:solidFill>
          </w14:textFill>
        </w:rPr>
        <w:t>4.1 监理人的一般规定</w:t>
      </w:r>
      <w:bookmarkEnd w:id="351"/>
      <w:bookmarkEnd w:id="352"/>
      <w:bookmarkEnd w:id="353"/>
      <w:bookmarkEnd w:id="354"/>
      <w:bookmarkEnd w:id="355"/>
      <w:bookmarkEnd w:id="356"/>
      <w:bookmarkEnd w:id="357"/>
    </w:p>
    <w:p w14:paraId="0F44C4E1">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关于监理人的监理内容：</w:t>
      </w:r>
      <w:r>
        <w:rPr>
          <w:rFonts w:hint="eastAsia" w:ascii="宋体" w:hAnsi="宋体" w:eastAsia="宋体" w:cs="宋体"/>
          <w:color w:val="000000" w:themeColor="text1"/>
          <w:highlight w:val="none"/>
          <w:u w:val="single"/>
          <w14:textFill>
            <w14:solidFill>
              <w14:schemeClr w14:val="tx1"/>
            </w14:solidFill>
          </w14:textFill>
        </w:rPr>
        <w:t xml:space="preserve">  见监理合同 </w:t>
      </w:r>
      <w:r>
        <w:rPr>
          <w:rFonts w:hint="eastAsia" w:ascii="宋体" w:hAnsi="宋体" w:eastAsia="宋体" w:cs="宋体"/>
          <w:color w:val="000000" w:themeColor="text1"/>
          <w:highlight w:val="none"/>
          <w14:textFill>
            <w14:solidFill>
              <w14:schemeClr w14:val="tx1"/>
            </w14:solidFill>
          </w14:textFill>
        </w:rPr>
        <w:t>。</w:t>
      </w:r>
    </w:p>
    <w:p w14:paraId="57601B48">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关于监理人的监理权限：</w:t>
      </w:r>
      <w:r>
        <w:rPr>
          <w:rFonts w:hint="eastAsia" w:ascii="宋体" w:hAnsi="宋体" w:eastAsia="宋体" w:cs="宋体"/>
          <w:color w:val="000000" w:themeColor="text1"/>
          <w:highlight w:val="none"/>
          <w:u w:val="single"/>
          <w14:textFill>
            <w14:solidFill>
              <w14:schemeClr w14:val="tx1"/>
            </w14:solidFill>
          </w14:textFill>
        </w:rPr>
        <w:t xml:space="preserve"> 1、在发出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签证单监理只有证明权，无确认权。5、工程内容和材料变更确认应得到发包人的书面批准 </w:t>
      </w:r>
      <w:r>
        <w:rPr>
          <w:rFonts w:hint="eastAsia" w:ascii="宋体" w:hAnsi="宋体" w:eastAsia="宋体" w:cs="宋体"/>
          <w:color w:val="000000" w:themeColor="text1"/>
          <w:highlight w:val="none"/>
          <w14:textFill>
            <w14:solidFill>
              <w14:schemeClr w14:val="tx1"/>
            </w14:solidFill>
          </w14:textFill>
        </w:rPr>
        <w:t xml:space="preserve">。 </w:t>
      </w:r>
    </w:p>
    <w:p w14:paraId="3609CF75">
      <w:pPr>
        <w:pageBreakBefore w:val="0"/>
        <w:widowControl w:val="0"/>
        <w:kinsoku/>
        <w:wordWrap/>
        <w:overflowPunct/>
        <w:topLinePunct w:val="0"/>
        <w:bidi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关于监理人在施工现场的办公场所、生活场所的提供和费用承担的约定：</w:t>
      </w:r>
      <w:r>
        <w:rPr>
          <w:rFonts w:hint="eastAsia" w:ascii="宋体" w:hAnsi="宋体" w:eastAsia="宋体" w:cs="宋体"/>
          <w:color w:val="000000" w:themeColor="text1"/>
          <w:highlight w:val="none"/>
          <w:u w:val="single"/>
          <w14:textFill>
            <w14:solidFill>
              <w14:schemeClr w14:val="tx1"/>
            </w14:solidFill>
          </w14:textFill>
        </w:rPr>
        <w:t xml:space="preserve"> 按通用条款执行   </w:t>
      </w:r>
      <w:r>
        <w:rPr>
          <w:rFonts w:hint="eastAsia" w:ascii="宋体" w:hAnsi="宋体" w:eastAsia="宋体" w:cs="宋体"/>
          <w:color w:val="000000" w:themeColor="text1"/>
          <w:highlight w:val="none"/>
          <w14:textFill>
            <w14:solidFill>
              <w14:schemeClr w14:val="tx1"/>
            </w14:solidFill>
          </w14:textFill>
        </w:rPr>
        <w:t>。</w:t>
      </w:r>
    </w:p>
    <w:p w14:paraId="54E723D5">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358" w:name="_Toc1350458461"/>
      <w:bookmarkStart w:id="359" w:name="_Toc386397261"/>
      <w:bookmarkStart w:id="360" w:name="_Toc407135217"/>
      <w:bookmarkStart w:id="361" w:name="_Toc373227715"/>
      <w:bookmarkStart w:id="362" w:name="_Toc389065281"/>
      <w:bookmarkStart w:id="363" w:name="_Toc78449803"/>
      <w:bookmarkStart w:id="364" w:name="_Toc373478362"/>
      <w:r>
        <w:rPr>
          <w:rFonts w:hint="eastAsia" w:ascii="宋体" w:hAnsi="宋体" w:eastAsia="宋体" w:cs="宋体"/>
          <w:color w:val="000000" w:themeColor="text1"/>
          <w:highlight w:val="none"/>
          <w14:textFill>
            <w14:solidFill>
              <w14:schemeClr w14:val="tx1"/>
            </w14:solidFill>
          </w14:textFill>
        </w:rPr>
        <w:t>4.2 监理人员</w:t>
      </w:r>
      <w:bookmarkEnd w:id="358"/>
      <w:bookmarkEnd w:id="359"/>
      <w:bookmarkEnd w:id="360"/>
      <w:bookmarkEnd w:id="361"/>
      <w:bookmarkEnd w:id="362"/>
      <w:bookmarkEnd w:id="363"/>
      <w:bookmarkEnd w:id="364"/>
    </w:p>
    <w:p w14:paraId="1B262C42">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总监理工程师：</w:t>
      </w:r>
    </w:p>
    <w:p w14:paraId="6AD999BF">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姓    名：</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w:t>
      </w:r>
    </w:p>
    <w:p w14:paraId="1E39E23E">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职    务：</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w:t>
      </w:r>
    </w:p>
    <w:p w14:paraId="7545DB96">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监理工程师注册证书号：</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w:t>
      </w:r>
    </w:p>
    <w:p w14:paraId="063BDFCF">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 </w:t>
      </w:r>
      <w:r>
        <w:rPr>
          <w:rFonts w:hint="eastAsia" w:ascii="宋体" w:hAnsi="宋体" w:eastAsia="宋体" w:cs="宋体"/>
          <w:color w:val="000000" w:themeColor="text1"/>
          <w:highlight w:val="none"/>
          <w14:textFill>
            <w14:solidFill>
              <w14:schemeClr w14:val="tx1"/>
            </w14:solidFill>
          </w14:textFill>
        </w:rPr>
        <w:t>；</w:t>
      </w:r>
    </w:p>
    <w:p w14:paraId="0E61F62F">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电子信箱：</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w:t>
      </w:r>
    </w:p>
    <w:p w14:paraId="718E6D82">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通信地址：</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w:t>
      </w:r>
    </w:p>
    <w:p w14:paraId="5C0F93EF">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关于监理人的其他约定：</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cs="宋体"/>
          <w:color w:val="000000" w:themeColor="text1"/>
          <w:highlight w:val="none"/>
          <w:u w:val="single"/>
          <w:lang w:eastAsia="zh-CN" w:bidi="ar-SA"/>
          <w14:textFill>
            <w14:solidFill>
              <w14:schemeClr w14:val="tx1"/>
            </w14:solidFill>
          </w14:textFill>
        </w:rPr>
        <w:t>成交后填写</w:t>
      </w:r>
      <w:r>
        <w:rPr>
          <w:rFonts w:hint="eastAsia" w:ascii="宋体" w:eastAsia="宋体" w:cs="宋体"/>
          <w:color w:val="000000" w:themeColor="text1"/>
          <w:highlight w:val="none"/>
          <w:u w:val="single"/>
          <w:lang w:bidi="ar-SA"/>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w:t>
      </w:r>
    </w:p>
    <w:p w14:paraId="49440F65">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365" w:name="_Toc389065282"/>
      <w:bookmarkStart w:id="366" w:name="_Toc941562442"/>
      <w:bookmarkStart w:id="367" w:name="_Toc539923186"/>
      <w:bookmarkStart w:id="368" w:name="_Toc373478363"/>
      <w:bookmarkStart w:id="369" w:name="_Toc78449804"/>
      <w:bookmarkStart w:id="370" w:name="_Toc373227716"/>
      <w:bookmarkStart w:id="371" w:name="_Toc407135218"/>
      <w:r>
        <w:rPr>
          <w:rFonts w:hint="eastAsia" w:ascii="宋体" w:hAnsi="宋体" w:eastAsia="宋体" w:cs="宋体"/>
          <w:color w:val="000000" w:themeColor="text1"/>
          <w:highlight w:val="none"/>
          <w14:textFill>
            <w14:solidFill>
              <w14:schemeClr w14:val="tx1"/>
            </w14:solidFill>
          </w14:textFill>
        </w:rPr>
        <w:t>4.4 商定或确定</w:t>
      </w:r>
      <w:bookmarkEnd w:id="365"/>
      <w:bookmarkEnd w:id="366"/>
      <w:bookmarkEnd w:id="367"/>
      <w:bookmarkEnd w:id="368"/>
      <w:bookmarkEnd w:id="369"/>
      <w:bookmarkEnd w:id="370"/>
      <w:bookmarkEnd w:id="371"/>
    </w:p>
    <w:p w14:paraId="6D51E576">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bookmarkStart w:id="372" w:name="_Toc267251418"/>
      <w:r>
        <w:rPr>
          <w:rFonts w:hint="eastAsia" w:ascii="宋体" w:hAnsi="宋体" w:eastAsia="宋体" w:cs="宋体"/>
          <w:color w:val="000000" w:themeColor="text1"/>
          <w:highlight w:val="none"/>
          <w14:textFill>
            <w14:solidFill>
              <w14:schemeClr w14:val="tx1"/>
            </w14:solidFill>
          </w14:textFill>
        </w:rPr>
        <w:t>在发包人和承包人不能通过协商达成一致意见时，发包人授权监理人对以下事项进行确定：</w:t>
      </w:r>
    </w:p>
    <w:p w14:paraId="63337C86">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w:t>
      </w:r>
      <w:r>
        <w:rPr>
          <w:rFonts w:hint="eastAsia" w:ascii="宋体" w:hAnsi="宋体" w:eastAsia="宋体" w:cs="宋体"/>
          <w:color w:val="000000" w:themeColor="text1"/>
          <w:highlight w:val="none"/>
          <w:u w:val="single"/>
          <w14:textFill>
            <w14:solidFill>
              <w14:schemeClr w14:val="tx1"/>
            </w14:solidFill>
          </w14:textFill>
        </w:rPr>
        <w:t xml:space="preserve"> 对隐蔽工程及中间部位的验收工作   </w:t>
      </w:r>
      <w:r>
        <w:rPr>
          <w:rFonts w:hint="eastAsia" w:ascii="宋体" w:hAnsi="宋体" w:eastAsia="宋体" w:cs="宋体"/>
          <w:color w:val="000000" w:themeColor="text1"/>
          <w:highlight w:val="none"/>
          <w14:textFill>
            <w14:solidFill>
              <w14:schemeClr w14:val="tx1"/>
            </w14:solidFill>
          </w14:textFill>
        </w:rPr>
        <w:t>；</w:t>
      </w:r>
    </w:p>
    <w:p w14:paraId="74A7A06C">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（2）</w:t>
      </w:r>
      <w:r>
        <w:rPr>
          <w:rFonts w:hint="eastAsia" w:ascii="宋体" w:hAnsi="宋体" w:eastAsia="宋体" w:cs="宋体"/>
          <w:color w:val="000000" w:themeColor="text1"/>
          <w:highlight w:val="none"/>
          <w:u w:val="single"/>
          <w14:textFill>
            <w14:solidFill>
              <w14:schemeClr w14:val="tx1"/>
            </w14:solidFill>
          </w14:textFill>
        </w:rPr>
        <w:t xml:space="preserve"> 现场经济技术签证审核及工程进度报量审核  </w:t>
      </w:r>
      <w:r>
        <w:rPr>
          <w:rFonts w:hint="eastAsia" w:ascii="宋体" w:hAnsi="宋体" w:eastAsia="宋体" w:cs="宋体"/>
          <w:color w:val="000000" w:themeColor="text1"/>
          <w:highlight w:val="none"/>
          <w14:textFill>
            <w14:solidFill>
              <w14:schemeClr w14:val="tx1"/>
            </w14:solidFill>
          </w14:textFill>
        </w:rPr>
        <w:t>；</w:t>
      </w:r>
    </w:p>
    <w:p w14:paraId="3ACD4D46">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（3）</w:t>
      </w:r>
      <w:r>
        <w:rPr>
          <w:rFonts w:hint="eastAsia" w:ascii="宋体" w:hAnsi="宋体" w:eastAsia="宋体" w:cs="宋体"/>
          <w:color w:val="000000" w:themeColor="text1"/>
          <w:highlight w:val="none"/>
          <w:u w:val="single"/>
          <w14:textFill>
            <w14:solidFill>
              <w14:schemeClr w14:val="tx1"/>
            </w14:solidFill>
          </w14:textFill>
        </w:rPr>
        <w:t xml:space="preserve"> 无信息价材料审核及现场临时用工的签证  </w:t>
      </w:r>
      <w:r>
        <w:rPr>
          <w:rFonts w:hint="eastAsia" w:ascii="宋体" w:hAnsi="宋体" w:eastAsia="宋体" w:cs="宋体"/>
          <w:color w:val="000000" w:themeColor="text1"/>
          <w:highlight w:val="none"/>
          <w14:textFill>
            <w14:solidFill>
              <w14:schemeClr w14:val="tx1"/>
            </w14:solidFill>
          </w14:textFill>
        </w:rPr>
        <w:t>。</w:t>
      </w:r>
    </w:p>
    <w:p w14:paraId="74DF92C4">
      <w:pPr>
        <w:pStyle w:val="2"/>
        <w:pageBreakBefore w:val="0"/>
        <w:widowControl w:val="0"/>
        <w:kinsoku/>
        <w:wordWrap/>
        <w:overflowPunct/>
        <w:topLinePunct w:val="0"/>
        <w:bidi w:val="0"/>
        <w:snapToGrid w:val="0"/>
        <w:spacing w:before="0" w:after="0" w:line="360" w:lineRule="auto"/>
        <w:rPr>
          <w:rFonts w:hint="eastAsia" w:ascii="宋体" w:hAnsi="宋体" w:eastAsia="宋体" w:cs="宋体"/>
          <w:color w:val="000000" w:themeColor="text1"/>
          <w:highlight w:val="none"/>
          <w14:textFill>
            <w14:solidFill>
              <w14:schemeClr w14:val="tx1"/>
            </w14:solidFill>
          </w14:textFill>
        </w:rPr>
      </w:pPr>
      <w:bookmarkStart w:id="373" w:name="_Toc1687297496"/>
      <w:bookmarkStart w:id="374" w:name="_Toc78449805"/>
      <w:bookmarkStart w:id="375" w:name="_Toc407135219"/>
      <w:bookmarkStart w:id="376" w:name="_Toc373478364"/>
      <w:bookmarkStart w:id="377" w:name="_Toc351203637"/>
      <w:bookmarkStart w:id="378" w:name="_Toc1603077308"/>
      <w:bookmarkStart w:id="379" w:name="_Toc389065283"/>
      <w:bookmarkStart w:id="380" w:name="_Toc373227717"/>
      <w:r>
        <w:rPr>
          <w:rFonts w:hint="eastAsia" w:ascii="宋体" w:hAnsi="宋体" w:eastAsia="宋体" w:cs="宋体"/>
          <w:color w:val="000000" w:themeColor="text1"/>
          <w:highlight w:val="none"/>
          <w14:textFill>
            <w14:solidFill>
              <w14:schemeClr w14:val="tx1"/>
            </w14:solidFill>
          </w14:textFill>
        </w:rPr>
        <w:t>5</w:t>
      </w:r>
      <w:bookmarkEnd w:id="372"/>
      <w:bookmarkStart w:id="381" w:name="_Toc297048349"/>
      <w:bookmarkStart w:id="382" w:name="_Toc292559367"/>
      <w:bookmarkStart w:id="383" w:name="_Toc296891203"/>
      <w:bookmarkStart w:id="384" w:name="_Toc296503163"/>
      <w:bookmarkStart w:id="385" w:name="_Toc296944502"/>
      <w:bookmarkStart w:id="386" w:name="_Toc297120463"/>
      <w:bookmarkStart w:id="387" w:name="_Toc296347162"/>
      <w:bookmarkStart w:id="388" w:name="_Toc292559872"/>
      <w:bookmarkStart w:id="389" w:name="_Toc296346664"/>
      <w:bookmarkStart w:id="390" w:name="_Toc296890991"/>
      <w:r>
        <w:rPr>
          <w:rFonts w:hint="eastAsia" w:ascii="宋体" w:hAnsi="宋体" w:eastAsia="宋体" w:cs="宋体"/>
          <w:color w:val="000000" w:themeColor="text1"/>
          <w:highlight w:val="none"/>
          <w14:textFill>
            <w14:solidFill>
              <w14:schemeClr w14:val="tx1"/>
            </w14:solidFill>
          </w14:textFill>
        </w:rPr>
        <w:t>. 工程质量</w:t>
      </w:r>
      <w:bookmarkEnd w:id="373"/>
      <w:bookmarkEnd w:id="374"/>
      <w:bookmarkEnd w:id="375"/>
      <w:bookmarkEnd w:id="376"/>
      <w:bookmarkEnd w:id="377"/>
      <w:bookmarkEnd w:id="378"/>
      <w:bookmarkEnd w:id="379"/>
      <w:bookmarkEnd w:id="380"/>
    </w:p>
    <w:p w14:paraId="0553CC3F">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391" w:name="_Toc1952042622"/>
      <w:bookmarkStart w:id="392" w:name="_Toc78449806"/>
      <w:bookmarkStart w:id="393" w:name="_Toc389065284"/>
      <w:bookmarkStart w:id="394" w:name="_Toc373227718"/>
      <w:bookmarkStart w:id="395" w:name="_Toc373478365"/>
      <w:bookmarkStart w:id="396" w:name="_Toc1835421345"/>
      <w:bookmarkStart w:id="397" w:name="_Toc407135220"/>
      <w:r>
        <w:rPr>
          <w:rFonts w:hint="eastAsia" w:ascii="宋体" w:hAnsi="宋体" w:eastAsia="宋体" w:cs="宋体"/>
          <w:color w:val="000000" w:themeColor="text1"/>
          <w:highlight w:val="none"/>
          <w14:textFill>
            <w14:solidFill>
              <w14:schemeClr w14:val="tx1"/>
            </w14:solidFill>
          </w14:textFill>
        </w:rPr>
        <w:t>5.1 质量要求</w:t>
      </w:r>
      <w:bookmarkEnd w:id="391"/>
      <w:bookmarkEnd w:id="392"/>
      <w:bookmarkEnd w:id="393"/>
      <w:bookmarkEnd w:id="394"/>
      <w:bookmarkEnd w:id="395"/>
      <w:bookmarkEnd w:id="396"/>
      <w:bookmarkEnd w:id="397"/>
    </w:p>
    <w:p w14:paraId="0352FE48">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bookmarkStart w:id="398" w:name="_Toc297216155"/>
      <w:bookmarkStart w:id="399" w:name="_Toc300934949"/>
      <w:bookmarkStart w:id="400" w:name="_Toc312677997"/>
      <w:bookmarkStart w:id="401" w:name="_Toc303539106"/>
      <w:bookmarkStart w:id="402" w:name="_Toc297123496"/>
      <w:bookmarkStart w:id="403" w:name="_Toc304295527"/>
      <w:bookmarkStart w:id="404" w:name="_Toc318581164"/>
      <w:r>
        <w:rPr>
          <w:rFonts w:hint="eastAsia" w:ascii="宋体" w:hAnsi="宋体" w:eastAsia="宋体" w:cs="宋体"/>
          <w:color w:val="000000" w:themeColor="text1"/>
          <w:highlight w:val="none"/>
          <w14:textFill>
            <w14:solidFill>
              <w14:schemeClr w14:val="tx1"/>
            </w14:solidFill>
          </w14:textFill>
        </w:rPr>
        <w:t>.1.1 特殊质量标准和要求：</w:t>
      </w:r>
      <w:r>
        <w:rPr>
          <w:rFonts w:hint="eastAsia" w:ascii="宋体" w:hAnsi="宋体" w:eastAsia="宋体" w:cs="宋体"/>
          <w:color w:val="000000" w:themeColor="text1"/>
          <w:highlight w:val="none"/>
          <w:u w:val="single"/>
          <w14:textFill>
            <w14:solidFill>
              <w14:schemeClr w14:val="tx1"/>
            </w14:solidFill>
          </w14:textFill>
        </w:rPr>
        <w:t xml:space="preserve">   无        </w:t>
      </w:r>
      <w:r>
        <w:rPr>
          <w:rFonts w:hint="eastAsia" w:ascii="宋体" w:hAnsi="宋体" w:eastAsia="宋体" w:cs="宋体"/>
          <w:color w:val="000000" w:themeColor="text1"/>
          <w:highlight w:val="none"/>
          <w14:textFill>
            <w14:solidFill>
              <w14:schemeClr w14:val="tx1"/>
            </w14:solidFill>
          </w14:textFill>
        </w:rPr>
        <w:t>。</w:t>
      </w:r>
    </w:p>
    <w:p w14:paraId="11890279">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关于工程奖项的约定： 如果工程获得</w:t>
      </w:r>
      <w:r>
        <w:rPr>
          <w:rFonts w:hint="eastAsia" w:ascii="宋体" w:hAnsi="宋体" w:eastAsia="宋体" w:cs="宋体"/>
          <w:color w:val="000000" w:themeColor="text1"/>
          <w:highlight w:val="none"/>
          <w:u w:val="single"/>
          <w14:textFill>
            <w14:solidFill>
              <w14:schemeClr w14:val="tx1"/>
            </w14:solidFill>
          </w14:textFill>
        </w:rPr>
        <w:t xml:space="preserve">        无    （奖项名称）</w:t>
      </w:r>
      <w:r>
        <w:rPr>
          <w:rFonts w:hint="eastAsia" w:ascii="宋体" w:hAnsi="宋体" w:eastAsia="宋体" w:cs="宋体"/>
          <w:color w:val="000000" w:themeColor="text1"/>
          <w:highlight w:val="none"/>
          <w14:textFill>
            <w14:solidFill>
              <w14:schemeClr w14:val="tx1"/>
            </w14:solidFill>
          </w14:textFill>
        </w:rPr>
        <w:t>，给予承包人合同价</w:t>
      </w:r>
      <w:r>
        <w:rPr>
          <w:rFonts w:hint="eastAsia" w:ascii="宋体" w:hAnsi="宋体" w:eastAsia="宋体" w:cs="宋体"/>
          <w:color w:val="000000" w:themeColor="text1"/>
          <w:highlight w:val="none"/>
          <w:u w:val="single"/>
          <w14:textFill>
            <w14:solidFill>
              <w14:schemeClr w14:val="tx1"/>
            </w14:solidFill>
          </w14:textFill>
        </w:rPr>
        <w:t xml:space="preserve">  / </w:t>
      </w:r>
      <w:r>
        <w:rPr>
          <w:rFonts w:hint="eastAsia" w:ascii="宋体" w:hAnsi="宋体" w:eastAsia="宋体" w:cs="宋体"/>
          <w:color w:val="000000" w:themeColor="text1"/>
          <w:highlight w:val="none"/>
          <w14:textFill>
            <w14:solidFill>
              <w14:schemeClr w14:val="tx1"/>
            </w14:solidFill>
          </w14:textFill>
        </w:rPr>
        <w:t>%的奖励。（建设单位创建优质工程的，鼓励在招标控制价和预算中按我区工程建设定额规定计列工程优质费，并在招标文件中明确工程优质费不可竞争。）</w:t>
      </w:r>
    </w:p>
    <w:p w14:paraId="1C05D19E">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5.3 隐蔽工程检查</w:t>
      </w:r>
    </w:p>
    <w:p w14:paraId="1D13BC8D">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1E24F587">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监理人不能按时进行检查时，应提前</w:t>
      </w:r>
      <w:r>
        <w:rPr>
          <w:rFonts w:hint="eastAsia" w:ascii="宋体" w:hAnsi="宋体" w:eastAsia="宋体" w:cs="宋体"/>
          <w:color w:val="000000" w:themeColor="text1"/>
          <w:highlight w:val="none"/>
          <w:u w:val="single"/>
          <w14:textFill>
            <w14:solidFill>
              <w14:schemeClr w14:val="tx1"/>
            </w14:solidFill>
          </w14:textFill>
        </w:rPr>
        <w:t xml:space="preserve">   12</w:t>
      </w:r>
      <w:r>
        <w:rPr>
          <w:rFonts w:hint="eastAsia" w:ascii="宋体" w:hAnsi="宋体" w:eastAsia="宋体" w:cs="宋体"/>
          <w:color w:val="000000" w:themeColor="text1"/>
          <w:highlight w:val="none"/>
          <w14:textFill>
            <w14:solidFill>
              <w14:schemeClr w14:val="tx1"/>
            </w14:solidFill>
          </w14:textFill>
        </w:rPr>
        <w:t>小时提交书面延期要求。</w:t>
      </w:r>
    </w:p>
    <w:p w14:paraId="2F1E5609">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关于延期最长不得超过：</w:t>
      </w:r>
      <w:r>
        <w:rPr>
          <w:rFonts w:hint="eastAsia" w:ascii="宋体" w:hAnsi="宋体" w:eastAsia="宋体" w:cs="宋体"/>
          <w:color w:val="000000" w:themeColor="text1"/>
          <w:highlight w:val="none"/>
          <w:u w:val="single"/>
          <w14:textFill>
            <w14:solidFill>
              <w14:schemeClr w14:val="tx1"/>
            </w14:solidFill>
          </w14:textFill>
        </w:rPr>
        <w:t xml:space="preserve">  24 </w:t>
      </w:r>
      <w:r>
        <w:rPr>
          <w:rFonts w:hint="eastAsia" w:ascii="宋体" w:hAnsi="宋体" w:eastAsia="宋体" w:cs="宋体"/>
          <w:color w:val="000000" w:themeColor="text1"/>
          <w:highlight w:val="none"/>
          <w14:textFill>
            <w14:solidFill>
              <w14:schemeClr w14:val="tx1"/>
            </w14:solidFill>
          </w14:textFill>
        </w:rPr>
        <w:t>小时。</w:t>
      </w:r>
    </w:p>
    <w:p w14:paraId="160B741D">
      <w:pPr>
        <w:pStyle w:val="2"/>
        <w:pageBreakBefore w:val="0"/>
        <w:widowControl w:val="0"/>
        <w:kinsoku/>
        <w:wordWrap/>
        <w:overflowPunct/>
        <w:topLinePunct w:val="0"/>
        <w:bidi w:val="0"/>
        <w:snapToGrid w:val="0"/>
        <w:spacing w:before="0" w:after="0" w:line="360" w:lineRule="auto"/>
        <w:rPr>
          <w:rFonts w:hint="eastAsia" w:ascii="宋体" w:hAnsi="宋体" w:eastAsia="宋体" w:cs="宋体"/>
          <w:color w:val="000000" w:themeColor="text1"/>
          <w:highlight w:val="none"/>
          <w14:textFill>
            <w14:solidFill>
              <w14:schemeClr w14:val="tx1"/>
            </w14:solidFill>
          </w14:textFill>
        </w:rPr>
      </w:pPr>
      <w:bookmarkStart w:id="405" w:name="_Toc407135221"/>
      <w:bookmarkStart w:id="406" w:name="_Toc703841976"/>
      <w:bookmarkStart w:id="407" w:name="_Toc78449807"/>
      <w:bookmarkStart w:id="408" w:name="_Toc373478366"/>
      <w:bookmarkStart w:id="409" w:name="_Toc373227719"/>
      <w:bookmarkStart w:id="410" w:name="_Toc389065285"/>
      <w:bookmarkStart w:id="411" w:name="_Toc1259019817"/>
      <w:bookmarkStart w:id="412" w:name="_Toc351203638"/>
      <w:r>
        <w:rPr>
          <w:rFonts w:hint="eastAsia" w:ascii="宋体" w:hAnsi="宋体" w:eastAsia="宋体" w:cs="宋体"/>
          <w:color w:val="000000" w:themeColor="text1"/>
          <w:highlight w:val="none"/>
          <w14:textFill>
            <w14:solidFill>
              <w14:schemeClr w14:val="tx1"/>
            </w14:solidFill>
          </w14:textFill>
        </w:rPr>
        <w:t>6. 安全文明施工与环境保护</w:t>
      </w:r>
      <w:bookmarkEnd w:id="405"/>
      <w:bookmarkEnd w:id="406"/>
      <w:bookmarkEnd w:id="407"/>
      <w:bookmarkEnd w:id="408"/>
      <w:bookmarkEnd w:id="409"/>
      <w:bookmarkEnd w:id="410"/>
      <w:bookmarkEnd w:id="411"/>
      <w:bookmarkEnd w:id="412"/>
    </w:p>
    <w:p w14:paraId="54EE52DA">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413" w:name="_Toc78449808"/>
      <w:bookmarkStart w:id="414" w:name="_Toc1296292062"/>
      <w:bookmarkStart w:id="415" w:name="_Toc373227720"/>
      <w:bookmarkStart w:id="416" w:name="_Toc407135222"/>
      <w:bookmarkStart w:id="417" w:name="_Toc180514231"/>
      <w:bookmarkStart w:id="418" w:name="_Toc389065286"/>
      <w:bookmarkStart w:id="419" w:name="_Toc373478367"/>
      <w:r>
        <w:rPr>
          <w:rFonts w:hint="eastAsia" w:ascii="宋体" w:hAnsi="宋体" w:eastAsia="宋体" w:cs="宋体"/>
          <w:color w:val="000000" w:themeColor="text1"/>
          <w:highlight w:val="none"/>
          <w14:textFill>
            <w14:solidFill>
              <w14:schemeClr w14:val="tx1"/>
            </w14:solidFill>
          </w14:textFill>
        </w:rPr>
        <w:t>6.1 安全文明施工</w:t>
      </w:r>
      <w:bookmarkEnd w:id="413"/>
      <w:bookmarkEnd w:id="414"/>
      <w:bookmarkEnd w:id="415"/>
      <w:bookmarkEnd w:id="416"/>
      <w:bookmarkEnd w:id="417"/>
      <w:bookmarkEnd w:id="418"/>
      <w:bookmarkEnd w:id="419"/>
    </w:p>
    <w:p w14:paraId="305EA7A6">
      <w:pPr>
        <w:pageBreakBefore w:val="0"/>
        <w:widowControl w:val="0"/>
        <w:numPr>
          <w:ilvl w:val="2"/>
          <w:numId w:val="3"/>
        </w:numPr>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6.1.1 项目安全生产的达标目标及相应事项的约定：</w:t>
      </w:r>
      <w:r>
        <w:rPr>
          <w:rFonts w:hint="eastAsia" w:ascii="宋体" w:hAnsi="宋体" w:eastAsia="宋体" w:cs="宋体"/>
          <w:color w:val="000000" w:themeColor="text1"/>
          <w:highlight w:val="none"/>
          <w:u w:val="single"/>
          <w14:textFill>
            <w14:solidFill>
              <w14:schemeClr w14:val="tx1"/>
            </w14:solidFill>
          </w14:textFill>
        </w:rPr>
        <w:t xml:space="preserve">   ⑴除执行各项合同条款以外，承包人须按照国家、广西区和桂林市有关规定搞好现场安全及文明施工。承包人对单位工程内的安全负全部责任，由于承包人安全措施不力而造成安全事故和人身伤亡的，承包人承担全部责任、并承担因此发生的全部费用，发包人不承担任何责任；若因此造成发包人损失或被第三方索赔的，承包人须承担一切责任及费用。⑵在合同期内承包人对施工现场的安全生产管理必须严格执行《建筑施工安全检查标准》（JGJ59-2011）、《建设工程安全生产管理条例》（中华人民共和国国务院第393号）和广西壮族自治区和桂林市安全施工的有关规定，其费用已包含在相关工作的合同价格中；对检查不合格的，监理工程师有权下达限期停工整改通知，承包人在期限内无条件进行整改直至达到合格，造成工期延误的，工期不予顺延，由此造成的损失由承包人负责  </w:t>
      </w:r>
      <w:r>
        <w:rPr>
          <w:rFonts w:hint="eastAsia" w:ascii="宋体" w:hAnsi="宋体" w:eastAsia="宋体" w:cs="宋体"/>
          <w:color w:val="000000" w:themeColor="text1"/>
          <w:highlight w:val="none"/>
          <w14:textFill>
            <w14:solidFill>
              <w14:schemeClr w14:val="tx1"/>
            </w14:solidFill>
          </w14:textFill>
        </w:rPr>
        <w:t>。</w:t>
      </w:r>
    </w:p>
    <w:p w14:paraId="23D47FCB">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关于安全文明施工奖项的约定：</w:t>
      </w:r>
      <w:r>
        <w:rPr>
          <w:rFonts w:hint="eastAsia" w:ascii="宋体" w:hAnsi="宋体" w:eastAsia="宋体" w:cs="宋体"/>
          <w:color w:val="000000" w:themeColor="text1"/>
          <w:highlight w:val="none"/>
          <w:u w:val="single"/>
          <w14:textFill>
            <w14:solidFill>
              <w14:schemeClr w14:val="tx1"/>
            </w14:solidFill>
          </w14:textFill>
        </w:rPr>
        <w:t xml:space="preserve">             /                    </w:t>
      </w:r>
      <w:r>
        <w:rPr>
          <w:rFonts w:hint="eastAsia" w:ascii="宋体" w:hAnsi="宋体" w:eastAsia="宋体" w:cs="宋体"/>
          <w:color w:val="000000" w:themeColor="text1"/>
          <w:highlight w:val="none"/>
          <w14:textFill>
            <w14:solidFill>
              <w14:schemeClr w14:val="tx1"/>
            </w14:solidFill>
          </w14:textFill>
        </w:rPr>
        <w:t>。</w:t>
      </w:r>
    </w:p>
    <w:p w14:paraId="4236B083">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6.1.4 关于治安保卫的特别约定：</w:t>
      </w:r>
      <w:r>
        <w:rPr>
          <w:rFonts w:hint="eastAsia" w:ascii="宋体" w:hAnsi="宋体" w:eastAsia="宋体" w:cs="宋体"/>
          <w:color w:val="000000" w:themeColor="text1"/>
          <w:highlight w:val="none"/>
          <w:u w:val="single"/>
          <w14:textFill>
            <w14:solidFill>
              <w14:schemeClr w14:val="tx1"/>
            </w14:solidFill>
          </w14:textFill>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3E2647D4">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关于编制施工场地治安管理计划的约定：</w:t>
      </w:r>
      <w:r>
        <w:rPr>
          <w:rFonts w:hint="eastAsia" w:ascii="宋体" w:hAnsi="宋体" w:eastAsia="宋体" w:cs="宋体"/>
          <w:color w:val="000000" w:themeColor="text1"/>
          <w:highlight w:val="none"/>
          <w:u w:val="single"/>
          <w14:textFill>
            <w14:solidFill>
              <w14:schemeClr w14:val="tx1"/>
            </w14:solidFill>
          </w14:textFill>
        </w:rPr>
        <w:t xml:space="preserve"> 开工前7天内承包人编制施工场地治安管理计划和突发治安事件紧急预案  </w:t>
      </w:r>
      <w:r>
        <w:rPr>
          <w:rFonts w:hint="eastAsia" w:ascii="宋体" w:hAnsi="宋体" w:eastAsia="宋体" w:cs="宋体"/>
          <w:color w:val="000000" w:themeColor="text1"/>
          <w:highlight w:val="none"/>
          <w14:textFill>
            <w14:solidFill>
              <w14:schemeClr w14:val="tx1"/>
            </w14:solidFill>
          </w14:textFill>
        </w:rPr>
        <w:t>。</w:t>
      </w:r>
    </w:p>
    <w:p w14:paraId="72F8AA77">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6.1.5 文明施工</w:t>
      </w:r>
    </w:p>
    <w:p w14:paraId="598CE80D">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合同当事人对文明施工的要求：</w:t>
      </w:r>
      <w:r>
        <w:rPr>
          <w:rFonts w:hint="eastAsia" w:ascii="宋体" w:hAnsi="宋体" w:eastAsia="宋体" w:cs="宋体"/>
          <w:color w:val="000000" w:themeColor="text1"/>
          <w:highlight w:val="none"/>
          <w:u w:val="single"/>
          <w14:textFill>
            <w14:solidFill>
              <w14:schemeClr w14:val="tx1"/>
            </w14:solidFill>
          </w14:textFill>
        </w:rPr>
        <w:t xml:space="preserve">    按照国家及地方安全文明施工的有关规定执行  </w:t>
      </w:r>
      <w:r>
        <w:rPr>
          <w:rFonts w:hint="eastAsia" w:ascii="宋体" w:hAnsi="宋体" w:eastAsia="宋体" w:cs="宋体"/>
          <w:color w:val="000000" w:themeColor="text1"/>
          <w:highlight w:val="none"/>
          <w14:textFill>
            <w14:solidFill>
              <w14:schemeClr w14:val="tx1"/>
            </w14:solidFill>
          </w14:textFill>
        </w:rPr>
        <w:t>。</w:t>
      </w:r>
    </w:p>
    <w:p w14:paraId="3E7429CD">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420" w:name="_Toc373478368"/>
      <w:bookmarkStart w:id="421" w:name="_Toc373227721"/>
      <w:bookmarkStart w:id="422" w:name="_Toc389065287"/>
      <w:bookmarkStart w:id="423" w:name="_Toc78449809"/>
      <w:bookmarkStart w:id="424" w:name="_Toc407135223"/>
      <w:bookmarkStart w:id="425" w:name="_Toc1519050792"/>
      <w:bookmarkStart w:id="426" w:name="_Toc1922268668"/>
      <w:r>
        <w:rPr>
          <w:rFonts w:hint="eastAsia" w:ascii="宋体" w:hAnsi="宋体" w:eastAsia="宋体" w:cs="宋体"/>
          <w:color w:val="000000" w:themeColor="text1"/>
          <w:highlight w:val="none"/>
          <w14:textFill>
            <w14:solidFill>
              <w14:schemeClr w14:val="tx1"/>
            </w14:solidFill>
          </w14:textFill>
        </w:rPr>
        <w:t>6.3 环境保护</w:t>
      </w:r>
      <w:bookmarkEnd w:id="420"/>
      <w:bookmarkEnd w:id="421"/>
      <w:bookmarkEnd w:id="422"/>
      <w:bookmarkEnd w:id="423"/>
      <w:bookmarkEnd w:id="424"/>
      <w:bookmarkEnd w:id="425"/>
      <w:bookmarkEnd w:id="426"/>
    </w:p>
    <w:p w14:paraId="5A6B2496">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因施工需要，经发包人批准，由承包人办理有关施工场地交通、环卫和施工噪音管理等手续，费用由承包人负责。</w:t>
      </w:r>
    </w:p>
    <w:p w14:paraId="4747B00C">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经过城市道路的施工车辆，必须按交警、城管、运输等部门相关规定执行。由于施工车辆造成的道路、环境等污染，其责任和费用均由承包人承担。</w:t>
      </w:r>
    </w:p>
    <w:bookmarkEnd w:id="398"/>
    <w:bookmarkEnd w:id="399"/>
    <w:bookmarkEnd w:id="400"/>
    <w:bookmarkEnd w:id="401"/>
    <w:bookmarkEnd w:id="402"/>
    <w:bookmarkEnd w:id="403"/>
    <w:bookmarkEnd w:id="404"/>
    <w:p w14:paraId="12D052E1">
      <w:pPr>
        <w:pStyle w:val="2"/>
        <w:pageBreakBefore w:val="0"/>
        <w:widowControl w:val="0"/>
        <w:kinsoku/>
        <w:wordWrap/>
        <w:overflowPunct/>
        <w:topLinePunct w:val="0"/>
        <w:bidi w:val="0"/>
        <w:snapToGrid w:val="0"/>
        <w:spacing w:before="0" w:after="0" w:line="360" w:lineRule="auto"/>
        <w:rPr>
          <w:rFonts w:hint="eastAsia" w:ascii="宋体" w:hAnsi="宋体" w:eastAsia="宋体" w:cs="宋体"/>
          <w:color w:val="000000" w:themeColor="text1"/>
          <w:highlight w:val="none"/>
          <w14:textFill>
            <w14:solidFill>
              <w14:schemeClr w14:val="tx1"/>
            </w14:solidFill>
          </w14:textFill>
        </w:rPr>
      </w:pPr>
      <w:bookmarkStart w:id="427" w:name="_Toc1408286886"/>
      <w:bookmarkStart w:id="428" w:name="_Toc315674767"/>
      <w:bookmarkStart w:id="429" w:name="_Toc351203639"/>
      <w:bookmarkStart w:id="430" w:name="_Toc373478369"/>
      <w:bookmarkStart w:id="431" w:name="_Toc389065288"/>
      <w:bookmarkStart w:id="432" w:name="_Toc407135224"/>
      <w:bookmarkStart w:id="433" w:name="_Toc78449810"/>
      <w:bookmarkStart w:id="434" w:name="_Toc373227722"/>
      <w:r>
        <w:rPr>
          <w:rFonts w:hint="eastAsia" w:ascii="宋体" w:hAnsi="宋体" w:eastAsia="宋体" w:cs="宋体"/>
          <w:color w:val="000000" w:themeColor="text1"/>
          <w:highlight w:val="none"/>
          <w14:textFill>
            <w14:solidFill>
              <w14:schemeClr w14:val="tx1"/>
            </w14:solidFill>
          </w14:textFill>
        </w:rPr>
        <w:t>7. 工期和进度</w:t>
      </w:r>
      <w:bookmarkEnd w:id="427"/>
      <w:bookmarkEnd w:id="428"/>
      <w:bookmarkEnd w:id="429"/>
      <w:bookmarkEnd w:id="430"/>
      <w:bookmarkEnd w:id="431"/>
      <w:bookmarkEnd w:id="432"/>
      <w:bookmarkEnd w:id="433"/>
      <w:bookmarkEnd w:id="434"/>
    </w:p>
    <w:p w14:paraId="107246C5">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435" w:name="_Toc389065289"/>
      <w:bookmarkStart w:id="436" w:name="_Toc373227723"/>
      <w:bookmarkStart w:id="437" w:name="_Toc1194482517"/>
      <w:bookmarkStart w:id="438" w:name="_Toc78449811"/>
      <w:bookmarkStart w:id="439" w:name="_Toc407135225"/>
      <w:bookmarkStart w:id="440" w:name="_Toc373478370"/>
      <w:bookmarkStart w:id="441" w:name="_Toc664905709"/>
      <w:r>
        <w:rPr>
          <w:rFonts w:hint="eastAsia" w:ascii="宋体" w:hAnsi="宋体" w:eastAsia="宋体" w:cs="宋体"/>
          <w:color w:val="000000" w:themeColor="text1"/>
          <w:highlight w:val="none"/>
          <w14:textFill>
            <w14:solidFill>
              <w14:schemeClr w14:val="tx1"/>
            </w14:solidFill>
          </w14:textFill>
        </w:rPr>
        <w:t>7.1 施工组织设计</w:t>
      </w:r>
      <w:bookmarkEnd w:id="435"/>
      <w:bookmarkEnd w:id="436"/>
      <w:bookmarkEnd w:id="437"/>
      <w:bookmarkEnd w:id="438"/>
      <w:bookmarkEnd w:id="439"/>
      <w:bookmarkEnd w:id="440"/>
      <w:bookmarkEnd w:id="441"/>
    </w:p>
    <w:p w14:paraId="3547D3E5">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7.1.1 合</w:t>
      </w:r>
      <w:r>
        <w:rPr>
          <w:rFonts w:hint="eastAsia" w:ascii="宋体" w:hAnsi="宋体" w:eastAsia="宋体" w:cs="宋体"/>
          <w:color w:val="000000" w:themeColor="text1"/>
          <w:kern w:val="0"/>
          <w:highlight w:val="none"/>
          <w14:textFill>
            <w14:solidFill>
              <w14:schemeClr w14:val="tx1"/>
            </w14:solidFill>
          </w14:textFill>
        </w:rPr>
        <w:t>同当事人约定的施工组织设计应包括的其他内容：</w:t>
      </w:r>
      <w:r>
        <w:rPr>
          <w:rFonts w:hint="eastAsia" w:ascii="宋体" w:hAnsi="宋体" w:eastAsia="宋体" w:cs="宋体"/>
          <w:color w:val="000000" w:themeColor="text1"/>
          <w:highlight w:val="none"/>
          <w:u w:val="single"/>
          <w14:textFill>
            <w14:solidFill>
              <w14:schemeClr w14:val="tx1"/>
            </w14:solidFill>
          </w14:textFill>
        </w:rPr>
        <w:t xml:space="preserve">  （1）承包人应当在收到监理人发出的开工通知后7天内，编制详细的施工进度计划和施工方案说明并报送监理人。承包人编制施工进度计划和施工方案说明的内容： 1、施工组织设计，2、工程进度计划，3、管理人员名单、职称、职务、上岗证等，4、安全文明施工措施，5、质量保证体系，施工进度计划中还应载明要求发包人组织设计人员进行阶段性工程设计交底的时间</w:t>
      </w:r>
      <w:r>
        <w:rPr>
          <w:rFonts w:hint="eastAsia" w:ascii="宋体" w:hAnsi="宋体" w:eastAsia="宋体" w:cs="宋体"/>
          <w:color w:val="000000" w:themeColor="text1"/>
          <w:highlight w:val="none"/>
          <w14:textFill>
            <w14:solidFill>
              <w14:schemeClr w14:val="tx1"/>
            </w14:solidFill>
          </w14:textFill>
        </w:rPr>
        <w:t>。</w:t>
      </w:r>
    </w:p>
    <w:p w14:paraId="66691EAB">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7.1.2 </w:t>
      </w:r>
      <w:r>
        <w:rPr>
          <w:rFonts w:hint="eastAsia" w:ascii="宋体" w:hAnsi="宋体" w:eastAsia="宋体" w:cs="宋体"/>
          <w:color w:val="000000" w:themeColor="text1"/>
          <w:kern w:val="0"/>
          <w:highlight w:val="none"/>
          <w14:textFill>
            <w14:solidFill>
              <w14:schemeClr w14:val="tx1"/>
            </w14:solidFill>
          </w14:textFill>
        </w:rPr>
        <w:t>施工组织设计的提交和修改</w:t>
      </w:r>
    </w:p>
    <w:p w14:paraId="51345A66">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承包人提交详细施工组织设计的期限的约定：</w:t>
      </w:r>
      <w:r>
        <w:rPr>
          <w:rFonts w:hint="eastAsia" w:ascii="宋体" w:hAnsi="宋体" w:eastAsia="宋体" w:cs="宋体"/>
          <w:color w:val="000000" w:themeColor="text1"/>
          <w:highlight w:val="none"/>
          <w:u w:val="single"/>
          <w14:textFill>
            <w14:solidFill>
              <w14:schemeClr w14:val="tx1"/>
            </w14:solidFill>
          </w14:textFill>
        </w:rPr>
        <w:t xml:space="preserve">  按通用条款执行  </w:t>
      </w:r>
      <w:r>
        <w:rPr>
          <w:rFonts w:hint="eastAsia" w:ascii="宋体" w:hAnsi="宋体" w:eastAsia="宋体" w:cs="宋体"/>
          <w:color w:val="000000" w:themeColor="text1"/>
          <w:highlight w:val="none"/>
          <w14:textFill>
            <w14:solidFill>
              <w14:schemeClr w14:val="tx1"/>
            </w14:solidFill>
          </w14:textFill>
        </w:rPr>
        <w:t>。</w:t>
      </w:r>
    </w:p>
    <w:p w14:paraId="1C712336">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发包人和监理人在收到详细的施工组织设计后确认或提出修改意见的期限：</w:t>
      </w:r>
      <w:r>
        <w:rPr>
          <w:rFonts w:hint="eastAsia" w:ascii="宋体" w:hAnsi="宋体" w:eastAsia="宋体" w:cs="宋体"/>
          <w:color w:val="000000" w:themeColor="text1"/>
          <w:highlight w:val="none"/>
          <w:u w:val="single"/>
          <w14:textFill>
            <w14:solidFill>
              <w14:schemeClr w14:val="tx1"/>
            </w14:solidFill>
          </w14:textFill>
        </w:rPr>
        <w:t xml:space="preserve"> 按通用条款执行  </w:t>
      </w:r>
      <w:r>
        <w:rPr>
          <w:rFonts w:hint="eastAsia" w:ascii="宋体" w:hAnsi="宋体" w:eastAsia="宋体" w:cs="宋体"/>
          <w:color w:val="000000" w:themeColor="text1"/>
          <w:highlight w:val="none"/>
          <w14:textFill>
            <w14:solidFill>
              <w14:schemeClr w14:val="tx1"/>
            </w14:solidFill>
          </w14:textFill>
        </w:rPr>
        <w:t>。</w:t>
      </w:r>
    </w:p>
    <w:p w14:paraId="5E0119D8">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442" w:name="_Toc373227724"/>
      <w:bookmarkStart w:id="443" w:name="_Toc1393005721"/>
      <w:bookmarkStart w:id="444" w:name="_Toc1674747833"/>
      <w:bookmarkStart w:id="445" w:name="_Toc373478371"/>
      <w:bookmarkStart w:id="446" w:name="_Toc407135226"/>
      <w:bookmarkStart w:id="447" w:name="_Toc389065290"/>
      <w:bookmarkStart w:id="448" w:name="_Toc78449812"/>
      <w:r>
        <w:rPr>
          <w:rFonts w:hint="eastAsia" w:ascii="宋体" w:hAnsi="宋体" w:eastAsia="宋体" w:cs="宋体"/>
          <w:color w:val="000000" w:themeColor="text1"/>
          <w:highlight w:val="none"/>
          <w14:textFill>
            <w14:solidFill>
              <w14:schemeClr w14:val="tx1"/>
            </w14:solidFill>
          </w14:textFill>
        </w:rPr>
        <w:t>7</w:t>
      </w:r>
      <w:bookmarkStart w:id="449" w:name="_Toc297123514"/>
      <w:bookmarkStart w:id="450" w:name="_Toc297216173"/>
      <w:bookmarkStart w:id="451" w:name="_Toc304295541"/>
      <w:bookmarkStart w:id="452" w:name="_Toc303539123"/>
      <w:bookmarkStart w:id="453" w:name="_Toc300934966"/>
      <w:bookmarkStart w:id="454" w:name="_Toc312678005"/>
      <w:bookmarkStart w:id="455" w:name="_Toc312677479"/>
      <w:r>
        <w:rPr>
          <w:rFonts w:hint="eastAsia" w:ascii="宋体" w:hAnsi="宋体" w:eastAsia="宋体" w:cs="宋体"/>
          <w:color w:val="000000" w:themeColor="text1"/>
          <w:highlight w:val="none"/>
          <w14:textFill>
            <w14:solidFill>
              <w14:schemeClr w14:val="tx1"/>
            </w14:solidFill>
          </w14:textFill>
        </w:rPr>
        <w:t>.2 施工进度计划</w:t>
      </w:r>
      <w:bookmarkEnd w:id="442"/>
      <w:bookmarkEnd w:id="443"/>
      <w:bookmarkEnd w:id="444"/>
      <w:bookmarkEnd w:id="445"/>
      <w:bookmarkEnd w:id="446"/>
      <w:bookmarkEnd w:id="447"/>
      <w:bookmarkEnd w:id="448"/>
    </w:p>
    <w:p w14:paraId="1018F7D7">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7.2.2 施工进度计划的修订</w:t>
      </w:r>
    </w:p>
    <w:p w14:paraId="63E4F773">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发包人和监理人在收到修订的施工进度计划后确认或提出修改意见的期限：</w:t>
      </w:r>
      <w:r>
        <w:rPr>
          <w:rFonts w:hint="eastAsia" w:ascii="宋体" w:hAnsi="宋体" w:eastAsia="宋体" w:cs="宋体"/>
          <w:color w:val="000000" w:themeColor="text1"/>
          <w:highlight w:val="none"/>
          <w:u w:val="single"/>
          <w14:textFill>
            <w14:solidFill>
              <w14:schemeClr w14:val="tx1"/>
            </w14:solidFill>
          </w14:textFill>
        </w:rPr>
        <w:t>按通用条款执行</w:t>
      </w:r>
      <w:r>
        <w:rPr>
          <w:rFonts w:hint="eastAsia" w:ascii="宋体" w:hAnsi="宋体" w:eastAsia="宋体" w:cs="宋体"/>
          <w:color w:val="000000" w:themeColor="text1"/>
          <w:highlight w:val="none"/>
          <w14:textFill>
            <w14:solidFill>
              <w14:schemeClr w14:val="tx1"/>
            </w14:solidFill>
          </w14:textFill>
        </w:rPr>
        <w:t>。</w:t>
      </w:r>
    </w:p>
    <w:p w14:paraId="55E211FE">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456" w:name="_Toc1498273563"/>
      <w:bookmarkStart w:id="457" w:name="_Toc407135227"/>
      <w:bookmarkStart w:id="458" w:name="_Toc423062567"/>
      <w:bookmarkStart w:id="459" w:name="_Toc373227725"/>
      <w:bookmarkStart w:id="460" w:name="_Toc373478372"/>
      <w:bookmarkStart w:id="461" w:name="_Toc78449813"/>
      <w:bookmarkStart w:id="462" w:name="_Toc389065291"/>
      <w:r>
        <w:rPr>
          <w:rFonts w:hint="eastAsia" w:ascii="宋体" w:hAnsi="宋体" w:eastAsia="宋体" w:cs="宋体"/>
          <w:color w:val="000000" w:themeColor="text1"/>
          <w:highlight w:val="none"/>
          <w14:textFill>
            <w14:solidFill>
              <w14:schemeClr w14:val="tx1"/>
            </w14:solidFill>
          </w14:textFill>
        </w:rPr>
        <w:t>7.3 开工</w:t>
      </w:r>
      <w:bookmarkEnd w:id="456"/>
      <w:bookmarkEnd w:id="457"/>
      <w:bookmarkEnd w:id="458"/>
      <w:bookmarkEnd w:id="459"/>
      <w:bookmarkEnd w:id="460"/>
      <w:bookmarkEnd w:id="461"/>
      <w:bookmarkEnd w:id="462"/>
    </w:p>
    <w:p w14:paraId="26C9DA61">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7.3.1 开工准备</w:t>
      </w:r>
    </w:p>
    <w:p w14:paraId="5CB17849">
      <w:pPr>
        <w:pageBreakBefore w:val="0"/>
        <w:widowControl w:val="0"/>
        <w:kinsoku/>
        <w:wordWrap/>
        <w:overflowPunct/>
        <w:topLinePunct w:val="0"/>
        <w:bidi w:val="0"/>
        <w:snapToGrid w:val="0"/>
        <w:spacing w:line="360" w:lineRule="auto"/>
        <w:ind w:firstLine="426"/>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关于承包人提交</w:t>
      </w:r>
      <w:r>
        <w:rPr>
          <w:rFonts w:hint="eastAsia" w:ascii="宋体" w:hAnsi="宋体" w:eastAsia="宋体" w:cs="宋体"/>
          <w:color w:val="000000" w:themeColor="text1"/>
          <w:kern w:val="0"/>
          <w:highlight w:val="none"/>
          <w14:textFill>
            <w14:solidFill>
              <w14:schemeClr w14:val="tx1"/>
            </w14:solidFill>
          </w14:textFill>
        </w:rPr>
        <w:t>工程开工报审表的期限：</w:t>
      </w:r>
      <w:r>
        <w:rPr>
          <w:rFonts w:hint="eastAsia" w:ascii="宋体" w:hAnsi="宋体" w:eastAsia="宋体" w:cs="宋体"/>
          <w:color w:val="000000" w:themeColor="text1"/>
          <w:highlight w:val="none"/>
          <w:u w:val="single"/>
          <w14:textFill>
            <w14:solidFill>
              <w14:schemeClr w14:val="tx1"/>
            </w14:solidFill>
          </w14:textFill>
        </w:rPr>
        <w:t xml:space="preserve">  按通用条款执行</w:t>
      </w:r>
      <w:r>
        <w:rPr>
          <w:rFonts w:hint="eastAsia" w:ascii="宋体" w:hAnsi="宋体" w:eastAsia="宋体" w:cs="宋体"/>
          <w:color w:val="000000" w:themeColor="text1"/>
          <w:highlight w:val="none"/>
          <w14:textFill>
            <w14:solidFill>
              <w14:schemeClr w14:val="tx1"/>
            </w14:solidFill>
          </w14:textFill>
        </w:rPr>
        <w:t>。</w:t>
      </w:r>
    </w:p>
    <w:p w14:paraId="3945EE7B">
      <w:pPr>
        <w:pageBreakBefore w:val="0"/>
        <w:widowControl w:val="0"/>
        <w:kinsoku/>
        <w:wordWrap/>
        <w:overflowPunct/>
        <w:topLinePunct w:val="0"/>
        <w:bidi w:val="0"/>
        <w:snapToGrid w:val="0"/>
        <w:spacing w:line="360" w:lineRule="auto"/>
        <w:ind w:firstLine="426"/>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关于发包人应完成的其他开工准备工作及期限：</w:t>
      </w:r>
      <w:r>
        <w:rPr>
          <w:rFonts w:hint="eastAsia" w:ascii="宋体" w:hAnsi="宋体" w:eastAsia="宋体" w:cs="宋体"/>
          <w:color w:val="000000" w:themeColor="text1"/>
          <w:highlight w:val="none"/>
          <w:u w:val="single"/>
          <w14:textFill>
            <w14:solidFill>
              <w14:schemeClr w14:val="tx1"/>
            </w14:solidFill>
          </w14:textFill>
        </w:rPr>
        <w:t xml:space="preserve">  按通用条款执行 </w:t>
      </w:r>
      <w:r>
        <w:rPr>
          <w:rFonts w:hint="eastAsia" w:ascii="宋体" w:hAnsi="宋体" w:eastAsia="宋体" w:cs="宋体"/>
          <w:color w:val="000000" w:themeColor="text1"/>
          <w:highlight w:val="none"/>
          <w14:textFill>
            <w14:solidFill>
              <w14:schemeClr w14:val="tx1"/>
            </w14:solidFill>
          </w14:textFill>
        </w:rPr>
        <w:t>。</w:t>
      </w:r>
    </w:p>
    <w:p w14:paraId="0E34D604">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关于承包人应完成的其他开工准备工作及期限：</w:t>
      </w:r>
      <w:r>
        <w:rPr>
          <w:rFonts w:hint="eastAsia" w:ascii="宋体" w:hAnsi="宋体" w:eastAsia="宋体" w:cs="宋体"/>
          <w:color w:val="000000" w:themeColor="text1"/>
          <w:highlight w:val="none"/>
          <w:u w:val="single"/>
          <w14:textFill>
            <w14:solidFill>
              <w14:schemeClr w14:val="tx1"/>
            </w14:solidFill>
          </w14:textFill>
        </w:rPr>
        <w:t xml:space="preserve">   在开工前办理完毕所有合法手续，并提供给发包人证件</w:t>
      </w:r>
      <w:r>
        <w:rPr>
          <w:rFonts w:hint="eastAsia" w:ascii="宋体" w:hAnsi="宋体" w:eastAsia="宋体" w:cs="宋体"/>
          <w:color w:val="000000" w:themeColor="text1"/>
          <w:highlight w:val="none"/>
          <w:u w:val="single"/>
          <w:lang w:eastAsia="zh-CN"/>
          <w14:textFill>
            <w14:solidFill>
              <w14:schemeClr w14:val="tx1"/>
            </w14:solidFill>
          </w14:textFill>
        </w:rPr>
        <w:t>扫描件</w:t>
      </w:r>
      <w:r>
        <w:rPr>
          <w:rFonts w:hint="eastAsia" w:ascii="宋体" w:hAnsi="宋体" w:eastAsia="宋体" w:cs="宋体"/>
          <w:color w:val="000000" w:themeColor="text1"/>
          <w:highlight w:val="none"/>
          <w:u w:val="single"/>
          <w14:textFill>
            <w14:solidFill>
              <w14:schemeClr w14:val="tx1"/>
            </w14:solidFill>
          </w14:textFill>
        </w:rPr>
        <w:t xml:space="preserve">（扫描件）一套  </w:t>
      </w:r>
      <w:r>
        <w:rPr>
          <w:rFonts w:hint="eastAsia" w:ascii="宋体" w:hAnsi="宋体" w:eastAsia="宋体" w:cs="宋体"/>
          <w:color w:val="000000" w:themeColor="text1"/>
          <w:highlight w:val="none"/>
          <w14:textFill>
            <w14:solidFill>
              <w14:schemeClr w14:val="tx1"/>
            </w14:solidFill>
          </w14:textFill>
        </w:rPr>
        <w:t>。</w:t>
      </w:r>
    </w:p>
    <w:p w14:paraId="3CAE68D1">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7.3.2 开工通知</w:t>
      </w:r>
    </w:p>
    <w:p w14:paraId="68B62236">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因发包人原因造成监理人未能在计划开工日期之日起</w:t>
      </w:r>
      <w:r>
        <w:rPr>
          <w:rFonts w:hint="eastAsia" w:ascii="宋体" w:hAnsi="宋体" w:eastAsia="宋体" w:cs="宋体"/>
          <w:color w:val="000000" w:themeColor="text1"/>
          <w:highlight w:val="none"/>
          <w:u w:val="single"/>
          <w14:textFill>
            <w14:solidFill>
              <w14:schemeClr w14:val="tx1"/>
            </w14:solidFill>
          </w14:textFill>
        </w:rPr>
        <w:t xml:space="preserve"> 60 </w:t>
      </w:r>
      <w:r>
        <w:rPr>
          <w:rFonts w:hint="eastAsia" w:ascii="宋体" w:hAnsi="宋体" w:eastAsia="宋体" w:cs="宋体"/>
          <w:color w:val="000000" w:themeColor="text1"/>
          <w:highlight w:val="none"/>
          <w14:textFill>
            <w14:solidFill>
              <w14:schemeClr w14:val="tx1"/>
            </w14:solidFill>
          </w14:textFill>
        </w:rPr>
        <w:t>天内发出开工通知的，承包人有权提出价格调整要求，或者解除合同。</w:t>
      </w:r>
    </w:p>
    <w:bookmarkEnd w:id="449"/>
    <w:bookmarkEnd w:id="450"/>
    <w:bookmarkEnd w:id="451"/>
    <w:bookmarkEnd w:id="452"/>
    <w:bookmarkEnd w:id="453"/>
    <w:bookmarkEnd w:id="454"/>
    <w:bookmarkEnd w:id="455"/>
    <w:p w14:paraId="057CAD28">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463" w:name="_Toc373478373"/>
      <w:bookmarkStart w:id="464" w:name="_Toc389065292"/>
      <w:bookmarkStart w:id="465" w:name="_Toc78449814"/>
      <w:bookmarkStart w:id="466" w:name="_Toc373227726"/>
      <w:bookmarkStart w:id="467" w:name="_Toc86855608"/>
      <w:bookmarkStart w:id="468" w:name="_Toc407135228"/>
      <w:bookmarkStart w:id="469" w:name="_Toc741356765"/>
      <w:r>
        <w:rPr>
          <w:rFonts w:hint="eastAsia" w:ascii="宋体" w:hAnsi="宋体" w:eastAsia="宋体" w:cs="宋体"/>
          <w:color w:val="000000" w:themeColor="text1"/>
          <w:highlight w:val="none"/>
          <w14:textFill>
            <w14:solidFill>
              <w14:schemeClr w14:val="tx1"/>
            </w14:solidFill>
          </w14:textFill>
        </w:rPr>
        <w:t>7.4 测量放线</w:t>
      </w:r>
      <w:bookmarkEnd w:id="463"/>
      <w:bookmarkEnd w:id="464"/>
      <w:bookmarkEnd w:id="465"/>
      <w:bookmarkEnd w:id="466"/>
      <w:bookmarkEnd w:id="467"/>
      <w:bookmarkEnd w:id="468"/>
      <w:bookmarkEnd w:id="469"/>
    </w:p>
    <w:p w14:paraId="14356CC6">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7.4.1发包人通过监理人向承包人提供测量基准点、基准线和水准点及其书面资料的期限：</w:t>
      </w:r>
    </w:p>
    <w:p w14:paraId="36FD81DD">
      <w:pPr>
        <w:pageBreakBefore w:val="0"/>
        <w:widowControl w:val="0"/>
        <w:kinsoku/>
        <w:wordWrap/>
        <w:overflowPunct/>
        <w:topLinePunct w:val="0"/>
        <w:bidi w:val="0"/>
        <w:snapToGrid w:val="0"/>
        <w:spacing w:line="360" w:lineRule="auto"/>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 xml:space="preserve">  按通用条款执行    </w:t>
      </w:r>
      <w:r>
        <w:rPr>
          <w:rFonts w:hint="eastAsia" w:ascii="宋体" w:hAnsi="宋体" w:eastAsia="宋体" w:cs="宋体"/>
          <w:color w:val="000000" w:themeColor="text1"/>
          <w:highlight w:val="none"/>
          <w14:textFill>
            <w14:solidFill>
              <w14:schemeClr w14:val="tx1"/>
            </w14:solidFill>
          </w14:textFill>
        </w:rPr>
        <w:t>。</w:t>
      </w:r>
    </w:p>
    <w:p w14:paraId="72AB6713">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470" w:name="_Toc373478374"/>
      <w:bookmarkStart w:id="471" w:name="_Toc389065293"/>
      <w:bookmarkStart w:id="472" w:name="_Toc1863025072"/>
      <w:bookmarkStart w:id="473" w:name="_Toc373227727"/>
      <w:bookmarkStart w:id="474" w:name="_Toc1417437583"/>
      <w:bookmarkStart w:id="475" w:name="_Toc78449815"/>
      <w:bookmarkStart w:id="476" w:name="_Toc407135229"/>
      <w:r>
        <w:rPr>
          <w:rFonts w:hint="eastAsia" w:ascii="宋体" w:hAnsi="宋体" w:eastAsia="宋体" w:cs="宋体"/>
          <w:color w:val="000000" w:themeColor="text1"/>
          <w:highlight w:val="none"/>
          <w14:textFill>
            <w14:solidFill>
              <w14:schemeClr w14:val="tx1"/>
            </w14:solidFill>
          </w14:textFill>
        </w:rPr>
        <w:t>7</w:t>
      </w:r>
      <w:bookmarkStart w:id="477" w:name="_Toc297216175"/>
      <w:bookmarkStart w:id="478" w:name="_Toc297123516"/>
      <w:bookmarkStart w:id="479" w:name="_Toc312677484"/>
      <w:bookmarkStart w:id="480" w:name="_Toc312678010"/>
      <w:bookmarkStart w:id="481" w:name="_Toc303539125"/>
      <w:bookmarkStart w:id="482" w:name="_Toc300934968"/>
      <w:bookmarkStart w:id="483" w:name="_Toc304295546"/>
      <w:r>
        <w:rPr>
          <w:rFonts w:hint="eastAsia" w:ascii="宋体" w:hAnsi="宋体" w:eastAsia="宋体" w:cs="宋体"/>
          <w:color w:val="000000" w:themeColor="text1"/>
          <w:highlight w:val="none"/>
          <w14:textFill>
            <w14:solidFill>
              <w14:schemeClr w14:val="tx1"/>
            </w14:solidFill>
          </w14:textFill>
        </w:rPr>
        <w:t>.5 工期延误</w:t>
      </w:r>
      <w:bookmarkEnd w:id="470"/>
      <w:bookmarkEnd w:id="471"/>
      <w:bookmarkEnd w:id="472"/>
      <w:bookmarkEnd w:id="473"/>
      <w:bookmarkEnd w:id="474"/>
      <w:bookmarkEnd w:id="475"/>
      <w:bookmarkEnd w:id="476"/>
    </w:p>
    <w:bookmarkEnd w:id="477"/>
    <w:bookmarkEnd w:id="478"/>
    <w:bookmarkEnd w:id="479"/>
    <w:bookmarkEnd w:id="480"/>
    <w:bookmarkEnd w:id="481"/>
    <w:bookmarkEnd w:id="482"/>
    <w:bookmarkEnd w:id="483"/>
    <w:p w14:paraId="62F615B6">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7.5.1 因发包人原因导致工期延误</w:t>
      </w:r>
    </w:p>
    <w:p w14:paraId="46A2A129">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（7）因发包人原因导致工期延误的其他情形：</w:t>
      </w:r>
      <w:r>
        <w:rPr>
          <w:rFonts w:hint="eastAsia" w:ascii="宋体" w:hAnsi="宋体" w:eastAsia="宋体" w:cs="宋体"/>
          <w:color w:val="000000" w:themeColor="text1"/>
          <w:highlight w:val="none"/>
          <w:u w:val="single"/>
          <w14:textFill>
            <w14:solidFill>
              <w14:schemeClr w14:val="tx1"/>
            </w14:solidFill>
          </w14:textFill>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ascii="宋体" w:hAnsi="宋体" w:eastAsia="宋体" w:cs="宋体"/>
          <w:color w:val="000000" w:themeColor="text1"/>
          <w:highlight w:val="none"/>
          <w14:textFill>
            <w14:solidFill>
              <w14:schemeClr w14:val="tx1"/>
            </w14:solidFill>
          </w14:textFill>
        </w:rPr>
        <w:t xml:space="preserve"> 。</w:t>
      </w:r>
    </w:p>
    <w:p w14:paraId="2E52A253">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bookmarkStart w:id="484" w:name="_Toc318581169"/>
      <w:bookmarkStart w:id="485" w:name="_Toc312678012"/>
      <w:bookmarkStart w:id="486" w:name="_Toc312677486"/>
      <w:bookmarkStart w:id="487" w:name="_Toc303539127"/>
      <w:bookmarkStart w:id="488" w:name="_Toc297123518"/>
      <w:bookmarkStart w:id="489" w:name="_Toc304295548"/>
      <w:bookmarkStart w:id="490" w:name="_Toc297216177"/>
      <w:bookmarkStart w:id="491" w:name="_Toc300934970"/>
      <w:r>
        <w:rPr>
          <w:rFonts w:hint="eastAsia" w:ascii="宋体" w:hAnsi="宋体" w:eastAsia="宋体" w:cs="宋体"/>
          <w:color w:val="000000" w:themeColor="text1"/>
          <w:highlight w:val="none"/>
          <w14:textFill>
            <w14:solidFill>
              <w14:schemeClr w14:val="tx1"/>
            </w14:solidFill>
          </w14:textFill>
        </w:rPr>
        <w:t>.5.2 因承包人原因导致工期延误</w:t>
      </w:r>
    </w:p>
    <w:bookmarkEnd w:id="484"/>
    <w:bookmarkEnd w:id="485"/>
    <w:bookmarkEnd w:id="486"/>
    <w:p w14:paraId="0B65A9B6">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双方约定经监理工程师确认，工期相应顺延的情况：</w:t>
      </w:r>
      <w:r>
        <w:rPr>
          <w:rFonts w:hint="eastAsia" w:ascii="宋体" w:hAnsi="宋体" w:eastAsia="宋体" w:cs="宋体"/>
          <w:color w:val="000000" w:themeColor="text1"/>
          <w:highlight w:val="none"/>
          <w:u w:val="single"/>
          <w14:textFill>
            <w14:solidFill>
              <w14:schemeClr w14:val="tx1"/>
            </w14:solidFill>
          </w14:textFill>
        </w:rPr>
        <w:t xml:space="preserve"> 非上述原因，承包人不能按合同约定的时间竣工，承包人应承担违约责任。 </w:t>
      </w:r>
      <w:r>
        <w:rPr>
          <w:rFonts w:hint="eastAsia" w:ascii="宋体" w:hAnsi="宋体" w:eastAsia="宋体" w:cs="宋体"/>
          <w:color w:val="000000" w:themeColor="text1"/>
          <w:highlight w:val="none"/>
          <w14:textFill>
            <w14:solidFill>
              <w14:schemeClr w14:val="tx1"/>
            </w14:solidFill>
          </w14:textFill>
        </w:rPr>
        <w:t>。</w:t>
      </w:r>
    </w:p>
    <w:p w14:paraId="083FDFB0">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因</w:t>
      </w:r>
      <w:bookmarkStart w:id="492" w:name="_Toc318581170"/>
      <w:bookmarkStart w:id="493" w:name="_Toc312677487"/>
      <w:bookmarkStart w:id="494" w:name="_Toc312678013"/>
      <w:r>
        <w:rPr>
          <w:rFonts w:hint="eastAsia" w:ascii="宋体" w:hAnsi="宋体" w:eastAsia="宋体" w:cs="宋体"/>
          <w:color w:val="000000" w:themeColor="text1"/>
          <w:highlight w:val="none"/>
          <w14:textFill>
            <w14:solidFill>
              <w14:schemeClr w14:val="tx1"/>
            </w14:solidFill>
          </w14:textFill>
        </w:rPr>
        <w:t>承包人原因造成工期延误，逾期竣工违约金的计算方法为：</w:t>
      </w:r>
      <w:bookmarkEnd w:id="487"/>
      <w:bookmarkEnd w:id="488"/>
      <w:bookmarkEnd w:id="489"/>
      <w:bookmarkEnd w:id="490"/>
      <w:bookmarkEnd w:id="491"/>
      <w:bookmarkEnd w:id="492"/>
      <w:bookmarkEnd w:id="493"/>
      <w:bookmarkEnd w:id="494"/>
      <w:r>
        <w:rPr>
          <w:rFonts w:hint="eastAsia" w:ascii="宋体" w:hAnsi="宋体" w:eastAsia="宋体" w:cs="宋体"/>
          <w:color w:val="000000" w:themeColor="text1"/>
          <w:highlight w:val="none"/>
          <w:u w:val="single"/>
          <w14:textFill>
            <w14:solidFill>
              <w14:schemeClr w14:val="tx1"/>
            </w14:solidFill>
          </w14:textFill>
        </w:rPr>
        <w:t>每逾期竣工一日，承包人按相当于本合同签约合同价的0.3‰为向发包人支付违约金。当发现承包人存在违约行为时，由监理人预先下发整改指令，如承包人不及时采取措施纠正，在指令下达后十五天下发承担违约责任通知书；承包人应支付的违约金，发包人可从应付给承包人的工程款中扣除，也可从履约保证金提取相应数额的违约金。如承包人在合同工期内，完成合同规定的全部工程，且质量合格，在本工程施工竣工验收后十五天内可申请返还全部或部分违约金，返还金额由监理人审核，发包人批准。违约金返还时不计付银行利息  。</w:t>
      </w:r>
    </w:p>
    <w:p w14:paraId="77E24F51">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但承包人如逾期竣工达60日，发包人有权解除合同；承包人应自发包人发出合同解除通知之日退场。剩余工程发包人有权另行发包给第三方承建。对于承包人已完工并且验收合格的该部分工程，由发包人按工程造价审计（财政评审）进行结算，结算款待工程全部竣工后再支付给承包人。</w:t>
      </w:r>
    </w:p>
    <w:p w14:paraId="177B0A44">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因承包人原因造成工期延误，逾</w:t>
      </w:r>
      <w:bookmarkStart w:id="495" w:name="_Toc318581171"/>
      <w:bookmarkStart w:id="496" w:name="_Toc312678014"/>
      <w:r>
        <w:rPr>
          <w:rFonts w:hint="eastAsia" w:ascii="宋体" w:hAnsi="宋体" w:eastAsia="宋体" w:cs="宋体"/>
          <w:color w:val="000000" w:themeColor="text1"/>
          <w:highlight w:val="none"/>
          <w14:textFill>
            <w14:solidFill>
              <w14:schemeClr w14:val="tx1"/>
            </w14:solidFill>
          </w14:textFill>
        </w:rPr>
        <w:t>期竣工违约金的上限：</w:t>
      </w:r>
      <w:r>
        <w:rPr>
          <w:rFonts w:hint="eastAsia" w:ascii="宋体" w:hAnsi="宋体" w:eastAsia="宋体" w:cs="宋体"/>
          <w:color w:val="000000" w:themeColor="text1"/>
          <w:highlight w:val="none"/>
          <w:u w:val="single"/>
          <w14:textFill>
            <w14:solidFill>
              <w14:schemeClr w14:val="tx1"/>
            </w14:solidFill>
          </w14:textFill>
        </w:rPr>
        <w:t xml:space="preserve">     无         </w:t>
      </w:r>
      <w:r>
        <w:rPr>
          <w:rFonts w:hint="eastAsia" w:ascii="宋体" w:hAnsi="宋体" w:eastAsia="宋体" w:cs="宋体"/>
          <w:color w:val="000000" w:themeColor="text1"/>
          <w:highlight w:val="none"/>
          <w14:textFill>
            <w14:solidFill>
              <w14:schemeClr w14:val="tx1"/>
            </w14:solidFill>
          </w14:textFill>
        </w:rPr>
        <w:t>。</w:t>
      </w:r>
    </w:p>
    <w:bookmarkEnd w:id="495"/>
    <w:bookmarkEnd w:id="496"/>
    <w:p w14:paraId="75DFE6E7">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497" w:name="_Toc389065294"/>
      <w:bookmarkStart w:id="498" w:name="_Toc1954543271"/>
      <w:bookmarkStart w:id="499" w:name="_Toc373478375"/>
      <w:bookmarkStart w:id="500" w:name="_Toc373227728"/>
      <w:bookmarkStart w:id="501" w:name="_Toc407135230"/>
      <w:bookmarkStart w:id="502" w:name="_Toc78449816"/>
      <w:bookmarkStart w:id="503" w:name="_Toc888037017"/>
      <w:r>
        <w:rPr>
          <w:rFonts w:hint="eastAsia" w:ascii="宋体" w:hAnsi="宋体" w:eastAsia="宋体" w:cs="宋体"/>
          <w:color w:val="000000" w:themeColor="text1"/>
          <w:highlight w:val="none"/>
          <w14:textFill>
            <w14:solidFill>
              <w14:schemeClr w14:val="tx1"/>
            </w14:solidFill>
          </w14:textFill>
        </w:rPr>
        <w:t>7</w:t>
      </w:r>
      <w:bookmarkStart w:id="504" w:name="_Toc304295549"/>
      <w:bookmarkStart w:id="505" w:name="_Toc312678015"/>
      <w:bookmarkStart w:id="506" w:name="_Toc303539128"/>
      <w:bookmarkStart w:id="507" w:name="_Toc300934971"/>
      <w:bookmarkStart w:id="508" w:name="_Toc297123519"/>
      <w:bookmarkStart w:id="509" w:name="_Toc297216178"/>
      <w:r>
        <w:rPr>
          <w:rFonts w:hint="eastAsia" w:ascii="宋体" w:hAnsi="宋体" w:eastAsia="宋体" w:cs="宋体"/>
          <w:color w:val="000000" w:themeColor="text1"/>
          <w:highlight w:val="none"/>
          <w14:textFill>
            <w14:solidFill>
              <w14:schemeClr w14:val="tx1"/>
            </w14:solidFill>
          </w14:textFill>
        </w:rPr>
        <w:t>.6 不</w:t>
      </w:r>
      <w:bookmarkEnd w:id="504"/>
      <w:bookmarkEnd w:id="505"/>
      <w:bookmarkEnd w:id="506"/>
      <w:bookmarkEnd w:id="507"/>
      <w:bookmarkEnd w:id="508"/>
      <w:bookmarkEnd w:id="509"/>
      <w:r>
        <w:rPr>
          <w:rFonts w:hint="eastAsia" w:ascii="宋体" w:hAnsi="宋体" w:eastAsia="宋体" w:cs="宋体"/>
          <w:color w:val="000000" w:themeColor="text1"/>
          <w:highlight w:val="none"/>
          <w14:textFill>
            <w14:solidFill>
              <w14:schemeClr w14:val="tx1"/>
            </w14:solidFill>
          </w14:textFill>
        </w:rPr>
        <w:t>利物质条件</w:t>
      </w:r>
      <w:bookmarkEnd w:id="497"/>
      <w:bookmarkEnd w:id="498"/>
      <w:bookmarkEnd w:id="499"/>
      <w:bookmarkEnd w:id="500"/>
      <w:bookmarkEnd w:id="501"/>
      <w:bookmarkEnd w:id="502"/>
      <w:bookmarkEnd w:id="503"/>
    </w:p>
    <w:p w14:paraId="7A5F3B83">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bookmarkStart w:id="510" w:name="_Toc303539129"/>
      <w:bookmarkStart w:id="511" w:name="_Toc312678016"/>
      <w:bookmarkStart w:id="512" w:name="_Toc304295550"/>
      <w:bookmarkStart w:id="513" w:name="_Toc297123520"/>
      <w:bookmarkStart w:id="514" w:name="_Toc318581172"/>
      <w:bookmarkStart w:id="515" w:name="_Toc297216179"/>
      <w:bookmarkStart w:id="516" w:name="_Toc300934972"/>
      <w:r>
        <w:rPr>
          <w:rFonts w:hint="eastAsia" w:ascii="宋体" w:hAnsi="宋体" w:eastAsia="宋体" w:cs="宋体"/>
          <w:color w:val="000000" w:themeColor="text1"/>
          <w:highlight w:val="none"/>
          <w14:textFill>
            <w14:solidFill>
              <w14:schemeClr w14:val="tx1"/>
            </w14:solidFill>
          </w14:textFill>
        </w:rPr>
        <w:t>不利物质条件的其他情形和有关约定：</w:t>
      </w:r>
      <w:r>
        <w:rPr>
          <w:rFonts w:hint="eastAsia" w:ascii="宋体" w:hAnsi="宋体" w:eastAsia="宋体" w:cs="宋体"/>
          <w:color w:val="000000" w:themeColor="text1"/>
          <w:highlight w:val="none"/>
          <w:u w:val="single"/>
          <w14:textFill>
            <w14:solidFill>
              <w14:schemeClr w14:val="tx1"/>
            </w14:solidFill>
          </w14:textFill>
        </w:rPr>
        <w:t xml:space="preserve">    无        </w:t>
      </w:r>
      <w:r>
        <w:rPr>
          <w:rFonts w:hint="eastAsia" w:ascii="宋体" w:hAnsi="宋体" w:eastAsia="宋体" w:cs="宋体"/>
          <w:color w:val="000000" w:themeColor="text1"/>
          <w:highlight w:val="none"/>
          <w14:textFill>
            <w14:solidFill>
              <w14:schemeClr w14:val="tx1"/>
            </w14:solidFill>
          </w14:textFill>
        </w:rPr>
        <w:t>。</w:t>
      </w:r>
    </w:p>
    <w:bookmarkEnd w:id="510"/>
    <w:bookmarkEnd w:id="511"/>
    <w:bookmarkEnd w:id="512"/>
    <w:bookmarkEnd w:id="513"/>
    <w:bookmarkEnd w:id="514"/>
    <w:bookmarkEnd w:id="515"/>
    <w:bookmarkEnd w:id="516"/>
    <w:p w14:paraId="5AFD516B">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517" w:name="_Toc373227729"/>
      <w:bookmarkStart w:id="518" w:name="_Toc2031116443"/>
      <w:bookmarkStart w:id="519" w:name="_Toc407135231"/>
      <w:bookmarkStart w:id="520" w:name="_Toc78449817"/>
      <w:bookmarkStart w:id="521" w:name="_Toc851880484"/>
      <w:bookmarkStart w:id="522" w:name="_Toc389065295"/>
      <w:bookmarkStart w:id="523" w:name="_Toc373478376"/>
      <w:r>
        <w:rPr>
          <w:rFonts w:hint="eastAsia" w:ascii="宋体" w:hAnsi="宋体" w:eastAsia="宋体" w:cs="宋体"/>
          <w:color w:val="000000" w:themeColor="text1"/>
          <w:highlight w:val="none"/>
          <w14:textFill>
            <w14:solidFill>
              <w14:schemeClr w14:val="tx1"/>
            </w14:solidFill>
          </w14:textFill>
        </w:rPr>
        <w:t>7</w:t>
      </w:r>
      <w:bookmarkStart w:id="524" w:name="_Toc312678017"/>
      <w:bookmarkStart w:id="525" w:name="_Toc300934973"/>
      <w:bookmarkStart w:id="526" w:name="_Toc304295551"/>
      <w:bookmarkStart w:id="527" w:name="_Toc297123521"/>
      <w:bookmarkStart w:id="528" w:name="_Toc303539130"/>
      <w:bookmarkStart w:id="529" w:name="_Toc297216180"/>
      <w:r>
        <w:rPr>
          <w:rFonts w:hint="eastAsia" w:ascii="宋体" w:hAnsi="宋体" w:eastAsia="宋体" w:cs="宋体"/>
          <w:color w:val="000000" w:themeColor="text1"/>
          <w:highlight w:val="none"/>
          <w14:textFill>
            <w14:solidFill>
              <w14:schemeClr w14:val="tx1"/>
            </w14:solidFill>
          </w14:textFill>
        </w:rPr>
        <w:t>.7 异常恶劣的气候条件</w:t>
      </w:r>
      <w:bookmarkEnd w:id="517"/>
      <w:bookmarkEnd w:id="518"/>
      <w:bookmarkEnd w:id="519"/>
      <w:bookmarkEnd w:id="520"/>
      <w:bookmarkEnd w:id="521"/>
      <w:bookmarkEnd w:id="522"/>
      <w:bookmarkEnd w:id="523"/>
    </w:p>
    <w:bookmarkEnd w:id="524"/>
    <w:bookmarkEnd w:id="525"/>
    <w:bookmarkEnd w:id="526"/>
    <w:bookmarkEnd w:id="527"/>
    <w:bookmarkEnd w:id="528"/>
    <w:bookmarkEnd w:id="529"/>
    <w:p w14:paraId="5C919455">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发包人和承包人同意以下情形视为异常恶劣的气候条件：</w:t>
      </w:r>
    </w:p>
    <w:p w14:paraId="493E01F1">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u w:val="single"/>
          <w14:textFill>
            <w14:solidFill>
              <w14:schemeClr w14:val="tx1"/>
            </w14:solidFill>
          </w14:textFill>
        </w:rPr>
        <w:t xml:space="preserve">当地6级以上破坏性地震  </w:t>
      </w:r>
      <w:r>
        <w:rPr>
          <w:rFonts w:hint="eastAsia" w:ascii="宋体" w:hAnsi="宋体" w:eastAsia="宋体" w:cs="宋体"/>
          <w:color w:val="000000" w:themeColor="text1"/>
          <w:highlight w:val="none"/>
          <w14:textFill>
            <w14:solidFill>
              <w14:schemeClr w14:val="tx1"/>
            </w14:solidFill>
          </w14:textFill>
        </w:rPr>
        <w:t>；</w:t>
      </w:r>
    </w:p>
    <w:p w14:paraId="11B1EC4D">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u w:val="single"/>
          <w14:textFill>
            <w14:solidFill>
              <w14:schemeClr w14:val="tx1"/>
            </w14:solidFill>
          </w14:textFill>
        </w:rPr>
        <w:t>暴雨级以上的持续1天的大雨</w:t>
      </w:r>
      <w:r>
        <w:rPr>
          <w:rFonts w:hint="eastAsia" w:ascii="宋体" w:hAnsi="宋体" w:eastAsia="宋体" w:cs="宋体"/>
          <w:color w:val="000000" w:themeColor="text1"/>
          <w:highlight w:val="none"/>
          <w14:textFill>
            <w14:solidFill>
              <w14:schemeClr w14:val="tx1"/>
            </w14:solidFill>
          </w14:textFill>
        </w:rPr>
        <w:t>；</w:t>
      </w:r>
    </w:p>
    <w:p w14:paraId="718FC910">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u w:val="single"/>
          <w14:textFill>
            <w14:solidFill>
              <w14:schemeClr w14:val="tx1"/>
            </w14:solidFill>
          </w14:textFill>
        </w:rPr>
        <w:t>50年以上未发生过的，持续2天的高温或低温天气</w:t>
      </w:r>
      <w:r>
        <w:rPr>
          <w:rFonts w:hint="eastAsia" w:ascii="宋体" w:hAnsi="宋体" w:eastAsia="宋体" w:cs="宋体"/>
          <w:color w:val="000000" w:themeColor="text1"/>
          <w:highlight w:val="none"/>
          <w14:textFill>
            <w14:solidFill>
              <w14:schemeClr w14:val="tx1"/>
            </w14:solidFill>
          </w14:textFill>
        </w:rPr>
        <w:t>。</w:t>
      </w:r>
    </w:p>
    <w:p w14:paraId="4345BEE3">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530" w:name="_Toc78449818"/>
      <w:bookmarkStart w:id="531" w:name="_Toc2087373611"/>
      <w:bookmarkStart w:id="532" w:name="_Toc389065296"/>
      <w:bookmarkStart w:id="533" w:name="_Toc407135232"/>
      <w:bookmarkStart w:id="534" w:name="_Toc373227730"/>
      <w:bookmarkStart w:id="535" w:name="_Toc657185480"/>
      <w:bookmarkStart w:id="536" w:name="_Toc373478377"/>
      <w:r>
        <w:rPr>
          <w:rFonts w:hint="eastAsia" w:ascii="宋体" w:hAnsi="宋体" w:eastAsia="宋体" w:cs="宋体"/>
          <w:color w:val="000000" w:themeColor="text1"/>
          <w:highlight w:val="none"/>
          <w14:textFill>
            <w14:solidFill>
              <w14:schemeClr w14:val="tx1"/>
            </w14:solidFill>
          </w14:textFill>
        </w:rPr>
        <w:t>7.9 提前竣工</w:t>
      </w:r>
      <w:bookmarkEnd w:id="530"/>
      <w:bookmarkEnd w:id="531"/>
      <w:bookmarkEnd w:id="532"/>
      <w:bookmarkEnd w:id="533"/>
      <w:bookmarkEnd w:id="534"/>
      <w:bookmarkEnd w:id="535"/>
      <w:bookmarkEnd w:id="536"/>
    </w:p>
    <w:p w14:paraId="7E2C5E86">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7.9.2提前竣工（赶工）增加费的计算方法：</w:t>
      </w:r>
      <w:r>
        <w:rPr>
          <w:rFonts w:hint="eastAsia" w:ascii="宋体" w:hAnsi="宋体" w:eastAsia="宋体" w:cs="宋体"/>
          <w:color w:val="000000" w:themeColor="text1"/>
          <w:highlight w:val="none"/>
          <w:u w:val="single"/>
          <w14:textFill>
            <w14:solidFill>
              <w14:schemeClr w14:val="tx1"/>
            </w14:solidFill>
          </w14:textFill>
        </w:rPr>
        <w:t xml:space="preserve">    无                </w:t>
      </w:r>
      <w:r>
        <w:rPr>
          <w:rFonts w:hint="eastAsia" w:ascii="宋体" w:hAnsi="宋体" w:eastAsia="宋体" w:cs="宋体"/>
          <w:color w:val="000000" w:themeColor="text1"/>
          <w:highlight w:val="none"/>
          <w14:textFill>
            <w14:solidFill>
              <w14:schemeClr w14:val="tx1"/>
            </w14:solidFill>
          </w14:textFill>
        </w:rPr>
        <w:t>。</w:t>
      </w:r>
    </w:p>
    <w:p w14:paraId="6F632347">
      <w:pPr>
        <w:pStyle w:val="2"/>
        <w:pageBreakBefore w:val="0"/>
        <w:widowControl w:val="0"/>
        <w:kinsoku/>
        <w:wordWrap/>
        <w:overflowPunct/>
        <w:topLinePunct w:val="0"/>
        <w:bidi w:val="0"/>
        <w:snapToGrid w:val="0"/>
        <w:spacing w:before="0" w:after="0" w:line="360" w:lineRule="auto"/>
        <w:rPr>
          <w:rFonts w:hint="eastAsia" w:ascii="宋体" w:hAnsi="宋体" w:eastAsia="宋体" w:cs="宋体"/>
          <w:color w:val="000000" w:themeColor="text1"/>
          <w:highlight w:val="none"/>
          <w14:textFill>
            <w14:solidFill>
              <w14:schemeClr w14:val="tx1"/>
            </w14:solidFill>
          </w14:textFill>
        </w:rPr>
      </w:pPr>
      <w:bookmarkStart w:id="537" w:name="_Toc1302158431"/>
      <w:bookmarkStart w:id="538" w:name="_Toc373478378"/>
      <w:bookmarkStart w:id="539" w:name="_Toc373227731"/>
      <w:bookmarkStart w:id="540" w:name="_Toc78449819"/>
      <w:bookmarkStart w:id="541" w:name="_Toc351203640"/>
      <w:bookmarkStart w:id="542" w:name="_Toc389065297"/>
      <w:bookmarkStart w:id="543" w:name="_Toc1400878670"/>
      <w:bookmarkStart w:id="544" w:name="_Toc407135233"/>
      <w:r>
        <w:rPr>
          <w:rFonts w:hint="eastAsia" w:ascii="宋体" w:hAnsi="宋体" w:eastAsia="宋体" w:cs="宋体"/>
          <w:color w:val="000000" w:themeColor="text1"/>
          <w:highlight w:val="none"/>
          <w14:textFill>
            <w14:solidFill>
              <w14:schemeClr w14:val="tx1"/>
            </w14:solidFill>
          </w14:textFill>
        </w:rPr>
        <w:t>8. 材料与设备</w:t>
      </w:r>
      <w:bookmarkEnd w:id="537"/>
      <w:bookmarkEnd w:id="538"/>
      <w:bookmarkEnd w:id="539"/>
      <w:bookmarkEnd w:id="540"/>
      <w:bookmarkEnd w:id="541"/>
      <w:bookmarkEnd w:id="542"/>
      <w:bookmarkEnd w:id="543"/>
      <w:bookmarkEnd w:id="544"/>
    </w:p>
    <w:bookmarkEnd w:id="381"/>
    <w:bookmarkEnd w:id="382"/>
    <w:bookmarkEnd w:id="383"/>
    <w:bookmarkEnd w:id="384"/>
    <w:bookmarkEnd w:id="385"/>
    <w:bookmarkEnd w:id="386"/>
    <w:bookmarkEnd w:id="387"/>
    <w:bookmarkEnd w:id="388"/>
    <w:bookmarkEnd w:id="389"/>
    <w:bookmarkEnd w:id="390"/>
    <w:p w14:paraId="43FB90EB">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545" w:name="_Toc78449820"/>
      <w:bookmarkStart w:id="546" w:name="_Toc389065298"/>
      <w:bookmarkStart w:id="547" w:name="_Toc407135234"/>
      <w:bookmarkStart w:id="548" w:name="_Toc1119561048"/>
      <w:bookmarkStart w:id="549" w:name="_Toc373227732"/>
      <w:bookmarkStart w:id="550" w:name="_Toc1078610395"/>
      <w:bookmarkStart w:id="551" w:name="_Toc373478379"/>
      <w:r>
        <w:rPr>
          <w:rFonts w:hint="eastAsia" w:ascii="宋体" w:hAnsi="宋体" w:eastAsia="宋体" w:cs="宋体"/>
          <w:color w:val="000000" w:themeColor="text1"/>
          <w:highlight w:val="none"/>
          <w14:textFill>
            <w14:solidFill>
              <w14:schemeClr w14:val="tx1"/>
            </w14:solidFill>
          </w14:textFill>
        </w:rPr>
        <w:t>8.2 承包人采购材料与工程设备</w:t>
      </w:r>
      <w:bookmarkEnd w:id="545"/>
      <w:bookmarkEnd w:id="546"/>
      <w:bookmarkEnd w:id="547"/>
      <w:bookmarkEnd w:id="548"/>
      <w:bookmarkEnd w:id="549"/>
      <w:bookmarkEnd w:id="550"/>
      <w:bookmarkEnd w:id="551"/>
    </w:p>
    <w:p w14:paraId="0F227D71">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除已标价工程量清单《发包人提供主要材料和工程设备一览表》（表-21）中明确的材料、工程设备外，由承包人负责材料和工程设备的采购、运输和保管。</w:t>
      </w:r>
      <w:bookmarkStart w:id="552" w:name="_Toc389065299"/>
      <w:bookmarkStart w:id="553" w:name="_Toc373478380"/>
      <w:bookmarkStart w:id="554" w:name="_Toc373227733"/>
    </w:p>
    <w:p w14:paraId="150CB04B">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0998F951">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禁止使用松木、松木包装材料设备、种子、苗木、花卉及繁殖材料。</w:t>
      </w:r>
    </w:p>
    <w:p w14:paraId="180B923F">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555" w:name="_Toc78449821"/>
      <w:bookmarkStart w:id="556" w:name="_Toc800965933"/>
      <w:bookmarkStart w:id="557" w:name="_Toc407135235"/>
      <w:bookmarkStart w:id="558" w:name="_Toc1355357553"/>
      <w:r>
        <w:rPr>
          <w:rFonts w:hint="eastAsia" w:ascii="宋体" w:hAnsi="宋体" w:eastAsia="宋体" w:cs="宋体"/>
          <w:color w:val="000000" w:themeColor="text1"/>
          <w:highlight w:val="none"/>
          <w14:textFill>
            <w14:solidFill>
              <w14:schemeClr w14:val="tx1"/>
            </w14:solidFill>
          </w14:textFill>
        </w:rPr>
        <w:t>8</w:t>
      </w:r>
      <w:bookmarkStart w:id="559" w:name="_Toc296346668"/>
      <w:bookmarkStart w:id="560" w:name="_Toc280868654"/>
      <w:bookmarkStart w:id="561" w:name="_Toc297120467"/>
      <w:bookmarkStart w:id="562" w:name="_Toc312677493"/>
      <w:bookmarkStart w:id="563" w:name="_Toc292559372"/>
      <w:bookmarkStart w:id="564" w:name="_Toc296347166"/>
      <w:bookmarkStart w:id="565" w:name="_Toc297216186"/>
      <w:bookmarkStart w:id="566" w:name="_Toc296891207"/>
      <w:bookmarkStart w:id="567" w:name="_Toc304295556"/>
      <w:bookmarkStart w:id="568" w:name="_Toc296944506"/>
      <w:bookmarkStart w:id="569" w:name="_Toc312678019"/>
      <w:bookmarkStart w:id="570" w:name="_Toc300934979"/>
      <w:bookmarkStart w:id="571" w:name="_Toc297048353"/>
      <w:bookmarkStart w:id="572" w:name="_Toc303539136"/>
      <w:bookmarkStart w:id="573" w:name="_Toc296890995"/>
      <w:bookmarkStart w:id="574" w:name="_Toc292559877"/>
      <w:bookmarkStart w:id="575" w:name="_Toc297123527"/>
      <w:bookmarkStart w:id="576" w:name="_Toc296503167"/>
      <w:bookmarkStart w:id="577" w:name="_Toc280868656"/>
      <w:bookmarkStart w:id="578" w:name="_Toc267251424"/>
      <w:bookmarkStart w:id="579" w:name="_Toc280868655"/>
      <w:r>
        <w:rPr>
          <w:rFonts w:hint="eastAsia" w:ascii="宋体" w:hAnsi="宋体" w:eastAsia="宋体" w:cs="宋体"/>
          <w:color w:val="000000" w:themeColor="text1"/>
          <w:highlight w:val="none"/>
          <w14:textFill>
            <w14:solidFill>
              <w14:schemeClr w14:val="tx1"/>
            </w14:solidFill>
          </w14:textFill>
        </w:rPr>
        <w:t>.4 材料与工程设备的保管与使用</w:t>
      </w:r>
      <w:bookmarkEnd w:id="552"/>
      <w:bookmarkEnd w:id="553"/>
      <w:bookmarkEnd w:id="554"/>
      <w:bookmarkEnd w:id="555"/>
      <w:bookmarkEnd w:id="556"/>
      <w:bookmarkEnd w:id="557"/>
      <w:bookmarkEnd w:id="558"/>
    </w:p>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14:paraId="070FEF9E">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w:t>
      </w:r>
      <w:bookmarkStart w:id="580" w:name="_Toc292559878"/>
      <w:bookmarkStart w:id="581" w:name="_Toc292559373"/>
      <w:bookmarkStart w:id="582" w:name="_Toc303539137"/>
      <w:bookmarkStart w:id="583" w:name="_Toc296944507"/>
      <w:bookmarkStart w:id="584" w:name="_Toc304295557"/>
      <w:bookmarkStart w:id="585" w:name="_Toc296503168"/>
      <w:bookmarkStart w:id="586" w:name="_Toc312678020"/>
      <w:bookmarkStart w:id="587" w:name="_Toc296890996"/>
      <w:bookmarkStart w:id="588" w:name="_Toc297120468"/>
      <w:bookmarkStart w:id="589" w:name="_Toc297048354"/>
      <w:bookmarkStart w:id="590" w:name="_Toc296347167"/>
      <w:bookmarkStart w:id="591" w:name="_Toc297123528"/>
      <w:bookmarkStart w:id="592" w:name="_Toc296891208"/>
      <w:bookmarkStart w:id="593" w:name="_Toc312677494"/>
      <w:bookmarkStart w:id="594" w:name="_Toc318581173"/>
      <w:bookmarkStart w:id="595" w:name="_Toc296346669"/>
      <w:bookmarkStart w:id="596" w:name="_Toc300934980"/>
      <w:bookmarkStart w:id="597" w:name="_Toc297216187"/>
      <w:r>
        <w:rPr>
          <w:rFonts w:hint="eastAsia" w:ascii="宋体" w:hAnsi="宋体" w:eastAsia="宋体" w:cs="宋体"/>
          <w:color w:val="000000" w:themeColor="text1"/>
          <w:highlight w:val="none"/>
          <w14:textFill>
            <w14:solidFill>
              <w14:schemeClr w14:val="tx1"/>
            </w14:solidFill>
          </w14:textFill>
        </w:rPr>
        <w:t>.4.1发包人供应的材料设备的保管费用的承担：</w:t>
      </w:r>
      <w:r>
        <w:rPr>
          <w:rFonts w:hint="eastAsia" w:ascii="宋体" w:hAnsi="宋体" w:eastAsia="宋体" w:cs="宋体"/>
          <w:color w:val="000000" w:themeColor="text1"/>
          <w:highlight w:val="none"/>
          <w:u w:val="single"/>
          <w14:textFill>
            <w14:solidFill>
              <w14:schemeClr w14:val="tx1"/>
            </w14:solidFill>
          </w14:textFill>
        </w:rPr>
        <w:t xml:space="preserve">  按通用条款执行 </w:t>
      </w:r>
      <w:r>
        <w:rPr>
          <w:rFonts w:hint="eastAsia" w:ascii="宋体" w:hAnsi="宋体" w:eastAsia="宋体" w:cs="宋体"/>
          <w:color w:val="000000" w:themeColor="text1"/>
          <w:highlight w:val="none"/>
          <w14:textFill>
            <w14:solidFill>
              <w14:schemeClr w14:val="tx1"/>
            </w14:solidFill>
          </w14:textFill>
        </w:rPr>
        <w:t>。</w:t>
      </w:r>
    </w:p>
    <w:bookmarkEnd w:id="580"/>
    <w:bookmarkEnd w:id="581"/>
    <w:p w14:paraId="60A635B0">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598" w:name="_Toc125914831"/>
      <w:bookmarkStart w:id="599" w:name="_Toc373478381"/>
      <w:bookmarkStart w:id="600" w:name="_Toc1948522881"/>
      <w:bookmarkStart w:id="601" w:name="_Toc389065300"/>
      <w:bookmarkStart w:id="602" w:name="_Toc407135236"/>
      <w:bookmarkStart w:id="603" w:name="_Toc78449822"/>
      <w:bookmarkStart w:id="604" w:name="_Toc373227734"/>
      <w:r>
        <w:rPr>
          <w:rFonts w:hint="eastAsia" w:ascii="宋体" w:hAnsi="宋体" w:eastAsia="宋体" w:cs="宋体"/>
          <w:color w:val="000000" w:themeColor="text1"/>
          <w:highlight w:val="none"/>
          <w14:textFill>
            <w14:solidFill>
              <w14:schemeClr w14:val="tx1"/>
            </w14:solidFill>
          </w14:textFill>
        </w:rPr>
        <w:t>8.6 样品</w:t>
      </w:r>
      <w:bookmarkEnd w:id="598"/>
      <w:bookmarkEnd w:id="599"/>
      <w:bookmarkEnd w:id="600"/>
      <w:bookmarkEnd w:id="601"/>
      <w:bookmarkEnd w:id="602"/>
      <w:bookmarkEnd w:id="603"/>
      <w:bookmarkEnd w:id="604"/>
    </w:p>
    <w:p w14:paraId="525A86A9">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8.6.1 样品的报送与封存</w:t>
      </w:r>
    </w:p>
    <w:p w14:paraId="5D690610">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需要承包人报送样品的材料或工程设备，样品的种类、名称、规格、数量要求：</w:t>
      </w:r>
      <w:r>
        <w:rPr>
          <w:rFonts w:hint="eastAsia" w:ascii="宋体" w:hAnsi="宋体" w:eastAsia="宋体" w:cs="宋体"/>
          <w:color w:val="000000" w:themeColor="text1"/>
          <w:highlight w:val="none"/>
          <w:u w:val="single"/>
          <w14:textFill>
            <w14:solidFill>
              <w14:schemeClr w14:val="tx1"/>
            </w14:solidFill>
          </w14:textFill>
        </w:rPr>
        <w:t>主要材料涉及品种、款式、颜色等方面内容的，承包人应提交准备合格的材料样品送发包人选定。</w:t>
      </w:r>
    </w:p>
    <w:p w14:paraId="2685F7FB">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605" w:name="_Toc407135237"/>
      <w:bookmarkStart w:id="606" w:name="_Toc1049576644"/>
      <w:bookmarkStart w:id="607" w:name="_Toc373478382"/>
      <w:bookmarkStart w:id="608" w:name="_Toc373227735"/>
      <w:bookmarkStart w:id="609" w:name="_Toc78449823"/>
      <w:bookmarkStart w:id="610" w:name="_Toc389065301"/>
      <w:bookmarkStart w:id="611" w:name="_Toc997640704"/>
      <w:r>
        <w:rPr>
          <w:rFonts w:hint="eastAsia" w:ascii="宋体" w:hAnsi="宋体" w:eastAsia="宋体" w:cs="宋体"/>
          <w:color w:val="000000" w:themeColor="text1"/>
          <w:highlight w:val="none"/>
          <w14:textFill>
            <w14:solidFill>
              <w14:schemeClr w14:val="tx1"/>
            </w14:solidFill>
          </w14:textFill>
        </w:rPr>
        <w:t>8.8 施工设备和临时设施</w:t>
      </w:r>
      <w:bookmarkEnd w:id="605"/>
      <w:bookmarkEnd w:id="606"/>
      <w:bookmarkEnd w:id="607"/>
      <w:bookmarkEnd w:id="608"/>
      <w:bookmarkEnd w:id="609"/>
      <w:bookmarkEnd w:id="610"/>
      <w:bookmarkEnd w:id="611"/>
    </w:p>
    <w:p w14:paraId="5A30D941">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8.8.1 承包人提供的施工设备和临时设施</w:t>
      </w:r>
    </w:p>
    <w:p w14:paraId="6E2ECB1A">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4。</w:t>
      </w:r>
    </w:p>
    <w:p w14:paraId="7200E0D1">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关于修建临时设施费用承担的约定：</w:t>
      </w:r>
    </w:p>
    <w:p w14:paraId="2713D2AB">
      <w:pPr>
        <w:pageBreakBefore w:val="0"/>
        <w:widowControl w:val="0"/>
        <w:kinsoku/>
        <w:wordWrap/>
        <w:overflowPunct/>
        <w:topLinePunct w:val="0"/>
        <w:bidi w:val="0"/>
        <w:snapToGrid w:val="0"/>
        <w:spacing w:line="360" w:lineRule="auto"/>
        <w:ind w:firstLine="435"/>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w:t>
      </w:r>
      <w:r>
        <w:rPr>
          <w:rFonts w:hint="eastAsia" w:ascii="宋体" w:hAnsi="宋体" w:eastAsia="宋体" w:cs="宋体"/>
          <w:color w:val="000000" w:themeColor="text1"/>
          <w:highlight w:val="none"/>
          <w:u w:val="single"/>
          <w14:textFill>
            <w14:solidFill>
              <w14:schemeClr w14:val="tx1"/>
            </w14:solidFill>
          </w14:textFill>
        </w:rPr>
        <w:t>承包人的临时用地（含项目部驻地等）租用费（含拆迁补偿）、临时用地的环保、恢复、临时用地的青苗补偿及地面附着物拆除等费用均由承包人负责，以上费用在投标报价中综合考虑。</w:t>
      </w:r>
    </w:p>
    <w:p w14:paraId="11D8E5E4">
      <w:pPr>
        <w:pageBreakBefore w:val="0"/>
        <w:widowControl w:val="0"/>
        <w:kinsoku/>
        <w:wordWrap/>
        <w:overflowPunct/>
        <w:topLinePunct w:val="0"/>
        <w:bidi w:val="0"/>
        <w:snapToGrid w:val="0"/>
        <w:spacing w:line="360" w:lineRule="auto"/>
        <w:ind w:firstLine="435"/>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②承包人负责合同实施期间其合同段内临时交通道路（含场内外连接公共交通道路）和交通设施的修建、维修、养护和交通管理工作，并承担一切费用。</w:t>
      </w:r>
    </w:p>
    <w:p w14:paraId="434F3D62">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r>
        <w:rPr>
          <w:rFonts w:hint="eastAsia" w:ascii="宋体" w:hAnsi="宋体" w:eastAsia="宋体" w:cs="宋体"/>
          <w:color w:val="000000" w:themeColor="text1"/>
          <w:highlight w:val="none"/>
          <w14:textFill>
            <w14:solidFill>
              <w14:schemeClr w14:val="tx1"/>
            </w14:solidFill>
          </w14:textFill>
        </w:rPr>
        <w:t>。</w:t>
      </w:r>
    </w:p>
    <w:p w14:paraId="6BB97C1B">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8.8.2 发包人提供的施工设备和临时设施</w:t>
      </w:r>
    </w:p>
    <w:p w14:paraId="4151C990">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发包人提供的施工设备和临时设施：</w:t>
      </w:r>
      <w:r>
        <w:rPr>
          <w:rFonts w:hint="eastAsia" w:ascii="宋体" w:hAnsi="宋体" w:eastAsia="宋体" w:cs="宋体"/>
          <w:color w:val="000000" w:themeColor="text1"/>
          <w:highlight w:val="none"/>
          <w:u w:val="single"/>
          <w14:textFill>
            <w14:solidFill>
              <w14:schemeClr w14:val="tx1"/>
            </w14:solidFill>
          </w14:textFill>
        </w:rPr>
        <w:t xml:space="preserve">           无                              </w:t>
      </w:r>
      <w:r>
        <w:rPr>
          <w:rFonts w:hint="eastAsia" w:ascii="宋体" w:hAnsi="宋体" w:eastAsia="宋体" w:cs="宋体"/>
          <w:color w:val="000000" w:themeColor="text1"/>
          <w:highlight w:val="none"/>
          <w14:textFill>
            <w14:solidFill>
              <w14:schemeClr w14:val="tx1"/>
            </w14:solidFill>
          </w14:textFill>
        </w:rPr>
        <w:t>。</w:t>
      </w:r>
    </w:p>
    <w:p w14:paraId="41A2C51F">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发包人提供的施工设备和临时设施的运行、维护、拆除、清运费用的承担人：</w:t>
      </w:r>
      <w:r>
        <w:rPr>
          <w:rFonts w:hint="eastAsia" w:ascii="宋体" w:hAnsi="宋体" w:eastAsia="宋体" w:cs="宋体"/>
          <w:color w:val="000000" w:themeColor="text1"/>
          <w:highlight w:val="none"/>
          <w:u w:val="single"/>
          <w14:textFill>
            <w14:solidFill>
              <w14:schemeClr w14:val="tx1"/>
            </w14:solidFill>
          </w14:textFill>
        </w:rPr>
        <w:t xml:space="preserve">    /      </w:t>
      </w:r>
      <w:r>
        <w:rPr>
          <w:rFonts w:hint="eastAsia" w:ascii="宋体" w:hAnsi="宋体" w:eastAsia="宋体" w:cs="宋体"/>
          <w:color w:val="000000" w:themeColor="text1"/>
          <w:highlight w:val="none"/>
          <w14:textFill>
            <w14:solidFill>
              <w14:schemeClr w14:val="tx1"/>
            </w14:solidFill>
          </w14:textFill>
        </w:rPr>
        <w:t>。</w:t>
      </w:r>
    </w:p>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14:paraId="5F76FDB7">
      <w:pPr>
        <w:pStyle w:val="2"/>
        <w:pageBreakBefore w:val="0"/>
        <w:widowControl w:val="0"/>
        <w:kinsoku/>
        <w:wordWrap/>
        <w:overflowPunct/>
        <w:topLinePunct w:val="0"/>
        <w:bidi w:val="0"/>
        <w:snapToGrid w:val="0"/>
        <w:spacing w:before="0" w:after="0" w:line="360" w:lineRule="auto"/>
        <w:rPr>
          <w:rFonts w:hint="eastAsia" w:ascii="宋体" w:hAnsi="宋体" w:eastAsia="宋体" w:cs="宋体"/>
          <w:color w:val="000000" w:themeColor="text1"/>
          <w:highlight w:val="none"/>
          <w14:textFill>
            <w14:solidFill>
              <w14:schemeClr w14:val="tx1"/>
            </w14:solidFill>
          </w14:textFill>
        </w:rPr>
      </w:pPr>
      <w:bookmarkStart w:id="612" w:name="_Toc407135238"/>
      <w:bookmarkStart w:id="613" w:name="_Toc373227736"/>
      <w:bookmarkStart w:id="614" w:name="_Toc2039161841"/>
      <w:bookmarkStart w:id="615" w:name="_Toc373478383"/>
      <w:bookmarkStart w:id="616" w:name="_Toc2027787496"/>
      <w:bookmarkStart w:id="617" w:name="_Toc78449824"/>
      <w:bookmarkStart w:id="618" w:name="_Toc351203641"/>
      <w:bookmarkStart w:id="619" w:name="_Toc389065302"/>
      <w:r>
        <w:rPr>
          <w:rFonts w:hint="eastAsia" w:ascii="宋体" w:hAnsi="宋体" w:eastAsia="宋体" w:cs="宋体"/>
          <w:color w:val="000000" w:themeColor="text1"/>
          <w:highlight w:val="none"/>
          <w14:textFill>
            <w14:solidFill>
              <w14:schemeClr w14:val="tx1"/>
            </w14:solidFill>
          </w14:textFill>
        </w:rPr>
        <w:t>9</w:t>
      </w:r>
      <w:bookmarkEnd w:id="577"/>
      <w:bookmarkEnd w:id="578"/>
      <w:bookmarkEnd w:id="579"/>
      <w:bookmarkStart w:id="620" w:name="_Toc300934982"/>
      <w:bookmarkStart w:id="621" w:name="_Toc303539139"/>
      <w:bookmarkStart w:id="622" w:name="_Toc297216192"/>
      <w:bookmarkStart w:id="623" w:name="_Toc312678021"/>
      <w:bookmarkStart w:id="624" w:name="_Toc304295559"/>
      <w:bookmarkStart w:id="625" w:name="_Toc312677495"/>
      <w:bookmarkStart w:id="626" w:name="_Toc297123533"/>
      <w:bookmarkStart w:id="627" w:name="_Toc296891001"/>
      <w:bookmarkStart w:id="628" w:name="_Toc292559883"/>
      <w:bookmarkStart w:id="629" w:name="_Toc296503173"/>
      <w:bookmarkStart w:id="630" w:name="_Toc292559378"/>
      <w:bookmarkStart w:id="631" w:name="_Toc296944512"/>
      <w:bookmarkStart w:id="632" w:name="_Toc297048359"/>
      <w:bookmarkStart w:id="633" w:name="_Toc267251427"/>
      <w:bookmarkStart w:id="634" w:name="_Toc296346674"/>
      <w:bookmarkStart w:id="635" w:name="_Toc297120473"/>
      <w:bookmarkStart w:id="636" w:name="_Toc296891213"/>
      <w:bookmarkStart w:id="637" w:name="_Toc267251428"/>
      <w:bookmarkStart w:id="638" w:name="_Toc296347172"/>
      <w:r>
        <w:rPr>
          <w:rFonts w:hint="eastAsia" w:ascii="宋体" w:hAnsi="宋体" w:eastAsia="宋体" w:cs="宋体"/>
          <w:color w:val="000000" w:themeColor="text1"/>
          <w:highlight w:val="none"/>
          <w14:textFill>
            <w14:solidFill>
              <w14:schemeClr w14:val="tx1"/>
            </w14:solidFill>
          </w14:textFill>
        </w:rPr>
        <w:t>. 试验与检验</w:t>
      </w:r>
      <w:bookmarkEnd w:id="612"/>
      <w:bookmarkEnd w:id="613"/>
      <w:bookmarkEnd w:id="614"/>
      <w:bookmarkEnd w:id="615"/>
      <w:bookmarkEnd w:id="616"/>
      <w:bookmarkEnd w:id="617"/>
      <w:bookmarkEnd w:id="618"/>
      <w:bookmarkEnd w:id="619"/>
    </w:p>
    <w:bookmarkEnd w:id="620"/>
    <w:bookmarkEnd w:id="621"/>
    <w:bookmarkEnd w:id="622"/>
    <w:bookmarkEnd w:id="623"/>
    <w:bookmarkEnd w:id="624"/>
    <w:bookmarkEnd w:id="625"/>
    <w:bookmarkEnd w:id="626"/>
    <w:p w14:paraId="00482A2A">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639" w:name="_Toc1307315193"/>
      <w:bookmarkStart w:id="640" w:name="_Toc407135239"/>
      <w:bookmarkStart w:id="641" w:name="_Toc389065303"/>
      <w:bookmarkStart w:id="642" w:name="_Toc78449825"/>
      <w:bookmarkStart w:id="643" w:name="_Toc373227737"/>
      <w:bookmarkStart w:id="644" w:name="_Toc530697003"/>
      <w:bookmarkStart w:id="645" w:name="_Toc373478384"/>
      <w:r>
        <w:rPr>
          <w:rFonts w:hint="eastAsia" w:ascii="宋体" w:hAnsi="宋体" w:eastAsia="宋体" w:cs="宋体"/>
          <w:color w:val="000000" w:themeColor="text1"/>
          <w:highlight w:val="none"/>
          <w14:textFill>
            <w14:solidFill>
              <w14:schemeClr w14:val="tx1"/>
            </w14:solidFill>
          </w14:textFill>
        </w:rPr>
        <w:t>9</w:t>
      </w:r>
      <w:bookmarkStart w:id="646" w:name="_Toc304295560"/>
      <w:bookmarkStart w:id="647" w:name="_Toc312677496"/>
      <w:bookmarkStart w:id="648" w:name="_Toc297216193"/>
      <w:bookmarkStart w:id="649" w:name="_Toc297123534"/>
      <w:bookmarkStart w:id="650" w:name="_Toc303539140"/>
      <w:bookmarkStart w:id="651" w:name="_Toc312678022"/>
      <w:bookmarkStart w:id="652" w:name="_Toc300934983"/>
      <w:r>
        <w:rPr>
          <w:rFonts w:hint="eastAsia" w:ascii="宋体" w:hAnsi="宋体" w:eastAsia="宋体" w:cs="宋体"/>
          <w:color w:val="000000" w:themeColor="text1"/>
          <w:highlight w:val="none"/>
          <w14:textFill>
            <w14:solidFill>
              <w14:schemeClr w14:val="tx1"/>
            </w14:solidFill>
          </w14:textFill>
        </w:rPr>
        <w:t>.1 试验设备与试验人员</w:t>
      </w:r>
      <w:bookmarkEnd w:id="639"/>
      <w:bookmarkEnd w:id="640"/>
      <w:bookmarkEnd w:id="641"/>
      <w:bookmarkEnd w:id="642"/>
      <w:bookmarkEnd w:id="643"/>
      <w:bookmarkEnd w:id="644"/>
      <w:bookmarkEnd w:id="645"/>
    </w:p>
    <w:bookmarkEnd w:id="646"/>
    <w:bookmarkEnd w:id="647"/>
    <w:bookmarkEnd w:id="648"/>
    <w:bookmarkEnd w:id="649"/>
    <w:bookmarkEnd w:id="650"/>
    <w:bookmarkEnd w:id="651"/>
    <w:bookmarkEnd w:id="652"/>
    <w:p w14:paraId="535B1E1A">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w:t>
      </w:r>
      <w:bookmarkStart w:id="653" w:name="_Toc312678023"/>
      <w:bookmarkStart w:id="654" w:name="_Toc304295561"/>
      <w:bookmarkStart w:id="655" w:name="_Toc297123535"/>
      <w:bookmarkStart w:id="656" w:name="_Toc312677497"/>
      <w:bookmarkStart w:id="657" w:name="_Toc300934984"/>
      <w:bookmarkStart w:id="658" w:name="_Toc303539141"/>
      <w:bookmarkStart w:id="659" w:name="_Toc297216194"/>
      <w:bookmarkStart w:id="660" w:name="_Toc318581174"/>
      <w:r>
        <w:rPr>
          <w:rFonts w:hint="eastAsia" w:ascii="宋体" w:hAnsi="宋体" w:eastAsia="宋体" w:cs="宋体"/>
          <w:color w:val="000000" w:themeColor="text1"/>
          <w:highlight w:val="none"/>
          <w14:textFill>
            <w14:solidFill>
              <w14:schemeClr w14:val="tx1"/>
            </w14:solidFill>
          </w14:textFill>
        </w:rPr>
        <w:t>.1.2 试验设备</w:t>
      </w:r>
    </w:p>
    <w:p w14:paraId="2408A6F3">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施工现场需要配置的试验场所：</w:t>
      </w:r>
      <w:bookmarkEnd w:id="653"/>
      <w:bookmarkEnd w:id="654"/>
      <w:bookmarkEnd w:id="655"/>
      <w:bookmarkEnd w:id="656"/>
      <w:bookmarkEnd w:id="657"/>
      <w:bookmarkEnd w:id="658"/>
      <w:bookmarkEnd w:id="659"/>
      <w:bookmarkStart w:id="661" w:name="_Toc304295562"/>
      <w:bookmarkStart w:id="662" w:name="_Toc297216195"/>
      <w:bookmarkStart w:id="663" w:name="_Toc303539142"/>
      <w:bookmarkStart w:id="664" w:name="_Toc300934985"/>
      <w:bookmarkStart w:id="665" w:name="_Toc312677498"/>
      <w:bookmarkStart w:id="666" w:name="_Toc312678024"/>
      <w:bookmarkStart w:id="667" w:name="_Toc297123536"/>
      <w:r>
        <w:rPr>
          <w:rFonts w:hint="eastAsia" w:ascii="宋体" w:hAnsi="宋体" w:eastAsia="宋体" w:cs="宋体"/>
          <w:color w:val="000000" w:themeColor="text1"/>
          <w:highlight w:val="none"/>
          <w:u w:val="single"/>
          <w14:textFill>
            <w14:solidFill>
              <w14:schemeClr w14:val="tx1"/>
            </w14:solidFill>
          </w14:textFill>
        </w:rPr>
        <w:t xml:space="preserve">  根据国家及地方有关规定和现场实际情况配置 </w:t>
      </w:r>
      <w:r>
        <w:rPr>
          <w:rFonts w:hint="eastAsia" w:ascii="宋体" w:hAnsi="宋体" w:eastAsia="宋体" w:cs="宋体"/>
          <w:color w:val="000000" w:themeColor="text1"/>
          <w:highlight w:val="none"/>
          <w14:textFill>
            <w14:solidFill>
              <w14:schemeClr w14:val="tx1"/>
            </w14:solidFill>
          </w14:textFill>
        </w:rPr>
        <w:t>。</w:t>
      </w:r>
    </w:p>
    <w:p w14:paraId="4D3AA7CF">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施工现场需要配备的试验设备：</w:t>
      </w:r>
      <w:r>
        <w:rPr>
          <w:rFonts w:hint="eastAsia" w:ascii="宋体" w:hAnsi="宋体" w:eastAsia="宋体" w:cs="宋体"/>
          <w:color w:val="000000" w:themeColor="text1"/>
          <w:highlight w:val="none"/>
          <w:u w:val="single"/>
          <w14:textFill>
            <w14:solidFill>
              <w14:schemeClr w14:val="tx1"/>
            </w14:solidFill>
          </w14:textFill>
        </w:rPr>
        <w:t xml:space="preserve">  根据国家及地方有关规定和现场实际情况配置 </w:t>
      </w:r>
      <w:r>
        <w:rPr>
          <w:rFonts w:hint="eastAsia" w:ascii="宋体" w:hAnsi="宋体" w:eastAsia="宋体" w:cs="宋体"/>
          <w:color w:val="000000" w:themeColor="text1"/>
          <w:highlight w:val="none"/>
          <w14:textFill>
            <w14:solidFill>
              <w14:schemeClr w14:val="tx1"/>
            </w14:solidFill>
          </w14:textFill>
        </w:rPr>
        <w:t>。</w:t>
      </w:r>
    </w:p>
    <w:p w14:paraId="05049073">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施工现场需要具备的其他试验条件：</w:t>
      </w:r>
      <w:r>
        <w:rPr>
          <w:rFonts w:hint="eastAsia" w:ascii="宋体" w:hAnsi="宋体" w:eastAsia="宋体" w:cs="宋体"/>
          <w:color w:val="000000" w:themeColor="text1"/>
          <w:highlight w:val="none"/>
          <w:u w:val="single"/>
          <w14:textFill>
            <w14:solidFill>
              <w14:schemeClr w14:val="tx1"/>
            </w14:solidFill>
          </w14:textFill>
        </w:rPr>
        <w:t xml:space="preserve">  根据国家及地方有关规定和现场实际情况配置 </w:t>
      </w:r>
      <w:r>
        <w:rPr>
          <w:rFonts w:hint="eastAsia" w:ascii="宋体" w:hAnsi="宋体" w:eastAsia="宋体" w:cs="宋体"/>
          <w:color w:val="000000" w:themeColor="text1"/>
          <w:highlight w:val="none"/>
          <w14:textFill>
            <w14:solidFill>
              <w14:schemeClr w14:val="tx1"/>
            </w14:solidFill>
          </w14:textFill>
        </w:rPr>
        <w:t>。</w:t>
      </w:r>
    </w:p>
    <w:p w14:paraId="21F5CAFF">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668" w:name="_Toc407135240"/>
      <w:bookmarkStart w:id="669" w:name="_Toc373478385"/>
      <w:bookmarkStart w:id="670" w:name="_Toc492347879"/>
      <w:bookmarkStart w:id="671" w:name="_Toc2012255079"/>
      <w:bookmarkStart w:id="672" w:name="_Toc78449826"/>
      <w:bookmarkStart w:id="673" w:name="_Toc373227738"/>
      <w:bookmarkStart w:id="674" w:name="_Toc389065304"/>
      <w:r>
        <w:rPr>
          <w:rFonts w:hint="eastAsia" w:ascii="宋体" w:hAnsi="宋体" w:eastAsia="宋体" w:cs="宋体"/>
          <w:color w:val="000000" w:themeColor="text1"/>
          <w:highlight w:val="none"/>
          <w14:textFill>
            <w14:solidFill>
              <w14:schemeClr w14:val="tx1"/>
            </w14:solidFill>
          </w14:textFill>
        </w:rPr>
        <w:t>9.4 现场工艺试验</w:t>
      </w:r>
      <w:bookmarkEnd w:id="668"/>
      <w:bookmarkEnd w:id="669"/>
      <w:bookmarkEnd w:id="670"/>
      <w:bookmarkEnd w:id="671"/>
      <w:bookmarkEnd w:id="672"/>
      <w:bookmarkEnd w:id="673"/>
      <w:bookmarkEnd w:id="674"/>
      <w:r>
        <w:rPr>
          <w:rFonts w:hint="eastAsia" w:ascii="宋体" w:hAnsi="宋体" w:eastAsia="宋体" w:cs="宋体"/>
          <w:color w:val="000000" w:themeColor="text1"/>
          <w:highlight w:val="none"/>
          <w14:textFill>
            <w14:solidFill>
              <w14:schemeClr w14:val="tx1"/>
            </w14:solidFill>
          </w14:textFill>
        </w:rPr>
        <w:t xml:space="preserve"> </w:t>
      </w:r>
    </w:p>
    <w:p w14:paraId="52E6D17F">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现场工艺试验的有关约定：</w:t>
      </w:r>
      <w:r>
        <w:rPr>
          <w:rFonts w:hint="eastAsia" w:ascii="宋体" w:hAnsi="宋体" w:eastAsia="宋体" w:cs="宋体"/>
          <w:color w:val="000000" w:themeColor="text1"/>
          <w:highlight w:val="none"/>
          <w:u w:val="single"/>
          <w14:textFill>
            <w14:solidFill>
              <w14:schemeClr w14:val="tx1"/>
            </w14:solidFill>
          </w14:textFill>
        </w:rPr>
        <w:t xml:space="preserve">  按通用条款执行  </w:t>
      </w:r>
      <w:r>
        <w:rPr>
          <w:rFonts w:hint="eastAsia" w:ascii="宋体" w:hAnsi="宋体" w:eastAsia="宋体" w:cs="宋体"/>
          <w:color w:val="000000" w:themeColor="text1"/>
          <w:highlight w:val="none"/>
          <w14:textFill>
            <w14:solidFill>
              <w14:schemeClr w14:val="tx1"/>
            </w14:solidFill>
          </w14:textFill>
        </w:rPr>
        <w:t>。</w:t>
      </w:r>
    </w:p>
    <w:p w14:paraId="3425B4BB">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675" w:name="_Toc1539824686"/>
      <w:bookmarkStart w:id="676" w:name="_Toc78449827"/>
      <w:bookmarkStart w:id="677" w:name="_Toc393419678"/>
      <w:bookmarkStart w:id="678" w:name="_Toc407135241"/>
      <w:r>
        <w:rPr>
          <w:rFonts w:hint="eastAsia" w:ascii="宋体" w:hAnsi="宋体" w:eastAsia="宋体" w:cs="宋体"/>
          <w:color w:val="000000" w:themeColor="text1"/>
          <w:highlight w:val="none"/>
          <w14:textFill>
            <w14:solidFill>
              <w14:schemeClr w14:val="tx1"/>
            </w14:solidFill>
          </w14:textFill>
        </w:rPr>
        <w:t>9.5 检验费用</w:t>
      </w:r>
      <w:bookmarkEnd w:id="675"/>
      <w:bookmarkEnd w:id="676"/>
      <w:bookmarkEnd w:id="677"/>
      <w:bookmarkEnd w:id="678"/>
    </w:p>
    <w:p w14:paraId="5CD2F201">
      <w:pPr>
        <w:pageBreakBefore w:val="0"/>
        <w:widowControl w:val="0"/>
        <w:kinsoku/>
        <w:wordWrap/>
        <w:overflowPunct/>
        <w:topLinePunct w:val="0"/>
        <w:bidi w:val="0"/>
        <w:snapToGrid w:val="0"/>
        <w:spacing w:line="360" w:lineRule="auto"/>
        <w:ind w:firstLine="411" w:firstLineChars="19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建设工程质量检测管理办法》（建设部令第141号）以及《广西壮族自治区建设工程质量检测管理规定》（桂建管〔2013〕11号）规定，工程质量检测业务由发包人委托有相应资质的检测机构检测。费用从发包人的项目建设经费中支出并直接支付给检测机构，不计入合同价款内。</w:t>
      </w:r>
    </w:p>
    <w:bookmarkEnd w:id="660"/>
    <w:bookmarkEnd w:id="661"/>
    <w:bookmarkEnd w:id="662"/>
    <w:bookmarkEnd w:id="663"/>
    <w:bookmarkEnd w:id="664"/>
    <w:bookmarkEnd w:id="665"/>
    <w:bookmarkEnd w:id="666"/>
    <w:bookmarkEnd w:id="667"/>
    <w:p w14:paraId="5CC0CBE1">
      <w:pPr>
        <w:pStyle w:val="2"/>
        <w:pageBreakBefore w:val="0"/>
        <w:widowControl w:val="0"/>
        <w:kinsoku/>
        <w:wordWrap/>
        <w:overflowPunct/>
        <w:topLinePunct w:val="0"/>
        <w:bidi w:val="0"/>
        <w:snapToGrid w:val="0"/>
        <w:spacing w:before="0" w:after="0" w:line="360" w:lineRule="auto"/>
        <w:rPr>
          <w:rFonts w:hint="eastAsia" w:ascii="宋体" w:hAnsi="宋体" w:eastAsia="宋体" w:cs="宋体"/>
          <w:color w:val="000000" w:themeColor="text1"/>
          <w:highlight w:val="none"/>
          <w14:textFill>
            <w14:solidFill>
              <w14:schemeClr w14:val="tx1"/>
            </w14:solidFill>
          </w14:textFill>
        </w:rPr>
      </w:pPr>
      <w:bookmarkStart w:id="679" w:name="_Toc373478386"/>
      <w:bookmarkStart w:id="680" w:name="_Toc78449828"/>
      <w:bookmarkStart w:id="681" w:name="_Toc1278407274"/>
      <w:bookmarkStart w:id="682" w:name="_Toc603662032"/>
      <w:bookmarkStart w:id="683" w:name="_Toc389065305"/>
      <w:bookmarkStart w:id="684" w:name="_Toc373227739"/>
      <w:bookmarkStart w:id="685" w:name="_Toc351203642"/>
      <w:bookmarkStart w:id="686" w:name="_Toc407135242"/>
      <w:r>
        <w:rPr>
          <w:rFonts w:hint="eastAsia" w:ascii="宋体" w:hAnsi="宋体" w:eastAsia="宋体" w:cs="宋体"/>
          <w:color w:val="000000" w:themeColor="text1"/>
          <w:highlight w:val="none"/>
          <w14:textFill>
            <w14:solidFill>
              <w14:schemeClr w14:val="tx1"/>
            </w14:solidFill>
          </w14:textFill>
        </w:rPr>
        <w:t>1</w:t>
      </w:r>
      <w:bookmarkEnd w:id="627"/>
      <w:bookmarkEnd w:id="628"/>
      <w:bookmarkEnd w:id="629"/>
      <w:bookmarkEnd w:id="630"/>
      <w:bookmarkEnd w:id="631"/>
      <w:bookmarkEnd w:id="632"/>
      <w:bookmarkEnd w:id="633"/>
      <w:bookmarkEnd w:id="634"/>
      <w:bookmarkEnd w:id="635"/>
      <w:bookmarkEnd w:id="636"/>
      <w:bookmarkEnd w:id="637"/>
      <w:bookmarkEnd w:id="638"/>
      <w:bookmarkStart w:id="687" w:name="_Toc296891233"/>
      <w:bookmarkStart w:id="688" w:name="_Toc296944532"/>
      <w:bookmarkStart w:id="689" w:name="_Toc297123540"/>
      <w:bookmarkStart w:id="690" w:name="_Toc296346694"/>
      <w:bookmarkStart w:id="691" w:name="_Toc297120493"/>
      <w:bookmarkStart w:id="692" w:name="_Toc292559398"/>
      <w:bookmarkStart w:id="693" w:name="_Toc304295566"/>
      <w:bookmarkStart w:id="694" w:name="_Toc303539146"/>
      <w:bookmarkStart w:id="695" w:name="_Toc297048379"/>
      <w:bookmarkStart w:id="696" w:name="_Toc292559903"/>
      <w:bookmarkStart w:id="697" w:name="_Toc296503193"/>
      <w:bookmarkStart w:id="698" w:name="_Toc296347192"/>
      <w:bookmarkStart w:id="699" w:name="_Toc296891021"/>
      <w:bookmarkStart w:id="700" w:name="_Toc300934989"/>
      <w:bookmarkStart w:id="701" w:name="_Toc297216199"/>
      <w:bookmarkStart w:id="702" w:name="_Toc312678025"/>
      <w:bookmarkStart w:id="703" w:name="_Toc312677499"/>
      <w:bookmarkStart w:id="704" w:name="_Toc267251435"/>
      <w:bookmarkStart w:id="705" w:name="_Toc267251439"/>
      <w:bookmarkStart w:id="706" w:name="_Toc267251433"/>
      <w:bookmarkStart w:id="707" w:name="_Toc267251437"/>
      <w:bookmarkStart w:id="708" w:name="_Toc267251441"/>
      <w:bookmarkStart w:id="709" w:name="_Toc267251440"/>
      <w:bookmarkStart w:id="710" w:name="_Toc267251442"/>
      <w:r>
        <w:rPr>
          <w:rFonts w:hint="eastAsia" w:ascii="宋体" w:hAnsi="宋体" w:eastAsia="宋体" w:cs="宋体"/>
          <w:color w:val="000000" w:themeColor="text1"/>
          <w:highlight w:val="none"/>
          <w14:textFill>
            <w14:solidFill>
              <w14:schemeClr w14:val="tx1"/>
            </w14:solidFill>
          </w14:textFill>
        </w:rPr>
        <w:t>0. 变更</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bookmarkEnd w:id="702"/>
    <w:bookmarkEnd w:id="703"/>
    <w:p w14:paraId="7A6D7E82">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711" w:name="_Toc78449829"/>
      <w:bookmarkStart w:id="712" w:name="_Toc1890371558"/>
      <w:bookmarkStart w:id="713" w:name="_Toc373227740"/>
      <w:bookmarkStart w:id="714" w:name="_Toc407135243"/>
      <w:bookmarkStart w:id="715" w:name="_Toc411143415"/>
      <w:bookmarkStart w:id="716" w:name="_Toc373478387"/>
      <w:bookmarkStart w:id="717" w:name="_Toc389065306"/>
      <w:r>
        <w:rPr>
          <w:rFonts w:hint="eastAsia" w:ascii="宋体" w:hAnsi="宋体" w:eastAsia="宋体" w:cs="宋体"/>
          <w:color w:val="000000" w:themeColor="text1"/>
          <w:highlight w:val="none"/>
          <w14:textFill>
            <w14:solidFill>
              <w14:schemeClr w14:val="tx1"/>
            </w14:solidFill>
          </w14:textFill>
        </w:rPr>
        <w:t>1</w:t>
      </w:r>
      <w:bookmarkStart w:id="718" w:name="_Toc300934990"/>
      <w:bookmarkStart w:id="719" w:name="_Toc296346695"/>
      <w:bookmarkStart w:id="720" w:name="_Toc303539147"/>
      <w:bookmarkStart w:id="721" w:name="_Toc292559399"/>
      <w:bookmarkStart w:id="722" w:name="_Toc296503194"/>
      <w:bookmarkStart w:id="723" w:name="_Toc292559904"/>
      <w:bookmarkStart w:id="724" w:name="_Toc296347193"/>
      <w:bookmarkStart w:id="725" w:name="_Toc297216200"/>
      <w:bookmarkStart w:id="726" w:name="_Toc296891234"/>
      <w:bookmarkStart w:id="727" w:name="_Toc312677500"/>
      <w:bookmarkStart w:id="728" w:name="_Toc296891022"/>
      <w:bookmarkStart w:id="729" w:name="_Toc297120494"/>
      <w:bookmarkStart w:id="730" w:name="_Toc312678026"/>
      <w:bookmarkStart w:id="731" w:name="_Toc297048380"/>
      <w:bookmarkStart w:id="732" w:name="_Toc296944533"/>
      <w:bookmarkStart w:id="733" w:name="_Toc297123541"/>
      <w:bookmarkStart w:id="734" w:name="_Toc304295567"/>
      <w:r>
        <w:rPr>
          <w:rFonts w:hint="eastAsia" w:ascii="宋体" w:hAnsi="宋体" w:eastAsia="宋体" w:cs="宋体"/>
          <w:color w:val="000000" w:themeColor="text1"/>
          <w:highlight w:val="none"/>
          <w14:textFill>
            <w14:solidFill>
              <w14:schemeClr w14:val="tx1"/>
            </w14:solidFill>
          </w14:textFill>
        </w:rPr>
        <w:t>0.1 变更的范围</w:t>
      </w:r>
      <w:bookmarkEnd w:id="711"/>
      <w:bookmarkEnd w:id="712"/>
      <w:bookmarkEnd w:id="713"/>
      <w:bookmarkEnd w:id="714"/>
      <w:bookmarkEnd w:id="715"/>
      <w:bookmarkEnd w:id="716"/>
      <w:bookmarkEnd w:id="717"/>
    </w:p>
    <w:p w14:paraId="22B5DB3A">
      <w:pPr>
        <w:pageBreakBefore w:val="0"/>
        <w:widowControl w:val="0"/>
        <w:kinsoku/>
        <w:wordWrap/>
        <w:overflowPunct/>
        <w:topLinePunct w:val="0"/>
        <w:bidi w:val="0"/>
        <w:snapToGrid w:val="0"/>
        <w:spacing w:line="360" w:lineRule="auto"/>
        <w:ind w:firstLine="426"/>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关于变更的范围的约定：</w:t>
      </w:r>
      <w:r>
        <w:rPr>
          <w:rFonts w:hint="eastAsia" w:ascii="宋体" w:hAnsi="宋体" w:eastAsia="宋体" w:cs="宋体"/>
          <w:color w:val="000000" w:themeColor="text1"/>
          <w:highlight w:val="none"/>
          <w:u w:val="single"/>
          <w14:textFill>
            <w14:solidFill>
              <w14:schemeClr w14:val="tx1"/>
            </w14:solidFill>
          </w14:textFill>
        </w:rPr>
        <w:t xml:space="preserve"> （1）执行通用条款10.1条，超出10.1条范围的现场变更，双方商定，现场办理签证。（2）工程联系单、设计变更等工程量及费用签证的结算方式同合同专用条款10.4和12.1条约定，结算时并入总造价 </w:t>
      </w:r>
      <w:r>
        <w:rPr>
          <w:rFonts w:hint="eastAsia" w:ascii="宋体" w:hAnsi="宋体" w:eastAsia="宋体" w:cs="宋体"/>
          <w:color w:val="000000" w:themeColor="text1"/>
          <w:highlight w:val="none"/>
          <w14:textFill>
            <w14:solidFill>
              <w14:schemeClr w14:val="tx1"/>
            </w14:solidFill>
          </w14:textFill>
        </w:rPr>
        <w:t>。</w:t>
      </w:r>
    </w:p>
    <w:p w14:paraId="75A80BC2">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735" w:name="_Toc407135244"/>
      <w:bookmarkStart w:id="736" w:name="_Toc78449830"/>
      <w:bookmarkStart w:id="737" w:name="_Toc373227741"/>
      <w:bookmarkStart w:id="738" w:name="_Toc450749207"/>
      <w:bookmarkStart w:id="739" w:name="_Toc1641633295"/>
      <w:bookmarkStart w:id="740" w:name="_Toc373478388"/>
      <w:bookmarkStart w:id="741" w:name="_Toc389065307"/>
      <w:r>
        <w:rPr>
          <w:rFonts w:hint="eastAsia" w:ascii="宋体" w:hAnsi="宋体" w:eastAsia="宋体" w:cs="宋体"/>
          <w:color w:val="000000" w:themeColor="text1"/>
          <w:highlight w:val="none"/>
          <w14:textFill>
            <w14:solidFill>
              <w14:schemeClr w14:val="tx1"/>
            </w14:solidFill>
          </w14:textFill>
        </w:rPr>
        <w:t>10.3 变更程序</w:t>
      </w:r>
      <w:bookmarkEnd w:id="735"/>
      <w:bookmarkEnd w:id="736"/>
      <w:bookmarkEnd w:id="737"/>
      <w:bookmarkEnd w:id="738"/>
      <w:bookmarkEnd w:id="739"/>
      <w:bookmarkEnd w:id="740"/>
      <w:bookmarkEnd w:id="741"/>
    </w:p>
    <w:p w14:paraId="7536BE61">
      <w:pPr>
        <w:pStyle w:val="12"/>
        <w:pageBreakBefore w:val="0"/>
        <w:widowControl w:val="0"/>
        <w:kinsoku/>
        <w:wordWrap/>
        <w:overflowPunct/>
        <w:topLinePunct w:val="0"/>
        <w:bidi w:val="0"/>
        <w:snapToGrid w:val="0"/>
        <w:spacing w:line="360" w:lineRule="auto"/>
        <w:ind w:firstLine="441" w:firstLineChars="21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10.3.1国有投资项目：</w:t>
      </w:r>
    </w:p>
    <w:p w14:paraId="31D84A16">
      <w:pPr>
        <w:pStyle w:val="12"/>
        <w:pageBreakBefore w:val="0"/>
        <w:widowControl w:val="0"/>
        <w:kinsoku/>
        <w:wordWrap/>
        <w:overflowPunct/>
        <w:topLinePunct w:val="0"/>
        <w:bidi w:val="0"/>
        <w:snapToGrid w:val="0"/>
        <w:spacing w:line="360" w:lineRule="auto"/>
        <w:ind w:firstLine="441" w:firstLineChars="21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⑴设计变更和工程签证，按各市政府或相关部门的规定办理。属不可抗力（自然灾害、突发事件等）造成变更的，按特事特办原则予以办理。</w:t>
      </w:r>
    </w:p>
    <w:p w14:paraId="4F1E090B">
      <w:pPr>
        <w:pStyle w:val="12"/>
        <w:pageBreakBefore w:val="0"/>
        <w:widowControl w:val="0"/>
        <w:kinsoku/>
        <w:wordWrap/>
        <w:overflowPunct/>
        <w:topLinePunct w:val="0"/>
        <w:bidi w:val="0"/>
        <w:snapToGrid w:val="0"/>
        <w:spacing w:line="360" w:lineRule="auto"/>
        <w:ind w:firstLine="441" w:firstLineChars="21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⑵建设单位在实施项目过程中，若发生单价变动，由发包人、承包人、监理或造价咨询等单位共同商定并签字确认。</w:t>
      </w:r>
    </w:p>
    <w:p w14:paraId="2A8FE188">
      <w:pPr>
        <w:pStyle w:val="12"/>
        <w:pageBreakBefore w:val="0"/>
        <w:widowControl w:val="0"/>
        <w:kinsoku/>
        <w:wordWrap/>
        <w:overflowPunct/>
        <w:topLinePunct w:val="0"/>
        <w:bidi w:val="0"/>
        <w:snapToGrid w:val="0"/>
        <w:spacing w:line="360" w:lineRule="auto"/>
        <w:ind w:firstLine="441" w:firstLineChars="21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⑶ 当合同规定的合同价款调整情况发生后，承包人未在规定时间内通知发包人，或者未在规定时间内提出调整报告，发包人可以根据有关资料，决定是否调整和调整的金额，并书面通知承包人。</w:t>
      </w:r>
    </w:p>
    <w:p w14:paraId="216D8F33">
      <w:pPr>
        <w:pageBreakBefore w:val="0"/>
        <w:widowControl w:val="0"/>
        <w:kinsoku/>
        <w:wordWrap/>
        <w:overflowPunct/>
        <w:topLinePunct w:val="0"/>
        <w:bidi w:val="0"/>
        <w:snapToGrid w:val="0"/>
        <w:spacing w:line="36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10.3.2 非国有投资项目：</w:t>
      </w:r>
      <w:r>
        <w:rPr>
          <w:rFonts w:hint="eastAsia" w:ascii="宋体" w:hAnsi="宋体" w:eastAsia="宋体" w:cs="宋体"/>
          <w:color w:val="000000" w:themeColor="text1"/>
          <w:highlight w:val="none"/>
          <w:u w:val="single"/>
          <w14:textFill>
            <w14:solidFill>
              <w14:schemeClr w14:val="tx1"/>
            </w14:solidFill>
          </w14:textFill>
        </w:rPr>
        <w:t xml:space="preserve">无  </w:t>
      </w:r>
      <w:r>
        <w:rPr>
          <w:rFonts w:hint="eastAsia" w:ascii="宋体" w:hAnsi="宋体" w:eastAsia="宋体" w:cs="宋体"/>
          <w:color w:val="000000" w:themeColor="text1"/>
          <w:highlight w:val="none"/>
          <w14:textFill>
            <w14:solidFill>
              <w14:schemeClr w14:val="tx1"/>
            </w14:solidFill>
          </w14:textFill>
        </w:rPr>
        <w:t>。</w:t>
      </w:r>
    </w:p>
    <w:p w14:paraId="706C4F09">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742" w:name="_Toc78449831"/>
      <w:bookmarkStart w:id="743" w:name="_Toc373478389"/>
      <w:bookmarkStart w:id="744" w:name="_Toc1645711468"/>
      <w:bookmarkStart w:id="745" w:name="_Toc407135245"/>
      <w:bookmarkStart w:id="746" w:name="_Toc373227742"/>
      <w:bookmarkStart w:id="747" w:name="_Toc780640360"/>
      <w:bookmarkStart w:id="748" w:name="_Toc389065308"/>
      <w:r>
        <w:rPr>
          <w:rFonts w:hint="eastAsia" w:ascii="宋体" w:hAnsi="宋体" w:eastAsia="宋体" w:cs="宋体"/>
          <w:color w:val="000000" w:themeColor="text1"/>
          <w:highlight w:val="none"/>
          <w14:textFill>
            <w14:solidFill>
              <w14:schemeClr w14:val="tx1"/>
            </w14:solidFill>
          </w14:textFill>
        </w:rPr>
        <w:t>10.4 变更估价</w:t>
      </w:r>
      <w:bookmarkEnd w:id="742"/>
      <w:bookmarkEnd w:id="743"/>
      <w:bookmarkEnd w:id="744"/>
      <w:bookmarkEnd w:id="745"/>
      <w:bookmarkEnd w:id="746"/>
      <w:bookmarkEnd w:id="747"/>
      <w:bookmarkEnd w:id="748"/>
    </w:p>
    <w:p w14:paraId="0610CF34">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10.4.1 变更估价原则</w:t>
      </w:r>
    </w:p>
    <w:p w14:paraId="75FEA5DE">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关于变更估价的约定: </w:t>
      </w:r>
      <w:bookmarkStart w:id="749" w:name="_Toc251051742"/>
      <w:r>
        <w:rPr>
          <w:rFonts w:hint="eastAsia" w:ascii="宋体" w:hAnsi="宋体" w:eastAsia="宋体" w:cs="宋体"/>
          <w:color w:val="000000" w:themeColor="text1"/>
          <w:highlight w:val="none"/>
          <w:u w:val="single"/>
          <w14:textFill>
            <w14:solidFill>
              <w14:schemeClr w14:val="tx1"/>
            </w14:solidFill>
          </w14:textFill>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中标的投标总价÷招标控制价）计算，其中：材料设备价格按施工期间的《 桂林市建设工程造价信息》相应信息价的加权平均值计算，《桂林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bookmarkEnd w:id="749"/>
      <w:r>
        <w:rPr>
          <w:rFonts w:hint="eastAsia" w:ascii="宋体" w:hAnsi="宋体" w:eastAsia="宋体" w:cs="宋体"/>
          <w:color w:val="000000" w:themeColor="text1"/>
          <w:highlight w:val="none"/>
          <w14:textFill>
            <w14:solidFill>
              <w14:schemeClr w14:val="tx1"/>
            </w14:solidFill>
          </w14:textFill>
        </w:rPr>
        <w:t>。以上约定同时适用于招标工程量清单缺项以及工程量清单项目特征与图纸不符时的价款确定。</w:t>
      </w:r>
    </w:p>
    <w:p w14:paraId="70D01B99">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工程变更导致实际完成的变更工程量与已标价清单或预算书中列明的该项目工程量有偏差时，其综合单价的确定按专用条款“1.13工程量清单错误的修正”执行。</w:t>
      </w:r>
    </w:p>
    <w:p w14:paraId="01ABC00B">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750" w:name="_Toc650800266"/>
      <w:bookmarkStart w:id="751" w:name="_Toc407135246"/>
      <w:bookmarkStart w:id="752" w:name="_Toc78449832"/>
      <w:bookmarkStart w:id="753" w:name="_Toc373227743"/>
      <w:bookmarkStart w:id="754" w:name="_Toc373478390"/>
      <w:bookmarkStart w:id="755" w:name="_Toc1342657745"/>
      <w:bookmarkStart w:id="756" w:name="_Toc389065309"/>
      <w:r>
        <w:rPr>
          <w:rFonts w:hint="eastAsia" w:ascii="宋体" w:hAnsi="宋体" w:eastAsia="宋体" w:cs="宋体"/>
          <w:color w:val="000000" w:themeColor="text1"/>
          <w:highlight w:val="none"/>
          <w14:textFill>
            <w14:solidFill>
              <w14:schemeClr w14:val="tx1"/>
            </w14:solidFill>
          </w14:textFill>
        </w:rPr>
        <w:t>1</w:t>
      </w:r>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Start w:id="757" w:name="_Toc300934993"/>
      <w:bookmarkStart w:id="758" w:name="_Toc292559402"/>
      <w:bookmarkStart w:id="759" w:name="_Toc296503197"/>
      <w:bookmarkStart w:id="760" w:name="_Toc296891237"/>
      <w:bookmarkStart w:id="761" w:name="_Toc296347196"/>
      <w:bookmarkStart w:id="762" w:name="_Toc297048383"/>
      <w:bookmarkStart w:id="763" w:name="_Toc292559907"/>
      <w:bookmarkStart w:id="764" w:name="_Toc297216203"/>
      <w:bookmarkStart w:id="765" w:name="_Toc296891025"/>
      <w:bookmarkStart w:id="766" w:name="_Toc297123544"/>
      <w:bookmarkStart w:id="767" w:name="_Toc296944536"/>
      <w:bookmarkStart w:id="768" w:name="_Toc297120497"/>
      <w:bookmarkStart w:id="769" w:name="_Toc296346698"/>
      <w:bookmarkStart w:id="770" w:name="_Toc303539150"/>
      <w:bookmarkStart w:id="771" w:name="_Toc312678029"/>
      <w:bookmarkStart w:id="772" w:name="_Toc312677503"/>
      <w:bookmarkStart w:id="773" w:name="_Toc304295570"/>
      <w:r>
        <w:rPr>
          <w:rFonts w:hint="eastAsia" w:ascii="宋体" w:hAnsi="宋体" w:eastAsia="宋体" w:cs="宋体"/>
          <w:color w:val="000000" w:themeColor="text1"/>
          <w:highlight w:val="none"/>
          <w14:textFill>
            <w14:solidFill>
              <w14:schemeClr w14:val="tx1"/>
            </w14:solidFill>
          </w14:textFill>
        </w:rPr>
        <w:t>0.5 承</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Start w:id="774" w:name="_Toc292559913"/>
      <w:bookmarkStart w:id="775" w:name="_Toc296891243"/>
      <w:bookmarkStart w:id="776" w:name="_Toc300934994"/>
      <w:bookmarkStart w:id="777" w:name="_Toc296944542"/>
      <w:bookmarkStart w:id="778" w:name="_Toc303539151"/>
      <w:bookmarkStart w:id="779" w:name="_Toc297216204"/>
      <w:bookmarkStart w:id="780" w:name="_Toc296503203"/>
      <w:bookmarkStart w:id="781" w:name="_Toc296347202"/>
      <w:bookmarkStart w:id="782" w:name="_Toc296346704"/>
      <w:bookmarkStart w:id="783" w:name="_Toc296891031"/>
      <w:bookmarkStart w:id="784" w:name="_Toc292559408"/>
      <w:bookmarkStart w:id="785" w:name="_Toc297120503"/>
      <w:bookmarkStart w:id="786" w:name="_Toc297048389"/>
      <w:bookmarkStart w:id="787" w:name="_Toc297123545"/>
      <w:r>
        <w:rPr>
          <w:rFonts w:hint="eastAsia" w:ascii="宋体" w:hAnsi="宋体" w:eastAsia="宋体" w:cs="宋体"/>
          <w:color w:val="000000" w:themeColor="text1"/>
          <w:highlight w:val="none"/>
          <w14:textFill>
            <w14:solidFill>
              <w14:schemeClr w14:val="tx1"/>
            </w14:solidFill>
          </w14:textFill>
        </w:rPr>
        <w:t>包人的合理化建议</w:t>
      </w:r>
      <w:bookmarkEnd w:id="750"/>
      <w:bookmarkEnd w:id="751"/>
      <w:bookmarkEnd w:id="752"/>
      <w:bookmarkEnd w:id="753"/>
      <w:bookmarkEnd w:id="754"/>
      <w:bookmarkEnd w:id="755"/>
      <w:bookmarkEnd w:id="756"/>
    </w:p>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01A1B04E">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监理人审查承包人合理化建议的期限：</w:t>
      </w:r>
      <w:r>
        <w:rPr>
          <w:rFonts w:hint="eastAsia" w:ascii="宋体" w:hAnsi="宋体" w:eastAsia="宋体" w:cs="宋体"/>
          <w:color w:val="000000" w:themeColor="text1"/>
          <w:highlight w:val="none"/>
          <w:u w:val="single"/>
          <w14:textFill>
            <w14:solidFill>
              <w14:schemeClr w14:val="tx1"/>
            </w14:solidFill>
          </w14:textFill>
        </w:rPr>
        <w:t xml:space="preserve"> 收到后3日内 </w:t>
      </w:r>
      <w:r>
        <w:rPr>
          <w:rFonts w:hint="eastAsia" w:ascii="宋体" w:hAnsi="宋体" w:eastAsia="宋体" w:cs="宋体"/>
          <w:color w:val="000000" w:themeColor="text1"/>
          <w:highlight w:val="none"/>
          <w14:textFill>
            <w14:solidFill>
              <w14:schemeClr w14:val="tx1"/>
            </w14:solidFill>
          </w14:textFill>
        </w:rPr>
        <w:t>。</w:t>
      </w:r>
    </w:p>
    <w:p w14:paraId="3279D3DB">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发包人审批承包人合理化建议的期限：</w:t>
      </w:r>
      <w:r>
        <w:rPr>
          <w:rFonts w:hint="eastAsia" w:ascii="宋体" w:hAnsi="宋体" w:eastAsia="宋体" w:cs="宋体"/>
          <w:color w:val="000000" w:themeColor="text1"/>
          <w:highlight w:val="none"/>
          <w:u w:val="single"/>
          <w14:textFill>
            <w14:solidFill>
              <w14:schemeClr w14:val="tx1"/>
            </w14:solidFill>
          </w14:textFill>
        </w:rPr>
        <w:t xml:space="preserve"> 收到监理上报资料后5日内 </w:t>
      </w:r>
      <w:r>
        <w:rPr>
          <w:rFonts w:hint="eastAsia" w:ascii="宋体" w:hAnsi="宋体" w:eastAsia="宋体" w:cs="宋体"/>
          <w:color w:val="000000" w:themeColor="text1"/>
          <w:highlight w:val="none"/>
          <w14:textFill>
            <w14:solidFill>
              <w14:schemeClr w14:val="tx1"/>
            </w14:solidFill>
          </w14:textFill>
        </w:rPr>
        <w:t>。</w:t>
      </w:r>
    </w:p>
    <w:p w14:paraId="1D4DE74F">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w:t>
      </w:r>
      <w:bookmarkStart w:id="788" w:name="_Toc292559409"/>
      <w:bookmarkStart w:id="789" w:name="_Toc296891244"/>
      <w:bookmarkStart w:id="790" w:name="_Toc292559914"/>
      <w:bookmarkStart w:id="791" w:name="_Toc296944543"/>
      <w:bookmarkStart w:id="792" w:name="_Toc297216205"/>
      <w:bookmarkStart w:id="793" w:name="_Toc312677504"/>
      <w:bookmarkStart w:id="794" w:name="_Toc296346705"/>
      <w:bookmarkStart w:id="795" w:name="_Toc297123546"/>
      <w:bookmarkStart w:id="796" w:name="_Toc303539152"/>
      <w:bookmarkStart w:id="797" w:name="_Toc297120504"/>
      <w:bookmarkStart w:id="798" w:name="_Toc297048390"/>
      <w:bookmarkStart w:id="799" w:name="_Toc312678030"/>
      <w:bookmarkStart w:id="800" w:name="_Toc300934995"/>
      <w:bookmarkStart w:id="801" w:name="_Toc318581175"/>
      <w:bookmarkStart w:id="802" w:name="_Toc296503204"/>
      <w:bookmarkStart w:id="803" w:name="_Toc296347203"/>
      <w:bookmarkStart w:id="804" w:name="_Toc304295571"/>
      <w:bookmarkStart w:id="805" w:name="_Toc296891032"/>
      <w:r>
        <w:rPr>
          <w:rFonts w:hint="eastAsia" w:ascii="宋体" w:hAnsi="宋体" w:eastAsia="宋体" w:cs="宋体"/>
          <w:color w:val="000000" w:themeColor="text1"/>
          <w:highlight w:val="none"/>
          <w14:textFill>
            <w14:solidFill>
              <w14:schemeClr w14:val="tx1"/>
            </w14:solidFill>
          </w14:textFill>
        </w:rPr>
        <w:t>包人提出的合理化建议降低了合同价格或者提高了工程经济效益的奖励的方法和金额为：</w:t>
      </w:r>
      <w:r>
        <w:rPr>
          <w:rFonts w:hint="eastAsia" w:ascii="宋体" w:hAnsi="宋体" w:eastAsia="宋体" w:cs="宋体"/>
          <w:color w:val="000000" w:themeColor="text1"/>
          <w:highlight w:val="none"/>
          <w:u w:val="single"/>
          <w14:textFill>
            <w14:solidFill>
              <w14:schemeClr w14:val="tx1"/>
            </w14:solidFill>
          </w14:textFill>
        </w:rPr>
        <w:t xml:space="preserve">   无             </w:t>
      </w:r>
      <w:r>
        <w:rPr>
          <w:rFonts w:hint="eastAsia" w:ascii="宋体" w:hAnsi="宋体" w:eastAsia="宋体" w:cs="宋体"/>
          <w:color w:val="000000" w:themeColor="text1"/>
          <w:highlight w:val="none"/>
          <w14:textFill>
            <w14:solidFill>
              <w14:schemeClr w14:val="tx1"/>
            </w14:solidFill>
          </w14:textFill>
        </w:rPr>
        <w:t>。</w:t>
      </w:r>
    </w:p>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14:paraId="351A673A">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806" w:name="_Toc373478391"/>
      <w:bookmarkStart w:id="807" w:name="_Toc78449833"/>
      <w:bookmarkStart w:id="808" w:name="_Toc373227744"/>
      <w:bookmarkStart w:id="809" w:name="_Toc407135247"/>
      <w:bookmarkStart w:id="810" w:name="_Toc389065310"/>
      <w:bookmarkStart w:id="811" w:name="_Toc2045792355"/>
      <w:bookmarkStart w:id="812" w:name="_Toc502454636"/>
      <w:r>
        <w:rPr>
          <w:rFonts w:hint="eastAsia" w:ascii="宋体" w:hAnsi="宋体" w:eastAsia="宋体" w:cs="宋体"/>
          <w:color w:val="000000" w:themeColor="text1"/>
          <w:highlight w:val="none"/>
          <w14:textFill>
            <w14:solidFill>
              <w14:schemeClr w14:val="tx1"/>
            </w14:solidFill>
          </w14:textFill>
        </w:rPr>
        <w:t>1</w:t>
      </w:r>
      <w:bookmarkStart w:id="813" w:name="_Toc292559404"/>
      <w:bookmarkStart w:id="814" w:name="_Toc297048385"/>
      <w:bookmarkStart w:id="815" w:name="_Toc297120499"/>
      <w:bookmarkStart w:id="816" w:name="_Toc312678033"/>
      <w:bookmarkStart w:id="817" w:name="_Toc297216207"/>
      <w:bookmarkStart w:id="818" w:name="_Toc304295574"/>
      <w:bookmarkStart w:id="819" w:name="_Toc300934997"/>
      <w:bookmarkStart w:id="820" w:name="_Toc303539154"/>
      <w:bookmarkStart w:id="821" w:name="_Toc312677507"/>
      <w:bookmarkStart w:id="822" w:name="_Toc297123548"/>
      <w:bookmarkStart w:id="823" w:name="_Toc292559909"/>
      <w:bookmarkStart w:id="824" w:name="_Toc296503199"/>
      <w:bookmarkStart w:id="825" w:name="_Toc296891027"/>
      <w:bookmarkStart w:id="826" w:name="_Toc296891239"/>
      <w:bookmarkStart w:id="827" w:name="_Toc296944538"/>
      <w:bookmarkStart w:id="828" w:name="_Toc296347198"/>
      <w:bookmarkStart w:id="829" w:name="_Toc296346700"/>
      <w:r>
        <w:rPr>
          <w:rFonts w:hint="eastAsia" w:ascii="宋体" w:hAnsi="宋体" w:eastAsia="宋体" w:cs="宋体"/>
          <w:color w:val="000000" w:themeColor="text1"/>
          <w:highlight w:val="none"/>
          <w14:textFill>
            <w14:solidFill>
              <w14:schemeClr w14:val="tx1"/>
            </w14:solidFill>
          </w14:textFill>
        </w:rPr>
        <w:t>0.7 暂估价</w:t>
      </w:r>
      <w:bookmarkEnd w:id="806"/>
      <w:bookmarkEnd w:id="807"/>
      <w:bookmarkEnd w:id="808"/>
      <w:bookmarkEnd w:id="809"/>
      <w:bookmarkEnd w:id="810"/>
      <w:bookmarkEnd w:id="811"/>
      <w:bookmarkEnd w:id="812"/>
    </w:p>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14:paraId="6D4FCDEB">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暂</w:t>
      </w:r>
      <w:bookmarkStart w:id="830" w:name="_Toc312677508"/>
      <w:bookmarkStart w:id="831" w:name="_Toc312678034"/>
      <w:bookmarkStart w:id="832" w:name="_Toc318581176"/>
      <w:r>
        <w:rPr>
          <w:rFonts w:hint="eastAsia" w:ascii="宋体" w:hAnsi="宋体" w:eastAsia="宋体" w:cs="宋体"/>
          <w:color w:val="000000" w:themeColor="text1"/>
          <w:kern w:val="0"/>
          <w:highlight w:val="none"/>
          <w14:textFill>
            <w14:solidFill>
              <w14:schemeClr w14:val="tx1"/>
            </w14:solidFill>
          </w14:textFill>
        </w:rPr>
        <w:t>估价材料和工程设备的明细详见已标价工程量清单《</w:t>
      </w:r>
      <w:r>
        <w:rPr>
          <w:rFonts w:hint="eastAsia" w:ascii="宋体" w:hAnsi="宋体" w:eastAsia="宋体" w:cs="宋体"/>
          <w:color w:val="000000" w:themeColor="text1"/>
          <w:highlight w:val="none"/>
          <w14:textFill>
            <w14:solidFill>
              <w14:schemeClr w14:val="tx1"/>
            </w14:solidFill>
          </w14:textFill>
        </w:rPr>
        <w:t>材料（工程设备）暂估价格及调整表》</w:t>
      </w:r>
      <w:r>
        <w:rPr>
          <w:rFonts w:hint="eastAsia" w:ascii="宋体" w:hAnsi="宋体" w:eastAsia="宋体" w:cs="宋体"/>
          <w:color w:val="000000" w:themeColor="text1"/>
          <w:kern w:val="0"/>
          <w:highlight w:val="none"/>
          <w14:textFill>
            <w14:solidFill>
              <w14:schemeClr w14:val="tx1"/>
            </w14:solidFill>
          </w14:textFill>
        </w:rPr>
        <w:t>（表12-2）和《</w:t>
      </w:r>
      <w:r>
        <w:rPr>
          <w:rFonts w:hint="eastAsia" w:ascii="宋体" w:hAnsi="宋体" w:eastAsia="宋体" w:cs="宋体"/>
          <w:color w:val="000000" w:themeColor="text1"/>
          <w:highlight w:val="none"/>
          <w14:textFill>
            <w14:solidFill>
              <w14:schemeClr w14:val="tx1"/>
            </w14:solidFill>
          </w14:textFill>
        </w:rPr>
        <w:t>专业工程暂估价表》（</w:t>
      </w:r>
      <w:r>
        <w:rPr>
          <w:rFonts w:hint="eastAsia" w:ascii="宋体" w:hAnsi="宋体" w:eastAsia="宋体" w:cs="宋体"/>
          <w:color w:val="000000" w:themeColor="text1"/>
          <w:kern w:val="0"/>
          <w:highlight w:val="none"/>
          <w14:textFill>
            <w14:solidFill>
              <w14:schemeClr w14:val="tx1"/>
            </w14:solidFill>
          </w14:textFill>
        </w:rPr>
        <w:t>表12-3）。</w:t>
      </w:r>
    </w:p>
    <w:bookmarkEnd w:id="830"/>
    <w:bookmarkEnd w:id="831"/>
    <w:bookmarkEnd w:id="832"/>
    <w:p w14:paraId="08ECAF60">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bookmarkStart w:id="833" w:name="_Toc318581177"/>
      <w:bookmarkStart w:id="834" w:name="_Toc312677509"/>
      <w:bookmarkStart w:id="835" w:name="_Toc312678035"/>
      <w:r>
        <w:rPr>
          <w:rFonts w:hint="eastAsia" w:ascii="宋体" w:hAnsi="宋体" w:eastAsia="宋体" w:cs="宋体"/>
          <w:color w:val="000000" w:themeColor="text1"/>
          <w:highlight w:val="none"/>
          <w14:textFill>
            <w14:solidFill>
              <w14:schemeClr w14:val="tx1"/>
            </w14:solidFill>
          </w14:textFill>
        </w:rPr>
        <w:t>0.7.1 依法必须招标的暂估价项目</w:t>
      </w:r>
    </w:p>
    <w:bookmarkEnd w:id="833"/>
    <w:bookmarkEnd w:id="834"/>
    <w:bookmarkEnd w:id="835"/>
    <w:p w14:paraId="1BB7A83E">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对于依法必须招标的暂估价项目的确认和批准采取第</w:t>
      </w:r>
      <w:r>
        <w:rPr>
          <w:rFonts w:hint="eastAsia" w:ascii="宋体" w:hAnsi="宋体" w:eastAsia="宋体" w:cs="宋体"/>
          <w:color w:val="000000" w:themeColor="text1"/>
          <w:highlight w:val="none"/>
          <w:u w:val="single"/>
          <w14:textFill>
            <w14:solidFill>
              <w14:schemeClr w14:val="tx1"/>
            </w14:solidFill>
          </w14:textFill>
        </w:rPr>
        <w:t xml:space="preserve">  2  </w:t>
      </w:r>
      <w:r>
        <w:rPr>
          <w:rFonts w:hint="eastAsia" w:ascii="宋体" w:hAnsi="宋体" w:eastAsia="宋体" w:cs="宋体"/>
          <w:color w:val="000000" w:themeColor="text1"/>
          <w:highlight w:val="none"/>
          <w14:textFill>
            <w14:solidFill>
              <w14:schemeClr w14:val="tx1"/>
            </w14:solidFill>
          </w14:textFill>
        </w:rPr>
        <w:t>种方式确定。</w:t>
      </w:r>
    </w:p>
    <w:p w14:paraId="60235299">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10.7.2 不属于依法必须招标的暂估价项目</w:t>
      </w:r>
    </w:p>
    <w:p w14:paraId="69B0DD3D">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对于不属于依法必须招标的暂估价项目的确认和批准采取第</w:t>
      </w:r>
      <w:r>
        <w:rPr>
          <w:rFonts w:hint="eastAsia" w:ascii="宋体" w:hAnsi="宋体" w:eastAsia="宋体" w:cs="宋体"/>
          <w:color w:val="000000" w:themeColor="text1"/>
          <w:highlight w:val="none"/>
          <w:u w:val="single"/>
          <w14:textFill>
            <w14:solidFill>
              <w14:schemeClr w14:val="tx1"/>
            </w14:solidFill>
          </w14:textFill>
        </w:rPr>
        <w:t xml:space="preserve">  1 </w:t>
      </w:r>
      <w:r>
        <w:rPr>
          <w:rFonts w:hint="eastAsia" w:ascii="宋体" w:hAnsi="宋体" w:eastAsia="宋体" w:cs="宋体"/>
          <w:color w:val="000000" w:themeColor="text1"/>
          <w:highlight w:val="none"/>
          <w14:textFill>
            <w14:solidFill>
              <w14:schemeClr w14:val="tx1"/>
            </w14:solidFill>
          </w14:textFill>
        </w:rPr>
        <w:t xml:space="preserve"> 种方式确定。</w:t>
      </w:r>
    </w:p>
    <w:p w14:paraId="7C03DC58">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第3种方式：</w:t>
      </w:r>
      <w:r>
        <w:rPr>
          <w:rFonts w:hint="eastAsia" w:ascii="宋体" w:hAnsi="宋体" w:eastAsia="宋体" w:cs="宋体"/>
          <w:color w:val="000000" w:themeColor="text1"/>
          <w:kern w:val="0"/>
          <w:highlight w:val="none"/>
          <w14:textFill>
            <w14:solidFill>
              <w14:schemeClr w14:val="tx1"/>
            </w14:solidFill>
          </w14:textFill>
        </w:rPr>
        <w:t>承包人直接实施的暂估价项目</w:t>
      </w:r>
    </w:p>
    <w:p w14:paraId="768DF86D">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承包人直接实施的暂估价项目的约定：</w:t>
      </w:r>
      <w:r>
        <w:rPr>
          <w:rFonts w:hint="eastAsia" w:ascii="宋体" w:hAnsi="宋体" w:eastAsia="宋体" w:cs="宋体"/>
          <w:color w:val="000000" w:themeColor="text1"/>
          <w:highlight w:val="none"/>
          <w:u w:val="single"/>
          <w14:textFill>
            <w14:solidFill>
              <w14:schemeClr w14:val="tx1"/>
            </w14:solidFill>
          </w14:textFill>
        </w:rPr>
        <w:t xml:space="preserve"> 另行协商      </w:t>
      </w:r>
      <w:r>
        <w:rPr>
          <w:rFonts w:hint="eastAsia" w:ascii="宋体" w:hAnsi="宋体" w:eastAsia="宋体" w:cs="宋体"/>
          <w:color w:val="000000" w:themeColor="text1"/>
          <w:highlight w:val="none"/>
          <w14:textFill>
            <w14:solidFill>
              <w14:schemeClr w14:val="tx1"/>
            </w14:solidFill>
          </w14:textFill>
        </w:rPr>
        <w:t>。</w:t>
      </w:r>
    </w:p>
    <w:p w14:paraId="043A3546">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836" w:name="_Toc2032108729"/>
      <w:bookmarkStart w:id="837" w:name="_Toc389065311"/>
      <w:bookmarkStart w:id="838" w:name="_Toc373227745"/>
      <w:bookmarkStart w:id="839" w:name="_Toc78449834"/>
      <w:bookmarkStart w:id="840" w:name="_Toc407135248"/>
      <w:bookmarkStart w:id="841" w:name="_Toc2131098822"/>
      <w:bookmarkStart w:id="842" w:name="_Toc373478392"/>
      <w:r>
        <w:rPr>
          <w:rFonts w:hint="eastAsia" w:ascii="宋体" w:hAnsi="宋体" w:eastAsia="宋体" w:cs="宋体"/>
          <w:color w:val="000000" w:themeColor="text1"/>
          <w:highlight w:val="none"/>
          <w14:textFill>
            <w14:solidFill>
              <w14:schemeClr w14:val="tx1"/>
            </w14:solidFill>
          </w14:textFill>
        </w:rPr>
        <w:t>10.8 暂列金额</w:t>
      </w:r>
      <w:bookmarkEnd w:id="836"/>
      <w:bookmarkEnd w:id="837"/>
      <w:bookmarkEnd w:id="838"/>
      <w:bookmarkEnd w:id="839"/>
      <w:bookmarkEnd w:id="840"/>
      <w:bookmarkEnd w:id="841"/>
      <w:bookmarkEnd w:id="842"/>
    </w:p>
    <w:p w14:paraId="4B1E893C">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合同当事人关于暂列金额使用的约定：</w:t>
      </w:r>
      <w:r>
        <w:rPr>
          <w:rFonts w:hint="eastAsia" w:ascii="宋体" w:hAnsi="宋体" w:eastAsia="宋体" w:cs="宋体"/>
          <w:color w:val="000000" w:themeColor="text1"/>
          <w:highlight w:val="none"/>
          <w:u w:val="single"/>
          <w14:textFill>
            <w14:solidFill>
              <w14:schemeClr w14:val="tx1"/>
            </w14:solidFill>
          </w14:textFill>
        </w:rPr>
        <w:t xml:space="preserve"> 暂列金额是指发包人为可能发生工程变更而暂列的金额，包括因发包人提供的工程量清单漏项、清单有误引起的工程数量增加和施工过程中设计变更引起新的清单项目或工程数量增加等需要增加的金额，发包人委托具有建设行政主管部门颁发资质的造价咨询机构审定后，按照审定造价支付部分暂列金。暂列金额是发包人自行确定设立的，承包人无权使用此笔费用。此费用按实际发生经发包人签证后确定全部使用、部分使用或不使用。暂列金额不计入工程款付款的基数。发包人按照规定所作支付后，暂列金额如有余额归发包人 </w:t>
      </w:r>
      <w:r>
        <w:rPr>
          <w:rFonts w:hint="eastAsia" w:ascii="宋体" w:hAnsi="宋体" w:eastAsia="宋体" w:cs="宋体"/>
          <w:color w:val="000000" w:themeColor="text1"/>
          <w:kern w:val="0"/>
          <w:highlight w:val="none"/>
          <w14:textFill>
            <w14:solidFill>
              <w14:schemeClr w14:val="tx1"/>
            </w14:solidFill>
          </w14:textFill>
        </w:rPr>
        <w:t>。</w:t>
      </w:r>
    </w:p>
    <w:p w14:paraId="723AAAAB">
      <w:pPr>
        <w:pStyle w:val="2"/>
        <w:pageBreakBefore w:val="0"/>
        <w:widowControl w:val="0"/>
        <w:numPr>
          <w:ilvl w:val="0"/>
          <w:numId w:val="4"/>
        </w:numPr>
        <w:kinsoku/>
        <w:wordWrap/>
        <w:overflowPunct/>
        <w:topLinePunct w:val="0"/>
        <w:bidi w:val="0"/>
        <w:snapToGrid w:val="0"/>
        <w:spacing w:before="0" w:after="0" w:line="360" w:lineRule="auto"/>
        <w:rPr>
          <w:rFonts w:hint="eastAsia" w:ascii="宋体" w:hAnsi="宋体" w:eastAsia="宋体" w:cs="宋体"/>
          <w:color w:val="000000" w:themeColor="text1"/>
          <w:highlight w:val="none"/>
          <w14:textFill>
            <w14:solidFill>
              <w14:schemeClr w14:val="tx1"/>
            </w14:solidFill>
          </w14:textFill>
        </w:rPr>
      </w:pPr>
      <w:bookmarkStart w:id="843" w:name="_Toc351203643"/>
      <w:bookmarkStart w:id="844" w:name="_Toc407135249"/>
      <w:bookmarkStart w:id="845" w:name="_Toc373478393"/>
      <w:bookmarkStart w:id="846" w:name="_Toc373227746"/>
      <w:bookmarkStart w:id="847" w:name="_Toc136736539"/>
      <w:bookmarkStart w:id="848" w:name="_Toc389065312"/>
      <w:bookmarkStart w:id="849" w:name="_Toc1190723452"/>
      <w:bookmarkStart w:id="850" w:name="_Toc78449835"/>
      <w:r>
        <w:rPr>
          <w:rFonts w:hint="eastAsia" w:ascii="宋体" w:hAnsi="宋体" w:eastAsia="宋体" w:cs="宋体"/>
          <w:color w:val="000000" w:themeColor="text1"/>
          <w:highlight w:val="none"/>
          <w14:textFill>
            <w14:solidFill>
              <w14:schemeClr w14:val="tx1"/>
            </w14:solidFill>
          </w14:textFill>
        </w:rPr>
        <w:t>价格调整</w:t>
      </w:r>
      <w:bookmarkEnd w:id="843"/>
      <w:bookmarkEnd w:id="844"/>
      <w:bookmarkEnd w:id="845"/>
      <w:bookmarkEnd w:id="846"/>
      <w:bookmarkEnd w:id="847"/>
      <w:bookmarkEnd w:id="848"/>
      <w:bookmarkEnd w:id="849"/>
      <w:bookmarkEnd w:id="850"/>
    </w:p>
    <w:p w14:paraId="3ECE5F24">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851" w:name="_Toc78449836"/>
      <w:bookmarkStart w:id="852" w:name="_Toc389065313"/>
      <w:bookmarkStart w:id="853" w:name="_Toc1501386015"/>
      <w:bookmarkStart w:id="854" w:name="_Toc407135250"/>
      <w:bookmarkStart w:id="855" w:name="_Toc373227747"/>
      <w:bookmarkStart w:id="856" w:name="_Toc373478394"/>
      <w:bookmarkStart w:id="857" w:name="_Toc42268484"/>
      <w:bookmarkStart w:id="858" w:name="_Toc312678039"/>
      <w:bookmarkStart w:id="859" w:name="_Toc296347200"/>
      <w:bookmarkStart w:id="860" w:name="_Toc297123550"/>
      <w:bookmarkStart w:id="861" w:name="_Toc292559911"/>
      <w:bookmarkStart w:id="862" w:name="_Toc296503201"/>
      <w:bookmarkStart w:id="863" w:name="_Toc303539157"/>
      <w:bookmarkStart w:id="864" w:name="_Toc297120501"/>
      <w:bookmarkStart w:id="865" w:name="_Toc296944540"/>
      <w:bookmarkStart w:id="866" w:name="_Toc296346702"/>
      <w:bookmarkStart w:id="867" w:name="_Toc292559406"/>
      <w:bookmarkStart w:id="868" w:name="_Toc296891241"/>
      <w:bookmarkStart w:id="869" w:name="_Toc304295577"/>
      <w:bookmarkStart w:id="870" w:name="_Toc297048387"/>
      <w:bookmarkStart w:id="871" w:name="_Toc300935000"/>
      <w:bookmarkStart w:id="872" w:name="_Toc296891029"/>
      <w:bookmarkStart w:id="873" w:name="_Toc297216209"/>
      <w:r>
        <w:rPr>
          <w:rFonts w:hint="eastAsia" w:ascii="宋体" w:hAnsi="宋体" w:eastAsia="宋体" w:cs="宋体"/>
          <w:color w:val="000000" w:themeColor="text1"/>
          <w:highlight w:val="none"/>
          <w14:textFill>
            <w14:solidFill>
              <w14:schemeClr w14:val="tx1"/>
            </w14:solidFill>
          </w14:textFill>
        </w:rPr>
        <w:t>11.1 市场价格波动引起的调整</w:t>
      </w:r>
      <w:bookmarkEnd w:id="851"/>
      <w:bookmarkEnd w:id="852"/>
      <w:bookmarkEnd w:id="853"/>
      <w:bookmarkEnd w:id="854"/>
      <w:bookmarkEnd w:id="855"/>
      <w:bookmarkEnd w:id="856"/>
      <w:bookmarkEnd w:id="857"/>
    </w:p>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p w14:paraId="707197AE">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市场价格波动是否调整合同价格的约定：</w:t>
      </w:r>
      <w:r>
        <w:rPr>
          <w:rFonts w:hint="eastAsia" w:ascii="宋体" w:hAnsi="宋体" w:eastAsia="宋体" w:cs="宋体"/>
          <w:color w:val="000000" w:themeColor="text1"/>
          <w:kern w:val="0"/>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u w:val="single"/>
          <w:lang w:eastAsia="zh-CN"/>
          <w14:textFill>
            <w14:solidFill>
              <w14:schemeClr w14:val="tx1"/>
            </w14:solidFill>
          </w14:textFill>
        </w:rPr>
        <w:t>否</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w:t>
      </w:r>
    </w:p>
    <w:p w14:paraId="550C9E32">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因市场价格波动调整合同价格，采用以下第</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lang w:val="en-US" w:eastAsia="zh-CN"/>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种方式对合同价格进行调整：</w:t>
      </w:r>
    </w:p>
    <w:p w14:paraId="2A7963DC">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第1种方式：采用价格指数进行价格调整。</w:t>
      </w:r>
    </w:p>
    <w:p w14:paraId="1CD5AACD">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关于各可调因子、定值和变值权重，以及基本价格指数及其来源的约定：</w:t>
      </w:r>
      <w:r>
        <w:rPr>
          <w:rFonts w:hint="eastAsia" w:ascii="宋体" w:hAnsi="宋体" w:eastAsia="宋体" w:cs="宋体"/>
          <w:color w:val="000000" w:themeColor="text1"/>
          <w:highlight w:val="none"/>
          <w:u w:val="single"/>
          <w14:textFill>
            <w14:solidFill>
              <w14:schemeClr w14:val="tx1"/>
            </w14:solidFill>
          </w14:textFill>
        </w:rPr>
        <w:t xml:space="preserve">     /      </w:t>
      </w:r>
      <w:r>
        <w:rPr>
          <w:rFonts w:hint="eastAsia" w:ascii="宋体" w:hAnsi="宋体" w:eastAsia="宋体" w:cs="宋体"/>
          <w:color w:val="000000" w:themeColor="text1"/>
          <w:highlight w:val="none"/>
          <w14:textFill>
            <w14:solidFill>
              <w14:schemeClr w14:val="tx1"/>
            </w14:solidFill>
          </w14:textFill>
        </w:rPr>
        <w:t xml:space="preserve">；  </w:t>
      </w:r>
    </w:p>
    <w:p w14:paraId="58EF5E2F">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第2种方式：采用造价信息进行价格调整。</w:t>
      </w:r>
    </w:p>
    <w:p w14:paraId="3B433FD2">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（1）允许调整主要材料和</w:t>
      </w:r>
      <w:r>
        <w:rPr>
          <w:rFonts w:hint="eastAsia" w:ascii="宋体" w:hAnsi="宋体" w:eastAsia="宋体" w:cs="宋体"/>
          <w:color w:val="000000" w:themeColor="text1"/>
          <w:highlight w:val="none"/>
          <w:lang w:val="en"/>
          <w14:textFill>
            <w14:solidFill>
              <w14:schemeClr w14:val="tx1"/>
            </w14:solidFill>
          </w14:textFill>
        </w:rPr>
        <w:t>工程</w:t>
      </w:r>
      <w:r>
        <w:rPr>
          <w:rFonts w:hint="eastAsia" w:ascii="宋体" w:hAnsi="宋体" w:eastAsia="宋体" w:cs="宋体"/>
          <w:color w:val="000000" w:themeColor="text1"/>
          <w:highlight w:val="none"/>
          <w14:textFill>
            <w14:solidFill>
              <w14:schemeClr w14:val="tx1"/>
            </w14:solidFill>
          </w14:textFill>
        </w:rPr>
        <w:t>设备、基期价格、风险系数、投标报价详见《</w:t>
      </w:r>
      <w:r>
        <w:rPr>
          <w:rFonts w:hint="eastAsia" w:ascii="宋体" w:hAnsi="宋体" w:eastAsia="宋体" w:cs="宋体"/>
          <w:color w:val="000000" w:themeColor="text1"/>
          <w:highlight w:val="none"/>
          <w:lang w:val="en"/>
          <w14:textFill>
            <w14:solidFill>
              <w14:schemeClr w14:val="tx1"/>
            </w14:solidFill>
          </w14:textFill>
        </w:rPr>
        <w:t>允许调整</w:t>
      </w:r>
      <w:r>
        <w:rPr>
          <w:rFonts w:hint="eastAsia" w:ascii="宋体" w:hAnsi="宋体" w:eastAsia="宋体" w:cs="宋体"/>
          <w:color w:val="000000" w:themeColor="text1"/>
          <w:highlight w:val="none"/>
          <w14:textFill>
            <w14:solidFill>
              <w14:schemeClr w14:val="tx1"/>
            </w14:solidFill>
          </w14:textFill>
        </w:rPr>
        <w:t>主要材料和</w:t>
      </w:r>
      <w:r>
        <w:rPr>
          <w:rFonts w:hint="eastAsia" w:ascii="宋体" w:hAnsi="宋体" w:eastAsia="宋体" w:cs="宋体"/>
          <w:color w:val="000000" w:themeColor="text1"/>
          <w:highlight w:val="none"/>
          <w:lang w:val="en"/>
          <w14:textFill>
            <w14:solidFill>
              <w14:schemeClr w14:val="tx1"/>
            </w14:solidFill>
          </w14:textFill>
        </w:rPr>
        <w:t>工程</w:t>
      </w:r>
      <w:r>
        <w:rPr>
          <w:rFonts w:hint="eastAsia" w:ascii="宋体" w:hAnsi="宋体" w:eastAsia="宋体" w:cs="宋体"/>
          <w:color w:val="000000" w:themeColor="text1"/>
          <w:highlight w:val="none"/>
          <w14:textFill>
            <w14:solidFill>
              <w14:schemeClr w14:val="tx1"/>
            </w14:solidFill>
          </w14:textFill>
        </w:rPr>
        <w:t>设备一览表》</w:t>
      </w:r>
      <w:r>
        <w:rPr>
          <w:rFonts w:hint="eastAsia" w:ascii="宋体" w:hAnsi="宋体" w:eastAsia="宋体" w:cs="宋体"/>
          <w:color w:val="000000" w:themeColor="text1"/>
          <w:kern w:val="0"/>
          <w:sz w:val="20"/>
          <w:highlight w:val="none"/>
          <w14:textFill>
            <w14:solidFill>
              <w14:schemeClr w14:val="tx1"/>
            </w14:solidFill>
          </w14:textFill>
        </w:rPr>
        <w:t>（表-22）</w:t>
      </w:r>
      <w:r>
        <w:rPr>
          <w:rFonts w:hint="eastAsia" w:ascii="宋体" w:hAnsi="宋体" w:eastAsia="宋体" w:cs="宋体"/>
          <w:color w:val="000000" w:themeColor="text1"/>
          <w:highlight w:val="none"/>
          <w14:textFill>
            <w14:solidFill>
              <w14:schemeClr w14:val="tx1"/>
            </w14:solidFill>
          </w14:textFill>
        </w:rPr>
        <w:t>,价差调整部分仅计算税金，除此表列明的材料、设备外，其余材料设备价差原则上不予调整。</w:t>
      </w:r>
    </w:p>
    <w:p w14:paraId="59D08A65">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（2）主要材料和</w:t>
      </w:r>
      <w:r>
        <w:rPr>
          <w:rFonts w:hint="eastAsia" w:ascii="宋体" w:hAnsi="宋体" w:eastAsia="宋体" w:cs="宋体"/>
          <w:color w:val="000000" w:themeColor="text1"/>
          <w:highlight w:val="none"/>
          <w:lang w:val="en"/>
          <w14:textFill>
            <w14:solidFill>
              <w14:schemeClr w14:val="tx1"/>
            </w14:solidFill>
          </w14:textFill>
        </w:rPr>
        <w:t>工程</w:t>
      </w:r>
      <w:r>
        <w:rPr>
          <w:rFonts w:hint="eastAsia" w:ascii="宋体" w:hAnsi="宋体" w:eastAsia="宋体" w:cs="宋体"/>
          <w:color w:val="000000" w:themeColor="text1"/>
          <w:highlight w:val="none"/>
          <w14:textFill>
            <w14:solidFill>
              <w14:schemeClr w14:val="tx1"/>
            </w14:solidFill>
          </w14:textFill>
        </w:rPr>
        <w:t>设备确认价：</w:t>
      </w:r>
    </w:p>
    <w:p w14:paraId="489A0E4A">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按施工期间《</w:t>
      </w:r>
      <w:r>
        <w:rPr>
          <w:rFonts w:hint="eastAsia" w:ascii="宋体" w:hAnsi="宋体" w:eastAsia="宋体" w:cs="宋体"/>
          <w:color w:val="000000" w:themeColor="text1"/>
          <w:highlight w:val="none"/>
          <w:u w:val="single"/>
          <w14:textFill>
            <w14:solidFill>
              <w14:schemeClr w14:val="tx1"/>
            </w14:solidFill>
          </w14:textFill>
        </w:rPr>
        <w:t xml:space="preserve">    /   </w:t>
      </w:r>
      <w:r>
        <w:rPr>
          <w:rFonts w:hint="eastAsia" w:ascii="宋体" w:hAnsi="宋体" w:eastAsia="宋体" w:cs="宋体"/>
          <w:color w:val="000000" w:themeColor="text1"/>
          <w:highlight w:val="none"/>
          <w14:textFill>
            <w14:solidFill>
              <w14:schemeClr w14:val="tx1"/>
            </w14:solidFill>
          </w14:textFill>
        </w:rPr>
        <w:t>市建设工程造价信息》材料信息价的加权平均价计算，信息价没有的按通用条款规定确定。</w:t>
      </w:r>
    </w:p>
    <w:p w14:paraId="45324AD3">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（3）价差计算方法：</w:t>
      </w:r>
    </w:p>
    <w:p w14:paraId="6C086DFC">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w:t>
      </w:r>
      <w:r>
        <w:rPr>
          <w:rFonts w:hint="eastAsia" w:ascii="宋体" w:hAnsi="宋体" w:eastAsia="宋体" w:cs="宋体"/>
          <w:color w:val="000000" w:themeColor="text1"/>
          <w:highlight w:val="none"/>
          <w:lang w:val="en"/>
          <w14:textFill>
            <w14:solidFill>
              <w14:schemeClr w14:val="tx1"/>
            </w14:solidFill>
          </w14:textFill>
        </w:rPr>
        <w:t>允许调整</w:t>
      </w:r>
      <w:r>
        <w:rPr>
          <w:rFonts w:hint="eastAsia" w:ascii="宋体" w:hAnsi="宋体" w:eastAsia="宋体" w:cs="宋体"/>
          <w:color w:val="000000" w:themeColor="text1"/>
          <w:highlight w:val="none"/>
          <w14:textFill>
            <w14:solidFill>
              <w14:schemeClr w14:val="tx1"/>
            </w14:solidFill>
          </w14:textFill>
        </w:rPr>
        <w:t>主要材料和工程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0CDEF413">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②承包人在《</w:t>
      </w:r>
      <w:r>
        <w:rPr>
          <w:rFonts w:hint="eastAsia" w:ascii="宋体" w:hAnsi="宋体" w:eastAsia="宋体" w:cs="宋体"/>
          <w:color w:val="000000" w:themeColor="text1"/>
          <w:highlight w:val="none"/>
          <w:lang w:val="en"/>
          <w14:textFill>
            <w14:solidFill>
              <w14:schemeClr w14:val="tx1"/>
            </w14:solidFill>
          </w14:textFill>
        </w:rPr>
        <w:t>允许调整</w:t>
      </w:r>
      <w:r>
        <w:rPr>
          <w:rFonts w:hint="eastAsia" w:ascii="宋体" w:hAnsi="宋体" w:eastAsia="宋体" w:cs="宋体"/>
          <w:color w:val="000000" w:themeColor="text1"/>
          <w:highlight w:val="none"/>
          <w14:textFill>
            <w14:solidFill>
              <w14:schemeClr w14:val="tx1"/>
            </w14:solidFill>
          </w14:textFill>
        </w:rPr>
        <w:t>主要材料和工程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15B965F3">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③承包人在《</w:t>
      </w:r>
      <w:r>
        <w:rPr>
          <w:rFonts w:hint="eastAsia" w:ascii="宋体" w:hAnsi="宋体" w:eastAsia="宋体" w:cs="宋体"/>
          <w:color w:val="000000" w:themeColor="text1"/>
          <w:highlight w:val="none"/>
          <w:lang w:val="en"/>
          <w14:textFill>
            <w14:solidFill>
              <w14:schemeClr w14:val="tx1"/>
            </w14:solidFill>
          </w14:textFill>
        </w:rPr>
        <w:t>允许调整</w:t>
      </w:r>
      <w:r>
        <w:rPr>
          <w:rFonts w:hint="eastAsia" w:ascii="宋体" w:hAnsi="宋体" w:eastAsia="宋体" w:cs="宋体"/>
          <w:color w:val="000000" w:themeColor="text1"/>
          <w:highlight w:val="none"/>
          <w14:textFill>
            <w14:solidFill>
              <w14:schemeClr w14:val="tx1"/>
            </w14:solidFill>
          </w14:textFill>
        </w:rPr>
        <w:t>主要材料和工程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227ECCD1">
      <w:pPr>
        <w:pageBreakBefore w:val="0"/>
        <w:widowControl w:val="0"/>
        <w:kinsoku/>
        <w:wordWrap/>
        <w:overflowPunct/>
        <w:topLinePunct w:val="0"/>
        <w:bidi w:val="0"/>
        <w:snapToGrid w:val="0"/>
        <w:spacing w:line="360" w:lineRule="auto"/>
        <w:ind w:firstLine="645"/>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第3种方式：</w:t>
      </w:r>
      <w:r>
        <w:rPr>
          <w:rFonts w:hint="eastAsia" w:ascii="宋体" w:hAnsi="宋体" w:eastAsia="宋体" w:cs="宋体"/>
          <w:color w:val="000000" w:themeColor="text1"/>
          <w:highlight w:val="none"/>
          <w:u w:val="single"/>
          <w14:textFill>
            <w14:solidFill>
              <w14:schemeClr w14:val="tx1"/>
            </w14:solidFill>
          </w14:textFill>
        </w:rPr>
        <w:t xml:space="preserve">   承包人应根据施工期间主要材料可能由于市场价格上涨（或下跌）因素自行考虑由此引起的风险并计入投标报价中。承包人应对自己的报价承担风险。但是若本工程施工期间水泥、商品混凝土、预拌砂浆、钢材、石、砂、砖、汽油、柴油、管材等由于市场价格上涨（或下跌）比</w:t>
      </w:r>
      <w:r>
        <w:rPr>
          <w:rFonts w:hint="eastAsia" w:ascii="宋体" w:hAnsi="宋体" w:eastAsia="宋体" w:cs="宋体"/>
          <w:color w:val="000000" w:themeColor="text1"/>
          <w:highlight w:val="none"/>
          <w:u w:val="single"/>
          <w:lang w:val="en-US" w:eastAsia="zh-CN"/>
          <w14:textFill>
            <w14:solidFill>
              <w14:schemeClr w14:val="tx1"/>
            </w14:solidFill>
          </w14:textFill>
        </w:rPr>
        <w:t>202</w:t>
      </w:r>
      <w:r>
        <w:rPr>
          <w:rFonts w:hint="eastAsia" w:ascii="宋体" w:hAnsi="宋体" w:cs="宋体"/>
          <w:color w:val="000000" w:themeColor="text1"/>
          <w:highlight w:val="none"/>
          <w:u w:val="single"/>
          <w:lang w:val="en-US" w:eastAsia="zh-CN"/>
          <w14:textFill>
            <w14:solidFill>
              <w14:schemeClr w14:val="tx1"/>
            </w14:solidFill>
          </w14:textFill>
        </w:rPr>
        <w:t>6</w:t>
      </w:r>
      <w:r>
        <w:rPr>
          <w:rFonts w:hint="eastAsia" w:ascii="宋体" w:hAnsi="宋体" w:eastAsia="宋体" w:cs="宋体"/>
          <w:color w:val="000000" w:themeColor="text1"/>
          <w:highlight w:val="none"/>
          <w:u w:val="single"/>
          <w14:textFill>
            <w14:solidFill>
              <w14:schemeClr w14:val="tx1"/>
            </w14:solidFill>
          </w14:textFill>
        </w:rPr>
        <w:t>年第</w:t>
      </w:r>
      <w:r>
        <w:rPr>
          <w:rFonts w:hint="eastAsia" w:ascii="宋体" w:hAnsi="宋体" w:eastAsia="宋体" w:cs="宋体"/>
          <w:color w:val="000000" w:themeColor="text1"/>
          <w:highlight w:val="none"/>
          <w:u w:val="single"/>
          <w:lang w:val="en-US" w:eastAsia="zh-CN"/>
          <w14:textFill>
            <w14:solidFill>
              <w14:schemeClr w14:val="tx1"/>
            </w14:solidFill>
          </w14:textFill>
        </w:rPr>
        <w:t>1</w:t>
      </w:r>
      <w:r>
        <w:rPr>
          <w:rFonts w:hint="eastAsia" w:ascii="宋体" w:hAnsi="宋体" w:eastAsia="宋体" w:cs="宋体"/>
          <w:color w:val="000000" w:themeColor="text1"/>
          <w:highlight w:val="none"/>
          <w:u w:val="single"/>
          <w14:textFill>
            <w14:solidFill>
              <w14:schemeClr w14:val="tx1"/>
            </w14:solidFill>
          </w14:textFill>
        </w:rPr>
        <w:t>期《桂林市建设工程造价信息》桂林市价格相差±</w:t>
      </w:r>
      <w:r>
        <w:rPr>
          <w:rFonts w:hint="eastAsia" w:ascii="宋体" w:hAnsi="宋体" w:eastAsia="宋体" w:cs="宋体"/>
          <w:color w:val="000000" w:themeColor="text1"/>
          <w:highlight w:val="none"/>
          <w:u w:val="single"/>
          <w:lang w:val="en-US" w:eastAsia="zh-CN"/>
          <w14:textFill>
            <w14:solidFill>
              <w14:schemeClr w14:val="tx1"/>
            </w14:solidFill>
          </w14:textFill>
        </w:rPr>
        <w:t>1</w:t>
      </w:r>
      <w:r>
        <w:rPr>
          <w:rFonts w:hint="eastAsia" w:ascii="宋体" w:hAnsi="宋体" w:eastAsia="宋体" w:cs="宋体"/>
          <w:color w:val="000000" w:themeColor="text1"/>
          <w:highlight w:val="none"/>
          <w:u w:val="single"/>
          <w14:textFill>
            <w14:solidFill>
              <w14:schemeClr w14:val="tx1"/>
            </w14:solidFill>
          </w14:textFill>
        </w:rPr>
        <w:t>5%（含</w:t>
      </w:r>
      <w:r>
        <w:rPr>
          <w:rFonts w:hint="eastAsia" w:ascii="宋体" w:hAnsi="宋体" w:eastAsia="宋体" w:cs="宋体"/>
          <w:color w:val="000000" w:themeColor="text1"/>
          <w:highlight w:val="none"/>
          <w:u w:val="single"/>
          <w:lang w:val="en-US" w:eastAsia="zh-CN"/>
          <w14:textFill>
            <w14:solidFill>
              <w14:schemeClr w14:val="tx1"/>
            </w14:solidFill>
          </w14:textFill>
        </w:rPr>
        <w:t>1</w:t>
      </w:r>
      <w:r>
        <w:rPr>
          <w:rFonts w:hint="eastAsia" w:ascii="宋体" w:hAnsi="宋体" w:eastAsia="宋体" w:cs="宋体"/>
          <w:color w:val="000000" w:themeColor="text1"/>
          <w:highlight w:val="none"/>
          <w:u w:val="single"/>
          <w14:textFill>
            <w14:solidFill>
              <w14:schemeClr w14:val="tx1"/>
            </w14:solidFill>
          </w14:textFill>
        </w:rPr>
        <w:t>5%）以上时，材料价格可以进行调整。调整方法：水泥、商品混凝土、预拌砂浆、钢材、石、砂、砖</w:t>
      </w:r>
      <w:r>
        <w:rPr>
          <w:rFonts w:hint="eastAsia" w:ascii="宋体" w:hAnsi="宋体" w:eastAsia="宋体" w:cs="宋体"/>
          <w:color w:val="000000" w:themeColor="text1"/>
          <w:highlight w:val="none"/>
          <w:u w:val="single"/>
          <w:lang w:val="en-US" w:eastAsia="zh-CN"/>
          <w14:textFill>
            <w14:solidFill>
              <w14:schemeClr w14:val="tx1"/>
            </w14:solidFill>
          </w14:textFill>
        </w:rPr>
        <w:t>的</w:t>
      </w:r>
      <w:r>
        <w:rPr>
          <w:rFonts w:hint="eastAsia" w:ascii="宋体" w:hAnsi="宋体" w:eastAsia="宋体" w:cs="宋体"/>
          <w:color w:val="000000" w:themeColor="text1"/>
          <w:highlight w:val="none"/>
          <w:u w:val="single"/>
          <w14:textFill>
            <w14:solidFill>
              <w14:schemeClr w14:val="tx1"/>
            </w14:solidFill>
          </w14:textFill>
        </w:rPr>
        <w:t>材料价格（材料价格以该材料施工使用期间《桂林市建设工程造价信息》桂林市平均价格为准）比</w:t>
      </w:r>
      <w:r>
        <w:rPr>
          <w:rFonts w:hint="eastAsia" w:ascii="宋体" w:hAnsi="宋体" w:eastAsia="宋体" w:cs="宋体"/>
          <w:color w:val="000000" w:themeColor="text1"/>
          <w:highlight w:val="none"/>
          <w:u w:val="single"/>
          <w:lang w:val="en-US" w:eastAsia="zh-CN"/>
          <w14:textFill>
            <w14:solidFill>
              <w14:schemeClr w14:val="tx1"/>
            </w14:solidFill>
          </w14:textFill>
        </w:rPr>
        <w:t>202</w:t>
      </w:r>
      <w:r>
        <w:rPr>
          <w:rFonts w:hint="eastAsia" w:ascii="宋体" w:hAnsi="宋体" w:cs="宋体"/>
          <w:color w:val="000000" w:themeColor="text1"/>
          <w:highlight w:val="none"/>
          <w:u w:val="single"/>
          <w:lang w:val="en-US" w:eastAsia="zh-CN"/>
          <w14:textFill>
            <w14:solidFill>
              <w14:schemeClr w14:val="tx1"/>
            </w14:solidFill>
          </w14:textFill>
        </w:rPr>
        <w:t>6</w:t>
      </w:r>
      <w:r>
        <w:rPr>
          <w:rFonts w:hint="eastAsia" w:ascii="宋体" w:hAnsi="宋体" w:eastAsia="宋体" w:cs="宋体"/>
          <w:color w:val="000000" w:themeColor="text1"/>
          <w:highlight w:val="none"/>
          <w:u w:val="single"/>
          <w:lang w:val="en-US" w:eastAsia="zh-CN"/>
          <w14:textFill>
            <w14:solidFill>
              <w14:schemeClr w14:val="tx1"/>
            </w14:solidFill>
          </w14:textFill>
        </w:rPr>
        <w:t>年第1期</w:t>
      </w:r>
      <w:r>
        <w:rPr>
          <w:rFonts w:hint="eastAsia" w:ascii="宋体" w:hAnsi="宋体" w:eastAsia="宋体" w:cs="宋体"/>
          <w:color w:val="000000" w:themeColor="text1"/>
          <w:highlight w:val="none"/>
          <w:u w:val="single"/>
          <w14:textFill>
            <w14:solidFill>
              <w14:schemeClr w14:val="tx1"/>
            </w14:solidFill>
          </w14:textFill>
        </w:rPr>
        <w:t>《桂林市建设工程造价信息》桂林市价格高（低）出±</w:t>
      </w:r>
      <w:r>
        <w:rPr>
          <w:rFonts w:hint="eastAsia" w:ascii="宋体" w:hAnsi="宋体" w:eastAsia="宋体" w:cs="宋体"/>
          <w:color w:val="000000" w:themeColor="text1"/>
          <w:highlight w:val="none"/>
          <w:u w:val="single"/>
          <w:lang w:val="en-US" w:eastAsia="zh-CN"/>
          <w14:textFill>
            <w14:solidFill>
              <w14:schemeClr w14:val="tx1"/>
            </w14:solidFill>
          </w14:textFill>
        </w:rPr>
        <w:t>1</w:t>
      </w:r>
      <w:r>
        <w:rPr>
          <w:rFonts w:hint="eastAsia" w:ascii="宋体" w:hAnsi="宋体" w:eastAsia="宋体" w:cs="宋体"/>
          <w:color w:val="000000" w:themeColor="text1"/>
          <w:highlight w:val="none"/>
          <w:u w:val="single"/>
          <w14:textFill>
            <w14:solidFill>
              <w14:schemeClr w14:val="tx1"/>
            </w14:solidFill>
          </w14:textFill>
        </w:rPr>
        <w:t>5%（含</w:t>
      </w:r>
      <w:r>
        <w:rPr>
          <w:rFonts w:hint="eastAsia" w:ascii="宋体" w:hAnsi="宋体" w:eastAsia="宋体" w:cs="宋体"/>
          <w:color w:val="000000" w:themeColor="text1"/>
          <w:highlight w:val="none"/>
          <w:u w:val="single"/>
          <w:lang w:val="en-US" w:eastAsia="zh-CN"/>
          <w14:textFill>
            <w14:solidFill>
              <w14:schemeClr w14:val="tx1"/>
            </w14:solidFill>
          </w14:textFill>
        </w:rPr>
        <w:t>1</w:t>
      </w:r>
      <w:r>
        <w:rPr>
          <w:rFonts w:hint="eastAsia" w:ascii="宋体" w:hAnsi="宋体" w:eastAsia="宋体" w:cs="宋体"/>
          <w:color w:val="000000" w:themeColor="text1"/>
          <w:highlight w:val="none"/>
          <w:u w:val="single"/>
          <w14:textFill>
            <w14:solidFill>
              <w14:schemeClr w14:val="tx1"/>
            </w14:solidFill>
          </w14:textFill>
        </w:rPr>
        <w:t>5%）以上部分×</w:t>
      </w:r>
      <w:r>
        <w:rPr>
          <w:rFonts w:hint="eastAsia" w:ascii="宋体" w:hAnsi="宋体" w:eastAsia="宋体" w:cs="宋体"/>
          <w:b/>
          <w:bCs/>
          <w:color w:val="000000" w:themeColor="text1"/>
          <w:highlight w:val="none"/>
          <w:u w:val="single"/>
          <w14:textFill>
            <w14:solidFill>
              <w14:schemeClr w14:val="tx1"/>
            </w14:solidFill>
          </w14:textFill>
        </w:rPr>
        <w:t>(中标的投标总价÷招标控制价)</w:t>
      </w:r>
      <w:r>
        <w:rPr>
          <w:rFonts w:hint="eastAsia" w:ascii="宋体" w:hAnsi="宋体" w:eastAsia="宋体" w:cs="宋体"/>
          <w:color w:val="000000" w:themeColor="text1"/>
          <w:highlight w:val="none"/>
          <w:u w:val="single"/>
          <w14:textFill>
            <w14:solidFill>
              <w14:schemeClr w14:val="tx1"/>
            </w14:solidFill>
          </w14:textFill>
        </w:rPr>
        <w:t xml:space="preserve">，调增或调减合同价。该部分费用结算时列入直接费计算。 </w:t>
      </w:r>
      <w:r>
        <w:rPr>
          <w:rFonts w:hint="eastAsia" w:ascii="宋体" w:hAnsi="宋体" w:eastAsia="宋体" w:cs="宋体"/>
          <w:color w:val="000000" w:themeColor="text1"/>
          <w:highlight w:val="none"/>
          <w14:textFill>
            <w14:solidFill>
              <w14:schemeClr w14:val="tx1"/>
            </w14:solidFill>
          </w14:textFill>
        </w:rPr>
        <w:t xml:space="preserve"> 。</w:t>
      </w:r>
    </w:p>
    <w:bookmarkEnd w:id="704"/>
    <w:bookmarkEnd w:id="705"/>
    <w:bookmarkEnd w:id="706"/>
    <w:bookmarkEnd w:id="707"/>
    <w:bookmarkEnd w:id="708"/>
    <w:bookmarkEnd w:id="709"/>
    <w:p w14:paraId="3C41AE5D">
      <w:pPr>
        <w:pStyle w:val="2"/>
        <w:pageBreakBefore w:val="0"/>
        <w:widowControl w:val="0"/>
        <w:kinsoku/>
        <w:wordWrap/>
        <w:overflowPunct/>
        <w:topLinePunct w:val="0"/>
        <w:bidi w:val="0"/>
        <w:snapToGrid w:val="0"/>
        <w:spacing w:before="0" w:after="0" w:line="360" w:lineRule="auto"/>
        <w:rPr>
          <w:rFonts w:hint="eastAsia" w:ascii="宋体" w:hAnsi="宋体" w:eastAsia="宋体" w:cs="宋体"/>
          <w:color w:val="000000" w:themeColor="text1"/>
          <w:highlight w:val="none"/>
          <w14:textFill>
            <w14:solidFill>
              <w14:schemeClr w14:val="tx1"/>
            </w14:solidFill>
          </w14:textFill>
        </w:rPr>
      </w:pPr>
      <w:bookmarkStart w:id="874" w:name="_Toc292559915"/>
      <w:bookmarkStart w:id="875" w:name="_Toc297120505"/>
      <w:bookmarkStart w:id="876" w:name="_Toc296347204"/>
      <w:bookmarkStart w:id="877" w:name="_Toc296346706"/>
      <w:bookmarkStart w:id="878" w:name="_Toc292559410"/>
      <w:bookmarkStart w:id="879" w:name="_Toc296944544"/>
      <w:bookmarkStart w:id="880" w:name="_Toc296891245"/>
      <w:bookmarkStart w:id="881" w:name="_Toc297048391"/>
      <w:bookmarkStart w:id="882" w:name="_Toc296891033"/>
      <w:bookmarkStart w:id="883" w:name="_Toc296503205"/>
      <w:bookmarkStart w:id="884" w:name="_Toc1935657796"/>
      <w:bookmarkStart w:id="885" w:name="_Toc373227748"/>
      <w:bookmarkStart w:id="886" w:name="_Toc78449837"/>
      <w:bookmarkStart w:id="887" w:name="_Toc351203644"/>
      <w:bookmarkStart w:id="888" w:name="_Toc373478395"/>
      <w:bookmarkStart w:id="889" w:name="_Toc1720046426"/>
      <w:bookmarkStart w:id="890" w:name="_Toc407135251"/>
      <w:bookmarkStart w:id="891" w:name="_Toc304295579"/>
      <w:bookmarkStart w:id="892" w:name="_Toc312678040"/>
      <w:bookmarkStart w:id="893" w:name="_Toc300935002"/>
      <w:bookmarkStart w:id="894" w:name="_Toc303539159"/>
      <w:bookmarkStart w:id="895" w:name="_Toc297216211"/>
      <w:bookmarkStart w:id="896" w:name="_Toc297123552"/>
      <w:r>
        <w:rPr>
          <w:rFonts w:hint="eastAsia" w:ascii="宋体" w:hAnsi="宋体" w:eastAsia="宋体" w:cs="宋体"/>
          <w:color w:val="000000" w:themeColor="text1"/>
          <w:highlight w:val="none"/>
          <w14:textFill>
            <w14:solidFill>
              <w14:schemeClr w14:val="tx1"/>
            </w14:solidFill>
          </w14:textFill>
        </w:rPr>
        <w:t xml:space="preserve">12. </w:t>
      </w:r>
      <w:bookmarkEnd w:id="874"/>
      <w:bookmarkEnd w:id="875"/>
      <w:bookmarkEnd w:id="876"/>
      <w:bookmarkEnd w:id="877"/>
      <w:bookmarkEnd w:id="878"/>
      <w:bookmarkEnd w:id="879"/>
      <w:bookmarkEnd w:id="880"/>
      <w:bookmarkEnd w:id="881"/>
      <w:bookmarkEnd w:id="882"/>
      <w:bookmarkEnd w:id="883"/>
      <w:r>
        <w:rPr>
          <w:rFonts w:hint="eastAsia" w:ascii="宋体" w:hAnsi="宋体" w:eastAsia="宋体" w:cs="宋体"/>
          <w:color w:val="000000" w:themeColor="text1"/>
          <w:highlight w:val="none"/>
          <w14:textFill>
            <w14:solidFill>
              <w14:schemeClr w14:val="tx1"/>
            </w14:solidFill>
          </w14:textFill>
        </w:rPr>
        <w:t>合同价格、计量与支付</w:t>
      </w:r>
      <w:bookmarkEnd w:id="884"/>
      <w:bookmarkEnd w:id="885"/>
      <w:bookmarkEnd w:id="886"/>
      <w:bookmarkEnd w:id="887"/>
      <w:bookmarkEnd w:id="888"/>
      <w:bookmarkEnd w:id="889"/>
      <w:bookmarkEnd w:id="890"/>
    </w:p>
    <w:bookmarkEnd w:id="891"/>
    <w:bookmarkEnd w:id="892"/>
    <w:bookmarkEnd w:id="893"/>
    <w:bookmarkEnd w:id="894"/>
    <w:bookmarkEnd w:id="895"/>
    <w:bookmarkEnd w:id="896"/>
    <w:p w14:paraId="3AE36AE8">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897" w:name="_Toc292559916"/>
      <w:bookmarkStart w:id="898" w:name="_Toc267251461"/>
      <w:bookmarkStart w:id="899" w:name="_Toc292559411"/>
      <w:bookmarkStart w:id="900" w:name="_Toc296944545"/>
      <w:bookmarkStart w:id="901" w:name="_Toc297120506"/>
      <w:bookmarkStart w:id="902" w:name="_Toc296891246"/>
      <w:bookmarkStart w:id="903" w:name="_Toc296891034"/>
      <w:bookmarkStart w:id="904" w:name="_Toc296503206"/>
      <w:bookmarkStart w:id="905" w:name="_Toc297048392"/>
      <w:bookmarkStart w:id="906" w:name="_Toc296347205"/>
      <w:bookmarkStart w:id="907" w:name="_Toc296346707"/>
      <w:bookmarkStart w:id="908" w:name="_Toc373478396"/>
      <w:bookmarkStart w:id="909" w:name="_Toc1395756356"/>
      <w:bookmarkStart w:id="910" w:name="_Toc407135252"/>
      <w:bookmarkStart w:id="911" w:name="_Toc373227749"/>
      <w:bookmarkStart w:id="912" w:name="_Toc389065314"/>
      <w:bookmarkStart w:id="913" w:name="_Toc78449838"/>
      <w:bookmarkStart w:id="914" w:name="_Toc1894565429"/>
      <w:bookmarkStart w:id="915" w:name="_Toc297123553"/>
      <w:bookmarkStart w:id="916" w:name="_Toc300935003"/>
      <w:bookmarkStart w:id="917" w:name="_Toc312678041"/>
      <w:bookmarkStart w:id="918" w:name="_Toc303539160"/>
      <w:bookmarkStart w:id="919" w:name="_Toc297216212"/>
      <w:bookmarkStart w:id="920" w:name="_Toc304295580"/>
      <w:r>
        <w:rPr>
          <w:rFonts w:hint="eastAsia" w:ascii="宋体" w:hAnsi="宋体" w:eastAsia="宋体" w:cs="宋体"/>
          <w:color w:val="000000" w:themeColor="text1"/>
          <w:highlight w:val="none"/>
          <w14:textFill>
            <w14:solidFill>
              <w14:schemeClr w14:val="tx1"/>
            </w14:solidFill>
          </w14:textFill>
        </w:rPr>
        <w:t>12.1 合</w:t>
      </w:r>
      <w:bookmarkEnd w:id="897"/>
      <w:bookmarkEnd w:id="898"/>
      <w:bookmarkEnd w:id="899"/>
      <w:r>
        <w:rPr>
          <w:rFonts w:hint="eastAsia" w:ascii="宋体" w:hAnsi="宋体" w:eastAsia="宋体" w:cs="宋体"/>
          <w:color w:val="000000" w:themeColor="text1"/>
          <w:highlight w:val="none"/>
          <w14:textFill>
            <w14:solidFill>
              <w14:schemeClr w14:val="tx1"/>
            </w14:solidFill>
          </w14:textFill>
        </w:rPr>
        <w:t>同价</w:t>
      </w:r>
      <w:bookmarkEnd w:id="900"/>
      <w:bookmarkEnd w:id="901"/>
      <w:bookmarkEnd w:id="902"/>
      <w:bookmarkEnd w:id="903"/>
      <w:bookmarkEnd w:id="904"/>
      <w:bookmarkEnd w:id="905"/>
      <w:bookmarkEnd w:id="906"/>
      <w:bookmarkEnd w:id="907"/>
      <w:r>
        <w:rPr>
          <w:rFonts w:hint="eastAsia" w:ascii="宋体" w:hAnsi="宋体" w:eastAsia="宋体" w:cs="宋体"/>
          <w:color w:val="000000" w:themeColor="text1"/>
          <w:highlight w:val="none"/>
          <w14:textFill>
            <w14:solidFill>
              <w14:schemeClr w14:val="tx1"/>
            </w14:solidFill>
          </w14:textFill>
        </w:rPr>
        <w:t>格形式</w:t>
      </w:r>
      <w:bookmarkEnd w:id="908"/>
      <w:bookmarkEnd w:id="909"/>
      <w:bookmarkEnd w:id="910"/>
      <w:bookmarkEnd w:id="911"/>
      <w:bookmarkEnd w:id="912"/>
      <w:bookmarkEnd w:id="913"/>
      <w:bookmarkEnd w:id="914"/>
    </w:p>
    <w:bookmarkEnd w:id="915"/>
    <w:bookmarkEnd w:id="916"/>
    <w:bookmarkEnd w:id="917"/>
    <w:bookmarkEnd w:id="918"/>
    <w:bookmarkEnd w:id="919"/>
    <w:bookmarkEnd w:id="920"/>
    <w:p w14:paraId="462FDED4">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bookmarkStart w:id="921" w:name="_Toc373478397"/>
      <w:bookmarkStart w:id="922" w:name="_Toc373227750"/>
      <w:bookmarkStart w:id="923" w:name="_Toc389065315"/>
      <w:bookmarkStart w:id="924" w:name="_Toc297123554"/>
      <w:bookmarkStart w:id="925" w:name="_Toc303539161"/>
      <w:bookmarkStart w:id="926" w:name="_Toc312678042"/>
      <w:bookmarkStart w:id="927" w:name="_Toc304295581"/>
      <w:bookmarkStart w:id="928" w:name="_Toc300935004"/>
      <w:bookmarkStart w:id="929" w:name="_Toc297216213"/>
      <w:bookmarkStart w:id="930" w:name="_Toc292559412"/>
      <w:bookmarkStart w:id="931" w:name="_Toc292559917"/>
      <w:bookmarkStart w:id="932" w:name="_Toc296891035"/>
      <w:bookmarkStart w:id="933" w:name="_Toc296347206"/>
      <w:bookmarkStart w:id="934" w:name="_Toc296944546"/>
      <w:bookmarkStart w:id="935" w:name="_Toc297120507"/>
      <w:bookmarkStart w:id="936" w:name="_Toc297048393"/>
      <w:bookmarkStart w:id="937" w:name="_Toc296346708"/>
      <w:bookmarkStart w:id="938" w:name="_Toc296503207"/>
      <w:bookmarkStart w:id="939" w:name="_Toc296891247"/>
      <w:r>
        <w:rPr>
          <w:rFonts w:hint="eastAsia" w:ascii="宋体" w:hAnsi="宋体" w:eastAsia="宋体" w:cs="宋体"/>
          <w:color w:val="000000" w:themeColor="text1"/>
          <w:highlight w:val="none"/>
          <w14:textFill>
            <w14:solidFill>
              <w14:schemeClr w14:val="tx1"/>
            </w14:solidFill>
          </w14:textFill>
        </w:rPr>
        <w:t>本工程采用</w:t>
      </w:r>
      <w:r>
        <w:rPr>
          <w:rFonts w:hint="eastAsia" w:ascii="宋体" w:hAnsi="宋体" w:eastAsia="宋体" w:cs="宋体"/>
          <w:color w:val="000000" w:themeColor="text1"/>
          <w:highlight w:val="none"/>
          <w:u w:val="single"/>
          <w14:textFill>
            <w14:solidFill>
              <w14:schemeClr w14:val="tx1"/>
            </w14:solidFill>
          </w14:textFill>
        </w:rPr>
        <w:t xml:space="preserve">  </w:t>
      </w:r>
      <w:r>
        <w:rPr>
          <w:rStyle w:val="22"/>
          <w:rFonts w:hint="eastAsia" w:ascii="宋体" w:hAnsi="宋体" w:eastAsia="宋体" w:cs="宋体"/>
          <w:color w:val="000000" w:themeColor="text1"/>
          <w:highlight w:val="none"/>
          <w:u w:val="single"/>
          <w14:textFill>
            <w14:solidFill>
              <w14:schemeClr w14:val="tx1"/>
            </w14:solidFill>
          </w14:textFill>
        </w:rPr>
        <w:t xml:space="preserve">固定综合单价，总价可调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合同价格形式，合同价格包含增值税，本工程计价时采用的增值税计税方法为：■一般计税法   □简易计税法。</w:t>
      </w:r>
    </w:p>
    <w:p w14:paraId="5D81BCA8">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（1）单价合同。</w:t>
      </w:r>
    </w:p>
    <w:p w14:paraId="65EC996D">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采用综合单价合同方式时，工程量按建设单位、监理单位、施工单位三方确认的竣工图结算。</w:t>
      </w:r>
    </w:p>
    <w:p w14:paraId="2A948618">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综合单价包含的风险范围：</w:t>
      </w:r>
      <w:r>
        <w:rPr>
          <w:rFonts w:hint="eastAsia" w:ascii="宋体" w:hAnsi="宋体" w:eastAsia="宋体" w:cs="宋体"/>
          <w:color w:val="000000" w:themeColor="text1"/>
          <w:highlight w:val="none"/>
          <w:u w:val="single"/>
          <w14:textFill>
            <w14:solidFill>
              <w14:schemeClr w14:val="tx1"/>
            </w14:solidFill>
          </w14:textFill>
        </w:rPr>
        <w:t>除工程变更、项目特征不符、工程量清单缺项、工程量偏差、政策性调整、市场价格波动。</w:t>
      </w:r>
    </w:p>
    <w:p w14:paraId="5F69B4E6">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风险范围以外合同价格的调整方法：</w:t>
      </w:r>
    </w:p>
    <w:p w14:paraId="0E4AA19B">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①工程变更、项目特征不符、工程量清单缺项：按10.4.1变更估价原则的约定调整。</w:t>
      </w:r>
    </w:p>
    <w:p w14:paraId="729996CD">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②工程量偏差：按1.13工程量清单错误修正的约定调整。</w:t>
      </w:r>
    </w:p>
    <w:p w14:paraId="31DC93B5">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③政策性调整：按国家、自治区住房城乡建设厅或工程所在地</w:t>
      </w:r>
      <w:r>
        <w:rPr>
          <w:rFonts w:hint="eastAsia" w:ascii="宋体" w:hAnsi="宋体" w:eastAsia="宋体" w:cs="宋体"/>
          <w:color w:val="000000" w:themeColor="text1"/>
          <w:szCs w:val="21"/>
          <w:highlight w:val="none"/>
          <w14:textFill>
            <w14:solidFill>
              <w14:schemeClr w14:val="tx1"/>
            </w14:solidFill>
          </w14:textFill>
        </w:rPr>
        <w:t>市级</w:t>
      </w:r>
      <w:r>
        <w:rPr>
          <w:rFonts w:hint="eastAsia" w:ascii="宋体" w:hAnsi="宋体" w:eastAsia="宋体" w:cs="宋体"/>
          <w:color w:val="000000" w:themeColor="text1"/>
          <w:highlight w:val="none"/>
          <w14:textFill>
            <w14:solidFill>
              <w14:schemeClr w14:val="tx1"/>
            </w14:solidFill>
          </w14:textFill>
        </w:rPr>
        <w:t>住房城乡建设主管部门颁布的文件执行。</w:t>
      </w:r>
    </w:p>
    <w:p w14:paraId="4A5A6DAF">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④市场波动引起的调整：按11.1的约定调整。</w:t>
      </w:r>
    </w:p>
    <w:p w14:paraId="7098C275">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⑤其它：</w:t>
      </w:r>
      <w:r>
        <w:rPr>
          <w:rFonts w:hint="eastAsia" w:ascii="宋体" w:hAnsi="宋体" w:eastAsia="宋体" w:cs="宋体"/>
          <w:color w:val="000000" w:themeColor="text1"/>
          <w:highlight w:val="none"/>
          <w:u w:val="single"/>
          <w14:textFill>
            <w14:solidFill>
              <w14:schemeClr w14:val="tx1"/>
            </w14:solidFill>
          </w14:textFill>
        </w:rPr>
        <w:t xml:space="preserve">           /                                       </w:t>
      </w:r>
      <w:r>
        <w:rPr>
          <w:rFonts w:hint="eastAsia" w:ascii="宋体" w:hAnsi="宋体" w:eastAsia="宋体" w:cs="宋体"/>
          <w:color w:val="000000" w:themeColor="text1"/>
          <w:highlight w:val="none"/>
          <w14:textFill>
            <w14:solidFill>
              <w14:schemeClr w14:val="tx1"/>
            </w14:solidFill>
          </w14:textFill>
        </w:rPr>
        <w:t>。</w:t>
      </w:r>
    </w:p>
    <w:p w14:paraId="26DFEC62">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（2）总价合同。</w:t>
      </w:r>
    </w:p>
    <w:p w14:paraId="793184AE">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总价包含的风险范围：包含除工程变更、政策性调整、</w:t>
      </w:r>
      <w:r>
        <w:rPr>
          <w:rFonts w:hint="eastAsia" w:ascii="宋体" w:hAnsi="宋体" w:eastAsia="宋体" w:cs="宋体"/>
          <w:color w:val="000000" w:themeColor="text1"/>
          <w:highlight w:val="none"/>
          <w:u w:val="single"/>
          <w14:textFill>
            <w14:solidFill>
              <w14:schemeClr w14:val="tx1"/>
            </w14:solidFill>
          </w14:textFill>
        </w:rPr>
        <w:t xml:space="preserve">市场价格波动。除工程变更外，结算时不再对招标施工图对应的工程量重新计量    </w:t>
      </w:r>
      <w:r>
        <w:rPr>
          <w:rFonts w:hint="eastAsia" w:ascii="宋体" w:hAnsi="宋体" w:eastAsia="宋体" w:cs="宋体"/>
          <w:color w:val="000000" w:themeColor="text1"/>
          <w:highlight w:val="none"/>
          <w14:textFill>
            <w14:solidFill>
              <w14:schemeClr w14:val="tx1"/>
            </w14:solidFill>
          </w14:textFill>
        </w:rPr>
        <w:t>。</w:t>
      </w:r>
    </w:p>
    <w:p w14:paraId="649D4C34">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风险范围以外合同价格的调整方法：</w:t>
      </w:r>
    </w:p>
    <w:p w14:paraId="490AE2C3">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①工程变更：按10.4.1变更估价原则的约定调整。</w:t>
      </w:r>
    </w:p>
    <w:p w14:paraId="46F65EBA">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②政策性调整：按国家、自治区住房城乡建设厅或工程所在地市级住房城乡建设主管部门颁布的文件执行。</w:t>
      </w:r>
    </w:p>
    <w:p w14:paraId="4CB1CEA3">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③市场波动引起的调整：按11.1的约定调整。</w:t>
      </w:r>
    </w:p>
    <w:p w14:paraId="4E9C5985">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 4 \* GB3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④</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其它：</w:t>
      </w:r>
      <w:r>
        <w:rPr>
          <w:rFonts w:hint="eastAsia" w:ascii="宋体" w:hAnsi="宋体" w:eastAsia="宋体" w:cs="宋体"/>
          <w:color w:val="000000" w:themeColor="text1"/>
          <w:highlight w:val="none"/>
          <w:u w:val="single"/>
          <w14:textFill>
            <w14:solidFill>
              <w14:schemeClr w14:val="tx1"/>
            </w14:solidFill>
          </w14:textFill>
        </w:rPr>
        <w:t xml:space="preserve">               /                                   </w:t>
      </w:r>
      <w:r>
        <w:rPr>
          <w:rFonts w:hint="eastAsia" w:ascii="宋体" w:hAnsi="宋体" w:eastAsia="宋体" w:cs="宋体"/>
          <w:color w:val="000000" w:themeColor="text1"/>
          <w:highlight w:val="none"/>
          <w14:textFill>
            <w14:solidFill>
              <w14:schemeClr w14:val="tx1"/>
            </w14:solidFill>
          </w14:textFill>
        </w:rPr>
        <w:t>。</w:t>
      </w:r>
    </w:p>
    <w:p w14:paraId="074E14B9">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（3）其他价格方式：</w:t>
      </w:r>
      <w:r>
        <w:rPr>
          <w:rFonts w:hint="eastAsia" w:ascii="宋体" w:hAnsi="宋体" w:eastAsia="宋体" w:cs="宋体"/>
          <w:color w:val="000000" w:themeColor="text1"/>
          <w:highlight w:val="none"/>
          <w:u w:val="single"/>
          <w14:textFill>
            <w14:solidFill>
              <w14:schemeClr w14:val="tx1"/>
            </w14:solidFill>
          </w14:textFill>
        </w:rPr>
        <w:t xml:space="preserve">               /                        </w:t>
      </w:r>
      <w:r>
        <w:rPr>
          <w:rFonts w:hint="eastAsia" w:ascii="宋体" w:hAnsi="宋体" w:eastAsia="宋体" w:cs="宋体"/>
          <w:color w:val="000000" w:themeColor="text1"/>
          <w:highlight w:val="none"/>
          <w14:textFill>
            <w14:solidFill>
              <w14:schemeClr w14:val="tx1"/>
            </w14:solidFill>
          </w14:textFill>
        </w:rPr>
        <w:t>。</w:t>
      </w:r>
    </w:p>
    <w:p w14:paraId="5BD24F77">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940" w:name="_Toc407135253"/>
      <w:bookmarkStart w:id="941" w:name="_Toc1681900246"/>
      <w:bookmarkStart w:id="942" w:name="_Toc78449839"/>
      <w:bookmarkStart w:id="943" w:name="_Toc1338560546"/>
      <w:r>
        <w:rPr>
          <w:rFonts w:hint="eastAsia" w:ascii="宋体" w:hAnsi="宋体" w:eastAsia="宋体" w:cs="宋体"/>
          <w:color w:val="000000" w:themeColor="text1"/>
          <w:highlight w:val="none"/>
          <w14:textFill>
            <w14:solidFill>
              <w14:schemeClr w14:val="tx1"/>
            </w14:solidFill>
          </w14:textFill>
        </w:rPr>
        <w:t>12.2 预付款</w:t>
      </w:r>
      <w:bookmarkEnd w:id="921"/>
      <w:bookmarkEnd w:id="922"/>
      <w:bookmarkEnd w:id="923"/>
      <w:bookmarkEnd w:id="940"/>
      <w:bookmarkEnd w:id="941"/>
      <w:bookmarkEnd w:id="942"/>
      <w:bookmarkEnd w:id="943"/>
    </w:p>
    <w:bookmarkEnd w:id="924"/>
    <w:bookmarkEnd w:id="925"/>
    <w:bookmarkEnd w:id="926"/>
    <w:bookmarkEnd w:id="927"/>
    <w:bookmarkEnd w:id="928"/>
    <w:bookmarkEnd w:id="929"/>
    <w:p w14:paraId="6EB0DF78">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12.2.1 预付款的支付</w:t>
      </w:r>
    </w:p>
    <w:p w14:paraId="38F054D0">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预付款支付比例或金额：</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签订合同总价（扣除暂列金额、专业暂估价）的30%。  </w:t>
      </w:r>
    </w:p>
    <w:p w14:paraId="5B73B107">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预付款支付期限：</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lang w:eastAsia="zh-CN"/>
          <w14:textFill>
            <w14:solidFill>
              <w14:schemeClr w14:val="tx1"/>
            </w14:solidFill>
          </w14:textFill>
        </w:rPr>
        <w:t>签订合同后承包人用于主体施工的人员、设备、材料进场满足大规模开工要求，经发包人确定后</w:t>
      </w:r>
      <w:r>
        <w:rPr>
          <w:rFonts w:hint="eastAsia" w:ascii="宋体" w:hAnsi="宋体" w:eastAsia="宋体" w:cs="宋体"/>
          <w:color w:val="000000" w:themeColor="text1"/>
          <w:highlight w:val="none"/>
          <w:u w:val="single"/>
          <w:lang w:val="en-US" w:eastAsia="zh-CN"/>
          <w14:textFill>
            <w14:solidFill>
              <w14:schemeClr w14:val="tx1"/>
            </w14:solidFill>
          </w14:textFill>
        </w:rPr>
        <w:t>15日内</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w:t>
      </w:r>
    </w:p>
    <w:p w14:paraId="51B32FF5">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预付款扣回的方式：</w:t>
      </w:r>
      <w:r>
        <w:rPr>
          <w:rFonts w:hint="eastAsia" w:ascii="宋体" w:hAnsi="宋体" w:eastAsia="宋体" w:cs="宋体"/>
          <w:color w:val="000000" w:themeColor="text1"/>
          <w:highlight w:val="none"/>
          <w:u w:val="single"/>
          <w:lang w:val="en-US" w:eastAsia="zh-CN"/>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w:t>
      </w:r>
    </w:p>
    <w:p w14:paraId="3A8B0E06">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领取中标通知书后，应与发包人共同设立本项目银行共管账户，用于预付款的支付。预付款支付至共管账户后，承包方必须专款专用，款项支付须经发包方确认。共管期内发包人有权监督、查询银行专用账户内发生的资金收支活动。</w:t>
      </w:r>
    </w:p>
    <w:p w14:paraId="00281650">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12.2.2 预付款担保</w:t>
      </w:r>
    </w:p>
    <w:p w14:paraId="7AA5A190">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承包人提交预付款担保的期限：</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w:t>
      </w:r>
    </w:p>
    <w:p w14:paraId="3D829559">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预付款担保的形式为：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2EBBB14C">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预付款担保格式见合同附件8。预付款支付申请（核准）表见合同附件10</w:t>
      </w:r>
    </w:p>
    <w:bookmarkEnd w:id="930"/>
    <w:bookmarkEnd w:id="931"/>
    <w:bookmarkEnd w:id="932"/>
    <w:bookmarkEnd w:id="933"/>
    <w:bookmarkEnd w:id="934"/>
    <w:bookmarkEnd w:id="935"/>
    <w:bookmarkEnd w:id="936"/>
    <w:bookmarkEnd w:id="937"/>
    <w:bookmarkEnd w:id="938"/>
    <w:bookmarkEnd w:id="939"/>
    <w:p w14:paraId="25DE29BB">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944" w:name="_Toc407135254"/>
      <w:bookmarkStart w:id="945" w:name="_Toc78449840"/>
      <w:bookmarkStart w:id="946" w:name="_Toc389065316"/>
      <w:bookmarkStart w:id="947" w:name="_Toc1307224940"/>
      <w:bookmarkStart w:id="948" w:name="_Toc373478398"/>
      <w:bookmarkStart w:id="949" w:name="_Toc373227751"/>
      <w:bookmarkStart w:id="950" w:name="_Toc1494831447"/>
      <w:r>
        <w:rPr>
          <w:rFonts w:hint="eastAsia" w:ascii="宋体" w:hAnsi="宋体" w:eastAsia="宋体" w:cs="宋体"/>
          <w:color w:val="000000" w:themeColor="text1"/>
          <w:highlight w:val="none"/>
          <w14:textFill>
            <w14:solidFill>
              <w14:schemeClr w14:val="tx1"/>
            </w14:solidFill>
          </w14:textFill>
        </w:rPr>
        <w:t>12.3 计量</w:t>
      </w:r>
      <w:bookmarkEnd w:id="944"/>
      <w:bookmarkEnd w:id="945"/>
      <w:bookmarkEnd w:id="946"/>
      <w:bookmarkEnd w:id="947"/>
      <w:bookmarkEnd w:id="948"/>
      <w:bookmarkEnd w:id="949"/>
      <w:bookmarkEnd w:id="950"/>
    </w:p>
    <w:p w14:paraId="3499D0A0">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12.3.1 计量原则</w:t>
      </w:r>
    </w:p>
    <w:p w14:paraId="45AD1925">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工程量计算规则：</w:t>
      </w:r>
      <w:r>
        <w:rPr>
          <w:rFonts w:hint="eastAsia" w:ascii="宋体" w:hAnsi="宋体" w:eastAsia="宋体" w:cs="宋体"/>
          <w:color w:val="000000" w:themeColor="text1"/>
          <w:highlight w:val="none"/>
          <w:u w:val="single"/>
          <w14:textFill>
            <w14:solidFill>
              <w14:schemeClr w14:val="tx1"/>
            </w14:solidFill>
          </w14:textFill>
        </w:rPr>
        <w:t>工程的计量均以《建设工程工程量清单计价规范》（GB50500－2013）及广西壮族自治区实施细则、《建设工程工程量清单计算规范》（GB50854~50862－2013）及广西实施细则、本工程补充项目清单为准。</w:t>
      </w:r>
    </w:p>
    <w:p w14:paraId="05CAB037">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12.3.2 计量周期</w:t>
      </w:r>
    </w:p>
    <w:p w14:paraId="656B43DB">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关于计量周期的约定：</w:t>
      </w:r>
      <w:r>
        <w:rPr>
          <w:rFonts w:hint="eastAsia" w:ascii="宋体" w:hAnsi="宋体" w:eastAsia="宋体" w:cs="宋体"/>
          <w:color w:val="000000" w:themeColor="text1"/>
          <w:highlight w:val="none"/>
          <w:u w:val="single"/>
          <w14:textFill>
            <w14:solidFill>
              <w14:schemeClr w14:val="tx1"/>
            </w14:solidFill>
          </w14:textFill>
        </w:rPr>
        <w:t>每月5日前</w:t>
      </w:r>
      <w:r>
        <w:rPr>
          <w:rFonts w:hint="eastAsia" w:ascii="宋体" w:hAnsi="宋体" w:eastAsia="宋体" w:cs="宋体"/>
          <w:color w:val="000000" w:themeColor="text1"/>
          <w:highlight w:val="none"/>
          <w14:textFill>
            <w14:solidFill>
              <w14:schemeClr w14:val="tx1"/>
            </w14:solidFill>
          </w14:textFill>
        </w:rPr>
        <w:t>。</w:t>
      </w:r>
    </w:p>
    <w:p w14:paraId="1BA4E49D">
      <w:pPr>
        <w:pageBreakBefore w:val="0"/>
        <w:widowControl w:val="0"/>
        <w:kinsoku/>
        <w:wordWrap/>
        <w:overflowPunct/>
        <w:topLinePunct w:val="0"/>
        <w:bidi w:val="0"/>
        <w:snapToGrid w:val="0"/>
        <w:spacing w:line="360" w:lineRule="auto"/>
        <w:ind w:firstLine="420" w:firstLineChars="200"/>
        <w:jc w:val="left"/>
        <w:outlineLvl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12.3.3 单价合同的计量</w:t>
      </w:r>
    </w:p>
    <w:p w14:paraId="1F745441">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关于单价合同计量的约定：</w:t>
      </w:r>
    </w:p>
    <w:p w14:paraId="0DA2A3CE">
      <w:pPr>
        <w:pageBreakBefore w:val="0"/>
        <w:widowControl w:val="0"/>
        <w:kinsoku/>
        <w:wordWrap/>
        <w:overflowPunct/>
        <w:topLinePunct w:val="0"/>
        <w:bidi w:val="0"/>
        <w:snapToGrid w:val="0"/>
        <w:spacing w:line="360" w:lineRule="auto"/>
        <w:ind w:firstLine="441" w:firstLineChars="21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 工程量清单所列的工程量，不能作为承包人按合同履行其责任依据，实际施工中发生的工程量增加或减少并不影响承包人履行合同的责任，工程结算以完成的实际工程量为准。</w:t>
      </w:r>
    </w:p>
    <w:p w14:paraId="3C147A41">
      <w:pPr>
        <w:pageBreakBefore w:val="0"/>
        <w:widowControl w:val="0"/>
        <w:kinsoku/>
        <w:wordWrap/>
        <w:overflowPunct/>
        <w:topLinePunct w:val="0"/>
        <w:bidi w:val="0"/>
        <w:snapToGrid w:val="0"/>
        <w:spacing w:line="360" w:lineRule="auto"/>
        <w:ind w:firstLine="441" w:firstLineChars="21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 除另有规定外，工程师应按照合同通过计量来核实确定已完成的工程量和价款，承包人应得到该价款扣除保留金后的金额。当工程师要对已完工的工程量进行计量时，应适时地通知承包人参加。</w:t>
      </w:r>
    </w:p>
    <w:p w14:paraId="00BDC139">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12.3.4 总价合同的计量</w:t>
      </w:r>
    </w:p>
    <w:p w14:paraId="64F040A4">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（1）总价合同计量约定：进度款按支付分解表支付</w:t>
      </w:r>
      <w:r>
        <w:rPr>
          <w:rFonts w:hint="eastAsia" w:ascii="宋体" w:hAnsi="宋体" w:eastAsia="宋体" w:cs="宋体"/>
          <w:color w:val="000000" w:themeColor="text1"/>
          <w:kern w:val="0"/>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支付分解表在招标完成后签合同之前制定，具体详见本专用合同条款12.4.6。</w:t>
      </w:r>
    </w:p>
    <w:p w14:paraId="1FBAA696">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12.3.6 其他价格形式合同的计量</w:t>
      </w:r>
    </w:p>
    <w:p w14:paraId="6D24F4E1">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其他价格形式的计量方式和程序：</w:t>
      </w:r>
      <w:r>
        <w:rPr>
          <w:rFonts w:hint="eastAsia" w:ascii="宋体" w:hAnsi="宋体" w:eastAsia="宋体" w:cs="宋体"/>
          <w:color w:val="000000" w:themeColor="text1"/>
          <w:highlight w:val="none"/>
          <w:u w:val="single"/>
          <w14:textFill>
            <w14:solidFill>
              <w14:schemeClr w14:val="tx1"/>
            </w14:solidFill>
          </w14:textFill>
        </w:rPr>
        <w:t xml:space="preserve">            /             </w:t>
      </w:r>
      <w:r>
        <w:rPr>
          <w:rFonts w:hint="eastAsia" w:ascii="宋体" w:hAnsi="宋体" w:eastAsia="宋体" w:cs="宋体"/>
          <w:color w:val="000000" w:themeColor="text1"/>
          <w:highlight w:val="none"/>
          <w14:textFill>
            <w14:solidFill>
              <w14:schemeClr w14:val="tx1"/>
            </w14:solidFill>
          </w14:textFill>
        </w:rPr>
        <w:t>。</w:t>
      </w:r>
    </w:p>
    <w:p w14:paraId="162FEBC7">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951" w:name="_Toc373227752"/>
      <w:bookmarkStart w:id="952" w:name="_Toc1711431123"/>
      <w:bookmarkStart w:id="953" w:name="_Toc78449841"/>
      <w:bookmarkStart w:id="954" w:name="_Toc407135255"/>
      <w:bookmarkStart w:id="955" w:name="_Toc389065317"/>
      <w:bookmarkStart w:id="956" w:name="_Toc373478399"/>
      <w:bookmarkStart w:id="957" w:name="_Toc1155368667"/>
      <w:r>
        <w:rPr>
          <w:rFonts w:hint="eastAsia" w:ascii="宋体" w:hAnsi="宋体" w:eastAsia="宋体" w:cs="宋体"/>
          <w:color w:val="000000" w:themeColor="text1"/>
          <w:highlight w:val="none"/>
          <w14:textFill>
            <w14:solidFill>
              <w14:schemeClr w14:val="tx1"/>
            </w14:solidFill>
          </w14:textFill>
        </w:rPr>
        <w:t>12.4 工程进度款支付</w:t>
      </w:r>
      <w:bookmarkEnd w:id="951"/>
      <w:bookmarkEnd w:id="952"/>
      <w:bookmarkEnd w:id="953"/>
      <w:bookmarkEnd w:id="954"/>
      <w:bookmarkEnd w:id="955"/>
      <w:bookmarkEnd w:id="956"/>
      <w:bookmarkEnd w:id="957"/>
    </w:p>
    <w:p w14:paraId="00DF302C">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bookmarkStart w:id="958" w:name="_Toc297048397"/>
      <w:bookmarkStart w:id="959" w:name="_Toc296346712"/>
      <w:bookmarkStart w:id="960" w:name="_Toc297120511"/>
      <w:bookmarkStart w:id="961" w:name="_Toc296503211"/>
      <w:bookmarkStart w:id="962" w:name="_Toc297216215"/>
      <w:bookmarkStart w:id="963" w:name="_Toc292559921"/>
      <w:bookmarkStart w:id="964" w:name="_Toc296347210"/>
      <w:bookmarkStart w:id="965" w:name="_Toc292559416"/>
      <w:bookmarkStart w:id="966" w:name="_Toc300935006"/>
      <w:bookmarkStart w:id="967" w:name="_Toc296891039"/>
      <w:bookmarkStart w:id="968" w:name="_Toc296944550"/>
      <w:bookmarkStart w:id="969" w:name="_Toc296891251"/>
      <w:bookmarkStart w:id="970" w:name="_Toc303539163"/>
      <w:bookmarkStart w:id="971" w:name="_Toc297123556"/>
      <w:r>
        <w:rPr>
          <w:rFonts w:hint="eastAsia" w:ascii="宋体" w:hAnsi="宋体" w:eastAsia="宋体" w:cs="宋体"/>
          <w:color w:val="000000" w:themeColor="text1"/>
          <w:highlight w:val="none"/>
          <w14:textFill>
            <w14:solidFill>
              <w14:schemeClr w14:val="tx1"/>
            </w14:solidFill>
          </w14:textFill>
        </w:rPr>
        <w:t>12.4.1 付款周期</w:t>
      </w:r>
    </w:p>
    <w:p w14:paraId="0370999E">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lang w:val="en-US" w:eastAsia="zh-CN"/>
          <w14:textFill>
            <w14:solidFill>
              <w14:schemeClr w14:val="tx1"/>
            </w14:solidFill>
          </w14:textFill>
        </w:rPr>
      </w:pPr>
      <w:bookmarkStart w:id="972" w:name="OLE_LINK5"/>
      <w:r>
        <w:rPr>
          <w:rFonts w:hint="eastAsia" w:ascii="宋体" w:hAnsi="宋体" w:eastAsia="宋体" w:cs="宋体"/>
          <w:color w:val="000000" w:themeColor="text1"/>
          <w:highlight w:val="none"/>
          <w:lang w:eastAsia="zh-CN"/>
          <w14:textFill>
            <w14:solidFill>
              <w14:schemeClr w14:val="tx1"/>
            </w14:solidFill>
          </w14:textFill>
        </w:rPr>
        <w:t>关于付款周期的约定</w:t>
      </w:r>
      <w:r>
        <w:rPr>
          <w:rFonts w:hint="eastAsia" w:ascii="宋体" w:hAnsi="宋体" w:eastAsia="宋体" w:cs="宋体"/>
          <w:color w:val="000000" w:themeColor="text1"/>
          <w:highlight w:val="none"/>
          <w:u w:val="single"/>
          <w:lang w:eastAsia="zh-CN"/>
          <w14:textFill>
            <w14:solidFill>
              <w14:schemeClr w14:val="tx1"/>
            </w14:solidFill>
          </w14:textFill>
        </w:rPr>
        <w:t>：</w:t>
      </w:r>
      <w:r>
        <w:rPr>
          <w:rFonts w:hint="eastAsia" w:ascii="宋体" w:hAnsi="宋体" w:eastAsia="宋体" w:cs="宋体"/>
          <w:color w:val="000000" w:themeColor="text1"/>
          <w:highlight w:val="none"/>
          <w:u w:val="single"/>
          <w:lang w:val="en-US" w:eastAsia="zh-CN"/>
          <w14:textFill>
            <w14:solidFill>
              <w14:schemeClr w14:val="tx1"/>
            </w14:solidFill>
          </w14:textFill>
        </w:rPr>
        <w:t>1、工程启动资金的拨付：合同签订后乙方可向甲方申请合同总价的30%的项目预付款作为启动资金；2、工程进度款的拨付：工程进度验收合格后，乙方可以向甲方申请拨付进度款，进度款按规定程序最多付至合同总价的80%（含已支付的启动资金）；3、工程全部竣工后，甲方组织相关人员进行实地验收合格后，乙方需提交资料向甲方申请结算，竣工结算款付至结算价的97%；4、工程竣工验收结算价的3%作为质保金，质保期满后进行二次验收，实施工程无质量问题，由乙方提出申请返还。</w:t>
      </w:r>
    </w:p>
    <w:bookmarkEnd w:id="972"/>
    <w:p w14:paraId="2D96168D">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12.4.2 进度付款申请单的编制</w:t>
      </w:r>
    </w:p>
    <w:p w14:paraId="03B0CE7A">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关于进度付款申请单编制的约定：</w:t>
      </w:r>
      <w:r>
        <w:rPr>
          <w:rFonts w:hint="eastAsia" w:ascii="宋体" w:hAnsi="宋体" w:eastAsia="宋体" w:cs="宋体"/>
          <w:color w:val="000000" w:themeColor="text1"/>
          <w:highlight w:val="none"/>
          <w:u w:val="single"/>
          <w14:textFill>
            <w14:solidFill>
              <w14:schemeClr w14:val="tx1"/>
            </w14:solidFill>
          </w14:textFill>
        </w:rPr>
        <w:t xml:space="preserve">   按通用条款执行   </w:t>
      </w:r>
      <w:r>
        <w:rPr>
          <w:rFonts w:hint="eastAsia" w:ascii="宋体" w:hAnsi="宋体" w:eastAsia="宋体" w:cs="宋体"/>
          <w:color w:val="000000" w:themeColor="text1"/>
          <w:highlight w:val="none"/>
          <w14:textFill>
            <w14:solidFill>
              <w14:schemeClr w14:val="tx1"/>
            </w14:solidFill>
          </w14:textFill>
        </w:rPr>
        <w:t>。</w:t>
      </w:r>
    </w:p>
    <w:p w14:paraId="01716C3D">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r>
        <w:rPr>
          <w:rFonts w:hint="eastAsia" w:ascii="宋体" w:hAnsi="宋体" w:eastAsia="宋体" w:cs="宋体"/>
          <w:color w:val="000000" w:themeColor="text1"/>
          <w:highlight w:val="none"/>
          <w14:textFill>
            <w14:solidFill>
              <w14:schemeClr w14:val="tx1"/>
            </w14:solidFill>
          </w14:textFill>
        </w:rPr>
        <w:t>2.4.3 进度付款申请单的提交</w:t>
      </w:r>
    </w:p>
    <w:p w14:paraId="491D1566">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（1）单价合同进度付款申请单提交的约定：</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lang w:val="en-US" w:eastAsia="zh-CN"/>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w:t>
      </w:r>
    </w:p>
    <w:p w14:paraId="093286D6">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（2）总价合同进度付款申请单提交的约定：</w:t>
      </w:r>
      <w:r>
        <w:rPr>
          <w:rFonts w:hint="eastAsia" w:ascii="宋体" w:hAnsi="宋体" w:eastAsia="宋体" w:cs="宋体"/>
          <w:color w:val="000000" w:themeColor="text1"/>
          <w:highlight w:val="none"/>
          <w:u w:val="single"/>
          <w14:textFill>
            <w14:solidFill>
              <w14:schemeClr w14:val="tx1"/>
            </w14:solidFill>
          </w14:textFill>
        </w:rPr>
        <w:t xml:space="preserve">     按通用条款执行         </w:t>
      </w:r>
      <w:r>
        <w:rPr>
          <w:rFonts w:hint="eastAsia" w:ascii="宋体" w:hAnsi="宋体" w:eastAsia="宋体" w:cs="宋体"/>
          <w:color w:val="000000" w:themeColor="text1"/>
          <w:highlight w:val="none"/>
          <w14:textFill>
            <w14:solidFill>
              <w14:schemeClr w14:val="tx1"/>
            </w14:solidFill>
          </w14:textFill>
        </w:rPr>
        <w:t>。</w:t>
      </w:r>
    </w:p>
    <w:p w14:paraId="13855350">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（3）其他价格形式合同进度付款申请单提交的约定：</w:t>
      </w:r>
      <w:r>
        <w:rPr>
          <w:rFonts w:hint="eastAsia" w:ascii="宋体" w:hAnsi="宋体" w:eastAsia="宋体" w:cs="宋体"/>
          <w:color w:val="000000" w:themeColor="text1"/>
          <w:highlight w:val="none"/>
          <w:u w:val="single"/>
          <w14:textFill>
            <w14:solidFill>
              <w14:schemeClr w14:val="tx1"/>
            </w14:solidFill>
          </w14:textFill>
        </w:rPr>
        <w:t xml:space="preserve">            /                 </w:t>
      </w:r>
      <w:r>
        <w:rPr>
          <w:rFonts w:hint="eastAsia" w:ascii="宋体" w:hAnsi="宋体" w:eastAsia="宋体" w:cs="宋体"/>
          <w:color w:val="000000" w:themeColor="text1"/>
          <w:highlight w:val="none"/>
          <w14:textFill>
            <w14:solidFill>
              <w14:schemeClr w14:val="tx1"/>
            </w14:solidFill>
          </w14:textFill>
        </w:rPr>
        <w:t>。</w:t>
      </w:r>
    </w:p>
    <w:p w14:paraId="0D10C9D2">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12.4.4 进度款审核和支付</w:t>
      </w:r>
    </w:p>
    <w:p w14:paraId="5D2B6295">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（1）监理人审查并报送发包人的期限：</w:t>
      </w:r>
      <w:r>
        <w:rPr>
          <w:rFonts w:hint="eastAsia" w:ascii="宋体" w:hAnsi="宋体" w:eastAsia="宋体" w:cs="宋体"/>
          <w:color w:val="000000" w:themeColor="text1"/>
          <w:highlight w:val="none"/>
          <w:u w:val="single"/>
          <w14:textFill>
            <w14:solidFill>
              <w14:schemeClr w14:val="tx1"/>
            </w14:solidFill>
          </w14:textFill>
        </w:rPr>
        <w:t xml:space="preserve">  按通用条款执行，无特殊约定  </w:t>
      </w:r>
      <w:r>
        <w:rPr>
          <w:rFonts w:hint="eastAsia" w:ascii="宋体" w:hAnsi="宋体" w:eastAsia="宋体" w:cs="宋体"/>
          <w:color w:val="000000" w:themeColor="text1"/>
          <w:highlight w:val="none"/>
          <w14:textFill>
            <w14:solidFill>
              <w14:schemeClr w14:val="tx1"/>
            </w14:solidFill>
          </w14:textFill>
        </w:rPr>
        <w:t>。</w:t>
      </w:r>
    </w:p>
    <w:p w14:paraId="11056F76">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发包人完成审批并签发进度款支付证书的期限：</w:t>
      </w:r>
      <w:r>
        <w:rPr>
          <w:rFonts w:hint="eastAsia" w:ascii="宋体" w:hAnsi="宋体" w:eastAsia="宋体" w:cs="宋体"/>
          <w:color w:val="000000" w:themeColor="text1"/>
          <w:highlight w:val="none"/>
          <w:u w:val="single"/>
          <w14:textFill>
            <w14:solidFill>
              <w14:schemeClr w14:val="tx1"/>
            </w14:solidFill>
          </w14:textFill>
        </w:rPr>
        <w:t xml:space="preserve"> 监理人应在收到承包人进度付款申请单以及相关资料后14天内完成审查并报送发包人，发包人应在收到后14天内完成审批并签发进度款支付证书。发包人逾期未完成审批且未提出异议的，视为已签发进度款支付证书    </w:t>
      </w:r>
      <w:r>
        <w:rPr>
          <w:rFonts w:hint="eastAsia" w:ascii="宋体" w:hAnsi="宋体" w:eastAsia="宋体" w:cs="宋体"/>
          <w:color w:val="000000" w:themeColor="text1"/>
          <w:highlight w:val="none"/>
          <w14:textFill>
            <w14:solidFill>
              <w14:schemeClr w14:val="tx1"/>
            </w14:solidFill>
          </w14:textFill>
        </w:rPr>
        <w:t>。</w:t>
      </w:r>
    </w:p>
    <w:p w14:paraId="53B678EC">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（2）发包人支付进度款的期限：</w:t>
      </w:r>
      <w:r>
        <w:rPr>
          <w:rFonts w:hint="eastAsia" w:ascii="宋体" w:hAnsi="宋体" w:eastAsia="宋体" w:cs="宋体"/>
          <w:color w:val="000000" w:themeColor="text1"/>
          <w:highlight w:val="none"/>
          <w:u w:val="single"/>
          <w14:textFill>
            <w14:solidFill>
              <w14:schemeClr w14:val="tx1"/>
            </w14:solidFill>
          </w14:textFill>
        </w:rPr>
        <w:t xml:space="preserve"> 发包人在进度款支付证书或临时进度款支付证书签发后14天内完成支付，进度支付周期及支付金额如下：</w:t>
      </w:r>
    </w:p>
    <w:p w14:paraId="3BCABB6E">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lang w:eastAsia="zh-CN"/>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本项目进度支付工程款：①本项目完成合同工程量 100%时，工程进度款支付至合同造价 80%；②本次招标内项目竣工后，验收合格并提交完整竣工资料及审计结算完成</w:t>
      </w:r>
      <w:r>
        <w:rPr>
          <w:rFonts w:hint="eastAsia" w:ascii="宋体" w:hAnsi="宋体" w:eastAsia="宋体" w:cs="宋体"/>
          <w:color w:val="000000" w:themeColor="text1"/>
          <w:highlight w:val="none"/>
          <w:u w:val="single"/>
          <w:lang w:eastAsia="zh-CN"/>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后支付至结算价款的</w:t>
      </w:r>
      <w:r>
        <w:rPr>
          <w:rFonts w:hint="eastAsia" w:ascii="宋体" w:hAnsi="宋体" w:eastAsia="宋体" w:cs="宋体"/>
          <w:color w:val="000000" w:themeColor="text1"/>
          <w:highlight w:val="none"/>
          <w:u w:val="single"/>
          <w:lang w:val="en-US" w:eastAsia="zh-CN"/>
          <w14:textFill>
            <w14:solidFill>
              <w14:schemeClr w14:val="tx1"/>
            </w14:solidFill>
          </w14:textFill>
        </w:rPr>
        <w:t>97</w:t>
      </w:r>
      <w:r>
        <w:rPr>
          <w:rFonts w:hint="eastAsia" w:ascii="宋体" w:hAnsi="宋体" w:eastAsia="宋体" w:cs="宋体"/>
          <w:color w:val="000000" w:themeColor="text1"/>
          <w:highlight w:val="none"/>
          <w:u w:val="single"/>
          <w14:textFill>
            <w14:solidFill>
              <w14:schemeClr w14:val="tx1"/>
            </w14:solidFill>
          </w14:textFill>
        </w:rPr>
        <w:t>%；发包人按工程价款结算总额</w:t>
      </w:r>
      <w:r>
        <w:rPr>
          <w:rFonts w:hint="eastAsia" w:ascii="宋体" w:hAnsi="宋体" w:eastAsia="宋体" w:cs="宋体"/>
          <w:color w:val="000000" w:themeColor="text1"/>
          <w:highlight w:val="none"/>
          <w:u w:val="single"/>
          <w:lang w:val="en-US" w:eastAsia="zh-CN"/>
          <w14:textFill>
            <w14:solidFill>
              <w14:schemeClr w14:val="tx1"/>
            </w14:solidFill>
          </w14:textFill>
        </w:rPr>
        <w:t>3</w:t>
      </w:r>
      <w:r>
        <w:rPr>
          <w:rFonts w:hint="eastAsia" w:ascii="宋体" w:hAnsi="宋体" w:eastAsia="宋体" w:cs="宋体"/>
          <w:color w:val="000000" w:themeColor="text1"/>
          <w:highlight w:val="none"/>
          <w:u w:val="single"/>
          <w14:textFill>
            <w14:solidFill>
              <w14:schemeClr w14:val="tx1"/>
            </w14:solidFill>
          </w14:textFill>
        </w:rPr>
        <w:t>%作为工程质量保修金（无息），待缺陷责任期满后返还。质量保修金的返还，并不能免除承包人按照合同约定应承担的质量保修责任和应履行的质量保修义务</w:t>
      </w:r>
      <w:r>
        <w:rPr>
          <w:rFonts w:hint="eastAsia" w:ascii="宋体" w:hAnsi="宋体" w:eastAsia="宋体" w:cs="宋体"/>
          <w:color w:val="000000" w:themeColor="text1"/>
          <w:highlight w:val="none"/>
          <w:u w:val="single"/>
          <w:lang w:eastAsia="zh-CN"/>
          <w14:textFill>
            <w14:solidFill>
              <w14:schemeClr w14:val="tx1"/>
            </w14:solidFill>
          </w14:textFill>
        </w:rPr>
        <w:t>。</w:t>
      </w:r>
    </w:p>
    <w:p w14:paraId="551D4688">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p>
    <w:p w14:paraId="75ACFCD4">
      <w:pPr>
        <w:pageBreakBefore w:val="0"/>
        <w:widowControl w:val="0"/>
        <w:kinsoku/>
        <w:wordWrap/>
        <w:overflowPunct/>
        <w:topLinePunct w:val="0"/>
        <w:bidi w:val="0"/>
        <w:snapToGrid w:val="0"/>
        <w:spacing w:line="360" w:lineRule="auto"/>
        <w:ind w:firstLine="525" w:firstLineChars="25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发包人逾期支付进度款的违约金的计算方式：</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lang w:eastAsia="zh-CN"/>
          <w14:textFill>
            <w14:solidFill>
              <w14:schemeClr w14:val="tx1"/>
            </w14:solidFill>
          </w14:textFill>
        </w:rPr>
        <w:t>无</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w:t>
      </w:r>
    </w:p>
    <w:p w14:paraId="23D2261D">
      <w:pPr>
        <w:pageBreakBefore w:val="0"/>
        <w:widowControl w:val="0"/>
        <w:kinsoku/>
        <w:wordWrap/>
        <w:overflowPunct/>
        <w:topLinePunct w:val="0"/>
        <w:bidi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进度款支付方式：</w:t>
      </w:r>
      <w:r>
        <w:rPr>
          <w:rFonts w:hint="eastAsia" w:ascii="宋体" w:hAnsi="宋体" w:eastAsia="宋体" w:cs="宋体"/>
          <w:color w:val="000000" w:themeColor="text1"/>
          <w:highlight w:val="none"/>
          <w:u w:val="single"/>
          <w14:textFill>
            <w14:solidFill>
              <w14:schemeClr w14:val="tx1"/>
            </w14:solidFill>
          </w14:textFill>
        </w:rPr>
        <w:t>银行转账</w:t>
      </w:r>
      <w:r>
        <w:rPr>
          <w:rFonts w:hint="eastAsia" w:ascii="宋体" w:hAnsi="宋体" w:eastAsia="宋体" w:cs="宋体"/>
          <w:color w:val="000000" w:themeColor="text1"/>
          <w:highlight w:val="none"/>
          <w14:textFill>
            <w14:solidFill>
              <w14:schemeClr w14:val="tx1"/>
            </w14:solidFill>
          </w14:textFill>
        </w:rPr>
        <w:t>。进度款支付申请（核准）表见合同附件11。</w:t>
      </w:r>
    </w:p>
    <w:p w14:paraId="572F4AD5">
      <w:pPr>
        <w:pageBreakBefore w:val="0"/>
        <w:widowControl w:val="0"/>
        <w:kinsoku/>
        <w:wordWrap/>
        <w:overflowPunct/>
        <w:topLinePunct w:val="0"/>
        <w:bidi w:val="0"/>
        <w:snapToGrid w:val="0"/>
        <w:spacing w:line="360" w:lineRule="auto"/>
        <w:ind w:firstLine="525" w:firstLineChars="25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 农民工工资支付</w:t>
      </w:r>
    </w:p>
    <w:p w14:paraId="00C47CFD">
      <w:pPr>
        <w:pageBreakBefore w:val="0"/>
        <w:widowControl w:val="0"/>
        <w:kinsoku/>
        <w:wordWrap/>
        <w:overflowPunct/>
        <w:topLinePunct w:val="0"/>
        <w:bidi w:val="0"/>
        <w:snapToGrid w:val="0"/>
        <w:spacing w:line="360" w:lineRule="auto"/>
        <w:ind w:firstLine="525" w:firstLineChars="25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3BB7D386">
      <w:pPr>
        <w:pageBreakBefore w:val="0"/>
        <w:widowControl w:val="0"/>
        <w:kinsoku/>
        <w:wordWrap/>
        <w:overflowPunct/>
        <w:topLinePunct w:val="0"/>
        <w:bidi w:val="0"/>
        <w:snapToGrid w:val="0"/>
        <w:spacing w:line="360" w:lineRule="auto"/>
        <w:ind w:firstLine="525" w:firstLineChars="25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4617E30E">
      <w:pPr>
        <w:pageBreakBefore w:val="0"/>
        <w:widowControl w:val="0"/>
        <w:kinsoku/>
        <w:wordWrap/>
        <w:overflowPunct/>
        <w:topLinePunct w:val="0"/>
        <w:bidi w:val="0"/>
        <w:snapToGrid w:val="0"/>
        <w:spacing w:line="360" w:lineRule="auto"/>
        <w:ind w:firstLine="525" w:firstLineChars="25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3）发包人依据工程进度，审核承包人申报的工程进度款，按照与承包人约定的人工费支付</w:t>
      </w:r>
      <w:r>
        <w:rPr>
          <w:rFonts w:hint="eastAsia" w:ascii="宋体" w:hAnsi="宋体" w:eastAsia="宋体" w:cs="宋体"/>
          <w:color w:val="000000" w:themeColor="text1"/>
          <w:kern w:val="0"/>
          <w:highlight w:val="none"/>
          <w:u w:val="single"/>
          <w14:textFill>
            <w14:solidFill>
              <w14:schemeClr w14:val="tx1"/>
            </w14:solidFill>
          </w14:textFill>
        </w:rPr>
        <w:t>比例 15 %</w:t>
      </w:r>
      <w:r>
        <w:rPr>
          <w:rFonts w:hint="eastAsia" w:ascii="宋体" w:hAnsi="宋体" w:eastAsia="宋体" w:cs="宋体"/>
          <w:color w:val="000000" w:themeColor="text1"/>
          <w:kern w:val="0"/>
          <w:highlight w:val="none"/>
          <w14:textFill>
            <w14:solidFill>
              <w14:schemeClr w14:val="tx1"/>
            </w14:solidFill>
          </w14:textFill>
        </w:rPr>
        <w:t>（房建项目不少于20%，市政项目不少于15%），将人工费及时足额拨付至承包人的农民工工资专用账户，其余工程进度款项由发包人支付到承包人的单位基本户。</w:t>
      </w:r>
    </w:p>
    <w:p w14:paraId="217B7DEF">
      <w:pPr>
        <w:pageBreakBefore w:val="0"/>
        <w:widowControl w:val="0"/>
        <w:kinsoku/>
        <w:wordWrap/>
        <w:overflowPunct/>
        <w:topLinePunct w:val="0"/>
        <w:bidi w:val="0"/>
        <w:snapToGrid w:val="0"/>
        <w:spacing w:line="360" w:lineRule="auto"/>
        <w:ind w:firstLine="525" w:firstLineChars="25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 xml:space="preserve">4）工程建设领域总包单位对农民工工资支付负总责，推行分包单位农民工工资委托总包单位代发制度（以下简称总包代发制度）。工程建设项目施行总包代发制度的，总包单位与分包单位签订委托工资支付协议。 </w:t>
      </w:r>
    </w:p>
    <w:p w14:paraId="7CF594E5">
      <w:pPr>
        <w:pageBreakBefore w:val="0"/>
        <w:widowControl w:val="0"/>
        <w:kinsoku/>
        <w:wordWrap/>
        <w:overflowPunct/>
        <w:topLinePunct w:val="0"/>
        <w:bidi w:val="0"/>
        <w:snapToGrid w:val="0"/>
        <w:spacing w:line="360" w:lineRule="auto"/>
        <w:ind w:firstLine="525" w:firstLineChars="25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5）凡未向付款单位提供农民工工资专用账户的，或者请款单位在申请工程进度款时未将人工费单列的，付款单位有权拒绝支付工程进度款。</w:t>
      </w:r>
    </w:p>
    <w:p w14:paraId="1F84C029">
      <w:pPr>
        <w:pageBreakBefore w:val="0"/>
        <w:widowControl w:val="0"/>
        <w:kinsoku/>
        <w:wordWrap/>
        <w:overflowPunct/>
        <w:topLinePunct w:val="0"/>
        <w:bidi w:val="0"/>
        <w:snapToGrid w:val="0"/>
        <w:spacing w:line="360" w:lineRule="auto"/>
        <w:ind w:firstLine="525" w:firstLineChars="25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6）人工费使用要求：专款专用，除发放农民工工资外，不得用于其他用途。</w:t>
      </w:r>
    </w:p>
    <w:p w14:paraId="4B53CD1F">
      <w:pPr>
        <w:pageBreakBefore w:val="0"/>
        <w:widowControl w:val="0"/>
        <w:kinsoku/>
        <w:wordWrap/>
        <w:overflowPunct/>
        <w:topLinePunct w:val="0"/>
        <w:bidi w:val="0"/>
        <w:snapToGrid w:val="0"/>
        <w:spacing w:line="360" w:lineRule="auto"/>
        <w:ind w:firstLine="525" w:firstLineChars="25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7）承包人将人工费支付情况定期报告发包人和监理单位，并提供相应的材料接受建设行政主管部门和劳动保障行政主管部门对此事项监管。</w:t>
      </w:r>
    </w:p>
    <w:p w14:paraId="59CD0657">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8）人工费支付专用账户：</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u w:val="single"/>
          <w:lang w:eastAsia="zh-CN"/>
          <w14:textFill>
            <w14:solidFill>
              <w14:schemeClr w14:val="tx1"/>
            </w14:solidFill>
          </w14:textFill>
        </w:rPr>
        <w:t>（成交后填写）</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公司农民工工资支付专用账户。账号：</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u w:val="single"/>
          <w:lang w:eastAsia="zh-CN"/>
          <w14:textFill>
            <w14:solidFill>
              <w14:schemeClr w14:val="tx1"/>
            </w14:solidFill>
          </w14:textFill>
        </w:rPr>
        <w:t>（成交后填写）</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w:t>
      </w:r>
    </w:p>
    <w:p w14:paraId="2E649F31">
      <w:pPr>
        <w:pageBreakBefore w:val="0"/>
        <w:widowControl w:val="0"/>
        <w:kinsoku/>
        <w:wordWrap/>
        <w:overflowPunct/>
        <w:topLinePunct w:val="0"/>
        <w:bidi w:val="0"/>
        <w:snapToGrid w:val="0"/>
        <w:spacing w:line="360" w:lineRule="auto"/>
        <w:ind w:firstLine="525" w:firstLineChars="25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12.4.6 支付分解表的编制</w:t>
      </w:r>
    </w:p>
    <w:p w14:paraId="5B61071A">
      <w:pPr>
        <w:pageBreakBefore w:val="0"/>
        <w:widowControl w:val="0"/>
        <w:kinsoku/>
        <w:wordWrap/>
        <w:overflowPunct/>
        <w:topLinePunct w:val="0"/>
        <w:bidi w:val="0"/>
        <w:snapToGrid w:val="0"/>
        <w:spacing w:line="360" w:lineRule="auto"/>
        <w:ind w:firstLine="525" w:firstLineChars="25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 总价合同支付分解表的编制与审批：</w:t>
      </w:r>
      <w:r>
        <w:rPr>
          <w:rFonts w:hint="eastAsia" w:ascii="宋体" w:hAnsi="宋体" w:eastAsia="宋体" w:cs="宋体"/>
          <w:color w:val="000000" w:themeColor="text1"/>
          <w:highlight w:val="none"/>
          <w:u w:val="single"/>
          <w14:textFill>
            <w14:solidFill>
              <w14:schemeClr w14:val="tx1"/>
            </w14:solidFill>
          </w14:textFill>
        </w:rPr>
        <w:t xml:space="preserve">  总价合同支付分分解表在招标完成后由发包人和承包人共同编制，发包人审批，并作为本合同内容，具体详见合同附件14。</w:t>
      </w:r>
    </w:p>
    <w:p w14:paraId="3C155432">
      <w:pPr>
        <w:pageBreakBefore w:val="0"/>
        <w:widowControl w:val="0"/>
        <w:kinsoku/>
        <w:wordWrap/>
        <w:overflowPunct/>
        <w:topLinePunct w:val="0"/>
        <w:bidi w:val="0"/>
        <w:snapToGrid w:val="0"/>
        <w:spacing w:line="360" w:lineRule="auto"/>
        <w:ind w:firstLine="525" w:firstLineChars="25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（2）单价合同的总价项目支付分解表的编制与审批：总价项目不采用支付分解表的方式计算，而按《建设工程工程量清单计价规范（GB50500-2013）广西壮族自治区实施细则》的规定执行。</w:t>
      </w:r>
    </w:p>
    <w:bookmarkEnd w:id="710"/>
    <w:p w14:paraId="23BFC77F">
      <w:pPr>
        <w:pStyle w:val="2"/>
        <w:pageBreakBefore w:val="0"/>
        <w:widowControl w:val="0"/>
        <w:kinsoku/>
        <w:wordWrap/>
        <w:overflowPunct/>
        <w:topLinePunct w:val="0"/>
        <w:bidi w:val="0"/>
        <w:snapToGrid w:val="0"/>
        <w:spacing w:before="0" w:after="0" w:line="360" w:lineRule="auto"/>
        <w:rPr>
          <w:rFonts w:hint="eastAsia" w:ascii="宋体" w:hAnsi="宋体" w:eastAsia="宋体" w:cs="宋体"/>
          <w:color w:val="000000" w:themeColor="text1"/>
          <w:highlight w:val="none"/>
          <w14:textFill>
            <w14:solidFill>
              <w14:schemeClr w14:val="tx1"/>
            </w14:solidFill>
          </w14:textFill>
        </w:rPr>
      </w:pPr>
      <w:bookmarkStart w:id="973" w:name="_Toc78449842"/>
      <w:bookmarkStart w:id="974" w:name="_Toc373478400"/>
      <w:bookmarkStart w:id="975" w:name="_Toc373227753"/>
      <w:bookmarkStart w:id="976" w:name="_Toc389065318"/>
      <w:bookmarkStart w:id="977" w:name="_Toc407135256"/>
      <w:bookmarkStart w:id="978" w:name="_Toc728899116"/>
      <w:bookmarkStart w:id="979" w:name="_Toc351203645"/>
      <w:bookmarkStart w:id="980" w:name="_Toc2003466256"/>
      <w:bookmarkStart w:id="981" w:name="_Toc297216223"/>
      <w:bookmarkStart w:id="982" w:name="_Toc297123564"/>
      <w:bookmarkStart w:id="983" w:name="_Toc296346720"/>
      <w:bookmarkStart w:id="984" w:name="_Toc292559424"/>
      <w:bookmarkStart w:id="985" w:name="_Toc297048405"/>
      <w:bookmarkStart w:id="986" w:name="_Toc292559929"/>
      <w:bookmarkStart w:id="987" w:name="_Toc296891259"/>
      <w:bookmarkStart w:id="988" w:name="_Toc303539172"/>
      <w:bookmarkStart w:id="989" w:name="_Toc296503219"/>
      <w:bookmarkStart w:id="990" w:name="_Toc296347218"/>
      <w:bookmarkStart w:id="991" w:name="_Toc297120519"/>
      <w:bookmarkStart w:id="992" w:name="_Toc296944558"/>
      <w:bookmarkStart w:id="993" w:name="_Toc304295593"/>
      <w:bookmarkStart w:id="994" w:name="_Toc296891047"/>
      <w:bookmarkStart w:id="995" w:name="_Toc300935015"/>
      <w:bookmarkStart w:id="996" w:name="_Toc312678053"/>
      <w:r>
        <w:rPr>
          <w:rFonts w:hint="eastAsia" w:ascii="宋体" w:hAnsi="宋体" w:eastAsia="宋体" w:cs="宋体"/>
          <w:color w:val="000000" w:themeColor="text1"/>
          <w:highlight w:val="none"/>
          <w14:textFill>
            <w14:solidFill>
              <w14:schemeClr w14:val="tx1"/>
            </w14:solidFill>
          </w14:textFill>
        </w:rPr>
        <w:t>13. 验收和工程试车</w:t>
      </w:r>
      <w:bookmarkEnd w:id="973"/>
      <w:bookmarkEnd w:id="974"/>
      <w:bookmarkEnd w:id="975"/>
      <w:bookmarkEnd w:id="976"/>
      <w:bookmarkEnd w:id="977"/>
      <w:bookmarkEnd w:id="978"/>
      <w:bookmarkEnd w:id="979"/>
      <w:bookmarkEnd w:id="980"/>
    </w:p>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p w14:paraId="10349CCF">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997" w:name="_Toc407135257"/>
      <w:bookmarkStart w:id="998" w:name="_Toc373478401"/>
      <w:bookmarkStart w:id="999" w:name="_Toc834489126"/>
      <w:bookmarkStart w:id="1000" w:name="_Toc740353520"/>
      <w:bookmarkStart w:id="1001" w:name="_Toc78449843"/>
      <w:bookmarkStart w:id="1002" w:name="_Toc389065319"/>
      <w:bookmarkStart w:id="1003" w:name="_Toc373227754"/>
      <w:r>
        <w:rPr>
          <w:rFonts w:hint="eastAsia" w:ascii="宋体" w:hAnsi="宋体" w:eastAsia="宋体" w:cs="宋体"/>
          <w:color w:val="000000" w:themeColor="text1"/>
          <w:highlight w:val="none"/>
          <w14:textFill>
            <w14:solidFill>
              <w14:schemeClr w14:val="tx1"/>
            </w14:solidFill>
          </w14:textFill>
        </w:rPr>
        <w:t>13.1 分部分项工程验收</w:t>
      </w:r>
      <w:bookmarkEnd w:id="997"/>
      <w:bookmarkEnd w:id="998"/>
      <w:bookmarkEnd w:id="999"/>
      <w:bookmarkEnd w:id="1000"/>
      <w:bookmarkEnd w:id="1001"/>
      <w:bookmarkEnd w:id="1002"/>
      <w:bookmarkEnd w:id="1003"/>
    </w:p>
    <w:p w14:paraId="0764DA41">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13.1.2监理人不能按时进行验收时，应提前</w:t>
      </w:r>
      <w:r>
        <w:rPr>
          <w:rFonts w:hint="eastAsia" w:ascii="宋体" w:hAnsi="宋体" w:eastAsia="宋体" w:cs="宋体"/>
          <w:color w:val="000000" w:themeColor="text1"/>
          <w:highlight w:val="none"/>
          <w:u w:val="single"/>
          <w14:textFill>
            <w14:solidFill>
              <w14:schemeClr w14:val="tx1"/>
            </w14:solidFill>
          </w14:textFill>
        </w:rPr>
        <w:t xml:space="preserve">  12 </w:t>
      </w:r>
      <w:r>
        <w:rPr>
          <w:rFonts w:hint="eastAsia" w:ascii="宋体" w:hAnsi="宋体" w:eastAsia="宋体" w:cs="宋体"/>
          <w:color w:val="000000" w:themeColor="text1"/>
          <w:highlight w:val="none"/>
          <w14:textFill>
            <w14:solidFill>
              <w14:schemeClr w14:val="tx1"/>
            </w14:solidFill>
          </w14:textFill>
        </w:rPr>
        <w:t>小时提交书面延期要求。</w:t>
      </w:r>
    </w:p>
    <w:p w14:paraId="2CC2E5E9">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关于延期最长不得超过：</w:t>
      </w:r>
      <w:r>
        <w:rPr>
          <w:rFonts w:hint="eastAsia" w:ascii="宋体" w:hAnsi="宋体" w:eastAsia="宋体" w:cs="宋体"/>
          <w:color w:val="000000" w:themeColor="text1"/>
          <w:highlight w:val="none"/>
          <w:u w:val="single"/>
          <w14:textFill>
            <w14:solidFill>
              <w14:schemeClr w14:val="tx1"/>
            </w14:solidFill>
          </w14:textFill>
        </w:rPr>
        <w:t xml:space="preserve">24 </w:t>
      </w:r>
      <w:r>
        <w:rPr>
          <w:rFonts w:hint="eastAsia" w:ascii="宋体" w:hAnsi="宋体" w:eastAsia="宋体" w:cs="宋体"/>
          <w:color w:val="000000" w:themeColor="text1"/>
          <w:highlight w:val="none"/>
          <w14:textFill>
            <w14:solidFill>
              <w14:schemeClr w14:val="tx1"/>
            </w14:solidFill>
          </w14:textFill>
        </w:rPr>
        <w:t>小时。</w:t>
      </w:r>
    </w:p>
    <w:p w14:paraId="59CEF979">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004" w:name="_Toc1062221039"/>
      <w:bookmarkStart w:id="1005" w:name="_Toc389065320"/>
      <w:bookmarkStart w:id="1006" w:name="_Toc373478402"/>
      <w:bookmarkStart w:id="1007" w:name="_Toc1578431234"/>
      <w:bookmarkStart w:id="1008" w:name="_Toc78449844"/>
      <w:bookmarkStart w:id="1009" w:name="_Toc407135258"/>
      <w:bookmarkStart w:id="1010" w:name="_Toc373227755"/>
      <w:bookmarkStart w:id="1011" w:name="_Toc296944562"/>
      <w:bookmarkStart w:id="1012" w:name="_Toc296891051"/>
      <w:bookmarkStart w:id="1013" w:name="_Toc300935016"/>
      <w:bookmarkStart w:id="1014" w:name="_Toc304295596"/>
      <w:bookmarkStart w:id="1015" w:name="_Toc296891263"/>
      <w:bookmarkStart w:id="1016" w:name="_Toc296347222"/>
      <w:bookmarkStart w:id="1017" w:name="_Toc296346724"/>
      <w:bookmarkStart w:id="1018" w:name="_Toc292559428"/>
      <w:bookmarkStart w:id="1019" w:name="_Toc297120523"/>
      <w:bookmarkStart w:id="1020" w:name="_Toc312678056"/>
      <w:bookmarkStart w:id="1021" w:name="_Toc297048409"/>
      <w:bookmarkStart w:id="1022" w:name="_Toc292559933"/>
      <w:bookmarkStart w:id="1023" w:name="_Toc297216224"/>
      <w:bookmarkStart w:id="1024" w:name="_Toc296503223"/>
      <w:bookmarkStart w:id="1025" w:name="_Toc297123565"/>
      <w:bookmarkStart w:id="1026" w:name="_Toc303539173"/>
      <w:bookmarkStart w:id="1027" w:name="_Toc267251472"/>
      <w:bookmarkStart w:id="1028" w:name="_Toc267251475"/>
      <w:bookmarkStart w:id="1029" w:name="_Toc267251474"/>
      <w:bookmarkStart w:id="1030" w:name="_Toc267251471"/>
      <w:bookmarkStart w:id="1031" w:name="_Toc267251476"/>
      <w:bookmarkStart w:id="1032" w:name="_Toc267251473"/>
      <w:bookmarkStart w:id="1033" w:name="_Toc267251470"/>
      <w:r>
        <w:rPr>
          <w:rFonts w:hint="eastAsia" w:ascii="宋体" w:hAnsi="宋体" w:eastAsia="宋体" w:cs="宋体"/>
          <w:color w:val="000000" w:themeColor="text1"/>
          <w:highlight w:val="none"/>
          <w14:textFill>
            <w14:solidFill>
              <w14:schemeClr w14:val="tx1"/>
            </w14:solidFill>
          </w14:textFill>
        </w:rPr>
        <w:t>13.2 竣工验收</w:t>
      </w:r>
      <w:bookmarkEnd w:id="1004"/>
      <w:bookmarkEnd w:id="1005"/>
      <w:bookmarkEnd w:id="1006"/>
      <w:bookmarkEnd w:id="1007"/>
      <w:bookmarkEnd w:id="1008"/>
      <w:bookmarkEnd w:id="1009"/>
      <w:bookmarkEnd w:id="1010"/>
    </w:p>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p w14:paraId="1ED49B12">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bookmarkStart w:id="1034" w:name="_Toc280868704"/>
      <w:bookmarkStart w:id="1035" w:name="_Toc280868705"/>
      <w:bookmarkStart w:id="1036" w:name="_Toc280868706"/>
      <w:bookmarkStart w:id="1037" w:name="_Toc280868707"/>
      <w:bookmarkStart w:id="1038" w:name="_Toc280868708"/>
      <w:bookmarkStart w:id="1039" w:name="_Toc280868709"/>
      <w:r>
        <w:rPr>
          <w:rFonts w:hint="eastAsia" w:ascii="宋体" w:hAnsi="宋体" w:eastAsia="宋体" w:cs="宋体"/>
          <w:color w:val="000000" w:themeColor="text1"/>
          <w:highlight w:val="none"/>
          <w14:textFill>
            <w14:solidFill>
              <w14:schemeClr w14:val="tx1"/>
            </w14:solidFill>
          </w14:textFill>
        </w:rPr>
        <w:t>13.2.1竣工验收条件</w:t>
      </w:r>
    </w:p>
    <w:p w14:paraId="3177B72E">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（3）承包人负责整理和提交的竣工验收资料应当符合管理部门对施工资料编制的要求，具体内容包括：</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spacing w:val="-1"/>
          <w:szCs w:val="21"/>
          <w:highlight w:val="none"/>
          <w:u w:val="single"/>
          <w:lang w:val="en-US" w:eastAsia="zh-CN"/>
          <w14:textFill>
            <w14:solidFill>
              <w14:schemeClr w14:val="tx1"/>
            </w14:solidFill>
          </w14:textFill>
        </w:rPr>
        <w:t>同通用条款</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w:t>
      </w:r>
    </w:p>
    <w:p w14:paraId="2B9BE6AF">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竣工验收资料的份数：</w:t>
      </w:r>
      <w:r>
        <w:rPr>
          <w:rFonts w:hint="eastAsia" w:ascii="宋体" w:hAnsi="宋体" w:eastAsia="宋体" w:cs="宋体"/>
          <w:color w:val="000000" w:themeColor="text1"/>
          <w:highlight w:val="none"/>
          <w:u w:val="single"/>
          <w14:textFill>
            <w14:solidFill>
              <w14:schemeClr w14:val="tx1"/>
            </w14:solidFill>
          </w14:textFill>
        </w:rPr>
        <w:t xml:space="preserve">  4份    </w:t>
      </w:r>
      <w:r>
        <w:rPr>
          <w:rFonts w:hint="eastAsia" w:ascii="宋体" w:hAnsi="宋体" w:eastAsia="宋体" w:cs="宋体"/>
          <w:color w:val="000000" w:themeColor="text1"/>
          <w:highlight w:val="none"/>
          <w14:textFill>
            <w14:solidFill>
              <w14:schemeClr w14:val="tx1"/>
            </w14:solidFill>
          </w14:textFill>
        </w:rPr>
        <w:t>。</w:t>
      </w:r>
    </w:p>
    <w:p w14:paraId="489FA605">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承包人提供竣工图的约定：</w:t>
      </w:r>
      <w:r>
        <w:rPr>
          <w:rFonts w:hint="eastAsia" w:ascii="宋体" w:hAnsi="宋体" w:eastAsia="宋体" w:cs="宋体"/>
          <w:color w:val="000000" w:themeColor="text1"/>
          <w:highlight w:val="none"/>
          <w:u w:val="single"/>
          <w14:textFill>
            <w14:solidFill>
              <w14:schemeClr w14:val="tx1"/>
            </w14:solidFill>
          </w14:textFill>
        </w:rPr>
        <w:t>竣工验收正式通过后5天（工程造价在500万元以下含500万元）、10天（工程造价在500万元至1000万元之间含1000万元）、15天（工程造价在1000万元以上），提供竣工图的数量分别为2套、4套、6套。</w:t>
      </w:r>
    </w:p>
    <w:p w14:paraId="3BCC02B4">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13.2.2竣工验收程序</w:t>
      </w:r>
    </w:p>
    <w:bookmarkEnd w:id="1034"/>
    <w:p w14:paraId="6631D881">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关于竣工验收程序的约定：</w:t>
      </w:r>
      <w:r>
        <w:rPr>
          <w:rFonts w:hint="eastAsia" w:ascii="宋体" w:hAnsi="宋体" w:eastAsia="宋体" w:cs="宋体"/>
          <w:color w:val="000000" w:themeColor="text1"/>
          <w:highlight w:val="none"/>
          <w:u w:val="single"/>
          <w14:textFill>
            <w14:solidFill>
              <w14:schemeClr w14:val="tx1"/>
            </w14:solidFill>
          </w14:textFill>
        </w:rPr>
        <w:t xml:space="preserve">  按通用条款执行 </w:t>
      </w:r>
      <w:r>
        <w:rPr>
          <w:rFonts w:hint="eastAsia" w:ascii="宋体" w:hAnsi="宋体" w:eastAsia="宋体" w:cs="宋体"/>
          <w:color w:val="000000" w:themeColor="text1"/>
          <w:highlight w:val="none"/>
          <w14:textFill>
            <w14:solidFill>
              <w14:schemeClr w14:val="tx1"/>
            </w14:solidFill>
          </w14:textFill>
        </w:rPr>
        <w:t>。</w:t>
      </w:r>
    </w:p>
    <w:p w14:paraId="14F1DEFE">
      <w:pPr>
        <w:pageBreakBefore w:val="0"/>
        <w:widowControl w:val="0"/>
        <w:kinsoku/>
        <w:wordWrap/>
        <w:overflowPunct/>
        <w:topLinePunct w:val="0"/>
        <w:bidi w:val="0"/>
        <w:snapToGrid w:val="0"/>
        <w:spacing w:line="36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发包人不按照本项约定组织竣工验收、颁发工程接收证书的违约金的计算方法：</w:t>
      </w:r>
      <w:r>
        <w:rPr>
          <w:rFonts w:hint="eastAsia" w:ascii="宋体" w:hAnsi="宋体" w:eastAsia="宋体" w:cs="宋体"/>
          <w:color w:val="000000" w:themeColor="text1"/>
          <w:highlight w:val="none"/>
          <w:u w:val="single"/>
          <w14:textFill>
            <w14:solidFill>
              <w14:schemeClr w14:val="tx1"/>
            </w14:solidFill>
          </w14:textFill>
        </w:rPr>
        <w:t xml:space="preserve">   无     </w:t>
      </w:r>
      <w:r>
        <w:rPr>
          <w:rFonts w:hint="eastAsia" w:ascii="宋体" w:hAnsi="宋体" w:eastAsia="宋体" w:cs="宋体"/>
          <w:color w:val="000000" w:themeColor="text1"/>
          <w:highlight w:val="none"/>
          <w14:textFill>
            <w14:solidFill>
              <w14:schemeClr w14:val="tx1"/>
            </w14:solidFill>
          </w14:textFill>
        </w:rPr>
        <w:t>。</w:t>
      </w:r>
    </w:p>
    <w:bookmarkEnd w:id="1035"/>
    <w:p w14:paraId="3CD439DA">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13.2.5移交、接收全部与部分工程</w:t>
      </w:r>
    </w:p>
    <w:bookmarkEnd w:id="1036"/>
    <w:p w14:paraId="49DB498F">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承包人向发包人移交工程的期限：</w:t>
      </w:r>
      <w:r>
        <w:rPr>
          <w:rFonts w:hint="eastAsia" w:ascii="宋体" w:hAnsi="宋体" w:eastAsia="宋体" w:cs="宋体"/>
          <w:color w:val="000000" w:themeColor="text1"/>
          <w:highlight w:val="none"/>
          <w:u w:val="single"/>
          <w14:textFill>
            <w14:solidFill>
              <w14:schemeClr w14:val="tx1"/>
            </w14:solidFill>
          </w14:textFill>
        </w:rPr>
        <w:t xml:space="preserve">  按通用条款执行    </w:t>
      </w:r>
      <w:r>
        <w:rPr>
          <w:rFonts w:hint="eastAsia" w:ascii="宋体" w:hAnsi="宋体" w:eastAsia="宋体" w:cs="宋体"/>
          <w:color w:val="000000" w:themeColor="text1"/>
          <w:highlight w:val="none"/>
          <w14:textFill>
            <w14:solidFill>
              <w14:schemeClr w14:val="tx1"/>
            </w14:solidFill>
          </w14:textFill>
        </w:rPr>
        <w:t>。</w:t>
      </w:r>
    </w:p>
    <w:p w14:paraId="00CBFC7C">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发包人未按本合同约定接收全部或部分工程的，违约金的计算方法为：</w:t>
      </w:r>
      <w:r>
        <w:rPr>
          <w:rFonts w:hint="eastAsia" w:ascii="宋体" w:hAnsi="宋体" w:eastAsia="宋体" w:cs="宋体"/>
          <w:color w:val="000000" w:themeColor="text1"/>
          <w:highlight w:val="none"/>
          <w:u w:val="single"/>
          <w14:textFill>
            <w14:solidFill>
              <w14:schemeClr w14:val="tx1"/>
            </w14:solidFill>
          </w14:textFill>
        </w:rPr>
        <w:t xml:space="preserve"> 按通用条款执行 </w:t>
      </w:r>
      <w:r>
        <w:rPr>
          <w:rFonts w:hint="eastAsia" w:ascii="宋体" w:hAnsi="宋体" w:eastAsia="宋体" w:cs="宋体"/>
          <w:color w:val="000000" w:themeColor="text1"/>
          <w:highlight w:val="none"/>
          <w14:textFill>
            <w14:solidFill>
              <w14:schemeClr w14:val="tx1"/>
            </w14:solidFill>
          </w14:textFill>
        </w:rPr>
        <w:t>。</w:t>
      </w:r>
    </w:p>
    <w:bookmarkEnd w:id="1037"/>
    <w:p w14:paraId="3BBE0785">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承包人未按时移交工程的，违约金的计算方法为：</w:t>
      </w:r>
      <w:r>
        <w:rPr>
          <w:rFonts w:hint="eastAsia" w:ascii="宋体" w:hAnsi="宋体" w:eastAsia="宋体" w:cs="宋体"/>
          <w:color w:val="000000" w:themeColor="text1"/>
          <w:highlight w:val="none"/>
          <w:u w:val="single"/>
          <w14:textFill>
            <w14:solidFill>
              <w14:schemeClr w14:val="tx1"/>
            </w14:solidFill>
          </w14:textFill>
        </w:rPr>
        <w:t xml:space="preserve">按本合同专用条款7.5.2条约定的逾期竣工违约金的标准执行 </w:t>
      </w:r>
      <w:r>
        <w:rPr>
          <w:rFonts w:hint="eastAsia" w:ascii="宋体" w:hAnsi="宋体" w:eastAsia="宋体" w:cs="宋体"/>
          <w:color w:val="000000" w:themeColor="text1"/>
          <w:highlight w:val="none"/>
          <w14:textFill>
            <w14:solidFill>
              <w14:schemeClr w14:val="tx1"/>
            </w14:solidFill>
          </w14:textFill>
        </w:rPr>
        <w:t>。</w:t>
      </w:r>
    </w:p>
    <w:p w14:paraId="07DE6B25">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040" w:name="_Toc407135259"/>
      <w:bookmarkStart w:id="1041" w:name="_Toc389065321"/>
      <w:bookmarkStart w:id="1042" w:name="_Toc1470255881"/>
      <w:bookmarkStart w:id="1043" w:name="_Toc2090321864"/>
      <w:bookmarkStart w:id="1044" w:name="_Toc373478403"/>
      <w:bookmarkStart w:id="1045" w:name="_Toc78449845"/>
      <w:bookmarkStart w:id="1046" w:name="_Toc373227756"/>
      <w:r>
        <w:rPr>
          <w:rFonts w:hint="eastAsia" w:ascii="宋体" w:hAnsi="宋体" w:eastAsia="宋体" w:cs="宋体"/>
          <w:color w:val="000000" w:themeColor="text1"/>
          <w:highlight w:val="none"/>
          <w14:textFill>
            <w14:solidFill>
              <w14:schemeClr w14:val="tx1"/>
            </w14:solidFill>
          </w14:textFill>
        </w:rPr>
        <w:t>13.3 工程试车</w:t>
      </w:r>
      <w:bookmarkEnd w:id="1040"/>
      <w:bookmarkEnd w:id="1041"/>
      <w:bookmarkEnd w:id="1042"/>
      <w:bookmarkEnd w:id="1043"/>
      <w:bookmarkEnd w:id="1044"/>
      <w:bookmarkEnd w:id="1045"/>
      <w:bookmarkEnd w:id="1046"/>
    </w:p>
    <w:bookmarkEnd w:id="1038"/>
    <w:p w14:paraId="06E59405">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13.3.1 试车程序</w:t>
      </w:r>
    </w:p>
    <w:p w14:paraId="64C78713">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工程试车内容：</w:t>
      </w:r>
      <w:r>
        <w:rPr>
          <w:rFonts w:hint="eastAsia" w:ascii="宋体" w:hAnsi="宋体" w:eastAsia="宋体" w:cs="宋体"/>
          <w:color w:val="000000" w:themeColor="text1"/>
          <w:highlight w:val="none"/>
          <w:u w:val="single"/>
          <w14:textFill>
            <w14:solidFill>
              <w14:schemeClr w14:val="tx1"/>
            </w14:solidFill>
          </w14:textFill>
        </w:rPr>
        <w:t xml:space="preserve">   按通用条款执行            </w:t>
      </w:r>
      <w:r>
        <w:rPr>
          <w:rFonts w:hint="eastAsia" w:ascii="宋体" w:hAnsi="宋体" w:eastAsia="宋体" w:cs="宋体"/>
          <w:color w:val="000000" w:themeColor="text1"/>
          <w:highlight w:val="none"/>
          <w14:textFill>
            <w14:solidFill>
              <w14:schemeClr w14:val="tx1"/>
            </w14:solidFill>
          </w14:textFill>
        </w:rPr>
        <w:t>。</w:t>
      </w:r>
    </w:p>
    <w:p w14:paraId="5E34A363">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（1）单机无负荷试车费用由</w:t>
      </w:r>
      <w:r>
        <w:rPr>
          <w:rFonts w:hint="eastAsia" w:ascii="宋体" w:hAnsi="宋体" w:eastAsia="宋体" w:cs="宋体"/>
          <w:color w:val="000000" w:themeColor="text1"/>
          <w:highlight w:val="none"/>
          <w:u w:val="single"/>
          <w14:textFill>
            <w14:solidFill>
              <w14:schemeClr w14:val="tx1"/>
            </w14:solidFill>
          </w14:textFill>
        </w:rPr>
        <w:t xml:space="preserve">   使用人       </w:t>
      </w:r>
      <w:r>
        <w:rPr>
          <w:rFonts w:hint="eastAsia" w:ascii="宋体" w:hAnsi="宋体" w:eastAsia="宋体" w:cs="宋体"/>
          <w:color w:val="000000" w:themeColor="text1"/>
          <w:kern w:val="0"/>
          <w:highlight w:val="none"/>
          <w14:textFill>
            <w14:solidFill>
              <w14:schemeClr w14:val="tx1"/>
            </w14:solidFill>
          </w14:textFill>
        </w:rPr>
        <w:t>承担；</w:t>
      </w:r>
    </w:p>
    <w:p w14:paraId="12944AC1">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（2）无负荷联动试车费用由</w:t>
      </w:r>
      <w:r>
        <w:rPr>
          <w:rFonts w:hint="eastAsia" w:ascii="宋体" w:hAnsi="宋体" w:eastAsia="宋体" w:cs="宋体"/>
          <w:color w:val="000000" w:themeColor="text1"/>
          <w:highlight w:val="none"/>
          <w:u w:val="single"/>
          <w14:textFill>
            <w14:solidFill>
              <w14:schemeClr w14:val="tx1"/>
            </w14:solidFill>
          </w14:textFill>
        </w:rPr>
        <w:t xml:space="preserve">     使用人        </w:t>
      </w:r>
      <w:r>
        <w:rPr>
          <w:rFonts w:hint="eastAsia" w:ascii="宋体" w:hAnsi="宋体" w:eastAsia="宋体" w:cs="宋体"/>
          <w:color w:val="000000" w:themeColor="text1"/>
          <w:kern w:val="0"/>
          <w:highlight w:val="none"/>
          <w14:textFill>
            <w14:solidFill>
              <w14:schemeClr w14:val="tx1"/>
            </w14:solidFill>
          </w14:textFill>
        </w:rPr>
        <w:t>承担。</w:t>
      </w:r>
    </w:p>
    <w:p w14:paraId="4445B00F">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13.3.3 投料试车</w:t>
      </w:r>
    </w:p>
    <w:p w14:paraId="2DE07D11">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关于投料试车相关事项的约定：</w:t>
      </w:r>
      <w:r>
        <w:rPr>
          <w:rFonts w:hint="eastAsia" w:ascii="宋体" w:hAnsi="宋体" w:eastAsia="宋体" w:cs="宋体"/>
          <w:color w:val="000000" w:themeColor="text1"/>
          <w:highlight w:val="none"/>
          <w:u w:val="single"/>
          <w14:textFill>
            <w14:solidFill>
              <w14:schemeClr w14:val="tx1"/>
            </w14:solidFill>
          </w14:textFill>
        </w:rPr>
        <w:t xml:space="preserve">           无                  </w:t>
      </w:r>
      <w:r>
        <w:rPr>
          <w:rFonts w:hint="eastAsia" w:ascii="宋体" w:hAnsi="宋体" w:eastAsia="宋体" w:cs="宋体"/>
          <w:color w:val="000000" w:themeColor="text1"/>
          <w:highlight w:val="none"/>
          <w14:textFill>
            <w14:solidFill>
              <w14:schemeClr w14:val="tx1"/>
            </w14:solidFill>
          </w14:textFill>
        </w:rPr>
        <w:t>。</w:t>
      </w:r>
    </w:p>
    <w:p w14:paraId="57C575FD">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047" w:name="_Toc373478404"/>
      <w:bookmarkStart w:id="1048" w:name="_Toc373227757"/>
      <w:bookmarkStart w:id="1049" w:name="_Toc389065322"/>
      <w:bookmarkStart w:id="1050" w:name="_Toc407135260"/>
      <w:bookmarkStart w:id="1051" w:name="_Toc10307455"/>
      <w:bookmarkStart w:id="1052" w:name="_Toc78449846"/>
      <w:bookmarkStart w:id="1053" w:name="_Toc550030550"/>
      <w:r>
        <w:rPr>
          <w:rFonts w:hint="eastAsia" w:ascii="宋体" w:hAnsi="宋体" w:eastAsia="宋体" w:cs="宋体"/>
          <w:color w:val="000000" w:themeColor="text1"/>
          <w:highlight w:val="none"/>
          <w14:textFill>
            <w14:solidFill>
              <w14:schemeClr w14:val="tx1"/>
            </w14:solidFill>
          </w14:textFill>
        </w:rPr>
        <w:t>13.6 竣工退场</w:t>
      </w:r>
      <w:bookmarkEnd w:id="1047"/>
      <w:bookmarkEnd w:id="1048"/>
      <w:bookmarkEnd w:id="1049"/>
      <w:bookmarkEnd w:id="1050"/>
      <w:bookmarkEnd w:id="1051"/>
      <w:bookmarkEnd w:id="1052"/>
      <w:bookmarkEnd w:id="1053"/>
    </w:p>
    <w:p w14:paraId="5FB4048E">
      <w:pPr>
        <w:pageBreakBefore w:val="0"/>
        <w:widowControl w:val="0"/>
        <w:kinsoku/>
        <w:wordWrap/>
        <w:overflowPunct/>
        <w:topLinePunct w:val="0"/>
        <w:bidi w:val="0"/>
        <w:snapToGrid w:val="0"/>
        <w:spacing w:line="360" w:lineRule="auto"/>
        <w:ind w:firstLine="420" w:firstLineChars="200"/>
        <w:jc w:val="left"/>
        <w:outlineLvl w:val="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13.6.1 竣工退场</w:t>
      </w:r>
    </w:p>
    <w:p w14:paraId="69350344">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承包人完成竣工退场的期限：</w:t>
      </w:r>
      <w:r>
        <w:rPr>
          <w:rFonts w:hint="eastAsia" w:ascii="宋体" w:hAnsi="宋体" w:eastAsia="宋体" w:cs="宋体"/>
          <w:color w:val="000000" w:themeColor="text1"/>
          <w:highlight w:val="none"/>
          <w:u w:val="single"/>
          <w14:textFill>
            <w14:solidFill>
              <w14:schemeClr w14:val="tx1"/>
            </w14:solidFill>
          </w14:textFill>
        </w:rPr>
        <w:t xml:space="preserve">  竣工验收合格后3日内    </w:t>
      </w:r>
      <w:r>
        <w:rPr>
          <w:rFonts w:hint="eastAsia" w:ascii="宋体" w:hAnsi="宋体" w:eastAsia="宋体" w:cs="宋体"/>
          <w:color w:val="000000" w:themeColor="text1"/>
          <w:kern w:val="0"/>
          <w:highlight w:val="none"/>
          <w14:textFill>
            <w14:solidFill>
              <w14:schemeClr w14:val="tx1"/>
            </w14:solidFill>
          </w14:textFill>
        </w:rPr>
        <w:t>。</w:t>
      </w:r>
    </w:p>
    <w:p w14:paraId="4A4725FA">
      <w:pPr>
        <w:pStyle w:val="2"/>
        <w:pageBreakBefore w:val="0"/>
        <w:widowControl w:val="0"/>
        <w:kinsoku/>
        <w:wordWrap/>
        <w:overflowPunct/>
        <w:topLinePunct w:val="0"/>
        <w:bidi w:val="0"/>
        <w:snapToGrid w:val="0"/>
        <w:spacing w:before="0" w:after="0" w:line="360" w:lineRule="auto"/>
        <w:rPr>
          <w:rFonts w:hint="eastAsia" w:ascii="宋体" w:hAnsi="宋体" w:eastAsia="宋体" w:cs="宋体"/>
          <w:color w:val="000000" w:themeColor="text1"/>
          <w:highlight w:val="none"/>
          <w14:textFill>
            <w14:solidFill>
              <w14:schemeClr w14:val="tx1"/>
            </w14:solidFill>
          </w14:textFill>
        </w:rPr>
      </w:pPr>
      <w:bookmarkStart w:id="1054" w:name="_Toc1385490858"/>
      <w:bookmarkStart w:id="1055" w:name="_Toc389065323"/>
      <w:bookmarkStart w:id="1056" w:name="_Toc78449847"/>
      <w:bookmarkStart w:id="1057" w:name="_Toc373478405"/>
      <w:bookmarkStart w:id="1058" w:name="_Toc373227758"/>
      <w:bookmarkStart w:id="1059" w:name="_Toc351203646"/>
      <w:bookmarkStart w:id="1060" w:name="_Toc1950258056"/>
      <w:bookmarkStart w:id="1061" w:name="_Toc407135261"/>
      <w:r>
        <w:rPr>
          <w:rFonts w:hint="eastAsia" w:ascii="宋体" w:hAnsi="宋体" w:eastAsia="宋体" w:cs="宋体"/>
          <w:color w:val="000000" w:themeColor="text1"/>
          <w:highlight w:val="none"/>
          <w14:textFill>
            <w14:solidFill>
              <w14:schemeClr w14:val="tx1"/>
            </w14:solidFill>
          </w14:textFill>
        </w:rPr>
        <w:t>14. 竣工结算</w:t>
      </w:r>
      <w:bookmarkEnd w:id="1054"/>
      <w:bookmarkEnd w:id="1055"/>
      <w:bookmarkEnd w:id="1056"/>
      <w:bookmarkEnd w:id="1057"/>
      <w:bookmarkEnd w:id="1058"/>
      <w:bookmarkEnd w:id="1059"/>
      <w:bookmarkEnd w:id="1060"/>
      <w:bookmarkEnd w:id="1061"/>
    </w:p>
    <w:p w14:paraId="2BD5DBA8">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062" w:name="_Toc389065324"/>
      <w:bookmarkStart w:id="1063" w:name="_Toc407135262"/>
      <w:bookmarkStart w:id="1064" w:name="_Toc174652718"/>
      <w:bookmarkStart w:id="1065" w:name="_Toc373227759"/>
      <w:bookmarkStart w:id="1066" w:name="_Toc78449848"/>
      <w:bookmarkStart w:id="1067" w:name="_Toc373478406"/>
      <w:bookmarkStart w:id="1068" w:name="_Toc1973954660"/>
      <w:r>
        <w:rPr>
          <w:rFonts w:hint="eastAsia" w:ascii="宋体" w:hAnsi="宋体" w:eastAsia="宋体" w:cs="宋体"/>
          <w:color w:val="000000" w:themeColor="text1"/>
          <w:highlight w:val="none"/>
          <w14:textFill>
            <w14:solidFill>
              <w14:schemeClr w14:val="tx1"/>
            </w14:solidFill>
          </w14:textFill>
        </w:rPr>
        <w:t>14.1 竣工付款申请</w:t>
      </w:r>
      <w:bookmarkEnd w:id="1062"/>
      <w:bookmarkEnd w:id="1063"/>
      <w:bookmarkEnd w:id="1064"/>
      <w:bookmarkEnd w:id="1065"/>
      <w:bookmarkEnd w:id="1066"/>
      <w:bookmarkEnd w:id="1067"/>
      <w:bookmarkEnd w:id="1068"/>
    </w:p>
    <w:p w14:paraId="3D439399">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承包人提交竣工付款申请单的期限：</w:t>
      </w:r>
      <w:r>
        <w:rPr>
          <w:rFonts w:hint="eastAsia" w:ascii="宋体" w:hAnsi="宋体" w:eastAsia="宋体" w:cs="宋体"/>
          <w:color w:val="000000" w:themeColor="text1"/>
          <w:highlight w:val="none"/>
          <w:u w:val="single"/>
          <w14:textFill>
            <w14:solidFill>
              <w14:schemeClr w14:val="tx1"/>
            </w14:solidFill>
          </w14:textFill>
        </w:rPr>
        <w:t xml:space="preserve"> 按通用条款执行，无特殊约定 </w:t>
      </w:r>
      <w:r>
        <w:rPr>
          <w:rFonts w:hint="eastAsia" w:ascii="宋体" w:hAnsi="宋体" w:eastAsia="宋体" w:cs="宋体"/>
          <w:color w:val="000000" w:themeColor="text1"/>
          <w:highlight w:val="none"/>
          <w14:textFill>
            <w14:solidFill>
              <w14:schemeClr w14:val="tx1"/>
            </w14:solidFill>
          </w14:textFill>
        </w:rPr>
        <w:t>。</w:t>
      </w:r>
    </w:p>
    <w:p w14:paraId="7FB8179F">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竣工付款申请单应包括的内容：</w:t>
      </w:r>
      <w:r>
        <w:rPr>
          <w:rFonts w:hint="eastAsia" w:ascii="宋体" w:hAnsi="宋体" w:eastAsia="宋体" w:cs="宋体"/>
          <w:color w:val="000000" w:themeColor="text1"/>
          <w:highlight w:val="none"/>
          <w:u w:val="single"/>
          <w14:textFill>
            <w14:solidFill>
              <w14:schemeClr w14:val="tx1"/>
            </w14:solidFill>
          </w14:textFill>
        </w:rPr>
        <w:t xml:space="preserve">  承包人提交竣工结算申请单的同时应提交完整的结算资料，结算资料主要包括合同、工程量计算书、结算书、变更设计通知单、签证单、竣工图等及审核部门要求提交的其他资料。上述资料齐全后经监理初审、第三方造价咨询审计单位审定及发包人审核后，方可办理工程结算或竣工决算，最终结算以财政局审核、审计局复审工程造价的审计结果为准 </w:t>
      </w:r>
      <w:r>
        <w:rPr>
          <w:rFonts w:hint="eastAsia" w:ascii="宋体" w:hAnsi="宋体" w:eastAsia="宋体" w:cs="宋体"/>
          <w:color w:val="000000" w:themeColor="text1"/>
          <w:highlight w:val="none"/>
          <w14:textFill>
            <w14:solidFill>
              <w14:schemeClr w14:val="tx1"/>
            </w14:solidFill>
          </w14:textFill>
        </w:rPr>
        <w:t>。竣工结算款支付申请（核准）表见合同附件12。</w:t>
      </w:r>
    </w:p>
    <w:p w14:paraId="018F5499">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069" w:name="_Toc373227760"/>
      <w:bookmarkStart w:id="1070" w:name="_Toc78449849"/>
      <w:bookmarkStart w:id="1071" w:name="_Toc667492935"/>
      <w:bookmarkStart w:id="1072" w:name="_Toc489920513"/>
      <w:bookmarkStart w:id="1073" w:name="_Toc389065325"/>
      <w:bookmarkStart w:id="1074" w:name="_Toc407135263"/>
      <w:bookmarkStart w:id="1075" w:name="_Toc373478407"/>
      <w:r>
        <w:rPr>
          <w:rFonts w:hint="eastAsia" w:ascii="宋体" w:hAnsi="宋体" w:eastAsia="宋体" w:cs="宋体"/>
          <w:color w:val="000000" w:themeColor="text1"/>
          <w:highlight w:val="none"/>
          <w14:textFill>
            <w14:solidFill>
              <w14:schemeClr w14:val="tx1"/>
            </w14:solidFill>
          </w14:textFill>
        </w:rPr>
        <w:t>14.2 竣工结算审核</w:t>
      </w:r>
      <w:bookmarkEnd w:id="1069"/>
      <w:bookmarkEnd w:id="1070"/>
      <w:bookmarkEnd w:id="1071"/>
      <w:bookmarkEnd w:id="1072"/>
      <w:bookmarkEnd w:id="1073"/>
      <w:bookmarkEnd w:id="1074"/>
      <w:bookmarkEnd w:id="1075"/>
    </w:p>
    <w:p w14:paraId="541AA9A3">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发包人审批竣工付款申请单的期限：</w:t>
      </w:r>
    </w:p>
    <w:tbl>
      <w:tblPr>
        <w:tblStyle w:val="20"/>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6C69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80882BA">
            <w:pPr>
              <w:pageBreakBefore w:val="0"/>
              <w:widowControl w:val="0"/>
              <w:kinsoku/>
              <w:wordWrap/>
              <w:overflowPunct/>
              <w:topLinePunct w:val="0"/>
              <w:bidi w:val="0"/>
              <w:snapToGrid w:val="0"/>
              <w:spacing w:line="360" w:lineRule="auto"/>
              <w:rPr>
                <w:rFonts w:hint="eastAsia" w:ascii="宋体" w:hAnsi="宋体" w:eastAsia="宋体" w:cs="宋体"/>
                <w:color w:val="000000" w:themeColor="text1"/>
                <w:highlight w:val="none"/>
                <w14:textFill>
                  <w14:solidFill>
                    <w14:schemeClr w14:val="tx1"/>
                  </w14:solidFill>
                </w14:textFill>
              </w:rPr>
            </w:pPr>
          </w:p>
        </w:tc>
        <w:tc>
          <w:tcPr>
            <w:tcW w:w="2466" w:type="dxa"/>
            <w:noWrap w:val="0"/>
            <w:vAlign w:val="center"/>
          </w:tcPr>
          <w:p w14:paraId="076021FC">
            <w:pPr>
              <w:pageBreakBefore w:val="0"/>
              <w:widowControl w:val="0"/>
              <w:kinsoku/>
              <w:wordWrap/>
              <w:overflowPunct/>
              <w:topLinePunct w:val="0"/>
              <w:bidi w:val="0"/>
              <w:snapToGrid w:val="0"/>
              <w:spacing w:line="360" w:lineRule="auto"/>
              <w:ind w:firstLine="27" w:firstLineChars="13"/>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工程竣工结算报告金额</w:t>
            </w:r>
          </w:p>
        </w:tc>
        <w:tc>
          <w:tcPr>
            <w:tcW w:w="5967" w:type="dxa"/>
            <w:noWrap w:val="0"/>
            <w:vAlign w:val="center"/>
          </w:tcPr>
          <w:p w14:paraId="1815C647">
            <w:pPr>
              <w:pageBreakBefore w:val="0"/>
              <w:widowControl w:val="0"/>
              <w:kinsoku/>
              <w:wordWrap/>
              <w:overflowPunct/>
              <w:topLinePunct w:val="0"/>
              <w:bidi w:val="0"/>
              <w:snapToGrid w:val="0"/>
              <w:spacing w:line="360" w:lineRule="auto"/>
              <w:ind w:firstLine="441" w:firstLineChars="21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发包人审查时间</w:t>
            </w:r>
          </w:p>
        </w:tc>
      </w:tr>
      <w:tr w14:paraId="01983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83422D7">
            <w:pPr>
              <w:pageBreakBefore w:val="0"/>
              <w:widowControl w:val="0"/>
              <w:kinsoku/>
              <w:wordWrap/>
              <w:overflowPunct/>
              <w:topLinePunct w:val="0"/>
              <w:bidi w:val="0"/>
              <w:snapToGrid w:val="0"/>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466" w:type="dxa"/>
            <w:noWrap w:val="0"/>
            <w:vAlign w:val="center"/>
          </w:tcPr>
          <w:p w14:paraId="442DDE76">
            <w:pPr>
              <w:pageBreakBefore w:val="0"/>
              <w:widowControl w:val="0"/>
              <w:kinsoku/>
              <w:wordWrap/>
              <w:overflowPunct/>
              <w:topLinePunct w:val="0"/>
              <w:bidi w:val="0"/>
              <w:snapToGrid w:val="0"/>
              <w:spacing w:line="360" w:lineRule="auto"/>
              <w:ind w:firstLine="27" w:firstLineChars="13"/>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500万元以下</w:t>
            </w:r>
          </w:p>
        </w:tc>
        <w:tc>
          <w:tcPr>
            <w:tcW w:w="5967" w:type="dxa"/>
            <w:noWrap w:val="0"/>
            <w:vAlign w:val="center"/>
          </w:tcPr>
          <w:p w14:paraId="743D59EC">
            <w:pPr>
              <w:pageBreakBefore w:val="0"/>
              <w:widowControl w:val="0"/>
              <w:kinsoku/>
              <w:wordWrap/>
              <w:overflowPunct/>
              <w:topLinePunct w:val="0"/>
              <w:bidi w:val="0"/>
              <w:snapToGrid w:val="0"/>
              <w:spacing w:line="360" w:lineRule="auto"/>
              <w:ind w:firstLine="441" w:firstLineChars="21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从接到竣工结算报告和完整的竣工结算资料之日起20天</w:t>
            </w:r>
          </w:p>
        </w:tc>
      </w:tr>
      <w:tr w14:paraId="1D977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9452BEB">
            <w:pPr>
              <w:pageBreakBefore w:val="0"/>
              <w:widowControl w:val="0"/>
              <w:kinsoku/>
              <w:wordWrap/>
              <w:overflowPunct/>
              <w:topLinePunct w:val="0"/>
              <w:bidi w:val="0"/>
              <w:snapToGrid w:val="0"/>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466" w:type="dxa"/>
            <w:noWrap w:val="0"/>
            <w:vAlign w:val="center"/>
          </w:tcPr>
          <w:p w14:paraId="4A389596">
            <w:pPr>
              <w:pageBreakBefore w:val="0"/>
              <w:widowControl w:val="0"/>
              <w:kinsoku/>
              <w:wordWrap/>
              <w:overflowPunct/>
              <w:topLinePunct w:val="0"/>
              <w:bidi w:val="0"/>
              <w:snapToGrid w:val="0"/>
              <w:spacing w:line="360" w:lineRule="auto"/>
              <w:ind w:firstLine="27" w:firstLineChars="13"/>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500万元-2000万元</w:t>
            </w:r>
          </w:p>
        </w:tc>
        <w:tc>
          <w:tcPr>
            <w:tcW w:w="5967" w:type="dxa"/>
            <w:noWrap w:val="0"/>
            <w:vAlign w:val="center"/>
          </w:tcPr>
          <w:p w14:paraId="4287DE84">
            <w:pPr>
              <w:pageBreakBefore w:val="0"/>
              <w:widowControl w:val="0"/>
              <w:kinsoku/>
              <w:wordWrap/>
              <w:overflowPunct/>
              <w:topLinePunct w:val="0"/>
              <w:bidi w:val="0"/>
              <w:snapToGrid w:val="0"/>
              <w:spacing w:line="360" w:lineRule="auto"/>
              <w:ind w:firstLine="441" w:firstLineChars="21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从接到竣工结算报告和完整的竣工结算资料之日起30天</w:t>
            </w:r>
          </w:p>
        </w:tc>
      </w:tr>
      <w:tr w14:paraId="6E4E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0F65599">
            <w:pPr>
              <w:pageBreakBefore w:val="0"/>
              <w:widowControl w:val="0"/>
              <w:kinsoku/>
              <w:wordWrap/>
              <w:overflowPunct/>
              <w:topLinePunct w:val="0"/>
              <w:bidi w:val="0"/>
              <w:snapToGrid w:val="0"/>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2466" w:type="dxa"/>
            <w:noWrap w:val="0"/>
            <w:vAlign w:val="center"/>
          </w:tcPr>
          <w:p w14:paraId="4A5C4CE3">
            <w:pPr>
              <w:pageBreakBefore w:val="0"/>
              <w:widowControl w:val="0"/>
              <w:kinsoku/>
              <w:wordWrap/>
              <w:overflowPunct/>
              <w:topLinePunct w:val="0"/>
              <w:bidi w:val="0"/>
              <w:snapToGrid w:val="0"/>
              <w:spacing w:line="360" w:lineRule="auto"/>
              <w:ind w:firstLine="27" w:firstLineChars="13"/>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2000万元-5000万元</w:t>
            </w:r>
          </w:p>
        </w:tc>
        <w:tc>
          <w:tcPr>
            <w:tcW w:w="5967" w:type="dxa"/>
            <w:noWrap w:val="0"/>
            <w:vAlign w:val="center"/>
          </w:tcPr>
          <w:p w14:paraId="1D81C348">
            <w:pPr>
              <w:pageBreakBefore w:val="0"/>
              <w:widowControl w:val="0"/>
              <w:kinsoku/>
              <w:wordWrap/>
              <w:overflowPunct/>
              <w:topLinePunct w:val="0"/>
              <w:bidi w:val="0"/>
              <w:snapToGrid w:val="0"/>
              <w:spacing w:line="360" w:lineRule="auto"/>
              <w:ind w:firstLine="441" w:firstLineChars="21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从接到竣工结算报告和完整的竣工结算资料之日起45天</w:t>
            </w:r>
          </w:p>
        </w:tc>
      </w:tr>
      <w:tr w14:paraId="1A98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74D2F8FC">
            <w:pPr>
              <w:pageBreakBefore w:val="0"/>
              <w:widowControl w:val="0"/>
              <w:kinsoku/>
              <w:wordWrap/>
              <w:overflowPunct/>
              <w:topLinePunct w:val="0"/>
              <w:bidi w:val="0"/>
              <w:snapToGrid w:val="0"/>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2466" w:type="dxa"/>
            <w:noWrap w:val="0"/>
            <w:vAlign w:val="center"/>
          </w:tcPr>
          <w:p w14:paraId="6E30F222">
            <w:pPr>
              <w:pageBreakBefore w:val="0"/>
              <w:widowControl w:val="0"/>
              <w:kinsoku/>
              <w:wordWrap/>
              <w:overflowPunct/>
              <w:topLinePunct w:val="0"/>
              <w:bidi w:val="0"/>
              <w:snapToGrid w:val="0"/>
              <w:spacing w:line="360" w:lineRule="auto"/>
              <w:ind w:firstLine="27" w:firstLineChars="13"/>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5000万元以上</w:t>
            </w:r>
          </w:p>
        </w:tc>
        <w:tc>
          <w:tcPr>
            <w:tcW w:w="5967" w:type="dxa"/>
            <w:noWrap w:val="0"/>
            <w:vAlign w:val="center"/>
          </w:tcPr>
          <w:p w14:paraId="01C4E816">
            <w:pPr>
              <w:pageBreakBefore w:val="0"/>
              <w:widowControl w:val="0"/>
              <w:kinsoku/>
              <w:wordWrap/>
              <w:overflowPunct/>
              <w:topLinePunct w:val="0"/>
              <w:bidi w:val="0"/>
              <w:snapToGrid w:val="0"/>
              <w:spacing w:line="360" w:lineRule="auto"/>
              <w:ind w:firstLine="441" w:firstLineChars="21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从接到竣工结算报告和完整的竣工结算资料之日起60天</w:t>
            </w:r>
          </w:p>
        </w:tc>
      </w:tr>
      <w:tr w14:paraId="3CB73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FCAFCCA">
            <w:pPr>
              <w:pageBreakBefore w:val="0"/>
              <w:widowControl w:val="0"/>
              <w:kinsoku/>
              <w:wordWrap/>
              <w:overflowPunct/>
              <w:topLinePunct w:val="0"/>
              <w:bidi w:val="0"/>
              <w:snapToGrid w:val="0"/>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2466" w:type="dxa"/>
            <w:noWrap w:val="0"/>
            <w:vAlign w:val="center"/>
          </w:tcPr>
          <w:p w14:paraId="4C107677">
            <w:pPr>
              <w:pageBreakBefore w:val="0"/>
              <w:widowControl w:val="0"/>
              <w:kinsoku/>
              <w:wordWrap/>
              <w:overflowPunct/>
              <w:topLinePunct w:val="0"/>
              <w:bidi w:val="0"/>
              <w:snapToGrid w:val="0"/>
              <w:spacing w:line="360" w:lineRule="auto"/>
              <w:ind w:firstLine="27" w:firstLineChars="13"/>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5000万以上每增加0.5亿(不足0.5亿不增加)</w:t>
            </w:r>
          </w:p>
        </w:tc>
        <w:tc>
          <w:tcPr>
            <w:tcW w:w="5967" w:type="dxa"/>
            <w:noWrap w:val="0"/>
            <w:vAlign w:val="center"/>
          </w:tcPr>
          <w:p w14:paraId="7E0D0D52">
            <w:pPr>
              <w:pageBreakBefore w:val="0"/>
              <w:widowControl w:val="0"/>
              <w:kinsoku/>
              <w:wordWrap/>
              <w:overflowPunct/>
              <w:topLinePunct w:val="0"/>
              <w:bidi w:val="0"/>
              <w:snapToGrid w:val="0"/>
              <w:spacing w:line="360" w:lineRule="auto"/>
              <w:ind w:firstLine="441" w:firstLineChars="21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增加10天</w:t>
            </w:r>
          </w:p>
        </w:tc>
      </w:tr>
    </w:tbl>
    <w:p w14:paraId="18CC15D1">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因承包人提供的结算资料不完整而需要补充或承包人不按时对账耽误时间时，审查时间应相应顺延。</w:t>
      </w:r>
    </w:p>
    <w:p w14:paraId="5438AC11">
      <w:pPr>
        <w:pageBreakBefore w:val="0"/>
        <w:widowControl w:val="0"/>
        <w:kinsoku/>
        <w:wordWrap/>
        <w:overflowPunct/>
        <w:topLinePunct w:val="0"/>
        <w:bidi w:val="0"/>
        <w:snapToGrid w:val="0"/>
        <w:spacing w:line="360" w:lineRule="auto"/>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竣工结算审核约定：</w:t>
      </w:r>
      <w:r>
        <w:rPr>
          <w:rFonts w:hint="eastAsia" w:ascii="宋体" w:hAnsi="宋体" w:eastAsia="宋体" w:cs="宋体"/>
          <w:color w:val="000000" w:themeColor="text1"/>
          <w:szCs w:val="21"/>
          <w:highlight w:val="none"/>
          <w14:textFill>
            <w14:solidFill>
              <w14:schemeClr w14:val="tx1"/>
            </w14:solidFill>
          </w14:textFill>
        </w:rPr>
        <w:t>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0C717395">
      <w:pPr>
        <w:pageBreakBefore w:val="0"/>
        <w:widowControl w:val="0"/>
        <w:kinsoku/>
        <w:wordWrap/>
        <w:overflowPunct/>
        <w:topLinePunct w:val="0"/>
        <w:bidi w:val="0"/>
        <w:snapToGrid w:val="0"/>
        <w:spacing w:line="360" w:lineRule="auto"/>
        <w:ind w:firstLine="411" w:firstLineChars="196"/>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1、工程竣工验收报告经发包人认可后30天内，承包人向发包人递交竣工验收合格资料及完整的结算资料和报告，双方按照本工程合同约定的价格形式及价款调整办法进行工程竣工结算。2、发包人收到承包人递交的竣工结算报告及结算资料之日起60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14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发包人按审定后的竣工结算价款，通知经办银行向承包人支付结算价款。</w:t>
      </w:r>
    </w:p>
    <w:p w14:paraId="5D8F880A">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076" w:name="_Toc407135264"/>
      <w:bookmarkStart w:id="1077" w:name="_Toc373227761"/>
      <w:bookmarkStart w:id="1078" w:name="_Toc78449850"/>
      <w:bookmarkStart w:id="1079" w:name="_Toc389065326"/>
      <w:bookmarkStart w:id="1080" w:name="_Toc540165641"/>
      <w:bookmarkStart w:id="1081" w:name="_Toc373478408"/>
      <w:bookmarkStart w:id="1082" w:name="_Toc1203653078"/>
      <w:r>
        <w:rPr>
          <w:rFonts w:hint="eastAsia" w:ascii="宋体" w:hAnsi="宋体" w:eastAsia="宋体" w:cs="宋体"/>
          <w:color w:val="000000" w:themeColor="text1"/>
          <w:highlight w:val="none"/>
          <w14:textFill>
            <w14:solidFill>
              <w14:schemeClr w14:val="tx1"/>
            </w14:solidFill>
          </w14:textFill>
        </w:rPr>
        <w:t>14.4 最终结清</w:t>
      </w:r>
      <w:bookmarkEnd w:id="1076"/>
      <w:bookmarkEnd w:id="1077"/>
      <w:bookmarkEnd w:id="1078"/>
      <w:bookmarkEnd w:id="1079"/>
      <w:bookmarkEnd w:id="1080"/>
      <w:bookmarkEnd w:id="1081"/>
      <w:bookmarkEnd w:id="1082"/>
    </w:p>
    <w:p w14:paraId="3F413F80">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14.4.1 最终结清申请单</w:t>
      </w:r>
    </w:p>
    <w:p w14:paraId="3D54B58B">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承包人提交最终结清申请单的份数：</w:t>
      </w:r>
      <w:r>
        <w:rPr>
          <w:rFonts w:hint="eastAsia" w:ascii="宋体" w:hAnsi="宋体" w:eastAsia="宋体" w:cs="宋体"/>
          <w:color w:val="000000" w:themeColor="text1"/>
          <w:highlight w:val="none"/>
          <w:u w:val="single"/>
          <w14:textFill>
            <w14:solidFill>
              <w14:schemeClr w14:val="tx1"/>
            </w14:solidFill>
          </w14:textFill>
        </w:rPr>
        <w:t xml:space="preserve">    一式六份        </w:t>
      </w:r>
      <w:r>
        <w:rPr>
          <w:rFonts w:hint="eastAsia" w:ascii="宋体" w:hAnsi="宋体" w:eastAsia="宋体" w:cs="宋体"/>
          <w:color w:val="000000" w:themeColor="text1"/>
          <w:highlight w:val="none"/>
          <w14:textFill>
            <w14:solidFill>
              <w14:schemeClr w14:val="tx1"/>
            </w14:solidFill>
          </w14:textFill>
        </w:rPr>
        <w:t>。</w:t>
      </w:r>
    </w:p>
    <w:p w14:paraId="7A6C2E31">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承包人提交最终结算申请单的期限：</w:t>
      </w:r>
      <w:r>
        <w:rPr>
          <w:rFonts w:hint="eastAsia" w:ascii="宋体" w:hAnsi="宋体" w:eastAsia="宋体" w:cs="宋体"/>
          <w:color w:val="000000" w:themeColor="text1"/>
          <w:highlight w:val="none"/>
          <w:u w:val="single"/>
          <w14:textFill>
            <w14:solidFill>
              <w14:schemeClr w14:val="tx1"/>
            </w14:solidFill>
          </w14:textFill>
        </w:rPr>
        <w:t xml:space="preserve"> 按通用条款执行，无特殊约定   </w:t>
      </w:r>
      <w:r>
        <w:rPr>
          <w:rFonts w:hint="eastAsia" w:ascii="宋体" w:hAnsi="宋体" w:eastAsia="宋体" w:cs="宋体"/>
          <w:color w:val="000000" w:themeColor="text1"/>
          <w:highlight w:val="none"/>
          <w14:textFill>
            <w14:solidFill>
              <w14:schemeClr w14:val="tx1"/>
            </w14:solidFill>
          </w14:textFill>
        </w:rPr>
        <w:t xml:space="preserve">。 </w:t>
      </w:r>
    </w:p>
    <w:p w14:paraId="0DA7284F">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最终结算款支付申请（核准）表见合同附件13。</w:t>
      </w:r>
    </w:p>
    <w:p w14:paraId="1426F475">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14.4.2 最终结清证书和支付</w:t>
      </w:r>
    </w:p>
    <w:p w14:paraId="642048ED">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（1）发包人完成最终结清申请单的审批并颁发最终结清证书的期限：</w:t>
      </w:r>
      <w:r>
        <w:rPr>
          <w:rFonts w:hint="eastAsia" w:ascii="宋体" w:hAnsi="宋体" w:eastAsia="宋体" w:cs="宋体"/>
          <w:color w:val="000000" w:themeColor="text1"/>
          <w:highlight w:val="none"/>
          <w:u w:val="single"/>
          <w14:textFill>
            <w14:solidFill>
              <w14:schemeClr w14:val="tx1"/>
            </w14:solidFill>
          </w14:textFill>
        </w:rPr>
        <w:t xml:space="preserve">发包人在收到承包人提交的最终结清申请单后30天内完成审批并向承包人颁发最终结清证书  </w:t>
      </w:r>
      <w:r>
        <w:rPr>
          <w:rFonts w:hint="eastAsia" w:ascii="宋体" w:hAnsi="宋体" w:eastAsia="宋体" w:cs="宋体"/>
          <w:color w:val="000000" w:themeColor="text1"/>
          <w:highlight w:val="none"/>
          <w14:textFill>
            <w14:solidFill>
              <w14:schemeClr w14:val="tx1"/>
            </w14:solidFill>
          </w14:textFill>
        </w:rPr>
        <w:t>。</w:t>
      </w:r>
    </w:p>
    <w:p w14:paraId="09852F50">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（2）发包人完成支付的期限：</w:t>
      </w:r>
      <w:r>
        <w:rPr>
          <w:rFonts w:hint="eastAsia" w:ascii="宋体" w:hAnsi="宋体" w:eastAsia="宋体" w:cs="宋体"/>
          <w:color w:val="000000" w:themeColor="text1"/>
          <w:highlight w:val="none"/>
          <w:u w:val="single"/>
          <w14:textFill>
            <w14:solidFill>
              <w14:schemeClr w14:val="tx1"/>
            </w14:solidFill>
          </w14:textFill>
        </w:rPr>
        <w:t xml:space="preserve"> 发包人应在颁发最终结清证书后30天内完成支付  </w:t>
      </w:r>
      <w:r>
        <w:rPr>
          <w:rFonts w:hint="eastAsia" w:ascii="宋体" w:hAnsi="宋体" w:eastAsia="宋体" w:cs="宋体"/>
          <w:color w:val="000000" w:themeColor="text1"/>
          <w:highlight w:val="none"/>
          <w14:textFill>
            <w14:solidFill>
              <w14:schemeClr w14:val="tx1"/>
            </w14:solidFill>
          </w14:textFill>
        </w:rPr>
        <w:t>。</w:t>
      </w:r>
    </w:p>
    <w:bookmarkEnd w:id="1027"/>
    <w:bookmarkEnd w:id="1028"/>
    <w:bookmarkEnd w:id="1029"/>
    <w:bookmarkEnd w:id="1030"/>
    <w:bookmarkEnd w:id="1031"/>
    <w:bookmarkEnd w:id="1032"/>
    <w:bookmarkEnd w:id="1033"/>
    <w:bookmarkEnd w:id="1039"/>
    <w:p w14:paraId="7E9755E9">
      <w:pPr>
        <w:pStyle w:val="2"/>
        <w:pageBreakBefore w:val="0"/>
        <w:widowControl w:val="0"/>
        <w:kinsoku/>
        <w:wordWrap/>
        <w:overflowPunct/>
        <w:topLinePunct w:val="0"/>
        <w:bidi w:val="0"/>
        <w:snapToGrid w:val="0"/>
        <w:spacing w:before="0" w:after="0" w:line="360" w:lineRule="auto"/>
        <w:rPr>
          <w:rFonts w:hint="eastAsia" w:ascii="宋体" w:hAnsi="宋体" w:eastAsia="宋体" w:cs="宋体"/>
          <w:color w:val="000000" w:themeColor="text1"/>
          <w:highlight w:val="none"/>
          <w14:textFill>
            <w14:solidFill>
              <w14:schemeClr w14:val="tx1"/>
            </w14:solidFill>
          </w14:textFill>
        </w:rPr>
      </w:pPr>
      <w:bookmarkStart w:id="1083" w:name="_Toc373478409"/>
      <w:bookmarkStart w:id="1084" w:name="_Toc389065327"/>
      <w:bookmarkStart w:id="1085" w:name="_Toc78449851"/>
      <w:bookmarkStart w:id="1086" w:name="_Toc407135265"/>
      <w:bookmarkStart w:id="1087" w:name="_Toc905081407"/>
      <w:bookmarkStart w:id="1088" w:name="_Toc373227762"/>
      <w:bookmarkStart w:id="1089" w:name="_Toc351203647"/>
      <w:bookmarkStart w:id="1090" w:name="_Toc1294213766"/>
      <w:bookmarkStart w:id="1091" w:name="_Toc267251483"/>
      <w:bookmarkStart w:id="1092" w:name="_Toc267251482"/>
      <w:bookmarkStart w:id="1093" w:name="_Toc267251484"/>
      <w:bookmarkStart w:id="1094" w:name="_Toc267251485"/>
      <w:bookmarkStart w:id="1095" w:name="_Toc267251489"/>
      <w:bookmarkStart w:id="1096" w:name="_Toc267251490"/>
      <w:bookmarkStart w:id="1097" w:name="_Toc267251488"/>
      <w:bookmarkStart w:id="1098" w:name="_Toc267251486"/>
      <w:bookmarkStart w:id="1099" w:name="_Toc267251493"/>
      <w:bookmarkStart w:id="1100" w:name="_Toc267251503"/>
      <w:bookmarkStart w:id="1101" w:name="_Toc267251502"/>
      <w:bookmarkStart w:id="1102" w:name="_Toc267251497"/>
      <w:bookmarkStart w:id="1103" w:name="_Toc267251495"/>
      <w:bookmarkStart w:id="1104" w:name="_Toc267251494"/>
      <w:bookmarkStart w:id="1105" w:name="_Toc267251492"/>
      <w:bookmarkStart w:id="1106" w:name="_Toc267251491"/>
      <w:bookmarkStart w:id="1107" w:name="_Toc267251501"/>
      <w:bookmarkStart w:id="1108" w:name="_Toc267251498"/>
      <w:bookmarkStart w:id="1109" w:name="_Toc267251499"/>
      <w:bookmarkStart w:id="1110" w:name="_Toc267251496"/>
      <w:bookmarkStart w:id="1111" w:name="_Toc267251504"/>
      <w:bookmarkStart w:id="1112" w:name="_Toc267251506"/>
      <w:bookmarkStart w:id="1113" w:name="_Toc267251507"/>
      <w:bookmarkStart w:id="1114" w:name="_Toc267251508"/>
      <w:bookmarkStart w:id="1115" w:name="_Toc267251509"/>
      <w:bookmarkStart w:id="1116" w:name="_Toc267251513"/>
      <w:bookmarkStart w:id="1117" w:name="_Toc267251514"/>
      <w:bookmarkStart w:id="1118" w:name="_Toc267251510"/>
      <w:bookmarkStart w:id="1119" w:name="_Toc267251511"/>
      <w:bookmarkStart w:id="1120" w:name="_Toc267251515"/>
      <w:r>
        <w:rPr>
          <w:rFonts w:hint="eastAsia" w:ascii="宋体" w:hAnsi="宋体" w:eastAsia="宋体" w:cs="宋体"/>
          <w:color w:val="000000" w:themeColor="text1"/>
          <w:highlight w:val="none"/>
          <w14:textFill>
            <w14:solidFill>
              <w14:schemeClr w14:val="tx1"/>
            </w14:solidFill>
          </w14:textFill>
        </w:rPr>
        <w:t>15. 缺陷责任期与保修</w:t>
      </w:r>
      <w:bookmarkEnd w:id="1083"/>
      <w:bookmarkEnd w:id="1084"/>
      <w:bookmarkEnd w:id="1085"/>
      <w:bookmarkEnd w:id="1086"/>
      <w:bookmarkEnd w:id="1087"/>
      <w:bookmarkEnd w:id="1088"/>
      <w:bookmarkEnd w:id="1089"/>
      <w:bookmarkEnd w:id="1090"/>
    </w:p>
    <w:p w14:paraId="10B47963">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121" w:name="_Toc1845278067"/>
      <w:bookmarkStart w:id="1122" w:name="_Toc78449852"/>
      <w:bookmarkStart w:id="1123" w:name="_Toc1468458868"/>
      <w:bookmarkStart w:id="1124" w:name="_Toc373478410"/>
      <w:bookmarkStart w:id="1125" w:name="_Toc389065328"/>
      <w:bookmarkStart w:id="1126" w:name="_Toc407135266"/>
      <w:bookmarkStart w:id="1127" w:name="_Toc373227763"/>
      <w:r>
        <w:rPr>
          <w:rFonts w:hint="eastAsia" w:ascii="宋体" w:hAnsi="宋体" w:eastAsia="宋体" w:cs="宋体"/>
          <w:color w:val="000000" w:themeColor="text1"/>
          <w:highlight w:val="none"/>
          <w14:textFill>
            <w14:solidFill>
              <w14:schemeClr w14:val="tx1"/>
            </w14:solidFill>
          </w14:textFill>
        </w:rPr>
        <w:t>15.2 缺陷责任期</w:t>
      </w:r>
      <w:bookmarkEnd w:id="1091"/>
      <w:bookmarkEnd w:id="1121"/>
      <w:bookmarkEnd w:id="1122"/>
      <w:bookmarkEnd w:id="1123"/>
      <w:bookmarkEnd w:id="1124"/>
      <w:bookmarkEnd w:id="1125"/>
      <w:bookmarkEnd w:id="1126"/>
      <w:bookmarkEnd w:id="1127"/>
    </w:p>
    <w:p w14:paraId="7588AE78">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缺陷责任期的具体期限：</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lang w:val="en-US" w:eastAsia="zh-CN"/>
          <w14:textFill>
            <w14:solidFill>
              <w14:schemeClr w14:val="tx1"/>
            </w14:solidFill>
          </w14:textFill>
        </w:rPr>
        <w:t>24</w:t>
      </w:r>
      <w:r>
        <w:rPr>
          <w:rFonts w:hint="eastAsia" w:ascii="宋体" w:hAnsi="宋体" w:eastAsia="宋体" w:cs="宋体"/>
          <w:color w:val="000000" w:themeColor="text1"/>
          <w:highlight w:val="none"/>
          <w:u w:val="single"/>
          <w14:textFill>
            <w14:solidFill>
              <w14:schemeClr w14:val="tx1"/>
            </w14:solidFill>
          </w14:textFill>
        </w:rPr>
        <w:t xml:space="preserve">个月                 </w:t>
      </w:r>
      <w:r>
        <w:rPr>
          <w:rFonts w:hint="eastAsia" w:ascii="宋体" w:hAnsi="宋体" w:eastAsia="宋体" w:cs="宋体"/>
          <w:color w:val="000000" w:themeColor="text1"/>
          <w:highlight w:val="none"/>
          <w14:textFill>
            <w14:solidFill>
              <w14:schemeClr w14:val="tx1"/>
            </w14:solidFill>
          </w14:textFill>
        </w:rPr>
        <w:t>。</w:t>
      </w:r>
    </w:p>
    <w:p w14:paraId="445BBBBD">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128" w:name="_Toc666080472"/>
      <w:bookmarkStart w:id="1129" w:name="_Toc373227764"/>
      <w:bookmarkStart w:id="1130" w:name="_Toc373478411"/>
      <w:bookmarkStart w:id="1131" w:name="_Toc1004692311"/>
      <w:bookmarkStart w:id="1132" w:name="_Toc407135267"/>
      <w:bookmarkStart w:id="1133" w:name="_Toc389065329"/>
      <w:bookmarkStart w:id="1134" w:name="_Toc78449853"/>
      <w:r>
        <w:rPr>
          <w:rFonts w:hint="eastAsia" w:ascii="宋体" w:hAnsi="宋体" w:eastAsia="宋体" w:cs="宋体"/>
          <w:color w:val="000000" w:themeColor="text1"/>
          <w:highlight w:val="none"/>
          <w14:textFill>
            <w14:solidFill>
              <w14:schemeClr w14:val="tx1"/>
            </w14:solidFill>
          </w14:textFill>
        </w:rPr>
        <w:t>15.3 质量保证金</w:t>
      </w:r>
      <w:bookmarkEnd w:id="1128"/>
      <w:bookmarkEnd w:id="1129"/>
      <w:bookmarkEnd w:id="1130"/>
      <w:bookmarkEnd w:id="1131"/>
      <w:bookmarkEnd w:id="1132"/>
      <w:bookmarkEnd w:id="1133"/>
      <w:bookmarkEnd w:id="1134"/>
    </w:p>
    <w:p w14:paraId="4B52CC81">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关于是否扣留质量保证金的约定：</w:t>
      </w:r>
      <w:r>
        <w:rPr>
          <w:rFonts w:hint="eastAsia" w:ascii="宋体" w:hAnsi="宋体" w:eastAsia="宋体" w:cs="宋体"/>
          <w:color w:val="000000" w:themeColor="text1"/>
          <w:highlight w:val="none"/>
          <w:u w:val="single"/>
          <w14:textFill>
            <w14:solidFill>
              <w14:schemeClr w14:val="tx1"/>
            </w14:solidFill>
          </w14:textFill>
        </w:rPr>
        <w:t xml:space="preserve">  按专用条款15.3.1、15.3.2执行  </w:t>
      </w:r>
      <w:r>
        <w:rPr>
          <w:rFonts w:hint="eastAsia" w:ascii="宋体" w:hAnsi="宋体" w:eastAsia="宋体" w:cs="宋体"/>
          <w:color w:val="000000" w:themeColor="text1"/>
          <w:highlight w:val="none"/>
          <w14:textFill>
            <w14:solidFill>
              <w14:schemeClr w14:val="tx1"/>
            </w14:solidFill>
          </w14:textFill>
        </w:rPr>
        <w:t>。</w:t>
      </w:r>
    </w:p>
    <w:p w14:paraId="722454DB">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在工程项目竣工前，承包人按专用合同条款第3.7条提供履约担保的，发包人不得同时预留工程质量保证金。</w:t>
      </w:r>
    </w:p>
    <w:p w14:paraId="48265DCA">
      <w:pPr>
        <w:pageBreakBefore w:val="0"/>
        <w:widowControl w:val="0"/>
        <w:kinsoku/>
        <w:wordWrap/>
        <w:overflowPunct/>
        <w:topLinePunct w:val="0"/>
        <w:bidi w:val="0"/>
        <w:snapToGrid w:val="0"/>
        <w:spacing w:line="360" w:lineRule="auto"/>
        <w:ind w:firstLine="420" w:firstLineChars="200"/>
        <w:jc w:val="left"/>
        <w:outlineLvl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15.3.1 承包人提供质量保证金的方式</w:t>
      </w:r>
    </w:p>
    <w:p w14:paraId="2ADB687E">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质量保证金采用以下第</w:t>
      </w:r>
      <w:r>
        <w:rPr>
          <w:rFonts w:hint="eastAsia" w:ascii="宋体" w:hAnsi="宋体" w:eastAsia="宋体" w:cs="宋体"/>
          <w:color w:val="000000" w:themeColor="text1"/>
          <w:highlight w:val="none"/>
          <w:u w:val="single"/>
          <w14:textFill>
            <w14:solidFill>
              <w14:schemeClr w14:val="tx1"/>
            </w14:solidFill>
          </w14:textFill>
        </w:rPr>
        <w:t xml:space="preserve">  （2）  </w:t>
      </w:r>
      <w:r>
        <w:rPr>
          <w:rFonts w:hint="eastAsia" w:ascii="宋体" w:hAnsi="宋体" w:eastAsia="宋体" w:cs="宋体"/>
          <w:color w:val="000000" w:themeColor="text1"/>
          <w:highlight w:val="none"/>
          <w14:textFill>
            <w14:solidFill>
              <w14:schemeClr w14:val="tx1"/>
            </w14:solidFill>
          </w14:textFill>
        </w:rPr>
        <w:t>种方式：</w:t>
      </w:r>
    </w:p>
    <w:p w14:paraId="7907CD3B">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（1）质量保证金保函</w:t>
      </w:r>
      <w:r>
        <w:rPr>
          <w:rFonts w:hint="eastAsia" w:ascii="宋体" w:hAnsi="宋体" w:eastAsia="宋体" w:cs="宋体"/>
          <w:color w:val="000000" w:themeColor="text1"/>
          <w:highlight w:val="none"/>
          <w14:textFill>
            <w14:solidFill>
              <w14:schemeClr w14:val="tx1"/>
            </w14:solidFill>
          </w14:textFill>
        </w:rPr>
        <w:t>（银行保函、电子保函、保证保险保函、工程担保保函，</w:t>
      </w:r>
      <w:r>
        <w:rPr>
          <w:rFonts w:hint="eastAsia" w:ascii="宋体" w:hAnsi="宋体" w:eastAsia="宋体" w:cs="宋体"/>
          <w:color w:val="000000" w:themeColor="text1"/>
          <w:kern w:val="0"/>
          <w:highlight w:val="none"/>
          <w14:textFill>
            <w14:solidFill>
              <w14:schemeClr w14:val="tx1"/>
            </w14:solidFill>
          </w14:textFill>
        </w:rPr>
        <w:t>工程担保保证人应将出具的保函相关信息录入“广西建筑市场监管云”平台（http://gxjzsc.caihcloud.com），以实现保函查询及验真功能。</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kern w:val="0"/>
          <w:highlight w:val="none"/>
          <w14:textFill>
            <w14:solidFill>
              <w14:schemeClr w14:val="tx1"/>
            </w14:solidFill>
          </w14:textFill>
        </w:rPr>
        <w:t>，保证金额为：</w:t>
      </w:r>
      <w:r>
        <w:rPr>
          <w:rFonts w:hint="eastAsia" w:ascii="宋体" w:hAnsi="宋体" w:eastAsia="宋体" w:cs="宋体"/>
          <w:color w:val="000000" w:themeColor="text1"/>
          <w:kern w:val="0"/>
          <w:highlight w:val="none"/>
          <w:u w:val="single"/>
          <w14:textFill>
            <w14:solidFill>
              <w14:schemeClr w14:val="tx1"/>
            </w14:solidFill>
          </w14:textFill>
        </w:rPr>
        <w:t xml:space="preserve">   /    </w:t>
      </w:r>
      <w:r>
        <w:rPr>
          <w:rFonts w:hint="eastAsia" w:ascii="宋体" w:hAnsi="宋体" w:eastAsia="宋体" w:cs="宋体"/>
          <w:color w:val="000000" w:themeColor="text1"/>
          <w:kern w:val="0"/>
          <w:highlight w:val="none"/>
          <w14:textFill>
            <w14:solidFill>
              <w14:schemeClr w14:val="tx1"/>
            </w14:solidFill>
          </w14:textFill>
        </w:rPr>
        <w:t>；</w:t>
      </w:r>
    </w:p>
    <w:p w14:paraId="0E2960A9">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发包人按工程价款结算总额的</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lang w:val="en-US" w:eastAsia="zh-CN"/>
          <w14:textFill>
            <w14:solidFill>
              <w14:schemeClr w14:val="tx1"/>
            </w14:solidFill>
          </w14:textFill>
        </w:rPr>
        <w:t>3</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%（不得超过</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%）预留工程质量保证金，待缺陷责任期满后返还，是否付息及利息计算方式为：</w:t>
      </w:r>
      <w:r>
        <w:rPr>
          <w:rFonts w:hint="eastAsia" w:ascii="宋体" w:hAnsi="宋体" w:eastAsia="宋体" w:cs="宋体"/>
          <w:color w:val="000000" w:themeColor="text1"/>
          <w:highlight w:val="none"/>
          <w:u w:val="single"/>
          <w14:textFill>
            <w14:solidFill>
              <w14:schemeClr w14:val="tx1"/>
            </w14:solidFill>
          </w14:textFill>
        </w:rPr>
        <w:t xml:space="preserve">   否  </w:t>
      </w:r>
      <w:r>
        <w:rPr>
          <w:rFonts w:hint="eastAsia" w:ascii="宋体" w:hAnsi="宋体" w:eastAsia="宋体" w:cs="宋体"/>
          <w:color w:val="000000" w:themeColor="text1"/>
          <w:kern w:val="0"/>
          <w:highlight w:val="none"/>
          <w14:textFill>
            <w14:solidFill>
              <w14:schemeClr w14:val="tx1"/>
            </w14:solidFill>
          </w14:textFill>
        </w:rPr>
        <w:t>；</w:t>
      </w:r>
    </w:p>
    <w:p w14:paraId="3DBCF902">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（3）其他方式：</w:t>
      </w:r>
      <w:r>
        <w:rPr>
          <w:rFonts w:hint="eastAsia" w:ascii="宋体" w:hAnsi="宋体" w:eastAsia="宋体" w:cs="宋体"/>
          <w:color w:val="000000" w:themeColor="text1"/>
          <w:highlight w:val="none"/>
          <w14:textFill>
            <w14:solidFill>
              <w14:schemeClr w14:val="tx1"/>
            </w14:solidFill>
          </w14:textFill>
        </w:rPr>
        <w:t>银行转账、电汇或网上支付等形式。</w:t>
      </w:r>
    </w:p>
    <w:p w14:paraId="60ACDE53">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15.3.2 质量保证金的扣留</w:t>
      </w:r>
    </w:p>
    <w:p w14:paraId="1222B610">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质量保证金的扣留采取以下第</w:t>
      </w:r>
      <w:r>
        <w:rPr>
          <w:rFonts w:hint="eastAsia" w:ascii="宋体" w:hAnsi="宋体" w:eastAsia="宋体" w:cs="宋体"/>
          <w:color w:val="000000" w:themeColor="text1"/>
          <w:highlight w:val="none"/>
          <w:u w:val="single"/>
          <w14:textFill>
            <w14:solidFill>
              <w14:schemeClr w14:val="tx1"/>
            </w14:solidFill>
          </w14:textFill>
        </w:rPr>
        <w:t xml:space="preserve">  （2）   </w:t>
      </w:r>
      <w:r>
        <w:rPr>
          <w:rFonts w:hint="eastAsia" w:ascii="宋体" w:hAnsi="宋体" w:eastAsia="宋体" w:cs="宋体"/>
          <w:color w:val="000000" w:themeColor="text1"/>
          <w:highlight w:val="none"/>
          <w14:textFill>
            <w14:solidFill>
              <w14:schemeClr w14:val="tx1"/>
            </w14:solidFill>
          </w14:textFill>
        </w:rPr>
        <w:t>种方式：</w:t>
      </w:r>
    </w:p>
    <w:p w14:paraId="67E1A0F1">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（1）在不缴纳履保证金情况下，按支付工程进度款时逐次扣留，质量保证金的计算基数不包括预付款的支付、扣回以及价格调整的金额；</w:t>
      </w:r>
    </w:p>
    <w:p w14:paraId="17CCB1C5">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（2）工程竣工结算时，一次性扣留质量保证金，由承包人以银行保函、保证保险替代预留质量保证金，保函金额不得高于工程价款结算总额的</w:t>
      </w:r>
      <w:r>
        <w:rPr>
          <w:rFonts w:hint="eastAsia" w:ascii="宋体" w:hAnsi="宋体" w:eastAsia="宋体" w:cs="宋体"/>
          <w:color w:val="000000" w:themeColor="text1"/>
          <w:kern w:val="0"/>
          <w:highlight w:val="none"/>
          <w:lang w:val="en-US" w:eastAsia="zh-CN"/>
          <w14:textFill>
            <w14:solidFill>
              <w14:schemeClr w14:val="tx1"/>
            </w14:solidFill>
          </w14:textFill>
        </w:rPr>
        <w:t>3</w:t>
      </w:r>
      <w:r>
        <w:rPr>
          <w:rFonts w:hint="eastAsia" w:ascii="宋体" w:hAnsi="宋体" w:eastAsia="宋体" w:cs="宋体"/>
          <w:color w:val="000000" w:themeColor="text1"/>
          <w:kern w:val="0"/>
          <w:highlight w:val="none"/>
          <w14:textFill>
            <w14:solidFill>
              <w14:schemeClr w14:val="tx1"/>
            </w14:solidFill>
          </w14:textFill>
        </w:rPr>
        <w:t>%；</w:t>
      </w:r>
    </w:p>
    <w:p w14:paraId="0AC06F05">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（3）其他扣留方式:</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银行转账、电汇或网上支付、保函（银行保函、电子保函、保证保险保函、工程担保保函）等形式</w:t>
      </w:r>
      <w:r>
        <w:rPr>
          <w:rFonts w:hint="eastAsia" w:ascii="宋体" w:hAnsi="宋体" w:eastAsia="宋体" w:cs="宋体"/>
          <w:color w:val="000000" w:themeColor="text1"/>
          <w:kern w:val="0"/>
          <w:highlight w:val="none"/>
          <w14:textFill>
            <w14:solidFill>
              <w14:schemeClr w14:val="tx1"/>
            </w14:solidFill>
          </w14:textFill>
        </w:rPr>
        <w:t>。</w:t>
      </w:r>
    </w:p>
    <w:p w14:paraId="7A42BA8C">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关于质量保证金的补充约定：</w:t>
      </w:r>
      <w:r>
        <w:rPr>
          <w:rFonts w:hint="eastAsia" w:ascii="宋体" w:hAnsi="宋体" w:eastAsia="宋体" w:cs="宋体"/>
          <w:color w:val="000000" w:themeColor="text1"/>
          <w:kern w:val="0"/>
          <w:highlight w:val="none"/>
          <w:u w:val="single"/>
          <w14:textFill>
            <w14:solidFill>
              <w14:schemeClr w14:val="tx1"/>
            </w14:solidFill>
          </w14:textFill>
        </w:rPr>
        <w:t xml:space="preserve">              /              </w:t>
      </w:r>
      <w:r>
        <w:rPr>
          <w:rFonts w:hint="eastAsia" w:ascii="宋体" w:hAnsi="宋体" w:eastAsia="宋体" w:cs="宋体"/>
          <w:color w:val="000000" w:themeColor="text1"/>
          <w:kern w:val="0"/>
          <w:highlight w:val="none"/>
          <w14:textFill>
            <w14:solidFill>
              <w14:schemeClr w14:val="tx1"/>
            </w14:solidFill>
          </w14:textFill>
        </w:rPr>
        <w:t>。</w:t>
      </w:r>
    </w:p>
    <w:bookmarkEnd w:id="1092"/>
    <w:bookmarkEnd w:id="1093"/>
    <w:p w14:paraId="2A205A3B">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135" w:name="_Toc196306762"/>
      <w:bookmarkStart w:id="1136" w:name="_Toc78449854"/>
      <w:bookmarkStart w:id="1137" w:name="_Toc373478412"/>
      <w:bookmarkStart w:id="1138" w:name="_Toc389065330"/>
      <w:bookmarkStart w:id="1139" w:name="_Toc407135268"/>
      <w:bookmarkStart w:id="1140" w:name="_Toc1902722111"/>
      <w:bookmarkStart w:id="1141" w:name="_Toc373227765"/>
      <w:r>
        <w:rPr>
          <w:rFonts w:hint="eastAsia" w:ascii="宋体" w:hAnsi="宋体" w:eastAsia="宋体" w:cs="宋体"/>
          <w:color w:val="000000" w:themeColor="text1"/>
          <w:highlight w:val="none"/>
          <w14:textFill>
            <w14:solidFill>
              <w14:schemeClr w14:val="tx1"/>
            </w14:solidFill>
          </w14:textFill>
        </w:rPr>
        <w:t>15.4 保修</w:t>
      </w:r>
      <w:bookmarkEnd w:id="1135"/>
      <w:bookmarkEnd w:id="1136"/>
      <w:bookmarkEnd w:id="1137"/>
      <w:bookmarkEnd w:id="1138"/>
      <w:bookmarkEnd w:id="1139"/>
      <w:bookmarkEnd w:id="1140"/>
      <w:bookmarkEnd w:id="1141"/>
    </w:p>
    <w:bookmarkEnd w:id="1094"/>
    <w:p w14:paraId="7C85E71D">
      <w:pPr>
        <w:pageBreakBefore w:val="0"/>
        <w:widowControl w:val="0"/>
        <w:kinsoku/>
        <w:wordWrap/>
        <w:overflowPunct/>
        <w:topLinePunct w:val="0"/>
        <w:bidi w:val="0"/>
        <w:snapToGrid w:val="0"/>
        <w:spacing w:line="360" w:lineRule="auto"/>
        <w:ind w:firstLine="409" w:firstLineChars="195"/>
        <w:jc w:val="left"/>
        <w:outlineLvl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15.4.1 保修责任</w:t>
      </w:r>
    </w:p>
    <w:p w14:paraId="56117EE6">
      <w:pPr>
        <w:pageBreakBefore w:val="0"/>
        <w:widowControl w:val="0"/>
        <w:kinsoku/>
        <w:wordWrap/>
        <w:overflowPunct/>
        <w:topLinePunct w:val="0"/>
        <w:bidi w:val="0"/>
        <w:snapToGrid w:val="0"/>
        <w:spacing w:line="360" w:lineRule="auto"/>
        <w:ind w:firstLine="409" w:firstLineChars="195"/>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工程保修期为：</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按《工程质量保修书》约定执行</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w:t>
      </w:r>
    </w:p>
    <w:p w14:paraId="0D183E06">
      <w:pPr>
        <w:pageBreakBefore w:val="0"/>
        <w:widowControl w:val="0"/>
        <w:kinsoku/>
        <w:wordWrap/>
        <w:overflowPunct/>
        <w:topLinePunct w:val="0"/>
        <w:bidi w:val="0"/>
        <w:snapToGrid w:val="0"/>
        <w:spacing w:line="360" w:lineRule="auto"/>
        <w:ind w:firstLine="409" w:firstLineChars="195"/>
        <w:jc w:val="left"/>
        <w:rPr>
          <w:rFonts w:hint="eastAsia" w:ascii="宋体" w:hAnsi="宋体" w:eastAsia="宋体" w:cs="宋体"/>
          <w:color w:val="000000" w:themeColor="text1"/>
          <w:kern w:val="0"/>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工程保修书具体内容见合同附件2。</w:t>
      </w:r>
    </w:p>
    <w:p w14:paraId="39F30616">
      <w:pPr>
        <w:pageBreakBefore w:val="0"/>
        <w:widowControl w:val="0"/>
        <w:kinsoku/>
        <w:wordWrap/>
        <w:overflowPunct/>
        <w:topLinePunct w:val="0"/>
        <w:bidi w:val="0"/>
        <w:snapToGrid w:val="0"/>
        <w:spacing w:line="360" w:lineRule="auto"/>
        <w:ind w:firstLine="409" w:firstLineChars="195"/>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15.4.3 修复通知</w:t>
      </w:r>
    </w:p>
    <w:p w14:paraId="7921CAE1">
      <w:pPr>
        <w:pageBreakBefore w:val="0"/>
        <w:widowControl w:val="0"/>
        <w:kinsoku/>
        <w:wordWrap/>
        <w:overflowPunct/>
        <w:topLinePunct w:val="0"/>
        <w:bidi w:val="0"/>
        <w:snapToGrid w:val="0"/>
        <w:spacing w:line="360" w:lineRule="auto"/>
        <w:ind w:firstLine="409" w:firstLineChars="195"/>
        <w:jc w:val="left"/>
        <w:rPr>
          <w:rFonts w:hint="eastAsia" w:ascii="宋体" w:hAnsi="宋体" w:eastAsia="宋体" w:cs="宋体"/>
          <w:color w:val="000000" w:themeColor="text1"/>
          <w:kern w:val="0"/>
          <w:highlight w:val="none"/>
          <w:u w:val="singl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承包人收到保修通知并到达工程现场的合理时间：</w:t>
      </w:r>
      <w:r>
        <w:rPr>
          <w:rFonts w:hint="eastAsia" w:ascii="宋体" w:hAnsi="宋体" w:eastAsia="宋体" w:cs="宋体"/>
          <w:color w:val="000000" w:themeColor="text1"/>
          <w:kern w:val="0"/>
          <w:highlight w:val="none"/>
          <w:u w:val="single"/>
          <w14:textFill>
            <w14:solidFill>
              <w14:schemeClr w14:val="tx1"/>
            </w14:solidFill>
          </w14:textFill>
        </w:rPr>
        <w:t xml:space="preserve">  48小时 </w:t>
      </w:r>
      <w:r>
        <w:rPr>
          <w:rFonts w:hint="eastAsia" w:ascii="宋体" w:hAnsi="宋体" w:eastAsia="宋体" w:cs="宋体"/>
          <w:color w:val="000000" w:themeColor="text1"/>
          <w:kern w:val="0"/>
          <w:highlight w:val="none"/>
          <w14:textFill>
            <w14:solidFill>
              <w14:schemeClr w14:val="tx1"/>
            </w14:solidFill>
          </w14:textFill>
        </w:rPr>
        <w:t>。</w:t>
      </w:r>
    </w:p>
    <w:bookmarkEnd w:id="1095"/>
    <w:bookmarkEnd w:id="1096"/>
    <w:bookmarkEnd w:id="1097"/>
    <w:bookmarkEnd w:id="1098"/>
    <w:p w14:paraId="0F43DED6">
      <w:pPr>
        <w:pStyle w:val="2"/>
        <w:pageBreakBefore w:val="0"/>
        <w:widowControl w:val="0"/>
        <w:kinsoku/>
        <w:wordWrap/>
        <w:overflowPunct/>
        <w:topLinePunct w:val="0"/>
        <w:bidi w:val="0"/>
        <w:snapToGrid w:val="0"/>
        <w:spacing w:before="0" w:after="0" w:line="360" w:lineRule="auto"/>
        <w:rPr>
          <w:rFonts w:hint="eastAsia" w:ascii="宋体" w:hAnsi="宋体" w:eastAsia="宋体" w:cs="宋体"/>
          <w:color w:val="000000" w:themeColor="text1"/>
          <w:highlight w:val="none"/>
          <w14:textFill>
            <w14:solidFill>
              <w14:schemeClr w14:val="tx1"/>
            </w14:solidFill>
          </w14:textFill>
        </w:rPr>
      </w:pPr>
      <w:bookmarkStart w:id="1142" w:name="_Toc78449855"/>
      <w:bookmarkStart w:id="1143" w:name="_Toc373478413"/>
      <w:bookmarkStart w:id="1144" w:name="_Toc351203648"/>
      <w:bookmarkStart w:id="1145" w:name="_Toc1725581915"/>
      <w:bookmarkStart w:id="1146" w:name="_Toc1360137061"/>
      <w:bookmarkStart w:id="1147" w:name="_Toc407135269"/>
      <w:bookmarkStart w:id="1148" w:name="_Toc373227766"/>
      <w:bookmarkStart w:id="1149" w:name="_Toc389065331"/>
      <w:bookmarkStart w:id="1150" w:name="_Toc280868717"/>
      <w:bookmarkStart w:id="1151" w:name="_Toc280868718"/>
      <w:r>
        <w:rPr>
          <w:rFonts w:hint="eastAsia" w:ascii="宋体" w:hAnsi="宋体" w:eastAsia="宋体" w:cs="宋体"/>
          <w:color w:val="000000" w:themeColor="text1"/>
          <w:highlight w:val="none"/>
          <w14:textFill>
            <w14:solidFill>
              <w14:schemeClr w14:val="tx1"/>
            </w14:solidFill>
          </w14:textFill>
        </w:rPr>
        <w:t>16. 违约</w:t>
      </w:r>
      <w:bookmarkEnd w:id="1142"/>
      <w:bookmarkEnd w:id="1143"/>
      <w:bookmarkEnd w:id="1144"/>
      <w:bookmarkEnd w:id="1145"/>
      <w:bookmarkEnd w:id="1146"/>
      <w:bookmarkEnd w:id="1147"/>
      <w:bookmarkEnd w:id="1148"/>
      <w:bookmarkEnd w:id="1149"/>
    </w:p>
    <w:p w14:paraId="618615B9">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152" w:name="_Toc1535389315"/>
      <w:bookmarkStart w:id="1153" w:name="_Toc389065332"/>
      <w:bookmarkStart w:id="1154" w:name="_Toc1973395665"/>
      <w:bookmarkStart w:id="1155" w:name="_Toc78449856"/>
      <w:bookmarkStart w:id="1156" w:name="_Toc373478414"/>
      <w:bookmarkStart w:id="1157" w:name="_Toc373227767"/>
      <w:bookmarkStart w:id="1158" w:name="_Toc407135270"/>
      <w:r>
        <w:rPr>
          <w:rFonts w:hint="eastAsia" w:ascii="宋体" w:hAnsi="宋体" w:eastAsia="宋体" w:cs="宋体"/>
          <w:color w:val="000000" w:themeColor="text1"/>
          <w:highlight w:val="none"/>
          <w14:textFill>
            <w14:solidFill>
              <w14:schemeClr w14:val="tx1"/>
            </w14:solidFill>
          </w14:textFill>
        </w:rPr>
        <w:t>16.1 发包人违约</w:t>
      </w:r>
      <w:bookmarkEnd w:id="1152"/>
      <w:bookmarkEnd w:id="1153"/>
      <w:bookmarkEnd w:id="1154"/>
      <w:bookmarkEnd w:id="1155"/>
      <w:bookmarkEnd w:id="1156"/>
      <w:bookmarkEnd w:id="1157"/>
      <w:bookmarkEnd w:id="1158"/>
    </w:p>
    <w:p w14:paraId="503BB50E">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16.1.1发包人违约的情形</w:t>
      </w:r>
    </w:p>
    <w:p w14:paraId="51414089">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发包人违约的其他情形：</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按通用条款执行</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w:t>
      </w:r>
    </w:p>
    <w:p w14:paraId="369042ED">
      <w:pPr>
        <w:pageBreakBefore w:val="0"/>
        <w:widowControl w:val="0"/>
        <w:kinsoku/>
        <w:wordWrap/>
        <w:overflowPunct/>
        <w:topLinePunct w:val="0"/>
        <w:bidi w:val="0"/>
        <w:snapToGrid w:val="0"/>
        <w:spacing w:line="360" w:lineRule="auto"/>
        <w:ind w:firstLine="420" w:firstLineChars="200"/>
        <w:jc w:val="left"/>
        <w:outlineLvl w:val="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16.1.2 发包人违约的责任</w:t>
      </w:r>
    </w:p>
    <w:p w14:paraId="2BE93154">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发包人违约责任的承担方式和计算方法：</w:t>
      </w:r>
    </w:p>
    <w:p w14:paraId="7C3728EC">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u w:val="singl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（1）因发包人原因未能在计划开工日期前7天内下达开工通知的违约责任：</w:t>
      </w:r>
      <w:r>
        <w:rPr>
          <w:rFonts w:hint="eastAsia" w:ascii="宋体" w:hAnsi="宋体" w:eastAsia="宋体" w:cs="宋体"/>
          <w:color w:val="000000" w:themeColor="text1"/>
          <w:highlight w:val="none"/>
          <w:u w:val="single"/>
          <w14:textFill>
            <w14:solidFill>
              <w14:schemeClr w14:val="tx1"/>
            </w14:solidFill>
          </w14:textFill>
        </w:rPr>
        <w:t>按通用条款执行</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w:t>
      </w:r>
    </w:p>
    <w:p w14:paraId="28BBE69B">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（2）因发包人原因未能按合同约定支付合同价款的违约责任：</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lang w:eastAsia="zh-CN"/>
          <w14:textFill>
            <w14:solidFill>
              <w14:schemeClr w14:val="tx1"/>
            </w14:solidFill>
          </w14:textFill>
        </w:rPr>
        <w:t>无</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w:t>
      </w:r>
    </w:p>
    <w:p w14:paraId="7FA5E03C">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（3）发包人违反第10.1款〔变更的范围〕第（2）项约定，自行实施被取消的工作或转由他人实施的违约责任：</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按通用条款执行</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w:t>
      </w:r>
    </w:p>
    <w:p w14:paraId="0CB44E48">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导致承包人无法正常施工的，延误工期顺延</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w:t>
      </w:r>
    </w:p>
    <w:p w14:paraId="4BC42892">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u w:val="singl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（5）因发包人违反合同约定造成暂停施工的违约责任：</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致承包人发生的误工及机械闲置费用现场核准由发包人承担，工期顺延</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w:t>
      </w:r>
    </w:p>
    <w:p w14:paraId="1B0F4B50">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（6）发包人无正当理由没有在约定期限内发出复工指示，导致承包人无法复工的违约责任：</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承包人可向发包人发出通知，要求发包人采取有效措施纠正违约行为，致承包人发生的误工及机械闲置费用现场核准由发包人承担</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w:t>
      </w:r>
    </w:p>
    <w:p w14:paraId="7736BDBA">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（7）其他：</w:t>
      </w:r>
      <w:r>
        <w:rPr>
          <w:rFonts w:hint="eastAsia" w:ascii="宋体" w:hAnsi="宋体" w:eastAsia="宋体" w:cs="宋体"/>
          <w:color w:val="000000" w:themeColor="text1"/>
          <w:kern w:val="0"/>
          <w:highlight w:val="none"/>
          <w:u w:val="single"/>
          <w14:textFill>
            <w14:solidFill>
              <w14:schemeClr w14:val="tx1"/>
            </w14:solidFill>
          </w14:textFill>
        </w:rPr>
        <w:t xml:space="preserve">            无                      </w:t>
      </w:r>
      <w:r>
        <w:rPr>
          <w:rFonts w:hint="eastAsia" w:ascii="宋体" w:hAnsi="宋体" w:eastAsia="宋体" w:cs="宋体"/>
          <w:color w:val="000000" w:themeColor="text1"/>
          <w:kern w:val="0"/>
          <w:highlight w:val="none"/>
          <w14:textFill>
            <w14:solidFill>
              <w14:schemeClr w14:val="tx1"/>
            </w14:solidFill>
          </w14:textFill>
        </w:rPr>
        <w:t>。</w:t>
      </w:r>
    </w:p>
    <w:p w14:paraId="043D2FA2">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16.1.3 因发包人违约解除合同</w:t>
      </w:r>
    </w:p>
    <w:p w14:paraId="1C027E6A">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承包人按16.1.1项〔发包人违约的情形〕约定暂停施工满</w:t>
      </w:r>
      <w:r>
        <w:rPr>
          <w:rFonts w:hint="eastAsia" w:ascii="宋体" w:hAnsi="宋体" w:eastAsia="宋体" w:cs="宋体"/>
          <w:color w:val="000000" w:themeColor="text1"/>
          <w:kern w:val="0"/>
          <w:highlight w:val="none"/>
          <w:u w:val="single"/>
          <w14:textFill>
            <w14:solidFill>
              <w14:schemeClr w14:val="tx1"/>
            </w14:solidFill>
          </w14:textFill>
        </w:rPr>
        <w:t xml:space="preserve">  28  </w:t>
      </w:r>
      <w:r>
        <w:rPr>
          <w:rFonts w:hint="eastAsia" w:ascii="宋体" w:hAnsi="宋体" w:eastAsia="宋体" w:cs="宋体"/>
          <w:color w:val="000000" w:themeColor="text1"/>
          <w:kern w:val="0"/>
          <w:highlight w:val="none"/>
          <w14:textFill>
            <w14:solidFill>
              <w14:schemeClr w14:val="tx1"/>
            </w14:solidFill>
          </w14:textFill>
        </w:rPr>
        <w:t>天后发包人仍不纠正其违约行为并致使合同目的不能实现的，承包人有权解除合同。</w:t>
      </w:r>
    </w:p>
    <w:p w14:paraId="5435F48E">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159" w:name="_Toc373227768"/>
      <w:bookmarkStart w:id="1160" w:name="_Toc247586342"/>
      <w:bookmarkStart w:id="1161" w:name="_Toc389065333"/>
      <w:bookmarkStart w:id="1162" w:name="_Toc78449857"/>
      <w:bookmarkStart w:id="1163" w:name="_Toc407135271"/>
      <w:bookmarkStart w:id="1164" w:name="_Toc373478415"/>
      <w:bookmarkStart w:id="1165" w:name="_Toc61078193"/>
      <w:r>
        <w:rPr>
          <w:rFonts w:hint="eastAsia" w:ascii="宋体" w:hAnsi="宋体" w:eastAsia="宋体" w:cs="宋体"/>
          <w:color w:val="000000" w:themeColor="text1"/>
          <w:highlight w:val="none"/>
          <w14:textFill>
            <w14:solidFill>
              <w14:schemeClr w14:val="tx1"/>
            </w14:solidFill>
          </w14:textFill>
        </w:rPr>
        <w:t>16.2 承包人违约</w:t>
      </w:r>
      <w:bookmarkEnd w:id="1159"/>
      <w:bookmarkEnd w:id="1160"/>
      <w:bookmarkEnd w:id="1161"/>
      <w:bookmarkEnd w:id="1162"/>
      <w:bookmarkEnd w:id="1163"/>
      <w:bookmarkEnd w:id="1164"/>
      <w:bookmarkEnd w:id="1165"/>
    </w:p>
    <w:p w14:paraId="029FE6C9">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16.2.1 承包人违约的情形</w:t>
      </w:r>
    </w:p>
    <w:p w14:paraId="254627AC">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u w:val="singl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承包人违约的其他情形：</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无</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w:t>
      </w:r>
    </w:p>
    <w:p w14:paraId="7A56E660">
      <w:pPr>
        <w:pageBreakBefore w:val="0"/>
        <w:widowControl w:val="0"/>
        <w:kinsoku/>
        <w:wordWrap/>
        <w:overflowPunct/>
        <w:topLinePunct w:val="0"/>
        <w:bidi w:val="0"/>
        <w:snapToGrid w:val="0"/>
        <w:spacing w:line="360" w:lineRule="auto"/>
        <w:ind w:firstLine="420" w:firstLineChars="200"/>
        <w:jc w:val="left"/>
        <w:outlineLvl w:val="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16.2.2承包人违约的责任</w:t>
      </w:r>
    </w:p>
    <w:p w14:paraId="18ECEC43">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承包人违约责任的承担方式和计算方法：</w:t>
      </w:r>
    </w:p>
    <w:p w14:paraId="5FE9AC1E">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承包人有本合同通用条款第16.2.1（2）、（3）条内容情形的，承包人无条件返工处理，修复至工程质量要求并承担相关费用，并在发包人规定的时间内完成返工，否则发包人有权要求承包人支付相当于该分项工程10%工程款的违约金。</w:t>
      </w:r>
    </w:p>
    <w:p w14:paraId="5A8A8F8D">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 xml:space="preserve">（2）承包人有本合同通用条款第16.2.1（6）条情形的，或经监理人检验认为修复质量不合格而承包人拒绝再进行修补的，发包人有权要求承包人支付相当于本合同总价款3%的违约金，并且发包人有权委托第三人进行返工、维修并要求承担人支付返工、维修所需资金。 </w:t>
      </w:r>
    </w:p>
    <w:p w14:paraId="4C0707F6">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（3）承包人的其他违约行为，按本合同专用合同条款的其他条款中约定的承包人违约责任的承担方式和计算方法执行。</w:t>
      </w:r>
    </w:p>
    <w:p w14:paraId="6D0FE13E">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（4）承包人的违约行为，在专用条款没有约定的，按通用条款执行。</w:t>
      </w:r>
    </w:p>
    <w:p w14:paraId="6D9EB413">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当发现承包人存在违约行为时，由监理人预先下发整改指令，如承包人不及时采取措施纠正，则在指令下达后十五天下发承担违约责任通知书（可不再陈述理由）；承包人应支付的违约金，发包人可从应付给承包人的工程款中扣除，也可从履约保证金提取相应数额的违约金。如承包人在合同期内，完成合同规定的全部工程，且质量合格，在本工程竣工验收后十五天内可申请返还全部或部分违约金，返还金额由监理人审核，发包人批准。违约金返还时不计付银行利息。</w:t>
      </w:r>
    </w:p>
    <w:p w14:paraId="0C198518">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16.2.3 因承包人违约解除合同</w:t>
      </w:r>
    </w:p>
    <w:p w14:paraId="6E69339F">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关于承包人违约解除合同的特别约定：</w:t>
      </w:r>
      <w:r>
        <w:rPr>
          <w:rFonts w:hint="eastAsia" w:ascii="宋体" w:hAnsi="宋体" w:eastAsia="宋体" w:cs="宋体"/>
          <w:color w:val="000000" w:themeColor="text1"/>
          <w:kern w:val="0"/>
          <w:highlight w:val="none"/>
          <w:u w:val="single"/>
          <w14:textFill>
            <w14:solidFill>
              <w14:schemeClr w14:val="tx1"/>
            </w14:solidFill>
          </w14:textFill>
        </w:rPr>
        <w:t>承包人发生本合同通用合同条款16.2.1所列承包人违约的情形时，发包人有权按通用合同条款16.2.3解除本合同的，承包人除按通用合同条款16.2.2、16.2.3、16.2.4、16.2.5承担责任外，还应向发包人支付相当于本合同价款总额2%的违约金。</w:t>
      </w:r>
    </w:p>
    <w:p w14:paraId="615AD121">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发包人继续使用承包人在施工现场的材料、设备、临时工程、承包人文件和由承包人或以其名义编制的其他文件的费用承担方式：</w:t>
      </w:r>
      <w:r>
        <w:rPr>
          <w:rFonts w:hint="eastAsia" w:ascii="宋体" w:hAnsi="宋体" w:eastAsia="宋体" w:cs="宋体"/>
          <w:color w:val="000000" w:themeColor="text1"/>
          <w:kern w:val="0"/>
          <w:highlight w:val="none"/>
          <w:u w:val="single"/>
          <w14:textFill>
            <w14:solidFill>
              <w14:schemeClr w14:val="tx1"/>
            </w14:solidFill>
          </w14:textFill>
        </w:rPr>
        <w:t xml:space="preserve">    无偿使用      </w:t>
      </w:r>
      <w:r>
        <w:rPr>
          <w:rFonts w:hint="eastAsia" w:ascii="宋体" w:hAnsi="宋体" w:eastAsia="宋体" w:cs="宋体"/>
          <w:color w:val="000000" w:themeColor="text1"/>
          <w:kern w:val="0"/>
          <w:highlight w:val="none"/>
          <w14:textFill>
            <w14:solidFill>
              <w14:schemeClr w14:val="tx1"/>
            </w14:solidFill>
          </w14:textFill>
        </w:rPr>
        <w:t>。</w:t>
      </w:r>
    </w:p>
    <w:p w14:paraId="0D47714A">
      <w:pPr>
        <w:pStyle w:val="2"/>
        <w:pageBreakBefore w:val="0"/>
        <w:widowControl w:val="0"/>
        <w:kinsoku/>
        <w:wordWrap/>
        <w:overflowPunct/>
        <w:topLinePunct w:val="0"/>
        <w:bidi w:val="0"/>
        <w:snapToGrid w:val="0"/>
        <w:spacing w:before="0" w:after="0" w:line="360" w:lineRule="auto"/>
        <w:rPr>
          <w:rFonts w:hint="eastAsia" w:ascii="宋体" w:hAnsi="宋体" w:eastAsia="宋体" w:cs="宋体"/>
          <w:color w:val="000000" w:themeColor="text1"/>
          <w:highlight w:val="none"/>
          <w14:textFill>
            <w14:solidFill>
              <w14:schemeClr w14:val="tx1"/>
            </w14:solidFill>
          </w14:textFill>
        </w:rPr>
      </w:pPr>
      <w:bookmarkStart w:id="1166" w:name="_Toc407135272"/>
      <w:bookmarkStart w:id="1167" w:name="_Toc1117922953"/>
      <w:bookmarkStart w:id="1168" w:name="_Toc351203649"/>
      <w:bookmarkStart w:id="1169" w:name="_Toc389065334"/>
      <w:bookmarkStart w:id="1170" w:name="_Toc373227769"/>
      <w:bookmarkStart w:id="1171" w:name="_Toc373478416"/>
      <w:bookmarkStart w:id="1172" w:name="_Toc78449858"/>
      <w:bookmarkStart w:id="1173" w:name="_Toc1753556740"/>
      <w:r>
        <w:rPr>
          <w:rFonts w:hint="eastAsia" w:ascii="宋体" w:hAnsi="宋体" w:eastAsia="宋体" w:cs="宋体"/>
          <w:color w:val="000000" w:themeColor="text1"/>
          <w:highlight w:val="none"/>
          <w14:textFill>
            <w14:solidFill>
              <w14:schemeClr w14:val="tx1"/>
            </w14:solidFill>
          </w14:textFill>
        </w:rPr>
        <w:t>17. 不可抗力</w:t>
      </w:r>
      <w:bookmarkEnd w:id="1166"/>
      <w:bookmarkEnd w:id="1167"/>
      <w:bookmarkEnd w:id="1168"/>
      <w:bookmarkEnd w:id="1169"/>
      <w:bookmarkEnd w:id="1170"/>
      <w:bookmarkEnd w:id="1171"/>
      <w:bookmarkEnd w:id="1172"/>
      <w:bookmarkEnd w:id="1173"/>
      <w:r>
        <w:rPr>
          <w:rFonts w:hint="eastAsia" w:ascii="宋体" w:hAnsi="宋体" w:eastAsia="宋体" w:cs="宋体"/>
          <w:color w:val="000000" w:themeColor="text1"/>
          <w:highlight w:val="none"/>
          <w14:textFill>
            <w14:solidFill>
              <w14:schemeClr w14:val="tx1"/>
            </w14:solidFill>
          </w14:textFill>
        </w:rPr>
        <w:t xml:space="preserve"> </w:t>
      </w:r>
      <w:bookmarkEnd w:id="1150"/>
    </w:p>
    <w:p w14:paraId="77FEC46D">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174" w:name="_Toc389065335"/>
      <w:bookmarkStart w:id="1175" w:name="_Toc78449859"/>
      <w:bookmarkStart w:id="1176" w:name="_Toc429574049"/>
      <w:bookmarkStart w:id="1177" w:name="_Toc373227770"/>
      <w:bookmarkStart w:id="1178" w:name="_Toc373478417"/>
      <w:bookmarkStart w:id="1179" w:name="_Toc666312941"/>
      <w:bookmarkStart w:id="1180" w:name="_Toc407135273"/>
      <w:r>
        <w:rPr>
          <w:rFonts w:hint="eastAsia" w:ascii="宋体" w:hAnsi="宋体" w:eastAsia="宋体" w:cs="宋体"/>
          <w:color w:val="000000" w:themeColor="text1"/>
          <w:highlight w:val="none"/>
          <w14:textFill>
            <w14:solidFill>
              <w14:schemeClr w14:val="tx1"/>
            </w14:solidFill>
          </w14:textFill>
        </w:rPr>
        <w:t>17.1 不可抗力的确认</w:t>
      </w:r>
      <w:bookmarkEnd w:id="1174"/>
      <w:bookmarkEnd w:id="1175"/>
      <w:bookmarkEnd w:id="1176"/>
      <w:bookmarkEnd w:id="1177"/>
      <w:bookmarkEnd w:id="1178"/>
      <w:bookmarkEnd w:id="1179"/>
      <w:bookmarkEnd w:id="1180"/>
    </w:p>
    <w:p w14:paraId="27CB677D">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除通用合同条款约定的不可抗力事件之外，视为不可抗力的其他情形：</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不可抗力包括因战争、恐怖主义、动乱、空中飞行物体坠落或其他非发包人、承包人责任造成的爆炸、停工、火灾，以及：1、当地气象部门规定的情形；2、当地地震部门规定的情形；3、当地卫生部门规定的情形；4、提供政府相关部门对不可抗力的证明材料。</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w:t>
      </w:r>
    </w:p>
    <w:p w14:paraId="7D0BD55E">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181" w:name="_Toc407135274"/>
      <w:bookmarkStart w:id="1182" w:name="_Toc373478418"/>
      <w:bookmarkStart w:id="1183" w:name="_Toc1951449751"/>
      <w:bookmarkStart w:id="1184" w:name="_Toc78449860"/>
      <w:bookmarkStart w:id="1185" w:name="_Toc389065336"/>
      <w:bookmarkStart w:id="1186" w:name="_Toc658729758"/>
      <w:bookmarkStart w:id="1187" w:name="_Toc373227771"/>
      <w:r>
        <w:rPr>
          <w:rFonts w:hint="eastAsia" w:ascii="宋体" w:hAnsi="宋体" w:eastAsia="宋体" w:cs="宋体"/>
          <w:color w:val="000000" w:themeColor="text1"/>
          <w:highlight w:val="none"/>
          <w14:textFill>
            <w14:solidFill>
              <w14:schemeClr w14:val="tx1"/>
            </w14:solidFill>
          </w14:textFill>
        </w:rPr>
        <w:t>17.4 因不可抗力解除合同</w:t>
      </w:r>
      <w:bookmarkEnd w:id="1181"/>
      <w:bookmarkEnd w:id="1182"/>
      <w:bookmarkEnd w:id="1183"/>
      <w:bookmarkEnd w:id="1184"/>
      <w:bookmarkEnd w:id="1185"/>
      <w:bookmarkEnd w:id="1186"/>
      <w:bookmarkEnd w:id="1187"/>
    </w:p>
    <w:p w14:paraId="60BA7535">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因不可抗力因素合同解除后，发包人应在商定或确定发包人应支付款项后</w:t>
      </w:r>
      <w:r>
        <w:rPr>
          <w:rFonts w:hint="eastAsia" w:ascii="宋体" w:hAnsi="宋体" w:eastAsia="宋体" w:cs="宋体"/>
          <w:color w:val="000000" w:themeColor="text1"/>
          <w:highlight w:val="none"/>
          <w:u w:val="single"/>
          <w14:textFill>
            <w14:solidFill>
              <w14:schemeClr w14:val="tx1"/>
            </w14:solidFill>
          </w14:textFill>
        </w:rPr>
        <w:t xml:space="preserve">  28</w:t>
      </w:r>
      <w:r>
        <w:rPr>
          <w:rFonts w:hint="eastAsia" w:ascii="宋体" w:hAnsi="宋体" w:eastAsia="宋体" w:cs="宋体"/>
          <w:color w:val="000000" w:themeColor="text1"/>
          <w:highlight w:val="none"/>
          <w14:textFill>
            <w14:solidFill>
              <w14:schemeClr w14:val="tx1"/>
            </w14:solidFill>
          </w14:textFill>
        </w:rPr>
        <w:t>天内完成款项的支付。</w:t>
      </w:r>
    </w:p>
    <w:p w14:paraId="79AE3161">
      <w:pPr>
        <w:pStyle w:val="2"/>
        <w:pageBreakBefore w:val="0"/>
        <w:widowControl w:val="0"/>
        <w:kinsoku/>
        <w:wordWrap/>
        <w:overflowPunct/>
        <w:topLinePunct w:val="0"/>
        <w:bidi w:val="0"/>
        <w:snapToGrid w:val="0"/>
        <w:spacing w:before="0" w:after="0" w:line="360" w:lineRule="auto"/>
        <w:rPr>
          <w:rFonts w:hint="eastAsia" w:ascii="宋体" w:hAnsi="宋体" w:eastAsia="宋体" w:cs="宋体"/>
          <w:color w:val="000000" w:themeColor="text1"/>
          <w:highlight w:val="none"/>
          <w14:textFill>
            <w14:solidFill>
              <w14:schemeClr w14:val="tx1"/>
            </w14:solidFill>
          </w14:textFill>
        </w:rPr>
      </w:pPr>
      <w:bookmarkStart w:id="1188" w:name="_Toc351203650"/>
      <w:bookmarkStart w:id="1189" w:name="_Toc407135275"/>
      <w:bookmarkStart w:id="1190" w:name="_Toc78449861"/>
      <w:bookmarkStart w:id="1191" w:name="_Toc56822299"/>
      <w:bookmarkStart w:id="1192" w:name="_Toc612072600"/>
      <w:bookmarkStart w:id="1193" w:name="_Toc373478419"/>
      <w:bookmarkStart w:id="1194" w:name="_Toc373227772"/>
      <w:bookmarkStart w:id="1195" w:name="_Toc389065337"/>
      <w:r>
        <w:rPr>
          <w:rFonts w:hint="eastAsia" w:ascii="宋体" w:hAnsi="宋体" w:eastAsia="宋体" w:cs="宋体"/>
          <w:color w:val="000000" w:themeColor="text1"/>
          <w:highlight w:val="none"/>
          <w14:textFill>
            <w14:solidFill>
              <w14:schemeClr w14:val="tx1"/>
            </w14:solidFill>
          </w14:textFill>
        </w:rPr>
        <w:t>18. 保险</w:t>
      </w:r>
      <w:bookmarkEnd w:id="1188"/>
      <w:bookmarkEnd w:id="1189"/>
      <w:bookmarkEnd w:id="1190"/>
      <w:bookmarkEnd w:id="1191"/>
      <w:bookmarkEnd w:id="1192"/>
      <w:bookmarkEnd w:id="1193"/>
      <w:bookmarkEnd w:id="1194"/>
      <w:bookmarkEnd w:id="1195"/>
    </w:p>
    <w:bookmarkEnd w:id="1151"/>
    <w:p w14:paraId="0AE2E02E">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196" w:name="_Toc1446953302"/>
      <w:bookmarkStart w:id="1197" w:name="_Toc373478420"/>
      <w:bookmarkStart w:id="1198" w:name="_Toc373227773"/>
      <w:bookmarkStart w:id="1199" w:name="_Toc2075285517"/>
      <w:bookmarkStart w:id="1200" w:name="_Toc78449862"/>
      <w:bookmarkStart w:id="1201" w:name="_Toc407135276"/>
      <w:bookmarkStart w:id="1202" w:name="_Toc389065338"/>
      <w:r>
        <w:rPr>
          <w:rFonts w:hint="eastAsia" w:ascii="宋体" w:hAnsi="宋体" w:eastAsia="宋体" w:cs="宋体"/>
          <w:color w:val="000000" w:themeColor="text1"/>
          <w:highlight w:val="none"/>
          <w14:textFill>
            <w14:solidFill>
              <w14:schemeClr w14:val="tx1"/>
            </w14:solidFill>
          </w14:textFill>
        </w:rPr>
        <w:t>18.1 工程保险</w:t>
      </w:r>
      <w:bookmarkEnd w:id="1196"/>
      <w:bookmarkEnd w:id="1197"/>
      <w:bookmarkEnd w:id="1198"/>
      <w:bookmarkEnd w:id="1199"/>
      <w:bookmarkEnd w:id="1200"/>
      <w:bookmarkEnd w:id="1201"/>
      <w:bookmarkEnd w:id="1202"/>
    </w:p>
    <w:p w14:paraId="2466CCAE">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关于工程保险的特别约定：</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按通用条款执行，无特殊约定</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w:t>
      </w:r>
    </w:p>
    <w:p w14:paraId="1586D81E">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203" w:name="_Toc78449863"/>
      <w:bookmarkStart w:id="1204" w:name="_Toc2001387503"/>
      <w:bookmarkStart w:id="1205" w:name="_Toc389065339"/>
      <w:bookmarkStart w:id="1206" w:name="_Toc373227774"/>
      <w:bookmarkStart w:id="1207" w:name="_Toc373478421"/>
      <w:bookmarkStart w:id="1208" w:name="_Toc407135277"/>
      <w:bookmarkStart w:id="1209" w:name="_Toc454766369"/>
      <w:r>
        <w:rPr>
          <w:rFonts w:hint="eastAsia" w:ascii="宋体" w:hAnsi="宋体" w:eastAsia="宋体" w:cs="宋体"/>
          <w:color w:val="000000" w:themeColor="text1"/>
          <w:highlight w:val="none"/>
          <w14:textFill>
            <w14:solidFill>
              <w14:schemeClr w14:val="tx1"/>
            </w14:solidFill>
          </w14:textFill>
        </w:rPr>
        <w:t>18.3 其他保险</w:t>
      </w:r>
      <w:bookmarkEnd w:id="1203"/>
      <w:bookmarkEnd w:id="1204"/>
      <w:bookmarkEnd w:id="1205"/>
      <w:bookmarkEnd w:id="1206"/>
      <w:bookmarkEnd w:id="1207"/>
      <w:bookmarkEnd w:id="1208"/>
      <w:bookmarkEnd w:id="1209"/>
    </w:p>
    <w:p w14:paraId="3B14CC15">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关于其他保险的约定：</w:t>
      </w:r>
      <w:r>
        <w:rPr>
          <w:rFonts w:hint="eastAsia" w:ascii="宋体" w:hAnsi="宋体" w:eastAsia="宋体" w:cs="宋体"/>
          <w:color w:val="000000" w:themeColor="text1"/>
          <w:highlight w:val="none"/>
          <w:u w:val="single"/>
          <w14:textFill>
            <w14:solidFill>
              <w14:schemeClr w14:val="tx1"/>
            </w14:solidFill>
          </w14:textFill>
        </w:rPr>
        <w:t xml:space="preserve">  按通用条款执行，无特殊约定  </w:t>
      </w:r>
      <w:r>
        <w:rPr>
          <w:rFonts w:hint="eastAsia" w:ascii="宋体" w:hAnsi="宋体" w:eastAsia="宋体" w:cs="宋体"/>
          <w:color w:val="000000" w:themeColor="text1"/>
          <w:highlight w:val="none"/>
          <w14:textFill>
            <w14:solidFill>
              <w14:schemeClr w14:val="tx1"/>
            </w14:solidFill>
          </w14:textFill>
        </w:rPr>
        <w:t>。</w:t>
      </w:r>
    </w:p>
    <w:p w14:paraId="6A466A07">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承包人是否应为其施工设备等办理财产保险：</w:t>
      </w:r>
      <w:r>
        <w:rPr>
          <w:rFonts w:hint="eastAsia" w:ascii="宋体" w:hAnsi="宋体" w:eastAsia="宋体" w:cs="宋体"/>
          <w:color w:val="000000" w:themeColor="text1"/>
          <w:highlight w:val="none"/>
          <w:u w:val="single"/>
          <w14:textFill>
            <w14:solidFill>
              <w14:schemeClr w14:val="tx1"/>
            </w14:solidFill>
          </w14:textFill>
        </w:rPr>
        <w:t xml:space="preserve">     自行处理   </w:t>
      </w:r>
      <w:r>
        <w:rPr>
          <w:rFonts w:hint="eastAsia" w:ascii="宋体" w:hAnsi="宋体" w:eastAsia="宋体" w:cs="宋体"/>
          <w:color w:val="000000" w:themeColor="text1"/>
          <w:highlight w:val="none"/>
          <w14:textFill>
            <w14:solidFill>
              <w14:schemeClr w14:val="tx1"/>
            </w14:solidFill>
          </w14:textFill>
        </w:rPr>
        <w:t>。</w:t>
      </w:r>
    </w:p>
    <w:p w14:paraId="6587B975">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210" w:name="_Toc373227775"/>
      <w:bookmarkStart w:id="1211" w:name="_Toc373478422"/>
      <w:bookmarkStart w:id="1212" w:name="_Toc1114527236"/>
      <w:bookmarkStart w:id="1213" w:name="_Toc78449864"/>
      <w:bookmarkStart w:id="1214" w:name="_Toc2102614655"/>
      <w:bookmarkStart w:id="1215" w:name="_Toc407135278"/>
      <w:bookmarkStart w:id="1216" w:name="_Toc389065340"/>
      <w:r>
        <w:rPr>
          <w:rFonts w:hint="eastAsia" w:ascii="宋体" w:hAnsi="宋体" w:eastAsia="宋体" w:cs="宋体"/>
          <w:color w:val="000000" w:themeColor="text1"/>
          <w:highlight w:val="none"/>
          <w14:textFill>
            <w14:solidFill>
              <w14:schemeClr w14:val="tx1"/>
            </w14:solidFill>
          </w14:textFill>
        </w:rPr>
        <w:t>18.7 通知义务</w:t>
      </w:r>
      <w:bookmarkEnd w:id="1210"/>
      <w:bookmarkEnd w:id="1211"/>
      <w:bookmarkEnd w:id="1212"/>
      <w:bookmarkEnd w:id="1213"/>
      <w:bookmarkEnd w:id="1214"/>
      <w:bookmarkEnd w:id="1215"/>
      <w:bookmarkEnd w:id="1216"/>
    </w:p>
    <w:p w14:paraId="516BC92C">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关于变更保险合同时的通知义务的约定：</w:t>
      </w:r>
      <w:r>
        <w:rPr>
          <w:rFonts w:hint="eastAsia" w:ascii="宋体" w:hAnsi="宋体" w:eastAsia="宋体" w:cs="宋体"/>
          <w:color w:val="000000" w:themeColor="text1"/>
          <w:highlight w:val="none"/>
          <w:u w:val="single"/>
          <w14:textFill>
            <w14:solidFill>
              <w14:schemeClr w14:val="tx1"/>
            </w14:solidFill>
          </w14:textFill>
        </w:rPr>
        <w:t xml:space="preserve">  按通用条款执行</w:t>
      </w:r>
      <w:r>
        <w:rPr>
          <w:rFonts w:hint="eastAsia" w:ascii="宋体" w:hAnsi="宋体" w:eastAsia="宋体" w:cs="宋体"/>
          <w:color w:val="000000" w:themeColor="text1"/>
          <w:highlight w:val="none"/>
          <w14:textFill>
            <w14:solidFill>
              <w14:schemeClr w14:val="tx1"/>
            </w14:solidFill>
          </w14:textFill>
        </w:rPr>
        <w:t>。</w:t>
      </w:r>
    </w:p>
    <w:bookmarkEnd w:id="1099"/>
    <w:bookmarkEnd w:id="1100"/>
    <w:bookmarkEnd w:id="1101"/>
    <w:bookmarkEnd w:id="1102"/>
    <w:bookmarkEnd w:id="1103"/>
    <w:bookmarkEnd w:id="1104"/>
    <w:bookmarkEnd w:id="1105"/>
    <w:bookmarkEnd w:id="1106"/>
    <w:bookmarkEnd w:id="1107"/>
    <w:bookmarkEnd w:id="1108"/>
    <w:bookmarkEnd w:id="1109"/>
    <w:bookmarkEnd w:id="1110"/>
    <w:p w14:paraId="277A0A55">
      <w:pPr>
        <w:pStyle w:val="2"/>
        <w:pageBreakBefore w:val="0"/>
        <w:widowControl w:val="0"/>
        <w:kinsoku/>
        <w:wordWrap/>
        <w:overflowPunct/>
        <w:topLinePunct w:val="0"/>
        <w:bidi w:val="0"/>
        <w:snapToGrid w:val="0"/>
        <w:spacing w:before="0" w:after="0" w:line="360" w:lineRule="auto"/>
        <w:rPr>
          <w:rFonts w:hint="eastAsia" w:ascii="宋体" w:hAnsi="宋体" w:eastAsia="宋体" w:cs="宋体"/>
          <w:color w:val="000000" w:themeColor="text1"/>
          <w:highlight w:val="none"/>
          <w14:textFill>
            <w14:solidFill>
              <w14:schemeClr w14:val="tx1"/>
            </w14:solidFill>
          </w14:textFill>
        </w:rPr>
      </w:pPr>
      <w:bookmarkStart w:id="1217" w:name="_Toc1430568476"/>
      <w:bookmarkStart w:id="1218" w:name="_Toc373478423"/>
      <w:bookmarkStart w:id="1219" w:name="_Toc373227776"/>
      <w:bookmarkStart w:id="1220" w:name="_Toc407135279"/>
      <w:bookmarkStart w:id="1221" w:name="_Toc1959910599"/>
      <w:bookmarkStart w:id="1222" w:name="_Toc78449865"/>
      <w:bookmarkStart w:id="1223" w:name="_Toc351203651"/>
      <w:bookmarkStart w:id="1224" w:name="_Toc389065341"/>
      <w:r>
        <w:rPr>
          <w:rFonts w:hint="eastAsia" w:ascii="宋体" w:hAnsi="宋体" w:eastAsia="宋体" w:cs="宋体"/>
          <w:color w:val="000000" w:themeColor="text1"/>
          <w:highlight w:val="none"/>
          <w14:textFill>
            <w14:solidFill>
              <w14:schemeClr w14:val="tx1"/>
            </w14:solidFill>
          </w14:textFill>
        </w:rPr>
        <w:t>20. 争议解决</w:t>
      </w:r>
      <w:bookmarkEnd w:id="1217"/>
      <w:bookmarkEnd w:id="1218"/>
      <w:bookmarkEnd w:id="1219"/>
      <w:bookmarkEnd w:id="1220"/>
      <w:bookmarkEnd w:id="1221"/>
      <w:bookmarkEnd w:id="1222"/>
      <w:bookmarkEnd w:id="1223"/>
      <w:bookmarkEnd w:id="1224"/>
    </w:p>
    <w:bookmarkEnd w:id="1111"/>
    <w:bookmarkEnd w:id="1112"/>
    <w:p w14:paraId="46D8917F">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225" w:name="_Toc389065342"/>
      <w:bookmarkStart w:id="1226" w:name="_Toc373227777"/>
      <w:bookmarkStart w:id="1227" w:name="_Toc1645489822"/>
      <w:bookmarkStart w:id="1228" w:name="_Toc373478424"/>
      <w:bookmarkStart w:id="1229" w:name="_Toc2138124043"/>
      <w:bookmarkStart w:id="1230" w:name="_Toc407135280"/>
      <w:bookmarkStart w:id="1231" w:name="_Toc78449866"/>
      <w:r>
        <w:rPr>
          <w:rFonts w:hint="eastAsia" w:ascii="宋体" w:hAnsi="宋体" w:eastAsia="宋体" w:cs="宋体"/>
          <w:color w:val="000000" w:themeColor="text1"/>
          <w:highlight w:val="none"/>
          <w14:textFill>
            <w14:solidFill>
              <w14:schemeClr w14:val="tx1"/>
            </w14:solidFill>
          </w14:textFill>
        </w:rPr>
        <w:t>20.3 争</w:t>
      </w:r>
      <w:bookmarkEnd w:id="1113"/>
      <w:r>
        <w:rPr>
          <w:rFonts w:hint="eastAsia" w:ascii="宋体" w:hAnsi="宋体" w:eastAsia="宋体" w:cs="宋体"/>
          <w:color w:val="000000" w:themeColor="text1"/>
          <w:highlight w:val="none"/>
          <w14:textFill>
            <w14:solidFill>
              <w14:schemeClr w14:val="tx1"/>
            </w14:solidFill>
          </w14:textFill>
        </w:rPr>
        <w:t>议评审</w:t>
      </w:r>
      <w:bookmarkEnd w:id="1225"/>
      <w:bookmarkEnd w:id="1226"/>
      <w:bookmarkEnd w:id="1227"/>
      <w:bookmarkEnd w:id="1228"/>
      <w:bookmarkEnd w:id="1229"/>
      <w:bookmarkEnd w:id="1230"/>
      <w:bookmarkEnd w:id="1231"/>
    </w:p>
    <w:p w14:paraId="42EE1CA1">
      <w:pPr>
        <w:pageBreakBefore w:val="0"/>
        <w:widowControl w:val="0"/>
        <w:kinsoku/>
        <w:wordWrap/>
        <w:overflowPunct/>
        <w:topLinePunct w:val="0"/>
        <w:bidi w:val="0"/>
        <w:snapToGrid w:val="0"/>
        <w:spacing w:line="360" w:lineRule="auto"/>
        <w:ind w:left="149" w:leftChars="71" w:firstLine="315" w:firstLineChars="15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合同当事人是否同意将工程争议提交争议评审小组决定：</w:t>
      </w:r>
      <w:r>
        <w:rPr>
          <w:rFonts w:hint="eastAsia" w:ascii="宋体" w:hAnsi="宋体" w:eastAsia="宋体" w:cs="宋体"/>
          <w:color w:val="000000" w:themeColor="text1"/>
          <w:highlight w:val="none"/>
          <w:u w:val="single"/>
          <w14:textFill>
            <w14:solidFill>
              <w14:schemeClr w14:val="tx1"/>
            </w14:solidFill>
          </w14:textFill>
        </w:rPr>
        <w:t xml:space="preserve">   不同意     </w:t>
      </w:r>
      <w:r>
        <w:rPr>
          <w:rFonts w:hint="eastAsia" w:ascii="宋体" w:hAnsi="宋体" w:eastAsia="宋体" w:cs="宋体"/>
          <w:color w:val="000000" w:themeColor="text1"/>
          <w:highlight w:val="none"/>
          <w14:textFill>
            <w14:solidFill>
              <w14:schemeClr w14:val="tx1"/>
            </w14:solidFill>
          </w14:textFill>
        </w:rPr>
        <w:t>。</w:t>
      </w:r>
    </w:p>
    <w:p w14:paraId="265A70FA">
      <w:pPr>
        <w:pageBreakBefore w:val="0"/>
        <w:widowControl w:val="0"/>
        <w:kinsoku/>
        <w:wordWrap/>
        <w:overflowPunct/>
        <w:topLinePunct w:val="0"/>
        <w:bidi w:val="0"/>
        <w:snapToGrid w:val="0"/>
        <w:spacing w:line="360" w:lineRule="auto"/>
        <w:ind w:firstLine="420" w:firstLineChars="200"/>
        <w:jc w:val="left"/>
        <w:outlineLvl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20.3.1 争议评审小组的确定</w:t>
      </w:r>
    </w:p>
    <w:p w14:paraId="7A266167">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争议评审小组成员的确定：</w:t>
      </w:r>
      <w:r>
        <w:rPr>
          <w:rFonts w:hint="eastAsia" w:ascii="宋体" w:hAnsi="宋体" w:eastAsia="宋体" w:cs="宋体"/>
          <w:color w:val="000000" w:themeColor="text1"/>
          <w:highlight w:val="none"/>
          <w:u w:val="single"/>
          <w14:textFill>
            <w14:solidFill>
              <w14:schemeClr w14:val="tx1"/>
            </w14:solidFill>
          </w14:textFill>
        </w:rPr>
        <w:t xml:space="preserve">                  /           </w:t>
      </w:r>
      <w:r>
        <w:rPr>
          <w:rFonts w:hint="eastAsia" w:ascii="宋体" w:hAnsi="宋体" w:eastAsia="宋体" w:cs="宋体"/>
          <w:color w:val="000000" w:themeColor="text1"/>
          <w:highlight w:val="none"/>
          <w14:textFill>
            <w14:solidFill>
              <w14:schemeClr w14:val="tx1"/>
            </w14:solidFill>
          </w14:textFill>
        </w:rPr>
        <w:t>。</w:t>
      </w:r>
    </w:p>
    <w:p w14:paraId="1EBCC32A">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选定争议评审员的期限：</w:t>
      </w:r>
      <w:r>
        <w:rPr>
          <w:rFonts w:hint="eastAsia" w:ascii="宋体" w:hAnsi="宋体" w:eastAsia="宋体" w:cs="宋体"/>
          <w:color w:val="000000" w:themeColor="text1"/>
          <w:highlight w:val="none"/>
          <w:u w:val="single"/>
          <w14:textFill>
            <w14:solidFill>
              <w14:schemeClr w14:val="tx1"/>
            </w14:solidFill>
          </w14:textFill>
        </w:rPr>
        <w:t xml:space="preserve">                    /           </w:t>
      </w:r>
      <w:r>
        <w:rPr>
          <w:rFonts w:hint="eastAsia" w:ascii="宋体" w:hAnsi="宋体" w:eastAsia="宋体" w:cs="宋体"/>
          <w:color w:val="000000" w:themeColor="text1"/>
          <w:highlight w:val="none"/>
          <w14:textFill>
            <w14:solidFill>
              <w14:schemeClr w14:val="tx1"/>
            </w14:solidFill>
          </w14:textFill>
        </w:rPr>
        <w:t>。</w:t>
      </w:r>
    </w:p>
    <w:p w14:paraId="196BF86B">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争议评审小组成员的报酬承担方式：</w:t>
      </w:r>
      <w:r>
        <w:rPr>
          <w:rFonts w:hint="eastAsia" w:ascii="宋体" w:hAnsi="宋体" w:eastAsia="宋体" w:cs="宋体"/>
          <w:color w:val="000000" w:themeColor="text1"/>
          <w:highlight w:val="none"/>
          <w:u w:val="single"/>
          <w14:textFill>
            <w14:solidFill>
              <w14:schemeClr w14:val="tx1"/>
            </w14:solidFill>
          </w14:textFill>
        </w:rPr>
        <w:t xml:space="preserve">        /             </w:t>
      </w:r>
      <w:r>
        <w:rPr>
          <w:rFonts w:hint="eastAsia" w:ascii="宋体" w:hAnsi="宋体" w:eastAsia="宋体" w:cs="宋体"/>
          <w:color w:val="000000" w:themeColor="text1"/>
          <w:highlight w:val="none"/>
          <w14:textFill>
            <w14:solidFill>
              <w14:schemeClr w14:val="tx1"/>
            </w14:solidFill>
          </w14:textFill>
        </w:rPr>
        <w:t>。</w:t>
      </w:r>
    </w:p>
    <w:p w14:paraId="1C513FAA">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其他事项的约定：</w:t>
      </w:r>
      <w:r>
        <w:rPr>
          <w:rFonts w:hint="eastAsia" w:ascii="宋体" w:hAnsi="宋体" w:eastAsia="宋体" w:cs="宋体"/>
          <w:color w:val="000000" w:themeColor="text1"/>
          <w:highlight w:val="none"/>
          <w:u w:val="single"/>
          <w14:textFill>
            <w14:solidFill>
              <w14:schemeClr w14:val="tx1"/>
            </w14:solidFill>
          </w14:textFill>
        </w:rPr>
        <w:t xml:space="preserve">                     /                </w:t>
      </w:r>
      <w:r>
        <w:rPr>
          <w:rFonts w:hint="eastAsia" w:ascii="宋体" w:hAnsi="宋体" w:eastAsia="宋体" w:cs="宋体"/>
          <w:color w:val="000000" w:themeColor="text1"/>
          <w:highlight w:val="none"/>
          <w14:textFill>
            <w14:solidFill>
              <w14:schemeClr w14:val="tx1"/>
            </w14:solidFill>
          </w14:textFill>
        </w:rPr>
        <w:t>。</w:t>
      </w:r>
    </w:p>
    <w:p w14:paraId="323DC51E">
      <w:pPr>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20.3.2 争议评审小组的决定</w:t>
      </w:r>
    </w:p>
    <w:p w14:paraId="1D0FB743">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合同当事人关于本项的约定：</w:t>
      </w:r>
      <w:r>
        <w:rPr>
          <w:rFonts w:hint="eastAsia" w:ascii="宋体" w:hAnsi="宋体" w:eastAsia="宋体" w:cs="宋体"/>
          <w:color w:val="000000" w:themeColor="text1"/>
          <w:highlight w:val="none"/>
          <w:u w:val="single"/>
          <w14:textFill>
            <w14:solidFill>
              <w14:schemeClr w14:val="tx1"/>
            </w14:solidFill>
          </w14:textFill>
        </w:rPr>
        <w:t xml:space="preserve">         /                  </w:t>
      </w:r>
      <w:r>
        <w:rPr>
          <w:rFonts w:hint="eastAsia" w:ascii="宋体" w:hAnsi="宋体" w:eastAsia="宋体" w:cs="宋体"/>
          <w:color w:val="000000" w:themeColor="text1"/>
          <w:highlight w:val="none"/>
          <w14:textFill>
            <w14:solidFill>
              <w14:schemeClr w14:val="tx1"/>
            </w14:solidFill>
          </w14:textFill>
        </w:rPr>
        <w:t>。</w:t>
      </w:r>
    </w:p>
    <w:p w14:paraId="278A2DB7">
      <w:pPr>
        <w:pStyle w:val="4"/>
        <w:pageBreakBefore w:val="0"/>
        <w:widowControl w:val="0"/>
        <w:kinsoku/>
        <w:wordWrap/>
        <w:overflowPunct/>
        <w:topLinePunct w:val="0"/>
        <w:bidi w:val="0"/>
        <w:snapToGrid w:val="0"/>
        <w:spacing w:before="0" w:beforeLines="0" w:after="0" w:afterLines="0" w:line="360" w:lineRule="auto"/>
        <w:rPr>
          <w:rFonts w:hint="eastAsia" w:ascii="宋体" w:hAnsi="宋体" w:eastAsia="宋体" w:cs="宋体"/>
          <w:color w:val="000000" w:themeColor="text1"/>
          <w:highlight w:val="none"/>
          <w14:textFill>
            <w14:solidFill>
              <w14:schemeClr w14:val="tx1"/>
            </w14:solidFill>
          </w14:textFill>
        </w:rPr>
      </w:pPr>
      <w:bookmarkStart w:id="1232" w:name="_Toc1456517022"/>
      <w:bookmarkStart w:id="1233" w:name="_Toc1156795721"/>
      <w:bookmarkStart w:id="1234" w:name="_Toc78449867"/>
      <w:bookmarkStart w:id="1235" w:name="_Toc373478425"/>
      <w:bookmarkStart w:id="1236" w:name="_Toc407135281"/>
      <w:bookmarkStart w:id="1237" w:name="_Toc389065343"/>
      <w:bookmarkStart w:id="1238" w:name="_Toc373227778"/>
      <w:r>
        <w:rPr>
          <w:rFonts w:hint="eastAsia" w:ascii="宋体" w:hAnsi="宋体" w:eastAsia="宋体" w:cs="宋体"/>
          <w:color w:val="000000" w:themeColor="text1"/>
          <w:highlight w:val="none"/>
          <w14:textFill>
            <w14:solidFill>
              <w14:schemeClr w14:val="tx1"/>
            </w14:solidFill>
          </w14:textFill>
        </w:rPr>
        <w:t>20.4 仲裁或诉讼</w:t>
      </w:r>
      <w:bookmarkEnd w:id="1114"/>
      <w:bookmarkEnd w:id="1232"/>
      <w:bookmarkEnd w:id="1233"/>
      <w:bookmarkEnd w:id="1234"/>
      <w:bookmarkEnd w:id="1235"/>
      <w:bookmarkEnd w:id="1236"/>
      <w:bookmarkEnd w:id="1237"/>
      <w:bookmarkEnd w:id="1238"/>
    </w:p>
    <w:p w14:paraId="29720089">
      <w:pPr>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因合同及合同有关事项发生的争议，按下列第</w:t>
      </w:r>
      <w:r>
        <w:rPr>
          <w:rFonts w:hint="eastAsia" w:ascii="宋体" w:hAnsi="宋体" w:eastAsia="宋体" w:cs="宋体"/>
          <w:color w:val="000000" w:themeColor="text1"/>
          <w:highlight w:val="none"/>
          <w:u w:val="single"/>
          <w14:textFill>
            <w14:solidFill>
              <w14:schemeClr w14:val="tx1"/>
            </w14:solidFill>
          </w14:textFill>
        </w:rPr>
        <w:t xml:space="preserve"> （2） </w:t>
      </w:r>
      <w:r>
        <w:rPr>
          <w:rFonts w:hint="eastAsia" w:ascii="宋体" w:hAnsi="宋体" w:eastAsia="宋体" w:cs="宋体"/>
          <w:color w:val="000000" w:themeColor="text1"/>
          <w:highlight w:val="none"/>
          <w14:textFill>
            <w14:solidFill>
              <w14:schemeClr w14:val="tx1"/>
            </w14:solidFill>
          </w14:textFill>
        </w:rPr>
        <w:t>种方式解决：</w:t>
      </w:r>
    </w:p>
    <w:p w14:paraId="4A913678">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（1）提请</w:t>
      </w:r>
      <w:r>
        <w:rPr>
          <w:rFonts w:hint="eastAsia" w:ascii="宋体" w:hAnsi="宋体" w:eastAsia="宋体" w:cs="宋体"/>
          <w:color w:val="000000" w:themeColor="text1"/>
          <w:highlight w:val="none"/>
          <w:u w:val="single"/>
          <w14:textFill>
            <w14:solidFill>
              <w14:schemeClr w14:val="tx1"/>
            </w14:solidFill>
          </w14:textFill>
        </w:rPr>
        <w:t xml:space="preserve">  /   </w:t>
      </w:r>
      <w:r>
        <w:rPr>
          <w:rFonts w:hint="eastAsia" w:ascii="宋体" w:hAnsi="宋体" w:eastAsia="宋体" w:cs="宋体"/>
          <w:color w:val="000000" w:themeColor="text1"/>
          <w:highlight w:val="none"/>
          <w14:textFill>
            <w14:solidFill>
              <w14:schemeClr w14:val="tx1"/>
            </w14:solidFill>
          </w14:textFill>
        </w:rPr>
        <w:t>仲裁委员会按照该会仲裁规则进行仲裁，仲裁裁决是终局的，对合同双方均有约束力。</w:t>
      </w:r>
    </w:p>
    <w:p w14:paraId="356FA708">
      <w:pPr>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（2）向</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lang w:val="en-US" w:eastAsia="zh-CN"/>
          <w14:textFill>
            <w14:solidFill>
              <w14:schemeClr w14:val="tx1"/>
            </w14:solidFill>
          </w14:textFill>
        </w:rPr>
        <w:t>兴安县</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人民法院起诉。</w:t>
      </w:r>
      <w:bookmarkEnd w:id="1115"/>
      <w:bookmarkEnd w:id="1116"/>
      <w:bookmarkEnd w:id="1117"/>
      <w:bookmarkEnd w:id="1118"/>
      <w:bookmarkEnd w:id="1119"/>
      <w:bookmarkEnd w:id="1120"/>
    </w:p>
    <w:p w14:paraId="24352F96">
      <w:pPr>
        <w:pStyle w:val="9"/>
        <w:pageBreakBefore w:val="0"/>
        <w:widowControl w:val="0"/>
        <w:kinsoku/>
        <w:wordWrap/>
        <w:overflowPunct/>
        <w:topLinePunct w:val="0"/>
        <w:bidi w:val="0"/>
        <w:snapToGrid w:val="0"/>
        <w:spacing w:line="360" w:lineRule="auto"/>
        <w:jc w:val="left"/>
        <w:rPr>
          <w:rFonts w:hint="eastAsia" w:ascii="宋体" w:hAnsi="宋体" w:eastAsia="宋体" w:cs="宋体"/>
          <w:b/>
          <w:bCs/>
          <w:color w:val="000000" w:themeColor="text1"/>
          <w:sz w:val="32"/>
          <w:szCs w:val="32"/>
          <w:highlight w:val="none"/>
          <w:lang w:val="zh-CN"/>
          <w14:textFill>
            <w14:solidFill>
              <w14:schemeClr w14:val="tx1"/>
            </w14:solidFill>
          </w14:textFill>
        </w:rPr>
      </w:pPr>
      <w:r>
        <w:rPr>
          <w:rFonts w:hint="eastAsia" w:ascii="宋体" w:hAnsi="宋体" w:eastAsia="宋体" w:cs="宋体"/>
          <w:b/>
          <w:bCs/>
          <w:color w:val="000000" w:themeColor="text1"/>
          <w:sz w:val="32"/>
          <w:szCs w:val="32"/>
          <w:highlight w:val="none"/>
          <w:lang w:val="zh-CN"/>
          <w14:textFill>
            <w14:solidFill>
              <w14:schemeClr w14:val="tx1"/>
            </w14:solidFill>
          </w14:textFill>
        </w:rPr>
        <w:t>21.补充条款</w:t>
      </w:r>
    </w:p>
    <w:p w14:paraId="7F3478BA">
      <w:pPr>
        <w:pStyle w:val="9"/>
        <w:pageBreakBefore w:val="0"/>
        <w:widowControl w:val="0"/>
        <w:kinsoku/>
        <w:wordWrap/>
        <w:overflowPunct/>
        <w:topLinePunct w:val="0"/>
        <w:bidi w:val="0"/>
        <w:adjustRightInd w:val="0"/>
        <w:snapToGrid w:val="0"/>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21.1若承包人未按时向农民工支付工资而给发包人工程进度造成影响的，则发包人有权直接从承包人工程进度款中代扣支付给农民工。           </w:t>
      </w:r>
    </w:p>
    <w:p w14:paraId="11F729C5">
      <w:pPr>
        <w:pStyle w:val="9"/>
        <w:pageBreakBefore w:val="0"/>
        <w:widowControl w:val="0"/>
        <w:kinsoku/>
        <w:wordWrap/>
        <w:overflowPunct/>
        <w:topLinePunct w:val="0"/>
        <w:bidi w:val="0"/>
        <w:adjustRightInd w:val="0"/>
        <w:snapToGrid w:val="0"/>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21.1.1农民工工资按市建规[2009]50号文件执行，中标单位应按时支付农民工工资，发包人支付到合同价款的70%时，承包人应全部支付完农民工工资，之后如有农民工到发包方单位及政府相关部门反映工资拖欠问题并经核实后视为承包人违约，每发生一次扣减最终结算价的0.1%作为违约金，违约金发包方可从应向承包方支付的款项中扣除。</w:t>
      </w:r>
    </w:p>
    <w:p w14:paraId="3DF51438">
      <w:pPr>
        <w:pageBreakBefore w:val="0"/>
        <w:kinsoku/>
        <w:wordWrap/>
        <w:overflowPunct/>
        <w:topLinePunct w:val="0"/>
        <w:bidi w:val="0"/>
        <w:spacing w:line="440" w:lineRule="exact"/>
        <w:jc w:val="left"/>
        <w:rPr>
          <w:rFonts w:ascii="Arial" w:hAnsi="Arial" w:cs="Arial"/>
          <w:b/>
          <w:bCs/>
          <w:color w:val="000000" w:themeColor="text1"/>
          <w:sz w:val="28"/>
          <w:szCs w:val="28"/>
          <w:highlight w:val="none"/>
          <w14:textFill>
            <w14:solidFill>
              <w14:schemeClr w14:val="tx1"/>
            </w14:solidFill>
          </w14:textFill>
        </w:rPr>
      </w:pPr>
    </w:p>
    <w:p w14:paraId="6408AAE0">
      <w:pPr>
        <w:pageBreakBefore w:val="0"/>
        <w:kinsoku/>
        <w:wordWrap/>
        <w:overflowPunct/>
        <w:topLinePunct w:val="0"/>
        <w:bidi w:val="0"/>
        <w:spacing w:line="440" w:lineRule="exact"/>
        <w:jc w:val="left"/>
        <w:rPr>
          <w:rFonts w:ascii="Arial" w:hAnsi="Arial" w:cs="Arial"/>
          <w:b/>
          <w:bCs/>
          <w:color w:val="000000" w:themeColor="text1"/>
          <w:sz w:val="28"/>
          <w:szCs w:val="28"/>
          <w:highlight w:val="none"/>
          <w14:textFill>
            <w14:solidFill>
              <w14:schemeClr w14:val="tx1"/>
            </w14:solidFill>
          </w14:textFill>
        </w:rPr>
      </w:pPr>
    </w:p>
    <w:p w14:paraId="6D7503B5">
      <w:pPr>
        <w:pageBreakBefore w:val="0"/>
        <w:kinsoku/>
        <w:wordWrap/>
        <w:overflowPunct/>
        <w:topLinePunct w:val="0"/>
        <w:bidi w:val="0"/>
        <w:spacing w:line="440" w:lineRule="exact"/>
        <w:jc w:val="left"/>
        <w:rPr>
          <w:rFonts w:ascii="Arial" w:hAnsi="Arial" w:cs="Arial"/>
          <w:b/>
          <w:bCs/>
          <w:color w:val="000000" w:themeColor="text1"/>
          <w:sz w:val="28"/>
          <w:szCs w:val="28"/>
          <w:highlight w:val="none"/>
          <w14:textFill>
            <w14:solidFill>
              <w14:schemeClr w14:val="tx1"/>
            </w14:solidFill>
          </w14:textFill>
        </w:rPr>
      </w:pPr>
    </w:p>
    <w:p w14:paraId="10B4335D">
      <w:pPr>
        <w:pageBreakBefore w:val="0"/>
        <w:kinsoku/>
        <w:wordWrap/>
        <w:overflowPunct/>
        <w:topLinePunct w:val="0"/>
        <w:bidi w:val="0"/>
        <w:spacing w:line="440" w:lineRule="exact"/>
        <w:jc w:val="left"/>
        <w:rPr>
          <w:rFonts w:ascii="Arial" w:hAnsi="Arial" w:cs="Arial"/>
          <w:b/>
          <w:bCs/>
          <w:color w:val="000000" w:themeColor="text1"/>
          <w:sz w:val="28"/>
          <w:szCs w:val="28"/>
          <w:highlight w:val="none"/>
          <w14:textFill>
            <w14:solidFill>
              <w14:schemeClr w14:val="tx1"/>
            </w14:solidFill>
          </w14:textFill>
        </w:rPr>
      </w:pPr>
    </w:p>
    <w:p w14:paraId="16B465B1">
      <w:pPr>
        <w:pageBreakBefore w:val="0"/>
        <w:kinsoku/>
        <w:wordWrap/>
        <w:overflowPunct/>
        <w:topLinePunct w:val="0"/>
        <w:bidi w:val="0"/>
        <w:spacing w:line="440" w:lineRule="exact"/>
        <w:jc w:val="left"/>
        <w:rPr>
          <w:rFonts w:ascii="Arial" w:hAnsi="Arial" w:cs="Arial"/>
          <w:b/>
          <w:bCs/>
          <w:color w:val="000000" w:themeColor="text1"/>
          <w:sz w:val="28"/>
          <w:szCs w:val="28"/>
          <w:highlight w:val="none"/>
          <w14:textFill>
            <w14:solidFill>
              <w14:schemeClr w14:val="tx1"/>
            </w14:solidFill>
          </w14:textFill>
        </w:rPr>
      </w:pPr>
    </w:p>
    <w:p w14:paraId="3AA6583F">
      <w:pPr>
        <w:pageBreakBefore w:val="0"/>
        <w:kinsoku/>
        <w:wordWrap/>
        <w:overflowPunct/>
        <w:topLinePunct w:val="0"/>
        <w:bidi w:val="0"/>
        <w:spacing w:line="440" w:lineRule="exact"/>
        <w:jc w:val="left"/>
        <w:rPr>
          <w:rFonts w:ascii="Arial" w:hAnsi="Arial" w:cs="Arial"/>
          <w:b/>
          <w:bCs/>
          <w:color w:val="000000" w:themeColor="text1"/>
          <w:sz w:val="28"/>
          <w:szCs w:val="28"/>
          <w:highlight w:val="none"/>
          <w14:textFill>
            <w14:solidFill>
              <w14:schemeClr w14:val="tx1"/>
            </w14:solidFill>
          </w14:textFill>
        </w:rPr>
      </w:pPr>
    </w:p>
    <w:p w14:paraId="2F3406D4">
      <w:pPr>
        <w:pageBreakBefore w:val="0"/>
        <w:kinsoku/>
        <w:wordWrap/>
        <w:overflowPunct/>
        <w:topLinePunct w:val="0"/>
        <w:bidi w:val="0"/>
        <w:spacing w:line="440" w:lineRule="exact"/>
        <w:jc w:val="left"/>
        <w:rPr>
          <w:rFonts w:ascii="Arial" w:hAnsi="Arial" w:cs="Arial"/>
          <w:b/>
          <w:bCs/>
          <w:color w:val="000000" w:themeColor="text1"/>
          <w:sz w:val="28"/>
          <w:szCs w:val="28"/>
          <w:highlight w:val="none"/>
          <w14:textFill>
            <w14:solidFill>
              <w14:schemeClr w14:val="tx1"/>
            </w14:solidFill>
          </w14:textFill>
        </w:rPr>
      </w:pPr>
    </w:p>
    <w:p w14:paraId="613F703E">
      <w:pPr>
        <w:rPr>
          <w:rFonts w:ascii="Arial" w:hAnsi="Arial" w:cs="Arial"/>
          <w:b/>
          <w:bCs/>
          <w:color w:val="000000" w:themeColor="text1"/>
          <w:sz w:val="28"/>
          <w:szCs w:val="28"/>
          <w:highlight w:val="none"/>
          <w14:textFill>
            <w14:solidFill>
              <w14:schemeClr w14:val="tx1"/>
            </w14:solidFill>
          </w14:textFill>
        </w:rPr>
      </w:pPr>
      <w:r>
        <w:rPr>
          <w:rFonts w:ascii="Arial" w:hAnsi="Arial" w:cs="Arial"/>
          <w:b/>
          <w:bCs/>
          <w:color w:val="000000" w:themeColor="text1"/>
          <w:sz w:val="28"/>
          <w:szCs w:val="28"/>
          <w:highlight w:val="none"/>
          <w14:textFill>
            <w14:solidFill>
              <w14:schemeClr w14:val="tx1"/>
            </w14:solidFill>
          </w14:textFill>
        </w:rPr>
        <w:br w:type="page"/>
      </w:r>
    </w:p>
    <w:p w14:paraId="0006A214">
      <w:pPr>
        <w:pageBreakBefore w:val="0"/>
        <w:kinsoku/>
        <w:wordWrap/>
        <w:overflowPunct/>
        <w:topLinePunct w:val="0"/>
        <w:bidi w:val="0"/>
        <w:spacing w:line="440" w:lineRule="exact"/>
        <w:jc w:val="left"/>
        <w:rPr>
          <w:rFonts w:ascii="Arial" w:hAnsi="Arial" w:cs="Arial"/>
          <w:b/>
          <w:bCs/>
          <w:color w:val="000000" w:themeColor="text1"/>
          <w:sz w:val="28"/>
          <w:szCs w:val="28"/>
          <w:highlight w:val="none"/>
          <w14:textFill>
            <w14:solidFill>
              <w14:schemeClr w14:val="tx1"/>
            </w14:solidFill>
          </w14:textFill>
        </w:rPr>
      </w:pPr>
      <w:r>
        <w:rPr>
          <w:rFonts w:ascii="Arial" w:hAnsi="Arial" w:cs="Arial"/>
          <w:b/>
          <w:bCs/>
          <w:color w:val="000000" w:themeColor="text1"/>
          <w:sz w:val="28"/>
          <w:szCs w:val="28"/>
          <w:highlight w:val="none"/>
          <w14:textFill>
            <w14:solidFill>
              <w14:schemeClr w14:val="tx1"/>
            </w14:solidFill>
          </w14:textFill>
        </w:rPr>
        <w:t>附件</w:t>
      </w:r>
    </w:p>
    <w:p w14:paraId="7717BCCE">
      <w:pPr>
        <w:pageBreakBefore w:val="0"/>
        <w:kinsoku/>
        <w:wordWrap/>
        <w:overflowPunct/>
        <w:topLinePunct w:val="0"/>
        <w:bidi w:val="0"/>
        <w:spacing w:line="440" w:lineRule="exact"/>
        <w:jc w:val="left"/>
        <w:rPr>
          <w:rFonts w:ascii="Arial" w:hAnsi="Arial" w:cs="Arial"/>
          <w:color w:val="000000" w:themeColor="text1"/>
          <w:highlight w:val="none"/>
          <w14:textFill>
            <w14:solidFill>
              <w14:schemeClr w14:val="tx1"/>
            </w14:solidFill>
          </w14:textFill>
        </w:rPr>
      </w:pPr>
      <w:r>
        <w:rPr>
          <w:rFonts w:ascii="Arial" w:hAnsi="Arial" w:cs="Arial"/>
          <w:color w:val="000000" w:themeColor="text1"/>
          <w:highlight w:val="none"/>
          <w14:textFill>
            <w14:solidFill>
              <w14:schemeClr w14:val="tx1"/>
            </w14:solidFill>
          </w14:textFill>
        </w:rPr>
        <w:t>附件1：承包人承揽工程项目一览表</w:t>
      </w:r>
    </w:p>
    <w:p w14:paraId="1B58D9A3">
      <w:pPr>
        <w:pageBreakBefore w:val="0"/>
        <w:kinsoku/>
        <w:wordWrap/>
        <w:overflowPunct/>
        <w:topLinePunct w:val="0"/>
        <w:bidi w:val="0"/>
        <w:spacing w:line="440" w:lineRule="exact"/>
        <w:jc w:val="left"/>
        <w:rPr>
          <w:rFonts w:ascii="Arial" w:hAnsi="Arial" w:cs="Arial"/>
          <w:color w:val="000000" w:themeColor="text1"/>
          <w:highlight w:val="none"/>
          <w14:textFill>
            <w14:solidFill>
              <w14:schemeClr w14:val="tx1"/>
            </w14:solidFill>
          </w14:textFill>
        </w:rPr>
      </w:pPr>
      <w:r>
        <w:rPr>
          <w:rFonts w:ascii="Arial" w:hAnsi="Arial" w:cs="Arial"/>
          <w:color w:val="000000" w:themeColor="text1"/>
          <w:highlight w:val="none"/>
          <w14:textFill>
            <w14:solidFill>
              <w14:schemeClr w14:val="tx1"/>
            </w14:solidFill>
          </w14:textFill>
        </w:rPr>
        <w:t>附件2：工程质量保修书</w:t>
      </w:r>
    </w:p>
    <w:p w14:paraId="43CC103A">
      <w:pPr>
        <w:pageBreakBefore w:val="0"/>
        <w:kinsoku/>
        <w:wordWrap/>
        <w:overflowPunct/>
        <w:topLinePunct w:val="0"/>
        <w:bidi w:val="0"/>
        <w:spacing w:line="440" w:lineRule="exact"/>
        <w:jc w:val="left"/>
        <w:rPr>
          <w:rFonts w:ascii="Arial" w:hAnsi="Arial" w:cs="Arial"/>
          <w:color w:val="000000" w:themeColor="text1"/>
          <w:highlight w:val="none"/>
          <w14:textFill>
            <w14:solidFill>
              <w14:schemeClr w14:val="tx1"/>
            </w14:solidFill>
          </w14:textFill>
        </w:rPr>
      </w:pPr>
      <w:r>
        <w:rPr>
          <w:rFonts w:ascii="Arial" w:hAnsi="Arial" w:cs="Arial"/>
          <w:color w:val="000000" w:themeColor="text1"/>
          <w:highlight w:val="none"/>
          <w14:textFill>
            <w14:solidFill>
              <w14:schemeClr w14:val="tx1"/>
            </w14:solidFill>
          </w14:textFill>
        </w:rPr>
        <w:t>附件3：主要建设工程文件目录</w:t>
      </w:r>
    </w:p>
    <w:p w14:paraId="6384CE88">
      <w:pPr>
        <w:pageBreakBefore w:val="0"/>
        <w:kinsoku/>
        <w:wordWrap/>
        <w:overflowPunct/>
        <w:topLinePunct w:val="0"/>
        <w:bidi w:val="0"/>
        <w:spacing w:line="440" w:lineRule="exact"/>
        <w:jc w:val="left"/>
        <w:rPr>
          <w:rFonts w:ascii="Arial" w:hAnsi="Arial" w:cs="Arial"/>
          <w:color w:val="000000" w:themeColor="text1"/>
          <w:highlight w:val="none"/>
          <w14:textFill>
            <w14:solidFill>
              <w14:schemeClr w14:val="tx1"/>
            </w14:solidFill>
          </w14:textFill>
        </w:rPr>
      </w:pPr>
      <w:r>
        <w:rPr>
          <w:rFonts w:ascii="Arial" w:hAnsi="Arial" w:cs="Arial"/>
          <w:color w:val="000000" w:themeColor="text1"/>
          <w:highlight w:val="none"/>
          <w14:textFill>
            <w14:solidFill>
              <w14:schemeClr w14:val="tx1"/>
            </w14:solidFill>
          </w14:textFill>
        </w:rPr>
        <w:t>附件4：承包人用于本工程施工的机械设备表</w:t>
      </w:r>
    </w:p>
    <w:p w14:paraId="56408DF9">
      <w:pPr>
        <w:pageBreakBefore w:val="0"/>
        <w:kinsoku/>
        <w:wordWrap/>
        <w:overflowPunct/>
        <w:topLinePunct w:val="0"/>
        <w:bidi w:val="0"/>
        <w:spacing w:line="440" w:lineRule="exact"/>
        <w:jc w:val="left"/>
        <w:rPr>
          <w:rFonts w:ascii="Arial" w:hAnsi="Arial" w:cs="Arial"/>
          <w:color w:val="000000" w:themeColor="text1"/>
          <w:highlight w:val="none"/>
          <w14:textFill>
            <w14:solidFill>
              <w14:schemeClr w14:val="tx1"/>
            </w14:solidFill>
          </w14:textFill>
        </w:rPr>
      </w:pPr>
      <w:r>
        <w:rPr>
          <w:rFonts w:ascii="Arial" w:hAnsi="Arial" w:cs="Arial"/>
          <w:color w:val="000000" w:themeColor="text1"/>
          <w:highlight w:val="none"/>
          <w14:textFill>
            <w14:solidFill>
              <w14:schemeClr w14:val="tx1"/>
            </w14:solidFill>
          </w14:textFill>
        </w:rPr>
        <w:t>附件5：承包人主要施工管理人员表</w:t>
      </w:r>
    </w:p>
    <w:p w14:paraId="38AFE9AA">
      <w:pPr>
        <w:pageBreakBefore w:val="0"/>
        <w:kinsoku/>
        <w:wordWrap/>
        <w:overflowPunct/>
        <w:topLinePunct w:val="0"/>
        <w:bidi w:val="0"/>
        <w:spacing w:line="440" w:lineRule="exact"/>
        <w:jc w:val="left"/>
        <w:rPr>
          <w:rFonts w:ascii="Arial" w:hAnsi="Arial" w:cs="Arial"/>
          <w:color w:val="000000" w:themeColor="text1"/>
          <w:highlight w:val="none"/>
          <w14:textFill>
            <w14:solidFill>
              <w14:schemeClr w14:val="tx1"/>
            </w14:solidFill>
          </w14:textFill>
        </w:rPr>
      </w:pPr>
      <w:r>
        <w:rPr>
          <w:rFonts w:ascii="Arial" w:hAnsi="Arial" w:cs="Arial"/>
          <w:color w:val="000000" w:themeColor="text1"/>
          <w:highlight w:val="none"/>
          <w14:textFill>
            <w14:solidFill>
              <w14:schemeClr w14:val="tx1"/>
            </w14:solidFill>
          </w14:textFill>
        </w:rPr>
        <w:t>附件6：分包人主要施工管理人员表</w:t>
      </w:r>
    </w:p>
    <w:p w14:paraId="0FD51E07">
      <w:pPr>
        <w:pageBreakBefore w:val="0"/>
        <w:kinsoku/>
        <w:wordWrap/>
        <w:overflowPunct/>
        <w:topLinePunct w:val="0"/>
        <w:bidi w:val="0"/>
        <w:spacing w:line="440" w:lineRule="exact"/>
        <w:jc w:val="left"/>
        <w:rPr>
          <w:rFonts w:ascii="Arial" w:hAnsi="Arial" w:cs="Arial"/>
          <w:color w:val="000000" w:themeColor="text1"/>
          <w:highlight w:val="none"/>
          <w14:textFill>
            <w14:solidFill>
              <w14:schemeClr w14:val="tx1"/>
            </w14:solidFill>
          </w14:textFill>
        </w:rPr>
      </w:pPr>
      <w:r>
        <w:rPr>
          <w:rFonts w:ascii="Arial" w:hAnsi="Arial" w:cs="Arial"/>
          <w:color w:val="000000" w:themeColor="text1"/>
          <w:highlight w:val="none"/>
          <w14:textFill>
            <w14:solidFill>
              <w14:schemeClr w14:val="tx1"/>
            </w14:solidFill>
          </w14:textFill>
        </w:rPr>
        <w:t>附件7：履约担保格式（独立保函、非独立保函）</w:t>
      </w:r>
    </w:p>
    <w:p w14:paraId="5BCCD81E">
      <w:pPr>
        <w:pageBreakBefore w:val="0"/>
        <w:kinsoku/>
        <w:wordWrap/>
        <w:overflowPunct/>
        <w:topLinePunct w:val="0"/>
        <w:bidi w:val="0"/>
        <w:spacing w:line="440" w:lineRule="exact"/>
        <w:jc w:val="left"/>
        <w:rPr>
          <w:rFonts w:ascii="Arial" w:hAnsi="Arial" w:cs="Arial"/>
          <w:color w:val="000000" w:themeColor="text1"/>
          <w:highlight w:val="none"/>
          <w14:textFill>
            <w14:solidFill>
              <w14:schemeClr w14:val="tx1"/>
            </w14:solidFill>
          </w14:textFill>
        </w:rPr>
      </w:pPr>
      <w:r>
        <w:rPr>
          <w:rFonts w:ascii="Arial" w:hAnsi="Arial" w:cs="Arial"/>
          <w:color w:val="000000" w:themeColor="text1"/>
          <w:highlight w:val="none"/>
          <w14:textFill>
            <w14:solidFill>
              <w14:schemeClr w14:val="tx1"/>
            </w14:solidFill>
          </w14:textFill>
        </w:rPr>
        <w:t>附件8：预付款担保格式（独立保函、非独立保函）</w:t>
      </w:r>
    </w:p>
    <w:p w14:paraId="4F407EB5">
      <w:pPr>
        <w:pageBreakBefore w:val="0"/>
        <w:kinsoku/>
        <w:wordWrap/>
        <w:overflowPunct/>
        <w:topLinePunct w:val="0"/>
        <w:bidi w:val="0"/>
        <w:spacing w:line="440" w:lineRule="exact"/>
        <w:jc w:val="left"/>
        <w:rPr>
          <w:rFonts w:ascii="Arial" w:hAnsi="Arial" w:cs="Arial"/>
          <w:color w:val="000000" w:themeColor="text1"/>
          <w:highlight w:val="none"/>
          <w14:textFill>
            <w14:solidFill>
              <w14:schemeClr w14:val="tx1"/>
            </w14:solidFill>
          </w14:textFill>
        </w:rPr>
      </w:pPr>
      <w:r>
        <w:rPr>
          <w:rFonts w:ascii="Arial" w:hAnsi="Arial" w:cs="Arial"/>
          <w:color w:val="000000" w:themeColor="text1"/>
          <w:highlight w:val="none"/>
          <w14:textFill>
            <w14:solidFill>
              <w14:schemeClr w14:val="tx1"/>
            </w14:solidFill>
          </w14:textFill>
        </w:rPr>
        <w:t>附件9：支付担保格式（独立保函、非独立保函）</w:t>
      </w:r>
    </w:p>
    <w:p w14:paraId="3BD99767">
      <w:pPr>
        <w:pageBreakBefore w:val="0"/>
        <w:kinsoku/>
        <w:wordWrap/>
        <w:overflowPunct/>
        <w:topLinePunct w:val="0"/>
        <w:bidi w:val="0"/>
        <w:spacing w:line="440" w:lineRule="exact"/>
        <w:jc w:val="left"/>
        <w:rPr>
          <w:rFonts w:ascii="Arial" w:hAnsi="Arial" w:cs="Arial"/>
          <w:color w:val="000000" w:themeColor="text1"/>
          <w:highlight w:val="none"/>
          <w14:textFill>
            <w14:solidFill>
              <w14:schemeClr w14:val="tx1"/>
            </w14:solidFill>
          </w14:textFill>
        </w:rPr>
      </w:pPr>
      <w:r>
        <w:rPr>
          <w:rFonts w:ascii="Arial" w:hAnsi="Arial" w:cs="Arial"/>
          <w:color w:val="000000" w:themeColor="text1"/>
          <w:highlight w:val="none"/>
          <w14:textFill>
            <w14:solidFill>
              <w14:schemeClr w14:val="tx1"/>
            </w14:solidFill>
          </w14:textFill>
        </w:rPr>
        <w:t>附件10：预付款支付申请（核准）表</w:t>
      </w:r>
    </w:p>
    <w:p w14:paraId="7E4422DD">
      <w:pPr>
        <w:pageBreakBefore w:val="0"/>
        <w:kinsoku/>
        <w:wordWrap/>
        <w:overflowPunct/>
        <w:topLinePunct w:val="0"/>
        <w:bidi w:val="0"/>
        <w:spacing w:line="440" w:lineRule="exact"/>
        <w:jc w:val="left"/>
        <w:rPr>
          <w:rFonts w:ascii="Arial" w:hAnsi="Arial" w:cs="Arial"/>
          <w:color w:val="000000" w:themeColor="text1"/>
          <w:highlight w:val="none"/>
          <w14:textFill>
            <w14:solidFill>
              <w14:schemeClr w14:val="tx1"/>
            </w14:solidFill>
          </w14:textFill>
        </w:rPr>
      </w:pPr>
      <w:r>
        <w:rPr>
          <w:rFonts w:ascii="Arial" w:hAnsi="Arial" w:cs="Arial"/>
          <w:color w:val="000000" w:themeColor="text1"/>
          <w:highlight w:val="none"/>
          <w14:textFill>
            <w14:solidFill>
              <w14:schemeClr w14:val="tx1"/>
            </w14:solidFill>
          </w14:textFill>
        </w:rPr>
        <w:t>附件11：进度款支付申请（核准）表</w:t>
      </w:r>
    </w:p>
    <w:p w14:paraId="3EFB499B">
      <w:pPr>
        <w:pageBreakBefore w:val="0"/>
        <w:kinsoku/>
        <w:wordWrap/>
        <w:overflowPunct/>
        <w:topLinePunct w:val="0"/>
        <w:bidi w:val="0"/>
        <w:spacing w:line="440" w:lineRule="exact"/>
        <w:jc w:val="left"/>
        <w:rPr>
          <w:rFonts w:ascii="Arial" w:hAnsi="Arial" w:cs="Arial"/>
          <w:color w:val="000000" w:themeColor="text1"/>
          <w:highlight w:val="none"/>
          <w14:textFill>
            <w14:solidFill>
              <w14:schemeClr w14:val="tx1"/>
            </w14:solidFill>
          </w14:textFill>
        </w:rPr>
      </w:pPr>
      <w:r>
        <w:rPr>
          <w:rFonts w:ascii="Arial" w:hAnsi="Arial" w:cs="Arial"/>
          <w:color w:val="000000" w:themeColor="text1"/>
          <w:highlight w:val="none"/>
          <w14:textFill>
            <w14:solidFill>
              <w14:schemeClr w14:val="tx1"/>
            </w14:solidFill>
          </w14:textFill>
        </w:rPr>
        <w:t>附件12：竣工结算款支付申请（核准）表</w:t>
      </w:r>
    </w:p>
    <w:p w14:paraId="4CC8576A">
      <w:pPr>
        <w:pageBreakBefore w:val="0"/>
        <w:kinsoku/>
        <w:wordWrap/>
        <w:overflowPunct/>
        <w:topLinePunct w:val="0"/>
        <w:bidi w:val="0"/>
        <w:spacing w:line="440" w:lineRule="exact"/>
        <w:jc w:val="left"/>
        <w:rPr>
          <w:rFonts w:ascii="Arial" w:hAnsi="Arial" w:cs="Arial"/>
          <w:color w:val="000000" w:themeColor="text1"/>
          <w:highlight w:val="none"/>
          <w14:textFill>
            <w14:solidFill>
              <w14:schemeClr w14:val="tx1"/>
            </w14:solidFill>
          </w14:textFill>
        </w:rPr>
      </w:pPr>
      <w:r>
        <w:rPr>
          <w:rFonts w:ascii="Arial" w:hAnsi="Arial" w:cs="Arial"/>
          <w:color w:val="000000" w:themeColor="text1"/>
          <w:highlight w:val="none"/>
          <w14:textFill>
            <w14:solidFill>
              <w14:schemeClr w14:val="tx1"/>
            </w14:solidFill>
          </w14:textFill>
        </w:rPr>
        <w:t>附件13：最终结算款支付申请（核准）表</w:t>
      </w:r>
    </w:p>
    <w:p w14:paraId="06440E95">
      <w:pPr>
        <w:pageBreakBefore w:val="0"/>
        <w:widowControl w:val="0"/>
        <w:kinsoku/>
        <w:wordWrap/>
        <w:overflowPunct/>
        <w:topLinePunct w:val="0"/>
        <w:bidi w:val="0"/>
        <w:snapToGrid/>
        <w:spacing w:line="440" w:lineRule="exact"/>
        <w:ind w:left="0" w:leftChars="0" w:right="0" w:rightChars="0"/>
        <w:jc w:val="left"/>
        <w:rPr>
          <w:rFonts w:hint="eastAsia" w:ascii="宋体" w:hAnsi="宋体" w:eastAsia="宋体" w:cs="宋体"/>
          <w:color w:val="000000" w:themeColor="text1"/>
          <w:sz w:val="21"/>
          <w:szCs w:val="21"/>
          <w:highlight w:val="none"/>
          <w14:textFill>
            <w14:solidFill>
              <w14:schemeClr w14:val="tx1"/>
            </w14:solidFill>
          </w14:textFill>
        </w:rPr>
      </w:pPr>
      <w:r>
        <w:rPr>
          <w:rFonts w:ascii="Arial" w:hAnsi="Arial" w:cs="Arial"/>
          <w:color w:val="000000" w:themeColor="text1"/>
          <w:highlight w:val="none"/>
          <w14:textFill>
            <w14:solidFill>
              <w14:schemeClr w14:val="tx1"/>
            </w14:solidFill>
          </w14:textFill>
        </w:rPr>
        <w:t>附件14：总价合同进度款支付分解表</w:t>
      </w:r>
    </w:p>
    <w:p w14:paraId="5F263F0E">
      <w:pPr>
        <w:pStyle w:val="9"/>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23D5F064">
      <w:pPr>
        <w:pStyle w:val="9"/>
        <w:rPr>
          <w:rFonts w:hint="default" w:ascii="宋体" w:hAnsi="宋体" w:eastAsia="宋体" w:cs="宋体"/>
          <w:color w:val="000000" w:themeColor="text1"/>
          <w:sz w:val="21"/>
          <w:szCs w:val="21"/>
          <w:highlight w:val="none"/>
          <w:lang w:val="en-US" w:eastAsia="zh-CN"/>
          <w14:textFill>
            <w14:solidFill>
              <w14:schemeClr w14:val="tx1"/>
            </w14:solidFill>
          </w14:textFill>
        </w:rPr>
        <w:sectPr>
          <w:headerReference r:id="rId8" w:type="first"/>
          <w:footerReference r:id="rId10" w:type="first"/>
          <w:headerReference r:id="rId7" w:type="default"/>
          <w:footerReference r:id="rId9" w:type="default"/>
          <w:pgSz w:w="11906" w:h="16838"/>
          <w:pgMar w:top="1418" w:right="1115" w:bottom="1418" w:left="1131" w:header="851" w:footer="992" w:gutter="0"/>
          <w:pgNumType w:fmt="decimal"/>
          <w:cols w:space="720" w:num="1"/>
          <w:titlePg/>
          <w:docGrid w:type="lines" w:linePitch="312" w:charSpace="0"/>
        </w:sectPr>
      </w:pPr>
    </w:p>
    <w:p w14:paraId="794EE9C4">
      <w:pPr>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附件1：</w:t>
      </w:r>
    </w:p>
    <w:p w14:paraId="381D5C0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承包人承揽工程项目一览表</w:t>
      </w:r>
    </w:p>
    <w:tbl>
      <w:tblPr>
        <w:tblStyle w:val="20"/>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126"/>
        <w:gridCol w:w="850"/>
        <w:gridCol w:w="1560"/>
        <w:gridCol w:w="2126"/>
        <w:gridCol w:w="1417"/>
        <w:gridCol w:w="851"/>
        <w:gridCol w:w="850"/>
      </w:tblGrid>
      <w:tr w14:paraId="19221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5DB517F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单位工程名称</w:t>
            </w:r>
          </w:p>
        </w:tc>
        <w:tc>
          <w:tcPr>
            <w:tcW w:w="1843" w:type="dxa"/>
            <w:tcBorders>
              <w:top w:val="single" w:color="auto" w:sz="12" w:space="0"/>
              <w:bottom w:val="double" w:color="auto" w:sz="6" w:space="0"/>
            </w:tcBorders>
            <w:noWrap w:val="0"/>
            <w:vAlign w:val="center"/>
          </w:tcPr>
          <w:p w14:paraId="4F29368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建设规模</w:t>
            </w:r>
          </w:p>
        </w:tc>
        <w:tc>
          <w:tcPr>
            <w:tcW w:w="1417" w:type="dxa"/>
            <w:tcBorders>
              <w:top w:val="single" w:color="auto" w:sz="12" w:space="0"/>
              <w:bottom w:val="double" w:color="auto" w:sz="6" w:space="0"/>
            </w:tcBorders>
            <w:noWrap w:val="0"/>
            <w:vAlign w:val="center"/>
          </w:tcPr>
          <w:p w14:paraId="214F82E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建筑面积(平方米)</w:t>
            </w:r>
          </w:p>
        </w:tc>
        <w:tc>
          <w:tcPr>
            <w:tcW w:w="2126" w:type="dxa"/>
            <w:tcBorders>
              <w:top w:val="single" w:color="auto" w:sz="12" w:space="0"/>
              <w:bottom w:val="double" w:color="auto" w:sz="6" w:space="0"/>
            </w:tcBorders>
            <w:noWrap w:val="0"/>
            <w:vAlign w:val="center"/>
          </w:tcPr>
          <w:p w14:paraId="4C4735F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结构形式</w:t>
            </w:r>
          </w:p>
        </w:tc>
        <w:tc>
          <w:tcPr>
            <w:tcW w:w="850" w:type="dxa"/>
            <w:tcBorders>
              <w:top w:val="single" w:color="auto" w:sz="12" w:space="0"/>
              <w:bottom w:val="double" w:color="auto" w:sz="6" w:space="0"/>
            </w:tcBorders>
            <w:noWrap w:val="0"/>
            <w:vAlign w:val="center"/>
          </w:tcPr>
          <w:p w14:paraId="2FC8CBD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层数</w:t>
            </w:r>
          </w:p>
        </w:tc>
        <w:tc>
          <w:tcPr>
            <w:tcW w:w="1560" w:type="dxa"/>
            <w:tcBorders>
              <w:top w:val="single" w:color="auto" w:sz="12" w:space="0"/>
              <w:bottom w:val="double" w:color="auto" w:sz="6" w:space="0"/>
            </w:tcBorders>
            <w:noWrap w:val="0"/>
            <w:vAlign w:val="center"/>
          </w:tcPr>
          <w:p w14:paraId="05461F8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生产能力</w:t>
            </w:r>
          </w:p>
        </w:tc>
        <w:tc>
          <w:tcPr>
            <w:tcW w:w="2126" w:type="dxa"/>
            <w:tcBorders>
              <w:top w:val="single" w:color="auto" w:sz="12" w:space="0"/>
              <w:bottom w:val="double" w:color="auto" w:sz="6" w:space="0"/>
            </w:tcBorders>
            <w:noWrap w:val="0"/>
            <w:vAlign w:val="center"/>
          </w:tcPr>
          <w:p w14:paraId="04656B8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设备安装内容</w:t>
            </w:r>
          </w:p>
        </w:tc>
        <w:tc>
          <w:tcPr>
            <w:tcW w:w="1417" w:type="dxa"/>
            <w:tcBorders>
              <w:top w:val="single" w:color="auto" w:sz="12" w:space="0"/>
              <w:bottom w:val="double" w:color="auto" w:sz="6" w:space="0"/>
            </w:tcBorders>
            <w:noWrap w:val="0"/>
            <w:vAlign w:val="center"/>
          </w:tcPr>
          <w:p w14:paraId="6AB620C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合同价格（元）</w:t>
            </w:r>
          </w:p>
        </w:tc>
        <w:tc>
          <w:tcPr>
            <w:tcW w:w="851" w:type="dxa"/>
            <w:tcBorders>
              <w:top w:val="single" w:color="auto" w:sz="12" w:space="0"/>
              <w:bottom w:val="double" w:color="auto" w:sz="6" w:space="0"/>
            </w:tcBorders>
            <w:noWrap w:val="0"/>
            <w:vAlign w:val="center"/>
          </w:tcPr>
          <w:p w14:paraId="0FC0B01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开工日期</w:t>
            </w:r>
          </w:p>
        </w:tc>
        <w:tc>
          <w:tcPr>
            <w:tcW w:w="850" w:type="dxa"/>
            <w:tcBorders>
              <w:top w:val="single" w:color="auto" w:sz="12" w:space="0"/>
              <w:bottom w:val="double" w:color="auto" w:sz="6" w:space="0"/>
            </w:tcBorders>
            <w:noWrap w:val="0"/>
            <w:vAlign w:val="center"/>
          </w:tcPr>
          <w:p w14:paraId="176DA7C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竣工日期</w:t>
            </w:r>
          </w:p>
        </w:tc>
      </w:tr>
      <w:tr w14:paraId="7CA42C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1F8A55A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843" w:type="dxa"/>
            <w:tcBorders>
              <w:top w:val="double" w:color="auto" w:sz="6" w:space="0"/>
              <w:bottom w:val="single" w:color="auto" w:sz="6" w:space="0"/>
            </w:tcBorders>
            <w:noWrap w:val="0"/>
            <w:vAlign w:val="center"/>
          </w:tcPr>
          <w:p w14:paraId="0C4F9E5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7" w:type="dxa"/>
            <w:tcBorders>
              <w:top w:val="double" w:color="auto" w:sz="6" w:space="0"/>
              <w:bottom w:val="single" w:color="auto" w:sz="6" w:space="0"/>
            </w:tcBorders>
            <w:noWrap w:val="0"/>
            <w:vAlign w:val="center"/>
          </w:tcPr>
          <w:p w14:paraId="1C32376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2126" w:type="dxa"/>
            <w:tcBorders>
              <w:top w:val="double" w:color="auto" w:sz="6" w:space="0"/>
              <w:bottom w:val="single" w:color="auto" w:sz="6" w:space="0"/>
            </w:tcBorders>
            <w:noWrap w:val="0"/>
            <w:vAlign w:val="center"/>
          </w:tcPr>
          <w:p w14:paraId="37A9422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tcBorders>
              <w:top w:val="double" w:color="auto" w:sz="6" w:space="0"/>
              <w:bottom w:val="single" w:color="auto" w:sz="6" w:space="0"/>
            </w:tcBorders>
            <w:noWrap w:val="0"/>
            <w:vAlign w:val="center"/>
          </w:tcPr>
          <w:p w14:paraId="36F3213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560" w:type="dxa"/>
            <w:tcBorders>
              <w:top w:val="double" w:color="auto" w:sz="6" w:space="0"/>
              <w:bottom w:val="single" w:color="auto" w:sz="6" w:space="0"/>
            </w:tcBorders>
            <w:noWrap w:val="0"/>
            <w:vAlign w:val="center"/>
          </w:tcPr>
          <w:p w14:paraId="57C8AC5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2126" w:type="dxa"/>
            <w:tcBorders>
              <w:top w:val="double" w:color="auto" w:sz="6" w:space="0"/>
              <w:bottom w:val="single" w:color="auto" w:sz="6" w:space="0"/>
            </w:tcBorders>
            <w:noWrap w:val="0"/>
            <w:vAlign w:val="center"/>
          </w:tcPr>
          <w:p w14:paraId="477816C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7" w:type="dxa"/>
            <w:tcBorders>
              <w:top w:val="double" w:color="auto" w:sz="6" w:space="0"/>
              <w:bottom w:val="single" w:color="auto" w:sz="6" w:space="0"/>
            </w:tcBorders>
            <w:noWrap w:val="0"/>
            <w:vAlign w:val="center"/>
          </w:tcPr>
          <w:p w14:paraId="5184338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1" w:type="dxa"/>
            <w:tcBorders>
              <w:top w:val="double" w:color="auto" w:sz="6" w:space="0"/>
              <w:bottom w:val="single" w:color="auto" w:sz="6" w:space="0"/>
            </w:tcBorders>
            <w:noWrap w:val="0"/>
            <w:vAlign w:val="center"/>
          </w:tcPr>
          <w:p w14:paraId="763EF02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tcBorders>
              <w:top w:val="double" w:color="auto" w:sz="6" w:space="0"/>
              <w:bottom w:val="single" w:color="auto" w:sz="6" w:space="0"/>
            </w:tcBorders>
            <w:noWrap w:val="0"/>
            <w:vAlign w:val="center"/>
          </w:tcPr>
          <w:p w14:paraId="25542BB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72AD56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0AB9E3E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843" w:type="dxa"/>
            <w:tcBorders>
              <w:top w:val="nil"/>
            </w:tcBorders>
            <w:noWrap w:val="0"/>
            <w:vAlign w:val="center"/>
          </w:tcPr>
          <w:p w14:paraId="139CEEC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7" w:type="dxa"/>
            <w:tcBorders>
              <w:top w:val="nil"/>
            </w:tcBorders>
            <w:noWrap w:val="0"/>
            <w:vAlign w:val="center"/>
          </w:tcPr>
          <w:p w14:paraId="08FF6FF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2126" w:type="dxa"/>
            <w:tcBorders>
              <w:top w:val="nil"/>
            </w:tcBorders>
            <w:noWrap w:val="0"/>
            <w:vAlign w:val="center"/>
          </w:tcPr>
          <w:p w14:paraId="3C0C97E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tcBorders>
              <w:top w:val="nil"/>
            </w:tcBorders>
            <w:noWrap w:val="0"/>
            <w:vAlign w:val="center"/>
          </w:tcPr>
          <w:p w14:paraId="68EE8D8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560" w:type="dxa"/>
            <w:tcBorders>
              <w:top w:val="nil"/>
            </w:tcBorders>
            <w:noWrap w:val="0"/>
            <w:vAlign w:val="center"/>
          </w:tcPr>
          <w:p w14:paraId="520E0B3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2126" w:type="dxa"/>
            <w:tcBorders>
              <w:top w:val="nil"/>
            </w:tcBorders>
            <w:noWrap w:val="0"/>
            <w:vAlign w:val="center"/>
          </w:tcPr>
          <w:p w14:paraId="27544B6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7" w:type="dxa"/>
            <w:tcBorders>
              <w:top w:val="nil"/>
            </w:tcBorders>
            <w:noWrap w:val="0"/>
            <w:vAlign w:val="center"/>
          </w:tcPr>
          <w:p w14:paraId="5D9BCE2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1" w:type="dxa"/>
            <w:tcBorders>
              <w:top w:val="nil"/>
            </w:tcBorders>
            <w:noWrap w:val="0"/>
            <w:vAlign w:val="center"/>
          </w:tcPr>
          <w:p w14:paraId="074FCD8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tcBorders>
              <w:top w:val="nil"/>
            </w:tcBorders>
            <w:noWrap w:val="0"/>
            <w:vAlign w:val="center"/>
          </w:tcPr>
          <w:p w14:paraId="06C1601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096C3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50DEAE8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843" w:type="dxa"/>
            <w:tcBorders>
              <w:top w:val="nil"/>
            </w:tcBorders>
            <w:noWrap w:val="0"/>
            <w:vAlign w:val="center"/>
          </w:tcPr>
          <w:p w14:paraId="7774AE7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7" w:type="dxa"/>
            <w:tcBorders>
              <w:top w:val="nil"/>
            </w:tcBorders>
            <w:noWrap w:val="0"/>
            <w:vAlign w:val="center"/>
          </w:tcPr>
          <w:p w14:paraId="502C0FD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2126" w:type="dxa"/>
            <w:tcBorders>
              <w:top w:val="nil"/>
            </w:tcBorders>
            <w:noWrap w:val="0"/>
            <w:vAlign w:val="center"/>
          </w:tcPr>
          <w:p w14:paraId="4EF3C99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tcBorders>
              <w:top w:val="nil"/>
            </w:tcBorders>
            <w:noWrap w:val="0"/>
            <w:vAlign w:val="center"/>
          </w:tcPr>
          <w:p w14:paraId="59D50CD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560" w:type="dxa"/>
            <w:tcBorders>
              <w:top w:val="nil"/>
            </w:tcBorders>
            <w:noWrap w:val="0"/>
            <w:vAlign w:val="center"/>
          </w:tcPr>
          <w:p w14:paraId="4237416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2126" w:type="dxa"/>
            <w:tcBorders>
              <w:top w:val="nil"/>
            </w:tcBorders>
            <w:noWrap w:val="0"/>
            <w:vAlign w:val="center"/>
          </w:tcPr>
          <w:p w14:paraId="4B35615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7" w:type="dxa"/>
            <w:tcBorders>
              <w:top w:val="nil"/>
            </w:tcBorders>
            <w:noWrap w:val="0"/>
            <w:vAlign w:val="center"/>
          </w:tcPr>
          <w:p w14:paraId="19B7367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1" w:type="dxa"/>
            <w:tcBorders>
              <w:top w:val="nil"/>
            </w:tcBorders>
            <w:noWrap w:val="0"/>
            <w:vAlign w:val="center"/>
          </w:tcPr>
          <w:p w14:paraId="408CFE6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tcBorders>
              <w:top w:val="nil"/>
            </w:tcBorders>
            <w:noWrap w:val="0"/>
            <w:vAlign w:val="center"/>
          </w:tcPr>
          <w:p w14:paraId="6ADAC0C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45329C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5818B8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843" w:type="dxa"/>
            <w:noWrap w:val="0"/>
            <w:vAlign w:val="center"/>
          </w:tcPr>
          <w:p w14:paraId="40FC0C8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7" w:type="dxa"/>
            <w:noWrap w:val="0"/>
            <w:vAlign w:val="center"/>
          </w:tcPr>
          <w:p w14:paraId="538561A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2126" w:type="dxa"/>
            <w:noWrap w:val="0"/>
            <w:vAlign w:val="center"/>
          </w:tcPr>
          <w:p w14:paraId="54A658E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noWrap w:val="0"/>
            <w:vAlign w:val="center"/>
          </w:tcPr>
          <w:p w14:paraId="6397F1F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560" w:type="dxa"/>
            <w:noWrap w:val="0"/>
            <w:vAlign w:val="center"/>
          </w:tcPr>
          <w:p w14:paraId="1A07F26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2126" w:type="dxa"/>
            <w:noWrap w:val="0"/>
            <w:vAlign w:val="center"/>
          </w:tcPr>
          <w:p w14:paraId="77F7A15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7" w:type="dxa"/>
            <w:noWrap w:val="0"/>
            <w:vAlign w:val="center"/>
          </w:tcPr>
          <w:p w14:paraId="2DA24AE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1" w:type="dxa"/>
            <w:noWrap w:val="0"/>
            <w:vAlign w:val="center"/>
          </w:tcPr>
          <w:p w14:paraId="0581BA2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noWrap w:val="0"/>
            <w:vAlign w:val="center"/>
          </w:tcPr>
          <w:p w14:paraId="7B49BEB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3A4A00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AF64CB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843" w:type="dxa"/>
            <w:tcBorders>
              <w:top w:val="nil"/>
            </w:tcBorders>
            <w:noWrap w:val="0"/>
            <w:vAlign w:val="center"/>
          </w:tcPr>
          <w:p w14:paraId="68BB451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7" w:type="dxa"/>
            <w:tcBorders>
              <w:top w:val="nil"/>
            </w:tcBorders>
            <w:noWrap w:val="0"/>
            <w:vAlign w:val="center"/>
          </w:tcPr>
          <w:p w14:paraId="51F3BAE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2126" w:type="dxa"/>
            <w:tcBorders>
              <w:top w:val="nil"/>
            </w:tcBorders>
            <w:noWrap w:val="0"/>
            <w:vAlign w:val="center"/>
          </w:tcPr>
          <w:p w14:paraId="36381CD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tcBorders>
              <w:top w:val="nil"/>
            </w:tcBorders>
            <w:noWrap w:val="0"/>
            <w:vAlign w:val="center"/>
          </w:tcPr>
          <w:p w14:paraId="6638DD0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560" w:type="dxa"/>
            <w:tcBorders>
              <w:top w:val="nil"/>
            </w:tcBorders>
            <w:noWrap w:val="0"/>
            <w:vAlign w:val="center"/>
          </w:tcPr>
          <w:p w14:paraId="65E7630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2126" w:type="dxa"/>
            <w:tcBorders>
              <w:top w:val="nil"/>
            </w:tcBorders>
            <w:noWrap w:val="0"/>
            <w:vAlign w:val="center"/>
          </w:tcPr>
          <w:p w14:paraId="5D74952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7" w:type="dxa"/>
            <w:tcBorders>
              <w:top w:val="nil"/>
            </w:tcBorders>
            <w:noWrap w:val="0"/>
            <w:vAlign w:val="center"/>
          </w:tcPr>
          <w:p w14:paraId="53FD796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1" w:type="dxa"/>
            <w:tcBorders>
              <w:top w:val="nil"/>
            </w:tcBorders>
            <w:noWrap w:val="0"/>
            <w:vAlign w:val="center"/>
          </w:tcPr>
          <w:p w14:paraId="26D99FB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tcBorders>
              <w:top w:val="nil"/>
            </w:tcBorders>
            <w:noWrap w:val="0"/>
            <w:vAlign w:val="center"/>
          </w:tcPr>
          <w:p w14:paraId="640A2D3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5BDAD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44A6F41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843" w:type="dxa"/>
            <w:noWrap w:val="0"/>
            <w:vAlign w:val="center"/>
          </w:tcPr>
          <w:p w14:paraId="07B5DBF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7" w:type="dxa"/>
            <w:noWrap w:val="0"/>
            <w:vAlign w:val="center"/>
          </w:tcPr>
          <w:p w14:paraId="424FF3E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2126" w:type="dxa"/>
            <w:noWrap w:val="0"/>
            <w:vAlign w:val="center"/>
          </w:tcPr>
          <w:p w14:paraId="678ED24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noWrap w:val="0"/>
            <w:vAlign w:val="center"/>
          </w:tcPr>
          <w:p w14:paraId="23C1A79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560" w:type="dxa"/>
            <w:noWrap w:val="0"/>
            <w:vAlign w:val="center"/>
          </w:tcPr>
          <w:p w14:paraId="1273E92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2126" w:type="dxa"/>
            <w:noWrap w:val="0"/>
            <w:vAlign w:val="center"/>
          </w:tcPr>
          <w:p w14:paraId="200F432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7" w:type="dxa"/>
            <w:noWrap w:val="0"/>
            <w:vAlign w:val="center"/>
          </w:tcPr>
          <w:p w14:paraId="6087399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1" w:type="dxa"/>
            <w:noWrap w:val="0"/>
            <w:vAlign w:val="center"/>
          </w:tcPr>
          <w:p w14:paraId="7BB7761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noWrap w:val="0"/>
            <w:vAlign w:val="center"/>
          </w:tcPr>
          <w:p w14:paraId="3EC6D81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22F0E9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22D14E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843" w:type="dxa"/>
            <w:tcBorders>
              <w:top w:val="nil"/>
            </w:tcBorders>
            <w:noWrap w:val="0"/>
            <w:vAlign w:val="center"/>
          </w:tcPr>
          <w:p w14:paraId="58BFA05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7" w:type="dxa"/>
            <w:tcBorders>
              <w:top w:val="nil"/>
            </w:tcBorders>
            <w:noWrap w:val="0"/>
            <w:vAlign w:val="center"/>
          </w:tcPr>
          <w:p w14:paraId="76E5456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2126" w:type="dxa"/>
            <w:tcBorders>
              <w:top w:val="nil"/>
            </w:tcBorders>
            <w:noWrap w:val="0"/>
            <w:vAlign w:val="center"/>
          </w:tcPr>
          <w:p w14:paraId="7AF7604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tcBorders>
              <w:top w:val="nil"/>
            </w:tcBorders>
            <w:noWrap w:val="0"/>
            <w:vAlign w:val="center"/>
          </w:tcPr>
          <w:p w14:paraId="5C92702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560" w:type="dxa"/>
            <w:tcBorders>
              <w:top w:val="nil"/>
            </w:tcBorders>
            <w:noWrap w:val="0"/>
            <w:vAlign w:val="center"/>
          </w:tcPr>
          <w:p w14:paraId="2D3C7D8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2126" w:type="dxa"/>
            <w:tcBorders>
              <w:top w:val="nil"/>
            </w:tcBorders>
            <w:noWrap w:val="0"/>
            <w:vAlign w:val="center"/>
          </w:tcPr>
          <w:p w14:paraId="65E02DF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7" w:type="dxa"/>
            <w:tcBorders>
              <w:top w:val="nil"/>
            </w:tcBorders>
            <w:noWrap w:val="0"/>
            <w:vAlign w:val="center"/>
          </w:tcPr>
          <w:p w14:paraId="41DDC7E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1" w:type="dxa"/>
            <w:tcBorders>
              <w:top w:val="nil"/>
            </w:tcBorders>
            <w:noWrap w:val="0"/>
            <w:vAlign w:val="center"/>
          </w:tcPr>
          <w:p w14:paraId="681DADB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tcBorders>
              <w:top w:val="nil"/>
            </w:tcBorders>
            <w:noWrap w:val="0"/>
            <w:vAlign w:val="center"/>
          </w:tcPr>
          <w:p w14:paraId="3FFBFEE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7C251A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29911BB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843" w:type="dxa"/>
            <w:tcBorders>
              <w:top w:val="nil"/>
            </w:tcBorders>
            <w:noWrap w:val="0"/>
            <w:vAlign w:val="center"/>
          </w:tcPr>
          <w:p w14:paraId="7D3686D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7" w:type="dxa"/>
            <w:tcBorders>
              <w:top w:val="nil"/>
            </w:tcBorders>
            <w:noWrap w:val="0"/>
            <w:vAlign w:val="center"/>
          </w:tcPr>
          <w:p w14:paraId="1DA29FA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2126" w:type="dxa"/>
            <w:tcBorders>
              <w:top w:val="nil"/>
            </w:tcBorders>
            <w:noWrap w:val="0"/>
            <w:vAlign w:val="center"/>
          </w:tcPr>
          <w:p w14:paraId="6F56BB7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tcBorders>
              <w:top w:val="nil"/>
            </w:tcBorders>
            <w:noWrap w:val="0"/>
            <w:vAlign w:val="center"/>
          </w:tcPr>
          <w:p w14:paraId="0E05052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560" w:type="dxa"/>
            <w:tcBorders>
              <w:top w:val="nil"/>
            </w:tcBorders>
            <w:noWrap w:val="0"/>
            <w:vAlign w:val="center"/>
          </w:tcPr>
          <w:p w14:paraId="53251E9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2126" w:type="dxa"/>
            <w:tcBorders>
              <w:top w:val="nil"/>
            </w:tcBorders>
            <w:noWrap w:val="0"/>
            <w:vAlign w:val="center"/>
          </w:tcPr>
          <w:p w14:paraId="239A87F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7" w:type="dxa"/>
            <w:tcBorders>
              <w:top w:val="nil"/>
            </w:tcBorders>
            <w:noWrap w:val="0"/>
            <w:vAlign w:val="center"/>
          </w:tcPr>
          <w:p w14:paraId="60040AB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1" w:type="dxa"/>
            <w:tcBorders>
              <w:top w:val="nil"/>
            </w:tcBorders>
            <w:noWrap w:val="0"/>
            <w:vAlign w:val="center"/>
          </w:tcPr>
          <w:p w14:paraId="17C2560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tcBorders>
              <w:top w:val="nil"/>
            </w:tcBorders>
            <w:noWrap w:val="0"/>
            <w:vAlign w:val="center"/>
          </w:tcPr>
          <w:p w14:paraId="0136976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7D13B7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6ED152E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843" w:type="dxa"/>
            <w:noWrap w:val="0"/>
            <w:vAlign w:val="center"/>
          </w:tcPr>
          <w:p w14:paraId="4808D7E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7" w:type="dxa"/>
            <w:noWrap w:val="0"/>
            <w:vAlign w:val="center"/>
          </w:tcPr>
          <w:p w14:paraId="68D0E57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2126" w:type="dxa"/>
            <w:noWrap w:val="0"/>
            <w:vAlign w:val="center"/>
          </w:tcPr>
          <w:p w14:paraId="415C2D6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noWrap w:val="0"/>
            <w:vAlign w:val="center"/>
          </w:tcPr>
          <w:p w14:paraId="5E5653B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560" w:type="dxa"/>
            <w:noWrap w:val="0"/>
            <w:vAlign w:val="center"/>
          </w:tcPr>
          <w:p w14:paraId="320C270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2126" w:type="dxa"/>
            <w:noWrap w:val="0"/>
            <w:vAlign w:val="center"/>
          </w:tcPr>
          <w:p w14:paraId="3E3B29E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7" w:type="dxa"/>
            <w:noWrap w:val="0"/>
            <w:vAlign w:val="center"/>
          </w:tcPr>
          <w:p w14:paraId="47D49D4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1" w:type="dxa"/>
            <w:noWrap w:val="0"/>
            <w:vAlign w:val="center"/>
          </w:tcPr>
          <w:p w14:paraId="1C341C5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noWrap w:val="0"/>
            <w:vAlign w:val="center"/>
          </w:tcPr>
          <w:p w14:paraId="517BB67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3B9AE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887C20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843" w:type="dxa"/>
            <w:tcBorders>
              <w:top w:val="nil"/>
            </w:tcBorders>
            <w:noWrap w:val="0"/>
            <w:vAlign w:val="center"/>
          </w:tcPr>
          <w:p w14:paraId="380EA8A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7" w:type="dxa"/>
            <w:tcBorders>
              <w:top w:val="nil"/>
            </w:tcBorders>
            <w:noWrap w:val="0"/>
            <w:vAlign w:val="center"/>
          </w:tcPr>
          <w:p w14:paraId="36022F0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2126" w:type="dxa"/>
            <w:tcBorders>
              <w:top w:val="nil"/>
            </w:tcBorders>
            <w:noWrap w:val="0"/>
            <w:vAlign w:val="center"/>
          </w:tcPr>
          <w:p w14:paraId="71E8937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tcBorders>
              <w:top w:val="nil"/>
            </w:tcBorders>
            <w:noWrap w:val="0"/>
            <w:vAlign w:val="center"/>
          </w:tcPr>
          <w:p w14:paraId="03AF7F5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560" w:type="dxa"/>
            <w:tcBorders>
              <w:top w:val="nil"/>
            </w:tcBorders>
            <w:noWrap w:val="0"/>
            <w:vAlign w:val="center"/>
          </w:tcPr>
          <w:p w14:paraId="1943766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2126" w:type="dxa"/>
            <w:tcBorders>
              <w:top w:val="nil"/>
            </w:tcBorders>
            <w:noWrap w:val="0"/>
            <w:vAlign w:val="center"/>
          </w:tcPr>
          <w:p w14:paraId="669406A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7" w:type="dxa"/>
            <w:tcBorders>
              <w:top w:val="nil"/>
            </w:tcBorders>
            <w:noWrap w:val="0"/>
            <w:vAlign w:val="center"/>
          </w:tcPr>
          <w:p w14:paraId="0117D01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1" w:type="dxa"/>
            <w:tcBorders>
              <w:top w:val="nil"/>
            </w:tcBorders>
            <w:noWrap w:val="0"/>
            <w:vAlign w:val="center"/>
          </w:tcPr>
          <w:p w14:paraId="172CF7E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tcBorders>
              <w:top w:val="nil"/>
            </w:tcBorders>
            <w:noWrap w:val="0"/>
            <w:vAlign w:val="center"/>
          </w:tcPr>
          <w:p w14:paraId="07A68FB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1050E5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4BBB34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843" w:type="dxa"/>
            <w:noWrap w:val="0"/>
            <w:vAlign w:val="center"/>
          </w:tcPr>
          <w:p w14:paraId="68B2FF1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7" w:type="dxa"/>
            <w:noWrap w:val="0"/>
            <w:vAlign w:val="center"/>
          </w:tcPr>
          <w:p w14:paraId="2C00A96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2126" w:type="dxa"/>
            <w:noWrap w:val="0"/>
            <w:vAlign w:val="center"/>
          </w:tcPr>
          <w:p w14:paraId="5A9343F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noWrap w:val="0"/>
            <w:vAlign w:val="center"/>
          </w:tcPr>
          <w:p w14:paraId="0EA801F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560" w:type="dxa"/>
            <w:noWrap w:val="0"/>
            <w:vAlign w:val="center"/>
          </w:tcPr>
          <w:p w14:paraId="4996E5C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2126" w:type="dxa"/>
            <w:noWrap w:val="0"/>
            <w:vAlign w:val="center"/>
          </w:tcPr>
          <w:p w14:paraId="200D10B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7" w:type="dxa"/>
            <w:noWrap w:val="0"/>
            <w:vAlign w:val="center"/>
          </w:tcPr>
          <w:p w14:paraId="52A9E09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1" w:type="dxa"/>
            <w:noWrap w:val="0"/>
            <w:vAlign w:val="center"/>
          </w:tcPr>
          <w:p w14:paraId="216E6E1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noWrap w:val="0"/>
            <w:vAlign w:val="center"/>
          </w:tcPr>
          <w:p w14:paraId="67D92F3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bl>
    <w:p w14:paraId="4979055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b/>
          <w:color w:val="000000" w:themeColor="text1"/>
          <w:sz w:val="21"/>
          <w:szCs w:val="21"/>
          <w:highlight w:val="none"/>
          <w14:textFill>
            <w14:solidFill>
              <w14:schemeClr w14:val="tx1"/>
            </w14:solidFill>
          </w14:textFill>
        </w:rPr>
        <w:sectPr>
          <w:pgSz w:w="16838" w:h="11906" w:orient="landscape"/>
          <w:pgMar w:top="1554" w:right="1418" w:bottom="1531" w:left="1418" w:header="851" w:footer="992" w:gutter="0"/>
          <w:pgNumType w:fmt="decimal"/>
          <w:cols w:space="720" w:num="1"/>
          <w:titlePg/>
          <w:docGrid w:type="linesAndChars" w:linePitch="312" w:charSpace="0"/>
        </w:sectPr>
      </w:pPr>
    </w:p>
    <w:p w14:paraId="1B19FBE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附件2：</w:t>
      </w:r>
    </w:p>
    <w:p w14:paraId="1A4C146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发包人供应材料设备一览表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02"/>
        <w:gridCol w:w="1099"/>
        <w:gridCol w:w="1134"/>
        <w:gridCol w:w="620"/>
        <w:gridCol w:w="690"/>
        <w:gridCol w:w="1044"/>
        <w:gridCol w:w="719"/>
        <w:gridCol w:w="716"/>
        <w:gridCol w:w="1487"/>
        <w:gridCol w:w="783"/>
      </w:tblGrid>
      <w:tr w14:paraId="58A60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02" w:type="dxa"/>
            <w:tcBorders>
              <w:top w:val="single" w:color="auto" w:sz="12" w:space="0"/>
              <w:bottom w:val="double" w:color="auto" w:sz="6" w:space="0"/>
            </w:tcBorders>
            <w:noWrap w:val="0"/>
            <w:vAlign w:val="center"/>
          </w:tcPr>
          <w:p w14:paraId="7580E0A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序号</w:t>
            </w:r>
          </w:p>
        </w:tc>
        <w:tc>
          <w:tcPr>
            <w:tcW w:w="1099" w:type="dxa"/>
            <w:tcBorders>
              <w:top w:val="single" w:color="auto" w:sz="12" w:space="0"/>
              <w:bottom w:val="double" w:color="auto" w:sz="6" w:space="0"/>
            </w:tcBorders>
            <w:noWrap w:val="0"/>
            <w:vAlign w:val="center"/>
          </w:tcPr>
          <w:p w14:paraId="36BE680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  材料、</w:t>
            </w:r>
          </w:p>
          <w:p w14:paraId="564278B0">
            <w:pPr>
              <w:pStyle w:val="9"/>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设备品种</w:t>
            </w:r>
          </w:p>
        </w:tc>
        <w:tc>
          <w:tcPr>
            <w:tcW w:w="1134" w:type="dxa"/>
            <w:tcBorders>
              <w:top w:val="single" w:color="auto" w:sz="12" w:space="0"/>
              <w:bottom w:val="double" w:color="auto" w:sz="6" w:space="0"/>
            </w:tcBorders>
            <w:noWrap w:val="0"/>
            <w:vAlign w:val="center"/>
          </w:tcPr>
          <w:p w14:paraId="54CCFF4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规格型号</w:t>
            </w:r>
          </w:p>
        </w:tc>
        <w:tc>
          <w:tcPr>
            <w:tcW w:w="620" w:type="dxa"/>
            <w:tcBorders>
              <w:top w:val="single" w:color="auto" w:sz="12" w:space="0"/>
              <w:bottom w:val="double" w:color="auto" w:sz="6" w:space="0"/>
            </w:tcBorders>
            <w:noWrap w:val="0"/>
            <w:vAlign w:val="center"/>
          </w:tcPr>
          <w:p w14:paraId="506A420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单位</w:t>
            </w:r>
          </w:p>
        </w:tc>
        <w:tc>
          <w:tcPr>
            <w:tcW w:w="690" w:type="dxa"/>
            <w:tcBorders>
              <w:top w:val="single" w:color="auto" w:sz="12" w:space="0"/>
              <w:bottom w:val="double" w:color="auto" w:sz="6" w:space="0"/>
            </w:tcBorders>
            <w:noWrap w:val="0"/>
            <w:vAlign w:val="center"/>
          </w:tcPr>
          <w:p w14:paraId="78C5EDC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数量</w:t>
            </w:r>
          </w:p>
        </w:tc>
        <w:tc>
          <w:tcPr>
            <w:tcW w:w="1044" w:type="dxa"/>
            <w:tcBorders>
              <w:top w:val="single" w:color="auto" w:sz="12" w:space="0"/>
              <w:bottom w:val="double" w:color="auto" w:sz="6" w:space="0"/>
            </w:tcBorders>
            <w:noWrap w:val="0"/>
            <w:vAlign w:val="center"/>
          </w:tcPr>
          <w:p w14:paraId="673CB72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单价（元）</w:t>
            </w:r>
          </w:p>
        </w:tc>
        <w:tc>
          <w:tcPr>
            <w:tcW w:w="719" w:type="dxa"/>
            <w:tcBorders>
              <w:top w:val="single" w:color="auto" w:sz="12" w:space="0"/>
              <w:bottom w:val="double" w:color="auto" w:sz="6" w:space="0"/>
            </w:tcBorders>
            <w:noWrap w:val="0"/>
            <w:vAlign w:val="center"/>
          </w:tcPr>
          <w:p w14:paraId="653D0CD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质量等级</w:t>
            </w:r>
          </w:p>
        </w:tc>
        <w:tc>
          <w:tcPr>
            <w:tcW w:w="716" w:type="dxa"/>
            <w:tcBorders>
              <w:top w:val="single" w:color="auto" w:sz="12" w:space="0"/>
              <w:bottom w:val="double" w:color="auto" w:sz="6" w:space="0"/>
            </w:tcBorders>
            <w:noWrap w:val="0"/>
            <w:vAlign w:val="center"/>
          </w:tcPr>
          <w:p w14:paraId="58D54CD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供应时间</w:t>
            </w:r>
          </w:p>
        </w:tc>
        <w:tc>
          <w:tcPr>
            <w:tcW w:w="1487" w:type="dxa"/>
            <w:tcBorders>
              <w:top w:val="single" w:color="auto" w:sz="12" w:space="0"/>
              <w:bottom w:val="double" w:color="auto" w:sz="6" w:space="0"/>
            </w:tcBorders>
            <w:noWrap w:val="0"/>
            <w:vAlign w:val="center"/>
          </w:tcPr>
          <w:p w14:paraId="30E8495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送达地点</w:t>
            </w:r>
          </w:p>
        </w:tc>
        <w:tc>
          <w:tcPr>
            <w:tcW w:w="783" w:type="dxa"/>
            <w:tcBorders>
              <w:top w:val="single" w:color="auto" w:sz="12" w:space="0"/>
              <w:bottom w:val="double" w:color="auto" w:sz="6" w:space="0"/>
            </w:tcBorders>
            <w:noWrap w:val="0"/>
            <w:vAlign w:val="center"/>
          </w:tcPr>
          <w:p w14:paraId="333C9C4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备注</w:t>
            </w:r>
          </w:p>
        </w:tc>
      </w:tr>
      <w:tr w14:paraId="3CE2EA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double" w:color="auto" w:sz="6" w:space="0"/>
              <w:bottom w:val="single" w:color="auto" w:sz="6" w:space="0"/>
            </w:tcBorders>
            <w:noWrap w:val="0"/>
            <w:vAlign w:val="center"/>
          </w:tcPr>
          <w:p w14:paraId="19D2018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99" w:type="dxa"/>
            <w:tcBorders>
              <w:top w:val="double" w:color="auto" w:sz="6" w:space="0"/>
              <w:bottom w:val="single" w:color="auto" w:sz="6" w:space="0"/>
            </w:tcBorders>
            <w:noWrap w:val="0"/>
            <w:vAlign w:val="center"/>
          </w:tcPr>
          <w:p w14:paraId="31F5CD1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tcBorders>
              <w:top w:val="double" w:color="auto" w:sz="6" w:space="0"/>
              <w:bottom w:val="single" w:color="auto" w:sz="6" w:space="0"/>
            </w:tcBorders>
            <w:noWrap w:val="0"/>
            <w:vAlign w:val="center"/>
          </w:tcPr>
          <w:p w14:paraId="30DEA4C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20" w:type="dxa"/>
            <w:tcBorders>
              <w:top w:val="double" w:color="auto" w:sz="6" w:space="0"/>
              <w:bottom w:val="single" w:color="auto" w:sz="6" w:space="0"/>
            </w:tcBorders>
            <w:noWrap w:val="0"/>
            <w:vAlign w:val="center"/>
          </w:tcPr>
          <w:p w14:paraId="66DA416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90" w:type="dxa"/>
            <w:tcBorders>
              <w:top w:val="double" w:color="auto" w:sz="6" w:space="0"/>
              <w:bottom w:val="single" w:color="auto" w:sz="6" w:space="0"/>
            </w:tcBorders>
            <w:noWrap w:val="0"/>
            <w:vAlign w:val="center"/>
          </w:tcPr>
          <w:p w14:paraId="5825F8C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44" w:type="dxa"/>
            <w:tcBorders>
              <w:top w:val="double" w:color="auto" w:sz="6" w:space="0"/>
              <w:bottom w:val="single" w:color="auto" w:sz="6" w:space="0"/>
            </w:tcBorders>
            <w:noWrap w:val="0"/>
            <w:vAlign w:val="center"/>
          </w:tcPr>
          <w:p w14:paraId="3FDFFE1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19" w:type="dxa"/>
            <w:tcBorders>
              <w:top w:val="double" w:color="auto" w:sz="6" w:space="0"/>
              <w:bottom w:val="single" w:color="auto" w:sz="6" w:space="0"/>
            </w:tcBorders>
            <w:noWrap w:val="0"/>
            <w:vAlign w:val="center"/>
          </w:tcPr>
          <w:p w14:paraId="315175B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16" w:type="dxa"/>
            <w:tcBorders>
              <w:top w:val="double" w:color="auto" w:sz="6" w:space="0"/>
              <w:bottom w:val="single" w:color="auto" w:sz="6" w:space="0"/>
            </w:tcBorders>
            <w:noWrap w:val="0"/>
            <w:vAlign w:val="center"/>
          </w:tcPr>
          <w:p w14:paraId="79B9325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87" w:type="dxa"/>
            <w:tcBorders>
              <w:top w:val="double" w:color="auto" w:sz="6" w:space="0"/>
              <w:bottom w:val="single" w:color="auto" w:sz="6" w:space="0"/>
            </w:tcBorders>
            <w:noWrap w:val="0"/>
            <w:vAlign w:val="center"/>
          </w:tcPr>
          <w:p w14:paraId="2C598E2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83" w:type="dxa"/>
            <w:tcBorders>
              <w:top w:val="double" w:color="auto" w:sz="6" w:space="0"/>
              <w:bottom w:val="single" w:color="auto" w:sz="6" w:space="0"/>
            </w:tcBorders>
            <w:noWrap w:val="0"/>
            <w:vAlign w:val="center"/>
          </w:tcPr>
          <w:p w14:paraId="7A4006C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01AA34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nil"/>
            </w:tcBorders>
            <w:noWrap w:val="0"/>
            <w:vAlign w:val="center"/>
          </w:tcPr>
          <w:p w14:paraId="6C339B0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99" w:type="dxa"/>
            <w:tcBorders>
              <w:top w:val="nil"/>
            </w:tcBorders>
            <w:noWrap w:val="0"/>
            <w:vAlign w:val="center"/>
          </w:tcPr>
          <w:p w14:paraId="5D68B70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tcBorders>
              <w:top w:val="nil"/>
            </w:tcBorders>
            <w:noWrap w:val="0"/>
            <w:vAlign w:val="center"/>
          </w:tcPr>
          <w:p w14:paraId="28BBEF7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20" w:type="dxa"/>
            <w:tcBorders>
              <w:top w:val="nil"/>
            </w:tcBorders>
            <w:noWrap w:val="0"/>
            <w:vAlign w:val="center"/>
          </w:tcPr>
          <w:p w14:paraId="474AA1D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90" w:type="dxa"/>
            <w:tcBorders>
              <w:top w:val="nil"/>
            </w:tcBorders>
            <w:noWrap w:val="0"/>
            <w:vAlign w:val="center"/>
          </w:tcPr>
          <w:p w14:paraId="4EA5654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44" w:type="dxa"/>
            <w:tcBorders>
              <w:top w:val="nil"/>
            </w:tcBorders>
            <w:noWrap w:val="0"/>
            <w:vAlign w:val="center"/>
          </w:tcPr>
          <w:p w14:paraId="5F5A68C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19" w:type="dxa"/>
            <w:tcBorders>
              <w:top w:val="nil"/>
            </w:tcBorders>
            <w:noWrap w:val="0"/>
            <w:vAlign w:val="center"/>
          </w:tcPr>
          <w:p w14:paraId="595CE4A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16" w:type="dxa"/>
            <w:tcBorders>
              <w:top w:val="nil"/>
            </w:tcBorders>
            <w:noWrap w:val="0"/>
            <w:vAlign w:val="center"/>
          </w:tcPr>
          <w:p w14:paraId="6862BB2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87" w:type="dxa"/>
            <w:tcBorders>
              <w:top w:val="nil"/>
            </w:tcBorders>
            <w:noWrap w:val="0"/>
            <w:vAlign w:val="center"/>
          </w:tcPr>
          <w:p w14:paraId="0B3CE18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83" w:type="dxa"/>
            <w:tcBorders>
              <w:top w:val="nil"/>
            </w:tcBorders>
            <w:noWrap w:val="0"/>
            <w:vAlign w:val="center"/>
          </w:tcPr>
          <w:p w14:paraId="31F9FE4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79FC83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409C982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99" w:type="dxa"/>
            <w:noWrap w:val="0"/>
            <w:vAlign w:val="center"/>
          </w:tcPr>
          <w:p w14:paraId="79E0F4F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48AB374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20" w:type="dxa"/>
            <w:noWrap w:val="0"/>
            <w:vAlign w:val="center"/>
          </w:tcPr>
          <w:p w14:paraId="395E407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90" w:type="dxa"/>
            <w:noWrap w:val="0"/>
            <w:vAlign w:val="center"/>
          </w:tcPr>
          <w:p w14:paraId="2CA6A1A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44" w:type="dxa"/>
            <w:noWrap w:val="0"/>
            <w:vAlign w:val="center"/>
          </w:tcPr>
          <w:p w14:paraId="7D9D073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19" w:type="dxa"/>
            <w:noWrap w:val="0"/>
            <w:vAlign w:val="center"/>
          </w:tcPr>
          <w:p w14:paraId="7A022B8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16" w:type="dxa"/>
            <w:noWrap w:val="0"/>
            <w:vAlign w:val="center"/>
          </w:tcPr>
          <w:p w14:paraId="5C95563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87" w:type="dxa"/>
            <w:noWrap w:val="0"/>
            <w:vAlign w:val="center"/>
          </w:tcPr>
          <w:p w14:paraId="472F2F1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83" w:type="dxa"/>
            <w:noWrap w:val="0"/>
            <w:vAlign w:val="center"/>
          </w:tcPr>
          <w:p w14:paraId="25F077D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39C278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2D489B1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99" w:type="dxa"/>
            <w:noWrap w:val="0"/>
            <w:vAlign w:val="center"/>
          </w:tcPr>
          <w:p w14:paraId="47EA6C0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10B183D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20" w:type="dxa"/>
            <w:noWrap w:val="0"/>
            <w:vAlign w:val="center"/>
          </w:tcPr>
          <w:p w14:paraId="4385064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90" w:type="dxa"/>
            <w:noWrap w:val="0"/>
            <w:vAlign w:val="center"/>
          </w:tcPr>
          <w:p w14:paraId="1998C62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44" w:type="dxa"/>
            <w:noWrap w:val="0"/>
            <w:vAlign w:val="center"/>
          </w:tcPr>
          <w:p w14:paraId="2B58172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19" w:type="dxa"/>
            <w:noWrap w:val="0"/>
            <w:vAlign w:val="center"/>
          </w:tcPr>
          <w:p w14:paraId="4437E8C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16" w:type="dxa"/>
            <w:noWrap w:val="0"/>
            <w:vAlign w:val="center"/>
          </w:tcPr>
          <w:p w14:paraId="1101AEA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87" w:type="dxa"/>
            <w:noWrap w:val="0"/>
            <w:vAlign w:val="center"/>
          </w:tcPr>
          <w:p w14:paraId="4FEA2DC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83" w:type="dxa"/>
            <w:noWrap w:val="0"/>
            <w:vAlign w:val="center"/>
          </w:tcPr>
          <w:p w14:paraId="65DF10E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06CEAA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1E7F3D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99" w:type="dxa"/>
            <w:noWrap w:val="0"/>
            <w:vAlign w:val="center"/>
          </w:tcPr>
          <w:p w14:paraId="59E8976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3BD95DF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20" w:type="dxa"/>
            <w:noWrap w:val="0"/>
            <w:vAlign w:val="center"/>
          </w:tcPr>
          <w:p w14:paraId="46E7203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90" w:type="dxa"/>
            <w:noWrap w:val="0"/>
            <w:vAlign w:val="center"/>
          </w:tcPr>
          <w:p w14:paraId="4ADBE33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44" w:type="dxa"/>
            <w:noWrap w:val="0"/>
            <w:vAlign w:val="center"/>
          </w:tcPr>
          <w:p w14:paraId="217127E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19" w:type="dxa"/>
            <w:noWrap w:val="0"/>
            <w:vAlign w:val="center"/>
          </w:tcPr>
          <w:p w14:paraId="20C7371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16" w:type="dxa"/>
            <w:noWrap w:val="0"/>
            <w:vAlign w:val="center"/>
          </w:tcPr>
          <w:p w14:paraId="69704E3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87" w:type="dxa"/>
            <w:noWrap w:val="0"/>
            <w:vAlign w:val="center"/>
          </w:tcPr>
          <w:p w14:paraId="22EA413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83" w:type="dxa"/>
            <w:noWrap w:val="0"/>
            <w:vAlign w:val="center"/>
          </w:tcPr>
          <w:p w14:paraId="4CA329C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4E9F0A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3D9001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99" w:type="dxa"/>
            <w:noWrap w:val="0"/>
            <w:vAlign w:val="center"/>
          </w:tcPr>
          <w:p w14:paraId="1A8D3CB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3B547D5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20" w:type="dxa"/>
            <w:noWrap w:val="0"/>
            <w:vAlign w:val="center"/>
          </w:tcPr>
          <w:p w14:paraId="0E45173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90" w:type="dxa"/>
            <w:noWrap w:val="0"/>
            <w:vAlign w:val="center"/>
          </w:tcPr>
          <w:p w14:paraId="0B0C486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44" w:type="dxa"/>
            <w:noWrap w:val="0"/>
            <w:vAlign w:val="center"/>
          </w:tcPr>
          <w:p w14:paraId="2DE3541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19" w:type="dxa"/>
            <w:noWrap w:val="0"/>
            <w:vAlign w:val="center"/>
          </w:tcPr>
          <w:p w14:paraId="15C657A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16" w:type="dxa"/>
            <w:noWrap w:val="0"/>
            <w:vAlign w:val="center"/>
          </w:tcPr>
          <w:p w14:paraId="7A29F8F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87" w:type="dxa"/>
            <w:noWrap w:val="0"/>
            <w:vAlign w:val="center"/>
          </w:tcPr>
          <w:p w14:paraId="677295F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83" w:type="dxa"/>
            <w:noWrap w:val="0"/>
            <w:vAlign w:val="center"/>
          </w:tcPr>
          <w:p w14:paraId="1BF11DF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4843AA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2D2EBD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99" w:type="dxa"/>
            <w:noWrap w:val="0"/>
            <w:vAlign w:val="center"/>
          </w:tcPr>
          <w:p w14:paraId="4140472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6F722A2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20" w:type="dxa"/>
            <w:noWrap w:val="0"/>
            <w:vAlign w:val="center"/>
          </w:tcPr>
          <w:p w14:paraId="177A202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90" w:type="dxa"/>
            <w:noWrap w:val="0"/>
            <w:vAlign w:val="center"/>
          </w:tcPr>
          <w:p w14:paraId="039308B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44" w:type="dxa"/>
            <w:noWrap w:val="0"/>
            <w:vAlign w:val="center"/>
          </w:tcPr>
          <w:p w14:paraId="0169816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19" w:type="dxa"/>
            <w:noWrap w:val="0"/>
            <w:vAlign w:val="center"/>
          </w:tcPr>
          <w:p w14:paraId="74E96A7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16" w:type="dxa"/>
            <w:noWrap w:val="0"/>
            <w:vAlign w:val="center"/>
          </w:tcPr>
          <w:p w14:paraId="2965FB8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87" w:type="dxa"/>
            <w:noWrap w:val="0"/>
            <w:vAlign w:val="center"/>
          </w:tcPr>
          <w:p w14:paraId="433CBE0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83" w:type="dxa"/>
            <w:noWrap w:val="0"/>
            <w:vAlign w:val="center"/>
          </w:tcPr>
          <w:p w14:paraId="07D11B3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72B001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F00ED4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99" w:type="dxa"/>
            <w:noWrap w:val="0"/>
            <w:vAlign w:val="center"/>
          </w:tcPr>
          <w:p w14:paraId="11174C1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7BF930E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20" w:type="dxa"/>
            <w:noWrap w:val="0"/>
            <w:vAlign w:val="center"/>
          </w:tcPr>
          <w:p w14:paraId="3A0ADC9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90" w:type="dxa"/>
            <w:noWrap w:val="0"/>
            <w:vAlign w:val="center"/>
          </w:tcPr>
          <w:p w14:paraId="67DB9D7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44" w:type="dxa"/>
            <w:noWrap w:val="0"/>
            <w:vAlign w:val="center"/>
          </w:tcPr>
          <w:p w14:paraId="12085C2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19" w:type="dxa"/>
            <w:noWrap w:val="0"/>
            <w:vAlign w:val="center"/>
          </w:tcPr>
          <w:p w14:paraId="0A17C50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16" w:type="dxa"/>
            <w:noWrap w:val="0"/>
            <w:vAlign w:val="center"/>
          </w:tcPr>
          <w:p w14:paraId="28B019A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87" w:type="dxa"/>
            <w:noWrap w:val="0"/>
            <w:vAlign w:val="center"/>
          </w:tcPr>
          <w:p w14:paraId="4D4D615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83" w:type="dxa"/>
            <w:noWrap w:val="0"/>
            <w:vAlign w:val="center"/>
          </w:tcPr>
          <w:p w14:paraId="08C699B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73C9D8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1E0550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9" w:type="dxa"/>
            <w:noWrap w:val="0"/>
            <w:vAlign w:val="center"/>
          </w:tcPr>
          <w:p w14:paraId="57AC874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14:paraId="69B7EC7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20" w:type="dxa"/>
            <w:noWrap w:val="0"/>
            <w:vAlign w:val="center"/>
          </w:tcPr>
          <w:p w14:paraId="3CA6FD8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0" w:type="dxa"/>
            <w:noWrap w:val="0"/>
            <w:vAlign w:val="center"/>
          </w:tcPr>
          <w:p w14:paraId="6C81C8A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4" w:type="dxa"/>
            <w:noWrap w:val="0"/>
            <w:vAlign w:val="center"/>
          </w:tcPr>
          <w:p w14:paraId="15A98A7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9" w:type="dxa"/>
            <w:noWrap w:val="0"/>
            <w:vAlign w:val="center"/>
          </w:tcPr>
          <w:p w14:paraId="78F56A6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6" w:type="dxa"/>
            <w:noWrap w:val="0"/>
            <w:vAlign w:val="center"/>
          </w:tcPr>
          <w:p w14:paraId="6BDFF9C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87" w:type="dxa"/>
            <w:noWrap w:val="0"/>
            <w:vAlign w:val="center"/>
          </w:tcPr>
          <w:p w14:paraId="4F8A8F3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3" w:type="dxa"/>
            <w:noWrap w:val="0"/>
            <w:vAlign w:val="center"/>
          </w:tcPr>
          <w:p w14:paraId="702D9B8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5EA2C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C2DB23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99" w:type="dxa"/>
            <w:noWrap w:val="0"/>
            <w:vAlign w:val="center"/>
          </w:tcPr>
          <w:p w14:paraId="54A3EFA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6CF036F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20" w:type="dxa"/>
            <w:noWrap w:val="0"/>
            <w:vAlign w:val="center"/>
          </w:tcPr>
          <w:p w14:paraId="44D1FAB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90" w:type="dxa"/>
            <w:noWrap w:val="0"/>
            <w:vAlign w:val="center"/>
          </w:tcPr>
          <w:p w14:paraId="07B413F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44" w:type="dxa"/>
            <w:noWrap w:val="0"/>
            <w:vAlign w:val="center"/>
          </w:tcPr>
          <w:p w14:paraId="3703D2A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19" w:type="dxa"/>
            <w:noWrap w:val="0"/>
            <w:vAlign w:val="center"/>
          </w:tcPr>
          <w:p w14:paraId="07748A1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16" w:type="dxa"/>
            <w:noWrap w:val="0"/>
            <w:vAlign w:val="center"/>
          </w:tcPr>
          <w:p w14:paraId="7DA46F5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87" w:type="dxa"/>
            <w:noWrap w:val="0"/>
            <w:vAlign w:val="center"/>
          </w:tcPr>
          <w:p w14:paraId="405AE7F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783" w:type="dxa"/>
            <w:noWrap w:val="0"/>
            <w:vAlign w:val="center"/>
          </w:tcPr>
          <w:p w14:paraId="67B94ED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3D08E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19C7CA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9" w:type="dxa"/>
            <w:noWrap w:val="0"/>
            <w:vAlign w:val="center"/>
          </w:tcPr>
          <w:p w14:paraId="771AE2E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14:paraId="2CBC0EC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20" w:type="dxa"/>
            <w:noWrap w:val="0"/>
            <w:vAlign w:val="center"/>
          </w:tcPr>
          <w:p w14:paraId="20E2025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0" w:type="dxa"/>
            <w:noWrap w:val="0"/>
            <w:vAlign w:val="center"/>
          </w:tcPr>
          <w:p w14:paraId="22B6DD6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4" w:type="dxa"/>
            <w:noWrap w:val="0"/>
            <w:vAlign w:val="center"/>
          </w:tcPr>
          <w:p w14:paraId="7E89BBD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9" w:type="dxa"/>
            <w:noWrap w:val="0"/>
            <w:vAlign w:val="center"/>
          </w:tcPr>
          <w:p w14:paraId="5C31E30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6" w:type="dxa"/>
            <w:noWrap w:val="0"/>
            <w:vAlign w:val="center"/>
          </w:tcPr>
          <w:p w14:paraId="338C3AE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87" w:type="dxa"/>
            <w:noWrap w:val="0"/>
            <w:vAlign w:val="center"/>
          </w:tcPr>
          <w:p w14:paraId="7B5E904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3" w:type="dxa"/>
            <w:noWrap w:val="0"/>
            <w:vAlign w:val="center"/>
          </w:tcPr>
          <w:p w14:paraId="77EF04E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4B8A1A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402" w:type="dxa"/>
            <w:noWrap w:val="0"/>
            <w:vAlign w:val="center"/>
          </w:tcPr>
          <w:p w14:paraId="7014176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9" w:type="dxa"/>
            <w:noWrap w:val="0"/>
            <w:vAlign w:val="center"/>
          </w:tcPr>
          <w:p w14:paraId="537652B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14:paraId="0B4B726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20" w:type="dxa"/>
            <w:noWrap w:val="0"/>
            <w:vAlign w:val="center"/>
          </w:tcPr>
          <w:p w14:paraId="3229665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0" w:type="dxa"/>
            <w:noWrap w:val="0"/>
            <w:vAlign w:val="center"/>
          </w:tcPr>
          <w:p w14:paraId="68EDD21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4" w:type="dxa"/>
            <w:noWrap w:val="0"/>
            <w:vAlign w:val="center"/>
          </w:tcPr>
          <w:p w14:paraId="792A9DC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9" w:type="dxa"/>
            <w:noWrap w:val="0"/>
            <w:vAlign w:val="center"/>
          </w:tcPr>
          <w:p w14:paraId="1FDF579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6" w:type="dxa"/>
            <w:noWrap w:val="0"/>
            <w:vAlign w:val="center"/>
          </w:tcPr>
          <w:p w14:paraId="2845222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87" w:type="dxa"/>
            <w:noWrap w:val="0"/>
            <w:vAlign w:val="center"/>
          </w:tcPr>
          <w:p w14:paraId="7DA15FB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3" w:type="dxa"/>
            <w:noWrap w:val="0"/>
            <w:vAlign w:val="center"/>
          </w:tcPr>
          <w:p w14:paraId="1E821EE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0309DE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7F58BC2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9" w:type="dxa"/>
            <w:noWrap w:val="0"/>
            <w:vAlign w:val="center"/>
          </w:tcPr>
          <w:p w14:paraId="4AE28CF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14:paraId="6AB20CB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20" w:type="dxa"/>
            <w:noWrap w:val="0"/>
            <w:vAlign w:val="center"/>
          </w:tcPr>
          <w:p w14:paraId="17560FE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0" w:type="dxa"/>
            <w:noWrap w:val="0"/>
            <w:vAlign w:val="center"/>
          </w:tcPr>
          <w:p w14:paraId="446AA26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4" w:type="dxa"/>
            <w:noWrap w:val="0"/>
            <w:vAlign w:val="center"/>
          </w:tcPr>
          <w:p w14:paraId="56BF5A2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9" w:type="dxa"/>
            <w:noWrap w:val="0"/>
            <w:vAlign w:val="center"/>
          </w:tcPr>
          <w:p w14:paraId="3282BC5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6" w:type="dxa"/>
            <w:noWrap w:val="0"/>
            <w:vAlign w:val="center"/>
          </w:tcPr>
          <w:p w14:paraId="4E593A0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87" w:type="dxa"/>
            <w:noWrap w:val="0"/>
            <w:vAlign w:val="center"/>
          </w:tcPr>
          <w:p w14:paraId="3B5DF2E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3" w:type="dxa"/>
            <w:noWrap w:val="0"/>
            <w:vAlign w:val="center"/>
          </w:tcPr>
          <w:p w14:paraId="1C41919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71FDF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71955E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9" w:type="dxa"/>
            <w:noWrap w:val="0"/>
            <w:vAlign w:val="center"/>
          </w:tcPr>
          <w:p w14:paraId="27ED197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14:paraId="2B700AE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20" w:type="dxa"/>
            <w:noWrap w:val="0"/>
            <w:vAlign w:val="center"/>
          </w:tcPr>
          <w:p w14:paraId="026B3E1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0" w:type="dxa"/>
            <w:noWrap w:val="0"/>
            <w:vAlign w:val="center"/>
          </w:tcPr>
          <w:p w14:paraId="5FE35E1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4" w:type="dxa"/>
            <w:noWrap w:val="0"/>
            <w:vAlign w:val="center"/>
          </w:tcPr>
          <w:p w14:paraId="28611E1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9" w:type="dxa"/>
            <w:noWrap w:val="0"/>
            <w:vAlign w:val="center"/>
          </w:tcPr>
          <w:p w14:paraId="2E8AB8F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6" w:type="dxa"/>
            <w:noWrap w:val="0"/>
            <w:vAlign w:val="center"/>
          </w:tcPr>
          <w:p w14:paraId="7F2F185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87" w:type="dxa"/>
            <w:noWrap w:val="0"/>
            <w:vAlign w:val="center"/>
          </w:tcPr>
          <w:p w14:paraId="0521B9C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3" w:type="dxa"/>
            <w:noWrap w:val="0"/>
            <w:vAlign w:val="center"/>
          </w:tcPr>
          <w:p w14:paraId="06FE5D1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22993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4121410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9" w:type="dxa"/>
            <w:noWrap w:val="0"/>
            <w:vAlign w:val="center"/>
          </w:tcPr>
          <w:p w14:paraId="72BFD50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14:paraId="5F3D154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20" w:type="dxa"/>
            <w:noWrap w:val="0"/>
            <w:vAlign w:val="center"/>
          </w:tcPr>
          <w:p w14:paraId="711F973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0" w:type="dxa"/>
            <w:noWrap w:val="0"/>
            <w:vAlign w:val="center"/>
          </w:tcPr>
          <w:p w14:paraId="4959A8C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4" w:type="dxa"/>
            <w:noWrap w:val="0"/>
            <w:vAlign w:val="center"/>
          </w:tcPr>
          <w:p w14:paraId="55CA7C1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9" w:type="dxa"/>
            <w:noWrap w:val="0"/>
            <w:vAlign w:val="center"/>
          </w:tcPr>
          <w:p w14:paraId="4D1C0C4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6" w:type="dxa"/>
            <w:noWrap w:val="0"/>
            <w:vAlign w:val="center"/>
          </w:tcPr>
          <w:p w14:paraId="4244D05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87" w:type="dxa"/>
            <w:noWrap w:val="0"/>
            <w:vAlign w:val="center"/>
          </w:tcPr>
          <w:p w14:paraId="660B0DC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3" w:type="dxa"/>
            <w:noWrap w:val="0"/>
            <w:vAlign w:val="center"/>
          </w:tcPr>
          <w:p w14:paraId="551364D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EC757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125875A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9" w:type="dxa"/>
            <w:noWrap w:val="0"/>
            <w:vAlign w:val="center"/>
          </w:tcPr>
          <w:p w14:paraId="087F884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14:paraId="577C00F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20" w:type="dxa"/>
            <w:noWrap w:val="0"/>
            <w:vAlign w:val="center"/>
          </w:tcPr>
          <w:p w14:paraId="2A3CFD7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0" w:type="dxa"/>
            <w:noWrap w:val="0"/>
            <w:vAlign w:val="center"/>
          </w:tcPr>
          <w:p w14:paraId="5E907FE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4" w:type="dxa"/>
            <w:noWrap w:val="0"/>
            <w:vAlign w:val="center"/>
          </w:tcPr>
          <w:p w14:paraId="4D4745C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9" w:type="dxa"/>
            <w:noWrap w:val="0"/>
            <w:vAlign w:val="center"/>
          </w:tcPr>
          <w:p w14:paraId="13E6EF5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6" w:type="dxa"/>
            <w:noWrap w:val="0"/>
            <w:vAlign w:val="center"/>
          </w:tcPr>
          <w:p w14:paraId="441C180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87" w:type="dxa"/>
            <w:noWrap w:val="0"/>
            <w:vAlign w:val="center"/>
          </w:tcPr>
          <w:p w14:paraId="2CF724A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3" w:type="dxa"/>
            <w:noWrap w:val="0"/>
            <w:vAlign w:val="center"/>
          </w:tcPr>
          <w:p w14:paraId="0B8C9F0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5CD904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6C7E85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9" w:type="dxa"/>
            <w:noWrap w:val="0"/>
            <w:vAlign w:val="center"/>
          </w:tcPr>
          <w:p w14:paraId="678D00A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14:paraId="51C595C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20" w:type="dxa"/>
            <w:noWrap w:val="0"/>
            <w:vAlign w:val="center"/>
          </w:tcPr>
          <w:p w14:paraId="356948C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0" w:type="dxa"/>
            <w:noWrap w:val="0"/>
            <w:vAlign w:val="center"/>
          </w:tcPr>
          <w:p w14:paraId="097C01C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4" w:type="dxa"/>
            <w:noWrap w:val="0"/>
            <w:vAlign w:val="center"/>
          </w:tcPr>
          <w:p w14:paraId="01C86CD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9" w:type="dxa"/>
            <w:noWrap w:val="0"/>
            <w:vAlign w:val="center"/>
          </w:tcPr>
          <w:p w14:paraId="74C01C5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6" w:type="dxa"/>
            <w:noWrap w:val="0"/>
            <w:vAlign w:val="center"/>
          </w:tcPr>
          <w:p w14:paraId="224B5E7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87" w:type="dxa"/>
            <w:noWrap w:val="0"/>
            <w:vAlign w:val="center"/>
          </w:tcPr>
          <w:p w14:paraId="1A386BF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3" w:type="dxa"/>
            <w:noWrap w:val="0"/>
            <w:vAlign w:val="center"/>
          </w:tcPr>
          <w:p w14:paraId="2DEF382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5656B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822162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9" w:type="dxa"/>
            <w:noWrap w:val="0"/>
            <w:vAlign w:val="center"/>
          </w:tcPr>
          <w:p w14:paraId="257546F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noWrap w:val="0"/>
            <w:vAlign w:val="center"/>
          </w:tcPr>
          <w:p w14:paraId="6C3ACB3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20" w:type="dxa"/>
            <w:noWrap w:val="0"/>
            <w:vAlign w:val="center"/>
          </w:tcPr>
          <w:p w14:paraId="59A00D4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0" w:type="dxa"/>
            <w:noWrap w:val="0"/>
            <w:vAlign w:val="center"/>
          </w:tcPr>
          <w:p w14:paraId="0C35556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4" w:type="dxa"/>
            <w:noWrap w:val="0"/>
            <w:vAlign w:val="center"/>
          </w:tcPr>
          <w:p w14:paraId="3E3DB11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9" w:type="dxa"/>
            <w:noWrap w:val="0"/>
            <w:vAlign w:val="center"/>
          </w:tcPr>
          <w:p w14:paraId="5EDC367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6" w:type="dxa"/>
            <w:noWrap w:val="0"/>
            <w:vAlign w:val="center"/>
          </w:tcPr>
          <w:p w14:paraId="6F1AAF8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87" w:type="dxa"/>
            <w:noWrap w:val="0"/>
            <w:vAlign w:val="center"/>
          </w:tcPr>
          <w:p w14:paraId="1851773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3" w:type="dxa"/>
            <w:noWrap w:val="0"/>
            <w:vAlign w:val="center"/>
          </w:tcPr>
          <w:p w14:paraId="4EC1CB5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p>
        </w:tc>
      </w:tr>
    </w:tbl>
    <w:p w14:paraId="410CAAD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p w14:paraId="79DCCCE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p w14:paraId="2A34D49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p w14:paraId="039A1D0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p w14:paraId="2C30689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p w14:paraId="290775D2">
      <w:pPr>
        <w:pageBreakBefore w:val="0"/>
        <w:widowControl w:val="0"/>
        <w:kinsoku/>
        <w:wordWrap/>
        <w:overflowPunct/>
        <w:topLinePunct w:val="0"/>
        <w:bidi w:val="0"/>
        <w:snapToGrid/>
        <w:spacing w:line="360" w:lineRule="exact"/>
        <w:ind w:left="0" w:leftChars="0" w:right="0" w:rightChars="0"/>
        <w:rPr>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附件3：    </w:t>
      </w:r>
      <w:r>
        <w:rPr>
          <w:color w:val="000000" w:themeColor="text1"/>
          <w:sz w:val="30"/>
          <w:szCs w:val="30"/>
          <w:highlight w:val="none"/>
          <w14:textFill>
            <w14:solidFill>
              <w14:schemeClr w14:val="tx1"/>
            </w14:solidFill>
          </w14:textFill>
        </w:rPr>
        <w:t xml:space="preserve">  </w:t>
      </w:r>
    </w:p>
    <w:p w14:paraId="066A7BA0">
      <w:pPr>
        <w:pStyle w:val="31"/>
        <w:jc w:val="center"/>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工程质量保修书</w:t>
      </w:r>
    </w:p>
    <w:p w14:paraId="32714275">
      <w:pPr>
        <w:pStyle w:val="32"/>
        <w:rPr>
          <w:color w:val="000000" w:themeColor="text1"/>
          <w:highlight w:val="none"/>
          <w14:textFill>
            <w14:solidFill>
              <w14:schemeClr w14:val="tx1"/>
            </w14:solidFill>
          </w14:textFill>
        </w:rPr>
      </w:pPr>
    </w:p>
    <w:p w14:paraId="389ACE64">
      <w:pPr>
        <w:pStyle w:val="29"/>
        <w:spacing w:line="320" w:lineRule="exact"/>
        <w:ind w:firstLine="0" w:firstLineChars="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发包人（全称）：</w:t>
      </w:r>
      <w:r>
        <w:rPr>
          <w:rFonts w:hint="eastAsia" w:ascii="宋体"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 </w:t>
      </w:r>
    </w:p>
    <w:p w14:paraId="5B3C5DA7">
      <w:pPr>
        <w:pStyle w:val="29"/>
        <w:spacing w:line="320" w:lineRule="exact"/>
        <w:ind w:firstLine="0" w:firstLineChars="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承包人（全称）：</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 </w:t>
      </w:r>
    </w:p>
    <w:p w14:paraId="5F23E3E5">
      <w:pPr>
        <w:pStyle w:val="31"/>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为保证</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none"/>
          <w:lang w:val="en-US" w:eastAsia="zh-CN"/>
          <w14:textFill>
            <w14:solidFill>
              <w14:schemeClr w14:val="tx1"/>
            </w14:solidFill>
          </w14:textFill>
        </w:rPr>
        <w:t xml:space="preserve"> </w:t>
      </w:r>
      <w:r>
        <w:rPr>
          <w:rFonts w:hint="eastAsia" w:ascii="宋体" w:hAnsi="宋体" w:cs="宋体"/>
          <w:color w:val="000000" w:themeColor="text1"/>
          <w:szCs w:val="21"/>
          <w:highlight w:val="none"/>
          <w:u w:val="none"/>
          <w:lang w:eastAsia="zh-CN"/>
          <w14:textFill>
            <w14:solidFill>
              <w14:schemeClr w14:val="tx1"/>
            </w14:solidFill>
          </w14:textFill>
        </w:rPr>
        <w:t>工程</w:t>
      </w:r>
      <w:r>
        <w:rPr>
          <w:rFonts w:hint="eastAsia" w:ascii="宋体" w:hAnsi="宋体" w:cs="宋体"/>
          <w:color w:val="000000" w:themeColor="text1"/>
          <w:szCs w:val="21"/>
          <w:highlight w:val="none"/>
          <w14:textFill>
            <w14:solidFill>
              <w14:schemeClr w14:val="tx1"/>
            </w14:solidFill>
          </w14:textFill>
        </w:rPr>
        <w:t>在合理使用期限内正常使用，经发包人、承包人协商一致签订本工程质量保修书。承包人在质量保修期内按照有关管理规定及双方约定承担工程质量保修责任。</w:t>
      </w:r>
    </w:p>
    <w:p w14:paraId="5728DB55">
      <w:pPr>
        <w:pStyle w:val="33"/>
        <w:spacing w:line="400" w:lineRule="exact"/>
        <w:ind w:firstLine="420" w:firstLineChars="200"/>
        <w:outlineLvl w:val="0"/>
        <w:rPr>
          <w:rFonts w:ascii="宋体" w:hAnsi="宋体" w:cs="宋体"/>
          <w:color w:val="000000" w:themeColor="text1"/>
          <w:szCs w:val="21"/>
          <w:highlight w:val="none"/>
          <w14:textFill>
            <w14:solidFill>
              <w14:schemeClr w14:val="tx1"/>
            </w14:solidFill>
          </w14:textFill>
        </w:rPr>
      </w:pPr>
      <w:bookmarkStart w:id="1239" w:name="_Toc522201808"/>
      <w:r>
        <w:rPr>
          <w:rFonts w:hint="eastAsia" w:ascii="宋体" w:hAnsi="宋体" w:cs="宋体"/>
          <w:color w:val="000000" w:themeColor="text1"/>
          <w:szCs w:val="21"/>
          <w:highlight w:val="none"/>
          <w14:textFill>
            <w14:solidFill>
              <w14:schemeClr w14:val="tx1"/>
            </w14:solidFill>
          </w14:textFill>
        </w:rPr>
        <w:t>一、工程保修范围和内容</w:t>
      </w:r>
      <w:bookmarkEnd w:id="1239"/>
    </w:p>
    <w:p w14:paraId="36CF7817">
      <w:pPr>
        <w:pStyle w:val="31"/>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质量保修范围为施工图纸所包括的工程内容</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具体质量保修内容双方约定如下：</w:t>
      </w:r>
      <w:r>
        <w:rPr>
          <w:rFonts w:hint="eastAsia" w:ascii="宋体" w:hAnsi="宋体" w:cs="宋体"/>
          <w:color w:val="000000" w:themeColor="text1"/>
          <w:szCs w:val="21"/>
          <w:highlight w:val="none"/>
          <w:u w:val="single"/>
          <w14:textFill>
            <w14:solidFill>
              <w14:schemeClr w14:val="tx1"/>
            </w14:solidFill>
          </w14:textFill>
        </w:rPr>
        <w:t xml:space="preserve"> 承包方所承包施工的全部工程内容 </w:t>
      </w:r>
      <w:r>
        <w:rPr>
          <w:rFonts w:hint="eastAsia" w:ascii="宋体" w:hAnsi="宋体" w:cs="宋体"/>
          <w:color w:val="000000" w:themeColor="text1"/>
          <w:szCs w:val="21"/>
          <w:highlight w:val="none"/>
          <w14:textFill>
            <w14:solidFill>
              <w14:schemeClr w14:val="tx1"/>
            </w14:solidFill>
          </w14:textFill>
        </w:rPr>
        <w:t>。</w:t>
      </w:r>
    </w:p>
    <w:p w14:paraId="3AC617D5">
      <w:pPr>
        <w:pStyle w:val="33"/>
        <w:spacing w:line="400" w:lineRule="exact"/>
        <w:ind w:firstLine="420" w:firstLineChars="200"/>
        <w:outlineLvl w:val="0"/>
        <w:rPr>
          <w:rFonts w:ascii="宋体" w:hAnsi="宋体" w:cs="宋体"/>
          <w:color w:val="000000" w:themeColor="text1"/>
          <w:szCs w:val="21"/>
          <w:highlight w:val="none"/>
          <w14:textFill>
            <w14:solidFill>
              <w14:schemeClr w14:val="tx1"/>
            </w14:solidFill>
          </w14:textFill>
        </w:rPr>
      </w:pPr>
      <w:bookmarkStart w:id="1240" w:name="_Toc522201809"/>
      <w:r>
        <w:rPr>
          <w:rFonts w:hint="eastAsia" w:ascii="宋体" w:hAnsi="宋体" w:cs="宋体"/>
          <w:color w:val="000000" w:themeColor="text1"/>
          <w:szCs w:val="21"/>
          <w:highlight w:val="none"/>
          <w14:textFill>
            <w14:solidFill>
              <w14:schemeClr w14:val="tx1"/>
            </w14:solidFill>
          </w14:textFill>
        </w:rPr>
        <w:t>二、</w:t>
      </w:r>
      <w:r>
        <w:rPr>
          <w:rFonts w:hint="eastAsia" w:ascii="宋体" w:hAnsi="宋体" w:cs="宋体"/>
          <w:color w:val="000000" w:themeColor="text1"/>
          <w:szCs w:val="21"/>
          <w:highlight w:val="none"/>
          <w:lang w:eastAsia="zh-CN"/>
          <w14:textFill>
            <w14:solidFill>
              <w14:schemeClr w14:val="tx1"/>
            </w14:solidFill>
          </w14:textFill>
        </w:rPr>
        <w:t>质量</w:t>
      </w:r>
      <w:r>
        <w:rPr>
          <w:rFonts w:hint="eastAsia" w:ascii="宋体" w:hAnsi="宋体" w:cs="宋体"/>
          <w:color w:val="000000" w:themeColor="text1"/>
          <w:szCs w:val="21"/>
          <w:highlight w:val="none"/>
          <w14:textFill>
            <w14:solidFill>
              <w14:schemeClr w14:val="tx1"/>
            </w14:solidFill>
          </w14:textFill>
        </w:rPr>
        <w:t>保修期</w:t>
      </w:r>
      <w:bookmarkEnd w:id="1240"/>
    </w:p>
    <w:p w14:paraId="6167FC69">
      <w:pPr>
        <w:pStyle w:val="34"/>
        <w:spacing w:line="360" w:lineRule="auto"/>
        <w:ind w:firstLine="54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质量保修期从工程实际竣工验收通过之日算起。分单项竣工验收的工程，按单项工程分别计算质量保修期。</w:t>
      </w:r>
    </w:p>
    <w:p w14:paraId="716C32D9">
      <w:pPr>
        <w:pStyle w:val="31"/>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根据《建设工程质量管理条例》及有关规定，工程的质量保修期如下：</w:t>
      </w:r>
    </w:p>
    <w:p w14:paraId="7767C9A8">
      <w:pPr>
        <w:pStyle w:val="31"/>
        <w:spacing w:line="400" w:lineRule="exact"/>
        <w:ind w:firstLine="426"/>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1．桥梁工程为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桥梁隧道主体结构工程为设计文件规定的合理使用年限</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（建议桥梁隧道主体结构工程为设计文件规定的合理使用年限）；</w:t>
      </w:r>
    </w:p>
    <w:p w14:paraId="28C1BA5C">
      <w:pPr>
        <w:pStyle w:val="31"/>
        <w:spacing w:line="400" w:lineRule="exact"/>
        <w:ind w:firstLine="426"/>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2．道路工程为</w:t>
      </w:r>
      <w:r>
        <w:rPr>
          <w:rFonts w:hint="eastAsia" w:ascii="宋体" w:hAnsi="宋体" w:cs="宋体"/>
          <w:color w:val="000000" w:themeColor="text1"/>
          <w:szCs w:val="21"/>
          <w:highlight w:val="none"/>
          <w:u w:val="single"/>
          <w14:textFill>
            <w14:solidFill>
              <w14:schemeClr w14:val="tx1"/>
            </w14:solidFill>
          </w14:textFill>
        </w:rPr>
        <w:t xml:space="preserve">  2 </w:t>
      </w:r>
      <w:r>
        <w:rPr>
          <w:rFonts w:hint="eastAsia" w:ascii="宋体" w:hAnsi="宋体" w:cs="宋体"/>
          <w:color w:val="000000" w:themeColor="text1"/>
          <w:szCs w:val="21"/>
          <w:highlight w:val="none"/>
          <w14:textFill>
            <w14:solidFill>
              <w14:schemeClr w14:val="tx1"/>
            </w14:solidFill>
          </w14:textFill>
        </w:rPr>
        <w:t>年（建议路基、路面、桥面为2年）；</w:t>
      </w:r>
    </w:p>
    <w:p w14:paraId="759877C0">
      <w:pPr>
        <w:pStyle w:val="31"/>
        <w:spacing w:line="400" w:lineRule="exact"/>
        <w:ind w:firstLine="426"/>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3．排水（雨水）工程为</w:t>
      </w:r>
      <w:r>
        <w:rPr>
          <w:rFonts w:hint="eastAsia" w:ascii="宋体" w:hAnsi="宋体" w:cs="宋体"/>
          <w:color w:val="000000" w:themeColor="text1"/>
          <w:szCs w:val="21"/>
          <w:highlight w:val="none"/>
          <w:u w:val="single"/>
          <w14:textFill>
            <w14:solidFill>
              <w14:schemeClr w14:val="tx1"/>
            </w14:solidFill>
          </w14:textFill>
        </w:rPr>
        <w:t xml:space="preserve"> 3 </w:t>
      </w:r>
      <w:r>
        <w:rPr>
          <w:rFonts w:hint="eastAsia" w:ascii="宋体" w:hAnsi="宋体" w:cs="宋体"/>
          <w:color w:val="000000" w:themeColor="text1"/>
          <w:szCs w:val="21"/>
          <w:highlight w:val="none"/>
          <w14:textFill>
            <w14:solidFill>
              <w14:schemeClr w14:val="tx1"/>
            </w14:solidFill>
          </w14:textFill>
        </w:rPr>
        <w:t>年（建议道路工程中的排水工程为3年）；</w:t>
      </w:r>
    </w:p>
    <w:p w14:paraId="5BB37542">
      <w:pPr>
        <w:pStyle w:val="31"/>
        <w:spacing w:line="400" w:lineRule="exact"/>
        <w:ind w:firstLine="426"/>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4．绿化工程为 </w:t>
      </w:r>
      <w:r>
        <w:rPr>
          <w:rFonts w:hint="eastAsia" w:ascii="宋体" w:hAnsi="宋体" w:cs="宋体"/>
          <w:color w:val="000000" w:themeColor="text1"/>
          <w:szCs w:val="21"/>
          <w:highlight w:val="none"/>
          <w:u w:val="single"/>
          <w14:textFill>
            <w14:solidFill>
              <w14:schemeClr w14:val="tx1"/>
            </w14:solidFill>
          </w14:textFill>
        </w:rPr>
        <w:t>单位工程竣工验收合格后1年</w:t>
      </w:r>
      <w:r>
        <w:rPr>
          <w:rFonts w:hint="eastAsia" w:ascii="宋体" w:hAnsi="宋体" w:cs="宋体"/>
          <w:color w:val="000000" w:themeColor="text1"/>
          <w:szCs w:val="21"/>
          <w:highlight w:val="none"/>
          <w14:textFill>
            <w14:solidFill>
              <w14:schemeClr w14:val="tx1"/>
            </w14:solidFill>
          </w14:textFill>
        </w:rPr>
        <w:t>；</w:t>
      </w:r>
    </w:p>
    <w:p w14:paraId="2591FBD3">
      <w:pPr>
        <w:pStyle w:val="31"/>
        <w:spacing w:line="400" w:lineRule="exact"/>
        <w:ind w:firstLine="426"/>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 地下防水工程为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lang w:val="en-US" w:eastAsia="zh-CN"/>
          <w14:textFill>
            <w14:solidFill>
              <w14:schemeClr w14:val="tx1"/>
            </w14:solidFill>
          </w14:textFill>
        </w:rPr>
        <w:t>5</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年（建议为5年）；</w:t>
      </w:r>
    </w:p>
    <w:p w14:paraId="477448E4">
      <w:pPr>
        <w:pStyle w:val="31"/>
        <w:spacing w:line="400" w:lineRule="exact"/>
        <w:ind w:firstLine="426"/>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6．其他附属工程为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lang w:val="en-US" w:eastAsia="zh-CN"/>
          <w14:textFill>
            <w14:solidFill>
              <w14:schemeClr w14:val="tx1"/>
            </w14:solidFill>
          </w14:textFill>
        </w:rPr>
        <w:t>2</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p>
    <w:p w14:paraId="1F14B646">
      <w:pPr>
        <w:pStyle w:val="31"/>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7．其他项目保修期限约定如下：</w:t>
      </w:r>
      <w:r>
        <w:rPr>
          <w:rFonts w:hint="eastAsia" w:ascii="宋体" w:hAnsi="宋体" w:cs="宋体"/>
          <w:color w:val="000000" w:themeColor="text1"/>
          <w:szCs w:val="21"/>
          <w:highlight w:val="none"/>
          <w:u w:val="single"/>
          <w14:textFill>
            <w14:solidFill>
              <w14:schemeClr w14:val="tx1"/>
            </w14:solidFill>
          </w14:textFill>
        </w:rPr>
        <w:t xml:space="preserve"> 本工程其余项目质保期均为两年，质量保修规范如国家有新规定，则按新规定执行 </w:t>
      </w:r>
      <w:r>
        <w:rPr>
          <w:rFonts w:hint="eastAsia" w:ascii="宋体" w:hAnsi="宋体" w:cs="宋体"/>
          <w:color w:val="000000" w:themeColor="text1"/>
          <w:szCs w:val="21"/>
          <w:highlight w:val="none"/>
          <w14:textFill>
            <w14:solidFill>
              <w14:schemeClr w14:val="tx1"/>
            </w14:solidFill>
          </w14:textFill>
        </w:rPr>
        <w:t>。</w:t>
      </w:r>
    </w:p>
    <w:p w14:paraId="520F5180">
      <w:pPr>
        <w:pStyle w:val="31"/>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质量保修期自工程竣工验收合格之日起计算。 </w:t>
      </w:r>
    </w:p>
    <w:p w14:paraId="717983BE">
      <w:pPr>
        <w:pStyle w:val="33"/>
        <w:spacing w:line="400" w:lineRule="exact"/>
        <w:ind w:firstLine="420" w:firstLineChars="200"/>
        <w:outlineLvl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三、缺陷责任期</w:t>
      </w:r>
    </w:p>
    <w:p w14:paraId="2ABC0499">
      <w:pPr>
        <w:pStyle w:val="31"/>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工程缺陷责任期为</w:t>
      </w:r>
      <w:r>
        <w:rPr>
          <w:rFonts w:hint="eastAsia" w:ascii="宋体" w:hAnsi="宋体" w:cs="宋体"/>
          <w:color w:val="000000" w:themeColor="text1"/>
          <w:szCs w:val="21"/>
          <w:highlight w:val="none"/>
          <w:u w:val="single"/>
          <w14:textFill>
            <w14:solidFill>
              <w14:schemeClr w14:val="tx1"/>
            </w14:solidFill>
          </w14:textFill>
        </w:rPr>
        <w:t xml:space="preserve"> 24 </w:t>
      </w:r>
      <w:r>
        <w:rPr>
          <w:rFonts w:hint="eastAsia" w:ascii="宋体" w:hAnsi="宋体" w:cs="宋体"/>
          <w:color w:val="000000" w:themeColor="text1"/>
          <w:szCs w:val="21"/>
          <w:highlight w:val="none"/>
          <w14:textFill>
            <w14:solidFill>
              <w14:schemeClr w14:val="tx1"/>
            </w14:solidFill>
          </w14:textFill>
        </w:rPr>
        <w:t>个月（最长不超过24个月），缺陷责任期自工程竣工验收合格之日起计算。单位工程先于全部工程进行验收，单位工程缺陷责任期自单位工程验收合格之日起算。</w:t>
      </w:r>
    </w:p>
    <w:p w14:paraId="256E6E6B">
      <w:pPr>
        <w:pStyle w:val="31"/>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缺陷责任期终止后，发包人应退还剩余的质量保证金。</w:t>
      </w:r>
    </w:p>
    <w:p w14:paraId="0EFA0043">
      <w:pPr>
        <w:pStyle w:val="33"/>
        <w:spacing w:line="400" w:lineRule="exact"/>
        <w:ind w:firstLine="420" w:firstLineChars="200"/>
        <w:outlineLvl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四、质量保修责任</w:t>
      </w:r>
    </w:p>
    <w:p w14:paraId="065A1562">
      <w:pPr>
        <w:pStyle w:val="31"/>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1．属于保修范围、内容的项目，承包人应当在接到保修通知之日起</w:t>
      </w:r>
      <w:r>
        <w:rPr>
          <w:rFonts w:hint="eastAsia" w:ascii="宋体" w:hAnsi="宋体" w:cs="宋体"/>
          <w:color w:val="000000" w:themeColor="text1"/>
          <w:szCs w:val="21"/>
          <w:highlight w:val="none"/>
          <w:u w:val="single"/>
          <w14:textFill>
            <w14:solidFill>
              <w14:schemeClr w14:val="tx1"/>
            </w14:solidFill>
          </w14:textFill>
        </w:rPr>
        <w:t xml:space="preserve">  三 </w:t>
      </w:r>
      <w:r>
        <w:rPr>
          <w:rFonts w:hint="eastAsia" w:ascii="宋体" w:hAnsi="宋体" w:cs="宋体"/>
          <w:color w:val="000000" w:themeColor="text1"/>
          <w:szCs w:val="21"/>
          <w:highlight w:val="none"/>
          <w14:textFill>
            <w14:solidFill>
              <w14:schemeClr w14:val="tx1"/>
            </w14:solidFill>
          </w14:textFill>
        </w:rPr>
        <w:t>天内派人保修。承包人不在约定期限内派人保修的，发包人可以委托他人修理，修理费用从</w:t>
      </w:r>
      <w:r>
        <w:rPr>
          <w:rFonts w:hint="eastAsia" w:ascii="宋体" w:hAnsi="宋体" w:cs="宋体"/>
          <w:color w:val="000000" w:themeColor="text1"/>
          <w:szCs w:val="21"/>
          <w:highlight w:val="none"/>
          <w:lang w:eastAsia="zh-CN"/>
          <w14:textFill>
            <w14:solidFill>
              <w14:schemeClr w14:val="tx1"/>
            </w14:solidFill>
          </w14:textFill>
        </w:rPr>
        <w:t>质量保证金</w:t>
      </w:r>
      <w:r>
        <w:rPr>
          <w:rFonts w:hint="eastAsia" w:ascii="宋体" w:hAnsi="宋体" w:cs="宋体"/>
          <w:color w:val="000000" w:themeColor="text1"/>
          <w:szCs w:val="21"/>
          <w:highlight w:val="none"/>
          <w14:textFill>
            <w14:solidFill>
              <w14:schemeClr w14:val="tx1"/>
            </w14:solidFill>
          </w14:textFill>
        </w:rPr>
        <w:t>内扣除。</w:t>
      </w:r>
    </w:p>
    <w:p w14:paraId="7E34909C">
      <w:pPr>
        <w:pStyle w:val="31"/>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2．发生紧急事故需抢修的，承包人在接到事故通知后，应当立即到达事故现场抢修。</w:t>
      </w:r>
    </w:p>
    <w:p w14:paraId="3228B3B4">
      <w:pPr>
        <w:pStyle w:val="31"/>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333446E">
      <w:pPr>
        <w:pStyle w:val="31"/>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4．质量保修完成后，由发包人组织验收。</w:t>
      </w:r>
    </w:p>
    <w:p w14:paraId="65F6C74A">
      <w:pPr>
        <w:pStyle w:val="33"/>
        <w:spacing w:line="400" w:lineRule="exact"/>
        <w:ind w:firstLine="420" w:firstLineChars="200"/>
        <w:outlineLvl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五、保修费用</w:t>
      </w:r>
    </w:p>
    <w:p w14:paraId="2D66D07F">
      <w:pPr>
        <w:pStyle w:val="31"/>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保修费用由造成质量缺陷的责任方承担。</w:t>
      </w:r>
    </w:p>
    <w:p w14:paraId="6ED5EAA5">
      <w:pPr>
        <w:pStyle w:val="29"/>
        <w:numPr>
          <w:ilvl w:val="0"/>
          <w:numId w:val="5"/>
        </w:numPr>
        <w:spacing w:line="400" w:lineRule="exac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双方约定的其他工程质量保修事项：  1. </w:t>
      </w:r>
      <w:r>
        <w:rPr>
          <w:rFonts w:hint="eastAsia" w:ascii="宋体" w:hAnsi="宋体" w:cs="宋体"/>
          <w:color w:val="000000" w:themeColor="text1"/>
          <w:highlight w:val="none"/>
          <w:u w:val="single"/>
          <w14:textFill>
            <w14:solidFill>
              <w14:schemeClr w14:val="tx1"/>
            </w14:solidFill>
          </w14:textFill>
        </w:rPr>
        <w:t>承包人未按照法律法规有关规定和合同约定履行质量保修义务的，发包人有权从质量保证金中扣留用于质量保修的各项支出。</w:t>
      </w:r>
    </w:p>
    <w:p w14:paraId="70BA79AA">
      <w:pPr>
        <w:pStyle w:val="29"/>
        <w:numPr>
          <w:ilvl w:val="0"/>
          <w:numId w:val="6"/>
        </w:numPr>
        <w:spacing w:line="400" w:lineRule="exac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u w:val="single"/>
          <w:lang w:eastAsia="zh-CN"/>
          <w14:textFill>
            <w14:solidFill>
              <w14:schemeClr w14:val="tx1"/>
            </w14:solidFill>
          </w14:textFill>
        </w:rPr>
        <w:t>质量保证金</w:t>
      </w:r>
      <w:r>
        <w:rPr>
          <w:rFonts w:hint="eastAsia" w:ascii="宋体" w:hAnsi="宋体" w:cs="宋体"/>
          <w:color w:val="000000" w:themeColor="text1"/>
          <w:highlight w:val="none"/>
          <w:u w:val="single"/>
          <w14:textFill>
            <w14:solidFill>
              <w14:schemeClr w14:val="tx1"/>
            </w14:solidFill>
          </w14:textFill>
        </w:rPr>
        <w:t>比例：工程结算价的</w:t>
      </w:r>
      <w:r>
        <w:rPr>
          <w:rFonts w:hint="eastAsia" w:ascii="宋体" w:hAnsi="宋体" w:cs="宋体"/>
          <w:color w:val="000000" w:themeColor="text1"/>
          <w:highlight w:val="none"/>
          <w:u w:val="single"/>
          <w:lang w:val="en-US" w:eastAsia="zh-CN"/>
          <w14:textFill>
            <w14:solidFill>
              <w14:schemeClr w14:val="tx1"/>
            </w14:solidFill>
          </w14:textFill>
        </w:rPr>
        <w:t>3</w:t>
      </w:r>
      <w:r>
        <w:rPr>
          <w:rFonts w:hint="eastAsia" w:ascii="宋体" w:hAnsi="宋体" w:cs="宋体"/>
          <w:color w:val="000000" w:themeColor="text1"/>
          <w:highlight w:val="none"/>
          <w:u w:val="single"/>
          <w14:textFill>
            <w14:solidFill>
              <w14:schemeClr w14:val="tx1"/>
            </w14:solidFill>
          </w14:textFill>
        </w:rPr>
        <w:t>%。</w:t>
      </w:r>
    </w:p>
    <w:p w14:paraId="0CABACD2">
      <w:pPr>
        <w:pStyle w:val="29"/>
        <w:numPr>
          <w:ilvl w:val="0"/>
          <w:numId w:val="6"/>
        </w:numPr>
        <w:spacing w:line="4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u w:val="single"/>
          <w:lang w:eastAsia="zh-CN"/>
          <w14:textFill>
            <w14:solidFill>
              <w14:schemeClr w14:val="tx1"/>
            </w14:solidFill>
          </w14:textFill>
        </w:rPr>
        <w:t>质量保证金</w:t>
      </w:r>
      <w:r>
        <w:rPr>
          <w:rFonts w:hint="eastAsia" w:ascii="宋体" w:hAnsi="宋体" w:cs="宋体"/>
          <w:color w:val="000000" w:themeColor="text1"/>
          <w:highlight w:val="none"/>
          <w:u w:val="single"/>
          <w14:textFill>
            <w14:solidFill>
              <w14:schemeClr w14:val="tx1"/>
            </w14:solidFill>
          </w14:textFill>
        </w:rPr>
        <w:t>返还：发包人在工程竣工验收合格之日起满两年后14天内将保修金（无息）的返回给承包人，</w:t>
      </w:r>
      <w:r>
        <w:rPr>
          <w:rFonts w:hint="eastAsia" w:ascii="宋体" w:hAnsi="宋体" w:cs="宋体"/>
          <w:color w:val="000000" w:themeColor="text1"/>
          <w:highlight w:val="none"/>
          <w:u w:val="single"/>
          <w:lang w:eastAsia="zh-CN"/>
          <w14:textFill>
            <w14:solidFill>
              <w14:schemeClr w14:val="tx1"/>
            </w14:solidFill>
          </w14:textFill>
        </w:rPr>
        <w:t>质量保证金</w:t>
      </w:r>
      <w:r>
        <w:rPr>
          <w:rFonts w:hint="eastAsia" w:ascii="宋体" w:hAnsi="宋体" w:cs="宋体"/>
          <w:color w:val="000000" w:themeColor="text1"/>
          <w:highlight w:val="none"/>
          <w:u w:val="single"/>
          <w14:textFill>
            <w14:solidFill>
              <w14:schemeClr w14:val="tx1"/>
            </w14:solidFill>
          </w14:textFill>
        </w:rPr>
        <w:t xml:space="preserve">的返还，并不能免除承包人按照合同约定应承担的质量保修责任和应履行的质量保修义务  </w:t>
      </w:r>
      <w:r>
        <w:rPr>
          <w:rFonts w:hint="eastAsia" w:ascii="宋体" w:hAnsi="宋体" w:cs="宋体"/>
          <w:color w:val="000000" w:themeColor="text1"/>
          <w:highlight w:val="none"/>
          <w14:textFill>
            <w14:solidFill>
              <w14:schemeClr w14:val="tx1"/>
            </w14:solidFill>
          </w14:textFill>
        </w:rPr>
        <w:t>。</w:t>
      </w:r>
    </w:p>
    <w:p w14:paraId="0E5CAC7E">
      <w:pPr>
        <w:pStyle w:val="31"/>
        <w:spacing w:line="3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工程质量保修书由发包人、承包人在工程竣工验收前共同签署，作为施工合同附件，其有效期限至保修期满。</w:t>
      </w:r>
    </w:p>
    <w:p w14:paraId="513785C9">
      <w:pPr>
        <w:pStyle w:val="31"/>
        <w:spacing w:line="320" w:lineRule="exact"/>
        <w:ind w:firstLine="420" w:firstLineChars="200"/>
        <w:rPr>
          <w:rFonts w:ascii="宋体" w:hAnsi="宋体" w:cs="宋体"/>
          <w:color w:val="000000" w:themeColor="text1"/>
          <w:szCs w:val="21"/>
          <w:highlight w:val="none"/>
          <w14:textFill>
            <w14:solidFill>
              <w14:schemeClr w14:val="tx1"/>
            </w14:solidFill>
          </w14:textFill>
        </w:rPr>
      </w:pPr>
    </w:p>
    <w:p w14:paraId="1C65D3E9">
      <w:pPr>
        <w:pStyle w:val="32"/>
        <w:ind w:left="63" w:right="63"/>
        <w:rPr>
          <w:rFonts w:hint="eastAsia"/>
          <w:color w:val="000000" w:themeColor="text1"/>
          <w:highlight w:val="none"/>
          <w:lang w:val="en-US" w:eastAsia="zh-CN"/>
          <w14:textFill>
            <w14:solidFill>
              <w14:schemeClr w14:val="tx1"/>
            </w14:solidFill>
          </w14:textFill>
        </w:rPr>
      </w:pPr>
    </w:p>
    <w:p w14:paraId="3877C24B">
      <w:pPr>
        <w:pStyle w:val="29"/>
        <w:spacing w:line="320" w:lineRule="exact"/>
        <w:ind w:left="0" w:leftChars="0" w:firstLine="0" w:firstLineChars="0"/>
        <w:rPr>
          <w:rFonts w:hint="default" w:ascii="宋体" w:hAnsi="宋体" w:eastAsia="宋体" w:cs="宋体"/>
          <w:color w:val="000000" w:themeColor="text1"/>
          <w:highlight w:val="none"/>
          <w:u w:val="singl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发包人(公章)：</w:t>
      </w:r>
      <w:r>
        <w:rPr>
          <w:rFonts w:hint="eastAsia" w:ascii="宋体"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u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承包人(公章)：</w:t>
      </w:r>
      <w:r>
        <w:rPr>
          <w:rFonts w:hint="eastAsia" w:ascii="宋体" w:hAnsi="宋体" w:cs="宋体"/>
          <w:color w:val="000000" w:themeColor="text1"/>
          <w:highlight w:val="none"/>
          <w:u w:val="none"/>
          <w:lang w:val="en-US" w:eastAsia="zh-CN"/>
          <w14:textFill>
            <w14:solidFill>
              <w14:schemeClr w14:val="tx1"/>
            </w14:solidFill>
          </w14:textFill>
        </w:rPr>
        <w:t xml:space="preserve">         </w:t>
      </w:r>
      <w:r>
        <w:rPr>
          <w:rFonts w:hint="eastAsia" w:ascii="宋体" w:hAnsi="宋体" w:cs="宋体"/>
          <w:color w:val="000000" w:themeColor="text1"/>
          <w:highlight w:val="none"/>
          <w:u w:val="single"/>
          <w:lang w:val="en-US" w:eastAsia="zh-CN"/>
          <w14:textFill>
            <w14:solidFill>
              <w14:schemeClr w14:val="tx1"/>
            </w14:solidFill>
          </w14:textFill>
        </w:rPr>
        <w:t xml:space="preserve"> </w:t>
      </w:r>
    </w:p>
    <w:p w14:paraId="4CDD5F7C">
      <w:pPr>
        <w:pStyle w:val="29"/>
        <w:spacing w:line="320" w:lineRule="exact"/>
        <w:ind w:left="0" w:leftChars="0" w:firstLine="0" w:firstLineChars="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p>
    <w:p w14:paraId="1B46DA90">
      <w:pPr>
        <w:pStyle w:val="29"/>
        <w:spacing w:line="320" w:lineRule="exact"/>
        <w:ind w:left="0" w:leftChars="0" w:firstLine="0" w:firstLineChars="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地  址：</w:t>
      </w:r>
      <w:r>
        <w:rPr>
          <w:rFonts w:hint="eastAsia" w:ascii="宋体"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   地  址：</w:t>
      </w:r>
      <w:r>
        <w:rPr>
          <w:rFonts w:hint="eastAsia" w:ascii="宋体" w:hAnsi="宋体"/>
          <w:color w:val="000000" w:themeColor="text1"/>
          <w:highlight w:val="none"/>
          <w:u w:val="single"/>
          <w:lang w:val="en-US" w:eastAsia="zh-CN"/>
          <w14:textFill>
            <w14:solidFill>
              <w14:schemeClr w14:val="tx1"/>
            </w14:solidFill>
          </w14:textFill>
        </w:rPr>
        <w:t xml:space="preserve"> </w:t>
      </w:r>
    </w:p>
    <w:p w14:paraId="704B43FE">
      <w:pPr>
        <w:pStyle w:val="29"/>
        <w:spacing w:line="320" w:lineRule="exact"/>
        <w:ind w:left="0" w:leftChars="0" w:firstLine="0" w:firstLineChars="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w:t>
      </w:r>
      <w:r>
        <w:rPr>
          <w:rFonts w:hint="eastAsia" w:ascii="宋体" w:hAnsi="宋体" w:cs="宋体"/>
          <w:color w:val="000000" w:themeColor="text1"/>
          <w:highlight w:val="none"/>
          <w:lang w:eastAsia="zh-CN"/>
          <w14:textFill>
            <w14:solidFill>
              <w14:schemeClr w14:val="tx1"/>
            </w14:solidFill>
          </w14:textFill>
        </w:rPr>
        <w:t>或</w:t>
      </w:r>
      <w:r>
        <w:rPr>
          <w:rFonts w:hint="eastAsia" w:ascii="宋体" w:hAnsi="宋体" w:cs="宋体"/>
          <w:color w:val="000000" w:themeColor="text1"/>
          <w:highlight w:val="none"/>
          <w14:textFill>
            <w14:solidFill>
              <w14:schemeClr w14:val="tx1"/>
            </w14:solidFill>
          </w14:textFill>
        </w:rPr>
        <w:t xml:space="preserve">委托代理人    </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 法定代表人</w:t>
      </w:r>
      <w:r>
        <w:rPr>
          <w:rFonts w:hint="eastAsia" w:ascii="宋体" w:hAnsi="宋体" w:cs="宋体"/>
          <w:color w:val="000000" w:themeColor="text1"/>
          <w:highlight w:val="none"/>
          <w:lang w:eastAsia="zh-CN"/>
          <w14:textFill>
            <w14:solidFill>
              <w14:schemeClr w14:val="tx1"/>
            </w14:solidFill>
          </w14:textFill>
        </w:rPr>
        <w:t>或</w:t>
      </w:r>
      <w:r>
        <w:rPr>
          <w:rFonts w:hint="eastAsia" w:ascii="宋体" w:hAnsi="宋体" w:cs="宋体"/>
          <w:color w:val="000000" w:themeColor="text1"/>
          <w:highlight w:val="none"/>
          <w14:textFill>
            <w14:solidFill>
              <w14:schemeClr w14:val="tx1"/>
            </w14:solidFill>
          </w14:textFill>
        </w:rPr>
        <w:t>委托代理人</w:t>
      </w:r>
    </w:p>
    <w:p w14:paraId="39F279A7">
      <w:pPr>
        <w:pStyle w:val="29"/>
        <w:spacing w:line="320" w:lineRule="exact"/>
        <w:ind w:left="0" w:leftChars="0" w:firstLine="0" w:firstLineChars="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(签字</w:t>
      </w:r>
      <w:r>
        <w:rPr>
          <w:rFonts w:hint="eastAsia" w:ascii="宋体" w:hAnsi="宋体" w:cs="宋体"/>
          <w:color w:val="000000" w:themeColor="text1"/>
          <w:highlight w:val="none"/>
          <w:lang w:eastAsia="zh-CN"/>
          <w14:textFill>
            <w14:solidFill>
              <w14:schemeClr w14:val="tx1"/>
            </w14:solidFill>
          </w14:textFill>
        </w:rPr>
        <w:t>或盖章</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(签字</w:t>
      </w:r>
      <w:r>
        <w:rPr>
          <w:rFonts w:hint="eastAsia" w:ascii="宋体" w:hAnsi="宋体" w:cs="宋体"/>
          <w:color w:val="000000" w:themeColor="text1"/>
          <w:highlight w:val="none"/>
          <w:lang w:eastAsia="zh-CN"/>
          <w14:textFill>
            <w14:solidFill>
              <w14:schemeClr w14:val="tx1"/>
            </w14:solidFill>
          </w14:textFill>
        </w:rPr>
        <w:t>或盖章</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u w:val="single"/>
          <w:lang w:val="en-US" w:eastAsia="zh-CN"/>
          <w14:textFill>
            <w14:solidFill>
              <w14:schemeClr w14:val="tx1"/>
            </w14:solidFill>
          </w14:textFill>
        </w:rPr>
        <w:t xml:space="preserve">   </w:t>
      </w:r>
    </w:p>
    <w:p w14:paraId="5471F49B">
      <w:pPr>
        <w:pStyle w:val="29"/>
        <w:spacing w:line="320" w:lineRule="exact"/>
        <w:ind w:left="0" w:leftChars="0" w:firstLine="0" w:firstLineChars="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电  话：</w:t>
      </w:r>
      <w:r>
        <w:rPr>
          <w:rFonts w:hint="eastAsia" w:ascii="宋体"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  电  话：</w:t>
      </w:r>
      <w:r>
        <w:rPr>
          <w:rFonts w:hint="eastAsia" w:ascii="宋体" w:hAnsi="宋体" w:cs="宋体"/>
          <w:color w:val="000000" w:themeColor="text1"/>
          <w:highlight w:val="none"/>
          <w:u w:val="single"/>
          <w14:textFill>
            <w14:solidFill>
              <w14:schemeClr w14:val="tx1"/>
            </w14:solidFill>
          </w14:textFill>
        </w:rPr>
        <w:t></w:t>
      </w:r>
    </w:p>
    <w:p w14:paraId="43C8B1AA">
      <w:pPr>
        <w:pStyle w:val="29"/>
        <w:spacing w:line="320" w:lineRule="exact"/>
        <w:ind w:left="0" w:leftChars="0" w:firstLine="0" w:firstLineChars="0"/>
        <w:rPr>
          <w:rFonts w:ascii="宋体" w:hAnsi="宋体" w:cs="宋体"/>
          <w:color w:val="000000" w:themeColor="text1"/>
          <w:highlight w:val="none"/>
          <w14:textFill>
            <w14:solidFill>
              <w14:schemeClr w14:val="tx1"/>
            </w14:solidFill>
          </w14:textFill>
        </w:rPr>
      </w:pPr>
    </w:p>
    <w:p w14:paraId="491CDDA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p w14:paraId="709A49A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br w:type="page"/>
      </w:r>
      <w:r>
        <w:rPr>
          <w:rFonts w:hint="eastAsia" w:ascii="宋体" w:hAnsi="宋体" w:eastAsia="宋体" w:cs="宋体"/>
          <w:color w:val="000000" w:themeColor="text1"/>
          <w:sz w:val="21"/>
          <w:szCs w:val="21"/>
          <w:highlight w:val="none"/>
          <w14:textFill>
            <w14:solidFill>
              <w14:schemeClr w14:val="tx1"/>
            </w14:solidFill>
          </w14:textFill>
        </w:rPr>
        <w:t>附件4：</w:t>
      </w:r>
    </w:p>
    <w:p w14:paraId="43799EB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主要建设工程文件目录</w:t>
      </w:r>
    </w:p>
    <w:p w14:paraId="5208FE2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bl>
      <w:tblPr>
        <w:tblStyle w:val="20"/>
        <w:tblpPr w:leftFromText="180" w:rightFromText="180" w:vertAnchor="text" w:horzAnchor="page" w:tblpX="1430" w:tblpY="14"/>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067"/>
        <w:gridCol w:w="1450"/>
        <w:gridCol w:w="1243"/>
        <w:gridCol w:w="1450"/>
        <w:gridCol w:w="1564"/>
      </w:tblGrid>
      <w:tr w14:paraId="52770B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noWrap w:val="0"/>
            <w:vAlign w:val="center"/>
          </w:tcPr>
          <w:p w14:paraId="4145D8B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文件名称</w:t>
            </w:r>
          </w:p>
        </w:tc>
        <w:tc>
          <w:tcPr>
            <w:tcW w:w="1067" w:type="dxa"/>
            <w:tcBorders>
              <w:top w:val="single" w:color="auto" w:sz="12" w:space="0"/>
              <w:bottom w:val="double" w:color="auto" w:sz="6" w:space="0"/>
            </w:tcBorders>
            <w:noWrap w:val="0"/>
            <w:vAlign w:val="center"/>
          </w:tcPr>
          <w:p w14:paraId="163897B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套数</w:t>
            </w:r>
          </w:p>
        </w:tc>
        <w:tc>
          <w:tcPr>
            <w:tcW w:w="1450" w:type="dxa"/>
            <w:tcBorders>
              <w:top w:val="single" w:color="auto" w:sz="12" w:space="0"/>
              <w:bottom w:val="double" w:color="auto" w:sz="6" w:space="0"/>
            </w:tcBorders>
            <w:noWrap w:val="0"/>
            <w:vAlign w:val="center"/>
          </w:tcPr>
          <w:p w14:paraId="5FAB56A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费用（元）</w:t>
            </w:r>
          </w:p>
        </w:tc>
        <w:tc>
          <w:tcPr>
            <w:tcW w:w="1243" w:type="dxa"/>
            <w:tcBorders>
              <w:top w:val="single" w:color="auto" w:sz="12" w:space="0"/>
              <w:bottom w:val="double" w:color="auto" w:sz="6" w:space="0"/>
            </w:tcBorders>
            <w:noWrap w:val="0"/>
            <w:vAlign w:val="center"/>
          </w:tcPr>
          <w:p w14:paraId="4A106D3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质量</w:t>
            </w:r>
          </w:p>
        </w:tc>
        <w:tc>
          <w:tcPr>
            <w:tcW w:w="1450" w:type="dxa"/>
            <w:tcBorders>
              <w:top w:val="single" w:color="auto" w:sz="12" w:space="0"/>
              <w:bottom w:val="double" w:color="auto" w:sz="6" w:space="0"/>
            </w:tcBorders>
            <w:noWrap w:val="0"/>
            <w:vAlign w:val="top"/>
          </w:tcPr>
          <w:p w14:paraId="0400E89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移交时间</w:t>
            </w:r>
          </w:p>
        </w:tc>
        <w:tc>
          <w:tcPr>
            <w:tcW w:w="1564" w:type="dxa"/>
            <w:tcBorders>
              <w:top w:val="single" w:color="auto" w:sz="12" w:space="0"/>
              <w:bottom w:val="double" w:color="auto" w:sz="6" w:space="0"/>
            </w:tcBorders>
            <w:noWrap w:val="0"/>
            <w:vAlign w:val="top"/>
          </w:tcPr>
          <w:p w14:paraId="5B47878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责任人</w:t>
            </w:r>
          </w:p>
        </w:tc>
      </w:tr>
      <w:tr w14:paraId="020654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bottom w:val="single" w:color="auto" w:sz="6" w:space="0"/>
            </w:tcBorders>
            <w:noWrap w:val="0"/>
            <w:vAlign w:val="center"/>
          </w:tcPr>
          <w:p w14:paraId="0E2FEDD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67" w:type="dxa"/>
            <w:tcBorders>
              <w:top w:val="double" w:color="auto" w:sz="6" w:space="0"/>
              <w:bottom w:val="single" w:color="auto" w:sz="6" w:space="0"/>
            </w:tcBorders>
            <w:noWrap w:val="0"/>
            <w:vAlign w:val="center"/>
          </w:tcPr>
          <w:p w14:paraId="2B0E1C5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50" w:type="dxa"/>
            <w:tcBorders>
              <w:top w:val="double" w:color="auto" w:sz="6" w:space="0"/>
              <w:bottom w:val="single" w:color="auto" w:sz="6" w:space="0"/>
            </w:tcBorders>
            <w:noWrap w:val="0"/>
            <w:vAlign w:val="center"/>
          </w:tcPr>
          <w:p w14:paraId="108AF54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243" w:type="dxa"/>
            <w:tcBorders>
              <w:top w:val="double" w:color="auto" w:sz="6" w:space="0"/>
              <w:bottom w:val="single" w:color="auto" w:sz="6" w:space="0"/>
            </w:tcBorders>
            <w:noWrap w:val="0"/>
            <w:vAlign w:val="center"/>
          </w:tcPr>
          <w:p w14:paraId="75E43D3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50" w:type="dxa"/>
            <w:tcBorders>
              <w:top w:val="double" w:color="auto" w:sz="6" w:space="0"/>
              <w:bottom w:val="single" w:color="auto" w:sz="6" w:space="0"/>
            </w:tcBorders>
            <w:noWrap w:val="0"/>
            <w:vAlign w:val="center"/>
          </w:tcPr>
          <w:p w14:paraId="75C39FB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564" w:type="dxa"/>
            <w:tcBorders>
              <w:top w:val="double" w:color="auto" w:sz="6" w:space="0"/>
              <w:bottom w:val="single" w:color="auto" w:sz="6" w:space="0"/>
            </w:tcBorders>
            <w:noWrap w:val="0"/>
            <w:vAlign w:val="center"/>
          </w:tcPr>
          <w:p w14:paraId="5B86303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3A6F0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noWrap w:val="0"/>
            <w:vAlign w:val="center"/>
          </w:tcPr>
          <w:p w14:paraId="54BC210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67" w:type="dxa"/>
            <w:tcBorders>
              <w:top w:val="nil"/>
            </w:tcBorders>
            <w:noWrap w:val="0"/>
            <w:vAlign w:val="center"/>
          </w:tcPr>
          <w:p w14:paraId="6CECC4F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50" w:type="dxa"/>
            <w:tcBorders>
              <w:top w:val="nil"/>
            </w:tcBorders>
            <w:noWrap w:val="0"/>
            <w:vAlign w:val="center"/>
          </w:tcPr>
          <w:p w14:paraId="6D0C756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243" w:type="dxa"/>
            <w:tcBorders>
              <w:top w:val="nil"/>
            </w:tcBorders>
            <w:noWrap w:val="0"/>
            <w:vAlign w:val="center"/>
          </w:tcPr>
          <w:p w14:paraId="641A2FA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50" w:type="dxa"/>
            <w:tcBorders>
              <w:top w:val="nil"/>
            </w:tcBorders>
            <w:noWrap w:val="0"/>
            <w:vAlign w:val="center"/>
          </w:tcPr>
          <w:p w14:paraId="1A98F90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564" w:type="dxa"/>
            <w:tcBorders>
              <w:top w:val="nil"/>
            </w:tcBorders>
            <w:noWrap w:val="0"/>
            <w:vAlign w:val="center"/>
          </w:tcPr>
          <w:p w14:paraId="0EA8FD5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36D1C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6AC41EE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67" w:type="dxa"/>
            <w:noWrap w:val="0"/>
            <w:vAlign w:val="center"/>
          </w:tcPr>
          <w:p w14:paraId="3542895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50" w:type="dxa"/>
            <w:noWrap w:val="0"/>
            <w:vAlign w:val="center"/>
          </w:tcPr>
          <w:p w14:paraId="2296F1C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243" w:type="dxa"/>
            <w:noWrap w:val="0"/>
            <w:vAlign w:val="center"/>
          </w:tcPr>
          <w:p w14:paraId="5BEB304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50" w:type="dxa"/>
            <w:noWrap w:val="0"/>
            <w:vAlign w:val="center"/>
          </w:tcPr>
          <w:p w14:paraId="78231AA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564" w:type="dxa"/>
            <w:noWrap w:val="0"/>
            <w:vAlign w:val="center"/>
          </w:tcPr>
          <w:p w14:paraId="659776C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031314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2FC67D3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67" w:type="dxa"/>
            <w:noWrap w:val="0"/>
            <w:vAlign w:val="center"/>
          </w:tcPr>
          <w:p w14:paraId="0F1258C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50" w:type="dxa"/>
            <w:noWrap w:val="0"/>
            <w:vAlign w:val="center"/>
          </w:tcPr>
          <w:p w14:paraId="2157CE3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243" w:type="dxa"/>
            <w:noWrap w:val="0"/>
            <w:vAlign w:val="center"/>
          </w:tcPr>
          <w:p w14:paraId="0454E19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50" w:type="dxa"/>
            <w:noWrap w:val="0"/>
            <w:vAlign w:val="center"/>
          </w:tcPr>
          <w:p w14:paraId="0115687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564" w:type="dxa"/>
            <w:noWrap w:val="0"/>
            <w:vAlign w:val="center"/>
          </w:tcPr>
          <w:p w14:paraId="1CAB5AA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211FC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72F13F8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67" w:type="dxa"/>
            <w:noWrap w:val="0"/>
            <w:vAlign w:val="center"/>
          </w:tcPr>
          <w:p w14:paraId="564CBA3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50" w:type="dxa"/>
            <w:noWrap w:val="0"/>
            <w:vAlign w:val="center"/>
          </w:tcPr>
          <w:p w14:paraId="36D495D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243" w:type="dxa"/>
            <w:noWrap w:val="0"/>
            <w:vAlign w:val="center"/>
          </w:tcPr>
          <w:p w14:paraId="02CFD49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50" w:type="dxa"/>
            <w:noWrap w:val="0"/>
            <w:vAlign w:val="center"/>
          </w:tcPr>
          <w:p w14:paraId="59AEFC5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564" w:type="dxa"/>
            <w:noWrap w:val="0"/>
            <w:vAlign w:val="center"/>
          </w:tcPr>
          <w:p w14:paraId="7FAFBE8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1FE0DB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5151449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67" w:type="dxa"/>
            <w:noWrap w:val="0"/>
            <w:vAlign w:val="center"/>
          </w:tcPr>
          <w:p w14:paraId="4FD5711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50" w:type="dxa"/>
            <w:noWrap w:val="0"/>
            <w:vAlign w:val="center"/>
          </w:tcPr>
          <w:p w14:paraId="180F1DD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243" w:type="dxa"/>
            <w:noWrap w:val="0"/>
            <w:vAlign w:val="center"/>
          </w:tcPr>
          <w:p w14:paraId="2D5D746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50" w:type="dxa"/>
            <w:noWrap w:val="0"/>
            <w:vAlign w:val="center"/>
          </w:tcPr>
          <w:p w14:paraId="23BC964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564" w:type="dxa"/>
            <w:noWrap w:val="0"/>
            <w:vAlign w:val="center"/>
          </w:tcPr>
          <w:p w14:paraId="3CAA655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437F0F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6B1F81B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67" w:type="dxa"/>
            <w:noWrap w:val="0"/>
            <w:vAlign w:val="center"/>
          </w:tcPr>
          <w:p w14:paraId="20072BD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50" w:type="dxa"/>
            <w:noWrap w:val="0"/>
            <w:vAlign w:val="center"/>
          </w:tcPr>
          <w:p w14:paraId="505BB6F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243" w:type="dxa"/>
            <w:noWrap w:val="0"/>
            <w:vAlign w:val="center"/>
          </w:tcPr>
          <w:p w14:paraId="5A86165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50" w:type="dxa"/>
            <w:noWrap w:val="0"/>
            <w:vAlign w:val="center"/>
          </w:tcPr>
          <w:p w14:paraId="4F9E0E4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564" w:type="dxa"/>
            <w:noWrap w:val="0"/>
            <w:vAlign w:val="center"/>
          </w:tcPr>
          <w:p w14:paraId="3A32EAE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77B14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19D5949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67" w:type="dxa"/>
            <w:noWrap w:val="0"/>
            <w:vAlign w:val="center"/>
          </w:tcPr>
          <w:p w14:paraId="78D7F25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50" w:type="dxa"/>
            <w:noWrap w:val="0"/>
            <w:vAlign w:val="center"/>
          </w:tcPr>
          <w:p w14:paraId="1BBA781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243" w:type="dxa"/>
            <w:noWrap w:val="0"/>
            <w:vAlign w:val="center"/>
          </w:tcPr>
          <w:p w14:paraId="04A18BE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50" w:type="dxa"/>
            <w:noWrap w:val="0"/>
            <w:vAlign w:val="center"/>
          </w:tcPr>
          <w:p w14:paraId="6A8AC76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564" w:type="dxa"/>
            <w:noWrap w:val="0"/>
            <w:vAlign w:val="center"/>
          </w:tcPr>
          <w:p w14:paraId="154DF0C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6E9FCA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61E80BE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067" w:type="dxa"/>
            <w:noWrap w:val="0"/>
            <w:vAlign w:val="top"/>
          </w:tcPr>
          <w:p w14:paraId="663E729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50" w:type="dxa"/>
            <w:noWrap w:val="0"/>
            <w:vAlign w:val="top"/>
          </w:tcPr>
          <w:p w14:paraId="2543E81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243" w:type="dxa"/>
            <w:noWrap w:val="0"/>
            <w:vAlign w:val="top"/>
          </w:tcPr>
          <w:p w14:paraId="62DB469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50" w:type="dxa"/>
            <w:noWrap w:val="0"/>
            <w:vAlign w:val="top"/>
          </w:tcPr>
          <w:p w14:paraId="5139F4D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564" w:type="dxa"/>
            <w:noWrap w:val="0"/>
            <w:vAlign w:val="top"/>
          </w:tcPr>
          <w:p w14:paraId="64463FC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r>
      <w:tr w14:paraId="19C58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7D96D57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67" w:type="dxa"/>
            <w:noWrap w:val="0"/>
            <w:vAlign w:val="center"/>
          </w:tcPr>
          <w:p w14:paraId="41B7ADD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50" w:type="dxa"/>
            <w:noWrap w:val="0"/>
            <w:vAlign w:val="center"/>
          </w:tcPr>
          <w:p w14:paraId="22269D2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243" w:type="dxa"/>
            <w:noWrap w:val="0"/>
            <w:vAlign w:val="center"/>
          </w:tcPr>
          <w:p w14:paraId="2B26DB6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50" w:type="dxa"/>
            <w:noWrap w:val="0"/>
            <w:vAlign w:val="center"/>
          </w:tcPr>
          <w:p w14:paraId="1182D7E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564" w:type="dxa"/>
            <w:noWrap w:val="0"/>
            <w:vAlign w:val="center"/>
          </w:tcPr>
          <w:p w14:paraId="48BE2D7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6B6EE0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20970DF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067" w:type="dxa"/>
            <w:noWrap w:val="0"/>
            <w:vAlign w:val="top"/>
          </w:tcPr>
          <w:p w14:paraId="2C846F0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50" w:type="dxa"/>
            <w:noWrap w:val="0"/>
            <w:vAlign w:val="top"/>
          </w:tcPr>
          <w:p w14:paraId="45617DB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243" w:type="dxa"/>
            <w:noWrap w:val="0"/>
            <w:vAlign w:val="top"/>
          </w:tcPr>
          <w:p w14:paraId="0A49336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50" w:type="dxa"/>
            <w:noWrap w:val="0"/>
            <w:vAlign w:val="top"/>
          </w:tcPr>
          <w:p w14:paraId="03472BD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564" w:type="dxa"/>
            <w:noWrap w:val="0"/>
            <w:vAlign w:val="top"/>
          </w:tcPr>
          <w:p w14:paraId="4450052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r>
      <w:tr w14:paraId="62F9F0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59B3E88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067" w:type="dxa"/>
            <w:noWrap w:val="0"/>
            <w:vAlign w:val="top"/>
          </w:tcPr>
          <w:p w14:paraId="1A2614E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50" w:type="dxa"/>
            <w:noWrap w:val="0"/>
            <w:vAlign w:val="top"/>
          </w:tcPr>
          <w:p w14:paraId="1807871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243" w:type="dxa"/>
            <w:noWrap w:val="0"/>
            <w:vAlign w:val="top"/>
          </w:tcPr>
          <w:p w14:paraId="21F4622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50" w:type="dxa"/>
            <w:noWrap w:val="0"/>
            <w:vAlign w:val="top"/>
          </w:tcPr>
          <w:p w14:paraId="4473056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564" w:type="dxa"/>
            <w:noWrap w:val="0"/>
            <w:vAlign w:val="top"/>
          </w:tcPr>
          <w:p w14:paraId="73615EA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r>
      <w:tr w14:paraId="4AF68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09EFDD9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067" w:type="dxa"/>
            <w:noWrap w:val="0"/>
            <w:vAlign w:val="top"/>
          </w:tcPr>
          <w:p w14:paraId="20C766E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50" w:type="dxa"/>
            <w:noWrap w:val="0"/>
            <w:vAlign w:val="top"/>
          </w:tcPr>
          <w:p w14:paraId="4363DF0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243" w:type="dxa"/>
            <w:noWrap w:val="0"/>
            <w:vAlign w:val="top"/>
          </w:tcPr>
          <w:p w14:paraId="268069D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50" w:type="dxa"/>
            <w:noWrap w:val="0"/>
            <w:vAlign w:val="top"/>
          </w:tcPr>
          <w:p w14:paraId="22F6C94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564" w:type="dxa"/>
            <w:noWrap w:val="0"/>
            <w:vAlign w:val="top"/>
          </w:tcPr>
          <w:p w14:paraId="0EACC69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r>
      <w:tr w14:paraId="4301E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62A199C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067" w:type="dxa"/>
            <w:noWrap w:val="0"/>
            <w:vAlign w:val="top"/>
          </w:tcPr>
          <w:p w14:paraId="5CF2808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50" w:type="dxa"/>
            <w:noWrap w:val="0"/>
            <w:vAlign w:val="top"/>
          </w:tcPr>
          <w:p w14:paraId="650C382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243" w:type="dxa"/>
            <w:noWrap w:val="0"/>
            <w:vAlign w:val="top"/>
          </w:tcPr>
          <w:p w14:paraId="5DCE9B8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50" w:type="dxa"/>
            <w:noWrap w:val="0"/>
            <w:vAlign w:val="top"/>
          </w:tcPr>
          <w:p w14:paraId="66987D3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564" w:type="dxa"/>
            <w:noWrap w:val="0"/>
            <w:vAlign w:val="top"/>
          </w:tcPr>
          <w:p w14:paraId="77EC2C4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r>
      <w:tr w14:paraId="6895BE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3AF0DBC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067" w:type="dxa"/>
            <w:noWrap w:val="0"/>
            <w:vAlign w:val="top"/>
          </w:tcPr>
          <w:p w14:paraId="14D58A5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50" w:type="dxa"/>
            <w:noWrap w:val="0"/>
            <w:vAlign w:val="top"/>
          </w:tcPr>
          <w:p w14:paraId="1156B3E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243" w:type="dxa"/>
            <w:noWrap w:val="0"/>
            <w:vAlign w:val="top"/>
          </w:tcPr>
          <w:p w14:paraId="5E38CF0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50" w:type="dxa"/>
            <w:noWrap w:val="0"/>
            <w:vAlign w:val="top"/>
          </w:tcPr>
          <w:p w14:paraId="5F5982D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564" w:type="dxa"/>
            <w:noWrap w:val="0"/>
            <w:vAlign w:val="top"/>
          </w:tcPr>
          <w:p w14:paraId="3038191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r>
      <w:tr w14:paraId="4353C1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6B85A37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067" w:type="dxa"/>
            <w:noWrap w:val="0"/>
            <w:vAlign w:val="top"/>
          </w:tcPr>
          <w:p w14:paraId="1BC88D5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50" w:type="dxa"/>
            <w:noWrap w:val="0"/>
            <w:vAlign w:val="top"/>
          </w:tcPr>
          <w:p w14:paraId="28D2FE9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243" w:type="dxa"/>
            <w:noWrap w:val="0"/>
            <w:vAlign w:val="top"/>
          </w:tcPr>
          <w:p w14:paraId="7BB4F61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50" w:type="dxa"/>
            <w:noWrap w:val="0"/>
            <w:vAlign w:val="top"/>
          </w:tcPr>
          <w:p w14:paraId="3E37E91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564" w:type="dxa"/>
            <w:noWrap w:val="0"/>
            <w:vAlign w:val="top"/>
          </w:tcPr>
          <w:p w14:paraId="721D140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r>
      <w:tr w14:paraId="16D4C8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790E652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067" w:type="dxa"/>
            <w:noWrap w:val="0"/>
            <w:vAlign w:val="top"/>
          </w:tcPr>
          <w:p w14:paraId="0926493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50" w:type="dxa"/>
            <w:noWrap w:val="0"/>
            <w:vAlign w:val="top"/>
          </w:tcPr>
          <w:p w14:paraId="53844C2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243" w:type="dxa"/>
            <w:noWrap w:val="0"/>
            <w:vAlign w:val="top"/>
          </w:tcPr>
          <w:p w14:paraId="0E8DFFA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50" w:type="dxa"/>
            <w:noWrap w:val="0"/>
            <w:vAlign w:val="top"/>
          </w:tcPr>
          <w:p w14:paraId="5E11D77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564" w:type="dxa"/>
            <w:noWrap w:val="0"/>
            <w:vAlign w:val="top"/>
          </w:tcPr>
          <w:p w14:paraId="5A42AF7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r>
      <w:tr w14:paraId="37BDC6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4F2C2E6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067" w:type="dxa"/>
            <w:noWrap w:val="0"/>
            <w:vAlign w:val="top"/>
          </w:tcPr>
          <w:p w14:paraId="20400F2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50" w:type="dxa"/>
            <w:noWrap w:val="0"/>
            <w:vAlign w:val="top"/>
          </w:tcPr>
          <w:p w14:paraId="39220D4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243" w:type="dxa"/>
            <w:noWrap w:val="0"/>
            <w:vAlign w:val="top"/>
          </w:tcPr>
          <w:p w14:paraId="4C1AEE3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50" w:type="dxa"/>
            <w:noWrap w:val="0"/>
            <w:vAlign w:val="top"/>
          </w:tcPr>
          <w:p w14:paraId="24A654B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564" w:type="dxa"/>
            <w:noWrap w:val="0"/>
            <w:vAlign w:val="top"/>
          </w:tcPr>
          <w:p w14:paraId="40AE802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r>
      <w:tr w14:paraId="4C790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145E21A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067" w:type="dxa"/>
            <w:noWrap w:val="0"/>
            <w:vAlign w:val="top"/>
          </w:tcPr>
          <w:p w14:paraId="10DC0FD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50" w:type="dxa"/>
            <w:noWrap w:val="0"/>
            <w:vAlign w:val="top"/>
          </w:tcPr>
          <w:p w14:paraId="5BE4AFE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243" w:type="dxa"/>
            <w:noWrap w:val="0"/>
            <w:vAlign w:val="top"/>
          </w:tcPr>
          <w:p w14:paraId="3B97806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50" w:type="dxa"/>
            <w:noWrap w:val="0"/>
            <w:vAlign w:val="top"/>
          </w:tcPr>
          <w:p w14:paraId="2D63051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564" w:type="dxa"/>
            <w:noWrap w:val="0"/>
            <w:vAlign w:val="top"/>
          </w:tcPr>
          <w:p w14:paraId="32C759F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r>
    </w:tbl>
    <w:p w14:paraId="1C80159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r>
        <w:rPr>
          <w:rFonts w:hint="eastAsia" w:ascii="宋体" w:hAnsi="宋体" w:eastAsia="宋体" w:cs="宋体"/>
          <w:color w:val="000000" w:themeColor="text1"/>
          <w:sz w:val="21"/>
          <w:szCs w:val="21"/>
          <w:highlight w:val="none"/>
          <w14:textFill>
            <w14:solidFill>
              <w14:schemeClr w14:val="tx1"/>
            </w14:solidFill>
          </w14:textFill>
        </w:rPr>
        <w:t>附</w:t>
      </w:r>
      <w:bookmarkStart w:id="1241" w:name="_Toc296891055"/>
      <w:bookmarkStart w:id="1242" w:name="_Toc296347226"/>
      <w:bookmarkStart w:id="1243" w:name="_Toc296891267"/>
      <w:bookmarkStart w:id="1244" w:name="_Toc296944566"/>
      <w:bookmarkStart w:id="1245" w:name="_Toc267261698"/>
      <w:bookmarkStart w:id="1246" w:name="_Toc296503227"/>
      <w:bookmarkStart w:id="1247" w:name="_Toc296346728"/>
      <w:r>
        <w:rPr>
          <w:rFonts w:hint="eastAsia" w:ascii="宋体" w:hAnsi="宋体" w:eastAsia="宋体" w:cs="宋体"/>
          <w:color w:val="000000" w:themeColor="text1"/>
          <w:sz w:val="21"/>
          <w:szCs w:val="21"/>
          <w:highlight w:val="none"/>
          <w14:textFill>
            <w14:solidFill>
              <w14:schemeClr w14:val="tx1"/>
            </w14:solidFill>
          </w14:textFill>
        </w:rPr>
        <w:t>件5：</w:t>
      </w:r>
    </w:p>
    <w:bookmarkEnd w:id="1241"/>
    <w:bookmarkEnd w:id="1242"/>
    <w:bookmarkEnd w:id="1243"/>
    <w:bookmarkEnd w:id="1244"/>
    <w:bookmarkEnd w:id="1245"/>
    <w:bookmarkEnd w:id="1246"/>
    <w:bookmarkEnd w:id="1247"/>
    <w:p w14:paraId="6D9B640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承包人用于本工程施工的机械设备表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29"/>
        <w:gridCol w:w="1418"/>
        <w:gridCol w:w="850"/>
        <w:gridCol w:w="1058"/>
        <w:gridCol w:w="880"/>
        <w:gridCol w:w="806"/>
        <w:gridCol w:w="1310"/>
        <w:gridCol w:w="906"/>
        <w:gridCol w:w="652"/>
      </w:tblGrid>
      <w:tr w14:paraId="4ABB9E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29" w:type="dxa"/>
            <w:tcBorders>
              <w:top w:val="single" w:color="auto" w:sz="12" w:space="0"/>
              <w:bottom w:val="double" w:color="auto" w:sz="6" w:space="0"/>
            </w:tcBorders>
            <w:noWrap w:val="0"/>
            <w:vAlign w:val="center"/>
          </w:tcPr>
          <w:p w14:paraId="258FBC1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序号</w:t>
            </w:r>
          </w:p>
        </w:tc>
        <w:tc>
          <w:tcPr>
            <w:tcW w:w="1418" w:type="dxa"/>
            <w:tcBorders>
              <w:top w:val="single" w:color="auto" w:sz="12" w:space="0"/>
              <w:bottom w:val="double" w:color="auto" w:sz="6" w:space="0"/>
            </w:tcBorders>
            <w:noWrap w:val="0"/>
            <w:vAlign w:val="center"/>
          </w:tcPr>
          <w:p w14:paraId="3A14145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机械或设备名称</w:t>
            </w:r>
          </w:p>
        </w:tc>
        <w:tc>
          <w:tcPr>
            <w:tcW w:w="850" w:type="dxa"/>
            <w:tcBorders>
              <w:top w:val="single" w:color="auto" w:sz="12" w:space="0"/>
              <w:bottom w:val="double" w:color="auto" w:sz="6" w:space="0"/>
            </w:tcBorders>
            <w:noWrap w:val="0"/>
            <w:vAlign w:val="center"/>
          </w:tcPr>
          <w:p w14:paraId="3052B3B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规格型号</w:t>
            </w:r>
          </w:p>
        </w:tc>
        <w:tc>
          <w:tcPr>
            <w:tcW w:w="1058" w:type="dxa"/>
            <w:tcBorders>
              <w:top w:val="single" w:color="auto" w:sz="12" w:space="0"/>
              <w:bottom w:val="double" w:color="auto" w:sz="6" w:space="0"/>
            </w:tcBorders>
            <w:noWrap w:val="0"/>
            <w:vAlign w:val="center"/>
          </w:tcPr>
          <w:p w14:paraId="67AD697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数量</w:t>
            </w:r>
          </w:p>
        </w:tc>
        <w:tc>
          <w:tcPr>
            <w:tcW w:w="880" w:type="dxa"/>
            <w:tcBorders>
              <w:top w:val="single" w:color="auto" w:sz="12" w:space="0"/>
              <w:bottom w:val="double" w:color="auto" w:sz="6" w:space="0"/>
            </w:tcBorders>
            <w:noWrap w:val="0"/>
            <w:vAlign w:val="center"/>
          </w:tcPr>
          <w:p w14:paraId="43467DC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产地</w:t>
            </w:r>
          </w:p>
        </w:tc>
        <w:tc>
          <w:tcPr>
            <w:tcW w:w="806" w:type="dxa"/>
            <w:tcBorders>
              <w:top w:val="single" w:color="auto" w:sz="12" w:space="0"/>
              <w:bottom w:val="double" w:color="auto" w:sz="6" w:space="0"/>
            </w:tcBorders>
            <w:noWrap w:val="0"/>
            <w:vAlign w:val="center"/>
          </w:tcPr>
          <w:p w14:paraId="0A400E7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制造年份</w:t>
            </w:r>
          </w:p>
        </w:tc>
        <w:tc>
          <w:tcPr>
            <w:tcW w:w="1310" w:type="dxa"/>
            <w:tcBorders>
              <w:top w:val="single" w:color="auto" w:sz="12" w:space="0"/>
              <w:bottom w:val="double" w:color="auto" w:sz="6" w:space="0"/>
            </w:tcBorders>
            <w:noWrap w:val="0"/>
            <w:vAlign w:val="center"/>
          </w:tcPr>
          <w:p w14:paraId="5643A72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额定功率(kW)</w:t>
            </w:r>
          </w:p>
        </w:tc>
        <w:tc>
          <w:tcPr>
            <w:tcW w:w="906" w:type="dxa"/>
            <w:tcBorders>
              <w:top w:val="single" w:color="auto" w:sz="12" w:space="0"/>
              <w:bottom w:val="double" w:color="auto" w:sz="6" w:space="0"/>
            </w:tcBorders>
            <w:noWrap w:val="0"/>
            <w:vAlign w:val="center"/>
          </w:tcPr>
          <w:p w14:paraId="544E6BC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生产能力</w:t>
            </w:r>
          </w:p>
        </w:tc>
        <w:tc>
          <w:tcPr>
            <w:tcW w:w="652" w:type="dxa"/>
            <w:tcBorders>
              <w:top w:val="single" w:color="auto" w:sz="12" w:space="0"/>
              <w:bottom w:val="double" w:color="auto" w:sz="6" w:space="0"/>
            </w:tcBorders>
            <w:noWrap w:val="0"/>
            <w:vAlign w:val="center"/>
          </w:tcPr>
          <w:p w14:paraId="5F7EF97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备注</w:t>
            </w:r>
          </w:p>
        </w:tc>
      </w:tr>
      <w:tr w14:paraId="44A82B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double" w:color="auto" w:sz="6" w:space="0"/>
              <w:bottom w:val="single" w:color="auto" w:sz="6" w:space="0"/>
            </w:tcBorders>
            <w:noWrap w:val="0"/>
            <w:vAlign w:val="center"/>
          </w:tcPr>
          <w:p w14:paraId="7D46A5F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8" w:type="dxa"/>
            <w:tcBorders>
              <w:top w:val="double" w:color="auto" w:sz="6" w:space="0"/>
              <w:bottom w:val="single" w:color="auto" w:sz="6" w:space="0"/>
            </w:tcBorders>
            <w:noWrap w:val="0"/>
            <w:vAlign w:val="center"/>
          </w:tcPr>
          <w:p w14:paraId="27BFC3F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tcBorders>
              <w:top w:val="double" w:color="auto" w:sz="6" w:space="0"/>
              <w:bottom w:val="single" w:color="auto" w:sz="6" w:space="0"/>
            </w:tcBorders>
            <w:noWrap w:val="0"/>
            <w:vAlign w:val="center"/>
          </w:tcPr>
          <w:p w14:paraId="1199792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58" w:type="dxa"/>
            <w:tcBorders>
              <w:top w:val="double" w:color="auto" w:sz="6" w:space="0"/>
              <w:bottom w:val="single" w:color="auto" w:sz="6" w:space="0"/>
            </w:tcBorders>
            <w:noWrap w:val="0"/>
            <w:vAlign w:val="center"/>
          </w:tcPr>
          <w:p w14:paraId="02C934F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80" w:type="dxa"/>
            <w:tcBorders>
              <w:top w:val="double" w:color="auto" w:sz="6" w:space="0"/>
              <w:bottom w:val="single" w:color="auto" w:sz="6" w:space="0"/>
            </w:tcBorders>
            <w:noWrap w:val="0"/>
            <w:vAlign w:val="center"/>
          </w:tcPr>
          <w:p w14:paraId="5F7985D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06" w:type="dxa"/>
            <w:tcBorders>
              <w:top w:val="double" w:color="auto" w:sz="6" w:space="0"/>
              <w:bottom w:val="single" w:color="auto" w:sz="6" w:space="0"/>
            </w:tcBorders>
            <w:noWrap w:val="0"/>
            <w:vAlign w:val="center"/>
          </w:tcPr>
          <w:p w14:paraId="4F1C877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310" w:type="dxa"/>
            <w:tcBorders>
              <w:top w:val="double" w:color="auto" w:sz="6" w:space="0"/>
              <w:bottom w:val="single" w:color="auto" w:sz="6" w:space="0"/>
            </w:tcBorders>
            <w:noWrap w:val="0"/>
            <w:vAlign w:val="center"/>
          </w:tcPr>
          <w:p w14:paraId="4C569C5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6" w:type="dxa"/>
            <w:tcBorders>
              <w:top w:val="double" w:color="auto" w:sz="6" w:space="0"/>
              <w:bottom w:val="single" w:color="auto" w:sz="6" w:space="0"/>
            </w:tcBorders>
            <w:noWrap w:val="0"/>
            <w:vAlign w:val="center"/>
          </w:tcPr>
          <w:p w14:paraId="5049A59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52" w:type="dxa"/>
            <w:tcBorders>
              <w:top w:val="double" w:color="auto" w:sz="6" w:space="0"/>
              <w:bottom w:val="single" w:color="auto" w:sz="6" w:space="0"/>
            </w:tcBorders>
            <w:noWrap w:val="0"/>
            <w:vAlign w:val="center"/>
          </w:tcPr>
          <w:p w14:paraId="740A323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06BA31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nil"/>
            </w:tcBorders>
            <w:noWrap w:val="0"/>
            <w:vAlign w:val="center"/>
          </w:tcPr>
          <w:p w14:paraId="1106951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8" w:type="dxa"/>
            <w:tcBorders>
              <w:top w:val="nil"/>
            </w:tcBorders>
            <w:noWrap w:val="0"/>
            <w:vAlign w:val="center"/>
          </w:tcPr>
          <w:p w14:paraId="792B373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tcBorders>
              <w:top w:val="nil"/>
            </w:tcBorders>
            <w:noWrap w:val="0"/>
            <w:vAlign w:val="center"/>
          </w:tcPr>
          <w:p w14:paraId="6E6B493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58" w:type="dxa"/>
            <w:tcBorders>
              <w:top w:val="nil"/>
            </w:tcBorders>
            <w:noWrap w:val="0"/>
            <w:vAlign w:val="center"/>
          </w:tcPr>
          <w:p w14:paraId="29A6972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80" w:type="dxa"/>
            <w:tcBorders>
              <w:top w:val="nil"/>
            </w:tcBorders>
            <w:noWrap w:val="0"/>
            <w:vAlign w:val="center"/>
          </w:tcPr>
          <w:p w14:paraId="540B7FA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06" w:type="dxa"/>
            <w:tcBorders>
              <w:top w:val="nil"/>
            </w:tcBorders>
            <w:noWrap w:val="0"/>
            <w:vAlign w:val="center"/>
          </w:tcPr>
          <w:p w14:paraId="5FC66B1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310" w:type="dxa"/>
            <w:tcBorders>
              <w:top w:val="nil"/>
            </w:tcBorders>
            <w:noWrap w:val="0"/>
            <w:vAlign w:val="center"/>
          </w:tcPr>
          <w:p w14:paraId="0943B0F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6" w:type="dxa"/>
            <w:tcBorders>
              <w:top w:val="nil"/>
            </w:tcBorders>
            <w:noWrap w:val="0"/>
            <w:vAlign w:val="center"/>
          </w:tcPr>
          <w:p w14:paraId="4760BB9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52" w:type="dxa"/>
            <w:tcBorders>
              <w:top w:val="nil"/>
            </w:tcBorders>
            <w:noWrap w:val="0"/>
            <w:vAlign w:val="center"/>
          </w:tcPr>
          <w:p w14:paraId="1FEDC29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0282C6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6E23C97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8" w:type="dxa"/>
            <w:noWrap w:val="0"/>
            <w:vAlign w:val="center"/>
          </w:tcPr>
          <w:p w14:paraId="1B901E2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noWrap w:val="0"/>
            <w:vAlign w:val="center"/>
          </w:tcPr>
          <w:p w14:paraId="3E5242E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58" w:type="dxa"/>
            <w:noWrap w:val="0"/>
            <w:vAlign w:val="center"/>
          </w:tcPr>
          <w:p w14:paraId="6D42627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80" w:type="dxa"/>
            <w:noWrap w:val="0"/>
            <w:vAlign w:val="center"/>
          </w:tcPr>
          <w:p w14:paraId="0A533F1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06" w:type="dxa"/>
            <w:noWrap w:val="0"/>
            <w:vAlign w:val="center"/>
          </w:tcPr>
          <w:p w14:paraId="01C4B29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310" w:type="dxa"/>
            <w:noWrap w:val="0"/>
            <w:vAlign w:val="center"/>
          </w:tcPr>
          <w:p w14:paraId="08852AD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6" w:type="dxa"/>
            <w:noWrap w:val="0"/>
            <w:vAlign w:val="center"/>
          </w:tcPr>
          <w:p w14:paraId="772C03A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52" w:type="dxa"/>
            <w:noWrap w:val="0"/>
            <w:vAlign w:val="center"/>
          </w:tcPr>
          <w:p w14:paraId="3E23A68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39256B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5FC800C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8" w:type="dxa"/>
            <w:noWrap w:val="0"/>
            <w:vAlign w:val="center"/>
          </w:tcPr>
          <w:p w14:paraId="17DD9A2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noWrap w:val="0"/>
            <w:vAlign w:val="center"/>
          </w:tcPr>
          <w:p w14:paraId="047175E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58" w:type="dxa"/>
            <w:noWrap w:val="0"/>
            <w:vAlign w:val="center"/>
          </w:tcPr>
          <w:p w14:paraId="2F884AE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80" w:type="dxa"/>
            <w:noWrap w:val="0"/>
            <w:vAlign w:val="center"/>
          </w:tcPr>
          <w:p w14:paraId="430252C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06" w:type="dxa"/>
            <w:noWrap w:val="0"/>
            <w:vAlign w:val="center"/>
          </w:tcPr>
          <w:p w14:paraId="262E48C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310" w:type="dxa"/>
            <w:noWrap w:val="0"/>
            <w:vAlign w:val="center"/>
          </w:tcPr>
          <w:p w14:paraId="7963060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6" w:type="dxa"/>
            <w:noWrap w:val="0"/>
            <w:vAlign w:val="center"/>
          </w:tcPr>
          <w:p w14:paraId="15D21D3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52" w:type="dxa"/>
            <w:noWrap w:val="0"/>
            <w:vAlign w:val="center"/>
          </w:tcPr>
          <w:p w14:paraId="6C5C5B4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71AD38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64B25A6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8" w:type="dxa"/>
            <w:noWrap w:val="0"/>
            <w:vAlign w:val="center"/>
          </w:tcPr>
          <w:p w14:paraId="2842623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noWrap w:val="0"/>
            <w:vAlign w:val="center"/>
          </w:tcPr>
          <w:p w14:paraId="7D6B078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58" w:type="dxa"/>
            <w:noWrap w:val="0"/>
            <w:vAlign w:val="center"/>
          </w:tcPr>
          <w:p w14:paraId="5AEF1A7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80" w:type="dxa"/>
            <w:noWrap w:val="0"/>
            <w:vAlign w:val="center"/>
          </w:tcPr>
          <w:p w14:paraId="0E0904A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06" w:type="dxa"/>
            <w:noWrap w:val="0"/>
            <w:vAlign w:val="center"/>
          </w:tcPr>
          <w:p w14:paraId="276371A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310" w:type="dxa"/>
            <w:noWrap w:val="0"/>
            <w:vAlign w:val="center"/>
          </w:tcPr>
          <w:p w14:paraId="30D92FB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6" w:type="dxa"/>
            <w:noWrap w:val="0"/>
            <w:vAlign w:val="center"/>
          </w:tcPr>
          <w:p w14:paraId="6775DF1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52" w:type="dxa"/>
            <w:noWrap w:val="0"/>
            <w:vAlign w:val="center"/>
          </w:tcPr>
          <w:p w14:paraId="410D106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5E867B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07F788A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8" w:type="dxa"/>
            <w:noWrap w:val="0"/>
            <w:vAlign w:val="center"/>
          </w:tcPr>
          <w:p w14:paraId="1CC2E80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noWrap w:val="0"/>
            <w:vAlign w:val="center"/>
          </w:tcPr>
          <w:p w14:paraId="3D02630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58" w:type="dxa"/>
            <w:noWrap w:val="0"/>
            <w:vAlign w:val="center"/>
          </w:tcPr>
          <w:p w14:paraId="41010CF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80" w:type="dxa"/>
            <w:noWrap w:val="0"/>
            <w:vAlign w:val="center"/>
          </w:tcPr>
          <w:p w14:paraId="5E6006D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06" w:type="dxa"/>
            <w:noWrap w:val="0"/>
            <w:vAlign w:val="center"/>
          </w:tcPr>
          <w:p w14:paraId="395667C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310" w:type="dxa"/>
            <w:noWrap w:val="0"/>
            <w:vAlign w:val="center"/>
          </w:tcPr>
          <w:p w14:paraId="0D6235F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6" w:type="dxa"/>
            <w:noWrap w:val="0"/>
            <w:vAlign w:val="center"/>
          </w:tcPr>
          <w:p w14:paraId="2D579FB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52" w:type="dxa"/>
            <w:noWrap w:val="0"/>
            <w:vAlign w:val="center"/>
          </w:tcPr>
          <w:p w14:paraId="52015BD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50C57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70947E1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8" w:type="dxa"/>
            <w:noWrap w:val="0"/>
            <w:vAlign w:val="center"/>
          </w:tcPr>
          <w:p w14:paraId="6918A28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noWrap w:val="0"/>
            <w:vAlign w:val="center"/>
          </w:tcPr>
          <w:p w14:paraId="1C0705B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58" w:type="dxa"/>
            <w:noWrap w:val="0"/>
            <w:vAlign w:val="center"/>
          </w:tcPr>
          <w:p w14:paraId="3B0750B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80" w:type="dxa"/>
            <w:noWrap w:val="0"/>
            <w:vAlign w:val="center"/>
          </w:tcPr>
          <w:p w14:paraId="2BCD764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06" w:type="dxa"/>
            <w:noWrap w:val="0"/>
            <w:vAlign w:val="center"/>
          </w:tcPr>
          <w:p w14:paraId="25656C7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310" w:type="dxa"/>
            <w:noWrap w:val="0"/>
            <w:vAlign w:val="center"/>
          </w:tcPr>
          <w:p w14:paraId="50454C7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6" w:type="dxa"/>
            <w:noWrap w:val="0"/>
            <w:vAlign w:val="center"/>
          </w:tcPr>
          <w:p w14:paraId="0E16892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52" w:type="dxa"/>
            <w:noWrap w:val="0"/>
            <w:vAlign w:val="center"/>
          </w:tcPr>
          <w:p w14:paraId="774007F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63A26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30C4D1A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8" w:type="dxa"/>
            <w:noWrap w:val="0"/>
            <w:vAlign w:val="center"/>
          </w:tcPr>
          <w:p w14:paraId="50A3033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noWrap w:val="0"/>
            <w:vAlign w:val="center"/>
          </w:tcPr>
          <w:p w14:paraId="1AC236D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58" w:type="dxa"/>
            <w:noWrap w:val="0"/>
            <w:vAlign w:val="center"/>
          </w:tcPr>
          <w:p w14:paraId="77B1377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80" w:type="dxa"/>
            <w:noWrap w:val="0"/>
            <w:vAlign w:val="center"/>
          </w:tcPr>
          <w:p w14:paraId="2CF8DBA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06" w:type="dxa"/>
            <w:noWrap w:val="0"/>
            <w:vAlign w:val="center"/>
          </w:tcPr>
          <w:p w14:paraId="3C842F4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310" w:type="dxa"/>
            <w:noWrap w:val="0"/>
            <w:vAlign w:val="center"/>
          </w:tcPr>
          <w:p w14:paraId="7FD18CF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6" w:type="dxa"/>
            <w:noWrap w:val="0"/>
            <w:vAlign w:val="center"/>
          </w:tcPr>
          <w:p w14:paraId="0825E6C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52" w:type="dxa"/>
            <w:noWrap w:val="0"/>
            <w:vAlign w:val="center"/>
          </w:tcPr>
          <w:p w14:paraId="1F7F589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21CE6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5AC03F6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top"/>
          </w:tcPr>
          <w:p w14:paraId="2AE928D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50" w:type="dxa"/>
            <w:noWrap w:val="0"/>
            <w:vAlign w:val="top"/>
          </w:tcPr>
          <w:p w14:paraId="7B267F2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058" w:type="dxa"/>
            <w:noWrap w:val="0"/>
            <w:vAlign w:val="top"/>
          </w:tcPr>
          <w:p w14:paraId="6E8FBFD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80" w:type="dxa"/>
            <w:noWrap w:val="0"/>
            <w:vAlign w:val="top"/>
          </w:tcPr>
          <w:p w14:paraId="694AC39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06" w:type="dxa"/>
            <w:noWrap w:val="0"/>
            <w:vAlign w:val="top"/>
          </w:tcPr>
          <w:p w14:paraId="491BFF2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310" w:type="dxa"/>
            <w:noWrap w:val="0"/>
            <w:vAlign w:val="top"/>
          </w:tcPr>
          <w:p w14:paraId="763D40B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906" w:type="dxa"/>
            <w:noWrap w:val="0"/>
            <w:vAlign w:val="top"/>
          </w:tcPr>
          <w:p w14:paraId="57BD7D0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652" w:type="dxa"/>
            <w:noWrap w:val="0"/>
            <w:vAlign w:val="top"/>
          </w:tcPr>
          <w:p w14:paraId="086E322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r>
      <w:tr w14:paraId="51E76E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2438EE9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8" w:type="dxa"/>
            <w:noWrap w:val="0"/>
            <w:vAlign w:val="center"/>
          </w:tcPr>
          <w:p w14:paraId="28B9E9C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50" w:type="dxa"/>
            <w:noWrap w:val="0"/>
            <w:vAlign w:val="center"/>
          </w:tcPr>
          <w:p w14:paraId="084CD4C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058" w:type="dxa"/>
            <w:noWrap w:val="0"/>
            <w:vAlign w:val="center"/>
          </w:tcPr>
          <w:p w14:paraId="2D32C03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80" w:type="dxa"/>
            <w:noWrap w:val="0"/>
            <w:vAlign w:val="center"/>
          </w:tcPr>
          <w:p w14:paraId="025C1FB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806" w:type="dxa"/>
            <w:noWrap w:val="0"/>
            <w:vAlign w:val="center"/>
          </w:tcPr>
          <w:p w14:paraId="7D01FBC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310" w:type="dxa"/>
            <w:noWrap w:val="0"/>
            <w:vAlign w:val="center"/>
          </w:tcPr>
          <w:p w14:paraId="77E712B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6" w:type="dxa"/>
            <w:noWrap w:val="0"/>
            <w:vAlign w:val="center"/>
          </w:tcPr>
          <w:p w14:paraId="1030D57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652" w:type="dxa"/>
            <w:noWrap w:val="0"/>
            <w:vAlign w:val="center"/>
          </w:tcPr>
          <w:p w14:paraId="2B3D65A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32FB28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6569685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top"/>
          </w:tcPr>
          <w:p w14:paraId="629E108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50" w:type="dxa"/>
            <w:noWrap w:val="0"/>
            <w:vAlign w:val="top"/>
          </w:tcPr>
          <w:p w14:paraId="67D1500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058" w:type="dxa"/>
            <w:noWrap w:val="0"/>
            <w:vAlign w:val="top"/>
          </w:tcPr>
          <w:p w14:paraId="3951470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80" w:type="dxa"/>
            <w:noWrap w:val="0"/>
            <w:vAlign w:val="top"/>
          </w:tcPr>
          <w:p w14:paraId="6F40824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06" w:type="dxa"/>
            <w:noWrap w:val="0"/>
            <w:vAlign w:val="top"/>
          </w:tcPr>
          <w:p w14:paraId="560B2EC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310" w:type="dxa"/>
            <w:noWrap w:val="0"/>
            <w:vAlign w:val="top"/>
          </w:tcPr>
          <w:p w14:paraId="437AF9C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906" w:type="dxa"/>
            <w:noWrap w:val="0"/>
            <w:vAlign w:val="top"/>
          </w:tcPr>
          <w:p w14:paraId="2B4619E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652" w:type="dxa"/>
            <w:noWrap w:val="0"/>
            <w:vAlign w:val="top"/>
          </w:tcPr>
          <w:p w14:paraId="0849AF0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r>
      <w:tr w14:paraId="5DD1A2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31F3228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top"/>
          </w:tcPr>
          <w:p w14:paraId="22C3135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50" w:type="dxa"/>
            <w:noWrap w:val="0"/>
            <w:vAlign w:val="top"/>
          </w:tcPr>
          <w:p w14:paraId="5FDA605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058" w:type="dxa"/>
            <w:noWrap w:val="0"/>
            <w:vAlign w:val="top"/>
          </w:tcPr>
          <w:p w14:paraId="58869BA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80" w:type="dxa"/>
            <w:noWrap w:val="0"/>
            <w:vAlign w:val="top"/>
          </w:tcPr>
          <w:p w14:paraId="127C117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06" w:type="dxa"/>
            <w:noWrap w:val="0"/>
            <w:vAlign w:val="top"/>
          </w:tcPr>
          <w:p w14:paraId="7284B5B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310" w:type="dxa"/>
            <w:noWrap w:val="0"/>
            <w:vAlign w:val="top"/>
          </w:tcPr>
          <w:p w14:paraId="73D5A01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906" w:type="dxa"/>
            <w:noWrap w:val="0"/>
            <w:vAlign w:val="top"/>
          </w:tcPr>
          <w:p w14:paraId="249D9B1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652" w:type="dxa"/>
            <w:noWrap w:val="0"/>
            <w:vAlign w:val="top"/>
          </w:tcPr>
          <w:p w14:paraId="5EEF9A0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r>
      <w:tr w14:paraId="6D0E5E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4BD9F15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top"/>
          </w:tcPr>
          <w:p w14:paraId="209A68E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50" w:type="dxa"/>
            <w:noWrap w:val="0"/>
            <w:vAlign w:val="top"/>
          </w:tcPr>
          <w:p w14:paraId="65AC5AA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058" w:type="dxa"/>
            <w:noWrap w:val="0"/>
            <w:vAlign w:val="top"/>
          </w:tcPr>
          <w:p w14:paraId="7DA1F49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80" w:type="dxa"/>
            <w:noWrap w:val="0"/>
            <w:vAlign w:val="top"/>
          </w:tcPr>
          <w:p w14:paraId="11ADF1A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06" w:type="dxa"/>
            <w:noWrap w:val="0"/>
            <w:vAlign w:val="top"/>
          </w:tcPr>
          <w:p w14:paraId="4E48469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310" w:type="dxa"/>
            <w:noWrap w:val="0"/>
            <w:vAlign w:val="top"/>
          </w:tcPr>
          <w:p w14:paraId="3067DC7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906" w:type="dxa"/>
            <w:noWrap w:val="0"/>
            <w:vAlign w:val="top"/>
          </w:tcPr>
          <w:p w14:paraId="1DD6979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652" w:type="dxa"/>
            <w:noWrap w:val="0"/>
            <w:vAlign w:val="top"/>
          </w:tcPr>
          <w:p w14:paraId="6D6BB28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r>
      <w:tr w14:paraId="617CB8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4276C1D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top"/>
          </w:tcPr>
          <w:p w14:paraId="1F81F55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50" w:type="dxa"/>
            <w:noWrap w:val="0"/>
            <w:vAlign w:val="top"/>
          </w:tcPr>
          <w:p w14:paraId="5A8AB4C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058" w:type="dxa"/>
            <w:noWrap w:val="0"/>
            <w:vAlign w:val="top"/>
          </w:tcPr>
          <w:p w14:paraId="0BB81BB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80" w:type="dxa"/>
            <w:noWrap w:val="0"/>
            <w:vAlign w:val="top"/>
          </w:tcPr>
          <w:p w14:paraId="2229DC9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06" w:type="dxa"/>
            <w:noWrap w:val="0"/>
            <w:vAlign w:val="top"/>
          </w:tcPr>
          <w:p w14:paraId="376C3E1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310" w:type="dxa"/>
            <w:noWrap w:val="0"/>
            <w:vAlign w:val="top"/>
          </w:tcPr>
          <w:p w14:paraId="058C672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906" w:type="dxa"/>
            <w:noWrap w:val="0"/>
            <w:vAlign w:val="top"/>
          </w:tcPr>
          <w:p w14:paraId="76B206F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652" w:type="dxa"/>
            <w:noWrap w:val="0"/>
            <w:vAlign w:val="top"/>
          </w:tcPr>
          <w:p w14:paraId="329BC92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r>
      <w:tr w14:paraId="5076B4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6AD7649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top"/>
          </w:tcPr>
          <w:p w14:paraId="4EF2B50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50" w:type="dxa"/>
            <w:noWrap w:val="0"/>
            <w:vAlign w:val="top"/>
          </w:tcPr>
          <w:p w14:paraId="6300AA3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058" w:type="dxa"/>
            <w:noWrap w:val="0"/>
            <w:vAlign w:val="top"/>
          </w:tcPr>
          <w:p w14:paraId="5BA0F4C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80" w:type="dxa"/>
            <w:noWrap w:val="0"/>
            <w:vAlign w:val="top"/>
          </w:tcPr>
          <w:p w14:paraId="4D006A0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06" w:type="dxa"/>
            <w:noWrap w:val="0"/>
            <w:vAlign w:val="top"/>
          </w:tcPr>
          <w:p w14:paraId="5403139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310" w:type="dxa"/>
            <w:noWrap w:val="0"/>
            <w:vAlign w:val="top"/>
          </w:tcPr>
          <w:p w14:paraId="641ECF1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906" w:type="dxa"/>
            <w:noWrap w:val="0"/>
            <w:vAlign w:val="top"/>
          </w:tcPr>
          <w:p w14:paraId="49D2005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652" w:type="dxa"/>
            <w:noWrap w:val="0"/>
            <w:vAlign w:val="top"/>
          </w:tcPr>
          <w:p w14:paraId="55A48AF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r>
      <w:tr w14:paraId="2C04D6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4688896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top"/>
          </w:tcPr>
          <w:p w14:paraId="4B41EB3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50" w:type="dxa"/>
            <w:noWrap w:val="0"/>
            <w:vAlign w:val="top"/>
          </w:tcPr>
          <w:p w14:paraId="31C788B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058" w:type="dxa"/>
            <w:noWrap w:val="0"/>
            <w:vAlign w:val="top"/>
          </w:tcPr>
          <w:p w14:paraId="720A020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80" w:type="dxa"/>
            <w:noWrap w:val="0"/>
            <w:vAlign w:val="top"/>
          </w:tcPr>
          <w:p w14:paraId="61CD69D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06" w:type="dxa"/>
            <w:noWrap w:val="0"/>
            <w:vAlign w:val="top"/>
          </w:tcPr>
          <w:p w14:paraId="357A887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310" w:type="dxa"/>
            <w:noWrap w:val="0"/>
            <w:vAlign w:val="top"/>
          </w:tcPr>
          <w:p w14:paraId="4B38D13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906" w:type="dxa"/>
            <w:noWrap w:val="0"/>
            <w:vAlign w:val="top"/>
          </w:tcPr>
          <w:p w14:paraId="3D49829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652" w:type="dxa"/>
            <w:noWrap w:val="0"/>
            <w:vAlign w:val="top"/>
          </w:tcPr>
          <w:p w14:paraId="3BCF7C8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r>
      <w:tr w14:paraId="348A2D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691CAA9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top"/>
          </w:tcPr>
          <w:p w14:paraId="113E4D9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50" w:type="dxa"/>
            <w:noWrap w:val="0"/>
            <w:vAlign w:val="top"/>
          </w:tcPr>
          <w:p w14:paraId="288D5D8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058" w:type="dxa"/>
            <w:noWrap w:val="0"/>
            <w:vAlign w:val="top"/>
          </w:tcPr>
          <w:p w14:paraId="19775E2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80" w:type="dxa"/>
            <w:noWrap w:val="0"/>
            <w:vAlign w:val="top"/>
          </w:tcPr>
          <w:p w14:paraId="26B4958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06" w:type="dxa"/>
            <w:noWrap w:val="0"/>
            <w:vAlign w:val="top"/>
          </w:tcPr>
          <w:p w14:paraId="3997C16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310" w:type="dxa"/>
            <w:noWrap w:val="0"/>
            <w:vAlign w:val="top"/>
          </w:tcPr>
          <w:p w14:paraId="4857B51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906" w:type="dxa"/>
            <w:noWrap w:val="0"/>
            <w:vAlign w:val="top"/>
          </w:tcPr>
          <w:p w14:paraId="015C393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652" w:type="dxa"/>
            <w:noWrap w:val="0"/>
            <w:vAlign w:val="top"/>
          </w:tcPr>
          <w:p w14:paraId="0435852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r>
      <w:tr w14:paraId="19D9EB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661C695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top"/>
          </w:tcPr>
          <w:p w14:paraId="7838313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50" w:type="dxa"/>
            <w:noWrap w:val="0"/>
            <w:vAlign w:val="top"/>
          </w:tcPr>
          <w:p w14:paraId="4100209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058" w:type="dxa"/>
            <w:noWrap w:val="0"/>
            <w:vAlign w:val="top"/>
          </w:tcPr>
          <w:p w14:paraId="45EFA27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80" w:type="dxa"/>
            <w:noWrap w:val="0"/>
            <w:vAlign w:val="top"/>
          </w:tcPr>
          <w:p w14:paraId="25CBEFA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06" w:type="dxa"/>
            <w:noWrap w:val="0"/>
            <w:vAlign w:val="top"/>
          </w:tcPr>
          <w:p w14:paraId="673063D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310" w:type="dxa"/>
            <w:noWrap w:val="0"/>
            <w:vAlign w:val="top"/>
          </w:tcPr>
          <w:p w14:paraId="59700AB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906" w:type="dxa"/>
            <w:noWrap w:val="0"/>
            <w:vAlign w:val="top"/>
          </w:tcPr>
          <w:p w14:paraId="01B12AE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652" w:type="dxa"/>
            <w:noWrap w:val="0"/>
            <w:vAlign w:val="top"/>
          </w:tcPr>
          <w:p w14:paraId="6827734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r>
      <w:tr w14:paraId="7A18CC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2CE9BBE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418" w:type="dxa"/>
            <w:noWrap w:val="0"/>
            <w:vAlign w:val="top"/>
          </w:tcPr>
          <w:p w14:paraId="2021F0A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50" w:type="dxa"/>
            <w:noWrap w:val="0"/>
            <w:vAlign w:val="top"/>
          </w:tcPr>
          <w:p w14:paraId="0DC4D91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058" w:type="dxa"/>
            <w:noWrap w:val="0"/>
            <w:vAlign w:val="top"/>
          </w:tcPr>
          <w:p w14:paraId="41BDA6A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80" w:type="dxa"/>
            <w:noWrap w:val="0"/>
            <w:vAlign w:val="top"/>
          </w:tcPr>
          <w:p w14:paraId="41E9B08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806" w:type="dxa"/>
            <w:noWrap w:val="0"/>
            <w:vAlign w:val="top"/>
          </w:tcPr>
          <w:p w14:paraId="54157C4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1310" w:type="dxa"/>
            <w:noWrap w:val="0"/>
            <w:vAlign w:val="top"/>
          </w:tcPr>
          <w:p w14:paraId="46778FE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906" w:type="dxa"/>
            <w:noWrap w:val="0"/>
            <w:vAlign w:val="top"/>
          </w:tcPr>
          <w:p w14:paraId="2745F54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c>
          <w:tcPr>
            <w:tcW w:w="652" w:type="dxa"/>
            <w:noWrap w:val="0"/>
            <w:vAlign w:val="top"/>
          </w:tcPr>
          <w:p w14:paraId="28FAB22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tc>
      </w:tr>
    </w:tbl>
    <w:p w14:paraId="09D1032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p w14:paraId="4DB13E3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p w14:paraId="4CACBAF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p w14:paraId="3BF30BDE">
      <w:pPr>
        <w:pStyle w:val="9"/>
        <w:rPr>
          <w:rFonts w:hint="eastAsia" w:ascii="宋体" w:hAnsi="宋体" w:eastAsia="宋体" w:cs="宋体"/>
          <w:color w:val="000000" w:themeColor="text1"/>
          <w:sz w:val="21"/>
          <w:szCs w:val="21"/>
          <w:highlight w:val="none"/>
          <w14:textFill>
            <w14:solidFill>
              <w14:schemeClr w14:val="tx1"/>
            </w14:solidFill>
          </w14:textFill>
        </w:rPr>
      </w:pPr>
    </w:p>
    <w:p w14:paraId="5F8790A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附件6：</w:t>
      </w:r>
    </w:p>
    <w:p w14:paraId="250B4F6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承包人主要施工管理人员表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148"/>
        <w:gridCol w:w="941"/>
        <w:gridCol w:w="1134"/>
        <w:gridCol w:w="3660"/>
      </w:tblGrid>
      <w:tr w14:paraId="094452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28DB4F2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名    称</w:t>
            </w:r>
          </w:p>
        </w:tc>
        <w:tc>
          <w:tcPr>
            <w:tcW w:w="1148" w:type="dxa"/>
            <w:tcBorders>
              <w:top w:val="single" w:color="auto" w:sz="12" w:space="0"/>
              <w:bottom w:val="double" w:color="auto" w:sz="6" w:space="0"/>
            </w:tcBorders>
            <w:noWrap w:val="0"/>
            <w:vAlign w:val="center"/>
          </w:tcPr>
          <w:p w14:paraId="4082A24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姓名</w:t>
            </w:r>
          </w:p>
        </w:tc>
        <w:tc>
          <w:tcPr>
            <w:tcW w:w="941" w:type="dxa"/>
            <w:tcBorders>
              <w:top w:val="single" w:color="auto" w:sz="12" w:space="0"/>
              <w:bottom w:val="double" w:color="auto" w:sz="6" w:space="0"/>
            </w:tcBorders>
            <w:noWrap w:val="0"/>
            <w:vAlign w:val="center"/>
          </w:tcPr>
          <w:p w14:paraId="2938162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职务</w:t>
            </w:r>
          </w:p>
        </w:tc>
        <w:tc>
          <w:tcPr>
            <w:tcW w:w="1134" w:type="dxa"/>
            <w:tcBorders>
              <w:top w:val="single" w:color="auto" w:sz="12" w:space="0"/>
              <w:bottom w:val="double" w:color="auto" w:sz="6" w:space="0"/>
            </w:tcBorders>
            <w:noWrap w:val="0"/>
            <w:vAlign w:val="center"/>
          </w:tcPr>
          <w:p w14:paraId="2C531BB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职称</w:t>
            </w:r>
          </w:p>
        </w:tc>
        <w:tc>
          <w:tcPr>
            <w:tcW w:w="3660" w:type="dxa"/>
            <w:tcBorders>
              <w:top w:val="single" w:color="auto" w:sz="12" w:space="0"/>
              <w:bottom w:val="double" w:color="auto" w:sz="6" w:space="0"/>
            </w:tcBorders>
            <w:noWrap w:val="0"/>
            <w:vAlign w:val="center"/>
          </w:tcPr>
          <w:p w14:paraId="11B759D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主要资历、经验及承担过的项目</w:t>
            </w:r>
          </w:p>
        </w:tc>
      </w:tr>
      <w:tr w14:paraId="39546C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double" w:color="auto" w:sz="6" w:space="0"/>
              <w:bottom w:val="single" w:color="auto" w:sz="6" w:space="0"/>
            </w:tcBorders>
            <w:noWrap w:val="0"/>
            <w:vAlign w:val="center"/>
          </w:tcPr>
          <w:p w14:paraId="0F251DA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一、总部人员</w:t>
            </w:r>
          </w:p>
        </w:tc>
      </w:tr>
      <w:tr w14:paraId="60E997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8787E6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项目主管</w:t>
            </w:r>
          </w:p>
        </w:tc>
        <w:tc>
          <w:tcPr>
            <w:tcW w:w="1148" w:type="dxa"/>
            <w:tcBorders>
              <w:top w:val="nil"/>
            </w:tcBorders>
            <w:noWrap w:val="0"/>
            <w:vAlign w:val="center"/>
          </w:tcPr>
          <w:p w14:paraId="5A9A62E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41" w:type="dxa"/>
            <w:tcBorders>
              <w:top w:val="nil"/>
            </w:tcBorders>
            <w:noWrap w:val="0"/>
            <w:vAlign w:val="center"/>
          </w:tcPr>
          <w:p w14:paraId="25101C0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tcBorders>
              <w:top w:val="nil"/>
            </w:tcBorders>
            <w:noWrap w:val="0"/>
            <w:vAlign w:val="center"/>
          </w:tcPr>
          <w:p w14:paraId="1AA84A8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660" w:type="dxa"/>
            <w:tcBorders>
              <w:top w:val="nil"/>
            </w:tcBorders>
            <w:noWrap w:val="0"/>
            <w:vAlign w:val="center"/>
          </w:tcPr>
          <w:p w14:paraId="2D5B77A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708338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4B808CE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48" w:type="dxa"/>
            <w:noWrap w:val="0"/>
            <w:vAlign w:val="center"/>
          </w:tcPr>
          <w:p w14:paraId="000CBF9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41" w:type="dxa"/>
            <w:noWrap w:val="0"/>
            <w:vAlign w:val="center"/>
          </w:tcPr>
          <w:p w14:paraId="588373C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0FCAD9C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660" w:type="dxa"/>
            <w:noWrap w:val="0"/>
            <w:vAlign w:val="center"/>
          </w:tcPr>
          <w:p w14:paraId="4BF1D44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60D2AD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970515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其他人员</w:t>
            </w:r>
          </w:p>
        </w:tc>
        <w:tc>
          <w:tcPr>
            <w:tcW w:w="1148" w:type="dxa"/>
            <w:noWrap w:val="0"/>
            <w:vAlign w:val="center"/>
          </w:tcPr>
          <w:p w14:paraId="5BE8035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41" w:type="dxa"/>
            <w:noWrap w:val="0"/>
            <w:vAlign w:val="center"/>
          </w:tcPr>
          <w:p w14:paraId="497EE0D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233F393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660" w:type="dxa"/>
            <w:noWrap w:val="0"/>
            <w:vAlign w:val="center"/>
          </w:tcPr>
          <w:p w14:paraId="20FFA7A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62B14C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72E1BB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48" w:type="dxa"/>
            <w:noWrap w:val="0"/>
            <w:vAlign w:val="center"/>
          </w:tcPr>
          <w:p w14:paraId="359A904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41" w:type="dxa"/>
            <w:noWrap w:val="0"/>
            <w:vAlign w:val="center"/>
          </w:tcPr>
          <w:p w14:paraId="690B098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0B480F3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660" w:type="dxa"/>
            <w:noWrap w:val="0"/>
            <w:vAlign w:val="center"/>
          </w:tcPr>
          <w:p w14:paraId="78D778F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1335DC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single" w:color="auto" w:sz="6" w:space="0"/>
              <w:bottom w:val="single" w:color="auto" w:sz="6" w:space="0"/>
            </w:tcBorders>
            <w:noWrap w:val="0"/>
            <w:vAlign w:val="center"/>
          </w:tcPr>
          <w:p w14:paraId="031E14F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二、现场人员</w:t>
            </w:r>
          </w:p>
        </w:tc>
      </w:tr>
      <w:tr w14:paraId="60DED3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5A2154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项目经理</w:t>
            </w:r>
          </w:p>
        </w:tc>
        <w:tc>
          <w:tcPr>
            <w:tcW w:w="1148" w:type="dxa"/>
            <w:noWrap w:val="0"/>
            <w:vAlign w:val="center"/>
          </w:tcPr>
          <w:p w14:paraId="140B52B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41" w:type="dxa"/>
            <w:noWrap w:val="0"/>
            <w:vAlign w:val="center"/>
          </w:tcPr>
          <w:p w14:paraId="79805A1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406568D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660" w:type="dxa"/>
            <w:noWrap w:val="0"/>
            <w:vAlign w:val="center"/>
          </w:tcPr>
          <w:p w14:paraId="57C6017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4C3A28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2F0862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项目副经理</w:t>
            </w:r>
          </w:p>
        </w:tc>
        <w:tc>
          <w:tcPr>
            <w:tcW w:w="1148" w:type="dxa"/>
            <w:noWrap w:val="0"/>
            <w:vAlign w:val="center"/>
          </w:tcPr>
          <w:p w14:paraId="5D1A9B3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41" w:type="dxa"/>
            <w:noWrap w:val="0"/>
            <w:vAlign w:val="center"/>
          </w:tcPr>
          <w:p w14:paraId="26F7BD1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215D2BD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660" w:type="dxa"/>
            <w:noWrap w:val="0"/>
            <w:vAlign w:val="center"/>
          </w:tcPr>
          <w:p w14:paraId="7549653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6AE76B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46C024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技术负责人</w:t>
            </w:r>
          </w:p>
        </w:tc>
        <w:tc>
          <w:tcPr>
            <w:tcW w:w="1148" w:type="dxa"/>
            <w:noWrap w:val="0"/>
            <w:vAlign w:val="center"/>
          </w:tcPr>
          <w:p w14:paraId="5D0AFCC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41" w:type="dxa"/>
            <w:noWrap w:val="0"/>
            <w:vAlign w:val="center"/>
          </w:tcPr>
          <w:p w14:paraId="1ACBF93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714370A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660" w:type="dxa"/>
            <w:noWrap w:val="0"/>
            <w:vAlign w:val="center"/>
          </w:tcPr>
          <w:p w14:paraId="0151ACC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48EA77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56F620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造价管理</w:t>
            </w:r>
          </w:p>
        </w:tc>
        <w:tc>
          <w:tcPr>
            <w:tcW w:w="1148" w:type="dxa"/>
            <w:noWrap w:val="0"/>
            <w:vAlign w:val="center"/>
          </w:tcPr>
          <w:p w14:paraId="0D8AD11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41" w:type="dxa"/>
            <w:noWrap w:val="0"/>
            <w:vAlign w:val="center"/>
          </w:tcPr>
          <w:p w14:paraId="7B3E129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21BD3F8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660" w:type="dxa"/>
            <w:noWrap w:val="0"/>
            <w:vAlign w:val="center"/>
          </w:tcPr>
          <w:p w14:paraId="468C071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18703D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3C70D9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质量管理</w:t>
            </w:r>
          </w:p>
        </w:tc>
        <w:tc>
          <w:tcPr>
            <w:tcW w:w="1148" w:type="dxa"/>
            <w:noWrap w:val="0"/>
            <w:vAlign w:val="center"/>
          </w:tcPr>
          <w:p w14:paraId="225362F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41" w:type="dxa"/>
            <w:noWrap w:val="0"/>
            <w:vAlign w:val="center"/>
          </w:tcPr>
          <w:p w14:paraId="108EE4A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7567AE4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660" w:type="dxa"/>
            <w:noWrap w:val="0"/>
            <w:vAlign w:val="center"/>
          </w:tcPr>
          <w:p w14:paraId="3554AE2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617EE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41AD2F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材料管理</w:t>
            </w:r>
          </w:p>
        </w:tc>
        <w:tc>
          <w:tcPr>
            <w:tcW w:w="1148" w:type="dxa"/>
            <w:noWrap w:val="0"/>
            <w:vAlign w:val="center"/>
          </w:tcPr>
          <w:p w14:paraId="6612748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41" w:type="dxa"/>
            <w:noWrap w:val="0"/>
            <w:vAlign w:val="center"/>
          </w:tcPr>
          <w:p w14:paraId="3CBF024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0F0787B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660" w:type="dxa"/>
            <w:noWrap w:val="0"/>
            <w:vAlign w:val="center"/>
          </w:tcPr>
          <w:p w14:paraId="4F95ED0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68FC42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25C379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计划管理</w:t>
            </w:r>
          </w:p>
        </w:tc>
        <w:tc>
          <w:tcPr>
            <w:tcW w:w="1148" w:type="dxa"/>
            <w:noWrap w:val="0"/>
            <w:vAlign w:val="center"/>
          </w:tcPr>
          <w:p w14:paraId="18CD1AA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41" w:type="dxa"/>
            <w:noWrap w:val="0"/>
            <w:vAlign w:val="center"/>
          </w:tcPr>
          <w:p w14:paraId="2158895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25E2C3C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660" w:type="dxa"/>
            <w:noWrap w:val="0"/>
            <w:vAlign w:val="center"/>
          </w:tcPr>
          <w:p w14:paraId="4632C4D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7DB7AA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930934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安全管理</w:t>
            </w:r>
          </w:p>
        </w:tc>
        <w:tc>
          <w:tcPr>
            <w:tcW w:w="1148" w:type="dxa"/>
            <w:noWrap w:val="0"/>
            <w:vAlign w:val="center"/>
          </w:tcPr>
          <w:p w14:paraId="02D00ED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41" w:type="dxa"/>
            <w:noWrap w:val="0"/>
            <w:vAlign w:val="center"/>
          </w:tcPr>
          <w:p w14:paraId="5753D25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5424BE5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660" w:type="dxa"/>
            <w:noWrap w:val="0"/>
            <w:vAlign w:val="center"/>
          </w:tcPr>
          <w:p w14:paraId="1EDFF58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78F1A2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25088B4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其他人员</w:t>
            </w:r>
          </w:p>
        </w:tc>
        <w:tc>
          <w:tcPr>
            <w:tcW w:w="1148" w:type="dxa"/>
            <w:noWrap w:val="0"/>
            <w:vAlign w:val="center"/>
          </w:tcPr>
          <w:p w14:paraId="0D76128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41" w:type="dxa"/>
            <w:noWrap w:val="0"/>
            <w:vAlign w:val="center"/>
          </w:tcPr>
          <w:p w14:paraId="5F67019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6A6BA65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660" w:type="dxa"/>
            <w:noWrap w:val="0"/>
            <w:vAlign w:val="center"/>
          </w:tcPr>
          <w:p w14:paraId="5DEF60F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14AC69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47A105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48" w:type="dxa"/>
            <w:tcBorders>
              <w:bottom w:val="nil"/>
            </w:tcBorders>
            <w:noWrap w:val="0"/>
            <w:vAlign w:val="center"/>
          </w:tcPr>
          <w:p w14:paraId="6DF553A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41" w:type="dxa"/>
            <w:tcBorders>
              <w:bottom w:val="nil"/>
            </w:tcBorders>
            <w:noWrap w:val="0"/>
            <w:vAlign w:val="center"/>
          </w:tcPr>
          <w:p w14:paraId="5240AE8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tcBorders>
              <w:bottom w:val="nil"/>
            </w:tcBorders>
            <w:noWrap w:val="0"/>
            <w:vAlign w:val="center"/>
          </w:tcPr>
          <w:p w14:paraId="2C6772B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660" w:type="dxa"/>
            <w:tcBorders>
              <w:bottom w:val="nil"/>
            </w:tcBorders>
            <w:noWrap w:val="0"/>
            <w:vAlign w:val="center"/>
          </w:tcPr>
          <w:p w14:paraId="3324119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5F30A0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264F32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48" w:type="dxa"/>
            <w:noWrap w:val="0"/>
            <w:vAlign w:val="center"/>
          </w:tcPr>
          <w:p w14:paraId="5324A08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41" w:type="dxa"/>
            <w:noWrap w:val="0"/>
            <w:vAlign w:val="center"/>
          </w:tcPr>
          <w:p w14:paraId="41A98E4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662A87E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660" w:type="dxa"/>
            <w:noWrap w:val="0"/>
            <w:vAlign w:val="center"/>
          </w:tcPr>
          <w:p w14:paraId="0DA1518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2BC166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04EC53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48" w:type="dxa"/>
            <w:noWrap w:val="0"/>
            <w:vAlign w:val="center"/>
          </w:tcPr>
          <w:p w14:paraId="1F8D826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41" w:type="dxa"/>
            <w:noWrap w:val="0"/>
            <w:vAlign w:val="center"/>
          </w:tcPr>
          <w:p w14:paraId="0355E9A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148A35C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660" w:type="dxa"/>
            <w:noWrap w:val="0"/>
            <w:vAlign w:val="center"/>
          </w:tcPr>
          <w:p w14:paraId="0C7EFEC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76B2CD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59B0AB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48" w:type="dxa"/>
            <w:noWrap w:val="0"/>
            <w:vAlign w:val="center"/>
          </w:tcPr>
          <w:p w14:paraId="3E5EA5B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41" w:type="dxa"/>
            <w:noWrap w:val="0"/>
            <w:vAlign w:val="center"/>
          </w:tcPr>
          <w:p w14:paraId="64E7860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noWrap w:val="0"/>
            <w:vAlign w:val="center"/>
          </w:tcPr>
          <w:p w14:paraId="02F4779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660" w:type="dxa"/>
            <w:noWrap w:val="0"/>
            <w:vAlign w:val="center"/>
          </w:tcPr>
          <w:p w14:paraId="59C395F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1B1EC0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493E248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48" w:type="dxa"/>
            <w:tcBorders>
              <w:bottom w:val="single" w:color="auto" w:sz="12" w:space="0"/>
            </w:tcBorders>
            <w:noWrap w:val="0"/>
            <w:vAlign w:val="center"/>
          </w:tcPr>
          <w:p w14:paraId="7E4452C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41" w:type="dxa"/>
            <w:tcBorders>
              <w:bottom w:val="single" w:color="auto" w:sz="12" w:space="0"/>
            </w:tcBorders>
            <w:noWrap w:val="0"/>
            <w:vAlign w:val="center"/>
          </w:tcPr>
          <w:p w14:paraId="1535A8F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134" w:type="dxa"/>
            <w:tcBorders>
              <w:bottom w:val="single" w:color="auto" w:sz="12" w:space="0"/>
            </w:tcBorders>
            <w:noWrap w:val="0"/>
            <w:vAlign w:val="center"/>
          </w:tcPr>
          <w:p w14:paraId="064DA8F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660" w:type="dxa"/>
            <w:tcBorders>
              <w:bottom w:val="single" w:color="auto" w:sz="12" w:space="0"/>
            </w:tcBorders>
            <w:noWrap w:val="0"/>
            <w:vAlign w:val="center"/>
          </w:tcPr>
          <w:p w14:paraId="7382F3C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bl>
    <w:p w14:paraId="7C1CD38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r>
        <w:rPr>
          <w:rFonts w:hint="eastAsia" w:ascii="宋体" w:hAnsi="宋体" w:eastAsia="宋体" w:cs="宋体"/>
          <w:color w:val="000000" w:themeColor="text1"/>
          <w:sz w:val="21"/>
          <w:szCs w:val="21"/>
          <w:highlight w:val="none"/>
          <w14:textFill>
            <w14:solidFill>
              <w14:schemeClr w14:val="tx1"/>
            </w14:solidFill>
          </w14:textFill>
        </w:rPr>
        <w:t>附件7：</w:t>
      </w:r>
    </w:p>
    <w:p w14:paraId="459E49F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分包人主要施工管理人员表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63"/>
        <w:gridCol w:w="1418"/>
        <w:gridCol w:w="928"/>
        <w:gridCol w:w="902"/>
        <w:gridCol w:w="3814"/>
      </w:tblGrid>
      <w:tr w14:paraId="75F9F3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12" w:space="0"/>
              <w:bottom w:val="double" w:color="auto" w:sz="6" w:space="0"/>
            </w:tcBorders>
            <w:noWrap w:val="0"/>
            <w:vAlign w:val="center"/>
          </w:tcPr>
          <w:p w14:paraId="3B22BA5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名    称</w:t>
            </w:r>
          </w:p>
        </w:tc>
        <w:tc>
          <w:tcPr>
            <w:tcW w:w="1418" w:type="dxa"/>
            <w:tcBorders>
              <w:top w:val="single" w:color="auto" w:sz="12" w:space="0"/>
              <w:bottom w:val="double" w:color="auto" w:sz="6" w:space="0"/>
            </w:tcBorders>
            <w:noWrap w:val="0"/>
            <w:vAlign w:val="center"/>
          </w:tcPr>
          <w:p w14:paraId="0646521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姓名</w:t>
            </w:r>
          </w:p>
        </w:tc>
        <w:tc>
          <w:tcPr>
            <w:tcW w:w="928" w:type="dxa"/>
            <w:tcBorders>
              <w:top w:val="single" w:color="auto" w:sz="12" w:space="0"/>
              <w:bottom w:val="double" w:color="auto" w:sz="6" w:space="0"/>
            </w:tcBorders>
            <w:noWrap w:val="0"/>
            <w:vAlign w:val="center"/>
          </w:tcPr>
          <w:p w14:paraId="6E31488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职务</w:t>
            </w:r>
          </w:p>
        </w:tc>
        <w:tc>
          <w:tcPr>
            <w:tcW w:w="902" w:type="dxa"/>
            <w:tcBorders>
              <w:top w:val="single" w:color="auto" w:sz="12" w:space="0"/>
              <w:bottom w:val="double" w:color="auto" w:sz="6" w:space="0"/>
            </w:tcBorders>
            <w:noWrap w:val="0"/>
            <w:vAlign w:val="center"/>
          </w:tcPr>
          <w:p w14:paraId="0451305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职称</w:t>
            </w:r>
          </w:p>
        </w:tc>
        <w:tc>
          <w:tcPr>
            <w:tcW w:w="3814" w:type="dxa"/>
            <w:tcBorders>
              <w:top w:val="single" w:color="auto" w:sz="12" w:space="0"/>
              <w:bottom w:val="double" w:color="auto" w:sz="6" w:space="0"/>
            </w:tcBorders>
            <w:noWrap w:val="0"/>
            <w:vAlign w:val="center"/>
          </w:tcPr>
          <w:p w14:paraId="75DB73C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主要资历、经验及承担过的项目</w:t>
            </w:r>
          </w:p>
        </w:tc>
      </w:tr>
      <w:tr w14:paraId="5B7A7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double" w:color="auto" w:sz="6" w:space="0"/>
              <w:bottom w:val="single" w:color="auto" w:sz="6" w:space="0"/>
            </w:tcBorders>
            <w:noWrap w:val="0"/>
            <w:vAlign w:val="center"/>
          </w:tcPr>
          <w:p w14:paraId="609677B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一、总部人员</w:t>
            </w:r>
          </w:p>
        </w:tc>
      </w:tr>
      <w:tr w14:paraId="2AAB6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379EC53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项目主管</w:t>
            </w:r>
          </w:p>
        </w:tc>
        <w:tc>
          <w:tcPr>
            <w:tcW w:w="1418" w:type="dxa"/>
            <w:tcBorders>
              <w:top w:val="nil"/>
            </w:tcBorders>
            <w:noWrap w:val="0"/>
            <w:vAlign w:val="center"/>
          </w:tcPr>
          <w:p w14:paraId="40C28E2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28" w:type="dxa"/>
            <w:tcBorders>
              <w:top w:val="nil"/>
            </w:tcBorders>
            <w:noWrap w:val="0"/>
            <w:vAlign w:val="center"/>
          </w:tcPr>
          <w:p w14:paraId="1FB0FAF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2" w:type="dxa"/>
            <w:tcBorders>
              <w:top w:val="nil"/>
            </w:tcBorders>
            <w:noWrap w:val="0"/>
            <w:vAlign w:val="center"/>
          </w:tcPr>
          <w:p w14:paraId="7B79FC1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814" w:type="dxa"/>
            <w:tcBorders>
              <w:top w:val="nil"/>
            </w:tcBorders>
            <w:noWrap w:val="0"/>
            <w:vAlign w:val="center"/>
          </w:tcPr>
          <w:p w14:paraId="3E1F557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71DF5B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nil"/>
            </w:tcBorders>
            <w:noWrap w:val="0"/>
            <w:vAlign w:val="center"/>
          </w:tcPr>
          <w:p w14:paraId="0954303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8" w:type="dxa"/>
            <w:noWrap w:val="0"/>
            <w:vAlign w:val="center"/>
          </w:tcPr>
          <w:p w14:paraId="2F9A513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28" w:type="dxa"/>
            <w:noWrap w:val="0"/>
            <w:vAlign w:val="center"/>
          </w:tcPr>
          <w:p w14:paraId="24BCB0C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2" w:type="dxa"/>
            <w:noWrap w:val="0"/>
            <w:vAlign w:val="center"/>
          </w:tcPr>
          <w:p w14:paraId="1E60119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814" w:type="dxa"/>
            <w:noWrap w:val="0"/>
            <w:vAlign w:val="center"/>
          </w:tcPr>
          <w:p w14:paraId="59ACAFC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60238F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39F3BEF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其他人员</w:t>
            </w:r>
          </w:p>
        </w:tc>
        <w:tc>
          <w:tcPr>
            <w:tcW w:w="1418" w:type="dxa"/>
            <w:noWrap w:val="0"/>
            <w:vAlign w:val="center"/>
          </w:tcPr>
          <w:p w14:paraId="2CCD316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28" w:type="dxa"/>
            <w:noWrap w:val="0"/>
            <w:vAlign w:val="center"/>
          </w:tcPr>
          <w:p w14:paraId="7E1FD97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2" w:type="dxa"/>
            <w:noWrap w:val="0"/>
            <w:vAlign w:val="center"/>
          </w:tcPr>
          <w:p w14:paraId="24182EC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814" w:type="dxa"/>
            <w:noWrap w:val="0"/>
            <w:vAlign w:val="center"/>
          </w:tcPr>
          <w:p w14:paraId="19CC361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0DEAF0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039B377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8" w:type="dxa"/>
            <w:noWrap w:val="0"/>
            <w:vAlign w:val="center"/>
          </w:tcPr>
          <w:p w14:paraId="472031E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28" w:type="dxa"/>
            <w:noWrap w:val="0"/>
            <w:vAlign w:val="center"/>
          </w:tcPr>
          <w:p w14:paraId="4EE17F4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2" w:type="dxa"/>
            <w:noWrap w:val="0"/>
            <w:vAlign w:val="center"/>
          </w:tcPr>
          <w:p w14:paraId="6663885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814" w:type="dxa"/>
            <w:noWrap w:val="0"/>
            <w:vAlign w:val="center"/>
          </w:tcPr>
          <w:p w14:paraId="50E0B53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1516B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single" w:color="auto" w:sz="6" w:space="0"/>
              <w:bottom w:val="single" w:color="auto" w:sz="6" w:space="0"/>
            </w:tcBorders>
            <w:noWrap w:val="0"/>
            <w:vAlign w:val="center"/>
          </w:tcPr>
          <w:p w14:paraId="640DE85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二、现场人员</w:t>
            </w:r>
          </w:p>
        </w:tc>
      </w:tr>
      <w:tr w14:paraId="4A4A70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7E76BD6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项目经理</w:t>
            </w:r>
          </w:p>
        </w:tc>
        <w:tc>
          <w:tcPr>
            <w:tcW w:w="1418" w:type="dxa"/>
            <w:noWrap w:val="0"/>
            <w:vAlign w:val="center"/>
          </w:tcPr>
          <w:p w14:paraId="363FCAB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28" w:type="dxa"/>
            <w:noWrap w:val="0"/>
            <w:vAlign w:val="center"/>
          </w:tcPr>
          <w:p w14:paraId="45DFCE6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2" w:type="dxa"/>
            <w:noWrap w:val="0"/>
            <w:vAlign w:val="center"/>
          </w:tcPr>
          <w:p w14:paraId="0DDE4B6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814" w:type="dxa"/>
            <w:noWrap w:val="0"/>
            <w:vAlign w:val="center"/>
          </w:tcPr>
          <w:p w14:paraId="243C943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3FF105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3CB4F5D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项目副经理</w:t>
            </w:r>
          </w:p>
        </w:tc>
        <w:tc>
          <w:tcPr>
            <w:tcW w:w="1418" w:type="dxa"/>
            <w:noWrap w:val="0"/>
            <w:vAlign w:val="center"/>
          </w:tcPr>
          <w:p w14:paraId="12AED4E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28" w:type="dxa"/>
            <w:noWrap w:val="0"/>
            <w:vAlign w:val="center"/>
          </w:tcPr>
          <w:p w14:paraId="2F4206E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2" w:type="dxa"/>
            <w:noWrap w:val="0"/>
            <w:vAlign w:val="center"/>
          </w:tcPr>
          <w:p w14:paraId="05F9625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814" w:type="dxa"/>
            <w:noWrap w:val="0"/>
            <w:vAlign w:val="center"/>
          </w:tcPr>
          <w:p w14:paraId="0F8EE2F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51A6F2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5F6EEC3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技术负责人</w:t>
            </w:r>
          </w:p>
        </w:tc>
        <w:tc>
          <w:tcPr>
            <w:tcW w:w="1418" w:type="dxa"/>
            <w:noWrap w:val="0"/>
            <w:vAlign w:val="center"/>
          </w:tcPr>
          <w:p w14:paraId="54071F0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28" w:type="dxa"/>
            <w:noWrap w:val="0"/>
            <w:vAlign w:val="center"/>
          </w:tcPr>
          <w:p w14:paraId="1816622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2" w:type="dxa"/>
            <w:noWrap w:val="0"/>
            <w:vAlign w:val="center"/>
          </w:tcPr>
          <w:p w14:paraId="6D27C95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814" w:type="dxa"/>
            <w:noWrap w:val="0"/>
            <w:vAlign w:val="center"/>
          </w:tcPr>
          <w:p w14:paraId="2F671C3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0C8AB9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2842AD8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造价管理</w:t>
            </w:r>
          </w:p>
        </w:tc>
        <w:tc>
          <w:tcPr>
            <w:tcW w:w="1418" w:type="dxa"/>
            <w:noWrap w:val="0"/>
            <w:vAlign w:val="center"/>
          </w:tcPr>
          <w:p w14:paraId="17C1CA4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28" w:type="dxa"/>
            <w:noWrap w:val="0"/>
            <w:vAlign w:val="center"/>
          </w:tcPr>
          <w:p w14:paraId="0D824F2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2" w:type="dxa"/>
            <w:noWrap w:val="0"/>
            <w:vAlign w:val="center"/>
          </w:tcPr>
          <w:p w14:paraId="106AD03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814" w:type="dxa"/>
            <w:noWrap w:val="0"/>
            <w:vAlign w:val="center"/>
          </w:tcPr>
          <w:p w14:paraId="6958EF4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39E4A4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01ECDAE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质量管理</w:t>
            </w:r>
          </w:p>
        </w:tc>
        <w:tc>
          <w:tcPr>
            <w:tcW w:w="1418" w:type="dxa"/>
            <w:noWrap w:val="0"/>
            <w:vAlign w:val="center"/>
          </w:tcPr>
          <w:p w14:paraId="4176BA9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28" w:type="dxa"/>
            <w:noWrap w:val="0"/>
            <w:vAlign w:val="center"/>
          </w:tcPr>
          <w:p w14:paraId="10CA380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2" w:type="dxa"/>
            <w:noWrap w:val="0"/>
            <w:vAlign w:val="center"/>
          </w:tcPr>
          <w:p w14:paraId="06B1CACA">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814" w:type="dxa"/>
            <w:noWrap w:val="0"/>
            <w:vAlign w:val="center"/>
          </w:tcPr>
          <w:p w14:paraId="637C1A5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50ED9D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0054907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材料管理</w:t>
            </w:r>
          </w:p>
        </w:tc>
        <w:tc>
          <w:tcPr>
            <w:tcW w:w="1418" w:type="dxa"/>
            <w:noWrap w:val="0"/>
            <w:vAlign w:val="center"/>
          </w:tcPr>
          <w:p w14:paraId="4DBEFDC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28" w:type="dxa"/>
            <w:noWrap w:val="0"/>
            <w:vAlign w:val="center"/>
          </w:tcPr>
          <w:p w14:paraId="7AACBB3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2" w:type="dxa"/>
            <w:noWrap w:val="0"/>
            <w:vAlign w:val="center"/>
          </w:tcPr>
          <w:p w14:paraId="6C22E0AD">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814" w:type="dxa"/>
            <w:noWrap w:val="0"/>
            <w:vAlign w:val="center"/>
          </w:tcPr>
          <w:p w14:paraId="4809888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34B305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2376972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计划管理</w:t>
            </w:r>
          </w:p>
        </w:tc>
        <w:tc>
          <w:tcPr>
            <w:tcW w:w="1418" w:type="dxa"/>
            <w:noWrap w:val="0"/>
            <w:vAlign w:val="center"/>
          </w:tcPr>
          <w:p w14:paraId="13DF96C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28" w:type="dxa"/>
            <w:noWrap w:val="0"/>
            <w:vAlign w:val="center"/>
          </w:tcPr>
          <w:p w14:paraId="466D0D43">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2" w:type="dxa"/>
            <w:noWrap w:val="0"/>
            <w:vAlign w:val="center"/>
          </w:tcPr>
          <w:p w14:paraId="0EB55FD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814" w:type="dxa"/>
            <w:noWrap w:val="0"/>
            <w:vAlign w:val="center"/>
          </w:tcPr>
          <w:p w14:paraId="2FFCF7E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0E20F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6A11644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安全管理</w:t>
            </w:r>
          </w:p>
        </w:tc>
        <w:tc>
          <w:tcPr>
            <w:tcW w:w="1418" w:type="dxa"/>
            <w:noWrap w:val="0"/>
            <w:vAlign w:val="center"/>
          </w:tcPr>
          <w:p w14:paraId="455BA47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28" w:type="dxa"/>
            <w:noWrap w:val="0"/>
            <w:vAlign w:val="center"/>
          </w:tcPr>
          <w:p w14:paraId="2755D37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2" w:type="dxa"/>
            <w:noWrap w:val="0"/>
            <w:vAlign w:val="center"/>
          </w:tcPr>
          <w:p w14:paraId="085D47D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814" w:type="dxa"/>
            <w:noWrap w:val="0"/>
            <w:vAlign w:val="center"/>
          </w:tcPr>
          <w:p w14:paraId="3174B97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2D5F3F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restart"/>
            <w:tcBorders>
              <w:top w:val="single" w:color="auto" w:sz="6" w:space="0"/>
            </w:tcBorders>
            <w:noWrap w:val="0"/>
            <w:vAlign w:val="center"/>
          </w:tcPr>
          <w:p w14:paraId="46765A5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其他人员</w:t>
            </w:r>
          </w:p>
        </w:tc>
        <w:tc>
          <w:tcPr>
            <w:tcW w:w="1418" w:type="dxa"/>
            <w:noWrap w:val="0"/>
            <w:vAlign w:val="center"/>
          </w:tcPr>
          <w:p w14:paraId="29AE794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28" w:type="dxa"/>
            <w:noWrap w:val="0"/>
            <w:vAlign w:val="center"/>
          </w:tcPr>
          <w:p w14:paraId="04595C8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2" w:type="dxa"/>
            <w:noWrap w:val="0"/>
            <w:vAlign w:val="center"/>
          </w:tcPr>
          <w:p w14:paraId="58A9947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814" w:type="dxa"/>
            <w:noWrap w:val="0"/>
            <w:vAlign w:val="center"/>
          </w:tcPr>
          <w:p w14:paraId="0D268998">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3F9F36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4B7E685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8" w:type="dxa"/>
            <w:tcBorders>
              <w:bottom w:val="nil"/>
            </w:tcBorders>
            <w:noWrap w:val="0"/>
            <w:vAlign w:val="center"/>
          </w:tcPr>
          <w:p w14:paraId="10A0FD3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28" w:type="dxa"/>
            <w:tcBorders>
              <w:bottom w:val="nil"/>
            </w:tcBorders>
            <w:noWrap w:val="0"/>
            <w:vAlign w:val="center"/>
          </w:tcPr>
          <w:p w14:paraId="40806DA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2" w:type="dxa"/>
            <w:tcBorders>
              <w:bottom w:val="nil"/>
            </w:tcBorders>
            <w:noWrap w:val="0"/>
            <w:vAlign w:val="center"/>
          </w:tcPr>
          <w:p w14:paraId="4EB5CD2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814" w:type="dxa"/>
            <w:tcBorders>
              <w:bottom w:val="nil"/>
            </w:tcBorders>
            <w:noWrap w:val="0"/>
            <w:vAlign w:val="center"/>
          </w:tcPr>
          <w:p w14:paraId="65C9EA22">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33FBFB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38F0BFC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8" w:type="dxa"/>
            <w:noWrap w:val="0"/>
            <w:vAlign w:val="center"/>
          </w:tcPr>
          <w:p w14:paraId="2D27089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28" w:type="dxa"/>
            <w:noWrap w:val="0"/>
            <w:vAlign w:val="center"/>
          </w:tcPr>
          <w:p w14:paraId="60D3C07F">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2" w:type="dxa"/>
            <w:noWrap w:val="0"/>
            <w:vAlign w:val="center"/>
          </w:tcPr>
          <w:p w14:paraId="4EC17E20">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814" w:type="dxa"/>
            <w:noWrap w:val="0"/>
            <w:vAlign w:val="center"/>
          </w:tcPr>
          <w:p w14:paraId="0982526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7F95DE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45C0E1C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8" w:type="dxa"/>
            <w:noWrap w:val="0"/>
            <w:vAlign w:val="center"/>
          </w:tcPr>
          <w:p w14:paraId="18A0E2D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28" w:type="dxa"/>
            <w:noWrap w:val="0"/>
            <w:vAlign w:val="center"/>
          </w:tcPr>
          <w:p w14:paraId="0511F7E9">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2" w:type="dxa"/>
            <w:noWrap w:val="0"/>
            <w:vAlign w:val="center"/>
          </w:tcPr>
          <w:p w14:paraId="537884D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814" w:type="dxa"/>
            <w:noWrap w:val="0"/>
            <w:vAlign w:val="center"/>
          </w:tcPr>
          <w:p w14:paraId="7B04CC6B">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0FFE73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18425556">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8" w:type="dxa"/>
            <w:noWrap w:val="0"/>
            <w:vAlign w:val="center"/>
          </w:tcPr>
          <w:p w14:paraId="699756F1">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28" w:type="dxa"/>
            <w:noWrap w:val="0"/>
            <w:vAlign w:val="center"/>
          </w:tcPr>
          <w:p w14:paraId="5AD8014C">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2" w:type="dxa"/>
            <w:noWrap w:val="0"/>
            <w:vAlign w:val="center"/>
          </w:tcPr>
          <w:p w14:paraId="5B3084D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814" w:type="dxa"/>
            <w:noWrap w:val="0"/>
            <w:vAlign w:val="center"/>
          </w:tcPr>
          <w:p w14:paraId="794CB92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r w14:paraId="078769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tcBorders>
              <w:bottom w:val="single" w:color="auto" w:sz="12" w:space="0"/>
            </w:tcBorders>
            <w:noWrap w:val="0"/>
            <w:vAlign w:val="center"/>
          </w:tcPr>
          <w:p w14:paraId="45C195C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1418" w:type="dxa"/>
            <w:tcBorders>
              <w:bottom w:val="single" w:color="auto" w:sz="12" w:space="0"/>
            </w:tcBorders>
            <w:noWrap w:val="0"/>
            <w:vAlign w:val="center"/>
          </w:tcPr>
          <w:p w14:paraId="62544205">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28" w:type="dxa"/>
            <w:tcBorders>
              <w:bottom w:val="single" w:color="auto" w:sz="12" w:space="0"/>
            </w:tcBorders>
            <w:noWrap w:val="0"/>
            <w:vAlign w:val="center"/>
          </w:tcPr>
          <w:p w14:paraId="0C14AAB7">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902" w:type="dxa"/>
            <w:tcBorders>
              <w:bottom w:val="single" w:color="auto" w:sz="12" w:space="0"/>
            </w:tcBorders>
            <w:noWrap w:val="0"/>
            <w:vAlign w:val="center"/>
          </w:tcPr>
          <w:p w14:paraId="1D26E5A4">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c>
          <w:tcPr>
            <w:tcW w:w="3814" w:type="dxa"/>
            <w:tcBorders>
              <w:bottom w:val="single" w:color="auto" w:sz="12" w:space="0"/>
            </w:tcBorders>
            <w:noWrap w:val="0"/>
            <w:vAlign w:val="center"/>
          </w:tcPr>
          <w:p w14:paraId="159A961E">
            <w:pPr>
              <w:pStyle w:val="9"/>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tc>
      </w:tr>
    </w:tbl>
    <w:p w14:paraId="4599586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r>
        <w:rPr>
          <w:rFonts w:hint="eastAsia" w:ascii="宋体" w:hAnsi="宋体" w:eastAsia="宋体" w:cs="宋体"/>
          <w:color w:val="000000" w:themeColor="text1"/>
          <w:sz w:val="21"/>
          <w:szCs w:val="21"/>
          <w:highlight w:val="none"/>
          <w14:textFill>
            <w14:solidFill>
              <w14:schemeClr w14:val="tx1"/>
            </w14:solidFill>
          </w14:textFill>
        </w:rPr>
        <w:t>附件8：</w:t>
      </w:r>
    </w:p>
    <w:p w14:paraId="46449C8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履约担保</w:t>
      </w:r>
    </w:p>
    <w:p w14:paraId="4982731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（发包人名称）：</w:t>
      </w:r>
    </w:p>
    <w:p w14:paraId="169F70E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p w14:paraId="69652EE0">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鉴于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（发包人名称，以下简称“发包人”）与</w:t>
      </w:r>
    </w:p>
    <w:p w14:paraId="4AAFC53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（承包人名称）（以下称“承包人”）于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日就</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（工程名称）施工及有关事项协商一致共同签订《建设工程施工合同》。我方愿意无条件地、不可撤销地就承包人履行与你方签订的合同，向你方提供连带责任担保。 </w:t>
      </w:r>
    </w:p>
    <w:p w14:paraId="45231B79">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担保金额人民币（大写）</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元（¥</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14:paraId="17FA132B">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担保有效期自你方与承包人签订的合同生效之日起至你方签发或应签发工程接收证书之日止。</w:t>
      </w:r>
    </w:p>
    <w:p w14:paraId="43CC6C5C">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在本担保有效期内，因承包人违反合同约定的义务给你方造成经济损失时，我方在收到你方以书面形式提出的在担保金额内的赔偿要求后，在7天内无条件支付。</w:t>
      </w:r>
    </w:p>
    <w:p w14:paraId="0FFD0AF5">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 你方和承包人按合同约定变更合同时，我方承担本担保规定的义务不变。</w:t>
      </w:r>
    </w:p>
    <w:p w14:paraId="51542EFD">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 因本保函发生的纠纷，可由双方协商解决，协商不成的，任何一方均可提请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仲裁委员会仲裁。</w:t>
      </w:r>
    </w:p>
    <w:p w14:paraId="49F662B3">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 本保函自我方法定代表人（或其授权代理人）签字并加盖公章之日起生效。</w:t>
      </w:r>
    </w:p>
    <w:p w14:paraId="587FF15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p w14:paraId="312C470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担 保 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（盖单位章）</w:t>
      </w:r>
    </w:p>
    <w:p w14:paraId="7936E43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法定代表人或其委托代理人：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（签字）</w:t>
      </w:r>
    </w:p>
    <w:p w14:paraId="3286721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    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72E4D4C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邮政编码：</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0F3FF63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5F017E8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传    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4E89CF7D">
      <w:pPr>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000000" w:themeColor="text1"/>
          <w:sz w:val="21"/>
          <w:szCs w:val="21"/>
          <w:highlight w:val="none"/>
          <w:u w:val="single"/>
          <w14:textFill>
            <w14:solidFill>
              <w14:schemeClr w14:val="tx1"/>
            </w14:solidFill>
          </w14:textFill>
        </w:rPr>
      </w:pPr>
    </w:p>
    <w:p w14:paraId="2EEA7CE7">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w:t>
      </w:r>
    </w:p>
    <w:p w14:paraId="13EB782E">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000000" w:themeColor="text1"/>
          <w:sz w:val="21"/>
          <w:szCs w:val="21"/>
          <w:highlight w:val="none"/>
          <w14:textFill>
            <w14:solidFill>
              <w14:schemeClr w14:val="tx1"/>
            </w14:solidFill>
          </w14:textFill>
        </w:rPr>
      </w:pPr>
    </w:p>
    <w:p w14:paraId="61D19956">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000000" w:themeColor="text1"/>
          <w:sz w:val="21"/>
          <w:szCs w:val="21"/>
          <w:highlight w:val="none"/>
          <w14:textFill>
            <w14:solidFill>
              <w14:schemeClr w14:val="tx1"/>
            </w14:solidFill>
          </w14:textFill>
        </w:rPr>
      </w:pPr>
    </w:p>
    <w:p w14:paraId="10B8F1CC">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000000" w:themeColor="text1"/>
          <w:sz w:val="21"/>
          <w:szCs w:val="21"/>
          <w:highlight w:val="none"/>
          <w14:textFill>
            <w14:solidFill>
              <w14:schemeClr w14:val="tx1"/>
            </w14:solidFill>
          </w14:textFill>
        </w:rPr>
      </w:pPr>
    </w:p>
    <w:p w14:paraId="3A8601B6">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000000" w:themeColor="text1"/>
          <w:sz w:val="21"/>
          <w:szCs w:val="21"/>
          <w:highlight w:val="none"/>
          <w14:textFill>
            <w14:solidFill>
              <w14:schemeClr w14:val="tx1"/>
            </w14:solidFill>
          </w14:textFill>
        </w:rPr>
      </w:pPr>
    </w:p>
    <w:p w14:paraId="44396B4F">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000000" w:themeColor="text1"/>
          <w:sz w:val="21"/>
          <w:szCs w:val="21"/>
          <w:highlight w:val="none"/>
          <w14:textFill>
            <w14:solidFill>
              <w14:schemeClr w14:val="tx1"/>
            </w14:solidFill>
          </w14:textFill>
        </w:rPr>
      </w:pPr>
    </w:p>
    <w:p w14:paraId="14DE587C">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000000" w:themeColor="text1"/>
          <w:sz w:val="21"/>
          <w:szCs w:val="21"/>
          <w:highlight w:val="none"/>
          <w14:textFill>
            <w14:solidFill>
              <w14:schemeClr w14:val="tx1"/>
            </w14:solidFill>
          </w14:textFill>
        </w:rPr>
      </w:pPr>
    </w:p>
    <w:p w14:paraId="1C8E956D">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000000" w:themeColor="text1"/>
          <w:sz w:val="21"/>
          <w:szCs w:val="21"/>
          <w:highlight w:val="none"/>
          <w14:textFill>
            <w14:solidFill>
              <w14:schemeClr w14:val="tx1"/>
            </w14:solidFill>
          </w14:textFill>
        </w:rPr>
      </w:pPr>
    </w:p>
    <w:p w14:paraId="1AA2CF58">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000000" w:themeColor="text1"/>
          <w:sz w:val="21"/>
          <w:szCs w:val="21"/>
          <w:highlight w:val="none"/>
          <w14:textFill>
            <w14:solidFill>
              <w14:schemeClr w14:val="tx1"/>
            </w14:solidFill>
          </w14:textFill>
        </w:rPr>
      </w:pPr>
    </w:p>
    <w:p w14:paraId="6451108C">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000000" w:themeColor="text1"/>
          <w:sz w:val="21"/>
          <w:szCs w:val="21"/>
          <w:highlight w:val="none"/>
          <w14:textFill>
            <w14:solidFill>
              <w14:schemeClr w14:val="tx1"/>
            </w14:solidFill>
          </w14:textFill>
        </w:rPr>
      </w:pPr>
    </w:p>
    <w:p w14:paraId="4C6A3EAF">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000000" w:themeColor="text1"/>
          <w:sz w:val="21"/>
          <w:szCs w:val="21"/>
          <w:highlight w:val="none"/>
          <w14:textFill>
            <w14:solidFill>
              <w14:schemeClr w14:val="tx1"/>
            </w14:solidFill>
          </w14:textFill>
        </w:rPr>
      </w:pPr>
    </w:p>
    <w:p w14:paraId="6163D2AE">
      <w:pPr>
        <w:pStyle w:val="9"/>
        <w:rPr>
          <w:rFonts w:hint="eastAsia" w:ascii="宋体" w:hAnsi="宋体" w:eastAsia="宋体" w:cs="宋体"/>
          <w:color w:val="000000" w:themeColor="text1"/>
          <w:sz w:val="21"/>
          <w:szCs w:val="21"/>
          <w:highlight w:val="none"/>
          <w14:textFill>
            <w14:solidFill>
              <w14:schemeClr w14:val="tx1"/>
            </w14:solidFill>
          </w14:textFill>
        </w:rPr>
      </w:pPr>
    </w:p>
    <w:p w14:paraId="54A38F81">
      <w:pPr>
        <w:pStyle w:val="9"/>
        <w:rPr>
          <w:rFonts w:hint="eastAsia" w:ascii="宋体" w:hAnsi="宋体" w:eastAsia="宋体" w:cs="宋体"/>
          <w:color w:val="000000" w:themeColor="text1"/>
          <w:sz w:val="21"/>
          <w:szCs w:val="21"/>
          <w:highlight w:val="none"/>
          <w14:textFill>
            <w14:solidFill>
              <w14:schemeClr w14:val="tx1"/>
            </w14:solidFill>
          </w14:textFill>
        </w:rPr>
      </w:pPr>
    </w:p>
    <w:p w14:paraId="631BCA4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r>
        <w:rPr>
          <w:rFonts w:hint="eastAsia" w:ascii="宋体" w:hAnsi="宋体" w:eastAsia="宋体" w:cs="宋体"/>
          <w:color w:val="000000" w:themeColor="text1"/>
          <w:sz w:val="21"/>
          <w:szCs w:val="21"/>
          <w:highlight w:val="none"/>
          <w14:textFill>
            <w14:solidFill>
              <w14:schemeClr w14:val="tx1"/>
            </w14:solidFill>
          </w14:textFill>
        </w:rPr>
        <w:t>附</w:t>
      </w:r>
      <w:bookmarkStart w:id="1248" w:name="_Toc296503232"/>
      <w:bookmarkStart w:id="1249" w:name="_Toc296346733"/>
      <w:bookmarkStart w:id="1250" w:name="_Toc296891272"/>
      <w:bookmarkStart w:id="1251" w:name="_Toc296944571"/>
      <w:bookmarkStart w:id="1252" w:name="_Toc296891060"/>
      <w:bookmarkStart w:id="1253" w:name="_Toc267261702"/>
      <w:bookmarkStart w:id="1254" w:name="_Toc296347231"/>
      <w:r>
        <w:rPr>
          <w:rFonts w:hint="eastAsia" w:ascii="宋体" w:hAnsi="宋体" w:eastAsia="宋体" w:cs="宋体"/>
          <w:color w:val="000000" w:themeColor="text1"/>
          <w:sz w:val="21"/>
          <w:szCs w:val="21"/>
          <w:highlight w:val="none"/>
          <w14:textFill>
            <w14:solidFill>
              <w14:schemeClr w14:val="tx1"/>
            </w14:solidFill>
          </w14:textFill>
        </w:rPr>
        <w:t>件9 ：</w:t>
      </w:r>
    </w:p>
    <w:bookmarkEnd w:id="1248"/>
    <w:bookmarkEnd w:id="1249"/>
    <w:bookmarkEnd w:id="1250"/>
    <w:bookmarkEnd w:id="1251"/>
    <w:bookmarkEnd w:id="1252"/>
    <w:bookmarkEnd w:id="1253"/>
    <w:bookmarkEnd w:id="1254"/>
    <w:p w14:paraId="2D3E932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预付款担保</w:t>
      </w:r>
    </w:p>
    <w:p w14:paraId="6A34901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（发包人名称）：</w:t>
      </w:r>
    </w:p>
    <w:p w14:paraId="691544C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p w14:paraId="6F23F8C5">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（承包人名称）（以下称“承包人”）与</w:t>
      </w:r>
    </w:p>
    <w:p w14:paraId="1AD0539B">
      <w:pPr>
        <w:pageBreakBefore w:val="0"/>
        <w:widowControl w:val="0"/>
        <w:kinsoku/>
        <w:wordWrap/>
        <w:overflowPunct/>
        <w:topLinePunct w:val="0"/>
        <w:bidi w:val="0"/>
        <w:snapToGrid/>
        <w:spacing w:line="360" w:lineRule="exact"/>
        <w:ind w:left="0" w:leftChars="0" w:right="0" w:rightChars="0"/>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bookmarkStart w:id="1255" w:name="_Toc19561"/>
      <w:bookmarkStart w:id="1256" w:name="_Toc23079"/>
      <w:bookmarkStart w:id="1257" w:name="_Toc29110"/>
      <w:r>
        <w:rPr>
          <w:rFonts w:hint="eastAsia" w:ascii="宋体" w:hAnsi="宋体" w:eastAsia="宋体" w:cs="宋体"/>
          <w:color w:val="000000" w:themeColor="text1"/>
          <w:sz w:val="21"/>
          <w:szCs w:val="21"/>
          <w:highlight w:val="none"/>
          <w14:textFill>
            <w14:solidFill>
              <w14:schemeClr w14:val="tx1"/>
            </w14:solidFill>
          </w14:textFill>
        </w:rPr>
        <w:t>（发包人名称）（以下简称“发包人”）</w:t>
      </w:r>
      <w:bookmarkEnd w:id="1255"/>
      <w:bookmarkEnd w:id="1256"/>
      <w:bookmarkEnd w:id="1257"/>
    </w:p>
    <w:p w14:paraId="5DA415E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日签订的</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（工程名称）《建设工程施工合同》，承包人按约定的金额向你方提交一份预付款担保，即有权得到你方支付相等金额的预付款。我方愿意就你方提供给承包人的预付款为承包人提供连带责任担保。</w:t>
      </w:r>
    </w:p>
    <w:p w14:paraId="43AD1D84">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担保金额人民币（大写）</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元（¥</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14:paraId="1B84F7DE">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担保有效期自预付款支付给承包人起生效，至你方签发的进度款支付证书说明已完全扣清止。</w:t>
      </w:r>
    </w:p>
    <w:p w14:paraId="55D69D1B">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6B4ACF44">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 你方和承包人按合同约定变更合同时，我方承担本保函规定的义务不变。</w:t>
      </w:r>
    </w:p>
    <w:p w14:paraId="5D4724D7">
      <w:pPr>
        <w:pageBreakBefore w:val="0"/>
        <w:widowControl w:val="0"/>
        <w:kinsoku/>
        <w:wordWrap/>
        <w:overflowPunct/>
        <w:topLinePunct w:val="0"/>
        <w:bidi w:val="0"/>
        <w:snapToGrid/>
        <w:spacing w:line="360" w:lineRule="exact"/>
        <w:ind w:left="0" w:leftChars="0" w:right="0" w:rightChars="0"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 因本保函发生的纠纷，可由双方协商解决，协商不成的，任何一方均可提请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仲裁委员会仲裁。</w:t>
      </w:r>
    </w:p>
    <w:p w14:paraId="4A6E0844">
      <w:pPr>
        <w:pageBreakBefore w:val="0"/>
        <w:widowControl w:val="0"/>
        <w:kinsoku/>
        <w:wordWrap/>
        <w:overflowPunct/>
        <w:topLinePunct w:val="0"/>
        <w:bidi w:val="0"/>
        <w:snapToGrid/>
        <w:spacing w:line="360" w:lineRule="exact"/>
        <w:ind w:left="0" w:leftChars="0" w:right="0" w:rightChars="0"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 本保函自我方法定代表人（或其授权代理人）签字并加盖公章之日起生效。</w:t>
      </w:r>
    </w:p>
    <w:p w14:paraId="489E282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p w14:paraId="3658609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p>
    <w:p w14:paraId="2526CF8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担保人：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（盖单位章）</w:t>
      </w:r>
    </w:p>
    <w:p w14:paraId="571FEDF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法定代表人或其委托代理人：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（签字）</w:t>
      </w:r>
    </w:p>
    <w:p w14:paraId="6D16A85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    址：</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p>
    <w:p w14:paraId="022C407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邮政编码：</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p>
    <w:p w14:paraId="3F8F5E5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p>
    <w:p w14:paraId="5BDEE0B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传    真：</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u w:val="single"/>
          <w14:textFill>
            <w14:solidFill>
              <w14:schemeClr w14:val="tx1"/>
            </w14:solidFill>
          </w14:textFill>
        </w:rPr>
        <w:tab/>
      </w:r>
    </w:p>
    <w:p w14:paraId="61C7F6F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2D431C0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u w:val="single"/>
          <w14:textFill>
            <w14:solidFill>
              <w14:schemeClr w14:val="tx1"/>
            </w14:solidFill>
          </w14:textFill>
        </w:rPr>
      </w:pPr>
    </w:p>
    <w:p w14:paraId="41F8367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w:t>
      </w:r>
    </w:p>
    <w:p w14:paraId="5A1C1E08">
      <w:pPr>
        <w:spacing w:line="440" w:lineRule="exact"/>
        <w:rPr>
          <w:rFonts w:hint="eastAsia" w:ascii="宋体" w:hAnsi="宋体" w:eastAsia="宋体" w:cs="宋体"/>
          <w:color w:val="000000" w:themeColor="text1"/>
          <w:sz w:val="21"/>
          <w:szCs w:val="21"/>
          <w:highlight w:val="none"/>
          <w14:textFill>
            <w14:solidFill>
              <w14:schemeClr w14:val="tx1"/>
            </w14:solidFill>
          </w14:textFill>
        </w:rPr>
      </w:pPr>
      <w:r>
        <w:rPr>
          <w:rFonts w:eastAsia="仿宋_GB2312"/>
          <w:b/>
          <w:color w:val="000000" w:themeColor="text1"/>
          <w:sz w:val="30"/>
          <w:szCs w:val="30"/>
          <w:highlight w:val="none"/>
          <w14:textFill>
            <w14:solidFill>
              <w14:schemeClr w14:val="tx1"/>
            </w14:solidFill>
          </w14:textFill>
        </w:rPr>
        <w:br w:type="page"/>
      </w:r>
      <w:r>
        <w:rPr>
          <w:rFonts w:hint="eastAsia" w:ascii="宋体" w:hAnsi="宋体" w:eastAsia="宋体" w:cs="宋体"/>
          <w:color w:val="000000" w:themeColor="text1"/>
          <w:sz w:val="21"/>
          <w:szCs w:val="21"/>
          <w:highlight w:val="none"/>
          <w14:textFill>
            <w14:solidFill>
              <w14:schemeClr w14:val="tx1"/>
            </w14:solidFill>
          </w14:textFill>
        </w:rPr>
        <w:t xml:space="preserve">附件10:  </w:t>
      </w:r>
    </w:p>
    <w:p w14:paraId="5FFDF379">
      <w:pPr>
        <w:spacing w:before="120" w:beforeLines="50" w:after="120" w:afterLines="50" w:line="44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支付担保</w:t>
      </w:r>
    </w:p>
    <w:p w14:paraId="572FC064">
      <w:pPr>
        <w:spacing w:line="44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（承包人）：</w:t>
      </w:r>
    </w:p>
    <w:p w14:paraId="51529211">
      <w:pPr>
        <w:spacing w:line="440" w:lineRule="exact"/>
        <w:jc w:val="left"/>
        <w:rPr>
          <w:rFonts w:hint="eastAsia" w:ascii="宋体" w:hAnsi="宋体" w:eastAsia="宋体" w:cs="宋体"/>
          <w:color w:val="000000" w:themeColor="text1"/>
          <w:sz w:val="21"/>
          <w:szCs w:val="21"/>
          <w:highlight w:val="none"/>
          <w14:textFill>
            <w14:solidFill>
              <w14:schemeClr w14:val="tx1"/>
            </w14:solidFill>
          </w14:textFill>
        </w:rPr>
      </w:pPr>
    </w:p>
    <w:p w14:paraId="46D0F71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鉴于你方作为承包人已经与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（发包人名称）（以下称“发包人”）于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日签订了</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（工程名称）《建设工程施工合同》（以下称“主合同”），应发包人的申请，我方愿就发包人履行主合同约定的工程款支付义务以保证的方式向你方提供如下担保：</w:t>
      </w:r>
    </w:p>
    <w:p w14:paraId="57E1385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1258" w:name="_Toc31131"/>
      <w:bookmarkStart w:id="1259" w:name="_Toc25964"/>
      <w:bookmarkStart w:id="1260" w:name="_Toc20380"/>
      <w:r>
        <w:rPr>
          <w:rFonts w:hint="eastAsia" w:ascii="宋体" w:hAnsi="宋体" w:eastAsia="宋体" w:cs="宋体"/>
          <w:color w:val="000000" w:themeColor="text1"/>
          <w:sz w:val="21"/>
          <w:szCs w:val="21"/>
          <w:highlight w:val="none"/>
          <w14:textFill>
            <w14:solidFill>
              <w14:schemeClr w14:val="tx1"/>
            </w14:solidFill>
          </w14:textFill>
        </w:rPr>
        <w:t>一、保证的范围及保证金额</w:t>
      </w:r>
      <w:bookmarkEnd w:id="1258"/>
      <w:bookmarkEnd w:id="1259"/>
      <w:bookmarkEnd w:id="1260"/>
    </w:p>
    <w:p w14:paraId="423FF4E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我方的保证范围是主合同约定的工程款。</w:t>
      </w:r>
    </w:p>
    <w:p w14:paraId="39BFDED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本保函所称主合同约定的工程款是指主合同约定的除工程质量保证金以外的合同价款。</w:t>
      </w:r>
    </w:p>
    <w:p w14:paraId="6D3C556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我方保证的金额是主合同约定的工程款的</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%，数额最高不超过人民币元（大写：</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14:paraId="4C8A0C0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1261" w:name="_Toc10162"/>
      <w:bookmarkStart w:id="1262" w:name="_Toc31793"/>
      <w:bookmarkStart w:id="1263" w:name="_Toc16286"/>
      <w:r>
        <w:rPr>
          <w:rFonts w:hint="eastAsia" w:ascii="宋体" w:hAnsi="宋体" w:eastAsia="宋体" w:cs="宋体"/>
          <w:color w:val="000000" w:themeColor="text1"/>
          <w:sz w:val="21"/>
          <w:szCs w:val="21"/>
          <w:highlight w:val="none"/>
          <w14:textFill>
            <w14:solidFill>
              <w14:schemeClr w14:val="tx1"/>
            </w14:solidFill>
          </w14:textFill>
        </w:rPr>
        <w:t>二、保证的方式及保证期间</w:t>
      </w:r>
      <w:bookmarkEnd w:id="1261"/>
      <w:bookmarkEnd w:id="1262"/>
      <w:bookmarkEnd w:id="1263"/>
    </w:p>
    <w:p w14:paraId="15D733C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我方保证的方式为：连带责任保证。</w:t>
      </w:r>
    </w:p>
    <w:p w14:paraId="3A31200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我方保证的期间为：自本合同生效之日起至主合同约定的工程款支付完毕之日后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日内。</w:t>
      </w:r>
    </w:p>
    <w:p w14:paraId="71B8787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你方与发包人协议变更工程款支付日期的，经我方书面同意后，保证期间按照变更后的支付日期做相应调整。</w:t>
      </w:r>
    </w:p>
    <w:p w14:paraId="22F0488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1264" w:name="_Toc3217"/>
      <w:bookmarkStart w:id="1265" w:name="_Toc30478"/>
      <w:bookmarkStart w:id="1266" w:name="_Toc30010"/>
      <w:r>
        <w:rPr>
          <w:rFonts w:hint="eastAsia" w:ascii="宋体" w:hAnsi="宋体" w:eastAsia="宋体" w:cs="宋体"/>
          <w:color w:val="000000" w:themeColor="text1"/>
          <w:sz w:val="21"/>
          <w:szCs w:val="21"/>
          <w:highlight w:val="none"/>
          <w14:textFill>
            <w14:solidFill>
              <w14:schemeClr w14:val="tx1"/>
            </w14:solidFill>
          </w14:textFill>
        </w:rPr>
        <w:t>三、承担保证责任的形式</w:t>
      </w:r>
      <w:bookmarkEnd w:id="1264"/>
      <w:bookmarkEnd w:id="1265"/>
      <w:bookmarkEnd w:id="1266"/>
    </w:p>
    <w:p w14:paraId="415CF0B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我方承担保证责任的形式是代为支付。发包人未按主合同约定向你方支付工程款的，由我方在保证金额内代为支付。</w:t>
      </w:r>
    </w:p>
    <w:p w14:paraId="53B4A68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1267" w:name="_Toc11312"/>
      <w:bookmarkStart w:id="1268" w:name="_Toc19016"/>
      <w:bookmarkStart w:id="1269" w:name="_Toc4883"/>
      <w:r>
        <w:rPr>
          <w:rFonts w:hint="eastAsia" w:ascii="宋体" w:hAnsi="宋体" w:eastAsia="宋体" w:cs="宋体"/>
          <w:color w:val="000000" w:themeColor="text1"/>
          <w:sz w:val="21"/>
          <w:szCs w:val="21"/>
          <w:highlight w:val="none"/>
          <w14:textFill>
            <w14:solidFill>
              <w14:schemeClr w14:val="tx1"/>
            </w14:solidFill>
          </w14:textFill>
        </w:rPr>
        <w:t>四、代偿的安排</w:t>
      </w:r>
      <w:bookmarkEnd w:id="1267"/>
      <w:bookmarkEnd w:id="1268"/>
      <w:bookmarkEnd w:id="1269"/>
    </w:p>
    <w:p w14:paraId="7C48BB9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你方要求我方承担保证责任的，应向我方发出书面索赔通知及发包人未支付主合同约定工程款的证明材料。索赔通知应写明要求索赔的金额，支付款项应到达的账号。</w:t>
      </w:r>
    </w:p>
    <w:p w14:paraId="3DF103B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在出现你方与发包人因工程质量发生争议，发包人拒绝向你方支付工程款的情形时，你方要求我方履行保证责任代为支付的，需提供符合相应条件要求的工程质量检测机构出具的质量说明材料。</w:t>
      </w:r>
    </w:p>
    <w:p w14:paraId="4356F6D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我方收到你方的书面索赔通知及相应的证明材料后７天内无条件支付。</w:t>
      </w:r>
    </w:p>
    <w:p w14:paraId="715A6A4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1270" w:name="_Toc25107"/>
      <w:bookmarkStart w:id="1271" w:name="_Toc1507"/>
      <w:bookmarkStart w:id="1272" w:name="_Toc30624"/>
      <w:r>
        <w:rPr>
          <w:rFonts w:hint="eastAsia" w:ascii="宋体" w:hAnsi="宋体" w:eastAsia="宋体" w:cs="宋体"/>
          <w:color w:val="000000" w:themeColor="text1"/>
          <w:sz w:val="21"/>
          <w:szCs w:val="21"/>
          <w:highlight w:val="none"/>
          <w14:textFill>
            <w14:solidFill>
              <w14:schemeClr w14:val="tx1"/>
            </w14:solidFill>
          </w14:textFill>
        </w:rPr>
        <w:t>五、保证责任的解除</w:t>
      </w:r>
      <w:bookmarkEnd w:id="1270"/>
      <w:bookmarkEnd w:id="1271"/>
      <w:bookmarkEnd w:id="1272"/>
    </w:p>
    <w:p w14:paraId="5EC55BB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在本保函承诺的保证期间内，你方未书面向我方主张保证责任的，自保证期间届满次日起，我方保证责任解除。</w:t>
      </w:r>
    </w:p>
    <w:p w14:paraId="25295AC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发包人按主合同约定履行了工程款的全部支付义务的，自本保函承诺的保证期间届满次日起，我方保证责任解除。</w:t>
      </w:r>
    </w:p>
    <w:p w14:paraId="584AE98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我方按照本保函向你方履行保证责任所支付金额达到本保函保证金额时，自我方向你方支付（支付款项从我方账户划出）之日起，保证责任即解除。</w:t>
      </w:r>
    </w:p>
    <w:p w14:paraId="53E2D28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 按照法律法规的规定或出现应解除我方保证责任的其他情形的，我方在本保函项下的保证责任亦解除。</w:t>
      </w:r>
    </w:p>
    <w:p w14:paraId="50C8802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 我方解除保证责任后，你方应自我方保证责任解除之日起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个工作日内，将本保函原件返还我方。</w:t>
      </w:r>
    </w:p>
    <w:p w14:paraId="7013F9B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1273" w:name="_Toc23407"/>
      <w:bookmarkStart w:id="1274" w:name="_Toc11064"/>
      <w:bookmarkStart w:id="1275" w:name="_Toc3962"/>
      <w:r>
        <w:rPr>
          <w:rFonts w:hint="eastAsia" w:ascii="宋体" w:hAnsi="宋体" w:eastAsia="宋体" w:cs="宋体"/>
          <w:color w:val="000000" w:themeColor="text1"/>
          <w:sz w:val="21"/>
          <w:szCs w:val="21"/>
          <w:highlight w:val="none"/>
          <w14:textFill>
            <w14:solidFill>
              <w14:schemeClr w14:val="tx1"/>
            </w14:solidFill>
          </w14:textFill>
        </w:rPr>
        <w:t>六、免责条款</w:t>
      </w:r>
      <w:bookmarkEnd w:id="1273"/>
      <w:bookmarkEnd w:id="1274"/>
      <w:bookmarkEnd w:id="1275"/>
    </w:p>
    <w:p w14:paraId="39C428E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因你方违约致使发包人不能履行义务的，我方不承担保证责任。</w:t>
      </w:r>
    </w:p>
    <w:p w14:paraId="34CCECC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依照法律法规的规定或你方与发包人的另行约定，免除发包人部分或全部义务的，我方亦免除其相应的保证责任。</w:t>
      </w:r>
    </w:p>
    <w:p w14:paraId="130C083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你方与发包人协议变更主合同的，如加重发包人责任致使我方保证责任加重的，需征得我方书面同意，否则我方不再承担因此而加重部分的保证责任，但主合同第10条〔变更〕约定的变更不受本款限制。</w:t>
      </w:r>
    </w:p>
    <w:p w14:paraId="0F05825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 因不可抗力造成发包人不能履行义务的，我方不承担保证责任。</w:t>
      </w:r>
    </w:p>
    <w:p w14:paraId="1E469E3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1276" w:name="_Toc20106"/>
      <w:bookmarkStart w:id="1277" w:name="_Toc5169"/>
      <w:bookmarkStart w:id="1278" w:name="_Toc28001"/>
      <w:r>
        <w:rPr>
          <w:rFonts w:hint="eastAsia" w:ascii="宋体" w:hAnsi="宋体" w:eastAsia="宋体" w:cs="宋体"/>
          <w:color w:val="000000" w:themeColor="text1"/>
          <w:sz w:val="21"/>
          <w:szCs w:val="21"/>
          <w:highlight w:val="none"/>
          <w14:textFill>
            <w14:solidFill>
              <w14:schemeClr w14:val="tx1"/>
            </w14:solidFill>
          </w14:textFill>
        </w:rPr>
        <w:t>七、争议解决</w:t>
      </w:r>
      <w:bookmarkEnd w:id="1276"/>
      <w:bookmarkEnd w:id="1277"/>
      <w:bookmarkEnd w:id="1278"/>
    </w:p>
    <w:p w14:paraId="118ACE8D">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因本保函或本保函相关事项发生的纠纷，可由双方协商解决，协商不成的，按下列第</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种方式解决：</w:t>
      </w:r>
    </w:p>
    <w:p w14:paraId="13FAF8B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（1）向</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仲裁委员会申请仲裁；</w:t>
      </w:r>
    </w:p>
    <w:p w14:paraId="309773D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（2）向</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人民法院起诉。</w:t>
      </w:r>
    </w:p>
    <w:p w14:paraId="39FC0CF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1279" w:name="_Toc5124"/>
      <w:bookmarkStart w:id="1280" w:name="_Toc29914"/>
      <w:bookmarkStart w:id="1281" w:name="_Toc24785"/>
      <w:r>
        <w:rPr>
          <w:rFonts w:hint="eastAsia" w:ascii="宋体" w:hAnsi="宋体" w:eastAsia="宋体" w:cs="宋体"/>
          <w:color w:val="000000" w:themeColor="text1"/>
          <w:sz w:val="21"/>
          <w:szCs w:val="21"/>
          <w:highlight w:val="none"/>
          <w14:textFill>
            <w14:solidFill>
              <w14:schemeClr w14:val="tx1"/>
            </w14:solidFill>
          </w14:textFill>
        </w:rPr>
        <w:t>八、保函的生效</w:t>
      </w:r>
      <w:bookmarkEnd w:id="1279"/>
      <w:bookmarkEnd w:id="1280"/>
      <w:bookmarkEnd w:id="1281"/>
    </w:p>
    <w:p w14:paraId="329B5EF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本保函自我方法定代表人（或其授权代理人）签字并加盖公章之日起生效。</w:t>
      </w:r>
    </w:p>
    <w:p w14:paraId="4CA91F5A">
      <w:pPr>
        <w:spacing w:line="360" w:lineRule="auto"/>
        <w:ind w:right="600"/>
        <w:jc w:val="left"/>
        <w:rPr>
          <w:rFonts w:hint="eastAsia" w:ascii="宋体" w:hAnsi="宋体" w:eastAsia="宋体" w:cs="宋体"/>
          <w:color w:val="000000" w:themeColor="text1"/>
          <w:sz w:val="21"/>
          <w:szCs w:val="21"/>
          <w:highlight w:val="none"/>
          <w14:textFill>
            <w14:solidFill>
              <w14:schemeClr w14:val="tx1"/>
            </w14:solidFill>
          </w14:textFill>
        </w:rPr>
      </w:pPr>
    </w:p>
    <w:p w14:paraId="50F444BD">
      <w:pPr>
        <w:spacing w:line="360" w:lineRule="auto"/>
        <w:ind w:right="6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担保人：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（盖章）</w:t>
      </w:r>
    </w:p>
    <w:p w14:paraId="4E3E9B03">
      <w:pPr>
        <w:spacing w:line="360" w:lineRule="auto"/>
        <w:ind w:right="1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法定代表人或委托代理人：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（签字）</w:t>
      </w:r>
    </w:p>
    <w:p w14:paraId="2E951537">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    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01D8CD86">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邮政编码：</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2C915B3F">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传    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02FB3011">
      <w:pPr>
        <w:spacing w:line="360" w:lineRule="auto"/>
        <w:ind w:right="150" w:firstLine="420" w:firstLineChars="200"/>
        <w:jc w:val="left"/>
        <w:rPr>
          <w:rFonts w:hint="eastAsia" w:ascii="宋体" w:hAnsi="宋体" w:eastAsia="宋体" w:cs="宋体"/>
          <w:color w:val="000000" w:themeColor="text1"/>
          <w:sz w:val="21"/>
          <w:szCs w:val="21"/>
          <w:highlight w:val="none"/>
          <w:u w:val="single"/>
          <w14:textFill>
            <w14:solidFill>
              <w14:schemeClr w14:val="tx1"/>
            </w14:solidFill>
          </w14:textFill>
        </w:rPr>
      </w:pPr>
    </w:p>
    <w:p w14:paraId="45A450CE">
      <w:pPr>
        <w:spacing w:line="360" w:lineRule="auto"/>
        <w:ind w:right="150"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w:t>
      </w:r>
    </w:p>
    <w:p w14:paraId="2A73F51A">
      <w:pPr>
        <w:spacing w:line="440" w:lineRule="exact"/>
        <w:rPr>
          <w:rFonts w:eastAsia="黑体"/>
          <w:color w:val="000000" w:themeColor="text1"/>
          <w:sz w:val="30"/>
          <w:szCs w:val="30"/>
          <w:highlight w:val="none"/>
          <w14:textFill>
            <w14:solidFill>
              <w14:schemeClr w14:val="tx1"/>
            </w14:solidFill>
          </w14:textFill>
        </w:rPr>
      </w:pPr>
      <w:r>
        <w:rPr>
          <w:rFonts w:eastAsia="仿宋_GB2312"/>
          <w:color w:val="000000" w:themeColor="text1"/>
          <w:sz w:val="30"/>
          <w:szCs w:val="30"/>
          <w:highlight w:val="none"/>
          <w14:textFill>
            <w14:solidFill>
              <w14:schemeClr w14:val="tx1"/>
            </w14:solidFill>
          </w14:textFill>
        </w:rPr>
        <w:br w:type="page"/>
      </w:r>
      <w:r>
        <w:rPr>
          <w:rFonts w:hint="eastAsia" w:ascii="宋体" w:hAnsi="宋体" w:eastAsia="宋体" w:cs="宋体"/>
          <w:color w:val="000000" w:themeColor="text1"/>
          <w:sz w:val="21"/>
          <w:szCs w:val="21"/>
          <w:highlight w:val="none"/>
          <w14:textFill>
            <w14:solidFill>
              <w14:schemeClr w14:val="tx1"/>
            </w14:solidFill>
          </w14:textFill>
        </w:rPr>
        <w:t>附件11：</w:t>
      </w:r>
    </w:p>
    <w:p w14:paraId="7E555E22">
      <w:pPr>
        <w:spacing w:before="120" w:beforeLines="50" w:after="120" w:afterLines="50" w:line="44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bookmarkStart w:id="1282" w:name="_Toc18176"/>
      <w:bookmarkStart w:id="1283" w:name="_Toc20900"/>
      <w:bookmarkStart w:id="1284" w:name="_Toc15518"/>
      <w:r>
        <w:rPr>
          <w:rFonts w:hint="eastAsia" w:ascii="宋体" w:hAnsi="宋体" w:eastAsia="宋体" w:cs="宋体"/>
          <w:color w:val="000000" w:themeColor="text1"/>
          <w:sz w:val="21"/>
          <w:szCs w:val="21"/>
          <w:highlight w:val="none"/>
          <w14:textFill>
            <w14:solidFill>
              <w14:schemeClr w14:val="tx1"/>
            </w14:solidFill>
          </w14:textFill>
        </w:rPr>
        <w:t>11-1：材料暂估价表</w:t>
      </w:r>
      <w:bookmarkEnd w:id="1282"/>
      <w:bookmarkEnd w:id="1283"/>
      <w:bookmarkEnd w:id="1284"/>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4B4D5A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val="0"/>
            <w:vAlign w:val="top"/>
          </w:tcPr>
          <w:p w14:paraId="284E946D">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序号</w:t>
            </w:r>
          </w:p>
        </w:tc>
        <w:tc>
          <w:tcPr>
            <w:tcW w:w="1984" w:type="dxa"/>
            <w:tcBorders>
              <w:top w:val="single" w:color="auto" w:sz="12" w:space="0"/>
              <w:bottom w:val="double" w:color="auto" w:sz="6" w:space="0"/>
            </w:tcBorders>
            <w:noWrap w:val="0"/>
            <w:vAlign w:val="top"/>
          </w:tcPr>
          <w:p w14:paraId="523D0B0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名称</w:t>
            </w:r>
          </w:p>
        </w:tc>
        <w:tc>
          <w:tcPr>
            <w:tcW w:w="851" w:type="dxa"/>
            <w:tcBorders>
              <w:top w:val="single" w:color="auto" w:sz="12" w:space="0"/>
              <w:bottom w:val="double" w:color="auto" w:sz="6" w:space="0"/>
            </w:tcBorders>
            <w:noWrap w:val="0"/>
            <w:vAlign w:val="top"/>
          </w:tcPr>
          <w:p w14:paraId="688C57AC">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单位</w:t>
            </w:r>
          </w:p>
        </w:tc>
        <w:tc>
          <w:tcPr>
            <w:tcW w:w="774" w:type="dxa"/>
            <w:tcBorders>
              <w:top w:val="single" w:color="auto" w:sz="12" w:space="0"/>
              <w:bottom w:val="double" w:color="auto" w:sz="6" w:space="0"/>
            </w:tcBorders>
            <w:noWrap w:val="0"/>
            <w:vAlign w:val="top"/>
          </w:tcPr>
          <w:p w14:paraId="7965F2D8">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数量</w:t>
            </w:r>
          </w:p>
        </w:tc>
        <w:tc>
          <w:tcPr>
            <w:tcW w:w="1352" w:type="dxa"/>
            <w:tcBorders>
              <w:top w:val="single" w:color="auto" w:sz="12" w:space="0"/>
              <w:bottom w:val="double" w:color="auto" w:sz="6" w:space="0"/>
            </w:tcBorders>
            <w:noWrap w:val="0"/>
            <w:vAlign w:val="top"/>
          </w:tcPr>
          <w:p w14:paraId="4701F4B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单价</w:t>
            </w:r>
            <w:r>
              <w:rPr>
                <w:rFonts w:hint="eastAsia" w:ascii="等线" w:hAnsi="等线" w:eastAsia="仿宋_GB2312"/>
                <w:color w:val="000000" w:themeColor="text1"/>
                <w:kern w:val="2"/>
                <w:sz w:val="24"/>
                <w:szCs w:val="24"/>
                <w:highlight w:val="none"/>
                <w:lang w:val="en-US" w:eastAsia="zh-CN"/>
                <w14:textFill>
                  <w14:solidFill>
                    <w14:schemeClr w14:val="tx1"/>
                  </w14:solidFill>
                </w14:textFill>
              </w:rPr>
              <w:t>（元）</w:t>
            </w:r>
          </w:p>
        </w:tc>
        <w:tc>
          <w:tcPr>
            <w:tcW w:w="1418" w:type="dxa"/>
            <w:tcBorders>
              <w:top w:val="single" w:color="auto" w:sz="12" w:space="0"/>
              <w:bottom w:val="double" w:color="auto" w:sz="6" w:space="0"/>
            </w:tcBorders>
            <w:noWrap w:val="0"/>
            <w:vAlign w:val="top"/>
          </w:tcPr>
          <w:p w14:paraId="1F458B4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合价</w:t>
            </w:r>
            <w:r>
              <w:rPr>
                <w:rFonts w:hint="eastAsia" w:ascii="等线" w:hAnsi="等线" w:eastAsia="仿宋_GB2312"/>
                <w:color w:val="000000" w:themeColor="text1"/>
                <w:kern w:val="2"/>
                <w:sz w:val="24"/>
                <w:szCs w:val="24"/>
                <w:highlight w:val="none"/>
                <w:lang w:val="en-US" w:eastAsia="zh-CN"/>
                <w14:textFill>
                  <w14:solidFill>
                    <w14:schemeClr w14:val="tx1"/>
                  </w14:solidFill>
                </w14:textFill>
              </w:rPr>
              <w:t>（元）</w:t>
            </w:r>
          </w:p>
        </w:tc>
        <w:tc>
          <w:tcPr>
            <w:tcW w:w="1303" w:type="dxa"/>
            <w:tcBorders>
              <w:top w:val="single" w:color="auto" w:sz="12" w:space="0"/>
              <w:bottom w:val="double" w:color="auto" w:sz="6" w:space="0"/>
            </w:tcBorders>
            <w:noWrap w:val="0"/>
            <w:vAlign w:val="top"/>
          </w:tcPr>
          <w:p w14:paraId="44C8389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备注</w:t>
            </w:r>
          </w:p>
        </w:tc>
      </w:tr>
      <w:tr w14:paraId="4B3C0B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val="0"/>
            <w:vAlign w:val="top"/>
          </w:tcPr>
          <w:p w14:paraId="5F8998A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tcBorders>
              <w:top w:val="double" w:color="auto" w:sz="6" w:space="0"/>
              <w:bottom w:val="single" w:color="auto" w:sz="6" w:space="0"/>
            </w:tcBorders>
            <w:noWrap w:val="0"/>
            <w:vAlign w:val="top"/>
          </w:tcPr>
          <w:p w14:paraId="02AC2A5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tcBorders>
              <w:top w:val="double" w:color="auto" w:sz="6" w:space="0"/>
              <w:bottom w:val="single" w:color="auto" w:sz="6" w:space="0"/>
            </w:tcBorders>
            <w:noWrap w:val="0"/>
            <w:vAlign w:val="top"/>
          </w:tcPr>
          <w:p w14:paraId="4CB19906">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tcBorders>
              <w:top w:val="double" w:color="auto" w:sz="6" w:space="0"/>
              <w:bottom w:val="single" w:color="auto" w:sz="6" w:space="0"/>
            </w:tcBorders>
            <w:noWrap w:val="0"/>
            <w:vAlign w:val="top"/>
          </w:tcPr>
          <w:p w14:paraId="06A7AAE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tcBorders>
              <w:top w:val="double" w:color="auto" w:sz="6" w:space="0"/>
              <w:bottom w:val="single" w:color="auto" w:sz="6" w:space="0"/>
            </w:tcBorders>
            <w:noWrap w:val="0"/>
            <w:vAlign w:val="top"/>
          </w:tcPr>
          <w:p w14:paraId="4BC0622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tcBorders>
              <w:top w:val="double" w:color="auto" w:sz="6" w:space="0"/>
              <w:bottom w:val="single" w:color="auto" w:sz="6" w:space="0"/>
            </w:tcBorders>
            <w:noWrap w:val="0"/>
            <w:vAlign w:val="top"/>
          </w:tcPr>
          <w:p w14:paraId="027AAAE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tcBorders>
              <w:top w:val="double" w:color="auto" w:sz="6" w:space="0"/>
              <w:bottom w:val="single" w:color="auto" w:sz="6" w:space="0"/>
            </w:tcBorders>
            <w:noWrap w:val="0"/>
            <w:vAlign w:val="top"/>
          </w:tcPr>
          <w:p w14:paraId="1352BEF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2027B3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val="0"/>
            <w:vAlign w:val="top"/>
          </w:tcPr>
          <w:p w14:paraId="619230B6">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tcBorders>
              <w:top w:val="nil"/>
            </w:tcBorders>
            <w:noWrap w:val="0"/>
            <w:vAlign w:val="top"/>
          </w:tcPr>
          <w:p w14:paraId="635781D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tcBorders>
              <w:top w:val="nil"/>
            </w:tcBorders>
            <w:noWrap w:val="0"/>
            <w:vAlign w:val="top"/>
          </w:tcPr>
          <w:p w14:paraId="2C002EA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tcBorders>
              <w:top w:val="nil"/>
            </w:tcBorders>
            <w:noWrap w:val="0"/>
            <w:vAlign w:val="top"/>
          </w:tcPr>
          <w:p w14:paraId="6DE972CE">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tcBorders>
              <w:top w:val="nil"/>
            </w:tcBorders>
            <w:noWrap w:val="0"/>
            <w:vAlign w:val="top"/>
          </w:tcPr>
          <w:p w14:paraId="3CCD7C4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tcBorders>
              <w:top w:val="nil"/>
            </w:tcBorders>
            <w:noWrap w:val="0"/>
            <w:vAlign w:val="top"/>
          </w:tcPr>
          <w:p w14:paraId="0B584596">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tcBorders>
              <w:top w:val="nil"/>
            </w:tcBorders>
            <w:noWrap w:val="0"/>
            <w:vAlign w:val="top"/>
          </w:tcPr>
          <w:p w14:paraId="4DAC071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1F03AA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C49DBD9">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1813A34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2CEB02F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632184B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0AA536C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70F4C63C">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51A1F12A">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78F8F7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0D9C52A">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374EA8BC">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2073281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1419D4D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344E11D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2AA4E23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52EB158C">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0B651E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FD8BE1D">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302DA49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439859A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2154031C">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2EBADCB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4E68496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460B5B2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0A8F64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D6F7008">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45C4FD2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18C4806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3F4068B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5261CC46">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24E5231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3995ADD9">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6160E5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904AB09">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53183EF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78EA61E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6BC11BDD">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4C00289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760EDDF6">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3E66AD9D">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7FD816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DB08D7E">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6076BBC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21F5D4F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0806C63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6D2D0D98">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106CB81A">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77FC5D29">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16D823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A52CA8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16DFA51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19CBDE39">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3C4BE36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0C03CD57">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45F4D46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15BE7BE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05804D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DF573C9">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7F939588">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6AFD9069">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20C0AD78">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31A340A8">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32B738FA">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3FAE4BE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401CEA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636DDA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759229BC">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7E3F1C7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2D18AB9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6E23971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1232A167">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01E44249">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75ABAC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80BB4E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21E6FAE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1AA547D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05FBB86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6B165FCA">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6442C70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07432C7A">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654C6B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01295F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1981A7C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01991A1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2623371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0A5095E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44B43C0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4DC120FE">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331A40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8A337E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750BC846">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62DD799C">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7E9A12C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2D55380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4DD494DA">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4C8B261C">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1F5C4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5F6150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739F32FD">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3157BBCD">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2B00677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0D1AE8A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0C4827C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2344F12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4B7877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AFC060E">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0ED771A9">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209270A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0D0DBEBD">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387EDC78">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671AF81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359D0947">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2288D4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1B0AD3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48DC9EB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204A8D7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2F30A83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7C40589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3C0D877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33D1ADF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37DEFE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452E86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3B7B61A8">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24EB574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687F00E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4E429196">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562A774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0A622FFA">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25A26B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7D2E039">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5F1618D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31403B5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5C254577">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67E6346C">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31BAD06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3976BB8D">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7EA279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9A5A7F8">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05F3EC1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2EE268BC">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2E428CED">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60F4539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76884BF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0D772558">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7D3B04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43B070E">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146BEF66">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058997E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365B4F8C">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5DCE606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1AB676EC">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1017C85E">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0B04A7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80B3E1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4615206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674809E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6E04333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193BA87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39750318">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78E2AA77">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737FAC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DBEDA06">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70A33449">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52340CB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51C1F76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6FBAC3C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7DA5FA26">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7BF7831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7A5F95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2075FA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2431C596">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7E7B2D8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02E0700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652B189D">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5A87579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280C4A7C">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1F483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6021D4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47B7C096">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1161323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0AE15F1C">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68FBCE2D">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108FC0E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2C0B445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bl>
    <w:p w14:paraId="54E11D5E">
      <w:pPr>
        <w:spacing w:before="120" w:beforeLines="50" w:after="120" w:afterLines="50" w:line="440" w:lineRule="exact"/>
        <w:rPr>
          <w:rFonts w:hint="eastAsia" w:eastAsia="黑体"/>
          <w:color w:val="000000" w:themeColor="text1"/>
          <w:sz w:val="30"/>
          <w:szCs w:val="30"/>
          <w:highlight w:val="none"/>
          <w14:textFill>
            <w14:solidFill>
              <w14:schemeClr w14:val="tx1"/>
            </w14:solidFill>
          </w14:textFill>
        </w:rPr>
      </w:pPr>
    </w:p>
    <w:p w14:paraId="64A6CBDC">
      <w:pPr>
        <w:spacing w:before="120" w:beforeLines="50" w:after="120" w:afterLines="50" w:line="44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11-2：工程设备暂估价表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3E2E76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val="0"/>
            <w:vAlign w:val="top"/>
          </w:tcPr>
          <w:p w14:paraId="5158F35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序号</w:t>
            </w:r>
          </w:p>
        </w:tc>
        <w:tc>
          <w:tcPr>
            <w:tcW w:w="1984" w:type="dxa"/>
            <w:tcBorders>
              <w:top w:val="single" w:color="auto" w:sz="12" w:space="0"/>
              <w:bottom w:val="double" w:color="auto" w:sz="6" w:space="0"/>
            </w:tcBorders>
            <w:noWrap w:val="0"/>
            <w:vAlign w:val="top"/>
          </w:tcPr>
          <w:p w14:paraId="213F1FE9">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名称</w:t>
            </w:r>
          </w:p>
        </w:tc>
        <w:tc>
          <w:tcPr>
            <w:tcW w:w="851" w:type="dxa"/>
            <w:tcBorders>
              <w:top w:val="single" w:color="auto" w:sz="12" w:space="0"/>
              <w:bottom w:val="double" w:color="auto" w:sz="6" w:space="0"/>
            </w:tcBorders>
            <w:noWrap w:val="0"/>
            <w:vAlign w:val="top"/>
          </w:tcPr>
          <w:p w14:paraId="160C2DA9">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单位</w:t>
            </w:r>
          </w:p>
        </w:tc>
        <w:tc>
          <w:tcPr>
            <w:tcW w:w="774" w:type="dxa"/>
            <w:tcBorders>
              <w:top w:val="single" w:color="auto" w:sz="12" w:space="0"/>
              <w:bottom w:val="double" w:color="auto" w:sz="6" w:space="0"/>
            </w:tcBorders>
            <w:noWrap w:val="0"/>
            <w:vAlign w:val="top"/>
          </w:tcPr>
          <w:p w14:paraId="6E3704A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数量</w:t>
            </w:r>
          </w:p>
        </w:tc>
        <w:tc>
          <w:tcPr>
            <w:tcW w:w="1352" w:type="dxa"/>
            <w:tcBorders>
              <w:top w:val="single" w:color="auto" w:sz="12" w:space="0"/>
              <w:bottom w:val="double" w:color="auto" w:sz="6" w:space="0"/>
            </w:tcBorders>
            <w:noWrap w:val="0"/>
            <w:vAlign w:val="top"/>
          </w:tcPr>
          <w:p w14:paraId="3F09D36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单价</w:t>
            </w:r>
            <w:r>
              <w:rPr>
                <w:rFonts w:hint="eastAsia" w:ascii="等线" w:hAnsi="等线" w:eastAsia="仿宋_GB2312"/>
                <w:color w:val="000000" w:themeColor="text1"/>
                <w:kern w:val="2"/>
                <w:sz w:val="24"/>
                <w:szCs w:val="24"/>
                <w:highlight w:val="none"/>
                <w:lang w:val="en-US" w:eastAsia="zh-CN"/>
                <w14:textFill>
                  <w14:solidFill>
                    <w14:schemeClr w14:val="tx1"/>
                  </w14:solidFill>
                </w14:textFill>
              </w:rPr>
              <w:t>（元）</w:t>
            </w:r>
          </w:p>
        </w:tc>
        <w:tc>
          <w:tcPr>
            <w:tcW w:w="1418" w:type="dxa"/>
            <w:tcBorders>
              <w:top w:val="single" w:color="auto" w:sz="12" w:space="0"/>
              <w:bottom w:val="double" w:color="auto" w:sz="6" w:space="0"/>
            </w:tcBorders>
            <w:noWrap w:val="0"/>
            <w:vAlign w:val="top"/>
          </w:tcPr>
          <w:p w14:paraId="4FE14ADD">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合价</w:t>
            </w:r>
            <w:r>
              <w:rPr>
                <w:rFonts w:hint="eastAsia" w:ascii="等线" w:hAnsi="等线" w:eastAsia="仿宋_GB2312"/>
                <w:color w:val="000000" w:themeColor="text1"/>
                <w:kern w:val="2"/>
                <w:sz w:val="24"/>
                <w:szCs w:val="24"/>
                <w:highlight w:val="none"/>
                <w:lang w:val="en-US" w:eastAsia="zh-CN"/>
                <w14:textFill>
                  <w14:solidFill>
                    <w14:schemeClr w14:val="tx1"/>
                  </w14:solidFill>
                </w14:textFill>
              </w:rPr>
              <w:t>（元）</w:t>
            </w:r>
          </w:p>
        </w:tc>
        <w:tc>
          <w:tcPr>
            <w:tcW w:w="1303" w:type="dxa"/>
            <w:tcBorders>
              <w:top w:val="single" w:color="auto" w:sz="12" w:space="0"/>
              <w:bottom w:val="double" w:color="auto" w:sz="6" w:space="0"/>
            </w:tcBorders>
            <w:noWrap w:val="0"/>
            <w:vAlign w:val="top"/>
          </w:tcPr>
          <w:p w14:paraId="4E77CF8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备注</w:t>
            </w:r>
          </w:p>
        </w:tc>
      </w:tr>
      <w:tr w14:paraId="5BD7D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val="0"/>
            <w:vAlign w:val="top"/>
          </w:tcPr>
          <w:p w14:paraId="2E7C7A3E">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tcBorders>
              <w:top w:val="double" w:color="auto" w:sz="6" w:space="0"/>
              <w:bottom w:val="single" w:color="auto" w:sz="6" w:space="0"/>
            </w:tcBorders>
            <w:noWrap w:val="0"/>
            <w:vAlign w:val="top"/>
          </w:tcPr>
          <w:p w14:paraId="6A1046F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tcBorders>
              <w:top w:val="double" w:color="auto" w:sz="6" w:space="0"/>
              <w:bottom w:val="single" w:color="auto" w:sz="6" w:space="0"/>
            </w:tcBorders>
            <w:noWrap w:val="0"/>
            <w:vAlign w:val="top"/>
          </w:tcPr>
          <w:p w14:paraId="143454AD">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tcBorders>
              <w:top w:val="double" w:color="auto" w:sz="6" w:space="0"/>
              <w:bottom w:val="single" w:color="auto" w:sz="6" w:space="0"/>
            </w:tcBorders>
            <w:noWrap w:val="0"/>
            <w:vAlign w:val="top"/>
          </w:tcPr>
          <w:p w14:paraId="1DFBCAD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tcBorders>
              <w:top w:val="double" w:color="auto" w:sz="6" w:space="0"/>
              <w:bottom w:val="single" w:color="auto" w:sz="6" w:space="0"/>
            </w:tcBorders>
            <w:noWrap w:val="0"/>
            <w:vAlign w:val="top"/>
          </w:tcPr>
          <w:p w14:paraId="2C1A551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tcBorders>
              <w:top w:val="double" w:color="auto" w:sz="6" w:space="0"/>
              <w:bottom w:val="single" w:color="auto" w:sz="6" w:space="0"/>
            </w:tcBorders>
            <w:noWrap w:val="0"/>
            <w:vAlign w:val="top"/>
          </w:tcPr>
          <w:p w14:paraId="579247D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tcBorders>
              <w:top w:val="double" w:color="auto" w:sz="6" w:space="0"/>
              <w:bottom w:val="single" w:color="auto" w:sz="6" w:space="0"/>
            </w:tcBorders>
            <w:noWrap w:val="0"/>
            <w:vAlign w:val="top"/>
          </w:tcPr>
          <w:p w14:paraId="474EFE9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6475E1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val="0"/>
            <w:vAlign w:val="top"/>
          </w:tcPr>
          <w:p w14:paraId="2DEE6A1A">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tcBorders>
              <w:top w:val="nil"/>
            </w:tcBorders>
            <w:noWrap w:val="0"/>
            <w:vAlign w:val="top"/>
          </w:tcPr>
          <w:p w14:paraId="5BB9EDF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tcBorders>
              <w:top w:val="nil"/>
            </w:tcBorders>
            <w:noWrap w:val="0"/>
            <w:vAlign w:val="top"/>
          </w:tcPr>
          <w:p w14:paraId="32FF847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tcBorders>
              <w:top w:val="nil"/>
            </w:tcBorders>
            <w:noWrap w:val="0"/>
            <w:vAlign w:val="top"/>
          </w:tcPr>
          <w:p w14:paraId="3E7678D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tcBorders>
              <w:top w:val="nil"/>
            </w:tcBorders>
            <w:noWrap w:val="0"/>
            <w:vAlign w:val="top"/>
          </w:tcPr>
          <w:p w14:paraId="1358971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tcBorders>
              <w:top w:val="nil"/>
            </w:tcBorders>
            <w:noWrap w:val="0"/>
            <w:vAlign w:val="top"/>
          </w:tcPr>
          <w:p w14:paraId="615BC5E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tcBorders>
              <w:top w:val="nil"/>
            </w:tcBorders>
            <w:noWrap w:val="0"/>
            <w:vAlign w:val="top"/>
          </w:tcPr>
          <w:p w14:paraId="53622707">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773FE2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152E69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19BF2497">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2E0B57E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1219244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2F82931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0B038C4A">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5B5D272C">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404D90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D21F26E">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69573A3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7C9ABDEA">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19BA5DE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6B89D48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5B2DFC89">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7037E7C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4CE53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2C0A34C">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5F27317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3CC151E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16A5A34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26BB21A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6B3CC27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521ED7C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68CE7A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153373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481F5D6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329E9BF6">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5E82B95C">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0F0E6D9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2995251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6570E2D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40BAA3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D3B937C">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42FA7EF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175B45E7">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10ACEA9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276E80B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6CAC947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4351E36C">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0C47EF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4C5249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203DB6E7">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6F407167">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45665C2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4EA0B1B6">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0FDAE3E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6045522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3E0B34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FFEF946">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00B1C10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056A4DE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713ADC7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35823E9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08CA836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1F330BF8">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1E1073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952520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0457C44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3575227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2AE446C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5DEF44D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610A29BD">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34D2F93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36F5A3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9E0279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5C4AB00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31D3EABE">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2A19367C">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4C4A4F2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1C7F495D">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7C7388C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1109D5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148818E">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70506A7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7C4C9D57">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524CFE6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70CAFAC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686B7607">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7FE3C6D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12ABF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9B79C86">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457649EA">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16E19A3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3751A7DA">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788B690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312FFC4E">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25FA916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4438DF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5D68D26">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4B2C540D">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2A55899A">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47AFCB8A">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2736C77A">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2FE711CE">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076B6E9A">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111269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6E02EA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0FE9C5D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73AF01C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1FA1725C">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00670427">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614767C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06ACCD5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562224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C19C88E">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64284E96">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1EEFE706">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5742498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0140BDF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1ABFBEA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781C9BF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544B5C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175B957">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1CD55248">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69F08C8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3EB3B4F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098A930D">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30F17B7A">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4DA32E8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25ADBF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A5DA81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63488DF8">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0F5CB20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2247597D">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71C3516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48C4F93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5AF7D2B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06F176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F57BE44">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01F68BCD">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60F6795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647F5C2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7F31BB2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52F47DB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45C9B8F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75E3D7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976A2FD">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1B2C502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210FC72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7A90B57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6E45A69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26828CD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19519998">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044187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490FE46">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7D0A96AA">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42A4808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2EC18E4C">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23F7229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326DAD4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4FB8C27D">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66EE9D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7B44903">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33B1C09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59761707">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0286C9A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27964ED9">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2645733A">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3B5CB477">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00068C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2C9F5AE">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5261B599">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00AA1F28">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7173CD2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5361BBC8">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6D13A50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55EB8E9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0DB052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D555F38">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6296601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4090B9E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66561992">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6ABAF07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62EED836">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6F0EBC8F">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r w14:paraId="02511D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DDCDCC9">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03E17F88">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851" w:type="dxa"/>
            <w:noWrap w:val="0"/>
            <w:vAlign w:val="top"/>
          </w:tcPr>
          <w:p w14:paraId="3221879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774" w:type="dxa"/>
            <w:noWrap w:val="0"/>
            <w:vAlign w:val="top"/>
          </w:tcPr>
          <w:p w14:paraId="6CB65EC6">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52" w:type="dxa"/>
            <w:noWrap w:val="0"/>
            <w:vAlign w:val="top"/>
          </w:tcPr>
          <w:p w14:paraId="345A383E">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418" w:type="dxa"/>
            <w:noWrap w:val="0"/>
            <w:vAlign w:val="top"/>
          </w:tcPr>
          <w:p w14:paraId="4F51BD01">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c>
          <w:tcPr>
            <w:tcW w:w="1303" w:type="dxa"/>
            <w:noWrap w:val="0"/>
            <w:vAlign w:val="top"/>
          </w:tcPr>
          <w:p w14:paraId="3DD98208">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p>
        </w:tc>
      </w:tr>
    </w:tbl>
    <w:p w14:paraId="1C301840">
      <w:pPr>
        <w:spacing w:line="440" w:lineRule="exact"/>
        <w:rPr>
          <w:rFonts w:eastAsia="仿宋_GB2312"/>
          <w:color w:val="000000" w:themeColor="text1"/>
          <w:sz w:val="30"/>
          <w:szCs w:val="30"/>
          <w:highlight w:val="none"/>
          <w14:textFill>
            <w14:solidFill>
              <w14:schemeClr w14:val="tx1"/>
            </w14:solidFill>
          </w14:textFill>
        </w:rPr>
      </w:pPr>
    </w:p>
    <w:p w14:paraId="3167B77A">
      <w:pPr>
        <w:spacing w:before="120" w:beforeLines="50" w:after="120" w:afterLines="50" w:line="440" w:lineRule="exact"/>
        <w:jc w:val="center"/>
        <w:rPr>
          <w:rFonts w:eastAsia="黑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r>
        <w:rPr>
          <w:rFonts w:hint="eastAsia" w:ascii="宋体" w:hAnsi="宋体" w:eastAsia="宋体" w:cs="宋体"/>
          <w:color w:val="000000" w:themeColor="text1"/>
          <w:sz w:val="21"/>
          <w:szCs w:val="21"/>
          <w:highlight w:val="none"/>
          <w14:textFill>
            <w14:solidFill>
              <w14:schemeClr w14:val="tx1"/>
            </w14:solidFill>
          </w14:textFill>
        </w:rPr>
        <w:t>11-3：专业工程暂估价表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5"/>
        <w:gridCol w:w="4397"/>
        <w:gridCol w:w="1417"/>
      </w:tblGrid>
      <w:tr w14:paraId="007E72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879" w:type="dxa"/>
            <w:tcBorders>
              <w:top w:val="single" w:color="auto" w:sz="12" w:space="0"/>
              <w:bottom w:val="double" w:color="auto" w:sz="6" w:space="0"/>
            </w:tcBorders>
            <w:noWrap w:val="0"/>
            <w:vAlign w:val="top"/>
          </w:tcPr>
          <w:p w14:paraId="042A3BFA">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序号</w:t>
            </w:r>
          </w:p>
        </w:tc>
        <w:tc>
          <w:tcPr>
            <w:tcW w:w="1985" w:type="dxa"/>
            <w:tcBorders>
              <w:top w:val="single" w:color="auto" w:sz="12" w:space="0"/>
              <w:bottom w:val="double" w:color="auto" w:sz="6" w:space="0"/>
            </w:tcBorders>
            <w:noWrap w:val="0"/>
            <w:vAlign w:val="top"/>
          </w:tcPr>
          <w:p w14:paraId="11BA913D">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专业工程名称</w:t>
            </w:r>
          </w:p>
        </w:tc>
        <w:tc>
          <w:tcPr>
            <w:tcW w:w="4397" w:type="dxa"/>
            <w:tcBorders>
              <w:top w:val="single" w:color="auto" w:sz="12" w:space="0"/>
              <w:bottom w:val="double" w:color="auto" w:sz="6" w:space="0"/>
            </w:tcBorders>
            <w:noWrap w:val="0"/>
            <w:vAlign w:val="top"/>
          </w:tcPr>
          <w:p w14:paraId="5748C3D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工程内容</w:t>
            </w:r>
          </w:p>
        </w:tc>
        <w:tc>
          <w:tcPr>
            <w:tcW w:w="1417" w:type="dxa"/>
            <w:tcBorders>
              <w:top w:val="single" w:color="auto" w:sz="12" w:space="0"/>
              <w:bottom w:val="double" w:color="auto" w:sz="6" w:space="0"/>
            </w:tcBorders>
            <w:noWrap w:val="0"/>
            <w:vAlign w:val="top"/>
          </w:tcPr>
          <w:p w14:paraId="1CE59F80">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金额</w:t>
            </w:r>
          </w:p>
        </w:tc>
      </w:tr>
      <w:tr w14:paraId="0537DF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879" w:type="dxa"/>
            <w:tcBorders>
              <w:top w:val="double" w:color="auto" w:sz="6" w:space="0"/>
              <w:bottom w:val="single" w:color="auto" w:sz="6" w:space="0"/>
            </w:tcBorders>
            <w:noWrap w:val="0"/>
            <w:vAlign w:val="top"/>
          </w:tcPr>
          <w:p w14:paraId="5761032B">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tcBorders>
              <w:top w:val="double" w:color="auto" w:sz="6" w:space="0"/>
              <w:bottom w:val="single" w:color="auto" w:sz="6" w:space="0"/>
            </w:tcBorders>
            <w:noWrap w:val="0"/>
            <w:vAlign w:val="top"/>
          </w:tcPr>
          <w:p w14:paraId="527DDD8F">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tcBorders>
              <w:top w:val="double" w:color="auto" w:sz="6" w:space="0"/>
              <w:bottom w:val="single" w:color="auto" w:sz="6" w:space="0"/>
            </w:tcBorders>
            <w:noWrap w:val="0"/>
            <w:vAlign w:val="top"/>
          </w:tcPr>
          <w:p w14:paraId="5DF4E8A2">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tcBorders>
              <w:top w:val="double" w:color="auto" w:sz="6" w:space="0"/>
              <w:bottom w:val="single" w:color="auto" w:sz="6" w:space="0"/>
            </w:tcBorders>
            <w:noWrap w:val="0"/>
            <w:vAlign w:val="top"/>
          </w:tcPr>
          <w:p w14:paraId="6D22FFB9">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55364D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tcBorders>
              <w:top w:val="nil"/>
            </w:tcBorders>
            <w:noWrap w:val="0"/>
            <w:vAlign w:val="top"/>
          </w:tcPr>
          <w:p w14:paraId="555AFA6E">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tcBorders>
              <w:top w:val="nil"/>
            </w:tcBorders>
            <w:noWrap w:val="0"/>
            <w:vAlign w:val="top"/>
          </w:tcPr>
          <w:p w14:paraId="346C238E">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tcBorders>
              <w:top w:val="nil"/>
            </w:tcBorders>
            <w:noWrap w:val="0"/>
            <w:vAlign w:val="top"/>
          </w:tcPr>
          <w:p w14:paraId="33A050C1">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tcBorders>
              <w:top w:val="nil"/>
            </w:tcBorders>
            <w:noWrap w:val="0"/>
            <w:vAlign w:val="top"/>
          </w:tcPr>
          <w:p w14:paraId="15DED391">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778C9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tcBorders>
              <w:top w:val="nil"/>
            </w:tcBorders>
            <w:noWrap w:val="0"/>
            <w:vAlign w:val="top"/>
          </w:tcPr>
          <w:p w14:paraId="23540414">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tcBorders>
              <w:top w:val="nil"/>
            </w:tcBorders>
            <w:noWrap w:val="0"/>
            <w:vAlign w:val="top"/>
          </w:tcPr>
          <w:p w14:paraId="5905456B">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tcBorders>
              <w:top w:val="nil"/>
            </w:tcBorders>
            <w:noWrap w:val="0"/>
            <w:vAlign w:val="top"/>
          </w:tcPr>
          <w:p w14:paraId="7AA7DBE0">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tcBorders>
              <w:top w:val="nil"/>
            </w:tcBorders>
            <w:noWrap w:val="0"/>
            <w:vAlign w:val="top"/>
          </w:tcPr>
          <w:p w14:paraId="3EB43A04">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43F7A6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noWrap w:val="0"/>
            <w:vAlign w:val="top"/>
          </w:tcPr>
          <w:p w14:paraId="2BEF5FB7">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noWrap w:val="0"/>
            <w:vAlign w:val="top"/>
          </w:tcPr>
          <w:p w14:paraId="279E674C">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noWrap w:val="0"/>
            <w:vAlign w:val="top"/>
          </w:tcPr>
          <w:p w14:paraId="0A684D0D">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50A3152D">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34E436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noWrap w:val="0"/>
            <w:vAlign w:val="top"/>
          </w:tcPr>
          <w:p w14:paraId="6614EE70">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noWrap w:val="0"/>
            <w:vAlign w:val="top"/>
          </w:tcPr>
          <w:p w14:paraId="479E1E87">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noWrap w:val="0"/>
            <w:vAlign w:val="top"/>
          </w:tcPr>
          <w:p w14:paraId="7B9D480C">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740B12C1">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2025FD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noWrap w:val="0"/>
            <w:vAlign w:val="top"/>
          </w:tcPr>
          <w:p w14:paraId="16F3CDB6">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noWrap w:val="0"/>
            <w:vAlign w:val="top"/>
          </w:tcPr>
          <w:p w14:paraId="6C8881D3">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noWrap w:val="0"/>
            <w:vAlign w:val="top"/>
          </w:tcPr>
          <w:p w14:paraId="1A515E10">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0C77EEAB">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5D5D81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noWrap w:val="0"/>
            <w:vAlign w:val="top"/>
          </w:tcPr>
          <w:p w14:paraId="2E365C4B">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noWrap w:val="0"/>
            <w:vAlign w:val="top"/>
          </w:tcPr>
          <w:p w14:paraId="47F871EB">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noWrap w:val="0"/>
            <w:vAlign w:val="top"/>
          </w:tcPr>
          <w:p w14:paraId="30D1EA3A">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72F4D8D0">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23E18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noWrap w:val="0"/>
            <w:vAlign w:val="top"/>
          </w:tcPr>
          <w:p w14:paraId="307FEBD5">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noWrap w:val="0"/>
            <w:vAlign w:val="top"/>
          </w:tcPr>
          <w:p w14:paraId="54787262">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noWrap w:val="0"/>
            <w:vAlign w:val="top"/>
          </w:tcPr>
          <w:p w14:paraId="669325DD">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503C71B7">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4C595F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noWrap w:val="0"/>
            <w:vAlign w:val="top"/>
          </w:tcPr>
          <w:p w14:paraId="7947319D">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noWrap w:val="0"/>
            <w:vAlign w:val="top"/>
          </w:tcPr>
          <w:p w14:paraId="4F46DD19">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noWrap w:val="0"/>
            <w:vAlign w:val="top"/>
          </w:tcPr>
          <w:p w14:paraId="7034ED3C">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42C610B9">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45C6B1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noWrap w:val="0"/>
            <w:vAlign w:val="top"/>
          </w:tcPr>
          <w:p w14:paraId="1F1D1762">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noWrap w:val="0"/>
            <w:vAlign w:val="top"/>
          </w:tcPr>
          <w:p w14:paraId="5BEBD558">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noWrap w:val="0"/>
            <w:vAlign w:val="top"/>
          </w:tcPr>
          <w:p w14:paraId="52BB8EE4">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1E6FD9C1">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606570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noWrap w:val="0"/>
            <w:vAlign w:val="top"/>
          </w:tcPr>
          <w:p w14:paraId="28B04C8F">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noWrap w:val="0"/>
            <w:vAlign w:val="top"/>
          </w:tcPr>
          <w:p w14:paraId="0CEB62F5">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noWrap w:val="0"/>
            <w:vAlign w:val="top"/>
          </w:tcPr>
          <w:p w14:paraId="14563451">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3CE1BF12">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3CEBC8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noWrap w:val="0"/>
            <w:vAlign w:val="top"/>
          </w:tcPr>
          <w:p w14:paraId="55404C42">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noWrap w:val="0"/>
            <w:vAlign w:val="top"/>
          </w:tcPr>
          <w:p w14:paraId="3B9E270E">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noWrap w:val="0"/>
            <w:vAlign w:val="top"/>
          </w:tcPr>
          <w:p w14:paraId="7BAEA9C1">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0EB4EB28">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10A33D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noWrap w:val="0"/>
            <w:vAlign w:val="top"/>
          </w:tcPr>
          <w:p w14:paraId="7938F593">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noWrap w:val="0"/>
            <w:vAlign w:val="top"/>
          </w:tcPr>
          <w:p w14:paraId="5F985F4E">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noWrap w:val="0"/>
            <w:vAlign w:val="top"/>
          </w:tcPr>
          <w:p w14:paraId="63618F36">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6F1865D7">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2A192D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noWrap w:val="0"/>
            <w:vAlign w:val="top"/>
          </w:tcPr>
          <w:p w14:paraId="1F3B3621">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noWrap w:val="0"/>
            <w:vAlign w:val="top"/>
          </w:tcPr>
          <w:p w14:paraId="1064B752">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noWrap w:val="0"/>
            <w:vAlign w:val="top"/>
          </w:tcPr>
          <w:p w14:paraId="5E8C340D">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3BA9CAB7">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63D2C8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noWrap w:val="0"/>
            <w:vAlign w:val="top"/>
          </w:tcPr>
          <w:p w14:paraId="382A3E4B">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noWrap w:val="0"/>
            <w:vAlign w:val="top"/>
          </w:tcPr>
          <w:p w14:paraId="6F078C1C">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noWrap w:val="0"/>
            <w:vAlign w:val="top"/>
          </w:tcPr>
          <w:p w14:paraId="0B114A1C">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3C19B004">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429C19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noWrap w:val="0"/>
            <w:vAlign w:val="top"/>
          </w:tcPr>
          <w:p w14:paraId="4A9B0E6A">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noWrap w:val="0"/>
            <w:vAlign w:val="top"/>
          </w:tcPr>
          <w:p w14:paraId="3EE1ADED">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noWrap w:val="0"/>
            <w:vAlign w:val="top"/>
          </w:tcPr>
          <w:p w14:paraId="43D12B4D">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501322FA">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7B95AE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noWrap w:val="0"/>
            <w:vAlign w:val="top"/>
          </w:tcPr>
          <w:p w14:paraId="4547F6AC">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noWrap w:val="0"/>
            <w:vAlign w:val="top"/>
          </w:tcPr>
          <w:p w14:paraId="026BDD99">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noWrap w:val="0"/>
            <w:vAlign w:val="top"/>
          </w:tcPr>
          <w:p w14:paraId="437DEA32">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5A950BB4">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394BC5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noWrap w:val="0"/>
            <w:vAlign w:val="top"/>
          </w:tcPr>
          <w:p w14:paraId="25962B7F">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noWrap w:val="0"/>
            <w:vAlign w:val="top"/>
          </w:tcPr>
          <w:p w14:paraId="5E149C98">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noWrap w:val="0"/>
            <w:vAlign w:val="top"/>
          </w:tcPr>
          <w:p w14:paraId="08ACB35F">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5DD375B3">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22AC8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noWrap w:val="0"/>
            <w:vAlign w:val="top"/>
          </w:tcPr>
          <w:p w14:paraId="1C4F4E3F">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noWrap w:val="0"/>
            <w:vAlign w:val="top"/>
          </w:tcPr>
          <w:p w14:paraId="70F625BB">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noWrap w:val="0"/>
            <w:vAlign w:val="top"/>
          </w:tcPr>
          <w:p w14:paraId="33F7FBEA">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211E8219">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21EAF0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noWrap w:val="0"/>
            <w:vAlign w:val="top"/>
          </w:tcPr>
          <w:p w14:paraId="53DD05CB">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noWrap w:val="0"/>
            <w:vAlign w:val="top"/>
          </w:tcPr>
          <w:p w14:paraId="7FECFD24">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noWrap w:val="0"/>
            <w:vAlign w:val="top"/>
          </w:tcPr>
          <w:p w14:paraId="7E69C475">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3FEF45C0">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56E40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noWrap w:val="0"/>
            <w:vAlign w:val="top"/>
          </w:tcPr>
          <w:p w14:paraId="46F7031E">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noWrap w:val="0"/>
            <w:vAlign w:val="top"/>
          </w:tcPr>
          <w:p w14:paraId="4E4353AB">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noWrap w:val="0"/>
            <w:vAlign w:val="top"/>
          </w:tcPr>
          <w:p w14:paraId="4F16BF51">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2817CBBF">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16DD35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noWrap w:val="0"/>
            <w:vAlign w:val="top"/>
          </w:tcPr>
          <w:p w14:paraId="475159D4">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noWrap w:val="0"/>
            <w:vAlign w:val="top"/>
          </w:tcPr>
          <w:p w14:paraId="589A3442">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noWrap w:val="0"/>
            <w:vAlign w:val="top"/>
          </w:tcPr>
          <w:p w14:paraId="0600E877">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4422C1C9">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3A8CD2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noWrap w:val="0"/>
            <w:vAlign w:val="top"/>
          </w:tcPr>
          <w:p w14:paraId="080EFD73">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noWrap w:val="0"/>
            <w:vAlign w:val="top"/>
          </w:tcPr>
          <w:p w14:paraId="113D68E9">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noWrap w:val="0"/>
            <w:vAlign w:val="top"/>
          </w:tcPr>
          <w:p w14:paraId="43196D78">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286E55BC">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65C6BE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noWrap w:val="0"/>
            <w:vAlign w:val="top"/>
          </w:tcPr>
          <w:p w14:paraId="6846D8EC">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noWrap w:val="0"/>
            <w:vAlign w:val="top"/>
          </w:tcPr>
          <w:p w14:paraId="3E9136A8">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noWrap w:val="0"/>
            <w:vAlign w:val="top"/>
          </w:tcPr>
          <w:p w14:paraId="003D4240">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171DED83">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7CA493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879" w:type="dxa"/>
            <w:noWrap w:val="0"/>
            <w:vAlign w:val="top"/>
          </w:tcPr>
          <w:p w14:paraId="4266542C">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5" w:type="dxa"/>
            <w:noWrap w:val="0"/>
            <w:vAlign w:val="top"/>
          </w:tcPr>
          <w:p w14:paraId="08CABCAC">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7" w:type="dxa"/>
            <w:noWrap w:val="0"/>
            <w:vAlign w:val="top"/>
          </w:tcPr>
          <w:p w14:paraId="4154689E">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7CE8790C">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699197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8678" w:type="dxa"/>
            <w:gridSpan w:val="4"/>
            <w:noWrap w:val="0"/>
            <w:vAlign w:val="top"/>
          </w:tcPr>
          <w:p w14:paraId="09B720EC">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小计：</w:t>
            </w:r>
          </w:p>
        </w:tc>
      </w:tr>
    </w:tbl>
    <w:p w14:paraId="2E3C590B">
      <w:pPr>
        <w:spacing w:line="440" w:lineRule="exact"/>
        <w:rPr>
          <w:rFonts w:eastAsia="仿宋_GB2312"/>
          <w:color w:val="000000" w:themeColor="text1"/>
          <w:sz w:val="30"/>
          <w:szCs w:val="30"/>
          <w:highlight w:val="none"/>
          <w14:textFill>
            <w14:solidFill>
              <w14:schemeClr w14:val="tx1"/>
            </w14:solidFill>
          </w14:textFill>
        </w:rPr>
      </w:pPr>
    </w:p>
    <w:p w14:paraId="39DCC8C9">
      <w:pPr>
        <w:spacing w:before="120" w:beforeLines="50" w:after="120" w:afterLines="50" w:line="440" w:lineRule="exact"/>
        <w:jc w:val="center"/>
        <w:rPr>
          <w:rFonts w:eastAsia="黑体"/>
          <w:color w:val="000000" w:themeColor="text1"/>
          <w:sz w:val="30"/>
          <w:szCs w:val="30"/>
          <w:highlight w:val="none"/>
          <w14:textFill>
            <w14:solidFill>
              <w14:schemeClr w14:val="tx1"/>
            </w14:solidFill>
          </w14:textFill>
        </w:rPr>
      </w:pPr>
      <w:r>
        <w:rPr>
          <w:rFonts w:eastAsia="仿宋_GB2312"/>
          <w:color w:val="000000" w:themeColor="text1"/>
          <w:sz w:val="30"/>
          <w:szCs w:val="30"/>
          <w:highlight w:val="none"/>
          <w14:textFill>
            <w14:solidFill>
              <w14:schemeClr w14:val="tx1"/>
            </w14:solidFill>
          </w14:textFill>
        </w:rPr>
        <w:br w:type="page"/>
      </w:r>
      <w:r>
        <w:rPr>
          <w:rFonts w:hint="eastAsia" w:ascii="宋体" w:hAnsi="宋体" w:eastAsia="宋体" w:cs="宋体"/>
          <w:color w:val="000000" w:themeColor="text1"/>
          <w:sz w:val="21"/>
          <w:szCs w:val="21"/>
          <w:highlight w:val="none"/>
          <w14:textFill>
            <w14:solidFill>
              <w14:schemeClr w14:val="tx1"/>
            </w14:solidFill>
          </w14:textFill>
        </w:rPr>
        <w:t>11-3：专业工程暂估价表</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395"/>
        <w:gridCol w:w="1417"/>
      </w:tblGrid>
      <w:tr w14:paraId="23400C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14:paraId="46685C25">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序号</w:t>
            </w:r>
          </w:p>
        </w:tc>
        <w:tc>
          <w:tcPr>
            <w:tcW w:w="1984" w:type="dxa"/>
            <w:tcBorders>
              <w:top w:val="single" w:color="auto" w:sz="12" w:space="0"/>
              <w:bottom w:val="double" w:color="auto" w:sz="6" w:space="0"/>
            </w:tcBorders>
            <w:noWrap w:val="0"/>
            <w:vAlign w:val="top"/>
          </w:tcPr>
          <w:p w14:paraId="3A2C0E4B">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专业工程名称</w:t>
            </w:r>
          </w:p>
        </w:tc>
        <w:tc>
          <w:tcPr>
            <w:tcW w:w="4395" w:type="dxa"/>
            <w:tcBorders>
              <w:top w:val="single" w:color="auto" w:sz="12" w:space="0"/>
              <w:bottom w:val="double" w:color="auto" w:sz="6" w:space="0"/>
            </w:tcBorders>
            <w:noWrap w:val="0"/>
            <w:vAlign w:val="top"/>
          </w:tcPr>
          <w:p w14:paraId="19C928F8">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工程内容</w:t>
            </w:r>
          </w:p>
        </w:tc>
        <w:tc>
          <w:tcPr>
            <w:tcW w:w="1417" w:type="dxa"/>
            <w:tcBorders>
              <w:top w:val="single" w:color="auto" w:sz="12" w:space="0"/>
              <w:bottom w:val="double" w:color="auto" w:sz="6" w:space="0"/>
            </w:tcBorders>
            <w:noWrap w:val="0"/>
            <w:vAlign w:val="top"/>
          </w:tcPr>
          <w:p w14:paraId="00F2713E">
            <w:pPr>
              <w:pStyle w:val="9"/>
              <w:keepNext/>
              <w:spacing w:after="0" w:line="440" w:lineRule="exact"/>
              <w:ind w:left="63" w:right="63"/>
              <w:rPr>
                <w:rFonts w:ascii="等线" w:hAnsi="等线" w:eastAsia="仿宋_GB2312"/>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金额</w:t>
            </w:r>
          </w:p>
        </w:tc>
      </w:tr>
      <w:tr w14:paraId="666D21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14:paraId="3F19F24C">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tcBorders>
              <w:top w:val="double" w:color="auto" w:sz="6" w:space="0"/>
              <w:bottom w:val="single" w:color="auto" w:sz="6" w:space="0"/>
            </w:tcBorders>
            <w:noWrap w:val="0"/>
            <w:vAlign w:val="top"/>
          </w:tcPr>
          <w:p w14:paraId="656C7DD5">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tcBorders>
              <w:top w:val="double" w:color="auto" w:sz="6" w:space="0"/>
              <w:bottom w:val="single" w:color="auto" w:sz="6" w:space="0"/>
            </w:tcBorders>
            <w:noWrap w:val="0"/>
            <w:vAlign w:val="top"/>
          </w:tcPr>
          <w:p w14:paraId="24279C65">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tcBorders>
              <w:top w:val="double" w:color="auto" w:sz="6" w:space="0"/>
              <w:bottom w:val="single" w:color="auto" w:sz="6" w:space="0"/>
            </w:tcBorders>
            <w:noWrap w:val="0"/>
            <w:vAlign w:val="top"/>
          </w:tcPr>
          <w:p w14:paraId="1892DBB1">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100017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0EE5F8B0">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tcBorders>
              <w:top w:val="nil"/>
            </w:tcBorders>
            <w:noWrap w:val="0"/>
            <w:vAlign w:val="top"/>
          </w:tcPr>
          <w:p w14:paraId="1414EFC2">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tcBorders>
              <w:top w:val="nil"/>
            </w:tcBorders>
            <w:noWrap w:val="0"/>
            <w:vAlign w:val="top"/>
          </w:tcPr>
          <w:p w14:paraId="447E45A5">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tcBorders>
              <w:top w:val="nil"/>
            </w:tcBorders>
            <w:noWrap w:val="0"/>
            <w:vAlign w:val="top"/>
          </w:tcPr>
          <w:p w14:paraId="0A5DC767">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18CD50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6FE3B950">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tcBorders>
              <w:top w:val="nil"/>
            </w:tcBorders>
            <w:noWrap w:val="0"/>
            <w:vAlign w:val="top"/>
          </w:tcPr>
          <w:p w14:paraId="1853F589">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tcBorders>
              <w:top w:val="nil"/>
            </w:tcBorders>
            <w:noWrap w:val="0"/>
            <w:vAlign w:val="top"/>
          </w:tcPr>
          <w:p w14:paraId="15333C0C">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tcBorders>
              <w:top w:val="nil"/>
            </w:tcBorders>
            <w:noWrap w:val="0"/>
            <w:vAlign w:val="top"/>
          </w:tcPr>
          <w:p w14:paraId="55CC779F">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03D8A7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2699B23">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3CD94A43">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4ED1846D">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6AC5AA54">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0FAF39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05D3429">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5E0BAACC">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102EFA07">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7F39E7A7">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0BFE3B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7B35CFD">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72397CA0">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0496CCEA">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1D349C26">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7C1091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91C6818">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6AADD685">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7F6A0CF1">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01FC9CB1">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3CD8BD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75CCA99">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6C2908DE">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172C31B9">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233B8C19">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75062A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7452EA9">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130AE046">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54982664">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3F4B0A13">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091362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7772B71">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6195D17E">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4277F5C8">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3DF7CE99">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470B20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F5BFC11">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55E93E65">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2118B0F2">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0C7697E3">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7A5582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4A5C0ED">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296A5652">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2BA4D677">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37D2111B">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5411BE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9637386">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6670A769">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44223AD2">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397091D9">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2B375C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F9EDB2F">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2C84D052">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6104F8F3">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1D05AD7C">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5B0DFE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6D02893">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0955322C">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305E8173">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56FB344C">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62D196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67527FA">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51DC9814">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3F46A36A">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5B8ED93F">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0CBA92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D304614">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0A9CF5A3">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1A961849">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29AD073B">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09D9D7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6A6D953">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3E86FE62">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1B470653">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63BDA563">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329A90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541C2EC">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42A48BB1">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0866AE0A">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2FBF640B">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009580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2F112D1">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4BFB4D42">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00A73B7A">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4D2E6E47">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11BF0E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1775A5F">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4ECB6C36">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514C8C67">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56E224D6">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6AED6B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C407305">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4A4E62C5">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4B682002">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5FA13CAB">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10B368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DC0A331">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1CA476B2">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42C2F2FC">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6FE86276">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4ECEA7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7E24869">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5189E7A5">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6DE7F8D0">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1EEA1F33">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2BDE8E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08B37B0">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3FFCCD3C">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7F7CD0DB">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51659D39">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64FD25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29CB00E">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984" w:type="dxa"/>
            <w:noWrap w:val="0"/>
            <w:vAlign w:val="top"/>
          </w:tcPr>
          <w:p w14:paraId="51492F4C">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4395" w:type="dxa"/>
            <w:noWrap w:val="0"/>
            <w:vAlign w:val="top"/>
          </w:tcPr>
          <w:p w14:paraId="5CDA906E">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c>
          <w:tcPr>
            <w:tcW w:w="1417" w:type="dxa"/>
            <w:noWrap w:val="0"/>
            <w:vAlign w:val="top"/>
          </w:tcPr>
          <w:p w14:paraId="0E00657D">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p>
        </w:tc>
      </w:tr>
      <w:tr w14:paraId="58CC67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675" w:type="dxa"/>
            <w:gridSpan w:val="4"/>
            <w:noWrap w:val="0"/>
            <w:vAlign w:val="top"/>
          </w:tcPr>
          <w:p w14:paraId="279F9B27">
            <w:pPr>
              <w:pStyle w:val="9"/>
              <w:keepNext/>
              <w:spacing w:after="0" w:line="440" w:lineRule="exact"/>
              <w:ind w:left="63" w:right="63"/>
              <w:rPr>
                <w:rFonts w:ascii="等线" w:hAnsi="等线"/>
                <w:color w:val="000000" w:themeColor="text1"/>
                <w:kern w:val="2"/>
                <w:sz w:val="24"/>
                <w:szCs w:val="24"/>
                <w:highlight w:val="none"/>
                <w:lang w:val="en-US" w:eastAsia="zh-CN"/>
                <w14:textFill>
                  <w14:solidFill>
                    <w14:schemeClr w14:val="tx1"/>
                  </w14:solidFill>
                </w14:textFill>
              </w:rPr>
            </w:pPr>
            <w:r>
              <w:rPr>
                <w:rFonts w:ascii="等线" w:hAnsi="等线" w:eastAsia="仿宋_GB2312"/>
                <w:color w:val="000000" w:themeColor="text1"/>
                <w:kern w:val="2"/>
                <w:sz w:val="24"/>
                <w:szCs w:val="24"/>
                <w:highlight w:val="none"/>
                <w:lang w:val="en-US" w:eastAsia="zh-CN"/>
                <w14:textFill>
                  <w14:solidFill>
                    <w14:schemeClr w14:val="tx1"/>
                  </w14:solidFill>
                </w14:textFill>
              </w:rPr>
              <w:t>小计：</w:t>
            </w:r>
          </w:p>
        </w:tc>
      </w:tr>
    </w:tbl>
    <w:p w14:paraId="1A2181C3">
      <w:pPr>
        <w:spacing w:line="480" w:lineRule="auto"/>
        <w:rPr>
          <w:rFonts w:hAnsi="宋体"/>
          <w:color w:val="000000" w:themeColor="text1"/>
          <w:highlight w:val="none"/>
          <w14:textFill>
            <w14:solidFill>
              <w14:schemeClr w14:val="tx1"/>
            </w14:solidFill>
          </w14:textFill>
        </w:rPr>
      </w:pPr>
    </w:p>
    <w:p w14:paraId="4FF72E4F">
      <w:pPr>
        <w:spacing w:before="156"/>
        <w:rPr>
          <w:rFonts w:hint="eastAsia" w:ascii="宋体" w:cs="宋体"/>
          <w:color w:val="000000" w:themeColor="text1"/>
          <w:sz w:val="24"/>
          <w:highlight w:val="none"/>
          <w:lang w:bidi="ar-SA"/>
          <w14:textFill>
            <w14:solidFill>
              <w14:schemeClr w14:val="tx1"/>
            </w14:solidFill>
          </w14:textFill>
        </w:rPr>
      </w:pPr>
    </w:p>
    <w:p w14:paraId="335D6E8B">
      <w:pPr>
        <w:jc w:val="center"/>
        <w:outlineLvl w:val="0"/>
        <w:rPr>
          <w:rFonts w:hint="eastAsia"/>
          <w:b/>
          <w:color w:val="000000" w:themeColor="text1"/>
          <w:sz w:val="36"/>
          <w:szCs w:val="36"/>
          <w:highlight w:val="none"/>
          <w14:textFill>
            <w14:solidFill>
              <w14:schemeClr w14:val="tx1"/>
            </w14:solidFill>
          </w14:textFill>
        </w:rPr>
      </w:pPr>
      <w:bookmarkStart w:id="1285" w:name="_Toc3234"/>
      <w:r>
        <w:rPr>
          <w:rFonts w:hint="eastAsia" w:ascii="仿宋_GB2312" w:eastAsia="仿宋_GB2312"/>
          <w:b/>
          <w:color w:val="000000" w:themeColor="text1"/>
          <w:kern w:val="0"/>
          <w:sz w:val="44"/>
          <w:szCs w:val="44"/>
          <w:highlight w:val="none"/>
          <w14:textFill>
            <w14:solidFill>
              <w14:schemeClr w14:val="tx1"/>
            </w14:solidFill>
          </w14:textFill>
        </w:rPr>
        <w:t xml:space="preserve">第五章  </w:t>
      </w:r>
      <w:r>
        <w:rPr>
          <w:rFonts w:hint="eastAsia"/>
          <w:b/>
          <w:color w:val="000000" w:themeColor="text1"/>
          <w:sz w:val="36"/>
          <w:szCs w:val="36"/>
          <w:highlight w:val="none"/>
          <w14:textFill>
            <w14:solidFill>
              <w14:schemeClr w14:val="tx1"/>
            </w14:solidFill>
          </w14:textFill>
        </w:rPr>
        <w:t>工程量清单</w:t>
      </w:r>
      <w:bookmarkEnd w:id="1285"/>
    </w:p>
    <w:p w14:paraId="7068380F">
      <w:pPr>
        <w:pStyle w:val="12"/>
        <w:spacing w:line="440" w:lineRule="exact"/>
        <w:ind w:firstLine="422" w:firstLineChars="200"/>
        <w:rPr>
          <w:rFonts w:hint="eastAsia" w:ascii="宋体" w:hAnsi="宋体" w:eastAsia="宋体" w:cs="宋体"/>
          <w:color w:val="000000" w:themeColor="text1"/>
          <w:kern w:val="21"/>
          <w:sz w:val="21"/>
          <w:szCs w:val="21"/>
          <w:highlight w:val="none"/>
          <w14:textFill>
            <w14:solidFill>
              <w14:schemeClr w14:val="tx1"/>
            </w14:solidFill>
          </w14:textFill>
        </w:rPr>
      </w:pPr>
      <w:bookmarkStart w:id="1286" w:name="_Toc160609998"/>
      <w:bookmarkStart w:id="1287" w:name="_Toc164138057"/>
      <w:bookmarkStart w:id="1288" w:name="_Toc194308407"/>
      <w:r>
        <w:rPr>
          <w:rFonts w:hint="eastAsia" w:ascii="宋体" w:hAnsi="宋体" w:eastAsia="宋体" w:cs="宋体"/>
          <w:b/>
          <w:color w:val="000000" w:themeColor="text1"/>
          <w:sz w:val="21"/>
          <w:szCs w:val="21"/>
          <w:highlight w:val="none"/>
          <w14:textFill>
            <w14:solidFill>
              <w14:schemeClr w14:val="tx1"/>
            </w14:solidFill>
          </w14:textFill>
        </w:rPr>
        <w:t>一、工程量清单说明</w:t>
      </w:r>
      <w:bookmarkEnd w:id="1286"/>
      <w:bookmarkEnd w:id="1287"/>
      <w:r>
        <w:rPr>
          <w:rFonts w:hint="eastAsia" w:ascii="宋体" w:hAnsi="宋体" w:eastAsia="宋体" w:cs="宋体"/>
          <w:color w:val="000000" w:themeColor="text1"/>
          <w:kern w:val="21"/>
          <w:sz w:val="21"/>
          <w:szCs w:val="21"/>
          <w:highlight w:val="none"/>
          <w14:textFill>
            <w14:solidFill>
              <w14:schemeClr w14:val="tx1"/>
            </w14:solidFill>
          </w14:textFill>
        </w:rPr>
        <w:t>：</w:t>
      </w:r>
      <w:bookmarkEnd w:id="1288"/>
    </w:p>
    <w:p w14:paraId="2DDAA66A">
      <w:pPr>
        <w:pStyle w:val="12"/>
        <w:spacing w:line="440" w:lineRule="exact"/>
        <w:ind w:firstLine="420"/>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工程量清单是竞争性磋商文件的组成部分，仅作为磋商报价的共同基础</w:t>
      </w:r>
      <w:r>
        <w:rPr>
          <w:rFonts w:hint="eastAsia" w:ascii="宋体" w:hAnsi="宋体" w:eastAsia="宋体" w:cs="宋体"/>
          <w:color w:val="000000" w:themeColor="text1"/>
          <w:kern w:val="21"/>
          <w:sz w:val="21"/>
          <w:szCs w:val="21"/>
          <w:highlight w:val="none"/>
          <w14:textFill>
            <w14:solidFill>
              <w14:schemeClr w14:val="tx1"/>
            </w14:solidFill>
          </w14:textFill>
        </w:rPr>
        <w:t>，不作为最终结算与支付的依据</w:t>
      </w:r>
      <w:r>
        <w:rPr>
          <w:rFonts w:hint="eastAsia" w:ascii="宋体" w:hAnsi="宋体" w:eastAsia="宋体" w:cs="宋体"/>
          <w:color w:val="000000" w:themeColor="text1"/>
          <w:sz w:val="21"/>
          <w:szCs w:val="21"/>
          <w:highlight w:val="none"/>
          <w14:textFill>
            <w14:solidFill>
              <w14:schemeClr w14:val="tx1"/>
            </w14:solidFill>
          </w14:textFill>
        </w:rPr>
        <w:t>。成交后结算支付，以经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审图公司  </w:t>
      </w:r>
      <w:r>
        <w:rPr>
          <w:rFonts w:hint="eastAsia" w:ascii="宋体" w:hAnsi="宋体" w:eastAsia="宋体" w:cs="宋体"/>
          <w:color w:val="000000" w:themeColor="text1"/>
          <w:sz w:val="21"/>
          <w:szCs w:val="21"/>
          <w:highlight w:val="none"/>
          <w14:textFill>
            <w14:solidFill>
              <w14:schemeClr w14:val="tx1"/>
            </w14:solidFill>
          </w14:textFill>
        </w:rPr>
        <w:t>审定的设计图纸和设计变更实际工程量为依据，按成交单位的磋商所报的工程量清单的单价支付费用。</w:t>
      </w:r>
    </w:p>
    <w:p w14:paraId="3BAE1032">
      <w:pPr>
        <w:pStyle w:val="12"/>
        <w:spacing w:line="440" w:lineRule="exact"/>
        <w:ind w:firstLine="422" w:firstLineChars="200"/>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bCs/>
          <w:color w:val="000000" w:themeColor="text1"/>
          <w:kern w:val="21"/>
          <w:sz w:val="21"/>
          <w:szCs w:val="21"/>
          <w:highlight w:val="none"/>
          <w14:textFill>
            <w14:solidFill>
              <w14:schemeClr w14:val="tx1"/>
            </w14:solidFill>
          </w14:textFill>
        </w:rPr>
        <w:t>2.</w:t>
      </w:r>
      <w:r>
        <w:rPr>
          <w:rFonts w:hint="eastAsia" w:ascii="宋体" w:hAnsi="宋体" w:eastAsia="宋体" w:cs="宋体"/>
          <w:b/>
          <w:bCs/>
          <w:color w:val="000000" w:themeColor="text1"/>
          <w:kern w:val="0"/>
          <w:sz w:val="21"/>
          <w:szCs w:val="21"/>
          <w:highlight w:val="none"/>
          <w14:textFill>
            <w14:solidFill>
              <w14:schemeClr w14:val="tx1"/>
            </w14:solidFill>
          </w14:textFill>
        </w:rPr>
        <w:t>计价及结算参考依据</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）《公路工程标准施工招标文件》（2018年版）</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《公路工程建设项目概算预算编制办法》（JTG3830-2018）</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《公路工程预算定额》（JTG/T3832-2018）</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《公路工程机械台班费用定额》（JTG/T3833-2018）</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交办公路[2016]66号&lt;&lt;交通运输部办公厅关于印发&lt;公路工程营业税改征增值税计价依据调整方案&gt;的通知&gt;&gt;</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中华人民共和国交通运输部公告[2019]第26号&lt;&lt;交通运输部关于调整&lt;公路工程建设项目投资估算编制办法&gt;(JTG3820-2018)和&lt;公路工程建设项目概算预算编制办法&gt;(JTG3830-2018)中"税金"有关规定的公告&gt;&gt;</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桂交建管发[2019]39号&lt;&lt;广西壮族自治区交通运输厅关于印发公路工程建设项目估算概算预算编制办法广西补充规定的通知&gt;&gt;</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桂交监造价函[2019]16号&lt;&lt;广西壮族自治区交通工程造价管理站关于公布广西公路工程机械台班车船使用税标准的函&gt;&gt;</w:t>
      </w:r>
      <w:r>
        <w:rPr>
          <w:rFonts w:hint="eastAsia" w:hAnsi="宋体" w:cs="宋体"/>
          <w:color w:val="000000" w:themeColor="text1"/>
          <w:sz w:val="21"/>
          <w:szCs w:val="21"/>
          <w:highlight w:val="none"/>
          <w:lang w:val="en-US" w:eastAsia="zh-CN"/>
          <w14:textFill>
            <w14:solidFill>
              <w14:schemeClr w14:val="tx1"/>
            </w14:solidFill>
          </w14:textFill>
        </w:rPr>
        <w:t>；（9）材料价格按照&lt;&lt;桂林市建设工程造价信息&gt;&gt;2026年第1期兴安县部分计取，缺项部分参考桂林市信息价或市场询价</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03EA3F57">
      <w:pPr>
        <w:pStyle w:val="12"/>
        <w:spacing w:line="440" w:lineRule="exact"/>
        <w:ind w:firstLine="420"/>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3.在有数量标出的子目中，有价标的工程量清单中的每一细目须填入单价和合价。</w:t>
      </w:r>
      <w:r>
        <w:rPr>
          <w:rFonts w:hint="eastAsia" w:ascii="宋体" w:hAnsi="宋体" w:eastAsia="宋体" w:cs="宋体"/>
          <w:color w:val="000000" w:themeColor="text1"/>
          <w:sz w:val="21"/>
          <w:szCs w:val="21"/>
          <w:highlight w:val="none"/>
          <w14:textFill>
            <w14:solidFill>
              <w14:schemeClr w14:val="tx1"/>
            </w14:solidFill>
          </w14:textFill>
        </w:rPr>
        <w:t>供应商</w:t>
      </w:r>
      <w:r>
        <w:rPr>
          <w:rFonts w:hint="eastAsia" w:ascii="宋体" w:hAnsi="宋体" w:eastAsia="宋体" w:cs="宋体"/>
          <w:color w:val="000000" w:themeColor="text1"/>
          <w:kern w:val="21"/>
          <w:sz w:val="21"/>
          <w:szCs w:val="21"/>
          <w:highlight w:val="none"/>
          <w14:textFill>
            <w14:solidFill>
              <w14:schemeClr w14:val="tx1"/>
            </w14:solidFill>
          </w14:textFill>
        </w:rPr>
        <w:t>没有填写单价和合价的细目，其费用应视为已分配在相关工程细目的单价与合价之中。</w:t>
      </w:r>
    </w:p>
    <w:p w14:paraId="2BC2A84E">
      <w:pPr>
        <w:pStyle w:val="12"/>
        <w:spacing w:line="440" w:lineRule="exact"/>
        <w:ind w:firstLine="420"/>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4.工程量清单中的任何算术性错误，磋商小组将按下述原则予以调整。</w:t>
      </w:r>
    </w:p>
    <w:p w14:paraId="2DCF8FB9">
      <w:pPr>
        <w:pStyle w:val="12"/>
        <w:spacing w:line="440" w:lineRule="exact"/>
        <w:ind w:firstLine="420"/>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(a)如果用数字表示的数额与用文字表示的数额不一致时，以文字数额为准。</w:t>
      </w:r>
    </w:p>
    <w:p w14:paraId="5AAAD1E7">
      <w:pPr>
        <w:pStyle w:val="12"/>
        <w:spacing w:line="440" w:lineRule="exact"/>
        <w:ind w:firstLine="420"/>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(b)当单价与数量的乘积与总额之间不一致时，通常以标出的单价为准，除非磋商小组认为有明显的小数点出错，此时应以标出的总额为准，并修改单价。</w:t>
      </w:r>
    </w:p>
    <w:p w14:paraId="0BAE7319">
      <w:pPr>
        <w:pStyle w:val="12"/>
        <w:spacing w:line="440" w:lineRule="exact"/>
        <w:ind w:firstLine="420"/>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bidi="ar-SA"/>
          <w14:textFill>
            <w14:solidFill>
              <w14:schemeClr w14:val="tx1"/>
            </w14:solidFill>
          </w14:textFill>
        </w:rPr>
        <w:t>供应商应按招标工程量清单填报价格。项目编码、项目名称、项目特征、计量单位、工程量必须与招标工程量清单一致，投标人不得对招标工程量清单项目进行增减调整</w:t>
      </w:r>
      <w:r>
        <w:rPr>
          <w:rFonts w:hint="eastAsia" w:ascii="宋体" w:hAnsi="宋体" w:eastAsia="宋体" w:cs="宋体"/>
          <w:color w:val="000000" w:themeColor="text1"/>
          <w:sz w:val="21"/>
          <w:szCs w:val="21"/>
          <w:highlight w:val="none"/>
          <w14:textFill>
            <w14:solidFill>
              <w14:schemeClr w14:val="tx1"/>
            </w14:solidFill>
          </w14:textFill>
        </w:rPr>
        <w:t>。</w:t>
      </w:r>
    </w:p>
    <w:p w14:paraId="46803903">
      <w:pPr>
        <w:pStyle w:val="12"/>
        <w:spacing w:line="440" w:lineRule="exact"/>
        <w:ind w:firstLine="420"/>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供应商</w:t>
      </w:r>
      <w:r>
        <w:rPr>
          <w:rFonts w:hint="eastAsia" w:ascii="宋体" w:hAnsi="宋体" w:eastAsia="宋体" w:cs="宋体"/>
          <w:color w:val="000000" w:themeColor="text1"/>
          <w:kern w:val="21"/>
          <w:sz w:val="21"/>
          <w:szCs w:val="21"/>
          <w:highlight w:val="none"/>
          <w14:textFill>
            <w14:solidFill>
              <w14:schemeClr w14:val="tx1"/>
            </w14:solidFill>
          </w14:textFill>
        </w:rPr>
        <w:t>如发现工程预算控制价中计算存在明显误差或有遗漏的，应在规定的时间前向采购人或采购代理机构提出书面异议或修正要求。</w:t>
      </w:r>
    </w:p>
    <w:p w14:paraId="5B1540C6">
      <w:pPr>
        <w:pStyle w:val="12"/>
        <w:spacing w:line="440" w:lineRule="exact"/>
        <w:ind w:firstLine="420"/>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供应商</w:t>
      </w:r>
      <w:r>
        <w:rPr>
          <w:rFonts w:hint="eastAsia" w:ascii="宋体" w:hAnsi="宋体" w:eastAsia="宋体" w:cs="宋体"/>
          <w:color w:val="000000" w:themeColor="text1"/>
          <w:kern w:val="21"/>
          <w:sz w:val="21"/>
          <w:szCs w:val="21"/>
          <w:highlight w:val="none"/>
          <w14:textFill>
            <w14:solidFill>
              <w14:schemeClr w14:val="tx1"/>
            </w14:solidFill>
          </w14:textFill>
        </w:rPr>
        <w:t>应对</w:t>
      </w:r>
      <w:r>
        <w:rPr>
          <w:rFonts w:hint="eastAsia" w:ascii="宋体" w:hAnsi="宋体" w:eastAsia="宋体" w:cs="宋体"/>
          <w:color w:val="000000" w:themeColor="text1"/>
          <w:sz w:val="21"/>
          <w:szCs w:val="21"/>
          <w:highlight w:val="none"/>
          <w14:textFill>
            <w14:solidFill>
              <w14:schemeClr w14:val="tx1"/>
            </w14:solidFill>
          </w14:textFill>
        </w:rPr>
        <w:t>竞争性磋商文件</w:t>
      </w:r>
      <w:r>
        <w:rPr>
          <w:rFonts w:hint="eastAsia" w:ascii="宋体" w:hAnsi="宋体" w:eastAsia="宋体" w:cs="宋体"/>
          <w:color w:val="000000" w:themeColor="text1"/>
          <w:kern w:val="21"/>
          <w:sz w:val="21"/>
          <w:szCs w:val="21"/>
          <w:highlight w:val="none"/>
          <w14:textFill>
            <w14:solidFill>
              <w14:schemeClr w14:val="tx1"/>
            </w14:solidFill>
          </w14:textFill>
        </w:rPr>
        <w:t>中工程量清单所列的各项内容和要求作实质性响应，报价不得低于企业成本。</w:t>
      </w:r>
    </w:p>
    <w:p w14:paraId="2D828ABB">
      <w:pPr>
        <w:pStyle w:val="12"/>
        <w:spacing w:line="440" w:lineRule="exact"/>
        <w:ind w:firstLine="420"/>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供应商</w:t>
      </w:r>
      <w:r>
        <w:rPr>
          <w:rFonts w:hint="eastAsia" w:ascii="宋体" w:hAnsi="宋体" w:eastAsia="宋体" w:cs="宋体"/>
          <w:color w:val="000000" w:themeColor="text1"/>
          <w:kern w:val="21"/>
          <w:sz w:val="21"/>
          <w:szCs w:val="21"/>
          <w:highlight w:val="none"/>
          <w14:textFill>
            <w14:solidFill>
              <w14:schemeClr w14:val="tx1"/>
            </w14:solidFill>
          </w14:textFill>
        </w:rPr>
        <w:t>应采用综合单价进行工程量清单报价，不得采用总价让利或以百分比让利等形式进行报价。</w:t>
      </w:r>
    </w:p>
    <w:p w14:paraId="2AA6F8C0">
      <w:pPr>
        <w:pStyle w:val="12"/>
        <w:spacing w:line="44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二、磋商报价说明</w:t>
      </w:r>
    </w:p>
    <w:p w14:paraId="20DE218C">
      <w:pPr>
        <w:pStyle w:val="12"/>
        <w:spacing w:line="440" w:lineRule="exact"/>
        <w:ind w:firstLine="420"/>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1.工程量清单中的每一子目须填入单价或价格，且只允许有一个报价。</w:t>
      </w:r>
    </w:p>
    <w:p w14:paraId="0B5FA560">
      <w:pPr>
        <w:pStyle w:val="12"/>
        <w:spacing w:line="440" w:lineRule="exact"/>
        <w:ind w:firstLine="420"/>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2.符合合同条款规定的全部费用应认为已被计入有标价的工程量清单所列各子目之中，未列子目不予计量的工作，其费用应视为已分摊在本合同工程的有关子目的单价或总价之中。</w:t>
      </w:r>
    </w:p>
    <w:p w14:paraId="08D9911F">
      <w:pPr>
        <w:pStyle w:val="12"/>
        <w:spacing w:line="440" w:lineRule="exact"/>
        <w:ind w:firstLine="420"/>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3.工程量清单中各项金额均以人民币（元）结算。</w:t>
      </w:r>
    </w:p>
    <w:p w14:paraId="28416CCF">
      <w:pPr>
        <w:pStyle w:val="12"/>
        <w:spacing w:line="440" w:lineRule="exact"/>
        <w:ind w:firstLine="420" w:firstLineChars="200"/>
        <w:rPr>
          <w:rFonts w:hint="eastAsia" w:ascii="宋体" w:hAnsi="宋体" w:eastAsia="宋体" w:cs="宋体"/>
          <w:color w:val="000000" w:themeColor="text1"/>
          <w:kern w:val="21"/>
          <w:sz w:val="21"/>
          <w:szCs w:val="21"/>
          <w:highlight w:val="none"/>
          <w14:textFill>
            <w14:solidFill>
              <w14:schemeClr w14:val="tx1"/>
            </w14:solidFill>
          </w14:textFill>
        </w:rPr>
      </w:pPr>
      <w:r>
        <w:rPr>
          <w:rFonts w:hint="eastAsia" w:ascii="宋体" w:hAnsi="宋体" w:eastAsia="宋体" w:cs="宋体"/>
          <w:color w:val="000000" w:themeColor="text1"/>
          <w:kern w:val="21"/>
          <w:sz w:val="21"/>
          <w:szCs w:val="21"/>
          <w:highlight w:val="none"/>
          <w14:textFill>
            <w14:solidFill>
              <w14:schemeClr w14:val="tx1"/>
            </w14:solidFill>
          </w14:textFill>
        </w:rPr>
        <w:t xml:space="preserve">4.供应商应采用综合单价进行工程量清单报价，不得采用总价让利或以百分比让利等形式进行报价。                          </w:t>
      </w:r>
    </w:p>
    <w:p w14:paraId="1CC824A3">
      <w:pPr>
        <w:tabs>
          <w:tab w:val="left" w:pos="210"/>
        </w:tabs>
        <w:spacing w:line="440" w:lineRule="exact"/>
        <w:ind w:firstLine="316" w:firstLineChars="150"/>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三、注意事项及要求：</w:t>
      </w:r>
    </w:p>
    <w:p w14:paraId="72AD75C1">
      <w:pPr>
        <w:tabs>
          <w:tab w:val="left" w:pos="210"/>
        </w:tabs>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1.严格按国家标准及本项目工程量清单、主管部门规定要求施工；</w:t>
      </w:r>
    </w:p>
    <w:p w14:paraId="1650677B">
      <w:pPr>
        <w:pStyle w:val="8"/>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2.要求工期</w:t>
      </w:r>
      <w:r>
        <w:rPr>
          <w:rFonts w:hint="eastAsia" w:ascii="宋体" w:hAnsi="宋体" w:eastAsia="宋体" w:cs="宋体"/>
          <w:color w:val="000000" w:themeColor="text1"/>
          <w:sz w:val="21"/>
          <w:szCs w:val="21"/>
          <w:highlight w:val="none"/>
          <w:u w:val="single"/>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60</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个日历天</w:t>
      </w:r>
      <w:r>
        <w:rPr>
          <w:rFonts w:hint="eastAsia" w:ascii="宋体" w:hAnsi="宋体" w:eastAsia="宋体" w:cs="宋体"/>
          <w:color w:val="000000" w:themeColor="text1"/>
          <w:sz w:val="21"/>
          <w:szCs w:val="21"/>
          <w:highlight w:val="none"/>
          <w14:textFill>
            <w14:solidFill>
              <w14:schemeClr w14:val="tx1"/>
            </w14:solidFill>
          </w14:textFill>
        </w:rPr>
        <w:t>；</w:t>
      </w:r>
    </w:p>
    <w:p w14:paraId="5F45B088">
      <w:pPr>
        <w:pStyle w:val="12"/>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3.质量标准：</w:t>
      </w:r>
      <w:r>
        <w:rPr>
          <w:rFonts w:hint="eastAsia" w:ascii="宋体" w:hAnsi="宋体" w:eastAsia="宋体" w:cs="宋体"/>
          <w:color w:val="000000" w:themeColor="text1"/>
          <w:sz w:val="21"/>
          <w:szCs w:val="21"/>
          <w:highlight w:val="none"/>
          <w:u w:val="single"/>
          <w14:textFill>
            <w14:solidFill>
              <w14:schemeClr w14:val="tx1"/>
            </w14:solidFill>
          </w14:textFill>
        </w:rPr>
        <w:t>达到国家施工验收规范合格标准</w:t>
      </w:r>
      <w:r>
        <w:rPr>
          <w:rFonts w:hint="eastAsia" w:ascii="宋体" w:hAnsi="宋体" w:eastAsia="宋体" w:cs="宋体"/>
          <w:color w:val="000000" w:themeColor="text1"/>
          <w:sz w:val="21"/>
          <w:szCs w:val="21"/>
          <w:highlight w:val="none"/>
          <w14:textFill>
            <w14:solidFill>
              <w14:schemeClr w14:val="tx1"/>
            </w14:solidFill>
          </w14:textFill>
        </w:rPr>
        <w:t>。</w:t>
      </w:r>
    </w:p>
    <w:p w14:paraId="3597CD6C">
      <w:pPr>
        <w:snapToGrid w:val="0"/>
        <w:spacing w:line="420" w:lineRule="exact"/>
        <w:ind w:firstLine="420" w:firstLineChars="200"/>
        <w:rPr>
          <w:rFonts w:hint="eastAsia" w:ascii="宋体" w:hAnsi="宋体" w:eastAsia="宋体" w:cs="宋体"/>
          <w:b w:val="0"/>
          <w:bCs/>
          <w:color w:val="000000" w:themeColor="text1"/>
          <w:sz w:val="21"/>
          <w:szCs w:val="21"/>
          <w:highlight w:val="none"/>
          <w:lang w:bidi="ar-SA"/>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 xml:space="preserve">4. </w:t>
      </w:r>
      <w:r>
        <w:rPr>
          <w:rFonts w:hint="eastAsia" w:ascii="宋体" w:hAnsi="宋体" w:eastAsia="宋体" w:cs="宋体"/>
          <w:b/>
          <w:color w:val="000000" w:themeColor="text1"/>
          <w:sz w:val="21"/>
          <w:szCs w:val="21"/>
          <w:highlight w:val="none"/>
          <w:lang w:bidi="ar-SA"/>
          <w14:textFill>
            <w14:solidFill>
              <w14:schemeClr w14:val="tx1"/>
            </w14:solidFill>
          </w14:textFill>
        </w:rPr>
        <w:t>本</w:t>
      </w:r>
      <w:r>
        <w:rPr>
          <w:rFonts w:hint="eastAsia" w:ascii="宋体" w:hAnsi="宋体" w:eastAsia="宋体" w:cs="宋体"/>
          <w:b/>
          <w:color w:val="000000" w:themeColor="text1"/>
          <w:sz w:val="21"/>
          <w:szCs w:val="21"/>
          <w:highlight w:val="none"/>
          <w:lang w:eastAsia="zh-CN" w:bidi="ar-SA"/>
          <w14:textFill>
            <w14:solidFill>
              <w14:schemeClr w14:val="tx1"/>
            </w14:solidFill>
          </w14:textFill>
        </w:rPr>
        <w:t>项目</w:t>
      </w:r>
      <w:r>
        <w:rPr>
          <w:rFonts w:hint="eastAsia" w:ascii="宋体" w:hAnsi="宋体" w:eastAsia="宋体" w:cs="宋体"/>
          <w:b/>
          <w:color w:val="000000" w:themeColor="text1"/>
          <w:sz w:val="21"/>
          <w:szCs w:val="21"/>
          <w:highlight w:val="none"/>
          <w:lang w:bidi="ar-SA"/>
          <w14:textFill>
            <w14:solidFill>
              <w14:schemeClr w14:val="tx1"/>
            </w14:solidFill>
          </w14:textFill>
        </w:rPr>
        <w:t>工程招标控制总造价（最高</w:t>
      </w:r>
      <w:r>
        <w:rPr>
          <w:rFonts w:hint="eastAsia" w:ascii="宋体" w:hAnsi="宋体" w:eastAsia="宋体" w:cs="宋体"/>
          <w:b/>
          <w:color w:val="000000" w:themeColor="text1"/>
          <w:sz w:val="21"/>
          <w:szCs w:val="21"/>
          <w:highlight w:val="none"/>
          <w:lang w:eastAsia="zh-CN" w:bidi="ar-SA"/>
          <w14:textFill>
            <w14:solidFill>
              <w14:schemeClr w14:val="tx1"/>
            </w14:solidFill>
          </w14:textFill>
        </w:rPr>
        <w:t>磋商</w:t>
      </w:r>
      <w:r>
        <w:rPr>
          <w:rFonts w:hint="eastAsia" w:ascii="宋体" w:hAnsi="宋体" w:eastAsia="宋体" w:cs="宋体"/>
          <w:b/>
          <w:color w:val="000000" w:themeColor="text1"/>
          <w:sz w:val="21"/>
          <w:szCs w:val="21"/>
          <w:highlight w:val="none"/>
          <w:lang w:bidi="ar-SA"/>
          <w14:textFill>
            <w14:solidFill>
              <w14:schemeClr w14:val="tx1"/>
            </w14:solidFill>
          </w14:textFill>
        </w:rPr>
        <w:t>限价）为</w:t>
      </w:r>
      <w:r>
        <w:rPr>
          <w:rFonts w:hint="eastAsia" w:ascii="宋体" w:hAnsi="宋体" w:cs="宋体"/>
          <w:b/>
          <w:bCs/>
          <w:color w:val="000000" w:themeColor="text1"/>
          <w:sz w:val="21"/>
          <w:szCs w:val="21"/>
          <w:highlight w:val="none"/>
          <w:lang w:val="en-US" w:eastAsia="zh-CN"/>
          <w14:textFill>
            <w14:solidFill>
              <w14:schemeClr w14:val="tx1"/>
            </w14:solidFill>
          </w14:textFill>
        </w:rPr>
        <w:t>639500.00</w:t>
      </w:r>
      <w:r>
        <w:rPr>
          <w:rFonts w:hint="eastAsia" w:ascii="宋体" w:hAnsi="宋体" w:eastAsia="宋体" w:cs="宋体"/>
          <w:b/>
          <w:color w:val="000000" w:themeColor="text1"/>
          <w:sz w:val="21"/>
          <w:szCs w:val="21"/>
          <w:highlight w:val="none"/>
          <w:lang w:bidi="ar-SA"/>
          <w14:textFill>
            <w14:solidFill>
              <w14:schemeClr w14:val="tx1"/>
            </w14:solidFill>
          </w14:textFill>
        </w:rPr>
        <w:t>元</w:t>
      </w:r>
      <w:r>
        <w:rPr>
          <w:rFonts w:hint="eastAsia" w:ascii="宋体" w:hAnsi="宋体" w:eastAsia="宋体" w:cs="宋体"/>
          <w:b w:val="0"/>
          <w:bCs/>
          <w:color w:val="000000" w:themeColor="text1"/>
          <w:sz w:val="21"/>
          <w:szCs w:val="21"/>
          <w:highlight w:val="none"/>
          <w:lang w:bidi="ar-SA"/>
          <w14:textFill>
            <w14:solidFill>
              <w14:schemeClr w14:val="tx1"/>
            </w14:solidFill>
          </w14:textFill>
        </w:rPr>
        <w:t>，</w:t>
      </w:r>
      <w:r>
        <w:rPr>
          <w:rFonts w:hint="eastAsia" w:ascii="宋体" w:hAnsi="宋体" w:eastAsia="宋体" w:cs="宋体"/>
          <w:b w:val="0"/>
          <w:bCs/>
          <w:color w:val="000000" w:themeColor="text1"/>
          <w:sz w:val="21"/>
          <w:szCs w:val="21"/>
          <w:highlight w:val="none"/>
          <w:lang w:eastAsia="zh-CN" w:bidi="ar-SA"/>
          <w14:textFill>
            <w14:solidFill>
              <w14:schemeClr w14:val="tx1"/>
            </w14:solidFill>
          </w14:textFill>
        </w:rPr>
        <w:t>供应商</w:t>
      </w:r>
      <w:r>
        <w:rPr>
          <w:rFonts w:hint="eastAsia" w:ascii="宋体" w:hAnsi="宋体" w:eastAsia="宋体" w:cs="宋体"/>
          <w:b w:val="0"/>
          <w:bCs/>
          <w:color w:val="000000" w:themeColor="text1"/>
          <w:sz w:val="21"/>
          <w:szCs w:val="21"/>
          <w:highlight w:val="none"/>
          <w:lang w:bidi="ar-SA"/>
          <w14:textFill>
            <w14:solidFill>
              <w14:schemeClr w14:val="tx1"/>
            </w14:solidFill>
          </w14:textFill>
        </w:rPr>
        <w:t>的</w:t>
      </w:r>
      <w:r>
        <w:rPr>
          <w:rFonts w:hint="eastAsia" w:ascii="宋体" w:hAnsi="宋体" w:eastAsia="宋体" w:cs="宋体"/>
          <w:b w:val="0"/>
          <w:bCs/>
          <w:color w:val="000000" w:themeColor="text1"/>
          <w:sz w:val="21"/>
          <w:szCs w:val="21"/>
          <w:highlight w:val="none"/>
          <w:lang w:eastAsia="zh-CN" w:bidi="ar-SA"/>
          <w14:textFill>
            <w14:solidFill>
              <w14:schemeClr w14:val="tx1"/>
            </w14:solidFill>
          </w14:textFill>
        </w:rPr>
        <w:t>最后磋商</w:t>
      </w:r>
      <w:r>
        <w:rPr>
          <w:rFonts w:hint="eastAsia" w:ascii="宋体" w:hAnsi="宋体" w:eastAsia="宋体" w:cs="宋体"/>
          <w:b w:val="0"/>
          <w:bCs/>
          <w:color w:val="000000" w:themeColor="text1"/>
          <w:sz w:val="21"/>
          <w:szCs w:val="21"/>
          <w:highlight w:val="none"/>
          <w:lang w:bidi="ar-SA"/>
          <w14:textFill>
            <w14:solidFill>
              <w14:schemeClr w14:val="tx1"/>
            </w14:solidFill>
          </w14:textFill>
        </w:rPr>
        <w:t>总报价高于本</w:t>
      </w:r>
      <w:r>
        <w:rPr>
          <w:rFonts w:hint="eastAsia" w:ascii="宋体" w:hAnsi="宋体" w:eastAsia="宋体" w:cs="宋体"/>
          <w:b w:val="0"/>
          <w:bCs/>
          <w:color w:val="000000" w:themeColor="text1"/>
          <w:sz w:val="21"/>
          <w:szCs w:val="21"/>
          <w:highlight w:val="none"/>
          <w:lang w:eastAsia="zh-CN" w:bidi="ar-SA"/>
          <w14:textFill>
            <w14:solidFill>
              <w14:schemeClr w14:val="tx1"/>
            </w14:solidFill>
          </w14:textFill>
        </w:rPr>
        <w:t>项目</w:t>
      </w:r>
      <w:r>
        <w:rPr>
          <w:rFonts w:hint="eastAsia" w:ascii="宋体" w:hAnsi="宋体" w:eastAsia="宋体" w:cs="宋体"/>
          <w:b w:val="0"/>
          <w:bCs/>
          <w:color w:val="000000" w:themeColor="text1"/>
          <w:sz w:val="21"/>
          <w:szCs w:val="21"/>
          <w:highlight w:val="none"/>
          <w:lang w:bidi="ar-SA"/>
          <w14:textFill>
            <w14:solidFill>
              <w14:schemeClr w14:val="tx1"/>
            </w14:solidFill>
          </w14:textFill>
        </w:rPr>
        <w:t>工程招标控制总造价（最高</w:t>
      </w:r>
      <w:r>
        <w:rPr>
          <w:rFonts w:hint="eastAsia" w:ascii="宋体" w:hAnsi="宋体" w:eastAsia="宋体" w:cs="宋体"/>
          <w:b w:val="0"/>
          <w:bCs/>
          <w:color w:val="000000" w:themeColor="text1"/>
          <w:sz w:val="21"/>
          <w:szCs w:val="21"/>
          <w:highlight w:val="none"/>
          <w:lang w:eastAsia="zh-CN" w:bidi="ar-SA"/>
          <w14:textFill>
            <w14:solidFill>
              <w14:schemeClr w14:val="tx1"/>
            </w14:solidFill>
          </w14:textFill>
        </w:rPr>
        <w:t>磋商</w:t>
      </w:r>
      <w:r>
        <w:rPr>
          <w:rFonts w:hint="eastAsia" w:ascii="宋体" w:hAnsi="宋体" w:eastAsia="宋体" w:cs="宋体"/>
          <w:b w:val="0"/>
          <w:bCs/>
          <w:color w:val="000000" w:themeColor="text1"/>
          <w:sz w:val="21"/>
          <w:szCs w:val="21"/>
          <w:highlight w:val="none"/>
          <w:lang w:bidi="ar-SA"/>
          <w14:textFill>
            <w14:solidFill>
              <w14:schemeClr w14:val="tx1"/>
            </w14:solidFill>
          </w14:textFill>
        </w:rPr>
        <w:t>限价）为无效</w:t>
      </w:r>
      <w:r>
        <w:rPr>
          <w:rFonts w:hint="eastAsia" w:ascii="宋体" w:hAnsi="宋体" w:eastAsia="宋体" w:cs="宋体"/>
          <w:b w:val="0"/>
          <w:bCs/>
          <w:color w:val="000000" w:themeColor="text1"/>
          <w:sz w:val="21"/>
          <w:szCs w:val="21"/>
          <w:highlight w:val="none"/>
          <w:lang w:eastAsia="zh-CN" w:bidi="ar-SA"/>
          <w14:textFill>
            <w14:solidFill>
              <w14:schemeClr w14:val="tx1"/>
            </w14:solidFill>
          </w14:textFill>
        </w:rPr>
        <w:t>报价</w:t>
      </w:r>
      <w:r>
        <w:rPr>
          <w:rFonts w:hint="eastAsia" w:ascii="宋体" w:hAnsi="宋体" w:eastAsia="宋体" w:cs="宋体"/>
          <w:b w:val="0"/>
          <w:bCs/>
          <w:color w:val="000000" w:themeColor="text1"/>
          <w:sz w:val="21"/>
          <w:szCs w:val="21"/>
          <w:highlight w:val="none"/>
          <w:lang w:bidi="ar-SA"/>
          <w14:textFill>
            <w14:solidFill>
              <w14:schemeClr w14:val="tx1"/>
            </w14:solidFill>
          </w14:textFill>
        </w:rPr>
        <w:t>。</w:t>
      </w:r>
    </w:p>
    <w:p w14:paraId="3E710A0C">
      <w:pPr>
        <w:tabs>
          <w:tab w:val="left" w:pos="210"/>
        </w:tabs>
        <w:spacing w:line="440" w:lineRule="exact"/>
        <w:ind w:firstLine="422" w:firstLineChars="200"/>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四、项目所属行业：</w:t>
      </w:r>
      <w:r>
        <w:rPr>
          <w:rFonts w:hint="eastAsia" w:ascii="宋体" w:hAnsi="宋体" w:eastAsia="宋体" w:cs="宋体"/>
          <w:b/>
          <w:color w:val="000000" w:themeColor="text1"/>
          <w:kern w:val="0"/>
          <w:sz w:val="21"/>
          <w:szCs w:val="21"/>
          <w:highlight w:val="none"/>
          <w:lang w:bidi="ar-SA"/>
          <w14:textFill>
            <w14:solidFill>
              <w14:schemeClr w14:val="tx1"/>
            </w14:solidFill>
          </w14:textFill>
        </w:rPr>
        <w:t>所属行业依照《中小企业划型标准规定》（工信部联企业〔2011〕300号）及《国民经济行业分类》（GB/T4754-2017）的有关规定执行，本工程在《统计上大中小微型企业划分标准》中所属行业均为</w:t>
      </w:r>
      <w:r>
        <w:rPr>
          <w:rFonts w:hint="eastAsia" w:ascii="宋体" w:hAnsi="宋体" w:eastAsia="宋体" w:cs="宋体"/>
          <w:b/>
          <w:color w:val="000000" w:themeColor="text1"/>
          <w:kern w:val="0"/>
          <w:sz w:val="21"/>
          <w:szCs w:val="21"/>
          <w:highlight w:val="none"/>
          <w:u w:val="single"/>
          <w:lang w:bidi="ar-SA"/>
          <w14:textFill>
            <w14:solidFill>
              <w14:schemeClr w14:val="tx1"/>
            </w14:solidFill>
          </w14:textFill>
        </w:rPr>
        <w:t>建筑业。</w:t>
      </w:r>
    </w:p>
    <w:p w14:paraId="3E30CE70">
      <w:pPr>
        <w:tabs>
          <w:tab w:val="left" w:pos="210"/>
        </w:tabs>
        <w:spacing w:line="440" w:lineRule="exact"/>
        <w:ind w:firstLine="422" w:firstLineChars="200"/>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五、工程量清单（自行下载）。</w:t>
      </w:r>
    </w:p>
    <w:p w14:paraId="74996857">
      <w:pPr>
        <w:spacing w:line="400" w:lineRule="exact"/>
        <w:rPr>
          <w:rFonts w:hint="eastAsia" w:ascii="仿宋_GB2312" w:eastAsia="仿宋_GB2312"/>
          <w:b/>
          <w:color w:val="000000" w:themeColor="text1"/>
          <w:sz w:val="32"/>
          <w:szCs w:val="32"/>
          <w:highlight w:val="none"/>
          <w14:textFill>
            <w14:solidFill>
              <w14:schemeClr w14:val="tx1"/>
            </w14:solidFill>
          </w14:textFill>
        </w:rPr>
      </w:pPr>
    </w:p>
    <w:p w14:paraId="2BF59587">
      <w:pPr>
        <w:spacing w:line="620" w:lineRule="exact"/>
        <w:jc w:val="center"/>
        <w:outlineLvl w:val="0"/>
        <w:rPr>
          <w:rFonts w:hint="eastAsia" w:ascii="仿宋_GB2312" w:eastAsia="仿宋_GB2312"/>
          <w:b/>
          <w:color w:val="000000" w:themeColor="text1"/>
          <w:sz w:val="44"/>
          <w:szCs w:val="44"/>
          <w:highlight w:val="none"/>
          <w14:textFill>
            <w14:solidFill>
              <w14:schemeClr w14:val="tx1"/>
            </w14:solidFill>
          </w14:textFill>
        </w:rPr>
      </w:pPr>
      <w:r>
        <w:rPr>
          <w:rFonts w:hint="eastAsia" w:ascii="宋体" w:cs="宋体"/>
          <w:color w:val="000000" w:themeColor="text1"/>
          <w:sz w:val="24"/>
          <w:highlight w:val="none"/>
          <w:lang w:bidi="ar-SA"/>
          <w14:textFill>
            <w14:solidFill>
              <w14:schemeClr w14:val="tx1"/>
            </w14:solidFill>
          </w14:textFill>
        </w:rPr>
        <w:br w:type="page"/>
      </w:r>
      <w:bookmarkStart w:id="1289" w:name="_Toc13770"/>
      <w:r>
        <w:rPr>
          <w:rFonts w:hint="eastAsia" w:ascii="宋体"/>
          <w:b/>
          <w:color w:val="000000" w:themeColor="text1"/>
          <w:kern w:val="0"/>
          <w:sz w:val="44"/>
          <w:szCs w:val="44"/>
          <w:highlight w:val="none"/>
          <w14:textFill>
            <w14:solidFill>
              <w14:schemeClr w14:val="tx1"/>
            </w14:solidFill>
          </w14:textFill>
        </w:rPr>
        <w:t>第六章 技术标准和要求</w:t>
      </w:r>
      <w:bookmarkEnd w:id="1289"/>
    </w:p>
    <w:p w14:paraId="18768BB2">
      <w:pPr>
        <w:spacing w:line="500" w:lineRule="exact"/>
        <w:jc w:val="center"/>
        <w:rPr>
          <w:rFonts w:hint="eastAsia" w:ascii="宋体"/>
          <w:color w:val="000000" w:themeColor="text1"/>
          <w:szCs w:val="21"/>
          <w:highlight w:val="none"/>
          <w14:textFill>
            <w14:solidFill>
              <w14:schemeClr w14:val="tx1"/>
            </w14:solidFill>
          </w14:textFill>
        </w:rPr>
      </w:pPr>
    </w:p>
    <w:p w14:paraId="12407B0F">
      <w:pPr>
        <w:spacing w:line="620" w:lineRule="exact"/>
        <w:jc w:val="center"/>
        <w:outlineLvl w:val="9"/>
        <w:rPr>
          <w:rFonts w:hint="eastAsia" w:ascii="宋体" w:cs="宋体"/>
          <w:color w:val="000000" w:themeColor="text1"/>
          <w:sz w:val="24"/>
          <w:highlight w:val="none"/>
          <w:lang w:bidi="ar-SA"/>
          <w14:textFill>
            <w14:solidFill>
              <w14:schemeClr w14:val="tx1"/>
            </w14:solidFill>
          </w14:textFill>
        </w:rPr>
      </w:pPr>
      <w:r>
        <w:rPr>
          <w:rFonts w:hint="eastAsia" w:ascii="宋体" w:cs="宋体"/>
          <w:color w:val="000000" w:themeColor="text1"/>
          <w:sz w:val="24"/>
          <w:highlight w:val="none"/>
          <w:lang w:bidi="ar-SA"/>
          <w14:textFill>
            <w14:solidFill>
              <w14:schemeClr w14:val="tx1"/>
            </w14:solidFill>
          </w14:textFill>
        </w:rPr>
        <w:t>本章由</w:t>
      </w:r>
      <w:r>
        <w:rPr>
          <w:rFonts w:hint="eastAsia" w:ascii="宋体" w:cs="宋体"/>
          <w:color w:val="000000" w:themeColor="text1"/>
          <w:sz w:val="24"/>
          <w:highlight w:val="none"/>
          <w:lang w:eastAsia="zh-CN" w:bidi="ar-SA"/>
          <w14:textFill>
            <w14:solidFill>
              <w14:schemeClr w14:val="tx1"/>
            </w14:solidFill>
          </w14:textFill>
        </w:rPr>
        <w:t>采购</w:t>
      </w:r>
      <w:r>
        <w:rPr>
          <w:rFonts w:hint="eastAsia" w:ascii="宋体" w:cs="宋体"/>
          <w:color w:val="000000" w:themeColor="text1"/>
          <w:sz w:val="24"/>
          <w:highlight w:val="none"/>
          <w:lang w:bidi="ar-SA"/>
          <w14:textFill>
            <w14:solidFill>
              <w14:schemeClr w14:val="tx1"/>
            </w14:solidFill>
          </w14:textFill>
        </w:rPr>
        <w:t>人根据国家行业和地方现行标准、规范和规程等，以及项目具体情况摘录。</w:t>
      </w:r>
    </w:p>
    <w:p w14:paraId="5A2B87F6">
      <w:pPr>
        <w:spacing w:line="620" w:lineRule="exact"/>
        <w:jc w:val="center"/>
        <w:outlineLvl w:val="0"/>
        <w:rPr>
          <w:rFonts w:hint="eastAsia" w:ascii="仿宋_GB2312" w:eastAsia="仿宋_GB2312"/>
          <w:b/>
          <w:color w:val="000000" w:themeColor="text1"/>
          <w:sz w:val="44"/>
          <w:szCs w:val="44"/>
          <w:highlight w:val="none"/>
          <w14:textFill>
            <w14:solidFill>
              <w14:schemeClr w14:val="tx1"/>
            </w14:solidFill>
          </w14:textFill>
        </w:rPr>
      </w:pPr>
      <w:r>
        <w:rPr>
          <w:rFonts w:hint="eastAsia" w:ascii="宋体" w:cs="宋体"/>
          <w:color w:val="000000" w:themeColor="text1"/>
          <w:sz w:val="24"/>
          <w:highlight w:val="none"/>
          <w:lang w:bidi="ar-SA"/>
          <w14:textFill>
            <w14:solidFill>
              <w14:schemeClr w14:val="tx1"/>
            </w14:solidFill>
          </w14:textFill>
        </w:rPr>
        <w:br w:type="page"/>
      </w:r>
      <w:bookmarkStart w:id="1290" w:name="_Toc30186"/>
      <w:r>
        <w:rPr>
          <w:rFonts w:hint="eastAsia" w:ascii="宋体"/>
          <w:b/>
          <w:color w:val="000000" w:themeColor="text1"/>
          <w:kern w:val="0"/>
          <w:sz w:val="44"/>
          <w:szCs w:val="44"/>
          <w:highlight w:val="none"/>
          <w14:textFill>
            <w14:solidFill>
              <w14:schemeClr w14:val="tx1"/>
            </w14:solidFill>
          </w14:textFill>
        </w:rPr>
        <w:t>第</w:t>
      </w:r>
      <w:r>
        <w:rPr>
          <w:rFonts w:hint="eastAsia" w:ascii="宋体"/>
          <w:b/>
          <w:color w:val="000000" w:themeColor="text1"/>
          <w:kern w:val="0"/>
          <w:sz w:val="44"/>
          <w:szCs w:val="44"/>
          <w:highlight w:val="none"/>
          <w:lang w:eastAsia="zh-CN"/>
          <w14:textFill>
            <w14:solidFill>
              <w14:schemeClr w14:val="tx1"/>
            </w14:solidFill>
          </w14:textFill>
        </w:rPr>
        <w:t>七</w:t>
      </w:r>
      <w:r>
        <w:rPr>
          <w:rFonts w:hint="eastAsia" w:ascii="宋体"/>
          <w:b/>
          <w:color w:val="000000" w:themeColor="text1"/>
          <w:kern w:val="0"/>
          <w:sz w:val="44"/>
          <w:szCs w:val="44"/>
          <w:highlight w:val="none"/>
          <w14:textFill>
            <w14:solidFill>
              <w14:schemeClr w14:val="tx1"/>
            </w14:solidFill>
          </w14:textFill>
        </w:rPr>
        <w:t xml:space="preserve">章 </w:t>
      </w:r>
      <w:r>
        <w:rPr>
          <w:rFonts w:hint="eastAsia" w:ascii="仿宋_GB2312" w:eastAsia="仿宋_GB2312"/>
          <w:b/>
          <w:color w:val="000000" w:themeColor="text1"/>
          <w:sz w:val="44"/>
          <w:szCs w:val="44"/>
          <w:highlight w:val="none"/>
          <w14:textFill>
            <w14:solidFill>
              <w14:schemeClr w14:val="tx1"/>
            </w14:solidFill>
          </w14:textFill>
        </w:rPr>
        <w:t>竞争性磋商响应文件格式</w:t>
      </w:r>
      <w:bookmarkEnd w:id="1290"/>
    </w:p>
    <w:p w14:paraId="79142804">
      <w:pPr>
        <w:spacing w:line="500" w:lineRule="exact"/>
        <w:jc w:val="center"/>
        <w:rPr>
          <w:rFonts w:hint="eastAsia" w:ascii="宋体"/>
          <w:color w:val="000000" w:themeColor="text1"/>
          <w:szCs w:val="21"/>
          <w:highlight w:val="none"/>
          <w14:textFill>
            <w14:solidFill>
              <w14:schemeClr w14:val="tx1"/>
            </w14:solidFill>
          </w14:textFill>
        </w:rPr>
      </w:pPr>
    </w:p>
    <w:p w14:paraId="6795BF34">
      <w:pPr>
        <w:spacing w:line="500" w:lineRule="exact"/>
        <w:jc w:val="center"/>
        <w:rPr>
          <w:rFonts w:hint="eastAsia" w:ascii="宋体"/>
          <w:color w:val="000000" w:themeColor="text1"/>
          <w:szCs w:val="21"/>
          <w:highlight w:val="none"/>
          <w14:textFill>
            <w14:solidFill>
              <w14:schemeClr w14:val="tx1"/>
            </w14:solidFill>
          </w14:textFill>
        </w:rPr>
      </w:pPr>
    </w:p>
    <w:p w14:paraId="45226BA3">
      <w:pPr>
        <w:numPr>
          <w:ilvl w:val="0"/>
          <w:numId w:val="7"/>
        </w:numPr>
        <w:spacing w:line="440" w:lineRule="atLeast"/>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资格性响应证明材料：</w:t>
      </w:r>
    </w:p>
    <w:p w14:paraId="3A5E6229">
      <w:pPr>
        <w:numPr>
          <w:ilvl w:val="0"/>
          <w:numId w:val="0"/>
        </w:numPr>
        <w:spacing w:line="440" w:lineRule="atLeast"/>
        <w:ind w:firstLine="562" w:firstLineChars="200"/>
        <w:rPr>
          <w:rFonts w:hint="eastAsia" w:ascii="宋体"/>
          <w:b/>
          <w:color w:val="000000" w:themeColor="text1"/>
          <w:sz w:val="28"/>
          <w:szCs w:val="28"/>
          <w:highlight w:val="none"/>
          <w14:textFill>
            <w14:solidFill>
              <w14:schemeClr w14:val="tx1"/>
            </w14:solidFill>
          </w14:textFill>
        </w:rPr>
      </w:pPr>
    </w:p>
    <w:p w14:paraId="3F59BF6F">
      <w:pPr>
        <w:numPr>
          <w:ilvl w:val="0"/>
          <w:numId w:val="0"/>
        </w:numPr>
        <w:spacing w:line="440" w:lineRule="atLeast"/>
        <w:ind w:firstLine="562" w:firstLineChars="200"/>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1. 法定代表人的正反两面身份证扫描件（必须提供）；</w:t>
      </w:r>
    </w:p>
    <w:p w14:paraId="1E890702">
      <w:pPr>
        <w:adjustRightInd w:val="0"/>
        <w:snapToGrid w:val="0"/>
        <w:spacing w:line="300" w:lineRule="auto"/>
        <w:ind w:firstLine="562" w:firstLineChars="200"/>
        <w:rPr>
          <w:rFonts w:hint="eastAsia" w:ascii="宋体"/>
          <w:b/>
          <w:color w:val="000000" w:themeColor="text1"/>
          <w:sz w:val="28"/>
          <w:szCs w:val="28"/>
          <w:highlight w:val="none"/>
          <w14:textFill>
            <w14:solidFill>
              <w14:schemeClr w14:val="tx1"/>
            </w14:solidFill>
          </w14:textFill>
        </w:rPr>
      </w:pPr>
    </w:p>
    <w:p w14:paraId="4A158589">
      <w:pPr>
        <w:adjustRightInd w:val="0"/>
        <w:snapToGrid w:val="0"/>
        <w:spacing w:line="300" w:lineRule="auto"/>
        <w:ind w:firstLine="562" w:firstLineChars="200"/>
        <w:rPr>
          <w:rFonts w:hint="eastAsia" w:ascii="宋体"/>
          <w:b/>
          <w:color w:val="000000" w:themeColor="text1"/>
          <w:sz w:val="28"/>
          <w:szCs w:val="28"/>
          <w:highlight w:val="none"/>
          <w14:textFill>
            <w14:solidFill>
              <w14:schemeClr w14:val="tx1"/>
            </w14:solidFill>
          </w14:textFill>
        </w:rPr>
      </w:pPr>
    </w:p>
    <w:p w14:paraId="7FB254FC">
      <w:pPr>
        <w:adjustRightInd w:val="0"/>
        <w:snapToGrid w:val="0"/>
        <w:spacing w:line="300" w:lineRule="auto"/>
        <w:ind w:firstLine="562" w:firstLineChars="200"/>
        <w:rPr>
          <w:rFonts w:hint="eastAsia" w:ascii="宋体"/>
          <w:b/>
          <w:color w:val="000000" w:themeColor="text1"/>
          <w:sz w:val="28"/>
          <w:szCs w:val="28"/>
          <w:highlight w:val="none"/>
          <w14:textFill>
            <w14:solidFill>
              <w14:schemeClr w14:val="tx1"/>
            </w14:solidFill>
          </w14:textFill>
        </w:rPr>
      </w:pPr>
    </w:p>
    <w:p w14:paraId="174223E0">
      <w:pPr>
        <w:adjustRightInd w:val="0"/>
        <w:snapToGrid w:val="0"/>
        <w:spacing w:line="300" w:lineRule="auto"/>
        <w:ind w:firstLine="562" w:firstLineChars="200"/>
        <w:rPr>
          <w:rFonts w:hint="eastAsia" w:ascii="宋体"/>
          <w:b/>
          <w:color w:val="000000" w:themeColor="text1"/>
          <w:sz w:val="28"/>
          <w:szCs w:val="28"/>
          <w:highlight w:val="none"/>
          <w14:textFill>
            <w14:solidFill>
              <w14:schemeClr w14:val="tx1"/>
            </w14:solidFill>
          </w14:textFill>
        </w:rPr>
      </w:pPr>
    </w:p>
    <w:p w14:paraId="2F9ACC2E">
      <w:pPr>
        <w:adjustRightInd w:val="0"/>
        <w:snapToGrid w:val="0"/>
        <w:spacing w:line="300" w:lineRule="auto"/>
        <w:ind w:firstLine="562" w:firstLineChars="200"/>
        <w:rPr>
          <w:rFonts w:hint="eastAsia" w:ascii="宋体"/>
          <w:b/>
          <w:color w:val="000000" w:themeColor="text1"/>
          <w:sz w:val="28"/>
          <w:szCs w:val="28"/>
          <w:highlight w:val="none"/>
          <w14:textFill>
            <w14:solidFill>
              <w14:schemeClr w14:val="tx1"/>
            </w14:solidFill>
          </w14:textFill>
        </w:rPr>
      </w:pPr>
    </w:p>
    <w:p w14:paraId="2FE24E44">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2.供应商的授权委托书原件、委托代理人身份证正反面扫描件以及由县级以上（含县级）社会养老保险经办机构出具的供应商为委托代理人交纳的响应文件递交截止时间前半年内任意一个月社保证明扫描件；（委托代理时必须提供）。除供应商为以下三种情形的：</w:t>
      </w:r>
    </w:p>
    <w:p w14:paraId="611CDB8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b w:val="0"/>
          <w:bCs/>
          <w:color w:val="000000" w:themeColor="text1"/>
          <w:sz w:val="28"/>
          <w:szCs w:val="28"/>
          <w:highlight w:val="none"/>
          <w14:textFill>
            <w14:solidFill>
              <w14:schemeClr w14:val="tx1"/>
            </w14:solidFill>
          </w14:textFill>
        </w:rPr>
      </w:pPr>
      <w:r>
        <w:rPr>
          <w:rFonts w:hint="eastAsia" w:ascii="宋体"/>
          <w:b w:val="0"/>
          <w:bCs/>
          <w:color w:val="000000" w:themeColor="text1"/>
          <w:sz w:val="28"/>
          <w:szCs w:val="28"/>
          <w:highlight w:val="none"/>
          <w14:textFill>
            <w14:solidFill>
              <w14:schemeClr w14:val="tx1"/>
            </w14:solidFill>
          </w14:textFill>
        </w:rPr>
        <w:t>①如供应商为截标时间前60日以内成立的公司，可以提供供应商与委托代理人签订的劳动合同扫描件代替社保证明扫描件；</w:t>
      </w:r>
    </w:p>
    <w:p w14:paraId="2987FB9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b w:val="0"/>
          <w:bCs/>
          <w:color w:val="000000" w:themeColor="text1"/>
          <w:sz w:val="28"/>
          <w:szCs w:val="28"/>
          <w:highlight w:val="none"/>
          <w14:textFill>
            <w14:solidFill>
              <w14:schemeClr w14:val="tx1"/>
            </w14:solidFill>
          </w14:textFill>
        </w:rPr>
      </w:pPr>
      <w:r>
        <w:rPr>
          <w:rFonts w:hint="eastAsia" w:ascii="宋体"/>
          <w:b w:val="0"/>
          <w:bCs/>
          <w:color w:val="000000" w:themeColor="text1"/>
          <w:sz w:val="28"/>
          <w:szCs w:val="28"/>
          <w:highlight w:val="none"/>
          <w14:textFill>
            <w14:solidFill>
              <w14:schemeClr w14:val="tx1"/>
            </w14:solidFill>
          </w14:textFill>
        </w:rPr>
        <w:t>②如供应商为事业单位，可以提供事业单位机构编制管理证扫描件或事业单位机构为其发放工资的工资条扫描件代替社保证明扫描件；</w:t>
      </w:r>
    </w:p>
    <w:p w14:paraId="74BA9C5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b w:val="0"/>
          <w:bCs/>
          <w:color w:val="000000" w:themeColor="text1"/>
          <w:sz w:val="28"/>
          <w:szCs w:val="28"/>
          <w:highlight w:val="none"/>
          <w14:textFill>
            <w14:solidFill>
              <w14:schemeClr w14:val="tx1"/>
            </w14:solidFill>
          </w14:textFill>
        </w:rPr>
      </w:pPr>
      <w:r>
        <w:rPr>
          <w:rFonts w:hint="eastAsia" w:ascii="宋体"/>
          <w:b w:val="0"/>
          <w:bCs/>
          <w:color w:val="000000" w:themeColor="text1"/>
          <w:sz w:val="28"/>
          <w:szCs w:val="28"/>
          <w:highlight w:val="none"/>
          <w14:textFill>
            <w14:solidFill>
              <w14:schemeClr w14:val="tx1"/>
            </w14:solidFill>
          </w14:textFill>
        </w:rPr>
        <w:t>③如委托代理人为免缴纳社保人员，提供免缴纳社保的证明材料扫描件及供应商与委托代理人签订的劳动合同扫描件代替社保证明扫描件。</w:t>
      </w:r>
    </w:p>
    <w:p w14:paraId="3C59C6B1">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【属自然人的应提供由县级以上（含县级）社会养老保险经办机构出具的自然人本人及委托代理人所交纳的响应文件递交截止时间前半年内任意一个月社保证明扫描件】；</w:t>
      </w:r>
    </w:p>
    <w:p w14:paraId="6D9B4551">
      <w:pPr>
        <w:spacing w:line="300" w:lineRule="auto"/>
        <w:jc w:val="left"/>
        <w:rPr>
          <w:rFonts w:hint="eastAsia" w:ascii="宋体"/>
          <w:color w:val="000000" w:themeColor="text1"/>
          <w:szCs w:val="21"/>
          <w:highlight w:val="none"/>
          <w14:textFill>
            <w14:solidFill>
              <w14:schemeClr w14:val="tx1"/>
            </w14:solidFill>
          </w14:textFill>
        </w:rPr>
      </w:pPr>
    </w:p>
    <w:p w14:paraId="411989C1">
      <w:pPr>
        <w:pStyle w:val="12"/>
        <w:rPr>
          <w:rFonts w:hint="eastAsia" w:ascii="宋体" w:hAnsi="宋体" w:eastAsia="宋体" w:cs="宋体"/>
          <w:b/>
          <w:color w:val="000000" w:themeColor="text1"/>
          <w:sz w:val="32"/>
          <w:highlight w:val="non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br w:type="page"/>
      </w:r>
      <w:r>
        <w:rPr>
          <w:rFonts w:hint="eastAsia" w:ascii="宋体" w:hAnsi="宋体" w:eastAsia="宋体" w:cs="宋体"/>
          <w:b/>
          <w:color w:val="000000" w:themeColor="text1"/>
          <w:sz w:val="32"/>
          <w:highlight w:val="none"/>
          <w14:textFill>
            <w14:solidFill>
              <w14:schemeClr w14:val="tx1"/>
            </w14:solidFill>
          </w14:textFill>
        </w:rPr>
        <w:t xml:space="preserve">附件：            </w:t>
      </w:r>
    </w:p>
    <w:p w14:paraId="0E13F1E2">
      <w:pPr>
        <w:pStyle w:val="12"/>
        <w:ind w:firstLine="630" w:firstLineChars="196"/>
        <w:jc w:val="center"/>
        <w:rPr>
          <w:rFonts w:hint="eastAsia" w:ascii="宋体" w:hAnsi="宋体" w:eastAsia="宋体" w:cs="宋体"/>
          <w:b/>
          <w:color w:val="000000" w:themeColor="text1"/>
          <w:sz w:val="32"/>
          <w:highlight w:val="none"/>
          <w14:textFill>
            <w14:solidFill>
              <w14:schemeClr w14:val="tx1"/>
            </w14:solidFill>
          </w14:textFill>
        </w:rPr>
      </w:pPr>
      <w:bookmarkStart w:id="1291" w:name="_Toc5420_WPSOffice_Level1"/>
      <w:bookmarkStart w:id="1292" w:name="_Toc964_WPSOffice_Level1"/>
      <w:r>
        <w:rPr>
          <w:rFonts w:hint="eastAsia" w:ascii="宋体" w:hAnsi="宋体" w:eastAsia="宋体" w:cs="宋体"/>
          <w:b/>
          <w:color w:val="000000" w:themeColor="text1"/>
          <w:sz w:val="32"/>
          <w:highlight w:val="none"/>
          <w14:textFill>
            <w14:solidFill>
              <w14:schemeClr w14:val="tx1"/>
            </w14:solidFill>
          </w14:textFill>
        </w:rPr>
        <w:t>授权委托书（格式一）</w:t>
      </w:r>
      <w:bookmarkEnd w:id="1291"/>
      <w:bookmarkEnd w:id="1292"/>
    </w:p>
    <w:p w14:paraId="1C12EEBB">
      <w:pPr>
        <w:pStyle w:val="12"/>
        <w:rPr>
          <w:rFonts w:hint="eastAsia" w:ascii="宋体" w:hAnsi="宋体" w:eastAsia="宋体" w:cs="宋体"/>
          <w:color w:val="000000" w:themeColor="text1"/>
          <w:highlight w:val="none"/>
          <w14:textFill>
            <w14:solidFill>
              <w14:schemeClr w14:val="tx1"/>
            </w14:solidFill>
          </w14:textFill>
        </w:rPr>
      </w:pPr>
    </w:p>
    <w:p w14:paraId="5EA9D447">
      <w:pPr>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eastAsia="zh-CN"/>
          <w14:textFill>
            <w14:solidFill>
              <w14:schemeClr w14:val="tx1"/>
            </w14:solidFill>
          </w14:textFill>
        </w:rPr>
        <w:t>广西卓群项目管理有限公司</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2118A8F0">
      <w:pPr>
        <w:spacing w:line="400" w:lineRule="exact"/>
        <w:rPr>
          <w:rFonts w:hint="eastAsia" w:ascii="宋体" w:hAnsi="宋体" w:eastAsia="宋体" w:cs="宋体"/>
          <w:color w:val="000000" w:themeColor="text1"/>
          <w:szCs w:val="21"/>
          <w:highlight w:val="none"/>
          <w14:textFill>
            <w14:solidFill>
              <w14:schemeClr w14:val="tx1"/>
            </w14:solidFill>
          </w14:textFill>
        </w:rPr>
      </w:pPr>
    </w:p>
    <w:p w14:paraId="1200BEE2">
      <w:pPr>
        <w:pStyle w:val="12"/>
        <w:spacing w:line="4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我</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（姓名）系</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（供应商名称）的法定代表人（负责人），现授权委托本单位在职职工</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（姓 名）以我公司名义参加</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 xml:space="preserve">（项目名称及项目编号）        </w:t>
      </w:r>
      <w:r>
        <w:rPr>
          <w:rFonts w:hint="eastAsia" w:ascii="宋体" w:hAnsi="宋体" w:eastAsia="宋体" w:cs="宋体"/>
          <w:color w:val="000000" w:themeColor="text1"/>
          <w:highlight w:val="none"/>
          <w14:textFill>
            <w14:solidFill>
              <w14:schemeClr w14:val="tx1"/>
            </w14:solidFill>
          </w14:textFill>
        </w:rPr>
        <w:t>项目的磋商活动，并代表我方全权办理针对上述项目的磋商、签约等具体事务和签署相关文件。</w:t>
      </w:r>
    </w:p>
    <w:p w14:paraId="6A1AB645">
      <w:pPr>
        <w:pStyle w:val="12"/>
        <w:spacing w:line="4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我方对被授权人的签字事项负全部责任。</w:t>
      </w:r>
    </w:p>
    <w:p w14:paraId="1CEF2231">
      <w:pPr>
        <w:pStyle w:val="12"/>
        <w:spacing w:line="400" w:lineRule="exact"/>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授权委托代理期限：从</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月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日起至</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月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日止。</w:t>
      </w:r>
    </w:p>
    <w:p w14:paraId="4CD5ECF7">
      <w:pPr>
        <w:pStyle w:val="12"/>
        <w:spacing w:line="400" w:lineRule="exac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0023F2D8">
      <w:pPr>
        <w:spacing w:line="400" w:lineRule="exact"/>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 xml:space="preserve">代理人无转委托权,特此委托。 </w:t>
      </w:r>
    </w:p>
    <w:p w14:paraId="79688F45">
      <w:pPr>
        <w:spacing w:line="400" w:lineRule="exact"/>
        <w:ind w:firstLine="420" w:firstLineChars="200"/>
        <w:rPr>
          <w:rFonts w:hint="eastAsia" w:ascii="宋体" w:hAnsi="宋体" w:eastAsia="宋体" w:cs="宋体"/>
          <w:color w:val="000000" w:themeColor="text1"/>
          <w:kern w:val="0"/>
          <w:highlight w:val="none"/>
          <w14:textFill>
            <w14:solidFill>
              <w14:schemeClr w14:val="tx1"/>
            </w14:solidFill>
          </w14:textFill>
        </w:rPr>
      </w:pPr>
    </w:p>
    <w:p w14:paraId="75AA91BB">
      <w:pPr>
        <w:spacing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我已在下面签字，以资证明。</w:t>
      </w:r>
    </w:p>
    <w:p w14:paraId="525A988D">
      <w:pPr>
        <w:spacing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1E7086E0">
      <w:pPr>
        <w:spacing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4E6ECB00">
      <w:pPr>
        <w:snapToGrid w:val="0"/>
        <w:spacing w:line="400" w:lineRule="exact"/>
        <w:ind w:firstLine="42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磋商供应商</w:t>
      </w:r>
      <w:r>
        <w:rPr>
          <w:rFonts w:hint="eastAsia" w:ascii="宋体" w:hAnsi="宋体" w:eastAsia="宋体" w:cs="宋体"/>
          <w:color w:val="000000" w:themeColor="text1"/>
          <w:szCs w:val="21"/>
          <w:highlight w:val="none"/>
          <w:lang w:val="en-US" w:eastAsia="zh-CN"/>
          <w14:textFill>
            <w14:solidFill>
              <w14:schemeClr w14:val="tx1"/>
            </w14:solidFill>
          </w14:textFill>
        </w:rPr>
        <w:t>[公章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25FAF5A4">
      <w:pPr>
        <w:snapToGrid w:val="0"/>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p>
    <w:p w14:paraId="4FC98B58">
      <w:pPr>
        <w:snapToGrid w:val="0"/>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法定代表人（负责人）签字（或</w:t>
      </w:r>
      <w:r>
        <w:rPr>
          <w:rFonts w:hint="eastAsia" w:ascii="宋体" w:hAnsi="宋体" w:eastAsia="宋体" w:cs="宋体"/>
          <w:color w:val="000000" w:themeColor="text1"/>
          <w:szCs w:val="21"/>
          <w:highlight w:val="none"/>
          <w:lang w:eastAsia="zh-CN"/>
          <w14:textFill>
            <w14:solidFill>
              <w14:schemeClr w14:val="tx1"/>
            </w14:solidFill>
          </w14:textFill>
        </w:rPr>
        <w:t>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60E292CB">
      <w:pPr>
        <w:snapToGrid w:val="0"/>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p>
    <w:p w14:paraId="4DEA9287">
      <w:pPr>
        <w:pStyle w:val="9"/>
        <w:rPr>
          <w:rFonts w:hint="eastAsia" w:ascii="宋体" w:hAnsi="宋体" w:eastAsia="宋体" w:cs="宋体"/>
          <w:color w:val="000000" w:themeColor="text1"/>
          <w:highlight w:val="none"/>
          <w14:textFill>
            <w14:solidFill>
              <w14:schemeClr w14:val="tx1"/>
            </w14:solidFill>
          </w14:textFill>
        </w:rPr>
      </w:pPr>
    </w:p>
    <w:p w14:paraId="133F1636">
      <w:pPr>
        <w:spacing w:line="440" w:lineRule="atLeas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附：供应商的授权委托书</w:t>
      </w:r>
      <w:r>
        <w:rPr>
          <w:rFonts w:hint="eastAsia" w:ascii="宋体" w:hAnsi="宋体" w:eastAsia="宋体" w:cs="宋体"/>
          <w:b/>
          <w:color w:val="000000" w:themeColor="text1"/>
          <w:szCs w:val="21"/>
          <w:highlight w:val="none"/>
          <w:lang w:eastAsia="zh-CN"/>
          <w14:textFill>
            <w14:solidFill>
              <w14:schemeClr w14:val="tx1"/>
            </w14:solidFill>
          </w14:textFill>
        </w:rPr>
        <w:t>原件</w:t>
      </w:r>
      <w:r>
        <w:rPr>
          <w:rFonts w:hint="eastAsia" w:ascii="宋体" w:hAnsi="宋体" w:eastAsia="宋体" w:cs="宋体"/>
          <w:b/>
          <w:color w:val="000000" w:themeColor="text1"/>
          <w:szCs w:val="21"/>
          <w:highlight w:val="none"/>
          <w14:textFill>
            <w14:solidFill>
              <w14:schemeClr w14:val="tx1"/>
            </w14:solidFill>
          </w14:textFill>
        </w:rPr>
        <w:t>、委托代理人身份证正反面</w:t>
      </w:r>
      <w:r>
        <w:rPr>
          <w:rFonts w:hint="eastAsia" w:ascii="宋体" w:hAnsi="宋体" w:cs="宋体"/>
          <w:b/>
          <w:color w:val="000000" w:themeColor="text1"/>
          <w:szCs w:val="21"/>
          <w:highlight w:val="none"/>
          <w:lang w:eastAsia="zh-CN"/>
          <w14:textFill>
            <w14:solidFill>
              <w14:schemeClr w14:val="tx1"/>
            </w14:solidFill>
          </w14:textFill>
        </w:rPr>
        <w:t>扫描件</w:t>
      </w:r>
      <w:r>
        <w:rPr>
          <w:rFonts w:hint="eastAsia" w:ascii="宋体" w:hAnsi="宋体" w:eastAsia="宋体" w:cs="宋体"/>
          <w:b/>
          <w:color w:val="000000" w:themeColor="text1"/>
          <w:szCs w:val="21"/>
          <w:highlight w:val="none"/>
          <w14:textFill>
            <w14:solidFill>
              <w14:schemeClr w14:val="tx1"/>
            </w14:solidFill>
          </w14:textFill>
        </w:rPr>
        <w:t>以及由县级以上（含县级）社会养老保险经办机构出具的供应商为委托代理人交纳的响应文件递交截止时间前半年内任意</w:t>
      </w:r>
      <w:r>
        <w:rPr>
          <w:rFonts w:hint="eastAsia" w:ascii="宋体" w:hAnsi="宋体" w:eastAsia="宋体" w:cs="宋体"/>
          <w:b/>
          <w:bCs/>
          <w:color w:val="000000" w:themeColor="text1"/>
          <w:szCs w:val="21"/>
          <w:highlight w:val="none"/>
          <w:lang w:val="en-US" w:eastAsia="zh-CN"/>
          <w14:textFill>
            <w14:solidFill>
              <w14:schemeClr w14:val="tx1"/>
            </w14:solidFill>
          </w14:textFill>
        </w:rPr>
        <w:t>一个</w:t>
      </w:r>
      <w:r>
        <w:rPr>
          <w:rFonts w:hint="eastAsia" w:ascii="宋体" w:hAnsi="宋体" w:eastAsia="宋体" w:cs="宋体"/>
          <w:b/>
          <w:color w:val="000000" w:themeColor="text1"/>
          <w:szCs w:val="21"/>
          <w:highlight w:val="none"/>
          <w14:textFill>
            <w14:solidFill>
              <w14:schemeClr w14:val="tx1"/>
            </w14:solidFill>
          </w14:textFill>
        </w:rPr>
        <w:t>月社保证明</w:t>
      </w:r>
      <w:r>
        <w:rPr>
          <w:rFonts w:hint="eastAsia" w:ascii="宋体" w:hAnsi="宋体" w:cs="宋体"/>
          <w:b/>
          <w:color w:val="000000" w:themeColor="text1"/>
          <w:szCs w:val="21"/>
          <w:highlight w:val="none"/>
          <w:lang w:eastAsia="zh-CN"/>
          <w14:textFill>
            <w14:solidFill>
              <w14:schemeClr w14:val="tx1"/>
            </w14:solidFill>
          </w14:textFill>
        </w:rPr>
        <w:t>扫描件</w:t>
      </w:r>
      <w:r>
        <w:rPr>
          <w:rFonts w:hint="eastAsia" w:ascii="宋体" w:hAnsi="宋体" w:eastAsia="宋体" w:cs="宋体"/>
          <w:b/>
          <w:color w:val="000000" w:themeColor="text1"/>
          <w:szCs w:val="21"/>
          <w:highlight w:val="none"/>
          <w:lang w:eastAsia="zh-CN"/>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除供应商为以下三种情形的：</w:t>
      </w:r>
    </w:p>
    <w:p w14:paraId="7873DD65">
      <w:pPr>
        <w:spacing w:line="440" w:lineRule="atLeas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 如供应商为截标时间前60日以内成立的公司，可以提供供应商与委托代理人签订的劳动合同</w:t>
      </w:r>
      <w:r>
        <w:rPr>
          <w:rFonts w:hint="eastAsia" w:ascii="宋体" w:hAnsi="宋体" w:cs="宋体"/>
          <w:b/>
          <w:color w:val="000000" w:themeColor="text1"/>
          <w:szCs w:val="21"/>
          <w:highlight w:val="none"/>
          <w:lang w:eastAsia="zh-CN"/>
          <w14:textFill>
            <w14:solidFill>
              <w14:schemeClr w14:val="tx1"/>
            </w14:solidFill>
          </w14:textFill>
        </w:rPr>
        <w:t>扫描件</w:t>
      </w:r>
      <w:r>
        <w:rPr>
          <w:rFonts w:hint="eastAsia" w:ascii="宋体" w:hAnsi="宋体" w:eastAsia="宋体" w:cs="宋体"/>
          <w:b/>
          <w:color w:val="000000" w:themeColor="text1"/>
          <w:szCs w:val="21"/>
          <w:highlight w:val="none"/>
          <w14:textFill>
            <w14:solidFill>
              <w14:schemeClr w14:val="tx1"/>
            </w14:solidFill>
          </w14:textFill>
        </w:rPr>
        <w:t>代替社保证明</w:t>
      </w:r>
      <w:r>
        <w:rPr>
          <w:rFonts w:hint="eastAsia" w:ascii="宋体" w:hAnsi="宋体" w:cs="宋体"/>
          <w:b/>
          <w:color w:val="000000" w:themeColor="text1"/>
          <w:szCs w:val="21"/>
          <w:highlight w:val="none"/>
          <w:lang w:eastAsia="zh-CN"/>
          <w14:textFill>
            <w14:solidFill>
              <w14:schemeClr w14:val="tx1"/>
            </w14:solidFill>
          </w14:textFill>
        </w:rPr>
        <w:t>扫描件</w:t>
      </w:r>
      <w:r>
        <w:rPr>
          <w:rFonts w:hint="eastAsia" w:ascii="宋体" w:hAnsi="宋体" w:eastAsia="宋体" w:cs="宋体"/>
          <w:b/>
          <w:color w:val="000000" w:themeColor="text1"/>
          <w:szCs w:val="21"/>
          <w:highlight w:val="none"/>
          <w14:textFill>
            <w14:solidFill>
              <w14:schemeClr w14:val="tx1"/>
            </w14:solidFill>
          </w14:textFill>
        </w:rPr>
        <w:t>；</w:t>
      </w:r>
    </w:p>
    <w:p w14:paraId="20752FEA">
      <w:pPr>
        <w:spacing w:line="440" w:lineRule="atLeas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（2）如供应商为事业单位，可以提供事业单位机构编制管理证</w:t>
      </w:r>
      <w:r>
        <w:rPr>
          <w:rFonts w:hint="eastAsia" w:ascii="宋体" w:hAnsi="宋体" w:cs="宋体"/>
          <w:b/>
          <w:color w:val="000000" w:themeColor="text1"/>
          <w:szCs w:val="21"/>
          <w:highlight w:val="none"/>
          <w:lang w:eastAsia="zh-CN"/>
          <w14:textFill>
            <w14:solidFill>
              <w14:schemeClr w14:val="tx1"/>
            </w14:solidFill>
          </w14:textFill>
        </w:rPr>
        <w:t>扫描件</w:t>
      </w:r>
      <w:r>
        <w:rPr>
          <w:rFonts w:hint="eastAsia" w:ascii="宋体" w:hAnsi="宋体" w:eastAsia="宋体" w:cs="宋体"/>
          <w:b/>
          <w:color w:val="000000" w:themeColor="text1"/>
          <w:szCs w:val="21"/>
          <w:highlight w:val="none"/>
          <w14:textFill>
            <w14:solidFill>
              <w14:schemeClr w14:val="tx1"/>
            </w14:solidFill>
          </w14:textFill>
        </w:rPr>
        <w:t>或事业单位机构为其发放工资的工资条</w:t>
      </w:r>
      <w:r>
        <w:rPr>
          <w:rFonts w:hint="eastAsia" w:ascii="宋体" w:hAnsi="宋体" w:cs="宋体"/>
          <w:b/>
          <w:color w:val="000000" w:themeColor="text1"/>
          <w:szCs w:val="21"/>
          <w:highlight w:val="none"/>
          <w:lang w:eastAsia="zh-CN"/>
          <w14:textFill>
            <w14:solidFill>
              <w14:schemeClr w14:val="tx1"/>
            </w14:solidFill>
          </w14:textFill>
        </w:rPr>
        <w:t>扫描件</w:t>
      </w:r>
      <w:r>
        <w:rPr>
          <w:rFonts w:hint="eastAsia" w:ascii="宋体" w:hAnsi="宋体" w:eastAsia="宋体" w:cs="宋体"/>
          <w:b/>
          <w:color w:val="000000" w:themeColor="text1"/>
          <w:szCs w:val="21"/>
          <w:highlight w:val="none"/>
          <w14:textFill>
            <w14:solidFill>
              <w14:schemeClr w14:val="tx1"/>
            </w14:solidFill>
          </w14:textFill>
        </w:rPr>
        <w:t>代替社保证明</w:t>
      </w:r>
      <w:r>
        <w:rPr>
          <w:rFonts w:hint="eastAsia" w:ascii="宋体" w:hAnsi="宋体" w:cs="宋体"/>
          <w:b/>
          <w:color w:val="000000" w:themeColor="text1"/>
          <w:szCs w:val="21"/>
          <w:highlight w:val="none"/>
          <w:lang w:eastAsia="zh-CN"/>
          <w14:textFill>
            <w14:solidFill>
              <w14:schemeClr w14:val="tx1"/>
            </w14:solidFill>
          </w14:textFill>
        </w:rPr>
        <w:t>扫描件</w:t>
      </w:r>
      <w:r>
        <w:rPr>
          <w:rFonts w:hint="eastAsia" w:ascii="宋体" w:hAnsi="宋体" w:eastAsia="宋体" w:cs="宋体"/>
          <w:b/>
          <w:color w:val="000000" w:themeColor="text1"/>
          <w:szCs w:val="21"/>
          <w:highlight w:val="none"/>
          <w14:textFill>
            <w14:solidFill>
              <w14:schemeClr w14:val="tx1"/>
            </w14:solidFill>
          </w14:textFill>
        </w:rPr>
        <w:t>；</w:t>
      </w:r>
    </w:p>
    <w:p w14:paraId="3B3E3A85">
      <w:pPr>
        <w:spacing w:line="440" w:lineRule="atLeas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（3）如委托代理人为免缴纳社保人员，提供免缴纳社保的证明材料</w:t>
      </w:r>
      <w:r>
        <w:rPr>
          <w:rFonts w:hint="eastAsia" w:ascii="宋体" w:hAnsi="宋体" w:cs="宋体"/>
          <w:b/>
          <w:color w:val="000000" w:themeColor="text1"/>
          <w:szCs w:val="21"/>
          <w:highlight w:val="none"/>
          <w:lang w:eastAsia="zh-CN"/>
          <w14:textFill>
            <w14:solidFill>
              <w14:schemeClr w14:val="tx1"/>
            </w14:solidFill>
          </w14:textFill>
        </w:rPr>
        <w:t>扫描件</w:t>
      </w:r>
      <w:r>
        <w:rPr>
          <w:rFonts w:hint="eastAsia" w:ascii="宋体" w:hAnsi="宋体" w:eastAsia="宋体" w:cs="宋体"/>
          <w:b/>
          <w:color w:val="000000" w:themeColor="text1"/>
          <w:szCs w:val="21"/>
          <w:highlight w:val="none"/>
          <w14:textFill>
            <w14:solidFill>
              <w14:schemeClr w14:val="tx1"/>
            </w14:solidFill>
          </w14:textFill>
        </w:rPr>
        <w:t>及供应商与委托代理人签订的劳动合同</w:t>
      </w:r>
      <w:r>
        <w:rPr>
          <w:rFonts w:hint="eastAsia" w:ascii="宋体" w:hAnsi="宋体" w:cs="宋体"/>
          <w:b/>
          <w:color w:val="000000" w:themeColor="text1"/>
          <w:szCs w:val="21"/>
          <w:highlight w:val="none"/>
          <w:lang w:eastAsia="zh-CN"/>
          <w14:textFill>
            <w14:solidFill>
              <w14:schemeClr w14:val="tx1"/>
            </w14:solidFill>
          </w14:textFill>
        </w:rPr>
        <w:t>扫描件</w:t>
      </w:r>
      <w:r>
        <w:rPr>
          <w:rFonts w:hint="eastAsia" w:ascii="宋体" w:hAnsi="宋体" w:eastAsia="宋体" w:cs="宋体"/>
          <w:b/>
          <w:color w:val="000000" w:themeColor="text1"/>
          <w:szCs w:val="21"/>
          <w:highlight w:val="none"/>
          <w14:textFill>
            <w14:solidFill>
              <w14:schemeClr w14:val="tx1"/>
            </w14:solidFill>
          </w14:textFill>
        </w:rPr>
        <w:t>代替社保证明</w:t>
      </w:r>
      <w:r>
        <w:rPr>
          <w:rFonts w:hint="eastAsia" w:ascii="宋体" w:hAnsi="宋体" w:cs="宋体"/>
          <w:b/>
          <w:color w:val="000000" w:themeColor="text1"/>
          <w:szCs w:val="21"/>
          <w:highlight w:val="none"/>
          <w:lang w:eastAsia="zh-CN"/>
          <w14:textFill>
            <w14:solidFill>
              <w14:schemeClr w14:val="tx1"/>
            </w14:solidFill>
          </w14:textFill>
        </w:rPr>
        <w:t>扫描件</w:t>
      </w:r>
      <w:r>
        <w:rPr>
          <w:rFonts w:hint="eastAsia" w:ascii="宋体" w:hAnsi="宋体" w:eastAsia="宋体" w:cs="宋体"/>
          <w:b/>
          <w:color w:val="000000" w:themeColor="text1"/>
          <w:szCs w:val="21"/>
          <w:highlight w:val="none"/>
          <w14:textFill>
            <w14:solidFill>
              <w14:schemeClr w14:val="tx1"/>
            </w14:solidFill>
          </w14:textFill>
        </w:rPr>
        <w:t>。</w:t>
      </w:r>
    </w:p>
    <w:p w14:paraId="437D619D">
      <w:pPr>
        <w:pStyle w:val="12"/>
        <w:jc w:val="center"/>
        <w:rPr>
          <w:rFonts w:hint="eastAsia" w:ascii="宋体" w:hAnsi="宋体" w:eastAsia="宋体" w:cs="宋体"/>
          <w:b/>
          <w:color w:val="000000" w:themeColor="text1"/>
          <w:sz w:val="32"/>
          <w:highlight w:val="non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br w:type="page"/>
      </w:r>
    </w:p>
    <w:p w14:paraId="73A86B71">
      <w:pPr>
        <w:pStyle w:val="12"/>
        <w:jc w:val="center"/>
        <w:rPr>
          <w:rFonts w:hint="eastAsia" w:ascii="宋体" w:hAnsi="宋体" w:eastAsia="宋体" w:cs="宋体"/>
          <w:b/>
          <w:color w:val="000000" w:themeColor="text1"/>
          <w:sz w:val="32"/>
          <w:highlight w:val="none"/>
          <w14:textFill>
            <w14:solidFill>
              <w14:schemeClr w14:val="tx1"/>
            </w14:solidFill>
          </w14:textFill>
        </w:rPr>
      </w:pPr>
    </w:p>
    <w:p w14:paraId="373E5A66">
      <w:pPr>
        <w:pStyle w:val="12"/>
        <w:jc w:val="center"/>
        <w:rPr>
          <w:rFonts w:hint="eastAsia" w:ascii="宋体" w:hAnsi="宋体" w:eastAsia="宋体" w:cs="宋体"/>
          <w:b/>
          <w:color w:val="000000" w:themeColor="text1"/>
          <w:sz w:val="32"/>
          <w:highlight w:val="non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t>授权委托书（格式二）</w:t>
      </w:r>
    </w:p>
    <w:p w14:paraId="41677B34">
      <w:pPr>
        <w:pStyle w:val="12"/>
        <w:jc w:val="both"/>
        <w:rPr>
          <w:rFonts w:hint="eastAsia" w:ascii="宋体" w:hAnsi="宋体" w:eastAsia="宋体" w:cs="宋体"/>
          <w:b/>
          <w:color w:val="000000" w:themeColor="text1"/>
          <w:sz w:val="32"/>
          <w:highlight w:val="none"/>
          <w14:textFill>
            <w14:solidFill>
              <w14:schemeClr w14:val="tx1"/>
            </w14:solidFill>
          </w14:textFill>
        </w:rPr>
      </w:pPr>
    </w:p>
    <w:p w14:paraId="0A20EE2B">
      <w:pPr>
        <w:pStyle w:val="12"/>
        <w:jc w:val="both"/>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致</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u w:val="single"/>
          <w:lang w:eastAsia="zh-CN"/>
          <w14:textFill>
            <w14:solidFill>
              <w14:schemeClr w14:val="tx1"/>
            </w14:solidFill>
          </w14:textFill>
        </w:rPr>
        <w:t>广西卓群项目管理有限公司</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053E1F01">
      <w:pPr>
        <w:rPr>
          <w:rFonts w:hint="eastAsia" w:ascii="宋体" w:hAnsi="宋体" w:eastAsia="宋体" w:cs="宋体"/>
          <w:color w:val="000000" w:themeColor="text1"/>
          <w:highlight w:val="none"/>
          <w14:textFill>
            <w14:solidFill>
              <w14:schemeClr w14:val="tx1"/>
            </w14:solidFill>
          </w14:textFill>
        </w:rPr>
      </w:pPr>
    </w:p>
    <w:p w14:paraId="7F239452">
      <w:pPr>
        <w:pStyle w:val="12"/>
        <w:spacing w:line="34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我</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（姓名）系自然人，现授权委托</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（姓 名）以本人名义参加</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 xml:space="preserve">（项目名称及项目编号）        </w:t>
      </w:r>
      <w:r>
        <w:rPr>
          <w:rFonts w:hint="eastAsia" w:ascii="宋体" w:hAnsi="宋体" w:eastAsia="宋体" w:cs="宋体"/>
          <w:color w:val="000000" w:themeColor="text1"/>
          <w:highlight w:val="none"/>
          <w14:textFill>
            <w14:solidFill>
              <w14:schemeClr w14:val="tx1"/>
            </w14:solidFill>
          </w14:textFill>
        </w:rPr>
        <w:t>项目的磋商活动，并代表本人全权办理针对上述项目的磋商、签约等具体事务和签署相关文件。</w:t>
      </w:r>
    </w:p>
    <w:p w14:paraId="1792A1E6">
      <w:pPr>
        <w:pStyle w:val="12"/>
        <w:spacing w:line="34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本人对被授权人的签字事项负全部责任。</w:t>
      </w:r>
    </w:p>
    <w:p w14:paraId="2D8A8256">
      <w:pPr>
        <w:pStyle w:val="12"/>
        <w:spacing w:line="340" w:lineRule="exact"/>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授权委托代理期限：从</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月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日起至</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月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日止。</w:t>
      </w:r>
    </w:p>
    <w:p w14:paraId="4D7C2EC3">
      <w:pPr>
        <w:pStyle w:val="12"/>
        <w:spacing w:line="340" w:lineRule="exac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5AD4897F">
      <w:pPr>
        <w:spacing w:line="340" w:lineRule="exact"/>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 xml:space="preserve">代理人无转委托权,特此委托。 </w:t>
      </w:r>
    </w:p>
    <w:p w14:paraId="22222E49">
      <w:pPr>
        <w:spacing w:line="340" w:lineRule="exact"/>
        <w:ind w:firstLine="420" w:firstLineChars="200"/>
        <w:rPr>
          <w:rFonts w:hint="eastAsia" w:ascii="宋体" w:hAnsi="宋体" w:eastAsia="宋体" w:cs="宋体"/>
          <w:color w:val="000000" w:themeColor="text1"/>
          <w:kern w:val="0"/>
          <w:highlight w:val="none"/>
          <w14:textFill>
            <w14:solidFill>
              <w14:schemeClr w14:val="tx1"/>
            </w14:solidFill>
          </w14:textFill>
        </w:rPr>
      </w:pPr>
    </w:p>
    <w:p w14:paraId="0BBFA2C7">
      <w:pPr>
        <w:spacing w:line="3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我已在下面签字，以资证明。</w:t>
      </w:r>
    </w:p>
    <w:p w14:paraId="33F726AE">
      <w:pPr>
        <w:spacing w:line="3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4CBA662B">
      <w:pPr>
        <w:snapToGrid w:val="0"/>
        <w:spacing w:line="34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自然人签字并在签名处加盖大拇指指印</w:t>
      </w:r>
      <w:r>
        <w:rPr>
          <w:rFonts w:hint="eastAsia" w:ascii="宋体" w:hAnsi="宋体" w:eastAsia="宋体" w:cs="宋体"/>
          <w:color w:val="000000" w:themeColor="text1"/>
          <w:szCs w:val="21"/>
          <w:highlight w:val="none"/>
          <w:lang w:eastAsia="zh-CN"/>
          <w14:textFill>
            <w14:solidFill>
              <w14:schemeClr w14:val="tx1"/>
            </w14:solidFill>
          </w14:textFill>
        </w:rPr>
        <w:t>或个人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64D978A3">
      <w:pPr>
        <w:pStyle w:val="12"/>
        <w:spacing w:line="400" w:lineRule="exact"/>
        <w:ind w:left="420" w:leftChars="200"/>
        <w:rPr>
          <w:rFonts w:hint="eastAsia" w:ascii="宋体" w:hAnsi="宋体" w:eastAsia="宋体" w:cs="宋体"/>
          <w:color w:val="000000" w:themeColor="text1"/>
          <w:szCs w:val="21"/>
          <w:highlight w:val="none"/>
          <w14:textFill>
            <w14:solidFill>
              <w14:schemeClr w14:val="tx1"/>
            </w14:solidFill>
          </w14:textFill>
        </w:rPr>
      </w:pPr>
    </w:p>
    <w:p w14:paraId="46FCF735">
      <w:pPr>
        <w:pStyle w:val="12"/>
        <w:spacing w:line="400" w:lineRule="exact"/>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附：委托代理人身份证正反面</w:t>
      </w:r>
      <w:r>
        <w:rPr>
          <w:rFonts w:hint="eastAsia" w:hAnsi="宋体" w:cs="宋体"/>
          <w:b/>
          <w:color w:val="000000" w:themeColor="text1"/>
          <w:szCs w:val="21"/>
          <w:highlight w:val="none"/>
          <w:lang w:eastAsia="zh-CN"/>
          <w14:textFill>
            <w14:solidFill>
              <w14:schemeClr w14:val="tx1"/>
            </w14:solidFill>
          </w14:textFill>
        </w:rPr>
        <w:t>扫描件</w:t>
      </w:r>
    </w:p>
    <w:p w14:paraId="6EC7459C">
      <w:pPr>
        <w:pStyle w:val="5"/>
        <w:outlineLvl w:val="9"/>
        <w:rPr>
          <w:rFonts w:hint="eastAsia"/>
          <w:color w:val="000000" w:themeColor="text1"/>
          <w:highlight w:val="none"/>
          <w14:textFill>
            <w14:solidFill>
              <w14:schemeClr w14:val="tx1"/>
            </w14:solidFill>
          </w14:textFill>
        </w:rPr>
      </w:pPr>
    </w:p>
    <w:p w14:paraId="57DCB680">
      <w:pPr>
        <w:spacing w:line="400" w:lineRule="exact"/>
        <w:rPr>
          <w:rFonts w:hint="eastAsia" w:ascii="宋体"/>
          <w:b/>
          <w:color w:val="000000" w:themeColor="text1"/>
          <w:sz w:val="28"/>
          <w:szCs w:val="28"/>
          <w:highlight w:val="none"/>
          <w14:textFill>
            <w14:solidFill>
              <w14:schemeClr w14:val="tx1"/>
            </w14:solidFill>
          </w14:textFill>
        </w:rPr>
      </w:pPr>
    </w:p>
    <w:p w14:paraId="72827504">
      <w:pPr>
        <w:spacing w:line="400" w:lineRule="exact"/>
        <w:ind w:firstLine="562" w:firstLineChars="200"/>
        <w:rPr>
          <w:rFonts w:hint="eastAsia" w:ascii="宋体"/>
          <w:b/>
          <w:color w:val="000000" w:themeColor="text1"/>
          <w:sz w:val="28"/>
          <w:szCs w:val="28"/>
          <w:highlight w:val="none"/>
          <w14:textFill>
            <w14:solidFill>
              <w14:schemeClr w14:val="tx1"/>
            </w14:solidFill>
          </w14:textFill>
        </w:rPr>
      </w:pPr>
    </w:p>
    <w:p w14:paraId="077708ED">
      <w:pPr>
        <w:spacing w:line="400" w:lineRule="exact"/>
        <w:rPr>
          <w:rFonts w:hint="eastAsia" w:ascii="宋体"/>
          <w:b/>
          <w:color w:val="000000" w:themeColor="text1"/>
          <w:sz w:val="28"/>
          <w:szCs w:val="28"/>
          <w:highlight w:val="none"/>
          <w14:textFill>
            <w14:solidFill>
              <w14:schemeClr w14:val="tx1"/>
            </w14:solidFill>
          </w14:textFill>
        </w:rPr>
      </w:pPr>
    </w:p>
    <w:p w14:paraId="39EFCB2B">
      <w:pPr>
        <w:pStyle w:val="5"/>
        <w:outlineLvl w:val="9"/>
        <w:rPr>
          <w:rFonts w:hint="eastAsia"/>
          <w:color w:val="000000" w:themeColor="text1"/>
          <w:highlight w:val="none"/>
          <w14:textFill>
            <w14:solidFill>
              <w14:schemeClr w14:val="tx1"/>
            </w14:solidFill>
          </w14:textFill>
        </w:rPr>
      </w:pPr>
    </w:p>
    <w:p w14:paraId="4FE6DD50">
      <w:pPr>
        <w:spacing w:line="400" w:lineRule="exact"/>
        <w:ind w:firstLine="562" w:firstLineChars="200"/>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br w:type="page"/>
      </w:r>
      <w:r>
        <w:rPr>
          <w:rFonts w:hint="eastAsia" w:ascii="宋体"/>
          <w:b/>
          <w:color w:val="000000" w:themeColor="text1"/>
          <w:sz w:val="28"/>
          <w:szCs w:val="28"/>
          <w:highlight w:val="none"/>
          <w14:textFill>
            <w14:solidFill>
              <w14:schemeClr w14:val="tx1"/>
            </w14:solidFill>
          </w14:textFill>
        </w:rPr>
        <w:t>3.供应商有效的营业执照副本扫描件（必须提供）；</w:t>
      </w:r>
    </w:p>
    <w:p w14:paraId="5D9DC57D">
      <w:pPr>
        <w:spacing w:line="400" w:lineRule="exact"/>
        <w:rPr>
          <w:rFonts w:hint="eastAsia" w:ascii="宋体"/>
          <w:b/>
          <w:color w:val="000000" w:themeColor="text1"/>
          <w:sz w:val="28"/>
          <w:szCs w:val="28"/>
          <w:highlight w:val="none"/>
          <w14:textFill>
            <w14:solidFill>
              <w14:schemeClr w14:val="tx1"/>
            </w14:solidFill>
          </w14:textFill>
        </w:rPr>
      </w:pPr>
    </w:p>
    <w:p w14:paraId="5C5718D5">
      <w:pPr>
        <w:spacing w:line="400" w:lineRule="exact"/>
        <w:ind w:firstLine="562" w:firstLineChars="200"/>
        <w:rPr>
          <w:rFonts w:hint="eastAsia" w:ascii="宋体"/>
          <w:b/>
          <w:color w:val="000000" w:themeColor="text1"/>
          <w:sz w:val="28"/>
          <w:szCs w:val="28"/>
          <w:highlight w:val="none"/>
          <w14:textFill>
            <w14:solidFill>
              <w14:schemeClr w14:val="tx1"/>
            </w14:solidFill>
          </w14:textFill>
        </w:rPr>
      </w:pPr>
    </w:p>
    <w:p w14:paraId="5B6A5B24">
      <w:pPr>
        <w:spacing w:line="400" w:lineRule="exact"/>
        <w:ind w:firstLine="562" w:firstLineChars="200"/>
        <w:rPr>
          <w:rFonts w:hint="eastAsia" w:ascii="宋体"/>
          <w:b/>
          <w:color w:val="000000" w:themeColor="text1"/>
          <w:sz w:val="28"/>
          <w:szCs w:val="28"/>
          <w:highlight w:val="none"/>
          <w14:textFill>
            <w14:solidFill>
              <w14:schemeClr w14:val="tx1"/>
            </w14:solidFill>
          </w14:textFill>
        </w:rPr>
      </w:pPr>
    </w:p>
    <w:p w14:paraId="71FA8CB2">
      <w:pPr>
        <w:spacing w:line="400" w:lineRule="exact"/>
        <w:ind w:firstLine="562" w:firstLineChars="200"/>
        <w:rPr>
          <w:rFonts w:hint="eastAsia" w:ascii="宋体"/>
          <w:b/>
          <w:color w:val="000000" w:themeColor="text1"/>
          <w:sz w:val="28"/>
          <w:szCs w:val="28"/>
          <w:highlight w:val="none"/>
          <w14:textFill>
            <w14:solidFill>
              <w14:schemeClr w14:val="tx1"/>
            </w14:solidFill>
          </w14:textFill>
        </w:rPr>
      </w:pPr>
    </w:p>
    <w:p w14:paraId="5473D81A">
      <w:pPr>
        <w:spacing w:line="400" w:lineRule="exact"/>
        <w:ind w:firstLine="562" w:firstLineChars="200"/>
        <w:rPr>
          <w:rFonts w:hint="eastAsia" w:ascii="宋体"/>
          <w:b/>
          <w:color w:val="000000" w:themeColor="text1"/>
          <w:sz w:val="28"/>
          <w:szCs w:val="28"/>
          <w:highlight w:val="none"/>
          <w14:textFill>
            <w14:solidFill>
              <w14:schemeClr w14:val="tx1"/>
            </w14:solidFill>
          </w14:textFill>
        </w:rPr>
      </w:pPr>
    </w:p>
    <w:p w14:paraId="1051B4F2">
      <w:pPr>
        <w:spacing w:line="400" w:lineRule="exact"/>
        <w:ind w:firstLine="562" w:firstLineChars="200"/>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4.供应商相应有效的企业资质证书副本及安全生产许可证证副本扫描件、拟投入项目经理的注册建造师执业资格证书及安全生产考核合格证书（B类）扫描件（必须提供）；</w:t>
      </w:r>
    </w:p>
    <w:p w14:paraId="36CCA6F5">
      <w:pPr>
        <w:spacing w:line="400" w:lineRule="exact"/>
        <w:ind w:firstLine="562" w:firstLineChars="200"/>
        <w:rPr>
          <w:rFonts w:hint="eastAsia" w:ascii="宋体"/>
          <w:b/>
          <w:color w:val="000000" w:themeColor="text1"/>
          <w:sz w:val="28"/>
          <w:szCs w:val="28"/>
          <w:highlight w:val="none"/>
          <w14:textFill>
            <w14:solidFill>
              <w14:schemeClr w14:val="tx1"/>
            </w14:solidFill>
          </w14:textFill>
        </w:rPr>
      </w:pPr>
    </w:p>
    <w:p w14:paraId="1831A002">
      <w:pPr>
        <w:spacing w:line="400" w:lineRule="exact"/>
        <w:ind w:left="420" w:leftChars="200" w:firstLine="281" w:firstLineChars="100"/>
        <w:rPr>
          <w:rFonts w:hint="eastAsia" w:ascii="宋体"/>
          <w:b/>
          <w:color w:val="000000" w:themeColor="text1"/>
          <w:sz w:val="28"/>
          <w:szCs w:val="28"/>
          <w:highlight w:val="none"/>
          <w14:textFill>
            <w14:solidFill>
              <w14:schemeClr w14:val="tx1"/>
            </w14:solidFill>
          </w14:textFill>
        </w:rPr>
      </w:pPr>
    </w:p>
    <w:p w14:paraId="0D08C088">
      <w:pPr>
        <w:spacing w:line="400" w:lineRule="exact"/>
        <w:ind w:left="420" w:leftChars="200" w:firstLine="281" w:firstLineChars="100"/>
        <w:rPr>
          <w:rFonts w:hint="eastAsia" w:ascii="宋体"/>
          <w:b/>
          <w:color w:val="000000" w:themeColor="text1"/>
          <w:sz w:val="28"/>
          <w:szCs w:val="28"/>
          <w:highlight w:val="none"/>
          <w14:textFill>
            <w14:solidFill>
              <w14:schemeClr w14:val="tx1"/>
            </w14:solidFill>
          </w14:textFill>
        </w:rPr>
      </w:pPr>
    </w:p>
    <w:p w14:paraId="51C27D71">
      <w:pPr>
        <w:spacing w:line="400" w:lineRule="exact"/>
        <w:ind w:left="420" w:leftChars="200" w:firstLine="281" w:firstLineChars="100"/>
        <w:rPr>
          <w:rFonts w:hint="eastAsia" w:ascii="宋体"/>
          <w:b/>
          <w:color w:val="000000" w:themeColor="text1"/>
          <w:sz w:val="28"/>
          <w:szCs w:val="28"/>
          <w:highlight w:val="none"/>
          <w14:textFill>
            <w14:solidFill>
              <w14:schemeClr w14:val="tx1"/>
            </w14:solidFill>
          </w14:textFill>
        </w:rPr>
      </w:pPr>
    </w:p>
    <w:p w14:paraId="72AA16D2">
      <w:pPr>
        <w:spacing w:line="400" w:lineRule="exact"/>
        <w:ind w:left="420" w:leftChars="200" w:firstLine="281" w:firstLineChars="100"/>
        <w:rPr>
          <w:rFonts w:hint="eastAsia" w:ascii="宋体"/>
          <w:b/>
          <w:color w:val="000000" w:themeColor="text1"/>
          <w:sz w:val="28"/>
          <w:szCs w:val="28"/>
          <w:highlight w:val="none"/>
          <w14:textFill>
            <w14:solidFill>
              <w14:schemeClr w14:val="tx1"/>
            </w14:solidFill>
          </w14:textFill>
        </w:rPr>
      </w:pPr>
    </w:p>
    <w:p w14:paraId="764FBBC9">
      <w:pPr>
        <w:spacing w:line="400" w:lineRule="exact"/>
        <w:ind w:left="420" w:leftChars="200" w:firstLine="281" w:firstLineChars="100"/>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5.项目经理无在建工程承诺书（格式自拟，必须提供）；</w:t>
      </w:r>
    </w:p>
    <w:p w14:paraId="2671D075">
      <w:pPr>
        <w:pStyle w:val="5"/>
        <w:ind w:left="420" w:leftChars="200"/>
        <w:outlineLvl w:val="9"/>
        <w:rPr>
          <w:rFonts w:hint="eastAsia"/>
          <w:color w:val="000000" w:themeColor="text1"/>
          <w:highlight w:val="none"/>
          <w14:textFill>
            <w14:solidFill>
              <w14:schemeClr w14:val="tx1"/>
            </w14:solidFill>
          </w14:textFill>
        </w:rPr>
      </w:pPr>
    </w:p>
    <w:p w14:paraId="2F3642E8">
      <w:pPr>
        <w:snapToGrid w:val="0"/>
        <w:spacing w:line="400" w:lineRule="exact"/>
        <w:ind w:left="273" w:leftChars="130" w:firstLine="551" w:firstLineChars="196"/>
        <w:jc w:val="left"/>
        <w:rPr>
          <w:rFonts w:hint="eastAsia" w:ascii="宋体"/>
          <w:b/>
          <w:color w:val="000000" w:themeColor="text1"/>
          <w:sz w:val="28"/>
          <w:szCs w:val="28"/>
          <w:highlight w:val="none"/>
          <w14:textFill>
            <w14:solidFill>
              <w14:schemeClr w14:val="tx1"/>
            </w14:solidFill>
          </w14:textFill>
        </w:rPr>
      </w:pPr>
    </w:p>
    <w:p w14:paraId="5DA20100">
      <w:pPr>
        <w:snapToGrid w:val="0"/>
        <w:spacing w:line="400" w:lineRule="exact"/>
        <w:ind w:left="273" w:leftChars="130" w:firstLine="551" w:firstLineChars="196"/>
        <w:jc w:val="left"/>
        <w:rPr>
          <w:rFonts w:hint="eastAsia" w:ascii="宋体"/>
          <w:b/>
          <w:color w:val="000000" w:themeColor="text1"/>
          <w:sz w:val="28"/>
          <w:szCs w:val="28"/>
          <w:highlight w:val="none"/>
          <w14:textFill>
            <w14:solidFill>
              <w14:schemeClr w14:val="tx1"/>
            </w14:solidFill>
          </w14:textFill>
        </w:rPr>
      </w:pPr>
    </w:p>
    <w:p w14:paraId="6B0DA40E">
      <w:pPr>
        <w:snapToGrid w:val="0"/>
        <w:spacing w:line="400" w:lineRule="exact"/>
        <w:ind w:left="273" w:leftChars="130" w:firstLine="551" w:firstLineChars="196"/>
        <w:jc w:val="left"/>
        <w:rPr>
          <w:rFonts w:hint="eastAsia" w:ascii="宋体"/>
          <w:b/>
          <w:color w:val="000000" w:themeColor="text1"/>
          <w:sz w:val="28"/>
          <w:szCs w:val="28"/>
          <w:highlight w:val="none"/>
          <w14:textFill>
            <w14:solidFill>
              <w14:schemeClr w14:val="tx1"/>
            </w14:solidFill>
          </w14:textFill>
        </w:rPr>
      </w:pPr>
    </w:p>
    <w:p w14:paraId="4398AD35">
      <w:pPr>
        <w:snapToGrid w:val="0"/>
        <w:spacing w:line="400" w:lineRule="exact"/>
        <w:ind w:left="273" w:leftChars="130" w:firstLine="551" w:firstLineChars="196"/>
        <w:jc w:val="left"/>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6.供应商2024年度以来任意一个年度的财务状况报告【提供第三方出具的财务审计报告，或供应商出具的财务报表（格式自拟，须提供现金流量表、负债表及利润表），或2026年以来其基本开户银行出具的资信证明】扫描件（必须提供）；</w:t>
      </w:r>
    </w:p>
    <w:p w14:paraId="1888B5C2">
      <w:pPr>
        <w:snapToGrid w:val="0"/>
        <w:spacing w:line="400" w:lineRule="exact"/>
        <w:ind w:left="273" w:leftChars="130" w:firstLine="551" w:firstLineChars="196"/>
        <w:jc w:val="left"/>
        <w:rPr>
          <w:rFonts w:hint="eastAsia" w:ascii="宋体"/>
          <w:b/>
          <w:color w:val="000000" w:themeColor="text1"/>
          <w:sz w:val="28"/>
          <w:szCs w:val="28"/>
          <w:highlight w:val="none"/>
          <w14:textFill>
            <w14:solidFill>
              <w14:schemeClr w14:val="tx1"/>
            </w14:solidFill>
          </w14:textFill>
        </w:rPr>
      </w:pPr>
    </w:p>
    <w:p w14:paraId="4D8452D3">
      <w:pPr>
        <w:snapToGrid w:val="0"/>
        <w:spacing w:line="400" w:lineRule="exact"/>
        <w:ind w:left="273" w:leftChars="130" w:firstLine="551" w:firstLineChars="196"/>
        <w:jc w:val="left"/>
        <w:rPr>
          <w:rFonts w:hint="eastAsia" w:ascii="宋体"/>
          <w:b/>
          <w:color w:val="000000" w:themeColor="text1"/>
          <w:sz w:val="28"/>
          <w:szCs w:val="28"/>
          <w:highlight w:val="none"/>
          <w14:textFill>
            <w14:solidFill>
              <w14:schemeClr w14:val="tx1"/>
            </w14:solidFill>
          </w14:textFill>
        </w:rPr>
      </w:pPr>
    </w:p>
    <w:p w14:paraId="00932381">
      <w:pPr>
        <w:snapToGrid w:val="0"/>
        <w:spacing w:line="400" w:lineRule="exact"/>
        <w:ind w:left="273" w:leftChars="130" w:firstLine="551" w:firstLineChars="196"/>
        <w:jc w:val="left"/>
        <w:rPr>
          <w:rFonts w:hint="eastAsia" w:ascii="宋体"/>
          <w:b/>
          <w:color w:val="000000" w:themeColor="text1"/>
          <w:sz w:val="28"/>
          <w:szCs w:val="28"/>
          <w:highlight w:val="none"/>
          <w:lang w:val="en-US" w:eastAsia="zh-CN"/>
          <w14:textFill>
            <w14:solidFill>
              <w14:schemeClr w14:val="tx1"/>
            </w14:solidFill>
          </w14:textFill>
        </w:rPr>
      </w:pPr>
    </w:p>
    <w:p w14:paraId="2C9F02C2">
      <w:pPr>
        <w:snapToGrid w:val="0"/>
        <w:spacing w:line="400" w:lineRule="exact"/>
        <w:ind w:left="273" w:leftChars="130" w:firstLine="551" w:firstLineChars="196"/>
        <w:jc w:val="left"/>
        <w:rPr>
          <w:rFonts w:hint="eastAsia" w:ascii="宋体"/>
          <w:b/>
          <w:color w:val="000000" w:themeColor="text1"/>
          <w:sz w:val="28"/>
          <w:szCs w:val="28"/>
          <w:highlight w:val="none"/>
          <w:lang w:val="en-US" w:eastAsia="zh-CN"/>
          <w14:textFill>
            <w14:solidFill>
              <w14:schemeClr w14:val="tx1"/>
            </w14:solidFill>
          </w14:textFill>
        </w:rPr>
      </w:pPr>
    </w:p>
    <w:p w14:paraId="709E6E55">
      <w:pPr>
        <w:snapToGrid w:val="0"/>
        <w:spacing w:line="400" w:lineRule="exact"/>
        <w:ind w:left="273" w:leftChars="130" w:firstLine="551" w:firstLineChars="196"/>
        <w:jc w:val="left"/>
        <w:rPr>
          <w:rFonts w:hint="eastAsia" w:ascii="宋体"/>
          <w:b/>
          <w:color w:val="000000" w:themeColor="text1"/>
          <w:sz w:val="28"/>
          <w:szCs w:val="28"/>
          <w:highlight w:val="none"/>
          <w:lang w:val="en-US" w:eastAsia="zh-CN"/>
          <w14:textFill>
            <w14:solidFill>
              <w14:schemeClr w14:val="tx1"/>
            </w14:solidFill>
          </w14:textFill>
        </w:rPr>
      </w:pPr>
    </w:p>
    <w:p w14:paraId="6E3E2555">
      <w:pPr>
        <w:snapToGrid w:val="0"/>
        <w:spacing w:line="400" w:lineRule="exact"/>
        <w:ind w:left="273" w:leftChars="130" w:firstLine="551" w:firstLineChars="196"/>
        <w:jc w:val="left"/>
        <w:rPr>
          <w:rFonts w:hint="eastAsia" w:ascii="宋体"/>
          <w:b/>
          <w:color w:val="000000" w:themeColor="text1"/>
          <w:sz w:val="28"/>
          <w:szCs w:val="28"/>
          <w:highlight w:val="none"/>
          <w:lang w:val="en-US" w:eastAsia="zh-CN"/>
          <w14:textFill>
            <w14:solidFill>
              <w14:schemeClr w14:val="tx1"/>
            </w14:solidFill>
          </w14:textFill>
        </w:rPr>
      </w:pPr>
    </w:p>
    <w:p w14:paraId="1FCAE14B">
      <w:pPr>
        <w:snapToGrid w:val="0"/>
        <w:spacing w:line="400" w:lineRule="exact"/>
        <w:ind w:left="273" w:leftChars="130" w:firstLine="551" w:firstLineChars="196"/>
        <w:jc w:val="left"/>
        <w:rPr>
          <w:rFonts w:hint="eastAsia" w:ascii="宋体"/>
          <w:b/>
          <w:color w:val="000000" w:themeColor="text1"/>
          <w:sz w:val="28"/>
          <w:szCs w:val="28"/>
          <w:highlight w:val="none"/>
          <w:lang w:val="en-US" w:eastAsia="zh-CN"/>
          <w14:textFill>
            <w14:solidFill>
              <w14:schemeClr w14:val="tx1"/>
            </w14:solidFill>
          </w14:textFill>
        </w:rPr>
      </w:pPr>
    </w:p>
    <w:p w14:paraId="00CF1A4E">
      <w:pPr>
        <w:snapToGrid w:val="0"/>
        <w:spacing w:line="400" w:lineRule="exact"/>
        <w:ind w:left="273" w:leftChars="130" w:firstLine="551" w:firstLineChars="196"/>
        <w:jc w:val="left"/>
        <w:rPr>
          <w:rFonts w:hint="eastAsia" w:ascii="宋体"/>
          <w:b/>
          <w:color w:val="000000" w:themeColor="text1"/>
          <w:sz w:val="28"/>
          <w:szCs w:val="28"/>
          <w:highlight w:val="none"/>
          <w:lang w:val="en-US" w:eastAsia="zh-CN"/>
          <w14:textFill>
            <w14:solidFill>
              <w14:schemeClr w14:val="tx1"/>
            </w14:solidFill>
          </w14:textFill>
        </w:rPr>
      </w:pPr>
    </w:p>
    <w:p w14:paraId="05565478">
      <w:pPr>
        <w:snapToGrid w:val="0"/>
        <w:spacing w:line="400" w:lineRule="exact"/>
        <w:ind w:left="273" w:leftChars="130" w:firstLine="551" w:firstLineChars="196"/>
        <w:jc w:val="left"/>
        <w:rPr>
          <w:rFonts w:hint="eastAsia" w:ascii="宋体"/>
          <w:b/>
          <w:color w:val="000000" w:themeColor="text1"/>
          <w:sz w:val="28"/>
          <w:szCs w:val="28"/>
          <w:highlight w:val="none"/>
          <w:lang w:val="en-US" w:eastAsia="zh-CN"/>
          <w14:textFill>
            <w14:solidFill>
              <w14:schemeClr w14:val="tx1"/>
            </w14:solidFill>
          </w14:textFill>
        </w:rPr>
      </w:pPr>
      <w:r>
        <w:rPr>
          <w:rFonts w:hint="eastAsia" w:ascii="宋体"/>
          <w:b/>
          <w:color w:val="000000" w:themeColor="text1"/>
          <w:sz w:val="28"/>
          <w:szCs w:val="28"/>
          <w:highlight w:val="none"/>
          <w:lang w:val="en-US" w:eastAsia="zh-CN"/>
          <w14:textFill>
            <w14:solidFill>
              <w14:schemeClr w14:val="tx1"/>
            </w14:solidFill>
          </w14:textFill>
        </w:rPr>
        <w:br w:type="page"/>
      </w:r>
      <w:r>
        <w:rPr>
          <w:rFonts w:hint="eastAsia" w:ascii="宋体"/>
          <w:b/>
          <w:color w:val="000000" w:themeColor="text1"/>
          <w:sz w:val="28"/>
          <w:szCs w:val="28"/>
          <w:highlight w:val="none"/>
          <w:lang w:val="en-US" w:eastAsia="zh-CN"/>
          <w14:textFill>
            <w14:solidFill>
              <w14:schemeClr w14:val="tx1"/>
            </w14:solidFill>
          </w14:textFill>
        </w:rPr>
        <w:t>7.供应商近半年内任意一个月或任一季度依法缴纳税收的证明材料[增值税缴纳发票(税收完税证明)或企业所得税完税证明或税务部门出具的免税证明]扫描件（必须提供）</w:t>
      </w:r>
    </w:p>
    <w:p w14:paraId="6D572893">
      <w:pPr>
        <w:snapToGrid w:val="0"/>
        <w:spacing w:line="400" w:lineRule="exact"/>
        <w:ind w:left="273" w:leftChars="130" w:firstLine="551" w:firstLineChars="196"/>
        <w:jc w:val="left"/>
        <w:rPr>
          <w:rFonts w:hint="eastAsia" w:ascii="宋体" w:cs="宋体"/>
          <w:b/>
          <w:color w:val="000000" w:themeColor="text1"/>
          <w:kern w:val="0"/>
          <w:sz w:val="28"/>
          <w:szCs w:val="28"/>
          <w:highlight w:val="none"/>
          <w:lang w:val="en-US" w:eastAsia="zh-CN" w:bidi="ar-SA"/>
          <w14:textFill>
            <w14:solidFill>
              <w14:schemeClr w14:val="tx1"/>
            </w14:solidFill>
          </w14:textFill>
        </w:rPr>
      </w:pPr>
    </w:p>
    <w:p w14:paraId="3545A58C">
      <w:pPr>
        <w:snapToGrid w:val="0"/>
        <w:spacing w:line="400" w:lineRule="exact"/>
        <w:ind w:left="273" w:leftChars="130" w:firstLine="551" w:firstLineChars="196"/>
        <w:jc w:val="left"/>
        <w:rPr>
          <w:rFonts w:hint="eastAsia" w:ascii="宋体" w:cs="宋体"/>
          <w:b/>
          <w:color w:val="000000" w:themeColor="text1"/>
          <w:kern w:val="0"/>
          <w:sz w:val="28"/>
          <w:szCs w:val="28"/>
          <w:highlight w:val="none"/>
          <w:lang w:val="en-US" w:eastAsia="zh-CN" w:bidi="ar-SA"/>
          <w14:textFill>
            <w14:solidFill>
              <w14:schemeClr w14:val="tx1"/>
            </w14:solidFill>
          </w14:textFill>
        </w:rPr>
      </w:pPr>
    </w:p>
    <w:p w14:paraId="0727A98A">
      <w:pPr>
        <w:snapToGrid w:val="0"/>
        <w:spacing w:line="400" w:lineRule="exact"/>
        <w:ind w:left="273" w:leftChars="130" w:firstLine="551" w:firstLineChars="196"/>
        <w:jc w:val="left"/>
        <w:rPr>
          <w:rFonts w:hint="eastAsia" w:ascii="宋体" w:cs="宋体"/>
          <w:b/>
          <w:color w:val="000000" w:themeColor="text1"/>
          <w:kern w:val="0"/>
          <w:sz w:val="28"/>
          <w:szCs w:val="28"/>
          <w:highlight w:val="none"/>
          <w:lang w:val="en-US" w:eastAsia="zh-CN" w:bidi="ar-SA"/>
          <w14:textFill>
            <w14:solidFill>
              <w14:schemeClr w14:val="tx1"/>
            </w14:solidFill>
          </w14:textFill>
        </w:rPr>
      </w:pPr>
    </w:p>
    <w:p w14:paraId="25F342B4">
      <w:pPr>
        <w:snapToGrid w:val="0"/>
        <w:spacing w:line="400" w:lineRule="exact"/>
        <w:ind w:left="273" w:leftChars="130" w:firstLine="551" w:firstLineChars="196"/>
        <w:jc w:val="left"/>
        <w:rPr>
          <w:rFonts w:hint="eastAsia" w:ascii="宋体" w:cs="宋体"/>
          <w:b/>
          <w:color w:val="000000" w:themeColor="text1"/>
          <w:kern w:val="0"/>
          <w:sz w:val="28"/>
          <w:szCs w:val="28"/>
          <w:highlight w:val="none"/>
          <w:lang w:val="en-US" w:eastAsia="zh-CN" w:bidi="ar-SA"/>
          <w14:textFill>
            <w14:solidFill>
              <w14:schemeClr w14:val="tx1"/>
            </w14:solidFill>
          </w14:textFill>
        </w:rPr>
      </w:pPr>
    </w:p>
    <w:p w14:paraId="6E601C91">
      <w:pPr>
        <w:snapToGrid w:val="0"/>
        <w:spacing w:line="400" w:lineRule="exact"/>
        <w:ind w:left="273" w:leftChars="130" w:firstLine="551" w:firstLineChars="196"/>
        <w:jc w:val="left"/>
        <w:rPr>
          <w:rFonts w:hint="eastAsia" w:ascii="宋体" w:cs="宋体"/>
          <w:b/>
          <w:color w:val="000000" w:themeColor="text1"/>
          <w:kern w:val="0"/>
          <w:sz w:val="28"/>
          <w:szCs w:val="28"/>
          <w:highlight w:val="none"/>
          <w:lang w:val="en-US" w:eastAsia="zh-CN" w:bidi="ar-SA"/>
          <w14:textFill>
            <w14:solidFill>
              <w14:schemeClr w14:val="tx1"/>
            </w14:solidFill>
          </w14:textFill>
        </w:rPr>
      </w:pPr>
    </w:p>
    <w:p w14:paraId="4328119D">
      <w:pPr>
        <w:snapToGrid w:val="0"/>
        <w:spacing w:line="400" w:lineRule="exact"/>
        <w:ind w:left="273" w:leftChars="130" w:firstLine="551" w:firstLineChars="196"/>
        <w:jc w:val="left"/>
        <w:rPr>
          <w:rFonts w:hint="eastAsia" w:ascii="Arial" w:hAnsi="Arial" w:cs="Arial"/>
          <w:b/>
          <w:color w:val="000000" w:themeColor="text1"/>
          <w:kern w:val="0"/>
          <w:sz w:val="28"/>
          <w:szCs w:val="28"/>
          <w:highlight w:val="none"/>
          <w:lang w:bidi="ar-SA"/>
          <w14:textFill>
            <w14:solidFill>
              <w14:schemeClr w14:val="tx1"/>
            </w14:solidFill>
          </w14:textFill>
        </w:rPr>
      </w:pPr>
      <w:r>
        <w:rPr>
          <w:rFonts w:hint="eastAsia" w:ascii="宋体" w:cs="宋体"/>
          <w:b/>
          <w:color w:val="000000" w:themeColor="text1"/>
          <w:kern w:val="0"/>
          <w:sz w:val="28"/>
          <w:szCs w:val="28"/>
          <w:highlight w:val="none"/>
          <w:lang w:val="en-US" w:eastAsia="zh-CN" w:bidi="ar-SA"/>
          <w14:textFill>
            <w14:solidFill>
              <w14:schemeClr w14:val="tx1"/>
            </w14:solidFill>
          </w14:textFill>
        </w:rPr>
        <w:t>8.</w:t>
      </w:r>
      <w:r>
        <w:rPr>
          <w:rFonts w:hint="eastAsia" w:ascii="宋体" w:cs="宋体"/>
          <w:b/>
          <w:color w:val="000000" w:themeColor="text1"/>
          <w:kern w:val="0"/>
          <w:sz w:val="28"/>
          <w:szCs w:val="28"/>
          <w:highlight w:val="none"/>
          <w:lang w:bidi="ar-SA"/>
          <w14:textFill>
            <w14:solidFill>
              <w14:schemeClr w14:val="tx1"/>
            </w14:solidFill>
          </w14:textFill>
        </w:rPr>
        <w:t>供应商参加政府采购活动前3年内在经营活动中没有重大违法记录及有关信用信息、前期服务情况的书面声明（格式见附件，必须提供）</w:t>
      </w:r>
      <w:r>
        <w:rPr>
          <w:rFonts w:hint="eastAsia" w:ascii="Arial" w:hAnsi="Arial" w:cs="Arial"/>
          <w:b/>
          <w:color w:val="000000" w:themeColor="text1"/>
          <w:kern w:val="0"/>
          <w:sz w:val="28"/>
          <w:szCs w:val="28"/>
          <w:highlight w:val="none"/>
          <w:lang w:bidi="ar-SA"/>
          <w14:textFill>
            <w14:solidFill>
              <w14:schemeClr w14:val="tx1"/>
            </w14:solidFill>
          </w14:textFill>
        </w:rPr>
        <w:t>；</w:t>
      </w:r>
    </w:p>
    <w:p w14:paraId="4161E09C">
      <w:pPr>
        <w:snapToGrid w:val="0"/>
        <w:spacing w:line="360" w:lineRule="exact"/>
        <w:ind w:left="937" w:leftChars="196" w:hanging="525" w:hangingChars="250"/>
        <w:jc w:val="left"/>
        <w:rPr>
          <w:rFonts w:hint="eastAsia" w:ascii="宋体"/>
          <w:color w:val="000000" w:themeColor="text1"/>
          <w:szCs w:val="21"/>
          <w:highlight w:val="none"/>
          <w14:textFill>
            <w14:solidFill>
              <w14:schemeClr w14:val="tx1"/>
            </w14:solidFill>
          </w14:textFill>
        </w:rPr>
      </w:pPr>
    </w:p>
    <w:p w14:paraId="43B8238C">
      <w:pPr>
        <w:snapToGrid w:val="0"/>
        <w:spacing w:line="360" w:lineRule="exact"/>
        <w:ind w:left="1012" w:leftChars="196" w:hanging="600" w:hangingChars="25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附件：</w:t>
      </w:r>
    </w:p>
    <w:p w14:paraId="065987CA">
      <w:pPr>
        <w:pStyle w:val="12"/>
        <w:spacing w:line="400" w:lineRule="exact"/>
        <w:ind w:firstLine="1126"/>
        <w:jc w:val="center"/>
        <w:rPr>
          <w:rFonts w:hint="eastAsia"/>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声   明（格式）</w:t>
      </w:r>
    </w:p>
    <w:p w14:paraId="51C2E2A6">
      <w:pPr>
        <w:snapToGrid w:val="0"/>
        <w:spacing w:line="400" w:lineRule="exact"/>
        <w:outlineLvl w:val="4"/>
        <w:rPr>
          <w:rFonts w:hint="eastAsia" w:eastAsia="宋体"/>
          <w:color w:val="000000" w:themeColor="text1"/>
          <w:highlight w:val="none"/>
          <w:lang w:eastAsia="zh-CN"/>
          <w14:textFill>
            <w14:solidFill>
              <w14:schemeClr w14:val="tx1"/>
            </w14:solidFill>
          </w14:textFill>
        </w:rPr>
      </w:pPr>
      <w:r>
        <w:rPr>
          <w:rFonts w:hint="eastAsia" w:ascii="宋体"/>
          <w:b/>
          <w:color w:val="000000" w:themeColor="text1"/>
          <w:szCs w:val="21"/>
          <w:highlight w:val="none"/>
          <w14:textFill>
            <w14:solidFill>
              <w14:schemeClr w14:val="tx1"/>
            </w14:solidFill>
          </w14:textFill>
        </w:rPr>
        <w:t>致</w:t>
      </w:r>
      <w:r>
        <w:rPr>
          <w:rFonts w:hint="eastAsia" w:ascii="宋体"/>
          <w:color w:val="000000" w:themeColor="text1"/>
          <w:szCs w:val="21"/>
          <w:highlight w:val="none"/>
          <w14:textFill>
            <w14:solidFill>
              <w14:schemeClr w14:val="tx1"/>
            </w14:solidFill>
          </w14:textFill>
        </w:rPr>
        <w:t>：</w:t>
      </w:r>
      <w:r>
        <w:rPr>
          <w:rFonts w:hint="eastAsia"/>
          <w:color w:val="000000" w:themeColor="text1"/>
          <w:highlight w:val="none"/>
          <w:u w:val="single"/>
          <w:lang w:eastAsia="zh-CN"/>
          <w14:textFill>
            <w14:solidFill>
              <w14:schemeClr w14:val="tx1"/>
            </w14:solidFill>
          </w14:textFill>
        </w:rPr>
        <w:t>广西卓群项目管理有限公司</w:t>
      </w:r>
    </w:p>
    <w:p w14:paraId="15B75D46">
      <w:pPr>
        <w:snapToGrid w:val="0"/>
        <w:spacing w:line="400" w:lineRule="exact"/>
        <w:outlineLvl w:val="9"/>
        <w:rPr>
          <w:rFonts w:hint="eastAsia" w:ascii="宋体"/>
          <w:color w:val="000000" w:themeColor="text1"/>
          <w:szCs w:val="21"/>
          <w:highlight w:val="none"/>
          <w:u w:val="single"/>
          <w14:textFill>
            <w14:solidFill>
              <w14:schemeClr w14:val="tx1"/>
            </w14:solidFill>
          </w14:textFill>
        </w:rPr>
      </w:pPr>
    </w:p>
    <w:p w14:paraId="3A9DD6D1">
      <w:pPr>
        <w:pStyle w:val="12"/>
        <w:spacing w:line="400" w:lineRule="exac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我公司郑重声明：</w:t>
      </w:r>
    </w:p>
    <w:p w14:paraId="6155A2B7">
      <w:pPr>
        <w:spacing w:line="440" w:lineRule="exact"/>
        <w:ind w:firstLine="420" w:firstLineChars="200"/>
        <w:rPr>
          <w:rFonts w:hint="eastAsia" w:ascii="宋体"/>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1.在参加政府采购活动前3年内在经营活动中没有重大违法记录（重大违法记录是指供应商因违法经营受到刑事处罚或者责令停产停业、吊销许可证或者执照、较大数额罚款等行政处罚）</w:t>
      </w:r>
      <w:r>
        <w:rPr>
          <w:rFonts w:hint="eastAsia" w:ascii="宋体"/>
          <w:color w:val="000000" w:themeColor="text1"/>
          <w:highlight w:val="none"/>
          <w14:textFill>
            <w14:solidFill>
              <w14:schemeClr w14:val="tx1"/>
            </w14:solidFill>
          </w14:textFill>
        </w:rPr>
        <w:t>，未被列入失信被执行人、重大税收违法失信主体、政府采购严重违法失信行为记录名单，我方对此声明负全部法律责任。</w:t>
      </w:r>
    </w:p>
    <w:p w14:paraId="658627E6">
      <w:pPr>
        <w:pStyle w:val="12"/>
        <w:spacing w:line="44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2.在参加本项目政府采购活动前不属于</w:t>
      </w:r>
      <w:r>
        <w:rPr>
          <w:rFonts w:hint="eastAsia" w:cs="Arial"/>
          <w:color w:val="000000" w:themeColor="text1"/>
          <w:highlight w:val="none"/>
          <w:lang w:bidi="ar-SA"/>
          <w14:textFill>
            <w14:solidFill>
              <w14:schemeClr w14:val="tx1"/>
            </w14:solidFill>
          </w14:textFill>
        </w:rPr>
        <w:t>为本采购项目提供整体设计、规范编制或者项目管理、监理、检测等服务的供应商。</w:t>
      </w:r>
    </w:p>
    <w:p w14:paraId="18CCA3DE">
      <w:pPr>
        <w:snapToGrid w:val="0"/>
        <w:spacing w:line="400" w:lineRule="exact"/>
        <w:ind w:firstLine="420"/>
        <w:outlineLvl w:val="9"/>
        <w:rPr>
          <w:rFonts w:hint="eastAsia" w:ascii="宋体"/>
          <w:color w:val="000000" w:themeColor="text1"/>
          <w:szCs w:val="21"/>
          <w:highlight w:val="none"/>
          <w14:textFill>
            <w14:solidFill>
              <w14:schemeClr w14:val="tx1"/>
            </w14:solidFill>
          </w14:textFill>
        </w:rPr>
      </w:pPr>
    </w:p>
    <w:p w14:paraId="1D343214">
      <w:pPr>
        <w:snapToGrid w:val="0"/>
        <w:spacing w:line="400" w:lineRule="exact"/>
        <w:ind w:firstLine="420"/>
        <w:outlineLvl w:val="9"/>
        <w:rPr>
          <w:rFonts w:hint="eastAsia" w:ascii="宋体"/>
          <w:color w:val="000000" w:themeColor="text1"/>
          <w:szCs w:val="21"/>
          <w:highlight w:val="none"/>
          <w14:textFill>
            <w14:solidFill>
              <w14:schemeClr w14:val="tx1"/>
            </w14:solidFill>
          </w14:textFill>
        </w:rPr>
      </w:pPr>
    </w:p>
    <w:p w14:paraId="56E92C30">
      <w:pPr>
        <w:snapToGrid w:val="0"/>
        <w:spacing w:line="400" w:lineRule="atLeast"/>
        <w:ind w:firstLine="2520" w:firstLineChars="1200"/>
        <w:outlineLvl w:val="4"/>
        <w:rPr>
          <w:rFonts w:hint="eastAsia" w:ascii="宋体"/>
          <w:color w:val="000000" w:themeColor="text1"/>
          <w:szCs w:val="21"/>
          <w:highlight w:val="none"/>
          <w:u w:val="single"/>
          <w14:textFill>
            <w14:solidFill>
              <w14:schemeClr w14:val="tx1"/>
            </w14:solidFill>
          </w14:textFill>
        </w:rPr>
      </w:pPr>
      <w:r>
        <w:rPr>
          <w:rFonts w:hint="eastAsia" w:ascii="宋体"/>
          <w:color w:val="000000" w:themeColor="text1"/>
          <w:szCs w:val="21"/>
          <w:highlight w:val="none"/>
          <w14:textFill>
            <w14:solidFill>
              <w14:schemeClr w14:val="tx1"/>
            </w14:solidFill>
          </w14:textFill>
        </w:rPr>
        <w:t>供应商名称（加盖供应商CA证书签章）：</w:t>
      </w:r>
      <w:r>
        <w:rPr>
          <w:rFonts w:hint="eastAsia" w:ascii="宋体"/>
          <w:color w:val="000000" w:themeColor="text1"/>
          <w:szCs w:val="21"/>
          <w:highlight w:val="none"/>
          <w:u w:val="single"/>
          <w14:textFill>
            <w14:solidFill>
              <w14:schemeClr w14:val="tx1"/>
            </w14:solidFill>
          </w14:textFill>
        </w:rPr>
        <w:t xml:space="preserve">              </w:t>
      </w:r>
    </w:p>
    <w:p w14:paraId="47A38CED">
      <w:pPr>
        <w:snapToGrid w:val="0"/>
        <w:spacing w:line="400" w:lineRule="atLeast"/>
        <w:ind w:left="937" w:leftChars="446" w:firstLine="3255" w:firstLineChars="155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日   期：</w:t>
      </w:r>
      <w:r>
        <w:rPr>
          <w:rFonts w:hint="eastAsia" w:ascii="宋体"/>
          <w:color w:val="000000" w:themeColor="text1"/>
          <w:highlight w:val="none"/>
          <w:u w:val="single"/>
          <w14:textFill>
            <w14:solidFill>
              <w14:schemeClr w14:val="tx1"/>
            </w14:solidFill>
          </w14:textFill>
        </w:rPr>
        <w:t xml:space="preserve">                         </w:t>
      </w:r>
    </w:p>
    <w:p w14:paraId="66FA0577">
      <w:pPr>
        <w:pStyle w:val="12"/>
        <w:spacing w:line="520" w:lineRule="exact"/>
        <w:rPr>
          <w:rFonts w:hint="eastAsia"/>
          <w:b/>
          <w:color w:val="000000" w:themeColor="text1"/>
          <w:sz w:val="30"/>
          <w:szCs w:val="30"/>
          <w:highlight w:val="none"/>
          <w14:textFill>
            <w14:solidFill>
              <w14:schemeClr w14:val="tx1"/>
            </w14:solidFill>
          </w14:textFill>
        </w:rPr>
      </w:pPr>
    </w:p>
    <w:p w14:paraId="71CF4A2D">
      <w:pPr>
        <w:pStyle w:val="12"/>
        <w:spacing w:line="520" w:lineRule="exact"/>
        <w:rPr>
          <w:rFonts w:hint="eastAsia"/>
          <w:b/>
          <w:color w:val="000000" w:themeColor="text1"/>
          <w:sz w:val="30"/>
          <w:szCs w:val="30"/>
          <w:highlight w:val="none"/>
          <w14:textFill>
            <w14:solidFill>
              <w14:schemeClr w14:val="tx1"/>
            </w14:solidFill>
          </w14:textFill>
        </w:rPr>
      </w:pPr>
    </w:p>
    <w:p w14:paraId="7F64ACCF">
      <w:pPr>
        <w:pStyle w:val="12"/>
        <w:spacing w:line="460" w:lineRule="exact"/>
        <w:ind w:firstLine="482" w:firstLineChars="150"/>
        <w:rPr>
          <w:rFonts w:hint="eastAsia"/>
          <w:b/>
          <w:color w:val="000000" w:themeColor="text1"/>
          <w:sz w:val="32"/>
          <w:szCs w:val="32"/>
          <w:highlight w:val="none"/>
          <w14:textFill>
            <w14:solidFill>
              <w14:schemeClr w14:val="tx1"/>
            </w14:solidFill>
          </w14:textFill>
        </w:rPr>
      </w:pPr>
      <w:r>
        <w:rPr>
          <w:rFonts w:hint="eastAsia"/>
          <w:b/>
          <w:color w:val="000000" w:themeColor="text1"/>
          <w:sz w:val="32"/>
          <w:szCs w:val="32"/>
          <w:highlight w:val="none"/>
          <w:lang w:val="en-US" w:eastAsia="zh-CN"/>
          <w14:textFill>
            <w14:solidFill>
              <w14:schemeClr w14:val="tx1"/>
            </w14:solidFill>
          </w14:textFill>
        </w:rPr>
        <w:br w:type="page"/>
      </w:r>
      <w:r>
        <w:rPr>
          <w:rFonts w:hint="eastAsia"/>
          <w:b/>
          <w:color w:val="000000" w:themeColor="text1"/>
          <w:sz w:val="32"/>
          <w:szCs w:val="32"/>
          <w:highlight w:val="none"/>
          <w:lang w:val="en-US" w:eastAsia="zh-CN"/>
          <w14:textFill>
            <w14:solidFill>
              <w14:schemeClr w14:val="tx1"/>
            </w14:solidFill>
          </w14:textFill>
        </w:rPr>
        <w:t>9</w:t>
      </w:r>
      <w:r>
        <w:rPr>
          <w:rFonts w:hint="eastAsia"/>
          <w:b/>
          <w:color w:val="000000" w:themeColor="text1"/>
          <w:sz w:val="32"/>
          <w:szCs w:val="32"/>
          <w:highlight w:val="none"/>
          <w14:textFill>
            <w14:solidFill>
              <w14:schemeClr w14:val="tx1"/>
            </w14:solidFill>
          </w14:textFill>
        </w:rPr>
        <w:t>.中小企业相应有效的证明文件（必须提供）；</w:t>
      </w:r>
    </w:p>
    <w:p w14:paraId="60849918">
      <w:pPr>
        <w:pStyle w:val="12"/>
        <w:spacing w:line="320" w:lineRule="exact"/>
        <w:ind w:firstLine="422" w:firstLineChars="200"/>
        <w:rPr>
          <w:rFonts w:hint="eastAsia"/>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根据企业所属类型，必须提供以下材料之一</w:t>
      </w:r>
      <w:r>
        <w:rPr>
          <w:rFonts w:hint="eastAsia"/>
          <w:color w:val="000000" w:themeColor="text1"/>
          <w:highlight w:val="none"/>
          <w14:textFill>
            <w14:solidFill>
              <w14:schemeClr w14:val="tx1"/>
            </w14:solidFill>
          </w14:textFill>
        </w:rPr>
        <w:t>：</w:t>
      </w:r>
    </w:p>
    <w:p w14:paraId="255F1D9A">
      <w:pPr>
        <w:tabs>
          <w:tab w:val="left" w:pos="1305"/>
        </w:tabs>
        <w:spacing w:line="320" w:lineRule="exact"/>
        <w:ind w:firstLine="420" w:firstLineChars="200"/>
        <w:rPr>
          <w:rFonts w:hint="eastAsia" w:ascii="宋体" w:cs="Courier New"/>
          <w:color w:val="000000" w:themeColor="text1"/>
          <w:szCs w:val="21"/>
          <w:highlight w:val="none"/>
          <w:lang w:bidi="ar-SA"/>
          <w14:textFill>
            <w14:solidFill>
              <w14:schemeClr w14:val="tx1"/>
            </w14:solidFill>
          </w14:textFill>
        </w:rPr>
      </w:pPr>
      <w:r>
        <w:rPr>
          <w:rFonts w:hint="eastAsia" w:ascii="宋体" w:cs="Courier New"/>
          <w:color w:val="000000" w:themeColor="text1"/>
          <w:szCs w:val="21"/>
          <w:highlight w:val="none"/>
          <w:lang w:bidi="ar-SA"/>
          <w14:textFill>
            <w14:solidFill>
              <w14:schemeClr w14:val="tx1"/>
            </w14:solidFill>
          </w14:textFill>
        </w:rPr>
        <w:t>①中小企业声明函【如工程由中型、小型、微型企业（中小微型企业划分标准按照《国家统计局关于印发《统计上大中小微型企业划分办法〔2017〕》的通知》（国统字〔2017〕213号）执行）承建的，供应商应如实声明并对出具的声明函（格式见附件）真实性负责。成交结果将同时公告该企业《中小企业声明函》，接受社会监督。】</w:t>
      </w:r>
    </w:p>
    <w:p w14:paraId="7FF65D40">
      <w:pPr>
        <w:tabs>
          <w:tab w:val="left" w:pos="1305"/>
        </w:tabs>
        <w:spacing w:line="320" w:lineRule="exact"/>
        <w:ind w:firstLine="420" w:firstLineChars="200"/>
        <w:rPr>
          <w:rFonts w:hint="eastAsia" w:ascii="宋体" w:cs="Courier New"/>
          <w:color w:val="000000" w:themeColor="text1"/>
          <w:szCs w:val="21"/>
          <w:highlight w:val="none"/>
          <w:lang w:bidi="ar-SA"/>
          <w14:textFill>
            <w14:solidFill>
              <w14:schemeClr w14:val="tx1"/>
            </w14:solidFill>
          </w14:textFill>
        </w:rPr>
      </w:pPr>
      <w:r>
        <w:rPr>
          <w:rFonts w:hint="eastAsia" w:ascii="宋体" w:cs="Courier New"/>
          <w:color w:val="000000" w:themeColor="text1"/>
          <w:szCs w:val="21"/>
          <w:highlight w:val="none"/>
          <w:lang w:bidi="ar-SA"/>
          <w14:textFill>
            <w14:solidFill>
              <w14:schemeClr w14:val="tx1"/>
            </w14:solidFill>
          </w14:textFill>
        </w:rPr>
        <w:t>②监狱企业的证明文件【如工程由监狱企业承建，供应商应当提供由省级以上监狱管理局、戒毒管理局（含新疆生产建设兵团）出具的属于监狱企业的证明文件，否则不予享受中小企业政策】；</w:t>
      </w:r>
    </w:p>
    <w:p w14:paraId="63D50AD8">
      <w:pPr>
        <w:tabs>
          <w:tab w:val="left" w:pos="1305"/>
        </w:tabs>
        <w:spacing w:line="320" w:lineRule="exact"/>
        <w:ind w:firstLine="420" w:firstLineChars="200"/>
        <w:rPr>
          <w:rFonts w:hint="eastAsia" w:ascii="宋体" w:cs="Courier New"/>
          <w:color w:val="000000" w:themeColor="text1"/>
          <w:szCs w:val="21"/>
          <w:highlight w:val="none"/>
          <w:lang w:bidi="ar-SA"/>
          <w14:textFill>
            <w14:solidFill>
              <w14:schemeClr w14:val="tx1"/>
            </w14:solidFill>
          </w14:textFill>
        </w:rPr>
      </w:pPr>
      <w:r>
        <w:rPr>
          <w:rFonts w:hint="eastAsia" w:ascii="宋体" w:cs="Courier New"/>
          <w:color w:val="000000" w:themeColor="text1"/>
          <w:szCs w:val="21"/>
          <w:highlight w:val="none"/>
          <w:lang w:bidi="ar-SA"/>
          <w14:textFill>
            <w14:solidFill>
              <w14:schemeClr w14:val="tx1"/>
            </w14:solidFill>
          </w14:textFill>
        </w:rPr>
        <w:t>③《残疾人福利性单位声明函》【符合条件的残疾人福利性单位在参加政府采购活动时，供应商应如实声明并对出具的声明函（格式见附件）真实性负责，否则不予享受中小企业政策】。</w:t>
      </w:r>
    </w:p>
    <w:p w14:paraId="22D637BB">
      <w:pPr>
        <w:tabs>
          <w:tab w:val="left" w:pos="1305"/>
        </w:tabs>
        <w:spacing w:line="320" w:lineRule="exact"/>
        <w:ind w:firstLine="422" w:firstLineChars="200"/>
        <w:rPr>
          <w:rFonts w:hint="eastAsia"/>
          <w:b/>
          <w:color w:val="000000" w:themeColor="text1"/>
          <w:sz w:val="24"/>
          <w:highlight w:val="none"/>
          <w14:textFill>
            <w14:solidFill>
              <w14:schemeClr w14:val="tx1"/>
            </w14:solidFill>
          </w14:textFill>
        </w:rPr>
      </w:pPr>
      <w:r>
        <w:rPr>
          <w:rFonts w:hint="eastAsia" w:ascii="宋体"/>
          <w:b/>
          <w:bCs w:val="0"/>
          <w:color w:val="000000" w:themeColor="text1"/>
          <w:highlight w:val="none"/>
          <w14:textFill>
            <w14:solidFill>
              <w14:schemeClr w14:val="tx1"/>
            </w14:solidFill>
          </w14:textFill>
        </w:rPr>
        <w:t>注：</w:t>
      </w:r>
      <w:r>
        <w:rPr>
          <w:rFonts w:hint="eastAsia" w:ascii="宋体"/>
          <w:b/>
          <w:bCs w:val="0"/>
          <w:color w:val="000000" w:themeColor="text1"/>
          <w:highlight w:val="none"/>
          <w:lang w:eastAsia="zh-CN"/>
          <w14:textFill>
            <w14:solidFill>
              <w14:schemeClr w14:val="tx1"/>
            </w14:solidFill>
          </w14:textFill>
        </w:rPr>
        <w:t>本项目</w:t>
      </w:r>
      <w:r>
        <w:rPr>
          <w:rFonts w:hint="eastAsia" w:ascii="宋体"/>
          <w:b/>
          <w:bCs w:val="0"/>
          <w:color w:val="000000" w:themeColor="text1"/>
          <w:highlight w:val="none"/>
          <w14:textFill>
            <w14:solidFill>
              <w14:schemeClr w14:val="tx1"/>
            </w14:solidFill>
          </w14:textFill>
        </w:rPr>
        <w:t>专门面向</w:t>
      </w:r>
      <w:r>
        <w:rPr>
          <w:rFonts w:hint="eastAsia" w:ascii="宋体"/>
          <w:b/>
          <w:bCs w:val="0"/>
          <w:color w:val="000000" w:themeColor="text1"/>
          <w:highlight w:val="none"/>
          <w:lang w:eastAsia="zh-CN"/>
          <w14:textFill>
            <w14:solidFill>
              <w14:schemeClr w14:val="tx1"/>
            </w14:solidFill>
          </w14:textFill>
        </w:rPr>
        <w:t>中小</w:t>
      </w:r>
      <w:r>
        <w:rPr>
          <w:rFonts w:hint="eastAsia" w:ascii="宋体"/>
          <w:b/>
          <w:bCs w:val="0"/>
          <w:color w:val="000000" w:themeColor="text1"/>
          <w:highlight w:val="none"/>
          <w14:textFill>
            <w14:solidFill>
              <w14:schemeClr w14:val="tx1"/>
            </w14:solidFill>
          </w14:textFill>
        </w:rPr>
        <w:t>企业采购的项目（供应商应为</w:t>
      </w:r>
      <w:r>
        <w:rPr>
          <w:rFonts w:hint="eastAsia" w:ascii="宋体"/>
          <w:b/>
          <w:bCs w:val="0"/>
          <w:color w:val="000000" w:themeColor="text1"/>
          <w:highlight w:val="none"/>
          <w:lang w:eastAsia="zh-CN"/>
          <w14:textFill>
            <w14:solidFill>
              <w14:schemeClr w14:val="tx1"/>
            </w14:solidFill>
          </w14:textFill>
        </w:rPr>
        <w:t>中小</w:t>
      </w:r>
      <w:r>
        <w:rPr>
          <w:rFonts w:hint="eastAsia" w:ascii="宋体"/>
          <w:b/>
          <w:bCs w:val="0"/>
          <w:color w:val="000000" w:themeColor="text1"/>
          <w:highlight w:val="none"/>
          <w14:textFill>
            <w14:solidFill>
              <w14:schemeClr w14:val="tx1"/>
            </w14:solidFill>
          </w14:textFill>
        </w:rPr>
        <w:t xml:space="preserve">企业、监狱企业、残疾人福利性单位) </w:t>
      </w:r>
      <w:r>
        <w:rPr>
          <w:rFonts w:hint="eastAsia"/>
          <w:b/>
          <w:bCs w:val="0"/>
          <w:color w:val="000000" w:themeColor="text1"/>
          <w:highlight w:val="none"/>
          <w14:textFill>
            <w14:solidFill>
              <w14:schemeClr w14:val="tx1"/>
            </w14:solidFill>
          </w14:textFill>
        </w:rPr>
        <w:t>，</w:t>
      </w:r>
      <w:r>
        <w:rPr>
          <w:b/>
          <w:bCs w:val="0"/>
          <w:color w:val="000000" w:themeColor="text1"/>
          <w:highlight w:val="none"/>
          <w14:textFill>
            <w14:solidFill>
              <w14:schemeClr w14:val="tx1"/>
            </w14:solidFill>
          </w14:textFill>
        </w:rPr>
        <w:t>不接受非上述企业参与</w:t>
      </w:r>
      <w:r>
        <w:rPr>
          <w:rFonts w:hint="eastAsia"/>
          <w:b/>
          <w:bCs w:val="0"/>
          <w:color w:val="000000" w:themeColor="text1"/>
          <w:highlight w:val="none"/>
          <w14:textFill>
            <w14:solidFill>
              <w14:schemeClr w14:val="tx1"/>
            </w14:solidFill>
          </w14:textFill>
        </w:rPr>
        <w:t>谈</w:t>
      </w:r>
      <w:r>
        <w:rPr>
          <w:b/>
          <w:bCs w:val="0"/>
          <w:color w:val="000000" w:themeColor="text1"/>
          <w:highlight w:val="none"/>
          <w14:textFill>
            <w14:solidFill>
              <w14:schemeClr w14:val="tx1"/>
            </w14:solidFill>
          </w14:textFill>
        </w:rPr>
        <w:t>商</w:t>
      </w:r>
      <w:r>
        <w:rPr>
          <w:rFonts w:hint="eastAsia"/>
          <w:b/>
          <w:bCs w:val="0"/>
          <w:color w:val="000000" w:themeColor="text1"/>
          <w:highlight w:val="none"/>
          <w14:textFill>
            <w14:solidFill>
              <w14:schemeClr w14:val="tx1"/>
            </w14:solidFill>
          </w14:textFill>
        </w:rPr>
        <w:t>。</w:t>
      </w:r>
    </w:p>
    <w:p w14:paraId="28242ACB">
      <w:pPr>
        <w:pStyle w:val="12"/>
        <w:spacing w:line="320" w:lineRule="exact"/>
        <w:ind w:firstLine="482" w:firstLineChars="200"/>
        <w:rPr>
          <w:rFonts w:hint="eastAsia"/>
          <w:b/>
          <w:color w:val="000000" w:themeColor="text1"/>
          <w:sz w:val="24"/>
          <w:szCs w:val="24"/>
          <w:highlight w:val="none"/>
          <w14:textFill>
            <w14:solidFill>
              <w14:schemeClr w14:val="tx1"/>
            </w14:solidFill>
          </w14:textFill>
        </w:rPr>
      </w:pPr>
    </w:p>
    <w:p w14:paraId="512F2C8E">
      <w:pPr>
        <w:pStyle w:val="12"/>
        <w:spacing w:line="320" w:lineRule="exact"/>
        <w:ind w:firstLine="482" w:firstLineChars="200"/>
        <w:rPr>
          <w:rFonts w:hint="eastAsia"/>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附件</w:t>
      </w:r>
    </w:p>
    <w:p w14:paraId="3C13B842">
      <w:pPr>
        <w:shd w:val="clear" w:color="auto" w:fill="FFFFFF"/>
        <w:spacing w:after="240" w:line="320" w:lineRule="exact"/>
        <w:ind w:firstLine="480"/>
        <w:jc w:val="center"/>
        <w:rPr>
          <w:rFonts w:hint="eastAsia" w:ascii="宋体"/>
          <w:b/>
          <w:color w:val="000000" w:themeColor="text1"/>
          <w:kern w:val="0"/>
          <w:sz w:val="28"/>
          <w:szCs w:val="28"/>
          <w:highlight w:val="none"/>
          <w14:textFill>
            <w14:solidFill>
              <w14:schemeClr w14:val="tx1"/>
            </w14:solidFill>
          </w14:textFill>
        </w:rPr>
      </w:pPr>
      <w:r>
        <w:rPr>
          <w:rFonts w:hint="eastAsia" w:ascii="宋体"/>
          <w:b/>
          <w:color w:val="000000" w:themeColor="text1"/>
          <w:kern w:val="0"/>
          <w:sz w:val="28"/>
          <w:szCs w:val="28"/>
          <w:highlight w:val="none"/>
          <w14:textFill>
            <w14:solidFill>
              <w14:schemeClr w14:val="tx1"/>
            </w14:solidFill>
          </w14:textFill>
        </w:rPr>
        <w:t>中小企业声明函（格式）</w:t>
      </w:r>
    </w:p>
    <w:p w14:paraId="63616FF3">
      <w:pPr>
        <w:pStyle w:val="12"/>
        <w:spacing w:line="320" w:lineRule="exact"/>
        <w:ind w:firstLine="504" w:firstLineChars="200"/>
        <w:rPr>
          <w:rFonts w:hint="eastAsia" w:cs="宋体"/>
          <w:color w:val="000000" w:themeColor="text1"/>
          <w:spacing w:val="6"/>
          <w:sz w:val="24"/>
          <w:highlight w:val="none"/>
          <w:lang w:bidi="ar-SA"/>
          <w14:textFill>
            <w14:solidFill>
              <w14:schemeClr w14:val="tx1"/>
            </w14:solidFill>
          </w14:textFill>
        </w:rPr>
      </w:pPr>
      <w:r>
        <w:rPr>
          <w:rFonts w:hint="eastAsia" w:cs="宋体"/>
          <w:color w:val="000000" w:themeColor="text1"/>
          <w:spacing w:val="6"/>
          <w:sz w:val="24"/>
          <w:highlight w:val="none"/>
          <w:lang w:bidi="ar-SA"/>
          <w14:textFill>
            <w14:solidFill>
              <w14:schemeClr w14:val="tx1"/>
            </w14:solidFill>
          </w14:textFill>
        </w:rPr>
        <w:t>本公司（联合体）郑重声明，根据《政府采购促进中小企业发展管理办法》（财库﹝2020﹞46 号）的规定，本公司（联合体）参加（</w:t>
      </w:r>
      <w:r>
        <w:rPr>
          <w:rFonts w:hint="eastAsia" w:cs="宋体"/>
          <w:color w:val="000000" w:themeColor="text1"/>
          <w:spacing w:val="6"/>
          <w:sz w:val="24"/>
          <w:highlight w:val="none"/>
          <w:u w:val="single"/>
          <w:lang w:bidi="ar-SA"/>
          <w14:textFill>
            <w14:solidFill>
              <w14:schemeClr w14:val="tx1"/>
            </w14:solidFill>
          </w14:textFill>
        </w:rPr>
        <w:t>单位名称</w:t>
      </w:r>
      <w:r>
        <w:rPr>
          <w:rFonts w:hint="eastAsia" w:cs="宋体"/>
          <w:color w:val="000000" w:themeColor="text1"/>
          <w:spacing w:val="6"/>
          <w:sz w:val="24"/>
          <w:highlight w:val="none"/>
          <w:lang w:bidi="ar-SA"/>
          <w14:textFill>
            <w14:solidFill>
              <w14:schemeClr w14:val="tx1"/>
            </w14:solidFill>
          </w14:textFill>
        </w:rPr>
        <w:t>）的（</w:t>
      </w:r>
      <w:r>
        <w:rPr>
          <w:rFonts w:hint="eastAsia" w:cs="宋体"/>
          <w:color w:val="000000" w:themeColor="text1"/>
          <w:spacing w:val="6"/>
          <w:sz w:val="24"/>
          <w:highlight w:val="none"/>
          <w:u w:val="single"/>
          <w:lang w:bidi="ar-SA"/>
          <w14:textFill>
            <w14:solidFill>
              <w14:schemeClr w14:val="tx1"/>
            </w14:solidFill>
          </w14:textFill>
        </w:rPr>
        <w:t>项目名称</w:t>
      </w:r>
      <w:r>
        <w:rPr>
          <w:rFonts w:hint="eastAsia" w:cs="宋体"/>
          <w:color w:val="000000" w:themeColor="text1"/>
          <w:spacing w:val="6"/>
          <w:sz w:val="24"/>
          <w:highlight w:val="none"/>
          <w:lang w:bidi="ar-SA"/>
          <w14:textFill>
            <w14:solidFill>
              <w14:schemeClr w14:val="tx1"/>
            </w14:solidFill>
          </w14:textFill>
        </w:rPr>
        <w:t>）采购活动，工程的施工单位全部为符合政策要求的中小企业。相关企业（含联合体中的中小企业、签订分包意向协议的中小企业）的具体情况如下：</w:t>
      </w:r>
    </w:p>
    <w:p w14:paraId="66D39BA6">
      <w:pPr>
        <w:pStyle w:val="12"/>
        <w:numPr>
          <w:ilvl w:val="0"/>
          <w:numId w:val="8"/>
        </w:numPr>
        <w:spacing w:line="320" w:lineRule="exact"/>
        <w:ind w:left="0" w:firstLine="504" w:firstLineChars="200"/>
        <w:rPr>
          <w:rFonts w:hint="eastAsia" w:cs="宋体"/>
          <w:color w:val="000000" w:themeColor="text1"/>
          <w:spacing w:val="6"/>
          <w:sz w:val="24"/>
          <w:highlight w:val="none"/>
          <w:lang w:bidi="ar-SA"/>
          <w14:textFill>
            <w14:solidFill>
              <w14:schemeClr w14:val="tx1"/>
            </w14:solidFill>
          </w14:textFill>
        </w:rPr>
      </w:pPr>
      <w:r>
        <w:rPr>
          <w:rFonts w:hint="eastAsia" w:cs="宋体"/>
          <w:color w:val="000000" w:themeColor="text1"/>
          <w:spacing w:val="6"/>
          <w:sz w:val="24"/>
          <w:highlight w:val="none"/>
          <w:u w:val="single"/>
          <w:lang w:bidi="ar-SA"/>
          <w14:textFill>
            <w14:solidFill>
              <w14:schemeClr w14:val="tx1"/>
            </w14:solidFill>
          </w14:textFill>
        </w:rPr>
        <w:t xml:space="preserve">（标的名称） </w:t>
      </w:r>
      <w:r>
        <w:rPr>
          <w:rFonts w:hint="eastAsia" w:cs="宋体"/>
          <w:color w:val="000000" w:themeColor="text1"/>
          <w:spacing w:val="6"/>
          <w:sz w:val="24"/>
          <w:highlight w:val="none"/>
          <w:lang w:bidi="ar-SA"/>
          <w14:textFill>
            <w14:solidFill>
              <w14:schemeClr w14:val="tx1"/>
            </w14:solidFill>
          </w14:textFill>
        </w:rPr>
        <w:t>，属于</w:t>
      </w:r>
      <w:r>
        <w:rPr>
          <w:rFonts w:hint="eastAsia"/>
          <w:color w:val="000000" w:themeColor="text1"/>
          <w:kern w:val="0"/>
          <w:sz w:val="24"/>
          <w:highlight w:val="none"/>
          <w:u w:val="single"/>
          <w14:textFill>
            <w14:solidFill>
              <w14:schemeClr w14:val="tx1"/>
            </w14:solidFill>
          </w14:textFill>
        </w:rPr>
        <w:t>（采购文件中明确的所属于行业）</w:t>
      </w:r>
      <w:r>
        <w:rPr>
          <w:rFonts w:hint="eastAsia" w:cs="宋体"/>
          <w:color w:val="000000" w:themeColor="text1"/>
          <w:spacing w:val="6"/>
          <w:sz w:val="24"/>
          <w:highlight w:val="none"/>
          <w:lang w:bidi="ar-SA"/>
          <w14:textFill>
            <w14:solidFill>
              <w14:schemeClr w14:val="tx1"/>
            </w14:solidFill>
          </w14:textFill>
        </w:rPr>
        <w:t>； 承建（承接）企业为（</w:t>
      </w:r>
      <w:r>
        <w:rPr>
          <w:rFonts w:hint="eastAsia" w:cs="宋体"/>
          <w:color w:val="000000" w:themeColor="text1"/>
          <w:spacing w:val="6"/>
          <w:sz w:val="24"/>
          <w:highlight w:val="none"/>
          <w:u w:val="single"/>
          <w:lang w:bidi="ar-SA"/>
          <w14:textFill>
            <w14:solidFill>
              <w14:schemeClr w14:val="tx1"/>
            </w14:solidFill>
          </w14:textFill>
        </w:rPr>
        <w:t>企业名称</w:t>
      </w:r>
      <w:r>
        <w:rPr>
          <w:rFonts w:hint="eastAsia" w:cs="宋体"/>
          <w:color w:val="000000" w:themeColor="text1"/>
          <w:spacing w:val="6"/>
          <w:sz w:val="24"/>
          <w:highlight w:val="none"/>
          <w:lang w:bidi="ar-SA"/>
          <w14:textFill>
            <w14:solidFill>
              <w14:schemeClr w14:val="tx1"/>
            </w14:solidFill>
          </w14:textFill>
        </w:rPr>
        <w:t>），从业人员</w:t>
      </w:r>
      <w:r>
        <w:rPr>
          <w:rFonts w:hint="eastAsia" w:cs="宋体"/>
          <w:color w:val="000000" w:themeColor="text1"/>
          <w:spacing w:val="6"/>
          <w:sz w:val="24"/>
          <w:highlight w:val="none"/>
          <w:u w:val="single"/>
          <w:lang w:bidi="ar-SA"/>
          <w14:textFill>
            <w14:solidFill>
              <w14:schemeClr w14:val="tx1"/>
            </w14:solidFill>
          </w14:textFill>
        </w:rPr>
        <w:t xml:space="preserve">   </w:t>
      </w:r>
      <w:r>
        <w:rPr>
          <w:rFonts w:hint="eastAsia" w:cs="宋体"/>
          <w:color w:val="000000" w:themeColor="text1"/>
          <w:spacing w:val="6"/>
          <w:sz w:val="24"/>
          <w:highlight w:val="none"/>
          <w:lang w:bidi="ar-SA"/>
          <w14:textFill>
            <w14:solidFill>
              <w14:schemeClr w14:val="tx1"/>
            </w14:solidFill>
          </w14:textFill>
        </w:rPr>
        <w:t>人，营业收入为</w:t>
      </w:r>
      <w:r>
        <w:rPr>
          <w:rFonts w:hint="eastAsia" w:cs="宋体"/>
          <w:color w:val="000000" w:themeColor="text1"/>
          <w:spacing w:val="6"/>
          <w:sz w:val="24"/>
          <w:highlight w:val="none"/>
          <w:u w:val="single"/>
          <w:lang w:bidi="ar-SA"/>
          <w14:textFill>
            <w14:solidFill>
              <w14:schemeClr w14:val="tx1"/>
            </w14:solidFill>
          </w14:textFill>
        </w:rPr>
        <w:t xml:space="preserve">  </w:t>
      </w:r>
      <w:r>
        <w:rPr>
          <w:rFonts w:hint="eastAsia" w:cs="宋体"/>
          <w:color w:val="000000" w:themeColor="text1"/>
          <w:spacing w:val="6"/>
          <w:sz w:val="24"/>
          <w:highlight w:val="none"/>
          <w:lang w:bidi="ar-SA"/>
          <w14:textFill>
            <w14:solidFill>
              <w14:schemeClr w14:val="tx1"/>
            </w14:solidFill>
          </w14:textFill>
        </w:rPr>
        <w:t>万元，资产总额为</w:t>
      </w:r>
      <w:r>
        <w:rPr>
          <w:rFonts w:hint="eastAsia" w:cs="宋体"/>
          <w:color w:val="000000" w:themeColor="text1"/>
          <w:spacing w:val="6"/>
          <w:sz w:val="24"/>
          <w:highlight w:val="none"/>
          <w:u w:val="single"/>
          <w:lang w:bidi="ar-SA"/>
          <w14:textFill>
            <w14:solidFill>
              <w14:schemeClr w14:val="tx1"/>
            </w14:solidFill>
          </w14:textFill>
        </w:rPr>
        <w:t xml:space="preserve">   </w:t>
      </w:r>
      <w:r>
        <w:rPr>
          <w:rFonts w:hint="eastAsia" w:cs="宋体"/>
          <w:color w:val="000000" w:themeColor="text1"/>
          <w:spacing w:val="6"/>
          <w:sz w:val="24"/>
          <w:highlight w:val="none"/>
          <w:lang w:bidi="ar-SA"/>
          <w14:textFill>
            <w14:solidFill>
              <w14:schemeClr w14:val="tx1"/>
            </w14:solidFill>
          </w14:textFill>
        </w:rPr>
        <w:t>万元，属于（</w:t>
      </w:r>
      <w:r>
        <w:rPr>
          <w:rFonts w:hint="eastAsia" w:cs="宋体"/>
          <w:color w:val="000000" w:themeColor="text1"/>
          <w:spacing w:val="6"/>
          <w:sz w:val="24"/>
          <w:highlight w:val="none"/>
          <w:u w:val="single"/>
          <w:lang w:bidi="ar-SA"/>
          <w14:textFill>
            <w14:solidFill>
              <w14:schemeClr w14:val="tx1"/>
            </w14:solidFill>
          </w14:textFill>
        </w:rPr>
        <w:t>中型企业、 小型企业、微型企业</w:t>
      </w:r>
      <w:r>
        <w:rPr>
          <w:rFonts w:hint="eastAsia" w:cs="宋体"/>
          <w:color w:val="000000" w:themeColor="text1"/>
          <w:spacing w:val="6"/>
          <w:sz w:val="24"/>
          <w:highlight w:val="none"/>
          <w:lang w:bidi="ar-SA"/>
          <w14:textFill>
            <w14:solidFill>
              <w14:schemeClr w14:val="tx1"/>
            </w14:solidFill>
          </w14:textFill>
        </w:rPr>
        <w:t>）</w:t>
      </w:r>
    </w:p>
    <w:p w14:paraId="332B77FD">
      <w:pPr>
        <w:pStyle w:val="12"/>
        <w:spacing w:line="320" w:lineRule="exact"/>
        <w:ind w:firstLine="504" w:firstLineChars="200"/>
        <w:rPr>
          <w:rFonts w:hint="eastAsia" w:cs="宋体"/>
          <w:color w:val="000000" w:themeColor="text1"/>
          <w:spacing w:val="6"/>
          <w:sz w:val="24"/>
          <w:highlight w:val="none"/>
          <w:lang w:bidi="ar-SA"/>
          <w14:textFill>
            <w14:solidFill>
              <w14:schemeClr w14:val="tx1"/>
            </w14:solidFill>
          </w14:textFill>
        </w:rPr>
      </w:pPr>
      <w:r>
        <w:rPr>
          <w:rFonts w:hint="eastAsia" w:cs="宋体"/>
          <w:color w:val="000000" w:themeColor="text1"/>
          <w:spacing w:val="6"/>
          <w:sz w:val="24"/>
          <w:highlight w:val="none"/>
          <w:lang w:bidi="ar-SA"/>
          <w14:textFill>
            <w14:solidFill>
              <w14:schemeClr w14:val="tx1"/>
            </w14:solidFill>
          </w14:textFill>
        </w:rPr>
        <w:t>2.</w:t>
      </w:r>
      <w:r>
        <w:rPr>
          <w:rFonts w:hint="eastAsia" w:cs="宋体"/>
          <w:color w:val="000000" w:themeColor="text1"/>
          <w:spacing w:val="6"/>
          <w:sz w:val="24"/>
          <w:highlight w:val="none"/>
          <w:u w:val="single"/>
          <w:lang w:bidi="ar-SA"/>
          <w14:textFill>
            <w14:solidFill>
              <w14:schemeClr w14:val="tx1"/>
            </w14:solidFill>
          </w14:textFill>
        </w:rPr>
        <w:t xml:space="preserve">（标的名称） </w:t>
      </w:r>
      <w:r>
        <w:rPr>
          <w:rFonts w:hint="eastAsia" w:cs="宋体"/>
          <w:color w:val="000000" w:themeColor="text1"/>
          <w:spacing w:val="6"/>
          <w:sz w:val="24"/>
          <w:highlight w:val="none"/>
          <w:lang w:bidi="ar-SA"/>
          <w14:textFill>
            <w14:solidFill>
              <w14:schemeClr w14:val="tx1"/>
            </w14:solidFill>
          </w14:textFill>
        </w:rPr>
        <w:t>，属于</w:t>
      </w:r>
      <w:r>
        <w:rPr>
          <w:rFonts w:hint="eastAsia"/>
          <w:color w:val="000000" w:themeColor="text1"/>
          <w:kern w:val="0"/>
          <w:sz w:val="24"/>
          <w:highlight w:val="none"/>
          <w:u w:val="single"/>
          <w14:textFill>
            <w14:solidFill>
              <w14:schemeClr w14:val="tx1"/>
            </w14:solidFill>
          </w14:textFill>
        </w:rPr>
        <w:t>（采购文件中明确的所属于行业）</w:t>
      </w:r>
      <w:r>
        <w:rPr>
          <w:rFonts w:hint="eastAsia" w:cs="宋体"/>
          <w:color w:val="000000" w:themeColor="text1"/>
          <w:spacing w:val="6"/>
          <w:sz w:val="24"/>
          <w:highlight w:val="none"/>
          <w:lang w:bidi="ar-SA"/>
          <w14:textFill>
            <w14:solidFill>
              <w14:schemeClr w14:val="tx1"/>
            </w14:solidFill>
          </w14:textFill>
        </w:rPr>
        <w:t>； 承建（承接）企业为（</w:t>
      </w:r>
      <w:r>
        <w:rPr>
          <w:rFonts w:hint="eastAsia" w:cs="宋体"/>
          <w:color w:val="000000" w:themeColor="text1"/>
          <w:spacing w:val="6"/>
          <w:sz w:val="24"/>
          <w:highlight w:val="none"/>
          <w:u w:val="single"/>
          <w:lang w:bidi="ar-SA"/>
          <w14:textFill>
            <w14:solidFill>
              <w14:schemeClr w14:val="tx1"/>
            </w14:solidFill>
          </w14:textFill>
        </w:rPr>
        <w:t>企业名称</w:t>
      </w:r>
      <w:r>
        <w:rPr>
          <w:rFonts w:hint="eastAsia" w:cs="宋体"/>
          <w:color w:val="000000" w:themeColor="text1"/>
          <w:spacing w:val="6"/>
          <w:sz w:val="24"/>
          <w:highlight w:val="none"/>
          <w:lang w:bidi="ar-SA"/>
          <w14:textFill>
            <w14:solidFill>
              <w14:schemeClr w14:val="tx1"/>
            </w14:solidFill>
          </w14:textFill>
        </w:rPr>
        <w:t>），从业人员</w:t>
      </w:r>
      <w:r>
        <w:rPr>
          <w:rFonts w:hint="eastAsia" w:cs="宋体"/>
          <w:color w:val="000000" w:themeColor="text1"/>
          <w:spacing w:val="6"/>
          <w:sz w:val="24"/>
          <w:highlight w:val="none"/>
          <w:u w:val="single"/>
          <w:lang w:bidi="ar-SA"/>
          <w14:textFill>
            <w14:solidFill>
              <w14:schemeClr w14:val="tx1"/>
            </w14:solidFill>
          </w14:textFill>
        </w:rPr>
        <w:t xml:space="preserve">   </w:t>
      </w:r>
      <w:r>
        <w:rPr>
          <w:rFonts w:hint="eastAsia" w:cs="宋体"/>
          <w:color w:val="000000" w:themeColor="text1"/>
          <w:spacing w:val="6"/>
          <w:sz w:val="24"/>
          <w:highlight w:val="none"/>
          <w:lang w:bidi="ar-SA"/>
          <w14:textFill>
            <w14:solidFill>
              <w14:schemeClr w14:val="tx1"/>
            </w14:solidFill>
          </w14:textFill>
        </w:rPr>
        <w:t>人，营业收入为</w:t>
      </w:r>
      <w:r>
        <w:rPr>
          <w:rFonts w:hint="eastAsia" w:cs="宋体"/>
          <w:color w:val="000000" w:themeColor="text1"/>
          <w:spacing w:val="6"/>
          <w:sz w:val="24"/>
          <w:highlight w:val="none"/>
          <w:u w:val="single"/>
          <w:lang w:bidi="ar-SA"/>
          <w14:textFill>
            <w14:solidFill>
              <w14:schemeClr w14:val="tx1"/>
            </w14:solidFill>
          </w14:textFill>
        </w:rPr>
        <w:t xml:space="preserve">  </w:t>
      </w:r>
      <w:r>
        <w:rPr>
          <w:rFonts w:hint="eastAsia" w:cs="宋体"/>
          <w:color w:val="000000" w:themeColor="text1"/>
          <w:spacing w:val="6"/>
          <w:sz w:val="24"/>
          <w:highlight w:val="none"/>
          <w:lang w:bidi="ar-SA"/>
          <w14:textFill>
            <w14:solidFill>
              <w14:schemeClr w14:val="tx1"/>
            </w14:solidFill>
          </w14:textFill>
        </w:rPr>
        <w:t>万元，资产总额为</w:t>
      </w:r>
      <w:r>
        <w:rPr>
          <w:rFonts w:hint="eastAsia" w:cs="宋体"/>
          <w:color w:val="000000" w:themeColor="text1"/>
          <w:spacing w:val="6"/>
          <w:sz w:val="24"/>
          <w:highlight w:val="none"/>
          <w:u w:val="single"/>
          <w:lang w:bidi="ar-SA"/>
          <w14:textFill>
            <w14:solidFill>
              <w14:schemeClr w14:val="tx1"/>
            </w14:solidFill>
          </w14:textFill>
        </w:rPr>
        <w:t xml:space="preserve">   </w:t>
      </w:r>
      <w:r>
        <w:rPr>
          <w:rFonts w:hint="eastAsia" w:cs="宋体"/>
          <w:color w:val="000000" w:themeColor="text1"/>
          <w:spacing w:val="6"/>
          <w:sz w:val="24"/>
          <w:highlight w:val="none"/>
          <w:lang w:bidi="ar-SA"/>
          <w14:textFill>
            <w14:solidFill>
              <w14:schemeClr w14:val="tx1"/>
            </w14:solidFill>
          </w14:textFill>
        </w:rPr>
        <w:t>万元，属于（</w:t>
      </w:r>
      <w:r>
        <w:rPr>
          <w:rFonts w:hint="eastAsia" w:cs="宋体"/>
          <w:color w:val="000000" w:themeColor="text1"/>
          <w:spacing w:val="6"/>
          <w:sz w:val="24"/>
          <w:highlight w:val="none"/>
          <w:u w:val="single"/>
          <w:lang w:bidi="ar-SA"/>
          <w14:textFill>
            <w14:solidFill>
              <w14:schemeClr w14:val="tx1"/>
            </w14:solidFill>
          </w14:textFill>
        </w:rPr>
        <w:t>中型企业、 小型企业、微型企业</w:t>
      </w:r>
      <w:r>
        <w:rPr>
          <w:rFonts w:hint="eastAsia" w:cs="宋体"/>
          <w:color w:val="000000" w:themeColor="text1"/>
          <w:spacing w:val="6"/>
          <w:sz w:val="24"/>
          <w:highlight w:val="none"/>
          <w:lang w:bidi="ar-SA"/>
          <w14:textFill>
            <w14:solidFill>
              <w14:schemeClr w14:val="tx1"/>
            </w14:solidFill>
          </w14:textFill>
        </w:rPr>
        <w:t>）</w:t>
      </w:r>
    </w:p>
    <w:p w14:paraId="52C9E6BF">
      <w:pPr>
        <w:widowControl/>
        <w:shd w:val="clear" w:color="auto" w:fill="FFFFFF"/>
        <w:spacing w:after="240" w:line="320" w:lineRule="exact"/>
        <w:ind w:firstLine="480"/>
        <w:jc w:val="left"/>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w:t>
      </w:r>
    </w:p>
    <w:p w14:paraId="2CDBB99C">
      <w:pPr>
        <w:widowControl/>
        <w:shd w:val="clear" w:color="auto" w:fill="FFFFFF"/>
        <w:spacing w:after="240" w:line="320" w:lineRule="exact"/>
        <w:ind w:firstLine="480"/>
        <w:jc w:val="left"/>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以上企业，不属于大企业的分支机构，不存在控股股东为大企业的情形，也不存在与大企业的负责人为同一人的情况。</w:t>
      </w:r>
    </w:p>
    <w:p w14:paraId="63894BCA">
      <w:pPr>
        <w:widowControl/>
        <w:shd w:val="clear" w:color="auto" w:fill="FFFFFF"/>
        <w:spacing w:after="240" w:line="320" w:lineRule="exact"/>
        <w:ind w:firstLine="480"/>
        <w:jc w:val="left"/>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本企业对上述声明内容的真实性负责。如有虚假，将依法承担相应责任。 　　　　　　　　　　　</w:t>
      </w:r>
    </w:p>
    <w:p w14:paraId="7C6575FA">
      <w:pPr>
        <w:widowControl/>
        <w:shd w:val="clear" w:color="auto" w:fill="FFFFFF"/>
        <w:spacing w:after="240" w:line="320" w:lineRule="exact"/>
        <w:ind w:firstLine="3960" w:firstLineChars="1650"/>
        <w:jc w:val="left"/>
        <w:rPr>
          <w:rFonts w:hint="eastAsia" w:ascii="宋体"/>
          <w:color w:val="000000" w:themeColor="text1"/>
          <w:kern w:val="0"/>
          <w:sz w:val="24"/>
          <w:highlight w:val="none"/>
          <w14:textFill>
            <w14:solidFill>
              <w14:schemeClr w14:val="tx1"/>
            </w14:solidFill>
          </w14:textFill>
        </w:rPr>
      </w:pPr>
    </w:p>
    <w:p w14:paraId="5A442E71">
      <w:pPr>
        <w:widowControl/>
        <w:shd w:val="clear" w:color="auto" w:fill="FFFFFF"/>
        <w:spacing w:after="240" w:line="320" w:lineRule="exact"/>
        <w:ind w:firstLine="3960" w:firstLineChars="1650"/>
        <w:jc w:val="left"/>
        <w:rPr>
          <w:rFonts w:hint="eastAsia" w:ascii="宋体"/>
          <w:color w:val="000000" w:themeColor="text1"/>
          <w:kern w:val="0"/>
          <w:sz w:val="24"/>
          <w:highlight w:val="none"/>
          <w:u w:val="singl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企业名称（加盖供应商CA证书签章）：</w:t>
      </w:r>
      <w:r>
        <w:rPr>
          <w:rFonts w:hint="eastAsia" w:ascii="宋体"/>
          <w:color w:val="000000" w:themeColor="text1"/>
          <w:kern w:val="0"/>
          <w:sz w:val="24"/>
          <w:highlight w:val="none"/>
          <w:u w:val="single"/>
          <w14:textFill>
            <w14:solidFill>
              <w14:schemeClr w14:val="tx1"/>
            </w14:solidFill>
          </w14:textFill>
        </w:rPr>
        <w:t xml:space="preserve">             </w:t>
      </w:r>
    </w:p>
    <w:p w14:paraId="7AC8ED21">
      <w:pPr>
        <w:pStyle w:val="12"/>
        <w:spacing w:line="320" w:lineRule="exact"/>
        <w:rPr>
          <w:rFonts w:hint="eastAsia"/>
          <w:b/>
          <w:color w:val="000000" w:themeColor="text1"/>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　　　　　　　　　　　　　　　　　　　　　 日期：</w:t>
      </w:r>
      <w:r>
        <w:rPr>
          <w:rFonts w:hint="eastAsia"/>
          <w:color w:val="000000" w:themeColor="text1"/>
          <w:kern w:val="0"/>
          <w:sz w:val="24"/>
          <w:szCs w:val="24"/>
          <w:highlight w:val="none"/>
          <w:u w:val="single"/>
          <w14:textFill>
            <w14:solidFill>
              <w14:schemeClr w14:val="tx1"/>
            </w14:solidFill>
          </w14:textFill>
        </w:rPr>
        <w:t xml:space="preserve">          </w:t>
      </w:r>
    </w:p>
    <w:p w14:paraId="3BF1F346">
      <w:pPr>
        <w:pStyle w:val="12"/>
        <w:spacing w:line="320" w:lineRule="exact"/>
        <w:rPr>
          <w:rFonts w:hint="eastAsia" w:cs="宋体"/>
          <w:b/>
          <w:color w:val="000000" w:themeColor="text1"/>
          <w:kern w:val="0"/>
          <w:highlight w:val="none"/>
          <w:lang w:bidi="ar-SA"/>
          <w14:textFill>
            <w14:solidFill>
              <w14:schemeClr w14:val="tx1"/>
            </w14:solidFill>
          </w14:textFill>
        </w:rPr>
      </w:pPr>
    </w:p>
    <w:p w14:paraId="5D4F8E7F">
      <w:pPr>
        <w:pStyle w:val="12"/>
        <w:spacing w:line="320" w:lineRule="exact"/>
        <w:rPr>
          <w:rFonts w:hint="eastAsia" w:cs="宋体"/>
          <w:b/>
          <w:color w:val="000000" w:themeColor="text1"/>
          <w:kern w:val="0"/>
          <w:highlight w:val="none"/>
          <w:lang w:bidi="ar-SA"/>
          <w14:textFill>
            <w14:solidFill>
              <w14:schemeClr w14:val="tx1"/>
            </w14:solidFill>
          </w14:textFill>
        </w:rPr>
      </w:pPr>
      <w:r>
        <w:rPr>
          <w:rFonts w:hint="eastAsia" w:cs="宋体"/>
          <w:b/>
          <w:color w:val="000000" w:themeColor="text1"/>
          <w:kern w:val="0"/>
          <w:highlight w:val="none"/>
          <w:lang w:bidi="ar-SA"/>
          <w14:textFill>
            <w14:solidFill>
              <w14:schemeClr w14:val="tx1"/>
            </w14:solidFill>
          </w14:textFill>
        </w:rPr>
        <w:t>注：</w:t>
      </w:r>
      <w:r>
        <w:rPr>
          <w:rFonts w:hint="eastAsia"/>
          <w:b/>
          <w:color w:val="000000" w:themeColor="text1"/>
          <w:highlight w:val="none"/>
          <w14:textFill>
            <w14:solidFill>
              <w14:schemeClr w14:val="tx1"/>
            </w14:solidFill>
          </w14:textFill>
        </w:rPr>
        <w:t>①</w:t>
      </w:r>
      <w:r>
        <w:rPr>
          <w:rFonts w:hint="eastAsia" w:cs="宋体"/>
          <w:b/>
          <w:color w:val="000000" w:themeColor="text1"/>
          <w:kern w:val="0"/>
          <w:highlight w:val="none"/>
          <w:lang w:bidi="ar-SA"/>
          <w14:textFill>
            <w14:solidFill>
              <w14:schemeClr w14:val="tx1"/>
            </w14:solidFill>
          </w14:textFill>
        </w:rPr>
        <w:t>从业人员、营业收入、资产总额填报上一年度数据，无上一年度数据的新成立企业可不填报。</w:t>
      </w:r>
    </w:p>
    <w:p w14:paraId="79CB5DF3">
      <w:pPr>
        <w:pStyle w:val="12"/>
        <w:spacing w:line="320" w:lineRule="exact"/>
        <w:rPr>
          <w:rFonts w:hint="eastAsia" w:cs="宋体"/>
          <w:b/>
          <w:color w:val="000000" w:themeColor="text1"/>
          <w:kern w:val="0"/>
          <w:highlight w:val="none"/>
          <w:lang w:bidi="ar-SA"/>
          <w14:textFill>
            <w14:solidFill>
              <w14:schemeClr w14:val="tx1"/>
            </w14:solidFill>
          </w14:textFill>
        </w:rPr>
      </w:pPr>
      <w:r>
        <w:rPr>
          <w:rFonts w:hint="eastAsia" w:cs="宋体"/>
          <w:b/>
          <w:color w:val="000000" w:themeColor="text1"/>
          <w:kern w:val="0"/>
          <w:highlight w:val="none"/>
          <w:lang w:bidi="ar-SA"/>
          <w14:textFill>
            <w14:solidFill>
              <w14:schemeClr w14:val="tx1"/>
            </w14:solidFill>
          </w14:textFill>
        </w:rPr>
        <w:t>②所属行业依照《中小企业划型标准规定》（工信部联企业〔2011〕300号）及《国民经济行业分类》（GB/T4754-2017）的有关规定执行，本工程在《统计上大中小微型企业划分标准》中所属行业均为</w:t>
      </w:r>
      <w:r>
        <w:rPr>
          <w:rFonts w:hint="eastAsia" w:cs="宋体"/>
          <w:b/>
          <w:color w:val="000000" w:themeColor="text1"/>
          <w:kern w:val="0"/>
          <w:highlight w:val="none"/>
          <w:u w:val="single"/>
          <w:lang w:bidi="ar-SA"/>
          <w14:textFill>
            <w14:solidFill>
              <w14:schemeClr w14:val="tx1"/>
            </w14:solidFill>
          </w14:textFill>
        </w:rPr>
        <w:t>建筑业。</w:t>
      </w:r>
    </w:p>
    <w:p w14:paraId="78EE79F6">
      <w:pPr>
        <w:pStyle w:val="12"/>
        <w:spacing w:line="360" w:lineRule="auto"/>
        <w:rPr>
          <w:rFonts w:hint="eastAsia" w:cs="宋体"/>
          <w:b/>
          <w:color w:val="000000" w:themeColor="text1"/>
          <w:kern w:val="0"/>
          <w:highlight w:val="none"/>
          <w:lang w:bidi="ar-SA"/>
          <w14:textFill>
            <w14:solidFill>
              <w14:schemeClr w14:val="tx1"/>
            </w14:solidFill>
          </w14:textFill>
        </w:rPr>
      </w:pPr>
    </w:p>
    <w:p w14:paraId="60D09328">
      <w:pPr>
        <w:pStyle w:val="12"/>
        <w:spacing w:line="360" w:lineRule="auto"/>
        <w:rPr>
          <w:rFonts w:hint="eastAsia" w:cs="宋体"/>
          <w:b/>
          <w:color w:val="000000" w:themeColor="text1"/>
          <w:kern w:val="0"/>
          <w:highlight w:val="none"/>
          <w:lang w:bidi="ar-SA"/>
          <w14:textFill>
            <w14:solidFill>
              <w14:schemeClr w14:val="tx1"/>
            </w14:solidFill>
          </w14:textFill>
        </w:rPr>
      </w:pPr>
    </w:p>
    <w:p w14:paraId="3DC69F50">
      <w:pPr>
        <w:pStyle w:val="12"/>
        <w:adjustRightInd w:val="0"/>
        <w:spacing w:line="390" w:lineRule="exact"/>
        <w:contextualSpacing/>
        <w:rPr>
          <w:rFonts w:cs="宋体"/>
          <w:b/>
          <w:bCs/>
          <w:color w:val="000000" w:themeColor="text1"/>
          <w:highlight w:val="none"/>
          <w:lang w:bidi="ar-SA"/>
          <w14:textFill>
            <w14:solidFill>
              <w14:schemeClr w14:val="tx1"/>
            </w14:solidFill>
          </w14:textFill>
        </w:rPr>
      </w:pPr>
      <w:r>
        <w:rPr>
          <w:rFonts w:hint="eastAsia"/>
          <w:b/>
          <w:bCs/>
          <w:color w:val="000000" w:themeColor="text1"/>
          <w:highlight w:val="none"/>
          <w14:textFill>
            <w14:solidFill>
              <w14:schemeClr w14:val="tx1"/>
            </w14:solidFill>
          </w14:textFill>
        </w:rPr>
        <w:t>附表</w:t>
      </w:r>
    </w:p>
    <w:p w14:paraId="64B31C8E">
      <w:pPr>
        <w:widowControl/>
        <w:spacing w:before="156" w:after="156" w:line="400" w:lineRule="exact"/>
        <w:jc w:val="center"/>
        <w:rPr>
          <w:rFonts w:hint="eastAsia" w:ascii="宋体" w:cs="宋体"/>
          <w:b/>
          <w:bCs/>
          <w:color w:val="000000" w:themeColor="text1"/>
          <w:kern w:val="0"/>
          <w:sz w:val="30"/>
          <w:szCs w:val="30"/>
          <w:highlight w:val="none"/>
          <w:lang w:bidi="ar-SA"/>
          <w14:textFill>
            <w14:solidFill>
              <w14:schemeClr w14:val="tx1"/>
            </w14:solidFill>
          </w14:textFill>
        </w:rPr>
      </w:pPr>
      <w:r>
        <w:rPr>
          <w:rFonts w:hint="eastAsia" w:ascii="宋体" w:cs="宋体"/>
          <w:b/>
          <w:bCs/>
          <w:color w:val="000000" w:themeColor="text1"/>
          <w:kern w:val="0"/>
          <w:sz w:val="30"/>
          <w:szCs w:val="30"/>
          <w:highlight w:val="none"/>
          <w:lang w:bidi="ar-SA"/>
          <w14:textFill>
            <w14:solidFill>
              <w14:schemeClr w14:val="tx1"/>
            </w14:solidFill>
          </w14:textFill>
        </w:rPr>
        <w:t>统计上大中小微型企业划分标准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451"/>
        <w:gridCol w:w="750"/>
        <w:gridCol w:w="1191"/>
        <w:gridCol w:w="1803"/>
        <w:gridCol w:w="1511"/>
        <w:gridCol w:w="1049"/>
      </w:tblGrid>
      <w:tr w14:paraId="73268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1847" w:type="dxa"/>
            <w:shd w:val="clear" w:color="auto" w:fill="8DB3E2"/>
            <w:noWrap w:val="0"/>
            <w:vAlign w:val="center"/>
          </w:tcPr>
          <w:p w14:paraId="3832BBF9">
            <w:pPr>
              <w:widowControl/>
              <w:spacing w:line="240" w:lineRule="exact"/>
              <w:jc w:val="center"/>
              <w:rPr>
                <w:rFonts w:hint="eastAsia" w:ascii="宋体" w:cs="宋体"/>
                <w:b/>
                <w:bCs/>
                <w:color w:val="000000" w:themeColor="text1"/>
                <w:kern w:val="0"/>
                <w:sz w:val="18"/>
                <w:szCs w:val="21"/>
                <w:highlight w:val="none"/>
                <w:lang w:bidi="ar-SA"/>
                <w14:textFill>
                  <w14:solidFill>
                    <w14:schemeClr w14:val="tx1"/>
                  </w14:solidFill>
                </w14:textFill>
              </w:rPr>
            </w:pPr>
            <w:r>
              <w:rPr>
                <w:rFonts w:hint="eastAsia" w:ascii="宋体" w:cs="宋体"/>
                <w:b/>
                <w:bCs/>
                <w:color w:val="000000" w:themeColor="text1"/>
                <w:kern w:val="0"/>
                <w:sz w:val="18"/>
                <w:szCs w:val="21"/>
                <w:highlight w:val="none"/>
                <w:lang w:bidi="ar-SA"/>
                <w14:textFill>
                  <w14:solidFill>
                    <w14:schemeClr w14:val="tx1"/>
                  </w14:solidFill>
                </w14:textFill>
              </w:rPr>
              <w:t>行业名称</w:t>
            </w:r>
          </w:p>
        </w:tc>
        <w:tc>
          <w:tcPr>
            <w:tcW w:w="1451" w:type="dxa"/>
            <w:shd w:val="clear" w:color="auto" w:fill="8DB3E2"/>
            <w:noWrap w:val="0"/>
            <w:vAlign w:val="center"/>
          </w:tcPr>
          <w:p w14:paraId="5F5A9FF8">
            <w:pPr>
              <w:widowControl/>
              <w:jc w:val="center"/>
              <w:rPr>
                <w:rFonts w:hint="eastAsia" w:ascii="宋体" w:cs="宋体"/>
                <w:b/>
                <w:bCs/>
                <w:color w:val="000000" w:themeColor="text1"/>
                <w:kern w:val="0"/>
                <w:sz w:val="18"/>
                <w:szCs w:val="18"/>
                <w:highlight w:val="none"/>
                <w:lang w:bidi="ar-SA"/>
                <w14:textFill>
                  <w14:solidFill>
                    <w14:schemeClr w14:val="tx1"/>
                  </w14:solidFill>
                </w14:textFill>
              </w:rPr>
            </w:pPr>
            <w:r>
              <w:rPr>
                <w:rFonts w:hint="eastAsia" w:ascii="宋体" w:cs="宋体"/>
                <w:b/>
                <w:bCs/>
                <w:color w:val="000000" w:themeColor="text1"/>
                <w:kern w:val="0"/>
                <w:sz w:val="18"/>
                <w:szCs w:val="18"/>
                <w:highlight w:val="none"/>
                <w:lang w:bidi="ar-SA"/>
                <w14:textFill>
                  <w14:solidFill>
                    <w14:schemeClr w14:val="tx1"/>
                  </w14:solidFill>
                </w14:textFill>
              </w:rPr>
              <w:t>指标名称</w:t>
            </w:r>
          </w:p>
        </w:tc>
        <w:tc>
          <w:tcPr>
            <w:tcW w:w="750" w:type="dxa"/>
            <w:shd w:val="clear" w:color="auto" w:fill="8DB3E2"/>
            <w:noWrap w:val="0"/>
            <w:vAlign w:val="center"/>
          </w:tcPr>
          <w:p w14:paraId="32944A5B">
            <w:pPr>
              <w:widowControl/>
              <w:jc w:val="center"/>
              <w:rPr>
                <w:rFonts w:hint="eastAsia" w:ascii="宋体" w:cs="宋体"/>
                <w:b/>
                <w:bCs/>
                <w:color w:val="000000" w:themeColor="text1"/>
                <w:kern w:val="0"/>
                <w:sz w:val="18"/>
                <w:szCs w:val="18"/>
                <w:highlight w:val="none"/>
                <w:lang w:bidi="ar-SA"/>
                <w14:textFill>
                  <w14:solidFill>
                    <w14:schemeClr w14:val="tx1"/>
                  </w14:solidFill>
                </w14:textFill>
              </w:rPr>
            </w:pPr>
            <w:r>
              <w:rPr>
                <w:rFonts w:hint="eastAsia" w:ascii="宋体" w:cs="宋体"/>
                <w:b/>
                <w:bCs/>
                <w:color w:val="000000" w:themeColor="text1"/>
                <w:kern w:val="0"/>
                <w:sz w:val="18"/>
                <w:szCs w:val="18"/>
                <w:highlight w:val="none"/>
                <w:lang w:bidi="ar-SA"/>
                <w14:textFill>
                  <w14:solidFill>
                    <w14:schemeClr w14:val="tx1"/>
                  </w14:solidFill>
                </w14:textFill>
              </w:rPr>
              <w:t>计量</w:t>
            </w:r>
          </w:p>
          <w:p w14:paraId="72FE86CA">
            <w:pPr>
              <w:widowControl/>
              <w:jc w:val="center"/>
              <w:rPr>
                <w:rFonts w:hint="eastAsia" w:ascii="宋体" w:cs="宋体"/>
                <w:b/>
                <w:bCs/>
                <w:color w:val="000000" w:themeColor="text1"/>
                <w:kern w:val="0"/>
                <w:sz w:val="18"/>
                <w:szCs w:val="18"/>
                <w:highlight w:val="none"/>
                <w:lang w:bidi="ar-SA"/>
                <w14:textFill>
                  <w14:solidFill>
                    <w14:schemeClr w14:val="tx1"/>
                  </w14:solidFill>
                </w14:textFill>
              </w:rPr>
            </w:pPr>
            <w:r>
              <w:rPr>
                <w:rFonts w:hint="eastAsia" w:ascii="宋体" w:cs="宋体"/>
                <w:b/>
                <w:bCs/>
                <w:color w:val="000000" w:themeColor="text1"/>
                <w:kern w:val="0"/>
                <w:sz w:val="18"/>
                <w:szCs w:val="18"/>
                <w:highlight w:val="none"/>
                <w:lang w:bidi="ar-SA"/>
                <w14:textFill>
                  <w14:solidFill>
                    <w14:schemeClr w14:val="tx1"/>
                  </w14:solidFill>
                </w14:textFill>
              </w:rPr>
              <w:t>单位</w:t>
            </w:r>
          </w:p>
        </w:tc>
        <w:tc>
          <w:tcPr>
            <w:tcW w:w="1191" w:type="dxa"/>
            <w:shd w:val="clear" w:color="auto" w:fill="8DB3E2"/>
            <w:noWrap w:val="0"/>
            <w:vAlign w:val="center"/>
          </w:tcPr>
          <w:p w14:paraId="71C49727">
            <w:pPr>
              <w:widowControl/>
              <w:jc w:val="center"/>
              <w:rPr>
                <w:rFonts w:hint="eastAsia" w:ascii="宋体" w:cs="宋体"/>
                <w:b/>
                <w:bCs/>
                <w:color w:val="000000" w:themeColor="text1"/>
                <w:kern w:val="0"/>
                <w:sz w:val="18"/>
                <w:szCs w:val="18"/>
                <w:highlight w:val="none"/>
                <w:lang w:bidi="ar-SA"/>
                <w14:textFill>
                  <w14:solidFill>
                    <w14:schemeClr w14:val="tx1"/>
                  </w14:solidFill>
                </w14:textFill>
              </w:rPr>
            </w:pPr>
            <w:r>
              <w:rPr>
                <w:rFonts w:hint="eastAsia" w:ascii="宋体" w:cs="宋体"/>
                <w:b/>
                <w:bCs/>
                <w:color w:val="000000" w:themeColor="text1"/>
                <w:kern w:val="0"/>
                <w:sz w:val="18"/>
                <w:szCs w:val="18"/>
                <w:highlight w:val="none"/>
                <w:lang w:bidi="ar-SA"/>
                <w14:textFill>
                  <w14:solidFill>
                    <w14:schemeClr w14:val="tx1"/>
                  </w14:solidFill>
                </w14:textFill>
              </w:rPr>
              <w:t>大型</w:t>
            </w:r>
          </w:p>
        </w:tc>
        <w:tc>
          <w:tcPr>
            <w:tcW w:w="1803" w:type="dxa"/>
            <w:shd w:val="clear" w:color="auto" w:fill="8DB3E2"/>
            <w:noWrap w:val="0"/>
            <w:vAlign w:val="center"/>
          </w:tcPr>
          <w:p w14:paraId="0773265E">
            <w:pPr>
              <w:widowControl/>
              <w:jc w:val="center"/>
              <w:rPr>
                <w:rFonts w:hint="eastAsia" w:ascii="宋体" w:cs="宋体"/>
                <w:b/>
                <w:bCs/>
                <w:color w:val="000000" w:themeColor="text1"/>
                <w:kern w:val="0"/>
                <w:sz w:val="18"/>
                <w:szCs w:val="18"/>
                <w:highlight w:val="none"/>
                <w:lang w:bidi="ar-SA"/>
                <w14:textFill>
                  <w14:solidFill>
                    <w14:schemeClr w14:val="tx1"/>
                  </w14:solidFill>
                </w14:textFill>
              </w:rPr>
            </w:pPr>
            <w:r>
              <w:rPr>
                <w:rFonts w:hint="eastAsia" w:ascii="宋体" w:cs="宋体"/>
                <w:b/>
                <w:bCs/>
                <w:color w:val="000000" w:themeColor="text1"/>
                <w:kern w:val="0"/>
                <w:sz w:val="18"/>
                <w:szCs w:val="18"/>
                <w:highlight w:val="none"/>
                <w:lang w:bidi="ar-SA"/>
                <w14:textFill>
                  <w14:solidFill>
                    <w14:schemeClr w14:val="tx1"/>
                  </w14:solidFill>
                </w14:textFill>
              </w:rPr>
              <w:t>中型</w:t>
            </w:r>
          </w:p>
        </w:tc>
        <w:tc>
          <w:tcPr>
            <w:tcW w:w="1511" w:type="dxa"/>
            <w:shd w:val="clear" w:color="auto" w:fill="8DB3E2"/>
            <w:noWrap w:val="0"/>
            <w:vAlign w:val="center"/>
          </w:tcPr>
          <w:p w14:paraId="48758677">
            <w:pPr>
              <w:widowControl/>
              <w:jc w:val="center"/>
              <w:rPr>
                <w:rFonts w:hint="eastAsia" w:ascii="宋体" w:cs="宋体"/>
                <w:b/>
                <w:bCs/>
                <w:color w:val="000000" w:themeColor="text1"/>
                <w:kern w:val="0"/>
                <w:sz w:val="18"/>
                <w:szCs w:val="18"/>
                <w:highlight w:val="none"/>
                <w:lang w:bidi="ar-SA"/>
                <w14:textFill>
                  <w14:solidFill>
                    <w14:schemeClr w14:val="tx1"/>
                  </w14:solidFill>
                </w14:textFill>
              </w:rPr>
            </w:pPr>
            <w:r>
              <w:rPr>
                <w:rFonts w:hint="eastAsia" w:ascii="宋体" w:cs="宋体"/>
                <w:b/>
                <w:bCs/>
                <w:color w:val="000000" w:themeColor="text1"/>
                <w:kern w:val="0"/>
                <w:sz w:val="18"/>
                <w:szCs w:val="18"/>
                <w:highlight w:val="none"/>
                <w:lang w:bidi="ar-SA"/>
                <w14:textFill>
                  <w14:solidFill>
                    <w14:schemeClr w14:val="tx1"/>
                  </w14:solidFill>
                </w14:textFill>
              </w:rPr>
              <w:t>小型</w:t>
            </w:r>
          </w:p>
        </w:tc>
        <w:tc>
          <w:tcPr>
            <w:tcW w:w="1049" w:type="dxa"/>
            <w:shd w:val="clear" w:color="auto" w:fill="8DB3E2"/>
            <w:noWrap w:val="0"/>
            <w:vAlign w:val="center"/>
          </w:tcPr>
          <w:p w14:paraId="1EC51F4D">
            <w:pPr>
              <w:widowControl/>
              <w:jc w:val="center"/>
              <w:rPr>
                <w:rFonts w:hint="eastAsia" w:ascii="宋体" w:cs="宋体"/>
                <w:b/>
                <w:bCs/>
                <w:color w:val="000000" w:themeColor="text1"/>
                <w:kern w:val="0"/>
                <w:sz w:val="18"/>
                <w:szCs w:val="18"/>
                <w:highlight w:val="none"/>
                <w:lang w:bidi="ar-SA"/>
                <w14:textFill>
                  <w14:solidFill>
                    <w14:schemeClr w14:val="tx1"/>
                  </w14:solidFill>
                </w14:textFill>
              </w:rPr>
            </w:pPr>
            <w:r>
              <w:rPr>
                <w:rFonts w:hint="eastAsia" w:ascii="宋体" w:cs="宋体"/>
                <w:b/>
                <w:bCs/>
                <w:color w:val="000000" w:themeColor="text1"/>
                <w:kern w:val="0"/>
                <w:sz w:val="18"/>
                <w:szCs w:val="18"/>
                <w:highlight w:val="none"/>
                <w:lang w:bidi="ar-SA"/>
                <w14:textFill>
                  <w14:solidFill>
                    <w14:schemeClr w14:val="tx1"/>
                  </w14:solidFill>
                </w14:textFill>
              </w:rPr>
              <w:t>微型</w:t>
            </w:r>
          </w:p>
        </w:tc>
      </w:tr>
      <w:tr w14:paraId="4505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noWrap w:val="0"/>
            <w:vAlign w:val="center"/>
          </w:tcPr>
          <w:p w14:paraId="46265565">
            <w:pPr>
              <w:widowControl/>
              <w:spacing w:line="240" w:lineRule="exact"/>
              <w:jc w:val="left"/>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农、林、牧、渔业</w:t>
            </w:r>
          </w:p>
        </w:tc>
        <w:tc>
          <w:tcPr>
            <w:tcW w:w="1451" w:type="dxa"/>
            <w:noWrap w:val="0"/>
            <w:vAlign w:val="center"/>
          </w:tcPr>
          <w:p w14:paraId="40F808D8">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营业收入(Y)</w:t>
            </w:r>
          </w:p>
        </w:tc>
        <w:tc>
          <w:tcPr>
            <w:tcW w:w="750" w:type="dxa"/>
            <w:noWrap w:val="0"/>
            <w:vAlign w:val="center"/>
          </w:tcPr>
          <w:p w14:paraId="5943B23F">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万元</w:t>
            </w:r>
          </w:p>
        </w:tc>
        <w:tc>
          <w:tcPr>
            <w:tcW w:w="1191" w:type="dxa"/>
            <w:noWrap w:val="0"/>
            <w:vAlign w:val="center"/>
          </w:tcPr>
          <w:p w14:paraId="320F4A14">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Y≥20000</w:t>
            </w:r>
          </w:p>
        </w:tc>
        <w:tc>
          <w:tcPr>
            <w:tcW w:w="1803" w:type="dxa"/>
            <w:noWrap w:val="0"/>
            <w:vAlign w:val="center"/>
          </w:tcPr>
          <w:p w14:paraId="1F09C16F">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500≤Y＜20000</w:t>
            </w:r>
          </w:p>
        </w:tc>
        <w:tc>
          <w:tcPr>
            <w:tcW w:w="1511" w:type="dxa"/>
            <w:noWrap w:val="0"/>
            <w:vAlign w:val="center"/>
          </w:tcPr>
          <w:p w14:paraId="75A7B0BC">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50≤Y＜500</w:t>
            </w:r>
          </w:p>
        </w:tc>
        <w:tc>
          <w:tcPr>
            <w:tcW w:w="1049" w:type="dxa"/>
            <w:noWrap w:val="0"/>
            <w:vAlign w:val="center"/>
          </w:tcPr>
          <w:p w14:paraId="1A49123C">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Y＜50</w:t>
            </w:r>
          </w:p>
        </w:tc>
      </w:tr>
      <w:tr w14:paraId="4D5C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exact"/>
          <w:jc w:val="center"/>
        </w:trPr>
        <w:tc>
          <w:tcPr>
            <w:tcW w:w="1847" w:type="dxa"/>
            <w:vMerge w:val="restart"/>
            <w:noWrap w:val="0"/>
            <w:vAlign w:val="center"/>
          </w:tcPr>
          <w:p w14:paraId="620A6831">
            <w:pPr>
              <w:widowControl/>
              <w:spacing w:line="240" w:lineRule="exact"/>
              <w:jc w:val="left"/>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工业 *</w:t>
            </w:r>
          </w:p>
        </w:tc>
        <w:tc>
          <w:tcPr>
            <w:tcW w:w="1451" w:type="dxa"/>
            <w:noWrap w:val="0"/>
            <w:vAlign w:val="center"/>
          </w:tcPr>
          <w:p w14:paraId="1A07A0E6">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从业人员(X)</w:t>
            </w:r>
          </w:p>
        </w:tc>
        <w:tc>
          <w:tcPr>
            <w:tcW w:w="750" w:type="dxa"/>
            <w:noWrap w:val="0"/>
            <w:vAlign w:val="center"/>
          </w:tcPr>
          <w:p w14:paraId="04126B1F">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人</w:t>
            </w:r>
          </w:p>
        </w:tc>
        <w:tc>
          <w:tcPr>
            <w:tcW w:w="1191" w:type="dxa"/>
            <w:noWrap w:val="0"/>
            <w:vAlign w:val="center"/>
          </w:tcPr>
          <w:p w14:paraId="0FA5C0AF">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X≥1000</w:t>
            </w:r>
          </w:p>
        </w:tc>
        <w:tc>
          <w:tcPr>
            <w:tcW w:w="1803" w:type="dxa"/>
            <w:noWrap w:val="0"/>
            <w:vAlign w:val="center"/>
          </w:tcPr>
          <w:p w14:paraId="7F0A6087">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300≤X＜1000</w:t>
            </w:r>
          </w:p>
        </w:tc>
        <w:tc>
          <w:tcPr>
            <w:tcW w:w="1511" w:type="dxa"/>
            <w:noWrap w:val="0"/>
            <w:vAlign w:val="center"/>
          </w:tcPr>
          <w:p w14:paraId="02DCA82C">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20≤X＜300</w:t>
            </w:r>
          </w:p>
        </w:tc>
        <w:tc>
          <w:tcPr>
            <w:tcW w:w="1049" w:type="dxa"/>
            <w:noWrap w:val="0"/>
            <w:vAlign w:val="center"/>
          </w:tcPr>
          <w:p w14:paraId="4AC61F5D">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X＜20</w:t>
            </w:r>
          </w:p>
        </w:tc>
      </w:tr>
      <w:tr w14:paraId="1889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6FE4C114">
            <w:pPr>
              <w:rPr>
                <w:color w:val="000000" w:themeColor="text1"/>
                <w:highlight w:val="none"/>
                <w14:textFill>
                  <w14:solidFill>
                    <w14:schemeClr w14:val="tx1"/>
                  </w14:solidFill>
                </w14:textFill>
              </w:rPr>
            </w:pPr>
          </w:p>
        </w:tc>
        <w:tc>
          <w:tcPr>
            <w:tcW w:w="1451" w:type="dxa"/>
            <w:noWrap w:val="0"/>
            <w:vAlign w:val="center"/>
          </w:tcPr>
          <w:p w14:paraId="76BF08D2">
            <w:pPr>
              <w:widowControl/>
              <w:spacing w:line="240" w:lineRule="exact"/>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营业收入(Y)</w:t>
            </w:r>
          </w:p>
        </w:tc>
        <w:tc>
          <w:tcPr>
            <w:tcW w:w="750" w:type="dxa"/>
            <w:noWrap w:val="0"/>
            <w:vAlign w:val="center"/>
          </w:tcPr>
          <w:p w14:paraId="1CFFC5DA">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万元</w:t>
            </w:r>
          </w:p>
        </w:tc>
        <w:tc>
          <w:tcPr>
            <w:tcW w:w="1191" w:type="dxa"/>
            <w:noWrap w:val="0"/>
            <w:vAlign w:val="center"/>
          </w:tcPr>
          <w:p w14:paraId="47CFDC65">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Y≥40000</w:t>
            </w:r>
          </w:p>
        </w:tc>
        <w:tc>
          <w:tcPr>
            <w:tcW w:w="1803" w:type="dxa"/>
            <w:noWrap w:val="0"/>
            <w:vAlign w:val="center"/>
          </w:tcPr>
          <w:p w14:paraId="22D1AB8B">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2000≤Y＜40000</w:t>
            </w:r>
          </w:p>
        </w:tc>
        <w:tc>
          <w:tcPr>
            <w:tcW w:w="1511" w:type="dxa"/>
            <w:noWrap w:val="0"/>
            <w:vAlign w:val="center"/>
          </w:tcPr>
          <w:p w14:paraId="564814AE">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300≤Y＜2000</w:t>
            </w:r>
          </w:p>
        </w:tc>
        <w:tc>
          <w:tcPr>
            <w:tcW w:w="1049" w:type="dxa"/>
            <w:noWrap w:val="0"/>
            <w:vAlign w:val="center"/>
          </w:tcPr>
          <w:p w14:paraId="285513DF">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Y＜300</w:t>
            </w:r>
          </w:p>
        </w:tc>
      </w:tr>
      <w:tr w14:paraId="2EA2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6472D663">
            <w:pPr>
              <w:widowControl/>
              <w:spacing w:line="240" w:lineRule="exact"/>
              <w:jc w:val="left"/>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建筑业</w:t>
            </w:r>
          </w:p>
        </w:tc>
        <w:tc>
          <w:tcPr>
            <w:tcW w:w="1451" w:type="dxa"/>
            <w:noWrap w:val="0"/>
            <w:vAlign w:val="center"/>
          </w:tcPr>
          <w:p w14:paraId="0EBC989C">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营业收入(Y)</w:t>
            </w:r>
          </w:p>
        </w:tc>
        <w:tc>
          <w:tcPr>
            <w:tcW w:w="750" w:type="dxa"/>
            <w:noWrap w:val="0"/>
            <w:vAlign w:val="center"/>
          </w:tcPr>
          <w:p w14:paraId="509E57A7">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万元</w:t>
            </w:r>
          </w:p>
        </w:tc>
        <w:tc>
          <w:tcPr>
            <w:tcW w:w="1191" w:type="dxa"/>
            <w:noWrap w:val="0"/>
            <w:vAlign w:val="center"/>
          </w:tcPr>
          <w:p w14:paraId="7F73500C">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Y≥80000</w:t>
            </w:r>
          </w:p>
        </w:tc>
        <w:tc>
          <w:tcPr>
            <w:tcW w:w="1803" w:type="dxa"/>
            <w:noWrap w:val="0"/>
            <w:vAlign w:val="center"/>
          </w:tcPr>
          <w:p w14:paraId="7349F59D">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6000≤Y＜80000</w:t>
            </w:r>
          </w:p>
        </w:tc>
        <w:tc>
          <w:tcPr>
            <w:tcW w:w="1511" w:type="dxa"/>
            <w:noWrap w:val="0"/>
            <w:vAlign w:val="center"/>
          </w:tcPr>
          <w:p w14:paraId="307C4286">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300≤Y＜6000</w:t>
            </w:r>
          </w:p>
        </w:tc>
        <w:tc>
          <w:tcPr>
            <w:tcW w:w="1049" w:type="dxa"/>
            <w:noWrap w:val="0"/>
            <w:vAlign w:val="center"/>
          </w:tcPr>
          <w:p w14:paraId="4D1A6BEB">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Y＜300</w:t>
            </w:r>
          </w:p>
        </w:tc>
      </w:tr>
      <w:tr w14:paraId="5D7C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4A8B9027">
            <w:pPr>
              <w:rPr>
                <w:color w:val="000000" w:themeColor="text1"/>
                <w:highlight w:val="none"/>
                <w14:textFill>
                  <w14:solidFill>
                    <w14:schemeClr w14:val="tx1"/>
                  </w14:solidFill>
                </w14:textFill>
              </w:rPr>
            </w:pPr>
          </w:p>
        </w:tc>
        <w:tc>
          <w:tcPr>
            <w:tcW w:w="1451" w:type="dxa"/>
            <w:noWrap w:val="0"/>
            <w:vAlign w:val="center"/>
          </w:tcPr>
          <w:p w14:paraId="2FCF3B5A">
            <w:pPr>
              <w:widowControl/>
              <w:spacing w:line="240" w:lineRule="exact"/>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资产总额(Z)</w:t>
            </w:r>
          </w:p>
        </w:tc>
        <w:tc>
          <w:tcPr>
            <w:tcW w:w="750" w:type="dxa"/>
            <w:noWrap w:val="0"/>
            <w:vAlign w:val="center"/>
          </w:tcPr>
          <w:p w14:paraId="62A959BC">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万元</w:t>
            </w:r>
          </w:p>
        </w:tc>
        <w:tc>
          <w:tcPr>
            <w:tcW w:w="1191" w:type="dxa"/>
            <w:noWrap w:val="0"/>
            <w:vAlign w:val="center"/>
          </w:tcPr>
          <w:p w14:paraId="507CE120">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Z≥80000</w:t>
            </w:r>
          </w:p>
        </w:tc>
        <w:tc>
          <w:tcPr>
            <w:tcW w:w="1803" w:type="dxa"/>
            <w:noWrap w:val="0"/>
            <w:vAlign w:val="center"/>
          </w:tcPr>
          <w:p w14:paraId="6D7E780B">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5000≤Z＜80000</w:t>
            </w:r>
          </w:p>
        </w:tc>
        <w:tc>
          <w:tcPr>
            <w:tcW w:w="1511" w:type="dxa"/>
            <w:noWrap w:val="0"/>
            <w:vAlign w:val="center"/>
          </w:tcPr>
          <w:p w14:paraId="52375612">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300≤Z＜5000</w:t>
            </w:r>
          </w:p>
        </w:tc>
        <w:tc>
          <w:tcPr>
            <w:tcW w:w="1049" w:type="dxa"/>
            <w:noWrap w:val="0"/>
            <w:vAlign w:val="center"/>
          </w:tcPr>
          <w:p w14:paraId="6C9CE4CB">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Z＜300</w:t>
            </w:r>
          </w:p>
        </w:tc>
      </w:tr>
      <w:tr w14:paraId="6483B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2CD9B330">
            <w:pPr>
              <w:widowControl/>
              <w:spacing w:line="240" w:lineRule="exact"/>
              <w:jc w:val="left"/>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批发业</w:t>
            </w:r>
          </w:p>
        </w:tc>
        <w:tc>
          <w:tcPr>
            <w:tcW w:w="1451" w:type="dxa"/>
            <w:noWrap w:val="0"/>
            <w:vAlign w:val="center"/>
          </w:tcPr>
          <w:p w14:paraId="1EC42B70">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从业人员(X)</w:t>
            </w:r>
          </w:p>
        </w:tc>
        <w:tc>
          <w:tcPr>
            <w:tcW w:w="750" w:type="dxa"/>
            <w:noWrap w:val="0"/>
            <w:vAlign w:val="center"/>
          </w:tcPr>
          <w:p w14:paraId="00F62102">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人</w:t>
            </w:r>
          </w:p>
        </w:tc>
        <w:tc>
          <w:tcPr>
            <w:tcW w:w="1191" w:type="dxa"/>
            <w:noWrap w:val="0"/>
            <w:vAlign w:val="center"/>
          </w:tcPr>
          <w:p w14:paraId="0470104B">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X≥200</w:t>
            </w:r>
          </w:p>
        </w:tc>
        <w:tc>
          <w:tcPr>
            <w:tcW w:w="1803" w:type="dxa"/>
            <w:noWrap w:val="0"/>
            <w:vAlign w:val="center"/>
          </w:tcPr>
          <w:p w14:paraId="0337F704">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20≤X＜200</w:t>
            </w:r>
          </w:p>
        </w:tc>
        <w:tc>
          <w:tcPr>
            <w:tcW w:w="1511" w:type="dxa"/>
            <w:noWrap w:val="0"/>
            <w:vAlign w:val="center"/>
          </w:tcPr>
          <w:p w14:paraId="7B93A861">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5≤X＜20</w:t>
            </w:r>
          </w:p>
        </w:tc>
        <w:tc>
          <w:tcPr>
            <w:tcW w:w="1049" w:type="dxa"/>
            <w:noWrap w:val="0"/>
            <w:vAlign w:val="center"/>
          </w:tcPr>
          <w:p w14:paraId="7137C361">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X＜5</w:t>
            </w:r>
          </w:p>
        </w:tc>
      </w:tr>
      <w:tr w14:paraId="2DC34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3AA59E68">
            <w:pPr>
              <w:rPr>
                <w:color w:val="000000" w:themeColor="text1"/>
                <w:highlight w:val="none"/>
                <w14:textFill>
                  <w14:solidFill>
                    <w14:schemeClr w14:val="tx1"/>
                  </w14:solidFill>
                </w14:textFill>
              </w:rPr>
            </w:pPr>
          </w:p>
        </w:tc>
        <w:tc>
          <w:tcPr>
            <w:tcW w:w="1451" w:type="dxa"/>
            <w:noWrap w:val="0"/>
            <w:vAlign w:val="center"/>
          </w:tcPr>
          <w:p w14:paraId="767CB268">
            <w:pPr>
              <w:widowControl/>
              <w:spacing w:line="240" w:lineRule="exact"/>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营业收入(Y)</w:t>
            </w:r>
          </w:p>
        </w:tc>
        <w:tc>
          <w:tcPr>
            <w:tcW w:w="750" w:type="dxa"/>
            <w:noWrap w:val="0"/>
            <w:vAlign w:val="center"/>
          </w:tcPr>
          <w:p w14:paraId="6272F7EA">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万元</w:t>
            </w:r>
          </w:p>
        </w:tc>
        <w:tc>
          <w:tcPr>
            <w:tcW w:w="1191" w:type="dxa"/>
            <w:noWrap w:val="0"/>
            <w:vAlign w:val="center"/>
          </w:tcPr>
          <w:p w14:paraId="22107235">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Y≥40000</w:t>
            </w:r>
          </w:p>
        </w:tc>
        <w:tc>
          <w:tcPr>
            <w:tcW w:w="1803" w:type="dxa"/>
            <w:noWrap w:val="0"/>
            <w:vAlign w:val="center"/>
          </w:tcPr>
          <w:p w14:paraId="24B2C654">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5000≤Y＜40000</w:t>
            </w:r>
          </w:p>
        </w:tc>
        <w:tc>
          <w:tcPr>
            <w:tcW w:w="1511" w:type="dxa"/>
            <w:noWrap w:val="0"/>
            <w:vAlign w:val="center"/>
          </w:tcPr>
          <w:p w14:paraId="12BD385D">
            <w:pPr>
              <w:widowControl/>
              <w:ind w:left="-1" w:leftChars="-1" w:hanging="1"/>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1000≤Y＜5000</w:t>
            </w:r>
          </w:p>
        </w:tc>
        <w:tc>
          <w:tcPr>
            <w:tcW w:w="1049" w:type="dxa"/>
            <w:noWrap w:val="0"/>
            <w:vAlign w:val="center"/>
          </w:tcPr>
          <w:p w14:paraId="5F10A6B0">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Y＜1000</w:t>
            </w:r>
          </w:p>
        </w:tc>
      </w:tr>
      <w:tr w14:paraId="4D41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20FB984D">
            <w:pPr>
              <w:widowControl/>
              <w:spacing w:line="240" w:lineRule="exact"/>
              <w:jc w:val="left"/>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零售业</w:t>
            </w:r>
          </w:p>
        </w:tc>
        <w:tc>
          <w:tcPr>
            <w:tcW w:w="1451" w:type="dxa"/>
            <w:noWrap w:val="0"/>
            <w:vAlign w:val="center"/>
          </w:tcPr>
          <w:p w14:paraId="27122223">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从业人员(X)</w:t>
            </w:r>
          </w:p>
        </w:tc>
        <w:tc>
          <w:tcPr>
            <w:tcW w:w="750" w:type="dxa"/>
            <w:noWrap w:val="0"/>
            <w:vAlign w:val="center"/>
          </w:tcPr>
          <w:p w14:paraId="34A7166E">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人</w:t>
            </w:r>
          </w:p>
        </w:tc>
        <w:tc>
          <w:tcPr>
            <w:tcW w:w="1191" w:type="dxa"/>
            <w:noWrap w:val="0"/>
            <w:vAlign w:val="center"/>
          </w:tcPr>
          <w:p w14:paraId="0C63D672">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X≥300</w:t>
            </w:r>
          </w:p>
        </w:tc>
        <w:tc>
          <w:tcPr>
            <w:tcW w:w="1803" w:type="dxa"/>
            <w:noWrap w:val="0"/>
            <w:vAlign w:val="center"/>
          </w:tcPr>
          <w:p w14:paraId="0BCD8B29">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50≤X＜300</w:t>
            </w:r>
          </w:p>
        </w:tc>
        <w:tc>
          <w:tcPr>
            <w:tcW w:w="1511" w:type="dxa"/>
            <w:noWrap w:val="0"/>
            <w:vAlign w:val="center"/>
          </w:tcPr>
          <w:p w14:paraId="62457A6D">
            <w:pPr>
              <w:widowControl/>
              <w:ind w:left="-1" w:leftChars="-1" w:hanging="1"/>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 xml:space="preserve">10≤X＜50 </w:t>
            </w:r>
          </w:p>
        </w:tc>
        <w:tc>
          <w:tcPr>
            <w:tcW w:w="1049" w:type="dxa"/>
            <w:noWrap w:val="0"/>
            <w:vAlign w:val="center"/>
          </w:tcPr>
          <w:p w14:paraId="55AF2F36">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X＜10</w:t>
            </w:r>
          </w:p>
        </w:tc>
      </w:tr>
      <w:tr w14:paraId="2024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078F31FD">
            <w:pPr>
              <w:rPr>
                <w:color w:val="000000" w:themeColor="text1"/>
                <w:highlight w:val="none"/>
                <w14:textFill>
                  <w14:solidFill>
                    <w14:schemeClr w14:val="tx1"/>
                  </w14:solidFill>
                </w14:textFill>
              </w:rPr>
            </w:pPr>
          </w:p>
        </w:tc>
        <w:tc>
          <w:tcPr>
            <w:tcW w:w="1451" w:type="dxa"/>
            <w:noWrap w:val="0"/>
            <w:vAlign w:val="center"/>
          </w:tcPr>
          <w:p w14:paraId="402DB709">
            <w:pPr>
              <w:widowControl/>
              <w:spacing w:line="240" w:lineRule="exact"/>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营业收入(Y)</w:t>
            </w:r>
          </w:p>
        </w:tc>
        <w:tc>
          <w:tcPr>
            <w:tcW w:w="750" w:type="dxa"/>
            <w:noWrap w:val="0"/>
            <w:vAlign w:val="center"/>
          </w:tcPr>
          <w:p w14:paraId="407DBA0B">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万元</w:t>
            </w:r>
          </w:p>
        </w:tc>
        <w:tc>
          <w:tcPr>
            <w:tcW w:w="1191" w:type="dxa"/>
            <w:noWrap w:val="0"/>
            <w:vAlign w:val="center"/>
          </w:tcPr>
          <w:p w14:paraId="61BB17CA">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Y≥20000</w:t>
            </w:r>
          </w:p>
        </w:tc>
        <w:tc>
          <w:tcPr>
            <w:tcW w:w="1803" w:type="dxa"/>
            <w:noWrap w:val="0"/>
            <w:vAlign w:val="center"/>
          </w:tcPr>
          <w:p w14:paraId="38EF87C0">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500≤Y＜20000</w:t>
            </w:r>
          </w:p>
        </w:tc>
        <w:tc>
          <w:tcPr>
            <w:tcW w:w="1511" w:type="dxa"/>
            <w:noWrap w:val="0"/>
            <w:vAlign w:val="center"/>
          </w:tcPr>
          <w:p w14:paraId="0ADD4377">
            <w:pPr>
              <w:widowControl/>
              <w:ind w:left="-1" w:leftChars="-1" w:hanging="1"/>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100≤Y＜500</w:t>
            </w:r>
          </w:p>
        </w:tc>
        <w:tc>
          <w:tcPr>
            <w:tcW w:w="1049" w:type="dxa"/>
            <w:noWrap w:val="0"/>
            <w:vAlign w:val="center"/>
          </w:tcPr>
          <w:p w14:paraId="2C2D840C">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Y＜100</w:t>
            </w:r>
          </w:p>
        </w:tc>
      </w:tr>
      <w:tr w14:paraId="0A80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2D7166E4">
            <w:pPr>
              <w:widowControl/>
              <w:spacing w:line="240" w:lineRule="exact"/>
              <w:jc w:val="left"/>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交通运输业 *</w:t>
            </w:r>
          </w:p>
        </w:tc>
        <w:tc>
          <w:tcPr>
            <w:tcW w:w="1451" w:type="dxa"/>
            <w:noWrap w:val="0"/>
            <w:vAlign w:val="center"/>
          </w:tcPr>
          <w:p w14:paraId="0EA5F0CC">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从业人员(X)</w:t>
            </w:r>
          </w:p>
        </w:tc>
        <w:tc>
          <w:tcPr>
            <w:tcW w:w="750" w:type="dxa"/>
            <w:noWrap w:val="0"/>
            <w:vAlign w:val="center"/>
          </w:tcPr>
          <w:p w14:paraId="46950B30">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人</w:t>
            </w:r>
          </w:p>
        </w:tc>
        <w:tc>
          <w:tcPr>
            <w:tcW w:w="1191" w:type="dxa"/>
            <w:noWrap w:val="0"/>
            <w:vAlign w:val="center"/>
          </w:tcPr>
          <w:p w14:paraId="6D751463">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X≥1000</w:t>
            </w:r>
          </w:p>
        </w:tc>
        <w:tc>
          <w:tcPr>
            <w:tcW w:w="1803" w:type="dxa"/>
            <w:noWrap w:val="0"/>
            <w:vAlign w:val="center"/>
          </w:tcPr>
          <w:p w14:paraId="18D7A39D">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300≤X＜1000</w:t>
            </w:r>
          </w:p>
        </w:tc>
        <w:tc>
          <w:tcPr>
            <w:tcW w:w="1511" w:type="dxa"/>
            <w:noWrap w:val="0"/>
            <w:vAlign w:val="center"/>
          </w:tcPr>
          <w:p w14:paraId="1516173D">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20≤X＜300</w:t>
            </w:r>
          </w:p>
        </w:tc>
        <w:tc>
          <w:tcPr>
            <w:tcW w:w="1049" w:type="dxa"/>
            <w:noWrap w:val="0"/>
            <w:vAlign w:val="center"/>
          </w:tcPr>
          <w:p w14:paraId="777520C4">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X＜20</w:t>
            </w:r>
          </w:p>
        </w:tc>
      </w:tr>
      <w:tr w14:paraId="7ADCC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347DF603">
            <w:pPr>
              <w:rPr>
                <w:color w:val="000000" w:themeColor="text1"/>
                <w:highlight w:val="none"/>
                <w14:textFill>
                  <w14:solidFill>
                    <w14:schemeClr w14:val="tx1"/>
                  </w14:solidFill>
                </w14:textFill>
              </w:rPr>
            </w:pPr>
          </w:p>
        </w:tc>
        <w:tc>
          <w:tcPr>
            <w:tcW w:w="1451" w:type="dxa"/>
            <w:noWrap w:val="0"/>
            <w:vAlign w:val="center"/>
          </w:tcPr>
          <w:p w14:paraId="1B74843D">
            <w:pPr>
              <w:widowControl/>
              <w:spacing w:line="240" w:lineRule="exact"/>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营业收入(Y)</w:t>
            </w:r>
          </w:p>
        </w:tc>
        <w:tc>
          <w:tcPr>
            <w:tcW w:w="750" w:type="dxa"/>
            <w:noWrap w:val="0"/>
            <w:vAlign w:val="center"/>
          </w:tcPr>
          <w:p w14:paraId="255DD998">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万元</w:t>
            </w:r>
          </w:p>
        </w:tc>
        <w:tc>
          <w:tcPr>
            <w:tcW w:w="1191" w:type="dxa"/>
            <w:noWrap w:val="0"/>
            <w:vAlign w:val="center"/>
          </w:tcPr>
          <w:p w14:paraId="16CCCC06">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Y≥30000</w:t>
            </w:r>
          </w:p>
        </w:tc>
        <w:tc>
          <w:tcPr>
            <w:tcW w:w="1803" w:type="dxa"/>
            <w:noWrap w:val="0"/>
            <w:vAlign w:val="center"/>
          </w:tcPr>
          <w:p w14:paraId="7D815ADD">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3000≤Y＜30000</w:t>
            </w:r>
          </w:p>
        </w:tc>
        <w:tc>
          <w:tcPr>
            <w:tcW w:w="1511" w:type="dxa"/>
            <w:noWrap w:val="0"/>
            <w:vAlign w:val="center"/>
          </w:tcPr>
          <w:p w14:paraId="6BED8E34">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200≤Y＜3000</w:t>
            </w:r>
          </w:p>
        </w:tc>
        <w:tc>
          <w:tcPr>
            <w:tcW w:w="1049" w:type="dxa"/>
            <w:noWrap w:val="0"/>
            <w:vAlign w:val="center"/>
          </w:tcPr>
          <w:p w14:paraId="57F4DF32">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Y＜200</w:t>
            </w:r>
          </w:p>
        </w:tc>
      </w:tr>
      <w:tr w14:paraId="5F15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204AEE0E">
            <w:pPr>
              <w:widowControl/>
              <w:spacing w:line="240" w:lineRule="exact"/>
              <w:jc w:val="left"/>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仓储业*</w:t>
            </w:r>
          </w:p>
        </w:tc>
        <w:tc>
          <w:tcPr>
            <w:tcW w:w="1451" w:type="dxa"/>
            <w:noWrap w:val="0"/>
            <w:vAlign w:val="center"/>
          </w:tcPr>
          <w:p w14:paraId="14738E26">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从业人员(X)</w:t>
            </w:r>
          </w:p>
        </w:tc>
        <w:tc>
          <w:tcPr>
            <w:tcW w:w="750" w:type="dxa"/>
            <w:noWrap w:val="0"/>
            <w:vAlign w:val="center"/>
          </w:tcPr>
          <w:p w14:paraId="6B706521">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人</w:t>
            </w:r>
          </w:p>
        </w:tc>
        <w:tc>
          <w:tcPr>
            <w:tcW w:w="1191" w:type="dxa"/>
            <w:noWrap w:val="0"/>
            <w:vAlign w:val="center"/>
          </w:tcPr>
          <w:p w14:paraId="134D91D5">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X≥200</w:t>
            </w:r>
          </w:p>
        </w:tc>
        <w:tc>
          <w:tcPr>
            <w:tcW w:w="1803" w:type="dxa"/>
            <w:noWrap w:val="0"/>
            <w:vAlign w:val="center"/>
          </w:tcPr>
          <w:p w14:paraId="2137F60A">
            <w:pPr>
              <w:widowControl/>
              <w:ind w:left="1" w:leftChars="-51" w:hanging="108" w:hangingChars="60"/>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100≤X＜200</w:t>
            </w:r>
          </w:p>
        </w:tc>
        <w:tc>
          <w:tcPr>
            <w:tcW w:w="1511" w:type="dxa"/>
            <w:noWrap w:val="0"/>
            <w:vAlign w:val="center"/>
          </w:tcPr>
          <w:p w14:paraId="1AE4E9A5">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20≤X＜100</w:t>
            </w:r>
          </w:p>
        </w:tc>
        <w:tc>
          <w:tcPr>
            <w:tcW w:w="1049" w:type="dxa"/>
            <w:noWrap w:val="0"/>
            <w:vAlign w:val="center"/>
          </w:tcPr>
          <w:p w14:paraId="55F0A52A">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X＜20</w:t>
            </w:r>
          </w:p>
        </w:tc>
      </w:tr>
      <w:tr w14:paraId="0843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189D4C1C">
            <w:pPr>
              <w:rPr>
                <w:color w:val="000000" w:themeColor="text1"/>
                <w:highlight w:val="none"/>
                <w14:textFill>
                  <w14:solidFill>
                    <w14:schemeClr w14:val="tx1"/>
                  </w14:solidFill>
                </w14:textFill>
              </w:rPr>
            </w:pPr>
          </w:p>
        </w:tc>
        <w:tc>
          <w:tcPr>
            <w:tcW w:w="1451" w:type="dxa"/>
            <w:noWrap w:val="0"/>
            <w:vAlign w:val="center"/>
          </w:tcPr>
          <w:p w14:paraId="2E31ADD8">
            <w:pPr>
              <w:widowControl/>
              <w:spacing w:line="240" w:lineRule="exact"/>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营业收入(Y)</w:t>
            </w:r>
          </w:p>
        </w:tc>
        <w:tc>
          <w:tcPr>
            <w:tcW w:w="750" w:type="dxa"/>
            <w:noWrap w:val="0"/>
            <w:vAlign w:val="center"/>
          </w:tcPr>
          <w:p w14:paraId="0CFAA848">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万元</w:t>
            </w:r>
          </w:p>
        </w:tc>
        <w:tc>
          <w:tcPr>
            <w:tcW w:w="1191" w:type="dxa"/>
            <w:noWrap w:val="0"/>
            <w:vAlign w:val="center"/>
          </w:tcPr>
          <w:p w14:paraId="1827EB0B">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Y≥30000</w:t>
            </w:r>
          </w:p>
        </w:tc>
        <w:tc>
          <w:tcPr>
            <w:tcW w:w="1803" w:type="dxa"/>
            <w:noWrap w:val="0"/>
            <w:vAlign w:val="center"/>
          </w:tcPr>
          <w:p w14:paraId="2163330F">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1000≤Y＜30000</w:t>
            </w:r>
          </w:p>
        </w:tc>
        <w:tc>
          <w:tcPr>
            <w:tcW w:w="1511" w:type="dxa"/>
            <w:noWrap w:val="0"/>
            <w:vAlign w:val="center"/>
          </w:tcPr>
          <w:p w14:paraId="57D2E003">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100≤Y＜1000</w:t>
            </w:r>
          </w:p>
        </w:tc>
        <w:tc>
          <w:tcPr>
            <w:tcW w:w="1049" w:type="dxa"/>
            <w:noWrap w:val="0"/>
            <w:vAlign w:val="center"/>
          </w:tcPr>
          <w:p w14:paraId="256042BF">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Y＜100</w:t>
            </w:r>
          </w:p>
        </w:tc>
      </w:tr>
      <w:tr w14:paraId="3647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3A17E73A">
            <w:pPr>
              <w:widowControl/>
              <w:spacing w:line="240" w:lineRule="exact"/>
              <w:jc w:val="left"/>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邮政业</w:t>
            </w:r>
          </w:p>
        </w:tc>
        <w:tc>
          <w:tcPr>
            <w:tcW w:w="1451" w:type="dxa"/>
            <w:noWrap w:val="0"/>
            <w:vAlign w:val="center"/>
          </w:tcPr>
          <w:p w14:paraId="33CEE794">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从业人员(X)</w:t>
            </w:r>
          </w:p>
        </w:tc>
        <w:tc>
          <w:tcPr>
            <w:tcW w:w="750" w:type="dxa"/>
            <w:noWrap w:val="0"/>
            <w:vAlign w:val="center"/>
          </w:tcPr>
          <w:p w14:paraId="1D785276">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人</w:t>
            </w:r>
          </w:p>
        </w:tc>
        <w:tc>
          <w:tcPr>
            <w:tcW w:w="1191" w:type="dxa"/>
            <w:noWrap w:val="0"/>
            <w:vAlign w:val="center"/>
          </w:tcPr>
          <w:p w14:paraId="51FE4A04">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X≥1000</w:t>
            </w:r>
          </w:p>
        </w:tc>
        <w:tc>
          <w:tcPr>
            <w:tcW w:w="1803" w:type="dxa"/>
            <w:noWrap w:val="0"/>
            <w:vAlign w:val="center"/>
          </w:tcPr>
          <w:p w14:paraId="23F6FF01">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300≤X＜1000</w:t>
            </w:r>
          </w:p>
        </w:tc>
        <w:tc>
          <w:tcPr>
            <w:tcW w:w="1511" w:type="dxa"/>
            <w:noWrap w:val="0"/>
            <w:vAlign w:val="center"/>
          </w:tcPr>
          <w:p w14:paraId="54001EE6">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20≤X＜300</w:t>
            </w:r>
          </w:p>
        </w:tc>
        <w:tc>
          <w:tcPr>
            <w:tcW w:w="1049" w:type="dxa"/>
            <w:noWrap w:val="0"/>
            <w:vAlign w:val="center"/>
          </w:tcPr>
          <w:p w14:paraId="73300537">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X＜20</w:t>
            </w:r>
          </w:p>
        </w:tc>
      </w:tr>
      <w:tr w14:paraId="6CE29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45326187">
            <w:pPr>
              <w:rPr>
                <w:color w:val="000000" w:themeColor="text1"/>
                <w:highlight w:val="none"/>
                <w14:textFill>
                  <w14:solidFill>
                    <w14:schemeClr w14:val="tx1"/>
                  </w14:solidFill>
                </w14:textFill>
              </w:rPr>
            </w:pPr>
          </w:p>
        </w:tc>
        <w:tc>
          <w:tcPr>
            <w:tcW w:w="1451" w:type="dxa"/>
            <w:noWrap w:val="0"/>
            <w:vAlign w:val="center"/>
          </w:tcPr>
          <w:p w14:paraId="62037D01">
            <w:pPr>
              <w:widowControl/>
              <w:spacing w:line="240" w:lineRule="exact"/>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营业收入(Y)</w:t>
            </w:r>
          </w:p>
        </w:tc>
        <w:tc>
          <w:tcPr>
            <w:tcW w:w="750" w:type="dxa"/>
            <w:noWrap w:val="0"/>
            <w:vAlign w:val="center"/>
          </w:tcPr>
          <w:p w14:paraId="28E1779A">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万元</w:t>
            </w:r>
          </w:p>
        </w:tc>
        <w:tc>
          <w:tcPr>
            <w:tcW w:w="1191" w:type="dxa"/>
            <w:noWrap w:val="0"/>
            <w:vAlign w:val="center"/>
          </w:tcPr>
          <w:p w14:paraId="6A71D4D2">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Y≥30000</w:t>
            </w:r>
          </w:p>
        </w:tc>
        <w:tc>
          <w:tcPr>
            <w:tcW w:w="1803" w:type="dxa"/>
            <w:noWrap w:val="0"/>
            <w:vAlign w:val="center"/>
          </w:tcPr>
          <w:p w14:paraId="5AE81DA3">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2000≤Y＜30000</w:t>
            </w:r>
          </w:p>
        </w:tc>
        <w:tc>
          <w:tcPr>
            <w:tcW w:w="1511" w:type="dxa"/>
            <w:noWrap w:val="0"/>
            <w:vAlign w:val="center"/>
          </w:tcPr>
          <w:p w14:paraId="31638B32">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100≤Y＜2000</w:t>
            </w:r>
          </w:p>
        </w:tc>
        <w:tc>
          <w:tcPr>
            <w:tcW w:w="1049" w:type="dxa"/>
            <w:noWrap w:val="0"/>
            <w:vAlign w:val="center"/>
          </w:tcPr>
          <w:p w14:paraId="00CE9839">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Y＜100</w:t>
            </w:r>
          </w:p>
        </w:tc>
      </w:tr>
      <w:tr w14:paraId="0B50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6105C8E4">
            <w:pPr>
              <w:widowControl/>
              <w:spacing w:line="240" w:lineRule="exact"/>
              <w:jc w:val="left"/>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住宿业</w:t>
            </w:r>
          </w:p>
        </w:tc>
        <w:tc>
          <w:tcPr>
            <w:tcW w:w="1451" w:type="dxa"/>
            <w:noWrap w:val="0"/>
            <w:vAlign w:val="center"/>
          </w:tcPr>
          <w:p w14:paraId="5DCDC289">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从业人员(X)</w:t>
            </w:r>
          </w:p>
        </w:tc>
        <w:tc>
          <w:tcPr>
            <w:tcW w:w="750" w:type="dxa"/>
            <w:noWrap w:val="0"/>
            <w:vAlign w:val="center"/>
          </w:tcPr>
          <w:p w14:paraId="76A0A3C5">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人</w:t>
            </w:r>
          </w:p>
        </w:tc>
        <w:tc>
          <w:tcPr>
            <w:tcW w:w="1191" w:type="dxa"/>
            <w:noWrap w:val="0"/>
            <w:vAlign w:val="center"/>
          </w:tcPr>
          <w:p w14:paraId="743B0430">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X≥300</w:t>
            </w:r>
          </w:p>
        </w:tc>
        <w:tc>
          <w:tcPr>
            <w:tcW w:w="1803" w:type="dxa"/>
            <w:noWrap w:val="0"/>
            <w:vAlign w:val="center"/>
          </w:tcPr>
          <w:p w14:paraId="3D2A59C2">
            <w:pPr>
              <w:widowControl/>
              <w:ind w:left="1" w:leftChars="-51" w:hanging="108" w:hangingChars="60"/>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100≤X＜300</w:t>
            </w:r>
          </w:p>
        </w:tc>
        <w:tc>
          <w:tcPr>
            <w:tcW w:w="1511" w:type="dxa"/>
            <w:noWrap w:val="0"/>
            <w:vAlign w:val="center"/>
          </w:tcPr>
          <w:p w14:paraId="5CD3F34E">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10≤X＜100</w:t>
            </w:r>
          </w:p>
        </w:tc>
        <w:tc>
          <w:tcPr>
            <w:tcW w:w="1049" w:type="dxa"/>
            <w:noWrap w:val="0"/>
            <w:vAlign w:val="center"/>
          </w:tcPr>
          <w:p w14:paraId="1641AAF6">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X＜10</w:t>
            </w:r>
          </w:p>
        </w:tc>
      </w:tr>
      <w:tr w14:paraId="4D94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63D1464F">
            <w:pPr>
              <w:rPr>
                <w:color w:val="000000" w:themeColor="text1"/>
                <w:highlight w:val="none"/>
                <w14:textFill>
                  <w14:solidFill>
                    <w14:schemeClr w14:val="tx1"/>
                  </w14:solidFill>
                </w14:textFill>
              </w:rPr>
            </w:pPr>
          </w:p>
        </w:tc>
        <w:tc>
          <w:tcPr>
            <w:tcW w:w="1451" w:type="dxa"/>
            <w:noWrap w:val="0"/>
            <w:vAlign w:val="center"/>
          </w:tcPr>
          <w:p w14:paraId="7FC4CED7">
            <w:pPr>
              <w:widowControl/>
              <w:spacing w:line="240" w:lineRule="exact"/>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营业收入(Y)</w:t>
            </w:r>
          </w:p>
        </w:tc>
        <w:tc>
          <w:tcPr>
            <w:tcW w:w="750" w:type="dxa"/>
            <w:noWrap w:val="0"/>
            <w:vAlign w:val="center"/>
          </w:tcPr>
          <w:p w14:paraId="514A436D">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万元</w:t>
            </w:r>
          </w:p>
        </w:tc>
        <w:tc>
          <w:tcPr>
            <w:tcW w:w="1191" w:type="dxa"/>
            <w:noWrap w:val="0"/>
            <w:vAlign w:val="center"/>
          </w:tcPr>
          <w:p w14:paraId="0570A3EB">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Y≥10000</w:t>
            </w:r>
          </w:p>
        </w:tc>
        <w:tc>
          <w:tcPr>
            <w:tcW w:w="1803" w:type="dxa"/>
            <w:noWrap w:val="0"/>
            <w:vAlign w:val="center"/>
          </w:tcPr>
          <w:p w14:paraId="4348A4AD">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2000≤Y＜10000</w:t>
            </w:r>
          </w:p>
        </w:tc>
        <w:tc>
          <w:tcPr>
            <w:tcW w:w="1511" w:type="dxa"/>
            <w:noWrap w:val="0"/>
            <w:vAlign w:val="center"/>
          </w:tcPr>
          <w:p w14:paraId="7920AC63">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100≤Y＜2000</w:t>
            </w:r>
          </w:p>
        </w:tc>
        <w:tc>
          <w:tcPr>
            <w:tcW w:w="1049" w:type="dxa"/>
            <w:noWrap w:val="0"/>
            <w:vAlign w:val="center"/>
          </w:tcPr>
          <w:p w14:paraId="637FD3C0">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Y＜100</w:t>
            </w:r>
          </w:p>
        </w:tc>
      </w:tr>
      <w:tr w14:paraId="0C739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65A6D631">
            <w:pPr>
              <w:widowControl/>
              <w:spacing w:line="240" w:lineRule="exact"/>
              <w:jc w:val="left"/>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餐饮业</w:t>
            </w:r>
          </w:p>
        </w:tc>
        <w:tc>
          <w:tcPr>
            <w:tcW w:w="1451" w:type="dxa"/>
            <w:noWrap w:val="0"/>
            <w:vAlign w:val="center"/>
          </w:tcPr>
          <w:p w14:paraId="51F9CD2D">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从业人员(X)</w:t>
            </w:r>
          </w:p>
        </w:tc>
        <w:tc>
          <w:tcPr>
            <w:tcW w:w="750" w:type="dxa"/>
            <w:noWrap w:val="0"/>
            <w:vAlign w:val="center"/>
          </w:tcPr>
          <w:p w14:paraId="64951665">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人</w:t>
            </w:r>
          </w:p>
        </w:tc>
        <w:tc>
          <w:tcPr>
            <w:tcW w:w="1191" w:type="dxa"/>
            <w:noWrap w:val="0"/>
            <w:vAlign w:val="center"/>
          </w:tcPr>
          <w:p w14:paraId="159A4322">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X≥300</w:t>
            </w:r>
          </w:p>
        </w:tc>
        <w:tc>
          <w:tcPr>
            <w:tcW w:w="1803" w:type="dxa"/>
            <w:noWrap w:val="0"/>
            <w:vAlign w:val="center"/>
          </w:tcPr>
          <w:p w14:paraId="72DF2AFD">
            <w:pPr>
              <w:widowControl/>
              <w:ind w:left="1" w:leftChars="-51" w:hanging="108" w:hangingChars="60"/>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 xml:space="preserve">100≤X＜300 </w:t>
            </w:r>
          </w:p>
        </w:tc>
        <w:tc>
          <w:tcPr>
            <w:tcW w:w="1511" w:type="dxa"/>
            <w:noWrap w:val="0"/>
            <w:vAlign w:val="center"/>
          </w:tcPr>
          <w:p w14:paraId="5E624F97">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10≤X＜100</w:t>
            </w:r>
          </w:p>
        </w:tc>
        <w:tc>
          <w:tcPr>
            <w:tcW w:w="1049" w:type="dxa"/>
            <w:noWrap w:val="0"/>
            <w:vAlign w:val="center"/>
          </w:tcPr>
          <w:p w14:paraId="3423449C">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X＜10</w:t>
            </w:r>
          </w:p>
        </w:tc>
      </w:tr>
      <w:tr w14:paraId="6687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55E00134">
            <w:pPr>
              <w:rPr>
                <w:color w:val="000000" w:themeColor="text1"/>
                <w:highlight w:val="none"/>
                <w14:textFill>
                  <w14:solidFill>
                    <w14:schemeClr w14:val="tx1"/>
                  </w14:solidFill>
                </w14:textFill>
              </w:rPr>
            </w:pPr>
          </w:p>
        </w:tc>
        <w:tc>
          <w:tcPr>
            <w:tcW w:w="1451" w:type="dxa"/>
            <w:noWrap w:val="0"/>
            <w:vAlign w:val="center"/>
          </w:tcPr>
          <w:p w14:paraId="1E73F8C3">
            <w:pPr>
              <w:widowControl/>
              <w:spacing w:line="240" w:lineRule="exact"/>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营业收入(Y)</w:t>
            </w:r>
          </w:p>
        </w:tc>
        <w:tc>
          <w:tcPr>
            <w:tcW w:w="750" w:type="dxa"/>
            <w:noWrap w:val="0"/>
            <w:vAlign w:val="center"/>
          </w:tcPr>
          <w:p w14:paraId="613A2880">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万元</w:t>
            </w:r>
          </w:p>
        </w:tc>
        <w:tc>
          <w:tcPr>
            <w:tcW w:w="1191" w:type="dxa"/>
            <w:noWrap w:val="0"/>
            <w:vAlign w:val="center"/>
          </w:tcPr>
          <w:p w14:paraId="687BD370">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Y≥10000</w:t>
            </w:r>
          </w:p>
        </w:tc>
        <w:tc>
          <w:tcPr>
            <w:tcW w:w="1803" w:type="dxa"/>
            <w:noWrap w:val="0"/>
            <w:vAlign w:val="center"/>
          </w:tcPr>
          <w:p w14:paraId="4F1341BA">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2000≤Y＜10000</w:t>
            </w:r>
          </w:p>
        </w:tc>
        <w:tc>
          <w:tcPr>
            <w:tcW w:w="1511" w:type="dxa"/>
            <w:noWrap w:val="0"/>
            <w:vAlign w:val="center"/>
          </w:tcPr>
          <w:p w14:paraId="0CE3E6C6">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100≤Y＜2000</w:t>
            </w:r>
          </w:p>
        </w:tc>
        <w:tc>
          <w:tcPr>
            <w:tcW w:w="1049" w:type="dxa"/>
            <w:noWrap w:val="0"/>
            <w:vAlign w:val="center"/>
          </w:tcPr>
          <w:p w14:paraId="0BCE4004">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Y＜100</w:t>
            </w:r>
          </w:p>
        </w:tc>
      </w:tr>
      <w:tr w14:paraId="2D62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2D8246A3">
            <w:pPr>
              <w:widowControl/>
              <w:spacing w:line="240" w:lineRule="exact"/>
              <w:jc w:val="left"/>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信息传输业 *</w:t>
            </w:r>
          </w:p>
        </w:tc>
        <w:tc>
          <w:tcPr>
            <w:tcW w:w="1451" w:type="dxa"/>
            <w:noWrap w:val="0"/>
            <w:vAlign w:val="center"/>
          </w:tcPr>
          <w:p w14:paraId="51C9438E">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从业人员(X)</w:t>
            </w:r>
          </w:p>
        </w:tc>
        <w:tc>
          <w:tcPr>
            <w:tcW w:w="750" w:type="dxa"/>
            <w:noWrap w:val="0"/>
            <w:vAlign w:val="center"/>
          </w:tcPr>
          <w:p w14:paraId="61EC3E6B">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人</w:t>
            </w:r>
          </w:p>
        </w:tc>
        <w:tc>
          <w:tcPr>
            <w:tcW w:w="1191" w:type="dxa"/>
            <w:noWrap w:val="0"/>
            <w:vAlign w:val="center"/>
          </w:tcPr>
          <w:p w14:paraId="2B5FAAD1">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X≥2000</w:t>
            </w:r>
          </w:p>
        </w:tc>
        <w:tc>
          <w:tcPr>
            <w:tcW w:w="1803" w:type="dxa"/>
            <w:noWrap w:val="0"/>
            <w:vAlign w:val="center"/>
          </w:tcPr>
          <w:p w14:paraId="49096250">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100≤X＜2000</w:t>
            </w:r>
          </w:p>
        </w:tc>
        <w:tc>
          <w:tcPr>
            <w:tcW w:w="1511" w:type="dxa"/>
            <w:noWrap w:val="0"/>
            <w:vAlign w:val="center"/>
          </w:tcPr>
          <w:p w14:paraId="5D42D73B">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10≤X＜100</w:t>
            </w:r>
          </w:p>
        </w:tc>
        <w:tc>
          <w:tcPr>
            <w:tcW w:w="1049" w:type="dxa"/>
            <w:noWrap w:val="0"/>
            <w:vAlign w:val="center"/>
          </w:tcPr>
          <w:p w14:paraId="232B9972">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X＜10</w:t>
            </w:r>
          </w:p>
        </w:tc>
      </w:tr>
      <w:tr w14:paraId="3231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12EB2C1F">
            <w:pPr>
              <w:rPr>
                <w:color w:val="000000" w:themeColor="text1"/>
                <w:highlight w:val="none"/>
                <w14:textFill>
                  <w14:solidFill>
                    <w14:schemeClr w14:val="tx1"/>
                  </w14:solidFill>
                </w14:textFill>
              </w:rPr>
            </w:pPr>
          </w:p>
        </w:tc>
        <w:tc>
          <w:tcPr>
            <w:tcW w:w="1451" w:type="dxa"/>
            <w:noWrap w:val="0"/>
            <w:vAlign w:val="center"/>
          </w:tcPr>
          <w:p w14:paraId="1547922C">
            <w:pPr>
              <w:widowControl/>
              <w:spacing w:line="240" w:lineRule="exact"/>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营业收入(Y)</w:t>
            </w:r>
          </w:p>
        </w:tc>
        <w:tc>
          <w:tcPr>
            <w:tcW w:w="750" w:type="dxa"/>
            <w:noWrap w:val="0"/>
            <w:vAlign w:val="center"/>
          </w:tcPr>
          <w:p w14:paraId="603DED34">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万元</w:t>
            </w:r>
          </w:p>
        </w:tc>
        <w:tc>
          <w:tcPr>
            <w:tcW w:w="1191" w:type="dxa"/>
            <w:noWrap w:val="0"/>
            <w:vAlign w:val="center"/>
          </w:tcPr>
          <w:p w14:paraId="5DAB3104">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Y≥100000</w:t>
            </w:r>
          </w:p>
        </w:tc>
        <w:tc>
          <w:tcPr>
            <w:tcW w:w="1803" w:type="dxa"/>
            <w:noWrap w:val="0"/>
            <w:vAlign w:val="center"/>
          </w:tcPr>
          <w:p w14:paraId="1418CD39">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1000≤Y＜100000</w:t>
            </w:r>
          </w:p>
        </w:tc>
        <w:tc>
          <w:tcPr>
            <w:tcW w:w="1511" w:type="dxa"/>
            <w:noWrap w:val="0"/>
            <w:vAlign w:val="center"/>
          </w:tcPr>
          <w:p w14:paraId="387D1187">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100≤Y＜1000</w:t>
            </w:r>
          </w:p>
        </w:tc>
        <w:tc>
          <w:tcPr>
            <w:tcW w:w="1049" w:type="dxa"/>
            <w:noWrap w:val="0"/>
            <w:vAlign w:val="center"/>
          </w:tcPr>
          <w:p w14:paraId="5C42FB9C">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Y＜100</w:t>
            </w:r>
          </w:p>
        </w:tc>
      </w:tr>
      <w:tr w14:paraId="5211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noWrap w:val="0"/>
            <w:vAlign w:val="center"/>
          </w:tcPr>
          <w:p w14:paraId="586F1C0A">
            <w:pPr>
              <w:widowControl/>
              <w:spacing w:line="240" w:lineRule="exact"/>
              <w:jc w:val="left"/>
              <w:rPr>
                <w:rFonts w:hint="eastAsia" w:ascii="宋体" w:cs="宋体"/>
                <w:color w:val="000000" w:themeColor="text1"/>
                <w:spacing w:val="-12"/>
                <w:kern w:val="0"/>
                <w:sz w:val="18"/>
                <w:szCs w:val="18"/>
                <w:highlight w:val="none"/>
                <w:lang w:bidi="ar-SA"/>
                <w14:textFill>
                  <w14:solidFill>
                    <w14:schemeClr w14:val="tx1"/>
                  </w14:solidFill>
                </w14:textFill>
              </w:rPr>
            </w:pPr>
            <w:r>
              <w:rPr>
                <w:rFonts w:hint="eastAsia" w:ascii="宋体" w:cs="宋体"/>
                <w:color w:val="000000" w:themeColor="text1"/>
                <w:spacing w:val="-12"/>
                <w:kern w:val="0"/>
                <w:sz w:val="18"/>
                <w:szCs w:val="18"/>
                <w:highlight w:val="none"/>
                <w:lang w:bidi="ar-SA"/>
                <w14:textFill>
                  <w14:solidFill>
                    <w14:schemeClr w14:val="tx1"/>
                  </w14:solidFill>
                </w14:textFill>
              </w:rPr>
              <w:t>软件和信息技术服</w:t>
            </w:r>
            <w:r>
              <w:rPr>
                <w:rFonts w:hint="eastAsia" w:ascii="宋体" w:cs="宋体"/>
                <w:color w:val="000000" w:themeColor="text1"/>
                <w:kern w:val="0"/>
                <w:sz w:val="18"/>
                <w:szCs w:val="18"/>
                <w:highlight w:val="none"/>
                <w:lang w:bidi="ar-SA"/>
                <w14:textFill>
                  <w14:solidFill>
                    <w14:schemeClr w14:val="tx1"/>
                  </w14:solidFill>
                </w14:textFill>
              </w:rPr>
              <w:t>务业</w:t>
            </w:r>
          </w:p>
        </w:tc>
        <w:tc>
          <w:tcPr>
            <w:tcW w:w="1451" w:type="dxa"/>
            <w:noWrap w:val="0"/>
            <w:vAlign w:val="center"/>
          </w:tcPr>
          <w:p w14:paraId="6275C7B7">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从业人员(X)</w:t>
            </w:r>
          </w:p>
        </w:tc>
        <w:tc>
          <w:tcPr>
            <w:tcW w:w="750" w:type="dxa"/>
            <w:noWrap w:val="0"/>
            <w:vAlign w:val="center"/>
          </w:tcPr>
          <w:p w14:paraId="13F5ABCB">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人</w:t>
            </w:r>
          </w:p>
        </w:tc>
        <w:tc>
          <w:tcPr>
            <w:tcW w:w="1191" w:type="dxa"/>
            <w:noWrap w:val="0"/>
            <w:vAlign w:val="center"/>
          </w:tcPr>
          <w:p w14:paraId="119C5188">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X≥300</w:t>
            </w:r>
          </w:p>
        </w:tc>
        <w:tc>
          <w:tcPr>
            <w:tcW w:w="1803" w:type="dxa"/>
            <w:noWrap w:val="0"/>
            <w:vAlign w:val="center"/>
          </w:tcPr>
          <w:p w14:paraId="537A4119">
            <w:pPr>
              <w:widowControl/>
              <w:ind w:left="1" w:leftChars="-51" w:hanging="108" w:hangingChars="60"/>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 xml:space="preserve">100≤X＜300 </w:t>
            </w:r>
          </w:p>
        </w:tc>
        <w:tc>
          <w:tcPr>
            <w:tcW w:w="1511" w:type="dxa"/>
            <w:noWrap w:val="0"/>
            <w:vAlign w:val="center"/>
          </w:tcPr>
          <w:p w14:paraId="565EF9B1">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10≤X＜100</w:t>
            </w:r>
          </w:p>
        </w:tc>
        <w:tc>
          <w:tcPr>
            <w:tcW w:w="1049" w:type="dxa"/>
            <w:noWrap w:val="0"/>
            <w:vAlign w:val="center"/>
          </w:tcPr>
          <w:p w14:paraId="0D48FCFF">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X＜10</w:t>
            </w:r>
          </w:p>
        </w:tc>
      </w:tr>
      <w:tr w14:paraId="7953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noWrap w:val="0"/>
            <w:vAlign w:val="center"/>
          </w:tcPr>
          <w:p w14:paraId="054CDC9D">
            <w:pPr>
              <w:rPr>
                <w:color w:val="000000" w:themeColor="text1"/>
                <w:highlight w:val="none"/>
                <w14:textFill>
                  <w14:solidFill>
                    <w14:schemeClr w14:val="tx1"/>
                  </w14:solidFill>
                </w14:textFill>
              </w:rPr>
            </w:pPr>
          </w:p>
        </w:tc>
        <w:tc>
          <w:tcPr>
            <w:tcW w:w="1451" w:type="dxa"/>
            <w:noWrap w:val="0"/>
            <w:vAlign w:val="center"/>
          </w:tcPr>
          <w:p w14:paraId="7C3E9657">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营业收入(Y)</w:t>
            </w:r>
          </w:p>
        </w:tc>
        <w:tc>
          <w:tcPr>
            <w:tcW w:w="750" w:type="dxa"/>
            <w:noWrap w:val="0"/>
            <w:vAlign w:val="center"/>
          </w:tcPr>
          <w:p w14:paraId="392CE591">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万元</w:t>
            </w:r>
          </w:p>
        </w:tc>
        <w:tc>
          <w:tcPr>
            <w:tcW w:w="1191" w:type="dxa"/>
            <w:noWrap w:val="0"/>
            <w:vAlign w:val="center"/>
          </w:tcPr>
          <w:p w14:paraId="52CF7AAF">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Y≥10000</w:t>
            </w:r>
          </w:p>
        </w:tc>
        <w:tc>
          <w:tcPr>
            <w:tcW w:w="1803" w:type="dxa"/>
            <w:noWrap w:val="0"/>
            <w:vAlign w:val="center"/>
          </w:tcPr>
          <w:p w14:paraId="4D841809">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1000≤Y＜10000</w:t>
            </w:r>
          </w:p>
        </w:tc>
        <w:tc>
          <w:tcPr>
            <w:tcW w:w="1511" w:type="dxa"/>
            <w:noWrap w:val="0"/>
            <w:vAlign w:val="center"/>
          </w:tcPr>
          <w:p w14:paraId="7E5D0042">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50≤Y＜1000</w:t>
            </w:r>
          </w:p>
        </w:tc>
        <w:tc>
          <w:tcPr>
            <w:tcW w:w="1049" w:type="dxa"/>
            <w:noWrap w:val="0"/>
            <w:vAlign w:val="center"/>
          </w:tcPr>
          <w:p w14:paraId="2A23E57E">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Y＜50</w:t>
            </w:r>
          </w:p>
        </w:tc>
      </w:tr>
      <w:tr w14:paraId="2B9C6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noWrap w:val="0"/>
            <w:vAlign w:val="center"/>
          </w:tcPr>
          <w:p w14:paraId="2FE72691">
            <w:pPr>
              <w:widowControl/>
              <w:spacing w:line="240" w:lineRule="exact"/>
              <w:jc w:val="left"/>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房地产开发经营</w:t>
            </w:r>
          </w:p>
        </w:tc>
        <w:tc>
          <w:tcPr>
            <w:tcW w:w="1451" w:type="dxa"/>
            <w:noWrap w:val="0"/>
            <w:vAlign w:val="center"/>
          </w:tcPr>
          <w:p w14:paraId="23FAC88E">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营业收入(Y)</w:t>
            </w:r>
          </w:p>
        </w:tc>
        <w:tc>
          <w:tcPr>
            <w:tcW w:w="750" w:type="dxa"/>
            <w:noWrap w:val="0"/>
            <w:vAlign w:val="center"/>
          </w:tcPr>
          <w:p w14:paraId="0342E119">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万元</w:t>
            </w:r>
          </w:p>
        </w:tc>
        <w:tc>
          <w:tcPr>
            <w:tcW w:w="1191" w:type="dxa"/>
            <w:noWrap w:val="0"/>
            <w:vAlign w:val="center"/>
          </w:tcPr>
          <w:p w14:paraId="7B3D543B">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Y≥200000</w:t>
            </w:r>
          </w:p>
        </w:tc>
        <w:tc>
          <w:tcPr>
            <w:tcW w:w="1803" w:type="dxa"/>
            <w:noWrap w:val="0"/>
            <w:vAlign w:val="center"/>
          </w:tcPr>
          <w:p w14:paraId="631F9179">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1000≤Y＜200000</w:t>
            </w:r>
          </w:p>
        </w:tc>
        <w:tc>
          <w:tcPr>
            <w:tcW w:w="1511" w:type="dxa"/>
            <w:noWrap w:val="0"/>
            <w:vAlign w:val="center"/>
          </w:tcPr>
          <w:p w14:paraId="4E74A7AE">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100≤Y＜1000</w:t>
            </w:r>
          </w:p>
        </w:tc>
        <w:tc>
          <w:tcPr>
            <w:tcW w:w="1049" w:type="dxa"/>
            <w:noWrap w:val="0"/>
            <w:vAlign w:val="center"/>
          </w:tcPr>
          <w:p w14:paraId="0487282E">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Y＜100</w:t>
            </w:r>
          </w:p>
        </w:tc>
      </w:tr>
      <w:tr w14:paraId="6B25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noWrap w:val="0"/>
            <w:vAlign w:val="center"/>
          </w:tcPr>
          <w:p w14:paraId="1F3D7C3F">
            <w:pPr>
              <w:rPr>
                <w:color w:val="000000" w:themeColor="text1"/>
                <w:highlight w:val="none"/>
                <w14:textFill>
                  <w14:solidFill>
                    <w14:schemeClr w14:val="tx1"/>
                  </w14:solidFill>
                </w14:textFill>
              </w:rPr>
            </w:pPr>
          </w:p>
        </w:tc>
        <w:tc>
          <w:tcPr>
            <w:tcW w:w="1451" w:type="dxa"/>
            <w:noWrap w:val="0"/>
            <w:vAlign w:val="center"/>
          </w:tcPr>
          <w:p w14:paraId="00D73576">
            <w:pPr>
              <w:widowControl/>
              <w:spacing w:line="240" w:lineRule="exact"/>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资产总额(Z)</w:t>
            </w:r>
          </w:p>
        </w:tc>
        <w:tc>
          <w:tcPr>
            <w:tcW w:w="750" w:type="dxa"/>
            <w:noWrap w:val="0"/>
            <w:vAlign w:val="center"/>
          </w:tcPr>
          <w:p w14:paraId="0D1D3D4B">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万元</w:t>
            </w:r>
          </w:p>
        </w:tc>
        <w:tc>
          <w:tcPr>
            <w:tcW w:w="1191" w:type="dxa"/>
            <w:noWrap w:val="0"/>
            <w:vAlign w:val="center"/>
          </w:tcPr>
          <w:p w14:paraId="512D9261">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Z≥10000</w:t>
            </w:r>
          </w:p>
        </w:tc>
        <w:tc>
          <w:tcPr>
            <w:tcW w:w="1803" w:type="dxa"/>
            <w:noWrap w:val="0"/>
            <w:vAlign w:val="center"/>
          </w:tcPr>
          <w:p w14:paraId="06486E5E">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5000≤Z＜10000</w:t>
            </w:r>
          </w:p>
        </w:tc>
        <w:tc>
          <w:tcPr>
            <w:tcW w:w="1511" w:type="dxa"/>
            <w:noWrap w:val="0"/>
            <w:vAlign w:val="center"/>
          </w:tcPr>
          <w:p w14:paraId="035FE169">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2000≤Z＜5000</w:t>
            </w:r>
          </w:p>
        </w:tc>
        <w:tc>
          <w:tcPr>
            <w:tcW w:w="1049" w:type="dxa"/>
            <w:noWrap w:val="0"/>
            <w:vAlign w:val="center"/>
          </w:tcPr>
          <w:p w14:paraId="038717C3">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Z＜2000</w:t>
            </w:r>
          </w:p>
        </w:tc>
      </w:tr>
      <w:tr w14:paraId="1BDB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noWrap w:val="0"/>
            <w:vAlign w:val="center"/>
          </w:tcPr>
          <w:p w14:paraId="2E109332">
            <w:pPr>
              <w:widowControl/>
              <w:spacing w:line="240" w:lineRule="exact"/>
              <w:jc w:val="left"/>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物业管理</w:t>
            </w:r>
          </w:p>
        </w:tc>
        <w:tc>
          <w:tcPr>
            <w:tcW w:w="1451" w:type="dxa"/>
            <w:noWrap w:val="0"/>
            <w:vAlign w:val="center"/>
          </w:tcPr>
          <w:p w14:paraId="31B3109B">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从业人员(X)</w:t>
            </w:r>
          </w:p>
        </w:tc>
        <w:tc>
          <w:tcPr>
            <w:tcW w:w="750" w:type="dxa"/>
            <w:noWrap w:val="0"/>
            <w:vAlign w:val="center"/>
          </w:tcPr>
          <w:p w14:paraId="7628771D">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人</w:t>
            </w:r>
          </w:p>
        </w:tc>
        <w:tc>
          <w:tcPr>
            <w:tcW w:w="1191" w:type="dxa"/>
            <w:noWrap w:val="0"/>
            <w:vAlign w:val="center"/>
          </w:tcPr>
          <w:p w14:paraId="4C888072">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X≥1000</w:t>
            </w:r>
          </w:p>
        </w:tc>
        <w:tc>
          <w:tcPr>
            <w:tcW w:w="1803" w:type="dxa"/>
            <w:noWrap w:val="0"/>
            <w:vAlign w:val="center"/>
          </w:tcPr>
          <w:p w14:paraId="082E8A59">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300≤X＜1000</w:t>
            </w:r>
          </w:p>
        </w:tc>
        <w:tc>
          <w:tcPr>
            <w:tcW w:w="1511" w:type="dxa"/>
            <w:noWrap w:val="0"/>
            <w:vAlign w:val="center"/>
          </w:tcPr>
          <w:p w14:paraId="5CEC2DFA">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100≤X＜300</w:t>
            </w:r>
          </w:p>
        </w:tc>
        <w:tc>
          <w:tcPr>
            <w:tcW w:w="1049" w:type="dxa"/>
            <w:noWrap w:val="0"/>
            <w:vAlign w:val="center"/>
          </w:tcPr>
          <w:p w14:paraId="54C7E1FD">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X＜100</w:t>
            </w:r>
          </w:p>
        </w:tc>
      </w:tr>
      <w:tr w14:paraId="3AE87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noWrap w:val="0"/>
            <w:vAlign w:val="center"/>
          </w:tcPr>
          <w:p w14:paraId="4083581E">
            <w:pPr>
              <w:rPr>
                <w:color w:val="000000" w:themeColor="text1"/>
                <w:highlight w:val="none"/>
                <w14:textFill>
                  <w14:solidFill>
                    <w14:schemeClr w14:val="tx1"/>
                  </w14:solidFill>
                </w14:textFill>
              </w:rPr>
            </w:pPr>
          </w:p>
        </w:tc>
        <w:tc>
          <w:tcPr>
            <w:tcW w:w="1451" w:type="dxa"/>
            <w:noWrap w:val="0"/>
            <w:vAlign w:val="center"/>
          </w:tcPr>
          <w:p w14:paraId="2F38A04B">
            <w:pPr>
              <w:widowControl/>
              <w:spacing w:line="240" w:lineRule="exact"/>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营业收入(Y)</w:t>
            </w:r>
          </w:p>
        </w:tc>
        <w:tc>
          <w:tcPr>
            <w:tcW w:w="750" w:type="dxa"/>
            <w:noWrap w:val="0"/>
            <w:vAlign w:val="center"/>
          </w:tcPr>
          <w:p w14:paraId="00E7263C">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万元</w:t>
            </w:r>
          </w:p>
        </w:tc>
        <w:tc>
          <w:tcPr>
            <w:tcW w:w="1191" w:type="dxa"/>
            <w:noWrap w:val="0"/>
            <w:vAlign w:val="center"/>
          </w:tcPr>
          <w:p w14:paraId="3B0C8AB4">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Y≥5000</w:t>
            </w:r>
          </w:p>
        </w:tc>
        <w:tc>
          <w:tcPr>
            <w:tcW w:w="1803" w:type="dxa"/>
            <w:noWrap w:val="0"/>
            <w:vAlign w:val="center"/>
          </w:tcPr>
          <w:p w14:paraId="24C497F4">
            <w:pPr>
              <w:widowControl/>
              <w:ind w:left="1" w:leftChars="-51" w:hanging="108" w:hangingChars="60"/>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1000≤Y＜5000</w:t>
            </w:r>
          </w:p>
        </w:tc>
        <w:tc>
          <w:tcPr>
            <w:tcW w:w="1511" w:type="dxa"/>
            <w:noWrap w:val="0"/>
            <w:vAlign w:val="center"/>
          </w:tcPr>
          <w:p w14:paraId="4FB09717">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500≤Y＜1000</w:t>
            </w:r>
          </w:p>
        </w:tc>
        <w:tc>
          <w:tcPr>
            <w:tcW w:w="1049" w:type="dxa"/>
            <w:noWrap w:val="0"/>
            <w:vAlign w:val="center"/>
          </w:tcPr>
          <w:p w14:paraId="3EC0F6AB">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Y＜500</w:t>
            </w:r>
          </w:p>
        </w:tc>
      </w:tr>
      <w:tr w14:paraId="498B1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noWrap w:val="0"/>
            <w:vAlign w:val="center"/>
          </w:tcPr>
          <w:p w14:paraId="1645C3EC">
            <w:pPr>
              <w:widowControl/>
              <w:spacing w:line="240" w:lineRule="exact"/>
              <w:jc w:val="left"/>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租赁和商务服务业</w:t>
            </w:r>
          </w:p>
        </w:tc>
        <w:tc>
          <w:tcPr>
            <w:tcW w:w="1451" w:type="dxa"/>
            <w:noWrap w:val="0"/>
            <w:vAlign w:val="center"/>
          </w:tcPr>
          <w:p w14:paraId="06A4852C">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从业人员(X)</w:t>
            </w:r>
          </w:p>
        </w:tc>
        <w:tc>
          <w:tcPr>
            <w:tcW w:w="750" w:type="dxa"/>
            <w:noWrap w:val="0"/>
            <w:vAlign w:val="center"/>
          </w:tcPr>
          <w:p w14:paraId="5DC3D4F5">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人</w:t>
            </w:r>
          </w:p>
        </w:tc>
        <w:tc>
          <w:tcPr>
            <w:tcW w:w="1191" w:type="dxa"/>
            <w:noWrap w:val="0"/>
            <w:vAlign w:val="center"/>
          </w:tcPr>
          <w:p w14:paraId="6B6C2544">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X≥300</w:t>
            </w:r>
          </w:p>
        </w:tc>
        <w:tc>
          <w:tcPr>
            <w:tcW w:w="1803" w:type="dxa"/>
            <w:noWrap w:val="0"/>
            <w:vAlign w:val="center"/>
          </w:tcPr>
          <w:p w14:paraId="02CFFE13">
            <w:pPr>
              <w:widowControl/>
              <w:ind w:left="1" w:leftChars="-51" w:hanging="108" w:hangingChars="60"/>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100≤X＜300</w:t>
            </w:r>
          </w:p>
        </w:tc>
        <w:tc>
          <w:tcPr>
            <w:tcW w:w="1511" w:type="dxa"/>
            <w:noWrap w:val="0"/>
            <w:vAlign w:val="center"/>
          </w:tcPr>
          <w:p w14:paraId="5439F95D">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10≤X＜100</w:t>
            </w:r>
          </w:p>
        </w:tc>
        <w:tc>
          <w:tcPr>
            <w:tcW w:w="1049" w:type="dxa"/>
            <w:noWrap w:val="0"/>
            <w:vAlign w:val="center"/>
          </w:tcPr>
          <w:p w14:paraId="659BBDC8">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X＜10</w:t>
            </w:r>
          </w:p>
        </w:tc>
      </w:tr>
      <w:tr w14:paraId="7671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noWrap w:val="0"/>
            <w:vAlign w:val="center"/>
          </w:tcPr>
          <w:p w14:paraId="30587D85">
            <w:pPr>
              <w:rPr>
                <w:color w:val="000000" w:themeColor="text1"/>
                <w:highlight w:val="none"/>
                <w14:textFill>
                  <w14:solidFill>
                    <w14:schemeClr w14:val="tx1"/>
                  </w14:solidFill>
                </w14:textFill>
              </w:rPr>
            </w:pPr>
          </w:p>
        </w:tc>
        <w:tc>
          <w:tcPr>
            <w:tcW w:w="1451" w:type="dxa"/>
            <w:noWrap w:val="0"/>
            <w:vAlign w:val="center"/>
          </w:tcPr>
          <w:p w14:paraId="63C91FC0">
            <w:pPr>
              <w:widowControl/>
              <w:spacing w:line="240" w:lineRule="exact"/>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资产总额(Z)</w:t>
            </w:r>
          </w:p>
        </w:tc>
        <w:tc>
          <w:tcPr>
            <w:tcW w:w="750" w:type="dxa"/>
            <w:noWrap w:val="0"/>
            <w:vAlign w:val="center"/>
          </w:tcPr>
          <w:p w14:paraId="37C7A928">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万元</w:t>
            </w:r>
          </w:p>
        </w:tc>
        <w:tc>
          <w:tcPr>
            <w:tcW w:w="1191" w:type="dxa"/>
            <w:noWrap w:val="0"/>
            <w:vAlign w:val="center"/>
          </w:tcPr>
          <w:p w14:paraId="04E8CB4D">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Z≥120000</w:t>
            </w:r>
          </w:p>
        </w:tc>
        <w:tc>
          <w:tcPr>
            <w:tcW w:w="1803" w:type="dxa"/>
            <w:noWrap w:val="0"/>
            <w:vAlign w:val="center"/>
          </w:tcPr>
          <w:p w14:paraId="3006245D">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8000≤Z＜120000</w:t>
            </w:r>
          </w:p>
        </w:tc>
        <w:tc>
          <w:tcPr>
            <w:tcW w:w="1511" w:type="dxa"/>
            <w:noWrap w:val="0"/>
            <w:vAlign w:val="center"/>
          </w:tcPr>
          <w:p w14:paraId="51C989F0">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100≤Z＜8000</w:t>
            </w:r>
          </w:p>
        </w:tc>
        <w:tc>
          <w:tcPr>
            <w:tcW w:w="1049" w:type="dxa"/>
            <w:noWrap w:val="0"/>
            <w:vAlign w:val="center"/>
          </w:tcPr>
          <w:p w14:paraId="5D85FB50">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Z＜100</w:t>
            </w:r>
          </w:p>
        </w:tc>
      </w:tr>
      <w:tr w14:paraId="0BEE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noWrap w:val="0"/>
            <w:vAlign w:val="center"/>
          </w:tcPr>
          <w:p w14:paraId="68A1358D">
            <w:pPr>
              <w:widowControl/>
              <w:spacing w:line="240" w:lineRule="exact"/>
              <w:jc w:val="left"/>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其他未列明行业 *</w:t>
            </w:r>
          </w:p>
        </w:tc>
        <w:tc>
          <w:tcPr>
            <w:tcW w:w="1451" w:type="dxa"/>
            <w:noWrap w:val="0"/>
            <w:vAlign w:val="center"/>
          </w:tcPr>
          <w:p w14:paraId="18F1DEE9">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从业人员(X)</w:t>
            </w:r>
          </w:p>
        </w:tc>
        <w:tc>
          <w:tcPr>
            <w:tcW w:w="750" w:type="dxa"/>
            <w:noWrap w:val="0"/>
            <w:vAlign w:val="center"/>
          </w:tcPr>
          <w:p w14:paraId="2B3DED3A">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人</w:t>
            </w:r>
          </w:p>
        </w:tc>
        <w:tc>
          <w:tcPr>
            <w:tcW w:w="1191" w:type="dxa"/>
            <w:noWrap w:val="0"/>
            <w:vAlign w:val="center"/>
          </w:tcPr>
          <w:p w14:paraId="1CCBD547">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X≥300</w:t>
            </w:r>
          </w:p>
        </w:tc>
        <w:tc>
          <w:tcPr>
            <w:tcW w:w="1803" w:type="dxa"/>
            <w:noWrap w:val="0"/>
            <w:vAlign w:val="center"/>
          </w:tcPr>
          <w:p w14:paraId="0180FE05">
            <w:pPr>
              <w:widowControl/>
              <w:ind w:left="1" w:leftChars="-51" w:hanging="108" w:hangingChars="60"/>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100≤X＜300</w:t>
            </w:r>
          </w:p>
        </w:tc>
        <w:tc>
          <w:tcPr>
            <w:tcW w:w="1511" w:type="dxa"/>
            <w:noWrap w:val="0"/>
            <w:vAlign w:val="center"/>
          </w:tcPr>
          <w:p w14:paraId="478BA990">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10≤X＜100</w:t>
            </w:r>
          </w:p>
        </w:tc>
        <w:tc>
          <w:tcPr>
            <w:tcW w:w="1049" w:type="dxa"/>
            <w:noWrap w:val="0"/>
            <w:vAlign w:val="center"/>
          </w:tcPr>
          <w:p w14:paraId="641F8AFC">
            <w:pPr>
              <w:widowControl/>
              <w:jc w:val="center"/>
              <w:rPr>
                <w:rFonts w:hint="eastAsia" w:ascii="宋体" w:cs="宋体"/>
                <w:color w:val="000000" w:themeColor="text1"/>
                <w:kern w:val="0"/>
                <w:sz w:val="18"/>
                <w:szCs w:val="18"/>
                <w:highlight w:val="none"/>
                <w:lang w:bidi="ar-SA"/>
                <w14:textFill>
                  <w14:solidFill>
                    <w14:schemeClr w14:val="tx1"/>
                  </w14:solidFill>
                </w14:textFill>
              </w:rPr>
            </w:pPr>
            <w:r>
              <w:rPr>
                <w:rFonts w:hint="eastAsia" w:ascii="宋体" w:cs="宋体"/>
                <w:color w:val="000000" w:themeColor="text1"/>
                <w:kern w:val="0"/>
                <w:sz w:val="18"/>
                <w:szCs w:val="18"/>
                <w:highlight w:val="none"/>
                <w:lang w:bidi="ar-SA"/>
                <w14:textFill>
                  <w14:solidFill>
                    <w14:schemeClr w14:val="tx1"/>
                  </w14:solidFill>
                </w14:textFill>
              </w:rPr>
              <w:t>X＜10</w:t>
            </w:r>
          </w:p>
        </w:tc>
      </w:tr>
    </w:tbl>
    <w:p w14:paraId="204A950E">
      <w:pPr>
        <w:widowControl/>
        <w:spacing w:line="540" w:lineRule="exact"/>
        <w:rPr>
          <w:rFonts w:hint="eastAsia" w:ascii="宋体" w:cs="宋体"/>
          <w:color w:val="000000" w:themeColor="text1"/>
          <w:spacing w:val="8"/>
          <w:kern w:val="0"/>
          <w:sz w:val="24"/>
          <w:highlight w:val="none"/>
          <w:lang w:bidi="ar-SA"/>
          <w14:textFill>
            <w14:solidFill>
              <w14:schemeClr w14:val="tx1"/>
            </w14:solidFill>
          </w14:textFill>
        </w:rPr>
      </w:pPr>
    </w:p>
    <w:p w14:paraId="6A5FD7F0">
      <w:pPr>
        <w:widowControl/>
        <w:spacing w:line="540" w:lineRule="exact"/>
        <w:rPr>
          <w:rFonts w:hint="eastAsia" w:ascii="宋体" w:cs="宋体"/>
          <w:color w:val="000000" w:themeColor="text1"/>
          <w:spacing w:val="8"/>
          <w:kern w:val="0"/>
          <w:sz w:val="24"/>
          <w:highlight w:val="none"/>
          <w:lang w:bidi="ar-SA"/>
          <w14:textFill>
            <w14:solidFill>
              <w14:schemeClr w14:val="tx1"/>
            </w14:solidFill>
          </w14:textFill>
        </w:rPr>
      </w:pPr>
      <w:r>
        <w:rPr>
          <w:rFonts w:hint="eastAsia" w:ascii="宋体" w:cs="宋体"/>
          <w:color w:val="000000" w:themeColor="text1"/>
          <w:spacing w:val="8"/>
          <w:kern w:val="0"/>
          <w:sz w:val="24"/>
          <w:highlight w:val="none"/>
          <w:lang w:bidi="ar-SA"/>
          <w14:textFill>
            <w14:solidFill>
              <w14:schemeClr w14:val="tx1"/>
            </w14:solidFill>
          </w14:textFill>
        </w:rPr>
        <w:t>说明：</w:t>
      </w:r>
    </w:p>
    <w:p w14:paraId="07E76F73">
      <w:pPr>
        <w:pStyle w:val="12"/>
        <w:adjustRightInd w:val="0"/>
        <w:spacing w:line="380" w:lineRule="exact"/>
        <w:ind w:firstLine="512" w:firstLineChars="200"/>
        <w:contextualSpacing/>
        <w:rPr>
          <w:rFonts w:cs="宋体"/>
          <w:color w:val="000000" w:themeColor="text1"/>
          <w:spacing w:val="8"/>
          <w:kern w:val="0"/>
          <w:sz w:val="24"/>
          <w:szCs w:val="24"/>
          <w:highlight w:val="none"/>
          <w:lang w:bidi="ar-SA"/>
          <w14:textFill>
            <w14:solidFill>
              <w14:schemeClr w14:val="tx1"/>
            </w14:solidFill>
          </w14:textFill>
        </w:rPr>
      </w:pPr>
      <w:r>
        <w:rPr>
          <w:rFonts w:hint="eastAsia" w:cs="宋体"/>
          <w:color w:val="000000" w:themeColor="text1"/>
          <w:spacing w:val="8"/>
          <w:kern w:val="0"/>
          <w:sz w:val="24"/>
          <w:szCs w:val="24"/>
          <w:highlight w:val="none"/>
          <w:lang w:bidi="ar-SA"/>
          <w14:textFill>
            <w14:solidFill>
              <w14:schemeClr w14:val="tx1"/>
            </w14:solidFill>
          </w14:textFill>
        </w:rPr>
        <w:t>1.大型、中型和小型企业须同时满足所列指标的下限，否则下划一档；微型企业只须满足所列指标中的一项即可。</w:t>
      </w:r>
    </w:p>
    <w:p w14:paraId="04F1C21A">
      <w:pPr>
        <w:pStyle w:val="12"/>
        <w:adjustRightInd w:val="0"/>
        <w:spacing w:line="380" w:lineRule="exact"/>
        <w:ind w:firstLine="512" w:firstLineChars="200"/>
        <w:contextualSpacing/>
        <w:rPr>
          <w:rFonts w:cs="宋体"/>
          <w:color w:val="000000" w:themeColor="text1"/>
          <w:spacing w:val="8"/>
          <w:kern w:val="0"/>
          <w:sz w:val="24"/>
          <w:szCs w:val="24"/>
          <w:highlight w:val="none"/>
          <w:lang w:bidi="ar-SA"/>
          <w14:textFill>
            <w14:solidFill>
              <w14:schemeClr w14:val="tx1"/>
            </w14:solidFill>
          </w14:textFill>
        </w:rPr>
      </w:pPr>
      <w:r>
        <w:rPr>
          <w:rFonts w:hint="eastAsia" w:cs="宋体"/>
          <w:color w:val="000000" w:themeColor="text1"/>
          <w:spacing w:val="8"/>
          <w:kern w:val="0"/>
          <w:sz w:val="24"/>
          <w:szCs w:val="24"/>
          <w:highlight w:val="none"/>
          <w:lang w:bidi="ar-SA"/>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E76A355">
      <w:pPr>
        <w:pStyle w:val="12"/>
        <w:adjustRightInd w:val="0"/>
        <w:spacing w:line="380" w:lineRule="exact"/>
        <w:ind w:firstLine="512" w:firstLineChars="200"/>
        <w:contextualSpacing/>
        <w:rPr>
          <w:rFonts w:cs="宋体"/>
          <w:bCs/>
          <w:color w:val="000000" w:themeColor="text1"/>
          <w:highlight w:val="none"/>
          <w:lang w:bidi="ar-SA"/>
          <w14:textFill>
            <w14:solidFill>
              <w14:schemeClr w14:val="tx1"/>
            </w14:solidFill>
          </w14:textFill>
        </w:rPr>
      </w:pPr>
      <w:r>
        <w:rPr>
          <w:rFonts w:hint="eastAsia" w:cs="宋体"/>
          <w:color w:val="000000" w:themeColor="text1"/>
          <w:spacing w:val="8"/>
          <w:kern w:val="0"/>
          <w:sz w:val="24"/>
          <w:szCs w:val="24"/>
          <w:highlight w:val="none"/>
          <w:lang w:bidi="ar-SA"/>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CEA2909">
      <w:pPr>
        <w:pStyle w:val="12"/>
        <w:spacing w:line="500" w:lineRule="exact"/>
        <w:rPr>
          <w:rFonts w:hint="eastAsia"/>
          <w:b/>
          <w:color w:val="000000" w:themeColor="text1"/>
          <w:sz w:val="28"/>
          <w:szCs w:val="28"/>
          <w:highlight w:val="none"/>
          <w14:textFill>
            <w14:solidFill>
              <w14:schemeClr w14:val="tx1"/>
            </w14:solidFill>
          </w14:textFill>
        </w:rPr>
      </w:pPr>
    </w:p>
    <w:p w14:paraId="3BEE8270">
      <w:pPr>
        <w:spacing w:line="588" w:lineRule="exact"/>
        <w:rPr>
          <w:rFonts w:hint="eastAsia" w:ascii="宋体"/>
          <w:b/>
          <w:color w:val="000000" w:themeColor="text1"/>
          <w:spacing w:val="6"/>
          <w:sz w:val="28"/>
          <w:szCs w:val="28"/>
          <w:highlight w:val="none"/>
          <w14:textFill>
            <w14:solidFill>
              <w14:schemeClr w14:val="tx1"/>
            </w14:solidFill>
          </w14:textFill>
        </w:rPr>
      </w:pPr>
      <w:r>
        <w:rPr>
          <w:rFonts w:hint="eastAsia" w:ascii="宋体"/>
          <w:b/>
          <w:color w:val="000000" w:themeColor="text1"/>
          <w:spacing w:val="6"/>
          <w:sz w:val="28"/>
          <w:szCs w:val="28"/>
          <w:highlight w:val="none"/>
          <w14:textFill>
            <w14:solidFill>
              <w14:schemeClr w14:val="tx1"/>
            </w14:solidFill>
          </w14:textFill>
        </w:rPr>
        <w:t>附件：</w:t>
      </w:r>
    </w:p>
    <w:p w14:paraId="1E2AAEA4">
      <w:pPr>
        <w:spacing w:line="588" w:lineRule="exact"/>
        <w:jc w:val="center"/>
        <w:rPr>
          <w:rFonts w:hint="eastAsia" w:ascii="宋体"/>
          <w:b/>
          <w:color w:val="000000" w:themeColor="text1"/>
          <w:spacing w:val="6"/>
          <w:sz w:val="28"/>
          <w:szCs w:val="28"/>
          <w:highlight w:val="none"/>
          <w14:textFill>
            <w14:solidFill>
              <w14:schemeClr w14:val="tx1"/>
            </w14:solidFill>
          </w14:textFill>
        </w:rPr>
      </w:pPr>
      <w:r>
        <w:rPr>
          <w:rFonts w:hint="eastAsia" w:ascii="宋体"/>
          <w:b/>
          <w:color w:val="000000" w:themeColor="text1"/>
          <w:spacing w:val="6"/>
          <w:sz w:val="28"/>
          <w:szCs w:val="28"/>
          <w:highlight w:val="none"/>
          <w14:textFill>
            <w14:solidFill>
              <w14:schemeClr w14:val="tx1"/>
            </w14:solidFill>
          </w14:textFill>
        </w:rPr>
        <w:t>残疾人福利性单位声明函（格式）</w:t>
      </w:r>
    </w:p>
    <w:p w14:paraId="737ECB7F">
      <w:pPr>
        <w:spacing w:line="460" w:lineRule="exact"/>
        <w:ind w:firstLine="504" w:firstLineChars="200"/>
        <w:rPr>
          <w:rFonts w:hint="eastAsia" w:ascii="宋体"/>
          <w:color w:val="000000" w:themeColor="text1"/>
          <w:spacing w:val="6"/>
          <w:sz w:val="24"/>
          <w:highlight w:val="none"/>
          <w14:textFill>
            <w14:solidFill>
              <w14:schemeClr w14:val="tx1"/>
            </w14:solidFill>
          </w14:textFill>
        </w:rPr>
      </w:pPr>
      <w:r>
        <w:rPr>
          <w:rFonts w:hint="eastAsia" w:ascii="宋体"/>
          <w:color w:val="000000" w:themeColor="text1"/>
          <w:spacing w:val="6"/>
          <w:sz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color w:val="000000" w:themeColor="text1"/>
          <w:sz w:val="24"/>
          <w:highlight w:val="none"/>
          <w14:textFill>
            <w14:solidFill>
              <w14:schemeClr w14:val="tx1"/>
            </w14:solidFill>
          </w14:textFill>
        </w:rPr>
        <w:t>〔2017〕 141</w:t>
      </w:r>
      <w:r>
        <w:rPr>
          <w:rFonts w:hint="eastAsia" w:ascii="宋体"/>
          <w:color w:val="000000" w:themeColor="text1"/>
          <w:spacing w:val="6"/>
          <w:sz w:val="24"/>
          <w:highlight w:val="none"/>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7F7BBB8">
      <w:pPr>
        <w:spacing w:line="460" w:lineRule="exact"/>
        <w:ind w:firstLine="504" w:firstLineChars="200"/>
        <w:rPr>
          <w:rFonts w:hint="eastAsia" w:ascii="宋体"/>
          <w:color w:val="000000" w:themeColor="text1"/>
          <w:spacing w:val="6"/>
          <w:sz w:val="24"/>
          <w:highlight w:val="none"/>
          <w14:textFill>
            <w14:solidFill>
              <w14:schemeClr w14:val="tx1"/>
            </w14:solidFill>
          </w14:textFill>
        </w:rPr>
      </w:pPr>
      <w:r>
        <w:rPr>
          <w:rFonts w:hint="eastAsia" w:ascii="宋体"/>
          <w:color w:val="000000" w:themeColor="text1"/>
          <w:spacing w:val="6"/>
          <w:sz w:val="24"/>
          <w:highlight w:val="none"/>
          <w14:textFill>
            <w14:solidFill>
              <w14:schemeClr w14:val="tx1"/>
            </w14:solidFill>
          </w14:textFill>
        </w:rPr>
        <w:t>本单位对上述声明的真实性负责。如有虚假，将依法承担相应责任。</w:t>
      </w:r>
    </w:p>
    <w:p w14:paraId="708097B1">
      <w:pPr>
        <w:spacing w:line="460" w:lineRule="exact"/>
        <w:rPr>
          <w:rFonts w:hint="eastAsia" w:ascii="宋体"/>
          <w:color w:val="000000" w:themeColor="text1"/>
          <w:spacing w:val="6"/>
          <w:sz w:val="24"/>
          <w:highlight w:val="none"/>
          <w14:textFill>
            <w14:solidFill>
              <w14:schemeClr w14:val="tx1"/>
            </w14:solidFill>
          </w14:textFill>
        </w:rPr>
      </w:pPr>
    </w:p>
    <w:p w14:paraId="35F259E6">
      <w:pPr>
        <w:tabs>
          <w:tab w:val="left" w:pos="4860"/>
        </w:tabs>
        <w:spacing w:line="460" w:lineRule="exact"/>
        <w:ind w:right="1560" w:firstLine="504" w:firstLineChars="200"/>
        <w:jc w:val="center"/>
        <w:rPr>
          <w:rFonts w:hint="eastAsia" w:ascii="宋体"/>
          <w:color w:val="000000" w:themeColor="text1"/>
          <w:spacing w:val="6"/>
          <w:sz w:val="24"/>
          <w:highlight w:val="none"/>
          <w:u w:val="single"/>
          <w14:textFill>
            <w14:solidFill>
              <w14:schemeClr w14:val="tx1"/>
            </w14:solidFill>
          </w14:textFill>
        </w:rPr>
      </w:pPr>
      <w:r>
        <w:rPr>
          <w:rFonts w:hint="eastAsia" w:ascii="宋体"/>
          <w:color w:val="000000" w:themeColor="text1"/>
          <w:spacing w:val="6"/>
          <w:sz w:val="24"/>
          <w:highlight w:val="none"/>
          <w14:textFill>
            <w14:solidFill>
              <w14:schemeClr w14:val="tx1"/>
            </w14:solidFill>
          </w14:textFill>
        </w:rPr>
        <w:t xml:space="preserve">               单位名称（加盖供应商CA证书签章）：</w:t>
      </w:r>
      <w:r>
        <w:rPr>
          <w:rFonts w:hint="eastAsia" w:ascii="宋体"/>
          <w:color w:val="000000" w:themeColor="text1"/>
          <w:spacing w:val="6"/>
          <w:sz w:val="24"/>
          <w:highlight w:val="none"/>
          <w:u w:val="single"/>
          <w14:textFill>
            <w14:solidFill>
              <w14:schemeClr w14:val="tx1"/>
            </w14:solidFill>
          </w14:textFill>
        </w:rPr>
        <w:t xml:space="preserve">             </w:t>
      </w:r>
    </w:p>
    <w:p w14:paraId="188783AD">
      <w:pPr>
        <w:tabs>
          <w:tab w:val="left" w:pos="4860"/>
        </w:tabs>
        <w:spacing w:line="460" w:lineRule="exact"/>
        <w:ind w:right="1560" w:firstLine="504" w:firstLineChars="200"/>
        <w:jc w:val="center"/>
        <w:rPr>
          <w:rFonts w:hint="eastAsia" w:ascii="宋体"/>
          <w:color w:val="000000" w:themeColor="text1"/>
          <w:spacing w:val="6"/>
          <w:sz w:val="24"/>
          <w:highlight w:val="none"/>
          <w:u w:val="single"/>
          <w14:textFill>
            <w14:solidFill>
              <w14:schemeClr w14:val="tx1"/>
            </w14:solidFill>
          </w14:textFill>
        </w:rPr>
      </w:pPr>
      <w:r>
        <w:rPr>
          <w:rFonts w:hint="eastAsia" w:ascii="宋体"/>
          <w:color w:val="000000" w:themeColor="text1"/>
          <w:spacing w:val="6"/>
          <w:sz w:val="24"/>
          <w:highlight w:val="none"/>
          <w14:textFill>
            <w14:solidFill>
              <w14:schemeClr w14:val="tx1"/>
            </w14:solidFill>
          </w14:textFill>
        </w:rPr>
        <w:t>日  期：</w:t>
      </w:r>
      <w:r>
        <w:rPr>
          <w:rFonts w:hint="eastAsia" w:ascii="宋体"/>
          <w:color w:val="000000" w:themeColor="text1"/>
          <w:spacing w:val="6"/>
          <w:sz w:val="24"/>
          <w:highlight w:val="none"/>
          <w:u w:val="single"/>
          <w14:textFill>
            <w14:solidFill>
              <w14:schemeClr w14:val="tx1"/>
            </w14:solidFill>
          </w14:textFill>
        </w:rPr>
        <w:t xml:space="preserve">           </w:t>
      </w:r>
    </w:p>
    <w:p w14:paraId="0E50280C">
      <w:pPr>
        <w:pStyle w:val="12"/>
        <w:spacing w:line="520" w:lineRule="exact"/>
        <w:ind w:firstLine="602" w:firstLineChars="200"/>
        <w:rPr>
          <w:rFonts w:hint="eastAsia"/>
          <w:b/>
          <w:color w:val="000000" w:themeColor="text1"/>
          <w:sz w:val="30"/>
          <w:szCs w:val="30"/>
          <w:highlight w:val="none"/>
          <w14:textFill>
            <w14:solidFill>
              <w14:schemeClr w14:val="tx1"/>
            </w14:solidFill>
          </w14:textFill>
        </w:rPr>
      </w:pPr>
    </w:p>
    <w:p w14:paraId="3067899C">
      <w:pPr>
        <w:spacing w:line="440" w:lineRule="atLeast"/>
        <w:rPr>
          <w:rFonts w:hint="eastAsia" w:ascii="宋体"/>
          <w:b/>
          <w:color w:val="000000" w:themeColor="text1"/>
          <w:sz w:val="28"/>
          <w:szCs w:val="28"/>
          <w:highlight w:val="none"/>
          <w14:textFill>
            <w14:solidFill>
              <w14:schemeClr w14:val="tx1"/>
            </w14:solidFill>
          </w14:textFill>
        </w:rPr>
      </w:pPr>
    </w:p>
    <w:p w14:paraId="7BC0FC6E">
      <w:pPr>
        <w:spacing w:line="440" w:lineRule="atLeast"/>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二、商务、技术响应证明材料响应证明材料</w:t>
      </w:r>
    </w:p>
    <w:p w14:paraId="5775019A">
      <w:pPr>
        <w:pStyle w:val="12"/>
        <w:spacing w:line="320" w:lineRule="exact"/>
        <w:ind w:firstLine="562" w:firstLineChars="200"/>
        <w:rPr>
          <w:rFonts w:hint="eastAsia"/>
          <w:b/>
          <w:color w:val="000000" w:themeColor="text1"/>
          <w:sz w:val="28"/>
          <w:szCs w:val="28"/>
          <w:highlight w:val="none"/>
          <w14:textFill>
            <w14:solidFill>
              <w14:schemeClr w14:val="tx1"/>
            </w14:solidFill>
          </w14:textFill>
        </w:rPr>
      </w:pPr>
    </w:p>
    <w:p w14:paraId="312394E6">
      <w:pPr>
        <w:spacing w:line="440" w:lineRule="atLeast"/>
        <w:rPr>
          <w:rFonts w:hint="eastAsia" w:ascii="宋体"/>
          <w:b/>
          <w:color w:val="000000" w:themeColor="text1"/>
          <w:sz w:val="28"/>
          <w:szCs w:val="28"/>
          <w:highlight w:val="none"/>
          <w14:textFill>
            <w14:solidFill>
              <w14:schemeClr w14:val="tx1"/>
            </w14:solidFill>
          </w14:textFill>
        </w:rPr>
      </w:pPr>
    </w:p>
    <w:p w14:paraId="1D792D74">
      <w:pPr>
        <w:rPr>
          <w:rFonts w:hint="eastAsia"/>
          <w:bCs/>
          <w:color w:val="000000" w:themeColor="text1"/>
          <w:sz w:val="32"/>
          <w:szCs w:val="32"/>
          <w:highlight w:val="none"/>
          <w14:textFill>
            <w14:solidFill>
              <w14:schemeClr w14:val="tx1"/>
            </w14:solidFill>
          </w14:textFill>
        </w:rPr>
      </w:pPr>
      <w:r>
        <w:rPr>
          <w:rFonts w:hint="eastAsia"/>
          <w:bCs/>
          <w:color w:val="000000" w:themeColor="text1"/>
          <w:sz w:val="32"/>
          <w:szCs w:val="32"/>
          <w:highlight w:val="none"/>
          <w14:textFill>
            <w14:solidFill>
              <w14:schemeClr w14:val="tx1"/>
            </w14:solidFill>
          </w14:textFill>
        </w:rPr>
        <w:t>商务、技术响应证明材料封面格式</w:t>
      </w:r>
    </w:p>
    <w:p w14:paraId="2BA884E5">
      <w:pPr>
        <w:snapToGrid w:val="0"/>
        <w:spacing w:before="156" w:after="50"/>
        <w:jc w:val="center"/>
        <w:rPr>
          <w:bCs/>
          <w:color w:val="000000" w:themeColor="text1"/>
          <w:sz w:val="32"/>
          <w:szCs w:val="32"/>
          <w:highlight w:val="none"/>
          <w14:textFill>
            <w14:solidFill>
              <w14:schemeClr w14:val="tx1"/>
            </w14:solidFill>
          </w14:textFill>
        </w:rPr>
      </w:pPr>
    </w:p>
    <w:p w14:paraId="11223CCC">
      <w:pPr>
        <w:pStyle w:val="5"/>
        <w:outlineLvl w:val="9"/>
        <w:rPr>
          <w:b w:val="0"/>
          <w:color w:val="000000" w:themeColor="text1"/>
          <w:highlight w:val="none"/>
          <w14:textFill>
            <w14:solidFill>
              <w14:schemeClr w14:val="tx1"/>
            </w14:solidFill>
          </w14:textFill>
        </w:rPr>
      </w:pPr>
    </w:p>
    <w:p w14:paraId="79F205DE">
      <w:pPr>
        <w:snapToGrid w:val="0"/>
        <w:spacing w:before="156" w:after="50"/>
        <w:jc w:val="center"/>
        <w:rPr>
          <w:rFonts w:hint="eastAsia" w:ascii="宋体" w:cs="宋体"/>
          <w:color w:val="000000" w:themeColor="text1"/>
          <w:sz w:val="72"/>
          <w:szCs w:val="72"/>
          <w:highlight w:val="none"/>
          <w:lang w:bidi="ar-SA"/>
          <w14:textFill>
            <w14:solidFill>
              <w14:schemeClr w14:val="tx1"/>
            </w14:solidFill>
          </w14:textFill>
        </w:rPr>
      </w:pPr>
      <w:r>
        <w:rPr>
          <w:rFonts w:hint="eastAsia" w:ascii="宋体" w:cs="宋体"/>
          <w:color w:val="000000" w:themeColor="text1"/>
          <w:sz w:val="72"/>
          <w:szCs w:val="72"/>
          <w:highlight w:val="none"/>
          <w:lang w:bidi="ar-SA"/>
          <w14:textFill>
            <w14:solidFill>
              <w14:schemeClr w14:val="tx1"/>
            </w14:solidFill>
          </w14:textFill>
        </w:rPr>
        <w:t>响 应 文 件</w:t>
      </w:r>
    </w:p>
    <w:p w14:paraId="3851F887">
      <w:pPr>
        <w:snapToGrid w:val="0"/>
        <w:spacing w:before="156" w:after="50"/>
        <w:rPr>
          <w:rFonts w:hint="eastAsia" w:ascii="宋体" w:cs="宋体"/>
          <w:color w:val="000000" w:themeColor="text1"/>
          <w:sz w:val="28"/>
          <w:szCs w:val="28"/>
          <w:highlight w:val="none"/>
          <w:lang w:bidi="ar-SA"/>
          <w14:textFill>
            <w14:solidFill>
              <w14:schemeClr w14:val="tx1"/>
            </w14:solidFill>
          </w14:textFill>
        </w:rPr>
      </w:pPr>
    </w:p>
    <w:p w14:paraId="6DCBEF0E">
      <w:pPr>
        <w:snapToGrid w:val="0"/>
        <w:spacing w:before="156" w:after="50"/>
        <w:ind w:firstLine="480" w:firstLineChars="150"/>
        <w:jc w:val="center"/>
        <w:rPr>
          <w:rFonts w:hint="eastAsia" w:ascii="宋体" w:cs="宋体"/>
          <w:color w:val="000000" w:themeColor="text1"/>
          <w:sz w:val="32"/>
          <w:szCs w:val="32"/>
          <w:highlight w:val="none"/>
          <w:lang w:bidi="ar-SA"/>
          <w14:textFill>
            <w14:solidFill>
              <w14:schemeClr w14:val="tx1"/>
            </w14:solidFill>
          </w14:textFill>
        </w:rPr>
      </w:pPr>
      <w:r>
        <w:rPr>
          <w:rFonts w:hint="eastAsia" w:ascii="宋体" w:cs="宋体"/>
          <w:color w:val="000000" w:themeColor="text1"/>
          <w:sz w:val="32"/>
          <w:szCs w:val="32"/>
          <w:highlight w:val="none"/>
          <w:lang w:bidi="ar-SA"/>
          <w14:textFill>
            <w14:solidFill>
              <w14:schemeClr w14:val="tx1"/>
            </w14:solidFill>
          </w14:textFill>
        </w:rPr>
        <w:t>（商务、技术响应证明材料）</w:t>
      </w:r>
    </w:p>
    <w:p w14:paraId="248E47FB">
      <w:pPr>
        <w:snapToGrid w:val="0"/>
        <w:spacing w:before="156" w:after="50"/>
        <w:ind w:firstLine="420" w:firstLineChars="150"/>
        <w:rPr>
          <w:rFonts w:hint="eastAsia" w:ascii="宋体" w:cs="宋体"/>
          <w:color w:val="000000" w:themeColor="text1"/>
          <w:sz w:val="28"/>
          <w:szCs w:val="28"/>
          <w:highlight w:val="none"/>
          <w:lang w:bidi="ar-SA"/>
          <w14:textFill>
            <w14:solidFill>
              <w14:schemeClr w14:val="tx1"/>
            </w14:solidFill>
          </w14:textFill>
        </w:rPr>
      </w:pPr>
    </w:p>
    <w:p w14:paraId="0787C82B">
      <w:pPr>
        <w:snapToGrid w:val="0"/>
        <w:spacing w:before="156" w:after="50"/>
        <w:ind w:firstLine="420" w:firstLineChars="150"/>
        <w:rPr>
          <w:rFonts w:hint="eastAsia" w:ascii="宋体" w:cs="宋体"/>
          <w:color w:val="000000" w:themeColor="text1"/>
          <w:sz w:val="28"/>
          <w:szCs w:val="28"/>
          <w:highlight w:val="none"/>
          <w:lang w:bidi="ar-SA"/>
          <w14:textFill>
            <w14:solidFill>
              <w14:schemeClr w14:val="tx1"/>
            </w14:solidFill>
          </w14:textFill>
        </w:rPr>
      </w:pPr>
    </w:p>
    <w:p w14:paraId="64AC9E29">
      <w:pPr>
        <w:snapToGrid w:val="0"/>
        <w:spacing w:before="156" w:after="50"/>
        <w:jc w:val="center"/>
        <w:rPr>
          <w:rFonts w:hint="eastAsia" w:ascii="宋体" w:eastAsia="宋体" w:cs="宋体"/>
          <w:color w:val="000000" w:themeColor="text1"/>
          <w:sz w:val="28"/>
          <w:szCs w:val="28"/>
          <w:highlight w:val="none"/>
          <w:lang w:eastAsia="zh-CN" w:bidi="ar-SA"/>
          <w14:textFill>
            <w14:solidFill>
              <w14:schemeClr w14:val="tx1"/>
            </w14:solidFill>
          </w14:textFill>
        </w:rPr>
      </w:pPr>
      <w:r>
        <w:rPr>
          <w:rFonts w:hint="eastAsia" w:ascii="宋体" w:cs="宋体"/>
          <w:color w:val="000000" w:themeColor="text1"/>
          <w:sz w:val="28"/>
          <w:szCs w:val="28"/>
          <w:highlight w:val="none"/>
          <w:lang w:bidi="ar-SA"/>
          <w14:textFill>
            <w14:solidFill>
              <w14:schemeClr w14:val="tx1"/>
            </w14:solidFill>
          </w14:textFill>
        </w:rPr>
        <w:t>项目名称：</w:t>
      </w:r>
      <w:r>
        <w:rPr>
          <w:rFonts w:hint="eastAsia" w:ascii="宋体" w:cs="宋体"/>
          <w:color w:val="000000" w:themeColor="text1"/>
          <w:sz w:val="28"/>
          <w:szCs w:val="28"/>
          <w:highlight w:val="none"/>
          <w:u w:val="single"/>
          <w:lang w:eastAsia="zh-CN" w:bidi="ar-SA"/>
          <w14:textFill>
            <w14:solidFill>
              <w14:schemeClr w14:val="tx1"/>
            </w14:solidFill>
          </w14:textFill>
        </w:rPr>
        <w:t>界首镇兴田村委址福田村柑橘产业道路硬化项目</w:t>
      </w:r>
    </w:p>
    <w:p w14:paraId="12E4BE3E">
      <w:pPr>
        <w:snapToGrid w:val="0"/>
        <w:spacing w:before="156" w:after="50"/>
        <w:ind w:firstLine="1680" w:firstLineChars="600"/>
        <w:jc w:val="both"/>
        <w:rPr>
          <w:rFonts w:hint="eastAsia" w:ascii="宋体" w:eastAsia="宋体" w:cs="宋体"/>
          <w:color w:val="000000" w:themeColor="text1"/>
          <w:sz w:val="28"/>
          <w:szCs w:val="28"/>
          <w:highlight w:val="none"/>
          <w:u w:val="single"/>
          <w:lang w:eastAsia="zh-CN" w:bidi="ar-SA"/>
          <w14:textFill>
            <w14:solidFill>
              <w14:schemeClr w14:val="tx1"/>
            </w14:solidFill>
          </w14:textFill>
        </w:rPr>
      </w:pPr>
      <w:r>
        <w:rPr>
          <w:rFonts w:hint="eastAsia" w:ascii="宋体" w:cs="宋体"/>
          <w:color w:val="000000" w:themeColor="text1"/>
          <w:sz w:val="28"/>
          <w:szCs w:val="28"/>
          <w:highlight w:val="none"/>
          <w:lang w:bidi="ar-SA"/>
          <w14:textFill>
            <w14:solidFill>
              <w14:schemeClr w14:val="tx1"/>
            </w14:solidFill>
          </w14:textFill>
        </w:rPr>
        <w:t>项目编号：</w:t>
      </w:r>
      <w:r>
        <w:rPr>
          <w:rFonts w:hint="eastAsia" w:ascii="宋体" w:cs="宋体"/>
          <w:color w:val="000000" w:themeColor="text1"/>
          <w:sz w:val="28"/>
          <w:szCs w:val="28"/>
          <w:highlight w:val="none"/>
          <w:u w:val="single"/>
          <w:lang w:val="en-US" w:eastAsia="zh-CN" w:bidi="ar-SA"/>
          <w14:textFill>
            <w14:solidFill>
              <w14:schemeClr w14:val="tx1"/>
            </w14:solidFill>
          </w14:textFill>
        </w:rPr>
        <w:t xml:space="preserve">  GLZC2026-C2-250027-GXZQ  </w:t>
      </w:r>
      <w:r>
        <w:rPr>
          <w:rFonts w:hint="eastAsia" w:ascii="宋体" w:cs="宋体"/>
          <w:color w:val="000000" w:themeColor="text1"/>
          <w:sz w:val="28"/>
          <w:szCs w:val="28"/>
          <w:highlight w:val="none"/>
          <w:u w:val="single"/>
          <w:lang w:bidi="ar-SA"/>
          <w14:textFill>
            <w14:solidFill>
              <w14:schemeClr w14:val="tx1"/>
            </w14:solidFill>
          </w14:textFill>
        </w:rPr>
        <w:t xml:space="preserve"> </w:t>
      </w:r>
      <w:r>
        <w:rPr>
          <w:rFonts w:hint="eastAsia" w:ascii="宋体" w:cs="宋体"/>
          <w:color w:val="000000" w:themeColor="text1"/>
          <w:sz w:val="28"/>
          <w:szCs w:val="28"/>
          <w:highlight w:val="none"/>
          <w:lang w:bidi="ar-SA"/>
          <w14:textFill>
            <w14:solidFill>
              <w14:schemeClr w14:val="tx1"/>
            </w14:solidFill>
          </w14:textFill>
        </w:rPr>
        <w:t xml:space="preserve">   </w:t>
      </w:r>
    </w:p>
    <w:p w14:paraId="47327A66">
      <w:pPr>
        <w:snapToGrid w:val="0"/>
        <w:spacing w:before="156" w:after="50"/>
        <w:ind w:firstLine="3220" w:firstLineChars="1150"/>
        <w:rPr>
          <w:rFonts w:hint="eastAsia" w:ascii="宋体" w:cs="宋体"/>
          <w:b/>
          <w:bCs/>
          <w:color w:val="000000" w:themeColor="text1"/>
          <w:highlight w:val="none"/>
          <w:lang w:bidi="ar-SA"/>
          <w14:textFill>
            <w14:solidFill>
              <w14:schemeClr w14:val="tx1"/>
            </w14:solidFill>
          </w14:textFill>
        </w:rPr>
      </w:pPr>
      <w:r>
        <w:rPr>
          <w:rFonts w:hint="eastAsia" w:ascii="宋体" w:cs="宋体"/>
          <w:color w:val="000000" w:themeColor="text1"/>
          <w:sz w:val="28"/>
          <w:szCs w:val="28"/>
          <w:highlight w:val="none"/>
          <w:lang w:bidi="ar-SA"/>
          <w14:textFill>
            <w14:solidFill>
              <w14:schemeClr w14:val="tx1"/>
            </w14:solidFill>
          </w14:textFill>
        </w:rPr>
        <w:t xml:space="preserve"> </w:t>
      </w:r>
    </w:p>
    <w:p w14:paraId="734D79F3">
      <w:pPr>
        <w:rPr>
          <w:rFonts w:hint="eastAsia" w:ascii="宋体" w:cs="宋体"/>
          <w:color w:val="000000" w:themeColor="text1"/>
          <w:highlight w:val="none"/>
          <w:lang w:bidi="ar-SA"/>
          <w14:textFill>
            <w14:solidFill>
              <w14:schemeClr w14:val="tx1"/>
            </w14:solidFill>
          </w14:textFill>
        </w:rPr>
      </w:pPr>
    </w:p>
    <w:p w14:paraId="1D7F80FA">
      <w:pPr>
        <w:spacing w:line="400" w:lineRule="exact"/>
        <w:rPr>
          <w:rFonts w:hint="eastAsia" w:ascii="宋体" w:cs="宋体"/>
          <w:color w:val="000000" w:themeColor="text1"/>
          <w:sz w:val="28"/>
          <w:szCs w:val="28"/>
          <w:highlight w:val="none"/>
          <w:lang w:bidi="ar-SA"/>
          <w14:textFill>
            <w14:solidFill>
              <w14:schemeClr w14:val="tx1"/>
            </w14:solidFill>
          </w14:textFill>
        </w:rPr>
      </w:pPr>
    </w:p>
    <w:p w14:paraId="4AA3BF73">
      <w:pPr>
        <w:spacing w:line="400" w:lineRule="exact"/>
        <w:ind w:firstLine="2693" w:firstLineChars="962"/>
        <w:rPr>
          <w:rFonts w:hint="eastAsia" w:ascii="宋体" w:cs="宋体"/>
          <w:color w:val="000000" w:themeColor="text1"/>
          <w:sz w:val="28"/>
          <w:szCs w:val="28"/>
          <w:highlight w:val="none"/>
          <w:lang w:bidi="ar-SA"/>
          <w14:textFill>
            <w14:solidFill>
              <w14:schemeClr w14:val="tx1"/>
            </w14:solidFill>
          </w14:textFill>
        </w:rPr>
      </w:pPr>
    </w:p>
    <w:p w14:paraId="36E421EF">
      <w:pPr>
        <w:snapToGrid w:val="0"/>
        <w:spacing w:before="156" w:after="50"/>
        <w:ind w:firstLine="1960" w:firstLineChars="700"/>
        <w:jc w:val="both"/>
        <w:rPr>
          <w:rFonts w:hint="eastAsia" w:ascii="宋体" w:eastAsia="宋体" w:cs="宋体"/>
          <w:color w:val="000000" w:themeColor="text1"/>
          <w:sz w:val="28"/>
          <w:szCs w:val="28"/>
          <w:highlight w:val="none"/>
          <w:u w:val="single"/>
          <w:lang w:eastAsia="zh-CN" w:bidi="ar-SA"/>
          <w14:textFill>
            <w14:solidFill>
              <w14:schemeClr w14:val="tx1"/>
            </w14:solidFill>
          </w14:textFill>
        </w:rPr>
      </w:pPr>
      <w:r>
        <w:rPr>
          <w:rFonts w:hint="eastAsia" w:ascii="宋体" w:cs="宋体"/>
          <w:color w:val="000000" w:themeColor="text1"/>
          <w:sz w:val="28"/>
          <w:szCs w:val="28"/>
          <w:highlight w:val="none"/>
          <w:lang w:bidi="ar-SA"/>
          <w14:textFill>
            <w14:solidFill>
              <w14:schemeClr w14:val="tx1"/>
            </w14:solidFill>
          </w14:textFill>
        </w:rPr>
        <w:t>采购代理机构：</w:t>
      </w:r>
      <w:r>
        <w:rPr>
          <w:rFonts w:hint="eastAsia" w:ascii="宋体" w:cs="宋体"/>
          <w:color w:val="000000" w:themeColor="text1"/>
          <w:sz w:val="28"/>
          <w:szCs w:val="28"/>
          <w:highlight w:val="none"/>
          <w:u w:val="single"/>
          <w:lang w:eastAsia="zh-CN" w:bidi="ar-SA"/>
          <w14:textFill>
            <w14:solidFill>
              <w14:schemeClr w14:val="tx1"/>
            </w14:solidFill>
          </w14:textFill>
        </w:rPr>
        <w:t>广西卓群项目管理有限公司</w:t>
      </w:r>
    </w:p>
    <w:p w14:paraId="2AF7B9F2">
      <w:pPr>
        <w:pStyle w:val="10"/>
        <w:spacing w:line="500" w:lineRule="exact"/>
        <w:ind w:firstLine="1820" w:firstLineChars="650"/>
        <w:rPr>
          <w:rFonts w:hint="eastAsia" w:ascii="宋体" w:eastAsia="宋体" w:cs="宋体"/>
          <w:bCs/>
          <w:color w:val="000000" w:themeColor="text1"/>
          <w:sz w:val="28"/>
          <w:szCs w:val="28"/>
          <w:highlight w:val="none"/>
          <w:u w:val="single"/>
          <w:lang w:bidi="ar-SA"/>
          <w14:textFill>
            <w14:solidFill>
              <w14:schemeClr w14:val="tx1"/>
            </w14:solidFill>
          </w14:textFill>
        </w:rPr>
      </w:pPr>
      <w:r>
        <w:rPr>
          <w:rFonts w:hint="eastAsia" w:ascii="宋体" w:eastAsia="宋体" w:cs="宋体"/>
          <w:bCs/>
          <w:color w:val="000000" w:themeColor="text1"/>
          <w:sz w:val="28"/>
          <w:szCs w:val="28"/>
          <w:highlight w:val="none"/>
          <w:lang w:bidi="ar-SA"/>
          <w14:textFill>
            <w14:solidFill>
              <w14:schemeClr w14:val="tx1"/>
            </w14:solidFill>
          </w14:textFill>
        </w:rPr>
        <w:t>供应商名称[公章(CA签章)、自然人除外]：</w:t>
      </w:r>
      <w:r>
        <w:rPr>
          <w:rFonts w:hint="eastAsia" w:ascii="宋体" w:eastAsia="宋体" w:cs="宋体"/>
          <w:bCs/>
          <w:color w:val="000000" w:themeColor="text1"/>
          <w:sz w:val="28"/>
          <w:szCs w:val="28"/>
          <w:highlight w:val="none"/>
          <w:u w:val="single"/>
          <w:lang w:bidi="ar-SA"/>
          <w14:textFill>
            <w14:solidFill>
              <w14:schemeClr w14:val="tx1"/>
            </w14:solidFill>
          </w14:textFill>
        </w:rPr>
        <w:t xml:space="preserve">  </w:t>
      </w:r>
    </w:p>
    <w:p w14:paraId="3469BC45">
      <w:pPr>
        <w:pStyle w:val="10"/>
        <w:spacing w:line="500" w:lineRule="exact"/>
        <w:ind w:firstLine="1820" w:firstLineChars="650"/>
        <w:rPr>
          <w:rFonts w:hint="eastAsia" w:ascii="宋体" w:eastAsia="宋体" w:cs="宋体"/>
          <w:bCs/>
          <w:color w:val="000000" w:themeColor="text1"/>
          <w:sz w:val="28"/>
          <w:szCs w:val="28"/>
          <w:highlight w:val="none"/>
          <w:u w:val="single"/>
          <w:lang w:bidi="ar-SA"/>
          <w14:textFill>
            <w14:solidFill>
              <w14:schemeClr w14:val="tx1"/>
            </w14:solidFill>
          </w14:textFill>
        </w:rPr>
      </w:pPr>
      <w:r>
        <w:rPr>
          <w:rFonts w:hint="eastAsia" w:ascii="宋体" w:eastAsia="宋体" w:cs="宋体"/>
          <w:bCs/>
          <w:color w:val="000000" w:themeColor="text1"/>
          <w:sz w:val="28"/>
          <w:szCs w:val="28"/>
          <w:highlight w:val="none"/>
          <w:u w:val="single"/>
          <w:lang w:val="en-US" w:eastAsia="zh-CN" w:bidi="ar-SA"/>
          <w14:textFill>
            <w14:solidFill>
              <w14:schemeClr w14:val="tx1"/>
            </w14:solidFill>
          </w14:textFill>
        </w:rPr>
        <w:t xml:space="preserve">              </w:t>
      </w:r>
      <w:r>
        <w:rPr>
          <w:rFonts w:hint="eastAsia" w:ascii="宋体" w:eastAsia="宋体" w:cs="宋体"/>
          <w:bCs/>
          <w:color w:val="000000" w:themeColor="text1"/>
          <w:sz w:val="28"/>
          <w:szCs w:val="28"/>
          <w:highlight w:val="none"/>
          <w:u w:val="single"/>
          <w:lang w:bidi="ar-SA"/>
          <w14:textFill>
            <w14:solidFill>
              <w14:schemeClr w14:val="tx1"/>
            </w14:solidFill>
          </w14:textFill>
        </w:rPr>
        <w:t xml:space="preserve">                          </w:t>
      </w:r>
    </w:p>
    <w:p w14:paraId="4D7BE208">
      <w:pPr>
        <w:pStyle w:val="10"/>
        <w:spacing w:line="500" w:lineRule="exact"/>
        <w:ind w:left="560" w:hanging="560" w:hangingChars="200"/>
        <w:rPr>
          <w:rFonts w:hint="eastAsia" w:ascii="宋体" w:eastAsia="宋体" w:cs="宋体"/>
          <w:bCs/>
          <w:color w:val="000000" w:themeColor="text1"/>
          <w:sz w:val="28"/>
          <w:szCs w:val="28"/>
          <w:highlight w:val="none"/>
          <w:u w:val="single"/>
          <w:lang w:bidi="ar-SA"/>
          <w14:textFill>
            <w14:solidFill>
              <w14:schemeClr w14:val="tx1"/>
            </w14:solidFill>
          </w14:textFill>
        </w:rPr>
      </w:pPr>
      <w:r>
        <w:rPr>
          <w:rFonts w:hint="eastAsia" w:ascii="宋体" w:eastAsia="宋体" w:cs="宋体"/>
          <w:bCs/>
          <w:color w:val="000000" w:themeColor="text1"/>
          <w:sz w:val="28"/>
          <w:szCs w:val="28"/>
          <w:highlight w:val="none"/>
          <w:lang w:bidi="ar-SA"/>
          <w14:textFill>
            <w14:solidFill>
              <w14:schemeClr w14:val="tx1"/>
            </w14:solidFill>
          </w14:textFill>
        </w:rPr>
        <w:t xml:space="preserve">             联系电话：</w:t>
      </w:r>
      <w:r>
        <w:rPr>
          <w:rFonts w:hint="eastAsia" w:ascii="宋体" w:eastAsia="宋体" w:cs="宋体"/>
          <w:bCs/>
          <w:color w:val="000000" w:themeColor="text1"/>
          <w:sz w:val="28"/>
          <w:szCs w:val="28"/>
          <w:highlight w:val="none"/>
          <w:u w:val="single"/>
          <w:lang w:bidi="ar-SA"/>
          <w14:textFill>
            <w14:solidFill>
              <w14:schemeClr w14:val="tx1"/>
            </w14:solidFill>
          </w14:textFill>
        </w:rPr>
        <w:t xml:space="preserve">                              </w:t>
      </w:r>
    </w:p>
    <w:p w14:paraId="32DEF5A4">
      <w:pPr>
        <w:pStyle w:val="10"/>
        <w:spacing w:line="500" w:lineRule="exact"/>
        <w:ind w:left="560" w:hanging="560" w:hangingChars="200"/>
        <w:rPr>
          <w:rFonts w:hint="eastAsia" w:ascii="宋体" w:eastAsia="宋体" w:cs="宋体"/>
          <w:color w:val="000000" w:themeColor="text1"/>
          <w:szCs w:val="32"/>
          <w:highlight w:val="none"/>
          <w:lang w:bidi="ar-SA"/>
          <w14:textFill>
            <w14:solidFill>
              <w14:schemeClr w14:val="tx1"/>
            </w14:solidFill>
          </w14:textFill>
        </w:rPr>
      </w:pPr>
      <w:r>
        <w:rPr>
          <w:rFonts w:hint="eastAsia" w:ascii="宋体" w:eastAsia="宋体" w:cs="宋体"/>
          <w:bCs/>
          <w:color w:val="000000" w:themeColor="text1"/>
          <w:sz w:val="28"/>
          <w:szCs w:val="28"/>
          <w:highlight w:val="none"/>
          <w:lang w:bidi="ar-SA"/>
          <w14:textFill>
            <w14:solidFill>
              <w14:schemeClr w14:val="tx1"/>
            </w14:solidFill>
          </w14:textFill>
        </w:rPr>
        <w:t xml:space="preserve">             日期：</w:t>
      </w:r>
      <w:r>
        <w:rPr>
          <w:rFonts w:hint="eastAsia" w:ascii="宋体" w:eastAsia="宋体" w:cs="宋体"/>
          <w:bCs/>
          <w:color w:val="000000" w:themeColor="text1"/>
          <w:sz w:val="28"/>
          <w:szCs w:val="28"/>
          <w:highlight w:val="none"/>
          <w:u w:val="single"/>
          <w:lang w:bidi="ar-SA"/>
          <w14:textFill>
            <w14:solidFill>
              <w14:schemeClr w14:val="tx1"/>
            </w14:solidFill>
          </w14:textFill>
        </w:rPr>
        <w:t xml:space="preserve">      </w:t>
      </w:r>
      <w:r>
        <w:rPr>
          <w:rFonts w:hint="eastAsia" w:ascii="宋体" w:eastAsia="宋体" w:cs="宋体"/>
          <w:bCs/>
          <w:color w:val="000000" w:themeColor="text1"/>
          <w:sz w:val="28"/>
          <w:szCs w:val="28"/>
          <w:highlight w:val="none"/>
          <w:lang w:bidi="ar-SA"/>
          <w14:textFill>
            <w14:solidFill>
              <w14:schemeClr w14:val="tx1"/>
            </w14:solidFill>
          </w14:textFill>
        </w:rPr>
        <w:t>年</w:t>
      </w:r>
      <w:r>
        <w:rPr>
          <w:rFonts w:hint="eastAsia" w:ascii="宋体" w:eastAsia="宋体" w:cs="宋体"/>
          <w:bCs/>
          <w:color w:val="000000" w:themeColor="text1"/>
          <w:sz w:val="28"/>
          <w:szCs w:val="28"/>
          <w:highlight w:val="none"/>
          <w:u w:val="single"/>
          <w:lang w:bidi="ar-SA"/>
          <w14:textFill>
            <w14:solidFill>
              <w14:schemeClr w14:val="tx1"/>
            </w14:solidFill>
          </w14:textFill>
        </w:rPr>
        <w:t xml:space="preserve">       </w:t>
      </w:r>
      <w:r>
        <w:rPr>
          <w:rFonts w:hint="eastAsia" w:ascii="宋体" w:eastAsia="宋体" w:cs="宋体"/>
          <w:bCs/>
          <w:color w:val="000000" w:themeColor="text1"/>
          <w:sz w:val="28"/>
          <w:szCs w:val="28"/>
          <w:highlight w:val="none"/>
          <w:lang w:bidi="ar-SA"/>
          <w14:textFill>
            <w14:solidFill>
              <w14:schemeClr w14:val="tx1"/>
            </w14:solidFill>
          </w14:textFill>
        </w:rPr>
        <w:t>月</w:t>
      </w:r>
      <w:r>
        <w:rPr>
          <w:rFonts w:hint="eastAsia" w:ascii="宋体" w:eastAsia="宋体" w:cs="宋体"/>
          <w:bCs/>
          <w:color w:val="000000" w:themeColor="text1"/>
          <w:sz w:val="28"/>
          <w:szCs w:val="28"/>
          <w:highlight w:val="none"/>
          <w:u w:val="single"/>
          <w:lang w:bidi="ar-SA"/>
          <w14:textFill>
            <w14:solidFill>
              <w14:schemeClr w14:val="tx1"/>
            </w14:solidFill>
          </w14:textFill>
        </w:rPr>
        <w:t xml:space="preserve">        </w:t>
      </w:r>
      <w:r>
        <w:rPr>
          <w:rFonts w:hint="eastAsia" w:ascii="宋体" w:eastAsia="宋体" w:cs="宋体"/>
          <w:bCs/>
          <w:color w:val="000000" w:themeColor="text1"/>
          <w:sz w:val="28"/>
          <w:szCs w:val="28"/>
          <w:highlight w:val="none"/>
          <w:lang w:bidi="ar-SA"/>
          <w14:textFill>
            <w14:solidFill>
              <w14:schemeClr w14:val="tx1"/>
            </w14:solidFill>
          </w14:textFill>
        </w:rPr>
        <w:t>日</w:t>
      </w:r>
    </w:p>
    <w:p w14:paraId="15CE8BEA">
      <w:pPr>
        <w:pStyle w:val="12"/>
        <w:spacing w:line="520" w:lineRule="exact"/>
        <w:rPr>
          <w:rFonts w:hint="eastAsia"/>
          <w:b/>
          <w:color w:val="000000" w:themeColor="text1"/>
          <w:sz w:val="30"/>
          <w:szCs w:val="30"/>
          <w:highlight w:val="none"/>
          <w14:textFill>
            <w14:solidFill>
              <w14:schemeClr w14:val="tx1"/>
            </w14:solidFill>
          </w14:textFill>
        </w:rPr>
      </w:pPr>
    </w:p>
    <w:p w14:paraId="5DAC1D6E">
      <w:pPr>
        <w:spacing w:line="520" w:lineRule="exact"/>
        <w:rPr>
          <w:rFonts w:hint="eastAsia" w:ascii="宋体"/>
          <w:b/>
          <w:color w:val="000000" w:themeColor="text1"/>
          <w:sz w:val="28"/>
          <w:szCs w:val="28"/>
          <w:highlight w:val="none"/>
          <w14:textFill>
            <w14:solidFill>
              <w14:schemeClr w14:val="tx1"/>
            </w14:solidFill>
          </w14:textFill>
        </w:rPr>
      </w:pPr>
    </w:p>
    <w:p w14:paraId="65895780">
      <w:pPr>
        <w:spacing w:line="520" w:lineRule="exact"/>
        <w:jc w:val="center"/>
        <w:rPr>
          <w:rFonts w:hint="eastAsia" w:ascii="宋体"/>
          <w:b/>
          <w:color w:val="000000" w:themeColor="text1"/>
          <w:sz w:val="28"/>
          <w:szCs w:val="28"/>
          <w:highlight w:val="none"/>
          <w14:textFill>
            <w14:solidFill>
              <w14:schemeClr w14:val="tx1"/>
            </w14:solidFill>
          </w14:textFill>
        </w:rPr>
      </w:pPr>
    </w:p>
    <w:p w14:paraId="7D3804C0">
      <w:pPr>
        <w:spacing w:line="520" w:lineRule="exact"/>
        <w:jc w:val="center"/>
        <w:rPr>
          <w:rFonts w:hint="eastAsia" w:ascii="宋体"/>
          <w:b/>
          <w:color w:val="000000" w:themeColor="text1"/>
          <w:sz w:val="28"/>
          <w:szCs w:val="28"/>
          <w:highlight w:val="none"/>
          <w14:textFill>
            <w14:solidFill>
              <w14:schemeClr w14:val="tx1"/>
            </w14:solidFill>
          </w14:textFill>
        </w:rPr>
      </w:pPr>
    </w:p>
    <w:p w14:paraId="4AD5B8EA">
      <w:pPr>
        <w:spacing w:line="520" w:lineRule="exact"/>
        <w:jc w:val="center"/>
        <w:rPr>
          <w:rFonts w:hint="eastAsia" w:ascii="宋体"/>
          <w:b/>
          <w:color w:val="000000" w:themeColor="text1"/>
          <w:sz w:val="36"/>
          <w:szCs w:val="36"/>
          <w:highlight w:val="none"/>
          <w14:textFill>
            <w14:solidFill>
              <w14:schemeClr w14:val="tx1"/>
            </w14:solidFill>
          </w14:textFill>
        </w:rPr>
      </w:pPr>
      <w:r>
        <w:rPr>
          <w:rFonts w:hint="eastAsia" w:ascii="宋体"/>
          <w:b/>
          <w:color w:val="000000" w:themeColor="text1"/>
          <w:sz w:val="36"/>
          <w:szCs w:val="36"/>
          <w:highlight w:val="none"/>
          <w14:textFill>
            <w14:solidFill>
              <w14:schemeClr w14:val="tx1"/>
            </w14:solidFill>
          </w14:textFill>
        </w:rPr>
        <w:t>目录</w:t>
      </w:r>
    </w:p>
    <w:p w14:paraId="60249B6A">
      <w:pPr>
        <w:spacing w:line="400" w:lineRule="exact"/>
        <w:ind w:firstLine="480" w:firstLineChars="200"/>
        <w:rPr>
          <w:rFonts w:hint="eastAsia" w:ascii="宋体"/>
          <w:color w:val="000000" w:themeColor="text1"/>
          <w:sz w:val="24"/>
          <w:highlight w:val="none"/>
          <w14:textFill>
            <w14:solidFill>
              <w14:schemeClr w14:val="tx1"/>
            </w14:solidFill>
          </w14:textFill>
        </w:rPr>
      </w:pPr>
    </w:p>
    <w:p w14:paraId="4E0275D8">
      <w:pPr>
        <w:spacing w:line="360" w:lineRule="auto"/>
        <w:ind w:right="420"/>
        <w:jc w:val="center"/>
        <w:rPr>
          <w:rFonts w:hint="eastAsia" w:ascii="宋体" w:cs="宋体"/>
          <w:b/>
          <w:color w:val="000000" w:themeColor="text1"/>
          <w:kern w:val="0"/>
          <w:sz w:val="36"/>
          <w:szCs w:val="36"/>
          <w:highlight w:val="none"/>
          <w:lang w:bidi="ar-SA"/>
          <w14:textFill>
            <w14:solidFill>
              <w14:schemeClr w14:val="tx1"/>
            </w14:solidFill>
          </w14:textFill>
        </w:rPr>
      </w:pPr>
      <w:r>
        <w:rPr>
          <w:rFonts w:hint="eastAsia" w:ascii="宋体" w:cs="宋体"/>
          <w:color w:val="000000" w:themeColor="text1"/>
          <w:kern w:val="0"/>
          <w:sz w:val="24"/>
          <w:highlight w:val="none"/>
          <w:lang w:bidi="ar-SA"/>
          <w14:textFill>
            <w14:solidFill>
              <w14:schemeClr w14:val="tx1"/>
            </w14:solidFill>
          </w14:textFill>
        </w:rPr>
        <w:t>根据竞争性磋商文件规定及供应商提供的材料自行编写目录（部分格式后附）。</w:t>
      </w:r>
    </w:p>
    <w:p w14:paraId="23DA4B78">
      <w:pPr>
        <w:spacing w:line="440" w:lineRule="atLeast"/>
        <w:rPr>
          <w:rFonts w:hint="eastAsia" w:ascii="宋体"/>
          <w:b/>
          <w:color w:val="000000" w:themeColor="text1"/>
          <w:sz w:val="30"/>
          <w:szCs w:val="30"/>
          <w:highlight w:val="none"/>
          <w14:textFill>
            <w14:solidFill>
              <w14:schemeClr w14:val="tx1"/>
            </w14:solidFill>
          </w14:textFill>
        </w:rPr>
      </w:pPr>
    </w:p>
    <w:p w14:paraId="0AC381D2">
      <w:pPr>
        <w:spacing w:line="520" w:lineRule="exact"/>
        <w:jc w:val="center"/>
        <w:rPr>
          <w:rFonts w:hint="eastAsia" w:ascii="宋体"/>
          <w:b/>
          <w:color w:val="000000" w:themeColor="text1"/>
          <w:sz w:val="32"/>
          <w:szCs w:val="32"/>
          <w:highlight w:val="none"/>
          <w14:textFill>
            <w14:solidFill>
              <w14:schemeClr w14:val="tx1"/>
            </w14:solidFill>
          </w14:textFill>
        </w:rPr>
      </w:pPr>
    </w:p>
    <w:p w14:paraId="33C2F221">
      <w:pPr>
        <w:spacing w:line="520" w:lineRule="exact"/>
        <w:jc w:val="center"/>
        <w:rPr>
          <w:rFonts w:hint="eastAsia" w:ascii="宋体"/>
          <w:b/>
          <w:color w:val="000000" w:themeColor="text1"/>
          <w:sz w:val="32"/>
          <w:szCs w:val="32"/>
          <w:highlight w:val="none"/>
          <w14:textFill>
            <w14:solidFill>
              <w14:schemeClr w14:val="tx1"/>
            </w14:solidFill>
          </w14:textFill>
        </w:rPr>
      </w:pPr>
    </w:p>
    <w:p w14:paraId="59135C73">
      <w:pPr>
        <w:spacing w:line="520" w:lineRule="exact"/>
        <w:jc w:val="center"/>
        <w:rPr>
          <w:rFonts w:hint="eastAsia" w:ascii="宋体"/>
          <w:b/>
          <w:color w:val="000000" w:themeColor="text1"/>
          <w:sz w:val="32"/>
          <w:szCs w:val="32"/>
          <w:highlight w:val="none"/>
          <w14:textFill>
            <w14:solidFill>
              <w14:schemeClr w14:val="tx1"/>
            </w14:solidFill>
          </w14:textFill>
        </w:rPr>
      </w:pPr>
    </w:p>
    <w:p w14:paraId="4E16CF45">
      <w:pPr>
        <w:spacing w:line="520" w:lineRule="exact"/>
        <w:jc w:val="center"/>
        <w:rPr>
          <w:rFonts w:hint="eastAsia" w:ascii="宋体"/>
          <w:b/>
          <w:color w:val="000000" w:themeColor="text1"/>
          <w:sz w:val="32"/>
          <w:szCs w:val="32"/>
          <w:highlight w:val="none"/>
          <w14:textFill>
            <w14:solidFill>
              <w14:schemeClr w14:val="tx1"/>
            </w14:solidFill>
          </w14:textFill>
        </w:rPr>
      </w:pPr>
    </w:p>
    <w:p w14:paraId="0608AFF4">
      <w:pPr>
        <w:spacing w:line="520" w:lineRule="exact"/>
        <w:jc w:val="center"/>
        <w:rPr>
          <w:rFonts w:hint="eastAsia" w:ascii="宋体"/>
          <w:b/>
          <w:color w:val="000000" w:themeColor="text1"/>
          <w:sz w:val="32"/>
          <w:szCs w:val="32"/>
          <w:highlight w:val="none"/>
          <w14:textFill>
            <w14:solidFill>
              <w14:schemeClr w14:val="tx1"/>
            </w14:solidFill>
          </w14:textFill>
        </w:rPr>
      </w:pPr>
    </w:p>
    <w:p w14:paraId="6186D88C">
      <w:pPr>
        <w:spacing w:line="520" w:lineRule="exact"/>
        <w:jc w:val="center"/>
        <w:rPr>
          <w:rFonts w:hint="eastAsia" w:ascii="宋体"/>
          <w:b/>
          <w:color w:val="000000" w:themeColor="text1"/>
          <w:sz w:val="32"/>
          <w:szCs w:val="32"/>
          <w:highlight w:val="none"/>
          <w14:textFill>
            <w14:solidFill>
              <w14:schemeClr w14:val="tx1"/>
            </w14:solidFill>
          </w14:textFill>
        </w:rPr>
      </w:pPr>
    </w:p>
    <w:p w14:paraId="7D8E4E51">
      <w:pPr>
        <w:spacing w:line="520" w:lineRule="exact"/>
        <w:jc w:val="center"/>
        <w:rPr>
          <w:rFonts w:hint="eastAsia" w:ascii="宋体"/>
          <w:b/>
          <w:color w:val="000000" w:themeColor="text1"/>
          <w:sz w:val="32"/>
          <w:szCs w:val="32"/>
          <w:highlight w:val="none"/>
          <w14:textFill>
            <w14:solidFill>
              <w14:schemeClr w14:val="tx1"/>
            </w14:solidFill>
          </w14:textFill>
        </w:rPr>
      </w:pPr>
    </w:p>
    <w:p w14:paraId="026D1B9E">
      <w:pPr>
        <w:spacing w:line="520" w:lineRule="exact"/>
        <w:jc w:val="center"/>
        <w:rPr>
          <w:rFonts w:hint="eastAsia" w:ascii="宋体"/>
          <w:b/>
          <w:color w:val="000000" w:themeColor="text1"/>
          <w:sz w:val="32"/>
          <w:szCs w:val="32"/>
          <w:highlight w:val="none"/>
          <w14:textFill>
            <w14:solidFill>
              <w14:schemeClr w14:val="tx1"/>
            </w14:solidFill>
          </w14:textFill>
        </w:rPr>
      </w:pPr>
    </w:p>
    <w:p w14:paraId="1004B5F7">
      <w:pPr>
        <w:spacing w:line="520" w:lineRule="exact"/>
        <w:jc w:val="center"/>
        <w:rPr>
          <w:rFonts w:hint="eastAsia" w:ascii="宋体"/>
          <w:b/>
          <w:color w:val="000000" w:themeColor="text1"/>
          <w:sz w:val="32"/>
          <w:szCs w:val="32"/>
          <w:highlight w:val="none"/>
          <w14:textFill>
            <w14:solidFill>
              <w14:schemeClr w14:val="tx1"/>
            </w14:solidFill>
          </w14:textFill>
        </w:rPr>
      </w:pPr>
    </w:p>
    <w:p w14:paraId="3037A488">
      <w:pPr>
        <w:spacing w:line="520" w:lineRule="exact"/>
        <w:jc w:val="center"/>
        <w:rPr>
          <w:rFonts w:hint="eastAsia" w:ascii="宋体"/>
          <w:b/>
          <w:color w:val="000000" w:themeColor="text1"/>
          <w:sz w:val="32"/>
          <w:szCs w:val="32"/>
          <w:highlight w:val="none"/>
          <w14:textFill>
            <w14:solidFill>
              <w14:schemeClr w14:val="tx1"/>
            </w14:solidFill>
          </w14:textFill>
        </w:rPr>
      </w:pPr>
    </w:p>
    <w:p w14:paraId="346C9664">
      <w:pPr>
        <w:spacing w:line="520" w:lineRule="exact"/>
        <w:jc w:val="center"/>
        <w:rPr>
          <w:rFonts w:hint="eastAsia" w:ascii="宋体"/>
          <w:b/>
          <w:color w:val="000000" w:themeColor="text1"/>
          <w:sz w:val="32"/>
          <w:szCs w:val="32"/>
          <w:highlight w:val="none"/>
          <w14:textFill>
            <w14:solidFill>
              <w14:schemeClr w14:val="tx1"/>
            </w14:solidFill>
          </w14:textFill>
        </w:rPr>
      </w:pPr>
    </w:p>
    <w:p w14:paraId="77BF8A67">
      <w:pPr>
        <w:spacing w:line="520" w:lineRule="exact"/>
        <w:jc w:val="center"/>
        <w:rPr>
          <w:rFonts w:hint="eastAsia" w:ascii="宋体"/>
          <w:b/>
          <w:color w:val="000000" w:themeColor="text1"/>
          <w:sz w:val="32"/>
          <w:szCs w:val="32"/>
          <w:highlight w:val="none"/>
          <w14:textFill>
            <w14:solidFill>
              <w14:schemeClr w14:val="tx1"/>
            </w14:solidFill>
          </w14:textFill>
        </w:rPr>
      </w:pPr>
    </w:p>
    <w:p w14:paraId="7F8CEED6">
      <w:pPr>
        <w:spacing w:line="520" w:lineRule="exact"/>
        <w:jc w:val="center"/>
        <w:rPr>
          <w:rFonts w:hint="eastAsia" w:ascii="宋体"/>
          <w:b/>
          <w:color w:val="000000" w:themeColor="text1"/>
          <w:sz w:val="32"/>
          <w:szCs w:val="32"/>
          <w:highlight w:val="none"/>
          <w14:textFill>
            <w14:solidFill>
              <w14:schemeClr w14:val="tx1"/>
            </w14:solidFill>
          </w14:textFill>
        </w:rPr>
      </w:pPr>
    </w:p>
    <w:p w14:paraId="19013FA6">
      <w:pPr>
        <w:spacing w:line="520" w:lineRule="exact"/>
        <w:jc w:val="center"/>
        <w:rPr>
          <w:rFonts w:hint="eastAsia" w:ascii="宋体"/>
          <w:b/>
          <w:color w:val="000000" w:themeColor="text1"/>
          <w:sz w:val="32"/>
          <w:szCs w:val="32"/>
          <w:highlight w:val="none"/>
          <w14:textFill>
            <w14:solidFill>
              <w14:schemeClr w14:val="tx1"/>
            </w14:solidFill>
          </w14:textFill>
        </w:rPr>
      </w:pPr>
    </w:p>
    <w:p w14:paraId="0B629088">
      <w:pPr>
        <w:spacing w:line="520" w:lineRule="exact"/>
        <w:jc w:val="center"/>
        <w:rPr>
          <w:rFonts w:hint="eastAsia" w:ascii="宋体"/>
          <w:b/>
          <w:color w:val="000000" w:themeColor="text1"/>
          <w:sz w:val="32"/>
          <w:szCs w:val="32"/>
          <w:highlight w:val="none"/>
          <w14:textFill>
            <w14:solidFill>
              <w14:schemeClr w14:val="tx1"/>
            </w14:solidFill>
          </w14:textFill>
        </w:rPr>
      </w:pPr>
    </w:p>
    <w:p w14:paraId="5F74BEDF">
      <w:pPr>
        <w:spacing w:line="520" w:lineRule="exact"/>
        <w:jc w:val="center"/>
        <w:rPr>
          <w:rFonts w:hint="eastAsia" w:ascii="宋体"/>
          <w:b/>
          <w:color w:val="000000" w:themeColor="text1"/>
          <w:sz w:val="32"/>
          <w:szCs w:val="32"/>
          <w:highlight w:val="none"/>
          <w14:textFill>
            <w14:solidFill>
              <w14:schemeClr w14:val="tx1"/>
            </w14:solidFill>
          </w14:textFill>
        </w:rPr>
      </w:pPr>
    </w:p>
    <w:p w14:paraId="5664FC5C">
      <w:pPr>
        <w:spacing w:line="520" w:lineRule="exact"/>
        <w:jc w:val="center"/>
        <w:rPr>
          <w:rFonts w:hint="eastAsia" w:ascii="宋体"/>
          <w:b/>
          <w:color w:val="000000" w:themeColor="text1"/>
          <w:sz w:val="32"/>
          <w:szCs w:val="32"/>
          <w:highlight w:val="none"/>
          <w14:textFill>
            <w14:solidFill>
              <w14:schemeClr w14:val="tx1"/>
            </w14:solidFill>
          </w14:textFill>
        </w:rPr>
      </w:pPr>
    </w:p>
    <w:p w14:paraId="0937C2C0">
      <w:pPr>
        <w:spacing w:line="520" w:lineRule="exact"/>
        <w:jc w:val="center"/>
        <w:rPr>
          <w:rFonts w:hint="eastAsia" w:ascii="宋体"/>
          <w:b/>
          <w:color w:val="000000" w:themeColor="text1"/>
          <w:sz w:val="32"/>
          <w:szCs w:val="32"/>
          <w:highlight w:val="none"/>
          <w14:textFill>
            <w14:solidFill>
              <w14:schemeClr w14:val="tx1"/>
            </w14:solidFill>
          </w14:textFill>
        </w:rPr>
      </w:pPr>
    </w:p>
    <w:p w14:paraId="0510D503">
      <w:pPr>
        <w:spacing w:line="520" w:lineRule="exact"/>
        <w:jc w:val="center"/>
        <w:rPr>
          <w:rFonts w:hint="eastAsia" w:ascii="宋体"/>
          <w:b/>
          <w:color w:val="000000" w:themeColor="text1"/>
          <w:sz w:val="32"/>
          <w:szCs w:val="32"/>
          <w:highlight w:val="none"/>
          <w14:textFill>
            <w14:solidFill>
              <w14:schemeClr w14:val="tx1"/>
            </w14:solidFill>
          </w14:textFill>
        </w:rPr>
      </w:pPr>
    </w:p>
    <w:p w14:paraId="2667A031">
      <w:pPr>
        <w:pStyle w:val="7"/>
        <w:ind w:firstLine="0"/>
        <w:rPr>
          <w:rFonts w:hint="eastAsia" w:ascii="宋体"/>
          <w:b/>
          <w:color w:val="000000" w:themeColor="text1"/>
          <w:sz w:val="28"/>
          <w:szCs w:val="28"/>
          <w:highlight w:val="none"/>
          <w14:textFill>
            <w14:solidFill>
              <w14:schemeClr w14:val="tx1"/>
            </w14:solidFill>
          </w14:textFill>
        </w:rPr>
      </w:pPr>
      <w:bookmarkStart w:id="1293" w:name="_Toc418752343"/>
      <w:bookmarkStart w:id="1294" w:name="_Toc418751897"/>
    </w:p>
    <w:p w14:paraId="6985B1F7">
      <w:pPr>
        <w:pStyle w:val="7"/>
        <w:ind w:firstLine="0"/>
        <w:rPr>
          <w:rFonts w:hint="eastAsia" w:ascii="宋体"/>
          <w:b/>
          <w:color w:val="000000" w:themeColor="text1"/>
          <w:sz w:val="28"/>
          <w:szCs w:val="28"/>
          <w:highlight w:val="none"/>
          <w14:textFill>
            <w14:solidFill>
              <w14:schemeClr w14:val="tx1"/>
            </w14:solidFill>
          </w14:textFill>
        </w:rPr>
      </w:pPr>
    </w:p>
    <w:p w14:paraId="3EC2CE61">
      <w:pPr>
        <w:ind w:firstLine="562" w:firstLineChars="200"/>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br w:type="page"/>
      </w:r>
      <w:r>
        <w:rPr>
          <w:rFonts w:hint="eastAsia" w:ascii="宋体"/>
          <w:b/>
          <w:color w:val="000000" w:themeColor="text1"/>
          <w:sz w:val="28"/>
          <w:szCs w:val="28"/>
          <w:highlight w:val="none"/>
          <w14:textFill>
            <w14:solidFill>
              <w14:schemeClr w14:val="tx1"/>
            </w14:solidFill>
          </w14:textFill>
        </w:rPr>
        <w:t>1.响应函及响应函附录</w:t>
      </w:r>
      <w:bookmarkEnd w:id="1293"/>
      <w:bookmarkEnd w:id="1294"/>
      <w:r>
        <w:rPr>
          <w:rFonts w:hint="eastAsia" w:ascii="宋体"/>
          <w:b/>
          <w:color w:val="000000" w:themeColor="text1"/>
          <w:sz w:val="28"/>
          <w:szCs w:val="28"/>
          <w:highlight w:val="none"/>
          <w14:textFill>
            <w14:solidFill>
              <w14:schemeClr w14:val="tx1"/>
            </w14:solidFill>
          </w14:textFill>
        </w:rPr>
        <w:t>（必须提供）；</w:t>
      </w:r>
    </w:p>
    <w:p w14:paraId="4C607D57">
      <w:pPr>
        <w:ind w:firstLine="480" w:firstLineChars="2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附件</w:t>
      </w:r>
    </w:p>
    <w:p w14:paraId="1C2A431A">
      <w:pPr>
        <w:pStyle w:val="47"/>
        <w:jc w:val="center"/>
        <w:outlineLvl w:val="9"/>
        <w:rPr>
          <w:rFonts w:hint="eastAsia" w:ascii="宋体"/>
          <w:b/>
          <w:color w:val="000000" w:themeColor="text1"/>
          <w:sz w:val="28"/>
          <w:szCs w:val="28"/>
          <w:highlight w:val="none"/>
          <w14:textFill>
            <w14:solidFill>
              <w14:schemeClr w14:val="tx1"/>
            </w14:solidFill>
          </w14:textFill>
        </w:rPr>
      </w:pPr>
      <w:bookmarkStart w:id="1295" w:name="_Toc418751898"/>
      <w:bookmarkStart w:id="1296" w:name="_Toc418752344"/>
      <w:bookmarkStart w:id="1297" w:name="_Toc483317220"/>
      <w:r>
        <w:rPr>
          <w:rFonts w:hint="eastAsia" w:ascii="宋体"/>
          <w:b/>
          <w:color w:val="000000" w:themeColor="text1"/>
          <w:sz w:val="28"/>
          <w:szCs w:val="28"/>
          <w:highlight w:val="none"/>
          <w14:textFill>
            <w14:solidFill>
              <w14:schemeClr w14:val="tx1"/>
            </w14:solidFill>
          </w14:textFill>
        </w:rPr>
        <w:t>1.1</w:t>
      </w:r>
      <w:bookmarkEnd w:id="1295"/>
      <w:bookmarkEnd w:id="1296"/>
      <w:bookmarkEnd w:id="1297"/>
      <w:r>
        <w:rPr>
          <w:rFonts w:hint="eastAsia" w:ascii="宋体"/>
          <w:b/>
          <w:color w:val="000000" w:themeColor="text1"/>
          <w:sz w:val="28"/>
          <w:szCs w:val="28"/>
          <w:highlight w:val="none"/>
          <w14:textFill>
            <w14:solidFill>
              <w14:schemeClr w14:val="tx1"/>
            </w14:solidFill>
          </w14:textFill>
        </w:rPr>
        <w:t>响应函</w:t>
      </w:r>
    </w:p>
    <w:p w14:paraId="6FA3BBF0">
      <w:pPr>
        <w:pStyle w:val="12"/>
        <w:spacing w:line="360" w:lineRule="exact"/>
        <w:rPr>
          <w:rFonts w:hint="eastAsia"/>
          <w:color w:val="000000" w:themeColor="text1"/>
          <w:highlight w:val="none"/>
          <w14:textFill>
            <w14:solidFill>
              <w14:schemeClr w14:val="tx1"/>
            </w14:solidFill>
          </w14:textFill>
        </w:rPr>
      </w:pPr>
      <w:r>
        <w:rPr>
          <w:rFonts w:hint="eastAsia"/>
          <w:color w:val="000000" w:themeColor="text1"/>
          <w:highlight w:val="none"/>
          <w:u w:val="single"/>
          <w:lang w:eastAsia="zh-CN"/>
          <w14:textFill>
            <w14:solidFill>
              <w14:schemeClr w14:val="tx1"/>
            </w14:solidFill>
          </w14:textFill>
        </w:rPr>
        <w:t>广西卓群项目管理有限公司</w:t>
      </w:r>
      <w:r>
        <w:rPr>
          <w:rFonts w:hint="eastAsia"/>
          <w:color w:val="000000" w:themeColor="text1"/>
          <w:highlight w:val="none"/>
          <w14:textFill>
            <w14:solidFill>
              <w14:schemeClr w14:val="tx1"/>
            </w14:solidFill>
          </w14:textFill>
        </w:rPr>
        <w:t>：</w:t>
      </w:r>
    </w:p>
    <w:p w14:paraId="13015B1E">
      <w:pPr>
        <w:pStyle w:val="12"/>
        <w:spacing w:line="360" w:lineRule="exact"/>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依据贵方</w:t>
      </w:r>
      <w:r>
        <w:rPr>
          <w:rFonts w:hint="eastAsia"/>
          <w:color w:val="000000" w:themeColor="text1"/>
          <w:highlight w:val="none"/>
          <w:u w:val="single"/>
          <w14:textFill>
            <w14:solidFill>
              <w14:schemeClr w14:val="tx1"/>
            </w14:solidFill>
          </w14:textFill>
        </w:rPr>
        <w:t>（项目名称/项目编号）</w:t>
      </w:r>
      <w:r>
        <w:rPr>
          <w:rFonts w:hint="eastAsia"/>
          <w:color w:val="000000" w:themeColor="text1"/>
          <w:highlight w:val="none"/>
          <w14:textFill>
            <w14:solidFill>
              <w14:schemeClr w14:val="tx1"/>
            </w14:solidFill>
          </w14:textFill>
        </w:rPr>
        <w:t>项目政府采购的磋商文件要求，我方</w:t>
      </w:r>
      <w:r>
        <w:rPr>
          <w:rFonts w:hint="eastAsia"/>
          <w:color w:val="000000" w:themeColor="text1"/>
          <w:highlight w:val="none"/>
          <w:u w:val="single"/>
          <w14:textFill>
            <w14:solidFill>
              <w14:schemeClr w14:val="tx1"/>
            </w14:solidFill>
          </w14:textFill>
        </w:rPr>
        <w:t>（姓名和职务）</w:t>
      </w:r>
      <w:r>
        <w:rPr>
          <w:rFonts w:hint="eastAsia"/>
          <w:color w:val="000000" w:themeColor="text1"/>
          <w:highlight w:val="none"/>
          <w14:textFill>
            <w14:solidFill>
              <w14:schemeClr w14:val="tx1"/>
            </w14:solidFill>
          </w14:textFill>
        </w:rPr>
        <w:t>经正式授权并代表本单位</w:t>
      </w:r>
      <w:r>
        <w:rPr>
          <w:rFonts w:hint="eastAsia"/>
          <w:color w:val="000000" w:themeColor="text1"/>
          <w:highlight w:val="none"/>
          <w:u w:val="single"/>
          <w14:textFill>
            <w14:solidFill>
              <w14:schemeClr w14:val="tx1"/>
            </w14:solidFill>
          </w14:textFill>
        </w:rPr>
        <w:t>（磋商供应商名称）</w:t>
      </w:r>
      <w:r>
        <w:rPr>
          <w:rFonts w:hint="eastAsia"/>
          <w:color w:val="000000" w:themeColor="text1"/>
          <w:highlight w:val="none"/>
          <w14:textFill>
            <w14:solidFill>
              <w14:schemeClr w14:val="tx1"/>
            </w14:solidFill>
          </w14:textFill>
        </w:rPr>
        <w:t>，在“广西政府采购云平台”平台线上提交电子响应文件一份。</w:t>
      </w:r>
    </w:p>
    <w:p w14:paraId="77CDFB9E">
      <w:pPr>
        <w:tabs>
          <w:tab w:val="left" w:pos="7560"/>
        </w:tabs>
        <w:spacing w:line="360" w:lineRule="exact"/>
        <w:ind w:firstLine="442"/>
        <w:rPr>
          <w:rFonts w:hint="eastAsia"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据此函，签字代表宣布同意如下：</w:t>
      </w:r>
    </w:p>
    <w:p w14:paraId="2166D013">
      <w:pPr>
        <w:tabs>
          <w:tab w:val="left" w:pos="7560"/>
        </w:tabs>
        <w:spacing w:line="360" w:lineRule="exact"/>
        <w:ind w:firstLine="442"/>
        <w:rPr>
          <w:rFonts w:hint="eastAsia"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1.经我方仔细研究磋商文件全部内容，</w:t>
      </w:r>
      <w:r>
        <w:rPr>
          <w:rFonts w:hint="eastAsia" w:ascii="宋体"/>
          <w:color w:val="000000" w:themeColor="text1"/>
          <w:szCs w:val="21"/>
          <w:highlight w:val="none"/>
          <w14:textFill>
            <w14:solidFill>
              <w14:schemeClr w14:val="tx1"/>
            </w14:solidFill>
          </w14:textFill>
        </w:rPr>
        <w:t>愿意以磋商总报价（人民币）（大写）</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元(￥</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元</w:t>
      </w:r>
      <w:r>
        <w:rPr>
          <w:rFonts w:hint="eastAsia" w:ascii="宋体"/>
          <w:b/>
          <w:bCs/>
          <w:color w:val="000000" w:themeColor="text1"/>
          <w:szCs w:val="21"/>
          <w:highlight w:val="none"/>
          <w14:textFill>
            <w14:solidFill>
              <w14:schemeClr w14:val="tx1"/>
            </w14:solidFill>
          </w14:textFill>
        </w:rPr>
        <w:t>，</w:t>
      </w:r>
      <w:r>
        <w:rPr>
          <w:rFonts w:hint="eastAsia" w:ascii="宋体"/>
          <w:color w:val="000000" w:themeColor="text1"/>
          <w:szCs w:val="21"/>
          <w:highlight w:val="none"/>
          <w14:textFill>
            <w14:solidFill>
              <w14:schemeClr w14:val="tx1"/>
            </w14:solidFill>
          </w14:textFill>
        </w:rPr>
        <w:t>并按本项目图纸、合同条款、工程建设标准和工程量清单（如有时）的条件要求承包上述工程的施工、竣工，并承担任何质量缺陷保修责任。我方保证工程质量达到</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标准，</w:t>
      </w:r>
      <w:r>
        <w:rPr>
          <w:rFonts w:hint="eastAsia" w:ascii="宋体"/>
          <w:color w:val="000000" w:themeColor="text1"/>
          <w:highlight w:val="none"/>
          <w14:textFill>
            <w14:solidFill>
              <w14:schemeClr w14:val="tx1"/>
            </w14:solidFill>
          </w14:textFill>
        </w:rPr>
        <w:t>按合同书中规定的工期</w:t>
      </w:r>
      <w:r>
        <w:rPr>
          <w:rFonts w:hint="eastAsia" w:ascii="宋体"/>
          <w:color w:val="000000" w:themeColor="text1"/>
          <w:highlight w:val="none"/>
          <w:u w:val="single"/>
          <w14:textFill>
            <w14:solidFill>
              <w14:schemeClr w14:val="tx1"/>
            </w14:solidFill>
          </w14:textFill>
        </w:rPr>
        <w:t xml:space="preserve"> （工期）  </w:t>
      </w:r>
      <w:r>
        <w:rPr>
          <w:rFonts w:hint="eastAsia" w:ascii="宋体"/>
          <w:color w:val="000000" w:themeColor="text1"/>
          <w:highlight w:val="none"/>
          <w14:textFill>
            <w14:solidFill>
              <w14:schemeClr w14:val="tx1"/>
            </w14:solidFill>
          </w14:textFill>
        </w:rPr>
        <w:t>完成并移交全部工程。</w:t>
      </w:r>
    </w:p>
    <w:p w14:paraId="6D5F67E2">
      <w:pPr>
        <w:spacing w:line="360" w:lineRule="exact"/>
        <w:ind w:firstLine="442"/>
        <w:rPr>
          <w:rFonts w:hint="eastAsia"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2.我方已详细审核全部磋商文件，包括修改文件（如有时）及有关附件，将自行承担因对全部磋商文件理解不正确或误解而产生的相应后果。</w:t>
      </w:r>
    </w:p>
    <w:p w14:paraId="16DEE585">
      <w:pPr>
        <w:spacing w:line="360" w:lineRule="exact"/>
        <w:ind w:firstLine="442"/>
        <w:rPr>
          <w:rFonts w:hint="eastAsia"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3.我方承认响应函附录是我方响应函的组成部分。</w:t>
      </w:r>
    </w:p>
    <w:p w14:paraId="6FDCAD2D">
      <w:pPr>
        <w:spacing w:line="360" w:lineRule="exact"/>
        <w:ind w:firstLine="442"/>
        <w:rPr>
          <w:rFonts w:hint="eastAsia"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4.响应文件有效期：</w:t>
      </w:r>
      <w:r>
        <w:rPr>
          <w:rFonts w:hint="eastAsia" w:ascii="宋体"/>
          <w:color w:val="000000" w:themeColor="text1"/>
          <w:szCs w:val="21"/>
          <w:highlight w:val="none"/>
          <w14:textFill>
            <w14:solidFill>
              <w14:schemeClr w14:val="tx1"/>
            </w14:solidFill>
          </w14:textFill>
        </w:rPr>
        <w:t>响应文件递交截止日期后</w:t>
      </w:r>
      <w:r>
        <w:rPr>
          <w:rFonts w:hint="eastAsia" w:ascii="宋体"/>
          <w:color w:val="000000" w:themeColor="text1"/>
          <w:szCs w:val="21"/>
          <w:highlight w:val="none"/>
          <w:u w:val="single"/>
          <w14:textFill>
            <w14:solidFill>
              <w14:schemeClr w14:val="tx1"/>
            </w14:solidFill>
          </w14:textFill>
        </w:rPr>
        <w:t>90</w:t>
      </w:r>
      <w:r>
        <w:rPr>
          <w:rFonts w:hint="eastAsia" w:ascii="宋体"/>
          <w:color w:val="000000" w:themeColor="text1"/>
          <w:szCs w:val="21"/>
          <w:highlight w:val="none"/>
          <w14:textFill>
            <w14:solidFill>
              <w14:schemeClr w14:val="tx1"/>
            </w14:solidFill>
          </w14:textFill>
        </w:rPr>
        <w:t>日</w:t>
      </w:r>
      <w:r>
        <w:rPr>
          <w:rFonts w:hint="eastAsia" w:ascii="宋体"/>
          <w:color w:val="000000" w:themeColor="text1"/>
          <w:highlight w:val="none"/>
          <w14:textFill>
            <w14:solidFill>
              <w14:schemeClr w14:val="tx1"/>
            </w14:solidFill>
          </w14:textFill>
        </w:rPr>
        <w:t>，在此期间内如果成交，我方将受此约束。</w:t>
      </w:r>
    </w:p>
    <w:p w14:paraId="498297F5">
      <w:pPr>
        <w:spacing w:line="360" w:lineRule="exact"/>
        <w:ind w:firstLine="420" w:firstLineChars="200"/>
        <w:rPr>
          <w:rFonts w:hint="eastAsia"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5.如我方成交:</w:t>
      </w:r>
    </w:p>
    <w:p w14:paraId="299E00DB">
      <w:pPr>
        <w:spacing w:line="360" w:lineRule="exact"/>
        <w:ind w:firstLine="630" w:firstLineChars="300"/>
        <w:rPr>
          <w:rFonts w:hint="eastAsia"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(1)我方承诺在收到成交通知书后，在成交通知书规定的期限内与采购人签订合同。</w:t>
      </w:r>
    </w:p>
    <w:p w14:paraId="38141FA1">
      <w:pPr>
        <w:spacing w:line="360" w:lineRule="exact"/>
        <w:ind w:firstLine="630" w:firstLineChars="300"/>
        <w:rPr>
          <w:rFonts w:hint="eastAsia"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(2)我方承诺按照磋商文件规定的合同履约期限执行。</w:t>
      </w:r>
    </w:p>
    <w:p w14:paraId="65D52607">
      <w:pPr>
        <w:spacing w:line="360" w:lineRule="exact"/>
        <w:ind w:firstLine="630" w:firstLineChars="300"/>
        <w:rPr>
          <w:rFonts w:hint="eastAsia"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(3)我方承诺本响应文件至本项目合同履行完毕止均保持有效，按磋商文件及政府采购法律、法规的规定履行合同责任和义务。</w:t>
      </w:r>
    </w:p>
    <w:p w14:paraId="647B671A">
      <w:pPr>
        <w:spacing w:line="360" w:lineRule="exact"/>
        <w:ind w:firstLine="630" w:firstLineChars="300"/>
        <w:rPr>
          <w:rFonts w:hint="eastAsia" w:ascii="宋体"/>
          <w:color w:val="000000" w:themeColor="text1"/>
          <w:highlight w:val="none"/>
          <w14:textFill>
            <w14:solidFill>
              <w14:schemeClr w14:val="tx1"/>
            </w14:solidFill>
          </w14:textFill>
        </w:rPr>
      </w:pPr>
    </w:p>
    <w:p w14:paraId="7F9F6048">
      <w:pPr>
        <w:spacing w:line="360" w:lineRule="exact"/>
        <w:ind w:firstLine="630" w:firstLineChars="300"/>
        <w:rPr>
          <w:rFonts w:hint="eastAsia" w:ascii="宋体"/>
          <w:color w:val="000000" w:themeColor="text1"/>
          <w:highlight w:val="none"/>
          <w14:textFill>
            <w14:solidFill>
              <w14:schemeClr w14:val="tx1"/>
            </w14:solidFill>
          </w14:textFill>
        </w:rPr>
      </w:pPr>
    </w:p>
    <w:p w14:paraId="160AA753">
      <w:pPr>
        <w:spacing w:line="360" w:lineRule="exact"/>
        <w:ind w:firstLine="630" w:firstLineChars="300"/>
        <w:rPr>
          <w:rFonts w:hint="eastAsia"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与本项目有关的正式通讯地址为:</w:t>
      </w:r>
    </w:p>
    <w:p w14:paraId="35B4C3DB">
      <w:pPr>
        <w:spacing w:line="360" w:lineRule="exact"/>
        <w:ind w:firstLine="630" w:firstLineChars="300"/>
        <w:rPr>
          <w:rFonts w:hint="eastAsia"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单位地址：</w:t>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 xml:space="preserve">  邮政编码：</w:t>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 xml:space="preserve">  电子邮箱：</w:t>
      </w:r>
      <w:r>
        <w:rPr>
          <w:rFonts w:hint="eastAsia" w:ascii="宋体"/>
          <w:color w:val="000000" w:themeColor="text1"/>
          <w:highlight w:val="none"/>
          <w:u w:val="single"/>
          <w14:textFill>
            <w14:solidFill>
              <w14:schemeClr w14:val="tx1"/>
            </w14:solidFill>
          </w14:textFill>
        </w:rPr>
        <w:t xml:space="preserve">          </w:t>
      </w:r>
    </w:p>
    <w:p w14:paraId="4D620D40">
      <w:pPr>
        <w:spacing w:line="360" w:lineRule="exact"/>
        <w:ind w:firstLine="630" w:firstLineChars="300"/>
        <w:rPr>
          <w:rFonts w:hint="eastAsia"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办公电话：</w:t>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 xml:space="preserve">    传真：</w:t>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 xml:space="preserve">     委托代理人联系电话：</w:t>
      </w:r>
      <w:r>
        <w:rPr>
          <w:rFonts w:hint="eastAsia" w:ascii="宋体"/>
          <w:color w:val="000000" w:themeColor="text1"/>
          <w:highlight w:val="none"/>
          <w:u w:val="single"/>
          <w14:textFill>
            <w14:solidFill>
              <w14:schemeClr w14:val="tx1"/>
            </w14:solidFill>
          </w14:textFill>
        </w:rPr>
        <w:t xml:space="preserve">           </w:t>
      </w:r>
    </w:p>
    <w:p w14:paraId="23E318D7">
      <w:pPr>
        <w:spacing w:line="360" w:lineRule="exact"/>
        <w:ind w:firstLine="630" w:firstLineChars="300"/>
        <w:rPr>
          <w:rFonts w:hint="eastAsia" w:ascii="宋体"/>
          <w:color w:val="000000" w:themeColor="text1"/>
          <w:highlight w:val="none"/>
          <w:u w:val="single"/>
          <w14:textFill>
            <w14:solidFill>
              <w14:schemeClr w14:val="tx1"/>
            </w14:solidFill>
          </w14:textFill>
        </w:rPr>
      </w:pPr>
      <w:r>
        <w:rPr>
          <w:rFonts w:hint="eastAsia" w:ascii="宋体"/>
          <w:color w:val="000000" w:themeColor="text1"/>
          <w:highlight w:val="none"/>
          <w14:textFill>
            <w14:solidFill>
              <w14:schemeClr w14:val="tx1"/>
            </w14:solidFill>
          </w14:textFill>
        </w:rPr>
        <w:t>开户名称：</w:t>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ab/>
      </w:r>
    </w:p>
    <w:p w14:paraId="40581BF3">
      <w:pPr>
        <w:spacing w:line="360" w:lineRule="exact"/>
        <w:ind w:firstLine="630" w:firstLineChars="300"/>
        <w:rPr>
          <w:rFonts w:hint="eastAsia"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开户银行：</w:t>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 xml:space="preserve">            </w:t>
      </w:r>
    </w:p>
    <w:p w14:paraId="465AFE2E">
      <w:pPr>
        <w:spacing w:line="360" w:lineRule="exact"/>
        <w:ind w:firstLine="630" w:firstLineChars="300"/>
        <w:rPr>
          <w:rFonts w:hint="eastAsia" w:ascii="宋体"/>
          <w:color w:val="000000" w:themeColor="text1"/>
          <w:highlight w:val="none"/>
          <w:u w:val="single"/>
          <w14:textFill>
            <w14:solidFill>
              <w14:schemeClr w14:val="tx1"/>
            </w14:solidFill>
          </w14:textFill>
        </w:rPr>
      </w:pPr>
      <w:r>
        <w:rPr>
          <w:rFonts w:hint="eastAsia" w:ascii="宋体"/>
          <w:color w:val="000000" w:themeColor="text1"/>
          <w:highlight w:val="none"/>
          <w14:textFill>
            <w14:solidFill>
              <w14:schemeClr w14:val="tx1"/>
            </w14:solidFill>
          </w14:textFill>
        </w:rPr>
        <w:t>银行账号：</w:t>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u w:val="single"/>
          <w14:textFill>
            <w14:solidFill>
              <w14:schemeClr w14:val="tx1"/>
            </w14:solidFill>
          </w14:textFill>
        </w:rPr>
        <w:tab/>
      </w:r>
      <w:r>
        <w:rPr>
          <w:rFonts w:hint="eastAsia" w:ascii="宋体"/>
          <w:color w:val="000000" w:themeColor="text1"/>
          <w:highlight w:val="none"/>
          <w14:textFill>
            <w14:solidFill>
              <w14:schemeClr w14:val="tx1"/>
            </w14:solidFill>
          </w14:textFill>
        </w:rPr>
        <w:t xml:space="preserve">      </w:t>
      </w:r>
    </w:p>
    <w:p w14:paraId="6132B4B5">
      <w:pPr>
        <w:pStyle w:val="12"/>
        <w:spacing w:line="400" w:lineRule="atLeast"/>
        <w:ind w:left="0" w:leftChars="0" w:firstLine="638" w:firstLineChars="304"/>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供应商名称[公章(CA签章)、自然人除外]：</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 xml:space="preserve">           </w:t>
      </w:r>
    </w:p>
    <w:p w14:paraId="0BE1500F">
      <w:pPr>
        <w:pStyle w:val="12"/>
        <w:spacing w:line="400" w:lineRule="atLeast"/>
        <w:ind w:left="630" w:leftChars="300" w:firstLine="2" w:firstLineChars="1"/>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法定代表人、负责人、自然人或相应的委托代理人签字[或盖章(CA签章)]（属自然人的应在签名处加盖大拇指指印或个人CA签章）：</w:t>
      </w:r>
      <w:r>
        <w:rPr>
          <w:rFonts w:hint="eastAsia"/>
          <w:color w:val="000000" w:themeColor="text1"/>
          <w:highlight w:val="none"/>
          <w:u w:val="single"/>
          <w14:textFill>
            <w14:solidFill>
              <w14:schemeClr w14:val="tx1"/>
            </w14:solidFill>
          </w14:textFill>
        </w:rPr>
        <w:t xml:space="preserve">                       </w:t>
      </w:r>
    </w:p>
    <w:p w14:paraId="775EB447">
      <w:pPr>
        <w:snapToGrid w:val="0"/>
        <w:spacing w:line="400" w:lineRule="atLeast"/>
        <w:ind w:left="0" w:leftChars="0" w:firstLine="638" w:firstLineChars="304"/>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日   期：</w:t>
      </w:r>
      <w:r>
        <w:rPr>
          <w:rFonts w:hint="eastAsia" w:ascii="宋体"/>
          <w:color w:val="000000" w:themeColor="text1"/>
          <w:highlight w:val="none"/>
          <w:u w:val="single"/>
          <w14:textFill>
            <w14:solidFill>
              <w14:schemeClr w14:val="tx1"/>
            </w14:solidFill>
          </w14:textFill>
        </w:rPr>
        <w:t xml:space="preserve">                         </w:t>
      </w:r>
    </w:p>
    <w:p w14:paraId="6D6503BD">
      <w:pPr>
        <w:pStyle w:val="47"/>
        <w:jc w:val="center"/>
        <w:outlineLvl w:val="9"/>
        <w:rPr>
          <w:rFonts w:hint="eastAsia" w:ascii="宋体"/>
          <w:b/>
          <w:color w:val="000000" w:themeColor="text1"/>
          <w:highlight w:val="none"/>
          <w14:textFill>
            <w14:solidFill>
              <w14:schemeClr w14:val="tx1"/>
            </w14:solidFill>
          </w14:textFill>
        </w:rPr>
        <w:sectPr>
          <w:pgSz w:w="11906" w:h="16838"/>
          <w:pgMar w:top="1418" w:right="1134" w:bottom="1418" w:left="1134" w:header="851" w:footer="992" w:gutter="0"/>
          <w:pgNumType w:fmt="decimal"/>
          <w:cols w:space="720" w:num="1"/>
          <w:docGrid w:type="lines" w:linePitch="312" w:charSpace="0"/>
        </w:sectPr>
      </w:pPr>
      <w:bookmarkStart w:id="1298" w:name="_Toc418751899"/>
      <w:bookmarkStart w:id="1299" w:name="_Toc418752345"/>
    </w:p>
    <w:p w14:paraId="711BF331">
      <w:pPr>
        <w:pStyle w:val="47"/>
        <w:jc w:val="both"/>
        <w:outlineLvl w:val="9"/>
        <w:rPr>
          <w:rFonts w:hint="eastAsia" w:ascii="宋体"/>
          <w:b/>
          <w:color w:val="000000" w:themeColor="text1"/>
          <w:sz w:val="28"/>
          <w:szCs w:val="28"/>
          <w:highlight w:val="none"/>
          <w14:textFill>
            <w14:solidFill>
              <w14:schemeClr w14:val="tx1"/>
            </w14:solidFill>
          </w14:textFill>
        </w:rPr>
      </w:pPr>
      <w:bookmarkStart w:id="1300" w:name="_Toc483317221"/>
      <w:r>
        <w:rPr>
          <w:rFonts w:hint="eastAsia" w:ascii="宋体"/>
          <w:b/>
          <w:color w:val="000000" w:themeColor="text1"/>
          <w:sz w:val="28"/>
          <w:szCs w:val="28"/>
          <w:highlight w:val="none"/>
          <w14:textFill>
            <w14:solidFill>
              <w14:schemeClr w14:val="tx1"/>
            </w14:solidFill>
          </w14:textFill>
        </w:rPr>
        <w:t>1.2响应函附录</w:t>
      </w:r>
      <w:bookmarkEnd w:id="1298"/>
      <w:bookmarkEnd w:id="1299"/>
      <w:bookmarkEnd w:id="1300"/>
    </w:p>
    <w:p w14:paraId="6D9DCC94">
      <w:pPr>
        <w:ind w:firstLine="517" w:firstLineChars="245"/>
        <w:rPr>
          <w:rFonts w:hint="eastAsia" w:ascii="宋体"/>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项目名称：</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 xml:space="preserve">                          项目编号：</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2190"/>
        <w:gridCol w:w="2345"/>
        <w:gridCol w:w="2190"/>
        <w:gridCol w:w="2036"/>
      </w:tblGrid>
      <w:tr w14:paraId="1C389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0E866F28">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序 号</w:t>
            </w:r>
          </w:p>
        </w:tc>
        <w:tc>
          <w:tcPr>
            <w:tcW w:w="2190" w:type="dxa"/>
            <w:noWrap w:val="0"/>
            <w:vAlign w:val="center"/>
          </w:tcPr>
          <w:p w14:paraId="0E10FE18">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条款内容</w:t>
            </w:r>
          </w:p>
        </w:tc>
        <w:tc>
          <w:tcPr>
            <w:tcW w:w="2345" w:type="dxa"/>
            <w:noWrap w:val="0"/>
            <w:vAlign w:val="center"/>
          </w:tcPr>
          <w:p w14:paraId="2853CEB9">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合同条款号</w:t>
            </w:r>
          </w:p>
        </w:tc>
        <w:tc>
          <w:tcPr>
            <w:tcW w:w="2190" w:type="dxa"/>
            <w:noWrap w:val="0"/>
            <w:vAlign w:val="center"/>
          </w:tcPr>
          <w:p w14:paraId="3234543D">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约定内容</w:t>
            </w:r>
          </w:p>
        </w:tc>
        <w:tc>
          <w:tcPr>
            <w:tcW w:w="2036" w:type="dxa"/>
            <w:noWrap w:val="0"/>
            <w:vAlign w:val="center"/>
          </w:tcPr>
          <w:p w14:paraId="623E7FA3">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备注</w:t>
            </w:r>
          </w:p>
        </w:tc>
      </w:tr>
      <w:tr w14:paraId="5ACC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175EC777">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w:t>
            </w:r>
          </w:p>
        </w:tc>
        <w:tc>
          <w:tcPr>
            <w:tcW w:w="2190" w:type="dxa"/>
            <w:noWrap w:val="0"/>
            <w:vAlign w:val="center"/>
          </w:tcPr>
          <w:p w14:paraId="64C5DB82">
            <w:pP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项目经理</w:t>
            </w:r>
          </w:p>
        </w:tc>
        <w:tc>
          <w:tcPr>
            <w:tcW w:w="2345" w:type="dxa"/>
            <w:noWrap w:val="0"/>
            <w:tcMar>
              <w:left w:w="170" w:type="dxa"/>
            </w:tcMar>
            <w:vAlign w:val="center"/>
          </w:tcPr>
          <w:p w14:paraId="2BA60B2C">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专用合同条款</w:t>
            </w:r>
          </w:p>
        </w:tc>
        <w:tc>
          <w:tcPr>
            <w:tcW w:w="2190" w:type="dxa"/>
            <w:noWrap w:val="0"/>
            <w:vAlign w:val="center"/>
          </w:tcPr>
          <w:p w14:paraId="4DF53359">
            <w:pP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姓名：</w:t>
            </w:r>
            <w:r>
              <w:rPr>
                <w:rFonts w:hint="eastAsia" w:ascii="宋体"/>
                <w:color w:val="000000" w:themeColor="text1"/>
                <w:szCs w:val="21"/>
                <w:highlight w:val="none"/>
                <w:u w:val="single"/>
                <w14:textFill>
                  <w14:solidFill>
                    <w14:schemeClr w14:val="tx1"/>
                  </w14:solidFill>
                </w14:textFill>
              </w:rPr>
              <w:t xml:space="preserve">          </w:t>
            </w:r>
          </w:p>
        </w:tc>
        <w:tc>
          <w:tcPr>
            <w:tcW w:w="2036" w:type="dxa"/>
            <w:noWrap w:val="0"/>
            <w:vAlign w:val="center"/>
          </w:tcPr>
          <w:p w14:paraId="4DFFEDDF">
            <w:pPr>
              <w:jc w:val="center"/>
              <w:rPr>
                <w:rFonts w:hint="eastAsia" w:ascii="宋体"/>
                <w:color w:val="000000" w:themeColor="text1"/>
                <w:szCs w:val="21"/>
                <w:highlight w:val="none"/>
                <w14:textFill>
                  <w14:solidFill>
                    <w14:schemeClr w14:val="tx1"/>
                  </w14:solidFill>
                </w14:textFill>
              </w:rPr>
            </w:pPr>
          </w:p>
        </w:tc>
      </w:tr>
      <w:tr w14:paraId="6D41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67E1F90B">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w:t>
            </w:r>
          </w:p>
        </w:tc>
        <w:tc>
          <w:tcPr>
            <w:tcW w:w="2190" w:type="dxa"/>
            <w:noWrap w:val="0"/>
            <w:vAlign w:val="center"/>
          </w:tcPr>
          <w:p w14:paraId="2F89EF92">
            <w:pP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工期</w:t>
            </w:r>
          </w:p>
        </w:tc>
        <w:tc>
          <w:tcPr>
            <w:tcW w:w="2345" w:type="dxa"/>
            <w:noWrap w:val="0"/>
            <w:tcMar>
              <w:left w:w="170" w:type="dxa"/>
            </w:tcMar>
            <w:vAlign w:val="center"/>
          </w:tcPr>
          <w:p w14:paraId="67FB5620">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合同协议书</w:t>
            </w:r>
          </w:p>
        </w:tc>
        <w:tc>
          <w:tcPr>
            <w:tcW w:w="2190" w:type="dxa"/>
            <w:noWrap w:val="0"/>
            <w:vAlign w:val="center"/>
          </w:tcPr>
          <w:p w14:paraId="1B22A66F">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日历天</w:t>
            </w:r>
          </w:p>
        </w:tc>
        <w:tc>
          <w:tcPr>
            <w:tcW w:w="2036" w:type="dxa"/>
            <w:noWrap w:val="0"/>
            <w:vAlign w:val="center"/>
          </w:tcPr>
          <w:p w14:paraId="0AA6195E">
            <w:pPr>
              <w:jc w:val="center"/>
              <w:rPr>
                <w:rFonts w:hint="eastAsia" w:ascii="宋体"/>
                <w:color w:val="000000" w:themeColor="text1"/>
                <w:szCs w:val="21"/>
                <w:highlight w:val="none"/>
                <w14:textFill>
                  <w14:solidFill>
                    <w14:schemeClr w14:val="tx1"/>
                  </w14:solidFill>
                </w14:textFill>
              </w:rPr>
            </w:pPr>
          </w:p>
        </w:tc>
      </w:tr>
      <w:tr w14:paraId="6220B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7BFC1772">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w:t>
            </w:r>
          </w:p>
        </w:tc>
        <w:tc>
          <w:tcPr>
            <w:tcW w:w="2190" w:type="dxa"/>
            <w:noWrap w:val="0"/>
            <w:vAlign w:val="center"/>
          </w:tcPr>
          <w:p w14:paraId="22E44325">
            <w:pP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缺陷责任期</w:t>
            </w:r>
          </w:p>
        </w:tc>
        <w:tc>
          <w:tcPr>
            <w:tcW w:w="2345" w:type="dxa"/>
            <w:noWrap w:val="0"/>
            <w:tcMar>
              <w:left w:w="170" w:type="dxa"/>
            </w:tcMar>
            <w:vAlign w:val="center"/>
          </w:tcPr>
          <w:p w14:paraId="39CC06E2">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专用合同条款</w:t>
            </w:r>
          </w:p>
        </w:tc>
        <w:tc>
          <w:tcPr>
            <w:tcW w:w="2190" w:type="dxa"/>
            <w:noWrap w:val="0"/>
            <w:vAlign w:val="center"/>
          </w:tcPr>
          <w:p w14:paraId="5464059F">
            <w:pPr>
              <w:jc w:val="center"/>
              <w:rPr>
                <w:rFonts w:hint="eastAsia" w:ascii="宋体"/>
                <w:color w:val="000000" w:themeColor="text1"/>
                <w:szCs w:val="21"/>
                <w:highlight w:val="none"/>
                <w14:textFill>
                  <w14:solidFill>
                    <w14:schemeClr w14:val="tx1"/>
                  </w14:solidFill>
                </w14:textFill>
              </w:rPr>
            </w:pPr>
          </w:p>
        </w:tc>
        <w:tc>
          <w:tcPr>
            <w:tcW w:w="2036" w:type="dxa"/>
            <w:noWrap w:val="0"/>
            <w:vAlign w:val="center"/>
          </w:tcPr>
          <w:p w14:paraId="6CE0D30B">
            <w:pPr>
              <w:jc w:val="center"/>
              <w:rPr>
                <w:rFonts w:hint="eastAsia" w:ascii="宋体"/>
                <w:color w:val="000000" w:themeColor="text1"/>
                <w:szCs w:val="21"/>
                <w:highlight w:val="none"/>
                <w14:textFill>
                  <w14:solidFill>
                    <w14:schemeClr w14:val="tx1"/>
                  </w14:solidFill>
                </w14:textFill>
              </w:rPr>
            </w:pPr>
          </w:p>
        </w:tc>
      </w:tr>
      <w:tr w14:paraId="5A0A3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64F6EB76">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4</w:t>
            </w:r>
          </w:p>
        </w:tc>
        <w:tc>
          <w:tcPr>
            <w:tcW w:w="2190" w:type="dxa"/>
            <w:noWrap w:val="0"/>
            <w:vAlign w:val="center"/>
          </w:tcPr>
          <w:p w14:paraId="67200D81">
            <w:pP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发包人支付担保</w:t>
            </w:r>
          </w:p>
        </w:tc>
        <w:tc>
          <w:tcPr>
            <w:tcW w:w="2345" w:type="dxa"/>
            <w:noWrap w:val="0"/>
            <w:tcMar>
              <w:left w:w="170" w:type="dxa"/>
            </w:tcMar>
            <w:vAlign w:val="center"/>
          </w:tcPr>
          <w:p w14:paraId="24EF90B3">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专用合同条款</w:t>
            </w:r>
          </w:p>
        </w:tc>
        <w:tc>
          <w:tcPr>
            <w:tcW w:w="2190" w:type="dxa"/>
            <w:noWrap w:val="0"/>
            <w:vAlign w:val="center"/>
          </w:tcPr>
          <w:p w14:paraId="0CBE74BE">
            <w:pPr>
              <w:jc w:val="center"/>
              <w:rPr>
                <w:rFonts w:hint="eastAsia" w:ascii="宋体"/>
                <w:color w:val="000000" w:themeColor="text1"/>
                <w:szCs w:val="21"/>
                <w:highlight w:val="none"/>
                <w14:textFill>
                  <w14:solidFill>
                    <w14:schemeClr w14:val="tx1"/>
                  </w14:solidFill>
                </w14:textFill>
              </w:rPr>
            </w:pPr>
          </w:p>
        </w:tc>
        <w:tc>
          <w:tcPr>
            <w:tcW w:w="2036" w:type="dxa"/>
            <w:noWrap w:val="0"/>
            <w:vAlign w:val="center"/>
          </w:tcPr>
          <w:p w14:paraId="0399322E">
            <w:pPr>
              <w:jc w:val="center"/>
              <w:rPr>
                <w:rFonts w:hint="eastAsia" w:ascii="宋体"/>
                <w:color w:val="000000" w:themeColor="text1"/>
                <w:szCs w:val="21"/>
                <w:highlight w:val="none"/>
                <w14:textFill>
                  <w14:solidFill>
                    <w14:schemeClr w14:val="tx1"/>
                  </w14:solidFill>
                </w14:textFill>
              </w:rPr>
            </w:pPr>
          </w:p>
        </w:tc>
      </w:tr>
      <w:tr w14:paraId="6321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1297DDBC">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5</w:t>
            </w:r>
          </w:p>
        </w:tc>
        <w:tc>
          <w:tcPr>
            <w:tcW w:w="2190" w:type="dxa"/>
            <w:noWrap w:val="0"/>
            <w:vAlign w:val="center"/>
          </w:tcPr>
          <w:p w14:paraId="13513170">
            <w:pP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承包人履约担保金额</w:t>
            </w:r>
          </w:p>
        </w:tc>
        <w:tc>
          <w:tcPr>
            <w:tcW w:w="2345" w:type="dxa"/>
            <w:noWrap w:val="0"/>
            <w:tcMar>
              <w:left w:w="170" w:type="dxa"/>
            </w:tcMar>
            <w:vAlign w:val="center"/>
          </w:tcPr>
          <w:p w14:paraId="54C17A0B">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专用合同条款</w:t>
            </w:r>
          </w:p>
        </w:tc>
        <w:tc>
          <w:tcPr>
            <w:tcW w:w="2190" w:type="dxa"/>
            <w:noWrap w:val="0"/>
            <w:vAlign w:val="center"/>
          </w:tcPr>
          <w:p w14:paraId="414CC224">
            <w:pPr>
              <w:jc w:val="center"/>
              <w:rPr>
                <w:rFonts w:hint="eastAsia" w:ascii="宋体"/>
                <w:color w:val="000000" w:themeColor="text1"/>
                <w:szCs w:val="21"/>
                <w:highlight w:val="none"/>
                <w14:textFill>
                  <w14:solidFill>
                    <w14:schemeClr w14:val="tx1"/>
                  </w14:solidFill>
                </w14:textFill>
              </w:rPr>
            </w:pPr>
          </w:p>
        </w:tc>
        <w:tc>
          <w:tcPr>
            <w:tcW w:w="2036" w:type="dxa"/>
            <w:noWrap w:val="0"/>
            <w:vAlign w:val="center"/>
          </w:tcPr>
          <w:p w14:paraId="7990E081">
            <w:pPr>
              <w:jc w:val="center"/>
              <w:rPr>
                <w:rFonts w:hint="eastAsia" w:ascii="宋体"/>
                <w:color w:val="000000" w:themeColor="text1"/>
                <w:szCs w:val="21"/>
                <w:highlight w:val="none"/>
                <w14:textFill>
                  <w14:solidFill>
                    <w14:schemeClr w14:val="tx1"/>
                  </w14:solidFill>
                </w14:textFill>
              </w:rPr>
            </w:pPr>
          </w:p>
        </w:tc>
      </w:tr>
      <w:tr w14:paraId="2BB6B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7736391C">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6</w:t>
            </w:r>
          </w:p>
        </w:tc>
        <w:tc>
          <w:tcPr>
            <w:tcW w:w="2190" w:type="dxa"/>
            <w:noWrap w:val="0"/>
            <w:vAlign w:val="center"/>
          </w:tcPr>
          <w:p w14:paraId="25C7B475">
            <w:pP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分包</w:t>
            </w:r>
          </w:p>
        </w:tc>
        <w:tc>
          <w:tcPr>
            <w:tcW w:w="2345" w:type="dxa"/>
            <w:noWrap w:val="0"/>
            <w:tcMar>
              <w:left w:w="170" w:type="dxa"/>
            </w:tcMar>
            <w:vAlign w:val="center"/>
          </w:tcPr>
          <w:p w14:paraId="23341940">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专用合同条款</w:t>
            </w:r>
          </w:p>
        </w:tc>
        <w:tc>
          <w:tcPr>
            <w:tcW w:w="2190" w:type="dxa"/>
            <w:noWrap w:val="0"/>
            <w:vAlign w:val="center"/>
          </w:tcPr>
          <w:p w14:paraId="5E963481">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见分包项目情况表</w:t>
            </w:r>
          </w:p>
        </w:tc>
        <w:tc>
          <w:tcPr>
            <w:tcW w:w="2036" w:type="dxa"/>
            <w:noWrap w:val="0"/>
            <w:vAlign w:val="center"/>
          </w:tcPr>
          <w:p w14:paraId="5210DAEB">
            <w:pPr>
              <w:jc w:val="center"/>
              <w:rPr>
                <w:rFonts w:hint="eastAsia" w:ascii="宋体"/>
                <w:color w:val="000000" w:themeColor="text1"/>
                <w:szCs w:val="21"/>
                <w:highlight w:val="none"/>
                <w14:textFill>
                  <w14:solidFill>
                    <w14:schemeClr w14:val="tx1"/>
                  </w14:solidFill>
                </w14:textFill>
              </w:rPr>
            </w:pPr>
          </w:p>
        </w:tc>
      </w:tr>
      <w:tr w14:paraId="3B9C2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71F9A16D">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7</w:t>
            </w:r>
          </w:p>
        </w:tc>
        <w:tc>
          <w:tcPr>
            <w:tcW w:w="2190" w:type="dxa"/>
            <w:noWrap w:val="0"/>
            <w:vAlign w:val="center"/>
          </w:tcPr>
          <w:p w14:paraId="03A3AE91">
            <w:pP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逾期竣工违约金</w:t>
            </w:r>
          </w:p>
        </w:tc>
        <w:tc>
          <w:tcPr>
            <w:tcW w:w="2345" w:type="dxa"/>
            <w:noWrap w:val="0"/>
            <w:tcMar>
              <w:left w:w="170" w:type="dxa"/>
            </w:tcMar>
            <w:vAlign w:val="center"/>
          </w:tcPr>
          <w:p w14:paraId="351EA6BC">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专用合同条款</w:t>
            </w:r>
          </w:p>
        </w:tc>
        <w:tc>
          <w:tcPr>
            <w:tcW w:w="2190" w:type="dxa"/>
            <w:noWrap w:val="0"/>
            <w:vAlign w:val="center"/>
          </w:tcPr>
          <w:p w14:paraId="0C2CE976">
            <w:pPr>
              <w:jc w:val="center"/>
              <w:rPr>
                <w:rFonts w:hint="eastAsia" w:ascii="宋体"/>
                <w:color w:val="000000" w:themeColor="text1"/>
                <w:szCs w:val="21"/>
                <w:highlight w:val="none"/>
                <w14:textFill>
                  <w14:solidFill>
                    <w14:schemeClr w14:val="tx1"/>
                  </w14:solidFill>
                </w14:textFill>
              </w:rPr>
            </w:pPr>
          </w:p>
        </w:tc>
        <w:tc>
          <w:tcPr>
            <w:tcW w:w="2036" w:type="dxa"/>
            <w:noWrap w:val="0"/>
            <w:vAlign w:val="center"/>
          </w:tcPr>
          <w:p w14:paraId="3FE75F0E">
            <w:pPr>
              <w:jc w:val="center"/>
              <w:rPr>
                <w:rFonts w:hint="eastAsia" w:ascii="宋体"/>
                <w:color w:val="000000" w:themeColor="text1"/>
                <w:szCs w:val="21"/>
                <w:highlight w:val="none"/>
                <w14:textFill>
                  <w14:solidFill>
                    <w14:schemeClr w14:val="tx1"/>
                  </w14:solidFill>
                </w14:textFill>
              </w:rPr>
            </w:pPr>
          </w:p>
        </w:tc>
      </w:tr>
      <w:tr w14:paraId="769C5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1BC710E5">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8</w:t>
            </w:r>
          </w:p>
        </w:tc>
        <w:tc>
          <w:tcPr>
            <w:tcW w:w="2190" w:type="dxa"/>
            <w:noWrap w:val="0"/>
            <w:vAlign w:val="center"/>
          </w:tcPr>
          <w:p w14:paraId="7BF00350">
            <w:pP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逾期竣工违约金最高限额</w:t>
            </w:r>
          </w:p>
        </w:tc>
        <w:tc>
          <w:tcPr>
            <w:tcW w:w="2345" w:type="dxa"/>
            <w:noWrap w:val="0"/>
            <w:tcMar>
              <w:left w:w="170" w:type="dxa"/>
            </w:tcMar>
            <w:vAlign w:val="center"/>
          </w:tcPr>
          <w:p w14:paraId="10BCF178">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专用合同条款</w:t>
            </w:r>
          </w:p>
        </w:tc>
        <w:tc>
          <w:tcPr>
            <w:tcW w:w="2190" w:type="dxa"/>
            <w:noWrap w:val="0"/>
            <w:vAlign w:val="center"/>
          </w:tcPr>
          <w:p w14:paraId="08713BA5">
            <w:pP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u w:val="single"/>
                <w14:textFill>
                  <w14:solidFill>
                    <w14:schemeClr w14:val="tx1"/>
                  </w14:solidFill>
                </w14:textFill>
              </w:rPr>
              <w:t xml:space="preserve">             </w:t>
            </w:r>
          </w:p>
        </w:tc>
        <w:tc>
          <w:tcPr>
            <w:tcW w:w="2036" w:type="dxa"/>
            <w:noWrap w:val="0"/>
            <w:vAlign w:val="center"/>
          </w:tcPr>
          <w:p w14:paraId="40842A43">
            <w:pPr>
              <w:jc w:val="center"/>
              <w:rPr>
                <w:rFonts w:hint="eastAsia" w:ascii="宋体"/>
                <w:color w:val="000000" w:themeColor="text1"/>
                <w:szCs w:val="21"/>
                <w:highlight w:val="none"/>
                <w14:textFill>
                  <w14:solidFill>
                    <w14:schemeClr w14:val="tx1"/>
                  </w14:solidFill>
                </w14:textFill>
              </w:rPr>
            </w:pPr>
          </w:p>
        </w:tc>
      </w:tr>
      <w:tr w14:paraId="2B12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45ED983E">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9</w:t>
            </w:r>
          </w:p>
        </w:tc>
        <w:tc>
          <w:tcPr>
            <w:tcW w:w="2190" w:type="dxa"/>
            <w:noWrap w:val="0"/>
            <w:vAlign w:val="center"/>
          </w:tcPr>
          <w:p w14:paraId="4DB62364">
            <w:pP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质量标准</w:t>
            </w:r>
          </w:p>
        </w:tc>
        <w:tc>
          <w:tcPr>
            <w:tcW w:w="2345" w:type="dxa"/>
            <w:noWrap w:val="0"/>
            <w:tcMar>
              <w:left w:w="170" w:type="dxa"/>
            </w:tcMar>
            <w:vAlign w:val="center"/>
          </w:tcPr>
          <w:p w14:paraId="6EE4C339">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专用合同条款</w:t>
            </w:r>
          </w:p>
        </w:tc>
        <w:tc>
          <w:tcPr>
            <w:tcW w:w="2190" w:type="dxa"/>
            <w:noWrap w:val="0"/>
            <w:vAlign w:val="center"/>
          </w:tcPr>
          <w:p w14:paraId="0F7958A4">
            <w:pPr>
              <w:jc w:val="center"/>
              <w:rPr>
                <w:rFonts w:hint="eastAsia" w:ascii="宋体"/>
                <w:color w:val="000000" w:themeColor="text1"/>
                <w:szCs w:val="21"/>
                <w:highlight w:val="none"/>
                <w14:textFill>
                  <w14:solidFill>
                    <w14:schemeClr w14:val="tx1"/>
                  </w14:solidFill>
                </w14:textFill>
              </w:rPr>
            </w:pPr>
          </w:p>
        </w:tc>
        <w:tc>
          <w:tcPr>
            <w:tcW w:w="2036" w:type="dxa"/>
            <w:noWrap w:val="0"/>
            <w:vAlign w:val="center"/>
          </w:tcPr>
          <w:p w14:paraId="688AC5B4">
            <w:pPr>
              <w:jc w:val="center"/>
              <w:rPr>
                <w:rFonts w:hint="eastAsia" w:ascii="宋体"/>
                <w:color w:val="000000" w:themeColor="text1"/>
                <w:szCs w:val="21"/>
                <w:highlight w:val="none"/>
                <w14:textFill>
                  <w14:solidFill>
                    <w14:schemeClr w14:val="tx1"/>
                  </w14:solidFill>
                </w14:textFill>
              </w:rPr>
            </w:pPr>
          </w:p>
        </w:tc>
      </w:tr>
      <w:tr w14:paraId="4186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6E6589E1">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10</w:t>
            </w:r>
          </w:p>
        </w:tc>
        <w:tc>
          <w:tcPr>
            <w:tcW w:w="2190" w:type="dxa"/>
            <w:noWrap w:val="0"/>
            <w:vAlign w:val="center"/>
          </w:tcPr>
          <w:p w14:paraId="6FBDB339">
            <w:pP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预付款额度</w:t>
            </w:r>
          </w:p>
        </w:tc>
        <w:tc>
          <w:tcPr>
            <w:tcW w:w="2345" w:type="dxa"/>
            <w:noWrap w:val="0"/>
            <w:tcMar>
              <w:left w:w="170" w:type="dxa"/>
            </w:tcMar>
            <w:vAlign w:val="center"/>
          </w:tcPr>
          <w:p w14:paraId="60637FBF">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专用合同条款</w:t>
            </w:r>
          </w:p>
        </w:tc>
        <w:tc>
          <w:tcPr>
            <w:tcW w:w="2190" w:type="dxa"/>
            <w:noWrap w:val="0"/>
            <w:vAlign w:val="center"/>
          </w:tcPr>
          <w:p w14:paraId="0FBB1F9F">
            <w:pPr>
              <w:jc w:val="center"/>
              <w:rPr>
                <w:rFonts w:hint="eastAsia" w:ascii="宋体"/>
                <w:color w:val="000000" w:themeColor="text1"/>
                <w:szCs w:val="21"/>
                <w:highlight w:val="none"/>
                <w14:textFill>
                  <w14:solidFill>
                    <w14:schemeClr w14:val="tx1"/>
                  </w14:solidFill>
                </w14:textFill>
              </w:rPr>
            </w:pPr>
          </w:p>
        </w:tc>
        <w:tc>
          <w:tcPr>
            <w:tcW w:w="2036" w:type="dxa"/>
            <w:noWrap w:val="0"/>
            <w:vAlign w:val="center"/>
          </w:tcPr>
          <w:p w14:paraId="7D9E665A">
            <w:pPr>
              <w:jc w:val="center"/>
              <w:rPr>
                <w:rFonts w:hint="eastAsia" w:ascii="宋体"/>
                <w:color w:val="000000" w:themeColor="text1"/>
                <w:szCs w:val="21"/>
                <w:highlight w:val="none"/>
                <w14:textFill>
                  <w14:solidFill>
                    <w14:schemeClr w14:val="tx1"/>
                  </w14:solidFill>
                </w14:textFill>
              </w:rPr>
            </w:pPr>
          </w:p>
        </w:tc>
      </w:tr>
      <w:tr w14:paraId="43D5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046208A2">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11</w:t>
            </w:r>
          </w:p>
        </w:tc>
        <w:tc>
          <w:tcPr>
            <w:tcW w:w="2190" w:type="dxa"/>
            <w:noWrap w:val="0"/>
            <w:vAlign w:val="center"/>
          </w:tcPr>
          <w:p w14:paraId="090B77F9">
            <w:pP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预付款保函金额</w:t>
            </w:r>
          </w:p>
        </w:tc>
        <w:tc>
          <w:tcPr>
            <w:tcW w:w="2345" w:type="dxa"/>
            <w:noWrap w:val="0"/>
            <w:tcMar>
              <w:left w:w="170" w:type="dxa"/>
            </w:tcMar>
            <w:vAlign w:val="center"/>
          </w:tcPr>
          <w:p w14:paraId="4DA5E229">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专用合同条款</w:t>
            </w:r>
          </w:p>
        </w:tc>
        <w:tc>
          <w:tcPr>
            <w:tcW w:w="2190" w:type="dxa"/>
            <w:noWrap w:val="0"/>
            <w:vAlign w:val="center"/>
          </w:tcPr>
          <w:p w14:paraId="7F64E2A0">
            <w:pPr>
              <w:jc w:val="center"/>
              <w:rPr>
                <w:rFonts w:hint="eastAsia" w:ascii="宋体"/>
                <w:color w:val="000000" w:themeColor="text1"/>
                <w:szCs w:val="21"/>
                <w:highlight w:val="none"/>
                <w14:textFill>
                  <w14:solidFill>
                    <w14:schemeClr w14:val="tx1"/>
                  </w14:solidFill>
                </w14:textFill>
              </w:rPr>
            </w:pPr>
          </w:p>
        </w:tc>
        <w:tc>
          <w:tcPr>
            <w:tcW w:w="2036" w:type="dxa"/>
            <w:noWrap w:val="0"/>
            <w:vAlign w:val="center"/>
          </w:tcPr>
          <w:p w14:paraId="408EB61A">
            <w:pPr>
              <w:jc w:val="center"/>
              <w:rPr>
                <w:rFonts w:hint="eastAsia" w:ascii="宋体"/>
                <w:color w:val="000000" w:themeColor="text1"/>
                <w:szCs w:val="21"/>
                <w:highlight w:val="none"/>
                <w14:textFill>
                  <w14:solidFill>
                    <w14:schemeClr w14:val="tx1"/>
                  </w14:solidFill>
                </w14:textFill>
              </w:rPr>
            </w:pPr>
          </w:p>
        </w:tc>
      </w:tr>
      <w:tr w14:paraId="71538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02DB31F7">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12</w:t>
            </w:r>
          </w:p>
        </w:tc>
        <w:tc>
          <w:tcPr>
            <w:tcW w:w="2190" w:type="dxa"/>
            <w:noWrap w:val="0"/>
            <w:vAlign w:val="center"/>
          </w:tcPr>
          <w:p w14:paraId="5029237D">
            <w:pP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质量保证金额度</w:t>
            </w:r>
          </w:p>
        </w:tc>
        <w:tc>
          <w:tcPr>
            <w:tcW w:w="2345" w:type="dxa"/>
            <w:noWrap w:val="0"/>
            <w:tcMar>
              <w:left w:w="170" w:type="dxa"/>
            </w:tcMar>
            <w:vAlign w:val="center"/>
          </w:tcPr>
          <w:p w14:paraId="3661934E">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专用合同条款</w:t>
            </w:r>
          </w:p>
        </w:tc>
        <w:tc>
          <w:tcPr>
            <w:tcW w:w="2190" w:type="dxa"/>
            <w:noWrap w:val="0"/>
            <w:vAlign w:val="center"/>
          </w:tcPr>
          <w:p w14:paraId="5C0FF853">
            <w:pPr>
              <w:jc w:val="center"/>
              <w:rPr>
                <w:rFonts w:hint="eastAsia" w:ascii="宋体"/>
                <w:color w:val="000000" w:themeColor="text1"/>
                <w:szCs w:val="21"/>
                <w:highlight w:val="none"/>
                <w14:textFill>
                  <w14:solidFill>
                    <w14:schemeClr w14:val="tx1"/>
                  </w14:solidFill>
                </w14:textFill>
              </w:rPr>
            </w:pPr>
          </w:p>
        </w:tc>
        <w:tc>
          <w:tcPr>
            <w:tcW w:w="2036" w:type="dxa"/>
            <w:noWrap w:val="0"/>
            <w:vAlign w:val="center"/>
          </w:tcPr>
          <w:p w14:paraId="58CB7269">
            <w:pPr>
              <w:jc w:val="center"/>
              <w:rPr>
                <w:rFonts w:hint="eastAsia" w:ascii="宋体"/>
                <w:color w:val="000000" w:themeColor="text1"/>
                <w:szCs w:val="21"/>
                <w:highlight w:val="none"/>
                <w14:textFill>
                  <w14:solidFill>
                    <w14:schemeClr w14:val="tx1"/>
                  </w14:solidFill>
                </w14:textFill>
              </w:rPr>
            </w:pPr>
          </w:p>
        </w:tc>
      </w:tr>
      <w:tr w14:paraId="158C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0BA67DC2">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p>
        </w:tc>
        <w:tc>
          <w:tcPr>
            <w:tcW w:w="2190" w:type="dxa"/>
            <w:noWrap w:val="0"/>
            <w:vAlign w:val="center"/>
          </w:tcPr>
          <w:p w14:paraId="2075ED40">
            <w:pPr>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p>
        </w:tc>
        <w:tc>
          <w:tcPr>
            <w:tcW w:w="2345" w:type="dxa"/>
            <w:noWrap w:val="0"/>
            <w:tcMar>
              <w:left w:w="170" w:type="dxa"/>
            </w:tcMar>
            <w:vAlign w:val="center"/>
          </w:tcPr>
          <w:p w14:paraId="60E7FA91">
            <w:pPr>
              <w:rPr>
                <w:rFonts w:hint="eastAsia" w:ascii="宋体"/>
                <w:color w:val="000000" w:themeColor="text1"/>
                <w:szCs w:val="21"/>
                <w:highlight w:val="none"/>
                <w14:textFill>
                  <w14:solidFill>
                    <w14:schemeClr w14:val="tx1"/>
                  </w14:solidFill>
                </w14:textFill>
              </w:rPr>
            </w:pPr>
          </w:p>
        </w:tc>
        <w:tc>
          <w:tcPr>
            <w:tcW w:w="2190" w:type="dxa"/>
            <w:noWrap w:val="0"/>
            <w:vAlign w:val="center"/>
          </w:tcPr>
          <w:p w14:paraId="06E3D26A">
            <w:pPr>
              <w:jc w:val="center"/>
              <w:rPr>
                <w:rFonts w:hint="eastAsia" w:ascii="宋体"/>
                <w:color w:val="000000" w:themeColor="text1"/>
                <w:szCs w:val="21"/>
                <w:highlight w:val="none"/>
                <w14:textFill>
                  <w14:solidFill>
                    <w14:schemeClr w14:val="tx1"/>
                  </w14:solidFill>
                </w14:textFill>
              </w:rPr>
            </w:pPr>
          </w:p>
        </w:tc>
        <w:tc>
          <w:tcPr>
            <w:tcW w:w="2036" w:type="dxa"/>
            <w:noWrap w:val="0"/>
            <w:vAlign w:val="center"/>
          </w:tcPr>
          <w:p w14:paraId="6CA9578B">
            <w:pPr>
              <w:jc w:val="center"/>
              <w:rPr>
                <w:rFonts w:hint="eastAsia" w:ascii="宋体"/>
                <w:color w:val="000000" w:themeColor="text1"/>
                <w:szCs w:val="21"/>
                <w:highlight w:val="none"/>
                <w14:textFill>
                  <w14:solidFill>
                    <w14:schemeClr w14:val="tx1"/>
                  </w14:solidFill>
                </w14:textFill>
              </w:rPr>
            </w:pPr>
          </w:p>
        </w:tc>
      </w:tr>
      <w:tr w14:paraId="4076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9854" w:type="dxa"/>
            <w:gridSpan w:val="5"/>
            <w:noWrap w:val="0"/>
            <w:vAlign w:val="center"/>
          </w:tcPr>
          <w:p w14:paraId="57084406">
            <w:pP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备注：</w:t>
            </w:r>
            <w:r>
              <w:rPr>
                <w:rFonts w:hint="eastAsia" w:ascii="宋体"/>
                <w:color w:val="000000" w:themeColor="text1"/>
                <w:szCs w:val="21"/>
                <w:highlight w:val="none"/>
                <w:lang w:eastAsia="zh-CN"/>
                <w14:textFill>
                  <w14:solidFill>
                    <w14:schemeClr w14:val="tx1"/>
                  </w14:solidFill>
                </w14:textFill>
              </w:rPr>
              <w:t>供应商</w:t>
            </w:r>
            <w:r>
              <w:rPr>
                <w:rFonts w:hint="eastAsia" w:ascii="宋体"/>
                <w:color w:val="000000" w:themeColor="text1"/>
                <w:szCs w:val="21"/>
                <w:highlight w:val="none"/>
                <w14:textFill>
                  <w14:solidFill>
                    <w14:schemeClr w14:val="tx1"/>
                  </w14:solidFill>
                </w14:textFill>
              </w:rPr>
              <w:t>在响应招标文件中规定的实质性要求和条件的基础上，可做出其他有利于</w:t>
            </w:r>
            <w:r>
              <w:rPr>
                <w:rFonts w:hint="eastAsia" w:ascii="宋体"/>
                <w:color w:val="000000" w:themeColor="text1"/>
                <w:szCs w:val="21"/>
                <w:highlight w:val="none"/>
                <w:lang w:eastAsia="zh-CN"/>
                <w14:textFill>
                  <w14:solidFill>
                    <w14:schemeClr w14:val="tx1"/>
                  </w14:solidFill>
                </w14:textFill>
              </w:rPr>
              <w:t>采购人</w:t>
            </w:r>
            <w:r>
              <w:rPr>
                <w:rFonts w:hint="eastAsia" w:ascii="宋体"/>
                <w:color w:val="000000" w:themeColor="text1"/>
                <w:szCs w:val="21"/>
                <w:highlight w:val="none"/>
                <w14:textFill>
                  <w14:solidFill>
                    <w14:schemeClr w14:val="tx1"/>
                  </w14:solidFill>
                </w14:textFill>
              </w:rPr>
              <w:t>的承诺。此类承诺可在本表中予以补充填写。</w:t>
            </w:r>
          </w:p>
        </w:tc>
      </w:tr>
    </w:tbl>
    <w:p w14:paraId="6C10C587">
      <w:pPr>
        <w:snapToGrid w:val="0"/>
        <w:spacing w:line="400" w:lineRule="atLeast"/>
        <w:ind w:firstLine="2520" w:firstLineChars="1200"/>
        <w:outlineLvl w:val="9"/>
        <w:rPr>
          <w:rFonts w:hint="eastAsia" w:ascii="宋体"/>
          <w:color w:val="000000" w:themeColor="text1"/>
          <w:szCs w:val="21"/>
          <w:highlight w:val="none"/>
          <w14:textFill>
            <w14:solidFill>
              <w14:schemeClr w14:val="tx1"/>
            </w14:solidFill>
          </w14:textFill>
        </w:rPr>
      </w:pPr>
    </w:p>
    <w:p w14:paraId="7BB22310">
      <w:pPr>
        <w:snapToGrid w:val="0"/>
        <w:spacing w:line="400" w:lineRule="atLeast"/>
        <w:ind w:firstLine="2520" w:firstLineChars="1200"/>
        <w:outlineLvl w:val="9"/>
        <w:rPr>
          <w:rFonts w:hint="eastAsia" w:ascii="宋体"/>
          <w:color w:val="000000" w:themeColor="text1"/>
          <w:szCs w:val="21"/>
          <w:highlight w:val="none"/>
          <w14:textFill>
            <w14:solidFill>
              <w14:schemeClr w14:val="tx1"/>
            </w14:solidFill>
          </w14:textFill>
        </w:rPr>
      </w:pPr>
    </w:p>
    <w:p w14:paraId="7A8CB8A5">
      <w:pPr>
        <w:snapToGrid w:val="0"/>
        <w:spacing w:line="400" w:lineRule="atLeast"/>
        <w:ind w:firstLine="2520" w:firstLineChars="1200"/>
        <w:outlineLvl w:val="4"/>
        <w:rPr>
          <w:rFonts w:hint="eastAsia" w:ascii="宋体"/>
          <w:color w:val="000000" w:themeColor="text1"/>
          <w:szCs w:val="21"/>
          <w:highlight w:val="none"/>
          <w:u w:val="single"/>
          <w14:textFill>
            <w14:solidFill>
              <w14:schemeClr w14:val="tx1"/>
            </w14:solidFill>
          </w14:textFill>
        </w:rPr>
      </w:pPr>
      <w:r>
        <w:rPr>
          <w:rFonts w:hint="eastAsia" w:ascii="宋体"/>
          <w:color w:val="000000" w:themeColor="text1"/>
          <w:szCs w:val="21"/>
          <w:highlight w:val="none"/>
          <w14:textFill>
            <w14:solidFill>
              <w14:schemeClr w14:val="tx1"/>
            </w14:solidFill>
          </w14:textFill>
        </w:rPr>
        <w:t>供应商名称[公章(CA签章)、自然人除外]：</w:t>
      </w:r>
      <w:r>
        <w:rPr>
          <w:rFonts w:hint="eastAsia" w:ascii="宋体"/>
          <w:color w:val="000000" w:themeColor="text1"/>
          <w:szCs w:val="21"/>
          <w:highlight w:val="none"/>
          <w:u w:val="single"/>
          <w14:textFill>
            <w14:solidFill>
              <w14:schemeClr w14:val="tx1"/>
            </w14:solidFill>
          </w14:textFill>
        </w:rPr>
        <w:t xml:space="preserve">              </w:t>
      </w:r>
    </w:p>
    <w:p w14:paraId="6FE8CE42">
      <w:pPr>
        <w:pStyle w:val="12"/>
        <w:spacing w:line="400" w:lineRule="atLeast"/>
        <w:rPr>
          <w:color w:val="000000" w:themeColor="text1"/>
          <w:highlight w:val="none"/>
          <w14:textFill>
            <w14:solidFill>
              <w14:schemeClr w14:val="tx1"/>
            </w14:solidFill>
          </w14:textFill>
        </w:rPr>
      </w:pPr>
    </w:p>
    <w:p w14:paraId="64FE81BA">
      <w:pPr>
        <w:snapToGrid w:val="0"/>
        <w:spacing w:line="400" w:lineRule="atLeast"/>
        <w:ind w:left="937" w:leftChars="446" w:firstLine="3255" w:firstLineChars="155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日   期：</w:t>
      </w:r>
      <w:r>
        <w:rPr>
          <w:rFonts w:hint="eastAsia" w:ascii="宋体"/>
          <w:color w:val="000000" w:themeColor="text1"/>
          <w:highlight w:val="none"/>
          <w:u w:val="single"/>
          <w14:textFill>
            <w14:solidFill>
              <w14:schemeClr w14:val="tx1"/>
            </w14:solidFill>
          </w14:textFill>
        </w:rPr>
        <w:t xml:space="preserve">                         </w:t>
      </w:r>
    </w:p>
    <w:p w14:paraId="37C3A9DE">
      <w:pPr>
        <w:spacing w:line="520" w:lineRule="exact"/>
        <w:jc w:val="center"/>
        <w:rPr>
          <w:rFonts w:hint="eastAsia" w:ascii="宋体"/>
          <w:b/>
          <w:color w:val="000000" w:themeColor="text1"/>
          <w:sz w:val="32"/>
          <w:szCs w:val="32"/>
          <w:highlight w:val="none"/>
          <w14:textFill>
            <w14:solidFill>
              <w14:schemeClr w14:val="tx1"/>
            </w14:solidFill>
          </w14:textFill>
        </w:rPr>
      </w:pPr>
    </w:p>
    <w:p w14:paraId="10D322DE">
      <w:pPr>
        <w:spacing w:line="520" w:lineRule="exact"/>
        <w:jc w:val="center"/>
        <w:rPr>
          <w:rFonts w:hint="eastAsia" w:ascii="宋体"/>
          <w:b/>
          <w:color w:val="000000" w:themeColor="text1"/>
          <w:sz w:val="32"/>
          <w:szCs w:val="32"/>
          <w:highlight w:val="none"/>
          <w14:textFill>
            <w14:solidFill>
              <w14:schemeClr w14:val="tx1"/>
            </w14:solidFill>
          </w14:textFill>
        </w:rPr>
      </w:pPr>
    </w:p>
    <w:p w14:paraId="6FCF3670">
      <w:pPr>
        <w:spacing w:line="500" w:lineRule="exact"/>
        <w:rPr>
          <w:rFonts w:hint="eastAsia" w:ascii="宋体"/>
          <w:b/>
          <w:color w:val="000000" w:themeColor="text1"/>
          <w:sz w:val="32"/>
          <w:szCs w:val="32"/>
          <w:highlight w:val="none"/>
          <w14:textFill>
            <w14:solidFill>
              <w14:schemeClr w14:val="tx1"/>
            </w14:solidFill>
          </w14:textFill>
        </w:rPr>
      </w:pPr>
    </w:p>
    <w:p w14:paraId="05176546">
      <w:pPr>
        <w:pStyle w:val="7"/>
        <w:rPr>
          <w:rFonts w:hint="eastAsia" w:ascii="宋体" w:cs="Courier New"/>
          <w:b/>
          <w:bCs/>
          <w:color w:val="000000" w:themeColor="text1"/>
          <w:spacing w:val="6"/>
          <w:sz w:val="28"/>
          <w:szCs w:val="28"/>
          <w:highlight w:val="none"/>
          <w:lang w:bidi="ar-SA"/>
          <w14:textFill>
            <w14:solidFill>
              <w14:schemeClr w14:val="tx1"/>
            </w14:solidFill>
          </w14:textFill>
        </w:rPr>
      </w:pPr>
      <w:r>
        <w:rPr>
          <w:rFonts w:hint="eastAsia" w:ascii="宋体"/>
          <w:color w:val="000000" w:themeColor="text1"/>
          <w:szCs w:val="21"/>
          <w:highlight w:val="none"/>
          <w14:textFill>
            <w14:solidFill>
              <w14:schemeClr w14:val="tx1"/>
            </w14:solidFill>
          </w14:textFill>
        </w:rPr>
        <w:t xml:space="preserve"> </w:t>
      </w:r>
    </w:p>
    <w:p w14:paraId="77C7CF08">
      <w:pPr>
        <w:spacing w:line="480" w:lineRule="exact"/>
        <w:ind w:firstLine="586" w:firstLineChars="200"/>
        <w:jc w:val="both"/>
        <w:rPr>
          <w:rFonts w:hint="eastAsia" w:ascii="宋体" w:cs="Courier New"/>
          <w:b/>
          <w:bCs/>
          <w:color w:val="000000" w:themeColor="text1"/>
          <w:spacing w:val="6"/>
          <w:sz w:val="28"/>
          <w:szCs w:val="28"/>
          <w:highlight w:val="none"/>
          <w:lang w:bidi="ar-SA"/>
          <w14:textFill>
            <w14:solidFill>
              <w14:schemeClr w14:val="tx1"/>
            </w14:solidFill>
          </w14:textFill>
        </w:rPr>
      </w:pPr>
      <w:r>
        <w:rPr>
          <w:rFonts w:hint="eastAsia" w:ascii="宋体" w:cs="Courier New"/>
          <w:b/>
          <w:bCs/>
          <w:color w:val="000000" w:themeColor="text1"/>
          <w:spacing w:val="6"/>
          <w:sz w:val="28"/>
          <w:szCs w:val="28"/>
          <w:highlight w:val="none"/>
          <w:lang w:bidi="ar-SA"/>
          <w14:textFill>
            <w14:solidFill>
              <w14:schemeClr w14:val="tx1"/>
            </w14:solidFill>
          </w14:textFill>
        </w:rPr>
        <w:t>2.已标价工程量清单（必须提供）；</w:t>
      </w:r>
    </w:p>
    <w:p w14:paraId="50580540">
      <w:pPr>
        <w:spacing w:line="480" w:lineRule="exact"/>
        <w:jc w:val="center"/>
        <w:rPr>
          <w:rFonts w:hint="eastAsia" w:ascii="宋体" w:cs="Courier New"/>
          <w:b/>
          <w:bCs/>
          <w:color w:val="000000" w:themeColor="text1"/>
          <w:spacing w:val="6"/>
          <w:sz w:val="32"/>
          <w:highlight w:val="none"/>
          <w:lang w:bidi="ar-SA"/>
          <w14:textFill>
            <w14:solidFill>
              <w14:schemeClr w14:val="tx1"/>
            </w14:solidFill>
          </w14:textFill>
        </w:rPr>
      </w:pPr>
    </w:p>
    <w:p w14:paraId="5CF99246">
      <w:pPr>
        <w:spacing w:line="46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说明：</w:t>
      </w:r>
    </w:p>
    <w:p w14:paraId="65ABFB62">
      <w:pPr>
        <w:spacing w:line="46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1.已标价工程量清单按第</w:t>
      </w:r>
      <w:r>
        <w:rPr>
          <w:rFonts w:hint="eastAsia" w:ascii="宋体"/>
          <w:color w:val="000000" w:themeColor="text1"/>
          <w:szCs w:val="21"/>
          <w:highlight w:val="none"/>
          <w:lang w:eastAsia="zh-CN"/>
          <w14:textFill>
            <w14:solidFill>
              <w14:schemeClr w14:val="tx1"/>
            </w14:solidFill>
          </w14:textFill>
        </w:rPr>
        <w:t>五</w:t>
      </w:r>
      <w:r>
        <w:rPr>
          <w:rFonts w:hint="eastAsia" w:ascii="宋体"/>
          <w:color w:val="000000" w:themeColor="text1"/>
          <w:szCs w:val="21"/>
          <w:highlight w:val="none"/>
          <w14:textFill>
            <w14:solidFill>
              <w14:schemeClr w14:val="tx1"/>
            </w14:solidFill>
          </w14:textFill>
        </w:rPr>
        <w:t>章“工程量清单”中的相关清单表格式填写。构成合同文件的已标价工程量清单包括第</w:t>
      </w:r>
      <w:r>
        <w:rPr>
          <w:rFonts w:hint="eastAsia" w:ascii="宋体"/>
          <w:color w:val="000000" w:themeColor="text1"/>
          <w:szCs w:val="21"/>
          <w:highlight w:val="none"/>
          <w:lang w:eastAsia="zh-CN"/>
          <w14:textFill>
            <w14:solidFill>
              <w14:schemeClr w14:val="tx1"/>
            </w14:solidFill>
          </w14:textFill>
        </w:rPr>
        <w:t>五</w:t>
      </w:r>
      <w:r>
        <w:rPr>
          <w:rFonts w:hint="eastAsia" w:ascii="宋体"/>
          <w:color w:val="000000" w:themeColor="text1"/>
          <w:szCs w:val="21"/>
          <w:highlight w:val="none"/>
          <w14:textFill>
            <w14:solidFill>
              <w14:schemeClr w14:val="tx1"/>
            </w14:solidFill>
          </w14:textFill>
        </w:rPr>
        <w:t>章“工程量清单”有关工程量清单、磋商报价以及其他说明的内容。</w:t>
      </w:r>
    </w:p>
    <w:p w14:paraId="1D0A28E7">
      <w:pPr>
        <w:snapToGrid w:val="0"/>
        <w:spacing w:line="360" w:lineRule="auto"/>
        <w:ind w:firstLine="420" w:firstLineChars="200"/>
        <w:outlineLvl w:val="9"/>
        <w:rPr>
          <w:rFonts w:hint="eastAsia" w:ascii="宋体"/>
          <w:color w:val="000000" w:themeColor="text1"/>
          <w:szCs w:val="21"/>
          <w:highlight w:val="none"/>
          <w14:textFill>
            <w14:solidFill>
              <w14:schemeClr w14:val="tx1"/>
            </w14:solidFill>
          </w14:textFill>
        </w:rPr>
      </w:pPr>
    </w:p>
    <w:p w14:paraId="26CCEDB5">
      <w:pPr>
        <w:pStyle w:val="12"/>
        <w:spacing w:line="360" w:lineRule="exact"/>
        <w:rPr>
          <w:rFonts w:hint="eastAsia" w:cs="Times New Roman"/>
          <w:b/>
          <w:color w:val="000000" w:themeColor="text1"/>
          <w:sz w:val="28"/>
          <w:szCs w:val="28"/>
          <w:highlight w:val="none"/>
          <w:lang w:bidi="ar-SA"/>
          <w14:textFill>
            <w14:solidFill>
              <w14:schemeClr w14:val="tx1"/>
            </w14:solidFill>
          </w14:textFill>
        </w:rPr>
      </w:pPr>
    </w:p>
    <w:p w14:paraId="3A0F35C6">
      <w:pPr>
        <w:pStyle w:val="12"/>
        <w:spacing w:line="360" w:lineRule="exact"/>
        <w:ind w:firstLine="562" w:firstLineChars="200"/>
        <w:rPr>
          <w:rFonts w:hint="eastAsia" w:cs="Times New Roman"/>
          <w:b/>
          <w:color w:val="000000" w:themeColor="text1"/>
          <w:sz w:val="28"/>
          <w:szCs w:val="28"/>
          <w:highlight w:val="none"/>
          <w:lang w:bidi="ar-SA"/>
          <w14:textFill>
            <w14:solidFill>
              <w14:schemeClr w14:val="tx1"/>
            </w14:solidFill>
          </w14:textFill>
        </w:rPr>
      </w:pPr>
    </w:p>
    <w:p w14:paraId="4594C3E7">
      <w:pPr>
        <w:spacing w:line="400" w:lineRule="exact"/>
        <w:rPr>
          <w:rFonts w:hint="eastAsia" w:ascii="宋体"/>
          <w:b/>
          <w:color w:val="000000" w:themeColor="text1"/>
          <w:sz w:val="28"/>
          <w:szCs w:val="28"/>
          <w:highlight w:val="none"/>
          <w14:textFill>
            <w14:solidFill>
              <w14:schemeClr w14:val="tx1"/>
            </w14:solidFill>
          </w14:textFill>
        </w:rPr>
      </w:pPr>
    </w:p>
    <w:p w14:paraId="556D99A9">
      <w:pPr>
        <w:spacing w:line="400" w:lineRule="exact"/>
        <w:rPr>
          <w:rFonts w:hint="eastAsia" w:ascii="宋体"/>
          <w:b/>
          <w:color w:val="000000" w:themeColor="text1"/>
          <w:sz w:val="28"/>
          <w:szCs w:val="28"/>
          <w:highlight w:val="none"/>
          <w14:textFill>
            <w14:solidFill>
              <w14:schemeClr w14:val="tx1"/>
            </w14:solidFill>
          </w14:textFill>
        </w:rPr>
      </w:pPr>
    </w:p>
    <w:p w14:paraId="0FEAA1BD">
      <w:pPr>
        <w:spacing w:line="400" w:lineRule="exact"/>
        <w:rPr>
          <w:rFonts w:hint="eastAsia" w:ascii="宋体"/>
          <w:b/>
          <w:color w:val="000000" w:themeColor="text1"/>
          <w:sz w:val="28"/>
          <w:szCs w:val="28"/>
          <w:highlight w:val="none"/>
          <w14:textFill>
            <w14:solidFill>
              <w14:schemeClr w14:val="tx1"/>
            </w14:solidFill>
          </w14:textFill>
        </w:rPr>
      </w:pPr>
    </w:p>
    <w:p w14:paraId="7376278B">
      <w:pPr>
        <w:spacing w:line="400" w:lineRule="exact"/>
        <w:rPr>
          <w:rFonts w:hint="eastAsia" w:ascii="宋体"/>
          <w:b/>
          <w:color w:val="000000" w:themeColor="text1"/>
          <w:sz w:val="28"/>
          <w:szCs w:val="28"/>
          <w:highlight w:val="none"/>
          <w14:textFill>
            <w14:solidFill>
              <w14:schemeClr w14:val="tx1"/>
            </w14:solidFill>
          </w14:textFill>
        </w:rPr>
      </w:pPr>
    </w:p>
    <w:p w14:paraId="7F43A134">
      <w:pPr>
        <w:spacing w:line="400" w:lineRule="exact"/>
        <w:rPr>
          <w:rFonts w:hint="eastAsia" w:ascii="宋体"/>
          <w:b/>
          <w:color w:val="000000" w:themeColor="text1"/>
          <w:sz w:val="28"/>
          <w:szCs w:val="28"/>
          <w:highlight w:val="none"/>
          <w14:textFill>
            <w14:solidFill>
              <w14:schemeClr w14:val="tx1"/>
            </w14:solidFill>
          </w14:textFill>
        </w:rPr>
      </w:pPr>
    </w:p>
    <w:p w14:paraId="03AFCFF3">
      <w:pPr>
        <w:spacing w:line="400" w:lineRule="exact"/>
        <w:rPr>
          <w:rFonts w:hint="eastAsia" w:ascii="宋体"/>
          <w:b/>
          <w:color w:val="000000" w:themeColor="text1"/>
          <w:sz w:val="28"/>
          <w:szCs w:val="28"/>
          <w:highlight w:val="none"/>
          <w14:textFill>
            <w14:solidFill>
              <w14:schemeClr w14:val="tx1"/>
            </w14:solidFill>
          </w14:textFill>
        </w:rPr>
      </w:pPr>
    </w:p>
    <w:p w14:paraId="254DF029">
      <w:pPr>
        <w:spacing w:line="400" w:lineRule="exact"/>
        <w:rPr>
          <w:rFonts w:hint="eastAsia" w:ascii="宋体"/>
          <w:b/>
          <w:color w:val="000000" w:themeColor="text1"/>
          <w:sz w:val="28"/>
          <w:szCs w:val="28"/>
          <w:highlight w:val="none"/>
          <w14:textFill>
            <w14:solidFill>
              <w14:schemeClr w14:val="tx1"/>
            </w14:solidFill>
          </w14:textFill>
        </w:rPr>
      </w:pPr>
    </w:p>
    <w:p w14:paraId="7DE18404">
      <w:pPr>
        <w:spacing w:line="400" w:lineRule="exact"/>
        <w:rPr>
          <w:rFonts w:hint="eastAsia" w:ascii="宋体"/>
          <w:b/>
          <w:color w:val="000000" w:themeColor="text1"/>
          <w:sz w:val="28"/>
          <w:szCs w:val="28"/>
          <w:highlight w:val="none"/>
          <w14:textFill>
            <w14:solidFill>
              <w14:schemeClr w14:val="tx1"/>
            </w14:solidFill>
          </w14:textFill>
        </w:rPr>
      </w:pPr>
    </w:p>
    <w:p w14:paraId="3DCBACA7">
      <w:pPr>
        <w:spacing w:line="400" w:lineRule="exact"/>
        <w:rPr>
          <w:rFonts w:hint="eastAsia" w:ascii="宋体"/>
          <w:b/>
          <w:color w:val="000000" w:themeColor="text1"/>
          <w:sz w:val="28"/>
          <w:szCs w:val="28"/>
          <w:highlight w:val="none"/>
          <w14:textFill>
            <w14:solidFill>
              <w14:schemeClr w14:val="tx1"/>
            </w14:solidFill>
          </w14:textFill>
        </w:rPr>
      </w:pPr>
    </w:p>
    <w:p w14:paraId="107E0978">
      <w:pPr>
        <w:pStyle w:val="7"/>
        <w:rPr>
          <w:rFonts w:hint="eastAsia" w:ascii="宋体"/>
          <w:b/>
          <w:color w:val="000000" w:themeColor="text1"/>
          <w:sz w:val="28"/>
          <w:szCs w:val="28"/>
          <w:highlight w:val="none"/>
          <w14:textFill>
            <w14:solidFill>
              <w14:schemeClr w14:val="tx1"/>
            </w14:solidFill>
          </w14:textFill>
        </w:rPr>
      </w:pPr>
    </w:p>
    <w:p w14:paraId="49DD859F">
      <w:pPr>
        <w:pStyle w:val="7"/>
        <w:rPr>
          <w:rFonts w:hint="eastAsia" w:ascii="宋体"/>
          <w:b/>
          <w:color w:val="000000" w:themeColor="text1"/>
          <w:sz w:val="28"/>
          <w:szCs w:val="28"/>
          <w:highlight w:val="none"/>
          <w14:textFill>
            <w14:solidFill>
              <w14:schemeClr w14:val="tx1"/>
            </w14:solidFill>
          </w14:textFill>
        </w:rPr>
      </w:pPr>
    </w:p>
    <w:p w14:paraId="1997627F">
      <w:pPr>
        <w:spacing w:line="400" w:lineRule="exact"/>
        <w:rPr>
          <w:rFonts w:hint="eastAsia" w:ascii="宋体"/>
          <w:b/>
          <w:color w:val="000000" w:themeColor="text1"/>
          <w:sz w:val="28"/>
          <w:szCs w:val="28"/>
          <w:highlight w:val="none"/>
          <w14:textFill>
            <w14:solidFill>
              <w14:schemeClr w14:val="tx1"/>
            </w14:solidFill>
          </w14:textFill>
        </w:rPr>
      </w:pPr>
    </w:p>
    <w:p w14:paraId="69C8D31F">
      <w:pPr>
        <w:spacing w:line="400" w:lineRule="exact"/>
        <w:ind w:firstLine="562" w:firstLineChars="200"/>
        <w:rPr>
          <w:rFonts w:hint="eastAsia" w:ascii="宋体"/>
          <w:color w:val="000000" w:themeColor="text1"/>
          <w:sz w:val="24"/>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br w:type="page"/>
      </w:r>
      <w:r>
        <w:rPr>
          <w:rFonts w:hint="eastAsia" w:ascii="宋体"/>
          <w:b/>
          <w:color w:val="000000" w:themeColor="text1"/>
          <w:sz w:val="28"/>
          <w:szCs w:val="28"/>
          <w:highlight w:val="none"/>
          <w:lang w:val="en-US" w:eastAsia="zh-CN"/>
          <w14:textFill>
            <w14:solidFill>
              <w14:schemeClr w14:val="tx1"/>
            </w14:solidFill>
          </w14:textFill>
        </w:rPr>
        <w:t>3</w:t>
      </w:r>
      <w:r>
        <w:rPr>
          <w:rFonts w:hint="eastAsia" w:ascii="宋体"/>
          <w:b/>
          <w:color w:val="000000" w:themeColor="text1"/>
          <w:sz w:val="28"/>
          <w:szCs w:val="28"/>
          <w:highlight w:val="none"/>
          <w14:textFill>
            <w14:solidFill>
              <w14:schemeClr w14:val="tx1"/>
            </w14:solidFill>
          </w14:textFill>
        </w:rPr>
        <w:t>.项目管理机构组成表（必须提供）；</w:t>
      </w:r>
    </w:p>
    <w:p w14:paraId="21BC42B5">
      <w:pPr>
        <w:spacing w:line="400" w:lineRule="exact"/>
        <w:ind w:firstLine="360" w:firstLineChars="15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附件</w:t>
      </w:r>
    </w:p>
    <w:p w14:paraId="18BC0755">
      <w:pPr>
        <w:spacing w:line="400" w:lineRule="exact"/>
        <w:ind w:firstLine="422" w:firstLineChars="150"/>
        <w:jc w:val="center"/>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项目管理机构组成表</w:t>
      </w:r>
    </w:p>
    <w:tbl>
      <w:tblPr>
        <w:tblStyle w:val="20"/>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3"/>
        <w:gridCol w:w="788"/>
        <w:gridCol w:w="787"/>
        <w:gridCol w:w="1439"/>
        <w:gridCol w:w="2950"/>
      </w:tblGrid>
      <w:tr w14:paraId="250FF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402817B9">
            <w:pPr>
              <w:spacing w:line="300" w:lineRule="auto"/>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名   称</w:t>
            </w:r>
          </w:p>
        </w:tc>
        <w:tc>
          <w:tcPr>
            <w:tcW w:w="788" w:type="dxa"/>
            <w:noWrap w:val="0"/>
            <w:vAlign w:val="center"/>
          </w:tcPr>
          <w:p w14:paraId="2BB45237">
            <w:pPr>
              <w:spacing w:line="300" w:lineRule="auto"/>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姓名</w:t>
            </w:r>
          </w:p>
        </w:tc>
        <w:tc>
          <w:tcPr>
            <w:tcW w:w="787" w:type="dxa"/>
            <w:noWrap w:val="0"/>
            <w:vAlign w:val="center"/>
          </w:tcPr>
          <w:p w14:paraId="2703F26C">
            <w:pPr>
              <w:spacing w:line="300" w:lineRule="auto"/>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职务</w:t>
            </w:r>
          </w:p>
        </w:tc>
        <w:tc>
          <w:tcPr>
            <w:tcW w:w="1439" w:type="dxa"/>
            <w:noWrap w:val="0"/>
            <w:vAlign w:val="center"/>
          </w:tcPr>
          <w:p w14:paraId="0750BACB">
            <w:pPr>
              <w:spacing w:line="300" w:lineRule="auto"/>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资质/职称</w:t>
            </w:r>
          </w:p>
        </w:tc>
        <w:tc>
          <w:tcPr>
            <w:tcW w:w="2950" w:type="dxa"/>
            <w:noWrap w:val="0"/>
            <w:vAlign w:val="center"/>
          </w:tcPr>
          <w:p w14:paraId="4941ACEE">
            <w:pPr>
              <w:spacing w:line="300" w:lineRule="auto"/>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主要资历、经验及承担的项目</w:t>
            </w:r>
          </w:p>
        </w:tc>
      </w:tr>
      <w:tr w14:paraId="1DCB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1F4E7D31">
            <w:pPr>
              <w:spacing w:line="300" w:lineRule="auto"/>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一、总部</w:t>
            </w:r>
          </w:p>
        </w:tc>
        <w:tc>
          <w:tcPr>
            <w:tcW w:w="788" w:type="dxa"/>
            <w:noWrap w:val="0"/>
            <w:vAlign w:val="center"/>
          </w:tcPr>
          <w:p w14:paraId="013ED352">
            <w:pPr>
              <w:spacing w:line="300" w:lineRule="auto"/>
              <w:rPr>
                <w:rFonts w:hint="eastAsia" w:ascii="宋体"/>
                <w:color w:val="000000" w:themeColor="text1"/>
                <w:szCs w:val="21"/>
                <w:highlight w:val="none"/>
                <w14:textFill>
                  <w14:solidFill>
                    <w14:schemeClr w14:val="tx1"/>
                  </w14:solidFill>
                </w14:textFill>
              </w:rPr>
            </w:pPr>
          </w:p>
        </w:tc>
        <w:tc>
          <w:tcPr>
            <w:tcW w:w="787" w:type="dxa"/>
            <w:noWrap w:val="0"/>
            <w:vAlign w:val="center"/>
          </w:tcPr>
          <w:p w14:paraId="114B7133">
            <w:pPr>
              <w:spacing w:line="300" w:lineRule="auto"/>
              <w:rPr>
                <w:rFonts w:hint="eastAsia" w:ascii="宋体"/>
                <w:color w:val="000000" w:themeColor="text1"/>
                <w:szCs w:val="21"/>
                <w:highlight w:val="none"/>
                <w14:textFill>
                  <w14:solidFill>
                    <w14:schemeClr w14:val="tx1"/>
                  </w14:solidFill>
                </w14:textFill>
              </w:rPr>
            </w:pPr>
          </w:p>
        </w:tc>
        <w:tc>
          <w:tcPr>
            <w:tcW w:w="1439" w:type="dxa"/>
            <w:noWrap w:val="0"/>
            <w:vAlign w:val="center"/>
          </w:tcPr>
          <w:p w14:paraId="320B8A66">
            <w:pPr>
              <w:spacing w:line="300" w:lineRule="auto"/>
              <w:rPr>
                <w:rFonts w:hint="eastAsia" w:ascii="宋体"/>
                <w:color w:val="000000" w:themeColor="text1"/>
                <w:szCs w:val="21"/>
                <w:highlight w:val="none"/>
                <w14:textFill>
                  <w14:solidFill>
                    <w14:schemeClr w14:val="tx1"/>
                  </w14:solidFill>
                </w14:textFill>
              </w:rPr>
            </w:pPr>
          </w:p>
        </w:tc>
        <w:tc>
          <w:tcPr>
            <w:tcW w:w="2950" w:type="dxa"/>
            <w:noWrap w:val="0"/>
            <w:vAlign w:val="center"/>
          </w:tcPr>
          <w:p w14:paraId="1C7CF6EB">
            <w:pPr>
              <w:spacing w:line="300" w:lineRule="auto"/>
              <w:rPr>
                <w:rFonts w:hint="eastAsia" w:ascii="宋体"/>
                <w:color w:val="000000" w:themeColor="text1"/>
                <w:szCs w:val="21"/>
                <w:highlight w:val="none"/>
                <w14:textFill>
                  <w14:solidFill>
                    <w14:schemeClr w14:val="tx1"/>
                  </w14:solidFill>
                </w14:textFill>
              </w:rPr>
            </w:pPr>
          </w:p>
        </w:tc>
      </w:tr>
      <w:tr w14:paraId="1560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1A3AE379">
            <w:pPr>
              <w:spacing w:line="300" w:lineRule="auto"/>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1.项目主管</w:t>
            </w:r>
          </w:p>
        </w:tc>
        <w:tc>
          <w:tcPr>
            <w:tcW w:w="788" w:type="dxa"/>
            <w:noWrap w:val="0"/>
            <w:vAlign w:val="center"/>
          </w:tcPr>
          <w:p w14:paraId="153A8D76">
            <w:pPr>
              <w:spacing w:line="300" w:lineRule="auto"/>
              <w:rPr>
                <w:rFonts w:hint="eastAsia" w:ascii="宋体"/>
                <w:color w:val="000000" w:themeColor="text1"/>
                <w:szCs w:val="21"/>
                <w:highlight w:val="none"/>
                <w14:textFill>
                  <w14:solidFill>
                    <w14:schemeClr w14:val="tx1"/>
                  </w14:solidFill>
                </w14:textFill>
              </w:rPr>
            </w:pPr>
          </w:p>
        </w:tc>
        <w:tc>
          <w:tcPr>
            <w:tcW w:w="787" w:type="dxa"/>
            <w:noWrap w:val="0"/>
            <w:vAlign w:val="center"/>
          </w:tcPr>
          <w:p w14:paraId="4643E410">
            <w:pPr>
              <w:spacing w:line="300" w:lineRule="auto"/>
              <w:rPr>
                <w:rFonts w:hint="eastAsia" w:ascii="宋体"/>
                <w:color w:val="000000" w:themeColor="text1"/>
                <w:szCs w:val="21"/>
                <w:highlight w:val="none"/>
                <w14:textFill>
                  <w14:solidFill>
                    <w14:schemeClr w14:val="tx1"/>
                  </w14:solidFill>
                </w14:textFill>
              </w:rPr>
            </w:pPr>
          </w:p>
        </w:tc>
        <w:tc>
          <w:tcPr>
            <w:tcW w:w="1439" w:type="dxa"/>
            <w:noWrap w:val="0"/>
            <w:vAlign w:val="center"/>
          </w:tcPr>
          <w:p w14:paraId="68F7A63E">
            <w:pPr>
              <w:spacing w:line="300" w:lineRule="auto"/>
              <w:rPr>
                <w:rFonts w:hint="eastAsia" w:ascii="宋体"/>
                <w:color w:val="000000" w:themeColor="text1"/>
                <w:szCs w:val="21"/>
                <w:highlight w:val="none"/>
                <w14:textFill>
                  <w14:solidFill>
                    <w14:schemeClr w14:val="tx1"/>
                  </w14:solidFill>
                </w14:textFill>
              </w:rPr>
            </w:pPr>
          </w:p>
        </w:tc>
        <w:tc>
          <w:tcPr>
            <w:tcW w:w="2950" w:type="dxa"/>
            <w:noWrap w:val="0"/>
            <w:vAlign w:val="center"/>
          </w:tcPr>
          <w:p w14:paraId="0B656CEC">
            <w:pPr>
              <w:spacing w:line="300" w:lineRule="auto"/>
              <w:rPr>
                <w:rFonts w:hint="eastAsia" w:ascii="宋体"/>
                <w:color w:val="000000" w:themeColor="text1"/>
                <w:szCs w:val="21"/>
                <w:highlight w:val="none"/>
                <w14:textFill>
                  <w14:solidFill>
                    <w14:schemeClr w14:val="tx1"/>
                  </w14:solidFill>
                </w14:textFill>
              </w:rPr>
            </w:pPr>
          </w:p>
        </w:tc>
      </w:tr>
      <w:tr w14:paraId="5553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5079DF6F">
            <w:pPr>
              <w:spacing w:line="300" w:lineRule="auto"/>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2.其他人员</w:t>
            </w:r>
          </w:p>
        </w:tc>
        <w:tc>
          <w:tcPr>
            <w:tcW w:w="788" w:type="dxa"/>
            <w:noWrap w:val="0"/>
            <w:vAlign w:val="center"/>
          </w:tcPr>
          <w:p w14:paraId="05C4EC28">
            <w:pPr>
              <w:spacing w:line="300" w:lineRule="auto"/>
              <w:rPr>
                <w:rFonts w:hint="eastAsia" w:ascii="宋体"/>
                <w:color w:val="000000" w:themeColor="text1"/>
                <w:szCs w:val="21"/>
                <w:highlight w:val="none"/>
                <w14:textFill>
                  <w14:solidFill>
                    <w14:schemeClr w14:val="tx1"/>
                  </w14:solidFill>
                </w14:textFill>
              </w:rPr>
            </w:pPr>
          </w:p>
        </w:tc>
        <w:tc>
          <w:tcPr>
            <w:tcW w:w="787" w:type="dxa"/>
            <w:noWrap w:val="0"/>
            <w:vAlign w:val="center"/>
          </w:tcPr>
          <w:p w14:paraId="34A0B12B">
            <w:pPr>
              <w:spacing w:line="300" w:lineRule="auto"/>
              <w:rPr>
                <w:rFonts w:hint="eastAsia" w:ascii="宋体"/>
                <w:color w:val="000000" w:themeColor="text1"/>
                <w:szCs w:val="21"/>
                <w:highlight w:val="none"/>
                <w14:textFill>
                  <w14:solidFill>
                    <w14:schemeClr w14:val="tx1"/>
                  </w14:solidFill>
                </w14:textFill>
              </w:rPr>
            </w:pPr>
          </w:p>
        </w:tc>
        <w:tc>
          <w:tcPr>
            <w:tcW w:w="1439" w:type="dxa"/>
            <w:noWrap w:val="0"/>
            <w:vAlign w:val="center"/>
          </w:tcPr>
          <w:p w14:paraId="0E506993">
            <w:pPr>
              <w:spacing w:line="300" w:lineRule="auto"/>
              <w:rPr>
                <w:rFonts w:hint="eastAsia" w:ascii="宋体"/>
                <w:color w:val="000000" w:themeColor="text1"/>
                <w:szCs w:val="21"/>
                <w:highlight w:val="none"/>
                <w14:textFill>
                  <w14:solidFill>
                    <w14:schemeClr w14:val="tx1"/>
                  </w14:solidFill>
                </w14:textFill>
              </w:rPr>
            </w:pPr>
          </w:p>
        </w:tc>
        <w:tc>
          <w:tcPr>
            <w:tcW w:w="2950" w:type="dxa"/>
            <w:noWrap w:val="0"/>
            <w:vAlign w:val="center"/>
          </w:tcPr>
          <w:p w14:paraId="036DCF99">
            <w:pPr>
              <w:spacing w:line="300" w:lineRule="auto"/>
              <w:rPr>
                <w:rFonts w:hint="eastAsia" w:ascii="宋体"/>
                <w:color w:val="000000" w:themeColor="text1"/>
                <w:szCs w:val="21"/>
                <w:highlight w:val="none"/>
                <w14:textFill>
                  <w14:solidFill>
                    <w14:schemeClr w14:val="tx1"/>
                  </w14:solidFill>
                </w14:textFill>
              </w:rPr>
            </w:pPr>
          </w:p>
        </w:tc>
      </w:tr>
      <w:tr w14:paraId="36CCE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21DFBE9E">
            <w:pPr>
              <w:spacing w:line="300" w:lineRule="auto"/>
              <w:rPr>
                <w:rFonts w:hint="eastAsia" w:ascii="宋体"/>
                <w:color w:val="000000" w:themeColor="text1"/>
                <w:szCs w:val="21"/>
                <w:highlight w:val="none"/>
                <w14:textFill>
                  <w14:solidFill>
                    <w14:schemeClr w14:val="tx1"/>
                  </w14:solidFill>
                </w14:textFill>
              </w:rPr>
            </w:pPr>
          </w:p>
        </w:tc>
        <w:tc>
          <w:tcPr>
            <w:tcW w:w="788" w:type="dxa"/>
            <w:noWrap w:val="0"/>
            <w:vAlign w:val="center"/>
          </w:tcPr>
          <w:p w14:paraId="326B6017">
            <w:pPr>
              <w:spacing w:line="300" w:lineRule="auto"/>
              <w:rPr>
                <w:rFonts w:hint="eastAsia" w:ascii="宋体"/>
                <w:color w:val="000000" w:themeColor="text1"/>
                <w:szCs w:val="21"/>
                <w:highlight w:val="none"/>
                <w14:textFill>
                  <w14:solidFill>
                    <w14:schemeClr w14:val="tx1"/>
                  </w14:solidFill>
                </w14:textFill>
              </w:rPr>
            </w:pPr>
          </w:p>
        </w:tc>
        <w:tc>
          <w:tcPr>
            <w:tcW w:w="787" w:type="dxa"/>
            <w:noWrap w:val="0"/>
            <w:vAlign w:val="center"/>
          </w:tcPr>
          <w:p w14:paraId="32A68935">
            <w:pPr>
              <w:spacing w:line="300" w:lineRule="auto"/>
              <w:rPr>
                <w:rFonts w:hint="eastAsia" w:ascii="宋体"/>
                <w:color w:val="000000" w:themeColor="text1"/>
                <w:szCs w:val="21"/>
                <w:highlight w:val="none"/>
                <w14:textFill>
                  <w14:solidFill>
                    <w14:schemeClr w14:val="tx1"/>
                  </w14:solidFill>
                </w14:textFill>
              </w:rPr>
            </w:pPr>
          </w:p>
        </w:tc>
        <w:tc>
          <w:tcPr>
            <w:tcW w:w="1439" w:type="dxa"/>
            <w:noWrap w:val="0"/>
            <w:vAlign w:val="center"/>
          </w:tcPr>
          <w:p w14:paraId="22A33D56">
            <w:pPr>
              <w:spacing w:line="300" w:lineRule="auto"/>
              <w:rPr>
                <w:rFonts w:hint="eastAsia" w:ascii="宋体"/>
                <w:color w:val="000000" w:themeColor="text1"/>
                <w:szCs w:val="21"/>
                <w:highlight w:val="none"/>
                <w14:textFill>
                  <w14:solidFill>
                    <w14:schemeClr w14:val="tx1"/>
                  </w14:solidFill>
                </w14:textFill>
              </w:rPr>
            </w:pPr>
          </w:p>
        </w:tc>
        <w:tc>
          <w:tcPr>
            <w:tcW w:w="2950" w:type="dxa"/>
            <w:noWrap w:val="0"/>
            <w:vAlign w:val="center"/>
          </w:tcPr>
          <w:p w14:paraId="25BF4A7C">
            <w:pPr>
              <w:spacing w:line="300" w:lineRule="auto"/>
              <w:rPr>
                <w:rFonts w:hint="eastAsia" w:ascii="宋体"/>
                <w:color w:val="000000" w:themeColor="text1"/>
                <w:szCs w:val="21"/>
                <w:highlight w:val="none"/>
                <w14:textFill>
                  <w14:solidFill>
                    <w14:schemeClr w14:val="tx1"/>
                  </w14:solidFill>
                </w14:textFill>
              </w:rPr>
            </w:pPr>
          </w:p>
        </w:tc>
      </w:tr>
      <w:tr w14:paraId="76F1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1237175D">
            <w:pPr>
              <w:spacing w:line="300" w:lineRule="auto"/>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二、现场</w:t>
            </w:r>
          </w:p>
        </w:tc>
        <w:tc>
          <w:tcPr>
            <w:tcW w:w="788" w:type="dxa"/>
            <w:noWrap w:val="0"/>
            <w:vAlign w:val="center"/>
          </w:tcPr>
          <w:p w14:paraId="2F6BC80B">
            <w:pPr>
              <w:spacing w:line="300" w:lineRule="auto"/>
              <w:rPr>
                <w:rFonts w:hint="eastAsia" w:ascii="宋体"/>
                <w:color w:val="000000" w:themeColor="text1"/>
                <w:szCs w:val="21"/>
                <w:highlight w:val="none"/>
                <w14:textFill>
                  <w14:solidFill>
                    <w14:schemeClr w14:val="tx1"/>
                  </w14:solidFill>
                </w14:textFill>
              </w:rPr>
            </w:pPr>
          </w:p>
        </w:tc>
        <w:tc>
          <w:tcPr>
            <w:tcW w:w="787" w:type="dxa"/>
            <w:noWrap w:val="0"/>
            <w:vAlign w:val="center"/>
          </w:tcPr>
          <w:p w14:paraId="133D97F1">
            <w:pPr>
              <w:spacing w:line="300" w:lineRule="auto"/>
              <w:rPr>
                <w:rFonts w:hint="eastAsia" w:ascii="宋体"/>
                <w:color w:val="000000" w:themeColor="text1"/>
                <w:szCs w:val="21"/>
                <w:highlight w:val="none"/>
                <w14:textFill>
                  <w14:solidFill>
                    <w14:schemeClr w14:val="tx1"/>
                  </w14:solidFill>
                </w14:textFill>
              </w:rPr>
            </w:pPr>
          </w:p>
        </w:tc>
        <w:tc>
          <w:tcPr>
            <w:tcW w:w="1439" w:type="dxa"/>
            <w:noWrap w:val="0"/>
            <w:vAlign w:val="center"/>
          </w:tcPr>
          <w:p w14:paraId="55F21C9E">
            <w:pPr>
              <w:spacing w:line="300" w:lineRule="auto"/>
              <w:rPr>
                <w:rFonts w:hint="eastAsia" w:ascii="宋体"/>
                <w:color w:val="000000" w:themeColor="text1"/>
                <w:szCs w:val="21"/>
                <w:highlight w:val="none"/>
                <w14:textFill>
                  <w14:solidFill>
                    <w14:schemeClr w14:val="tx1"/>
                  </w14:solidFill>
                </w14:textFill>
              </w:rPr>
            </w:pPr>
          </w:p>
        </w:tc>
        <w:tc>
          <w:tcPr>
            <w:tcW w:w="2950" w:type="dxa"/>
            <w:noWrap w:val="0"/>
            <w:vAlign w:val="center"/>
          </w:tcPr>
          <w:p w14:paraId="3E8830D1">
            <w:pPr>
              <w:spacing w:line="300" w:lineRule="auto"/>
              <w:rPr>
                <w:rFonts w:hint="eastAsia" w:ascii="宋体"/>
                <w:color w:val="000000" w:themeColor="text1"/>
                <w:szCs w:val="21"/>
                <w:highlight w:val="none"/>
                <w14:textFill>
                  <w14:solidFill>
                    <w14:schemeClr w14:val="tx1"/>
                  </w14:solidFill>
                </w14:textFill>
              </w:rPr>
            </w:pPr>
          </w:p>
        </w:tc>
      </w:tr>
      <w:tr w14:paraId="5C2F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2B2DB609">
            <w:pPr>
              <w:spacing w:line="300" w:lineRule="auto"/>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1.项目经理</w:t>
            </w:r>
          </w:p>
        </w:tc>
        <w:tc>
          <w:tcPr>
            <w:tcW w:w="788" w:type="dxa"/>
            <w:noWrap w:val="0"/>
            <w:vAlign w:val="center"/>
          </w:tcPr>
          <w:p w14:paraId="61E4B1BB">
            <w:pPr>
              <w:spacing w:line="300" w:lineRule="auto"/>
              <w:rPr>
                <w:rFonts w:hint="eastAsia" w:ascii="宋体"/>
                <w:color w:val="000000" w:themeColor="text1"/>
                <w:szCs w:val="21"/>
                <w:highlight w:val="none"/>
                <w14:textFill>
                  <w14:solidFill>
                    <w14:schemeClr w14:val="tx1"/>
                  </w14:solidFill>
                </w14:textFill>
              </w:rPr>
            </w:pPr>
          </w:p>
        </w:tc>
        <w:tc>
          <w:tcPr>
            <w:tcW w:w="787" w:type="dxa"/>
            <w:noWrap w:val="0"/>
            <w:vAlign w:val="center"/>
          </w:tcPr>
          <w:p w14:paraId="06D1C46C">
            <w:pPr>
              <w:spacing w:line="300" w:lineRule="auto"/>
              <w:rPr>
                <w:rFonts w:hint="eastAsia" w:ascii="宋体"/>
                <w:color w:val="000000" w:themeColor="text1"/>
                <w:szCs w:val="21"/>
                <w:highlight w:val="none"/>
                <w14:textFill>
                  <w14:solidFill>
                    <w14:schemeClr w14:val="tx1"/>
                  </w14:solidFill>
                </w14:textFill>
              </w:rPr>
            </w:pPr>
          </w:p>
        </w:tc>
        <w:tc>
          <w:tcPr>
            <w:tcW w:w="1439" w:type="dxa"/>
            <w:noWrap w:val="0"/>
            <w:vAlign w:val="center"/>
          </w:tcPr>
          <w:p w14:paraId="579D775A">
            <w:pPr>
              <w:spacing w:line="300" w:lineRule="auto"/>
              <w:rPr>
                <w:rFonts w:hint="eastAsia" w:ascii="宋体"/>
                <w:color w:val="000000" w:themeColor="text1"/>
                <w:szCs w:val="21"/>
                <w:highlight w:val="none"/>
                <w14:textFill>
                  <w14:solidFill>
                    <w14:schemeClr w14:val="tx1"/>
                  </w14:solidFill>
                </w14:textFill>
              </w:rPr>
            </w:pPr>
          </w:p>
        </w:tc>
        <w:tc>
          <w:tcPr>
            <w:tcW w:w="2950" w:type="dxa"/>
            <w:noWrap w:val="0"/>
            <w:vAlign w:val="center"/>
          </w:tcPr>
          <w:p w14:paraId="5BD11362">
            <w:pPr>
              <w:spacing w:line="300" w:lineRule="auto"/>
              <w:rPr>
                <w:rFonts w:hint="eastAsia" w:ascii="宋体"/>
                <w:color w:val="000000" w:themeColor="text1"/>
                <w:szCs w:val="21"/>
                <w:highlight w:val="none"/>
                <w14:textFill>
                  <w14:solidFill>
                    <w14:schemeClr w14:val="tx1"/>
                  </w14:solidFill>
                </w14:textFill>
              </w:rPr>
            </w:pPr>
          </w:p>
        </w:tc>
      </w:tr>
      <w:tr w14:paraId="1523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2E4EF2BF">
            <w:pPr>
              <w:spacing w:line="300" w:lineRule="auto"/>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2.项目副经理（如有）</w:t>
            </w:r>
          </w:p>
        </w:tc>
        <w:tc>
          <w:tcPr>
            <w:tcW w:w="788" w:type="dxa"/>
            <w:noWrap w:val="0"/>
            <w:vAlign w:val="center"/>
          </w:tcPr>
          <w:p w14:paraId="1D8EF24B">
            <w:pPr>
              <w:spacing w:line="300" w:lineRule="auto"/>
              <w:rPr>
                <w:rFonts w:hint="eastAsia" w:ascii="宋体"/>
                <w:color w:val="000000" w:themeColor="text1"/>
                <w:szCs w:val="21"/>
                <w:highlight w:val="none"/>
                <w14:textFill>
                  <w14:solidFill>
                    <w14:schemeClr w14:val="tx1"/>
                  </w14:solidFill>
                </w14:textFill>
              </w:rPr>
            </w:pPr>
          </w:p>
        </w:tc>
        <w:tc>
          <w:tcPr>
            <w:tcW w:w="787" w:type="dxa"/>
            <w:noWrap w:val="0"/>
            <w:vAlign w:val="center"/>
          </w:tcPr>
          <w:p w14:paraId="1437415E">
            <w:pPr>
              <w:spacing w:line="300" w:lineRule="auto"/>
              <w:rPr>
                <w:rFonts w:hint="eastAsia" w:ascii="宋体"/>
                <w:color w:val="000000" w:themeColor="text1"/>
                <w:szCs w:val="21"/>
                <w:highlight w:val="none"/>
                <w14:textFill>
                  <w14:solidFill>
                    <w14:schemeClr w14:val="tx1"/>
                  </w14:solidFill>
                </w14:textFill>
              </w:rPr>
            </w:pPr>
          </w:p>
        </w:tc>
        <w:tc>
          <w:tcPr>
            <w:tcW w:w="1439" w:type="dxa"/>
            <w:noWrap w:val="0"/>
            <w:vAlign w:val="center"/>
          </w:tcPr>
          <w:p w14:paraId="79321CCB">
            <w:pPr>
              <w:spacing w:line="300" w:lineRule="auto"/>
              <w:rPr>
                <w:rFonts w:hint="eastAsia" w:ascii="宋体"/>
                <w:color w:val="000000" w:themeColor="text1"/>
                <w:szCs w:val="21"/>
                <w:highlight w:val="none"/>
                <w14:textFill>
                  <w14:solidFill>
                    <w14:schemeClr w14:val="tx1"/>
                  </w14:solidFill>
                </w14:textFill>
              </w:rPr>
            </w:pPr>
          </w:p>
        </w:tc>
        <w:tc>
          <w:tcPr>
            <w:tcW w:w="2950" w:type="dxa"/>
            <w:noWrap w:val="0"/>
            <w:vAlign w:val="center"/>
          </w:tcPr>
          <w:p w14:paraId="42571139">
            <w:pPr>
              <w:spacing w:line="300" w:lineRule="auto"/>
              <w:rPr>
                <w:rFonts w:hint="eastAsia" w:ascii="宋体"/>
                <w:color w:val="000000" w:themeColor="text1"/>
                <w:szCs w:val="21"/>
                <w:highlight w:val="none"/>
                <w14:textFill>
                  <w14:solidFill>
                    <w14:schemeClr w14:val="tx1"/>
                  </w14:solidFill>
                </w14:textFill>
              </w:rPr>
            </w:pPr>
          </w:p>
        </w:tc>
      </w:tr>
      <w:tr w14:paraId="62E16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43467A85">
            <w:pPr>
              <w:spacing w:line="300" w:lineRule="auto"/>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p>
        </w:tc>
        <w:tc>
          <w:tcPr>
            <w:tcW w:w="788" w:type="dxa"/>
            <w:noWrap w:val="0"/>
            <w:vAlign w:val="center"/>
          </w:tcPr>
          <w:p w14:paraId="78560613">
            <w:pPr>
              <w:spacing w:line="300" w:lineRule="auto"/>
              <w:rPr>
                <w:rFonts w:hint="eastAsia" w:ascii="宋体"/>
                <w:color w:val="000000" w:themeColor="text1"/>
                <w:szCs w:val="21"/>
                <w:highlight w:val="none"/>
                <w14:textFill>
                  <w14:solidFill>
                    <w14:schemeClr w14:val="tx1"/>
                  </w14:solidFill>
                </w14:textFill>
              </w:rPr>
            </w:pPr>
          </w:p>
        </w:tc>
        <w:tc>
          <w:tcPr>
            <w:tcW w:w="787" w:type="dxa"/>
            <w:noWrap w:val="0"/>
            <w:vAlign w:val="center"/>
          </w:tcPr>
          <w:p w14:paraId="2487D10F">
            <w:pPr>
              <w:spacing w:line="300" w:lineRule="auto"/>
              <w:rPr>
                <w:rFonts w:hint="eastAsia" w:ascii="宋体"/>
                <w:color w:val="000000" w:themeColor="text1"/>
                <w:szCs w:val="21"/>
                <w:highlight w:val="none"/>
                <w14:textFill>
                  <w14:solidFill>
                    <w14:schemeClr w14:val="tx1"/>
                  </w14:solidFill>
                </w14:textFill>
              </w:rPr>
            </w:pPr>
          </w:p>
        </w:tc>
        <w:tc>
          <w:tcPr>
            <w:tcW w:w="1439" w:type="dxa"/>
            <w:noWrap w:val="0"/>
            <w:vAlign w:val="center"/>
          </w:tcPr>
          <w:p w14:paraId="7664015F">
            <w:pPr>
              <w:spacing w:line="300" w:lineRule="auto"/>
              <w:rPr>
                <w:rFonts w:hint="eastAsia" w:ascii="宋体"/>
                <w:color w:val="000000" w:themeColor="text1"/>
                <w:szCs w:val="21"/>
                <w:highlight w:val="none"/>
                <w14:textFill>
                  <w14:solidFill>
                    <w14:schemeClr w14:val="tx1"/>
                  </w14:solidFill>
                </w14:textFill>
              </w:rPr>
            </w:pPr>
          </w:p>
        </w:tc>
        <w:tc>
          <w:tcPr>
            <w:tcW w:w="2950" w:type="dxa"/>
            <w:noWrap w:val="0"/>
            <w:vAlign w:val="center"/>
          </w:tcPr>
          <w:p w14:paraId="182268FC">
            <w:pPr>
              <w:spacing w:line="300" w:lineRule="auto"/>
              <w:rPr>
                <w:rFonts w:hint="eastAsia" w:ascii="宋体"/>
                <w:color w:val="000000" w:themeColor="text1"/>
                <w:szCs w:val="21"/>
                <w:highlight w:val="none"/>
                <w14:textFill>
                  <w14:solidFill>
                    <w14:schemeClr w14:val="tx1"/>
                  </w14:solidFill>
                </w14:textFill>
              </w:rPr>
            </w:pPr>
          </w:p>
        </w:tc>
      </w:tr>
      <w:tr w14:paraId="2B81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271AAF88">
            <w:pPr>
              <w:spacing w:line="300" w:lineRule="auto"/>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3.技术负责人</w:t>
            </w:r>
          </w:p>
        </w:tc>
        <w:tc>
          <w:tcPr>
            <w:tcW w:w="788" w:type="dxa"/>
            <w:noWrap w:val="0"/>
            <w:vAlign w:val="center"/>
          </w:tcPr>
          <w:p w14:paraId="43D67640">
            <w:pPr>
              <w:spacing w:line="300" w:lineRule="auto"/>
              <w:rPr>
                <w:rFonts w:hint="eastAsia" w:ascii="宋体"/>
                <w:color w:val="000000" w:themeColor="text1"/>
                <w:szCs w:val="21"/>
                <w:highlight w:val="none"/>
                <w14:textFill>
                  <w14:solidFill>
                    <w14:schemeClr w14:val="tx1"/>
                  </w14:solidFill>
                </w14:textFill>
              </w:rPr>
            </w:pPr>
          </w:p>
        </w:tc>
        <w:tc>
          <w:tcPr>
            <w:tcW w:w="787" w:type="dxa"/>
            <w:noWrap w:val="0"/>
            <w:vAlign w:val="center"/>
          </w:tcPr>
          <w:p w14:paraId="146DA522">
            <w:pPr>
              <w:spacing w:line="300" w:lineRule="auto"/>
              <w:rPr>
                <w:rFonts w:hint="eastAsia" w:ascii="宋体"/>
                <w:color w:val="000000" w:themeColor="text1"/>
                <w:szCs w:val="21"/>
                <w:highlight w:val="none"/>
                <w14:textFill>
                  <w14:solidFill>
                    <w14:schemeClr w14:val="tx1"/>
                  </w14:solidFill>
                </w14:textFill>
              </w:rPr>
            </w:pPr>
          </w:p>
        </w:tc>
        <w:tc>
          <w:tcPr>
            <w:tcW w:w="1439" w:type="dxa"/>
            <w:noWrap w:val="0"/>
            <w:vAlign w:val="center"/>
          </w:tcPr>
          <w:p w14:paraId="3E4517CB">
            <w:pPr>
              <w:spacing w:line="300" w:lineRule="auto"/>
              <w:rPr>
                <w:rFonts w:hint="eastAsia" w:ascii="宋体"/>
                <w:color w:val="000000" w:themeColor="text1"/>
                <w:szCs w:val="21"/>
                <w:highlight w:val="none"/>
                <w14:textFill>
                  <w14:solidFill>
                    <w14:schemeClr w14:val="tx1"/>
                  </w14:solidFill>
                </w14:textFill>
              </w:rPr>
            </w:pPr>
          </w:p>
        </w:tc>
        <w:tc>
          <w:tcPr>
            <w:tcW w:w="2950" w:type="dxa"/>
            <w:noWrap w:val="0"/>
            <w:vAlign w:val="center"/>
          </w:tcPr>
          <w:p w14:paraId="75321A9A">
            <w:pPr>
              <w:spacing w:line="300" w:lineRule="auto"/>
              <w:rPr>
                <w:rFonts w:hint="eastAsia" w:ascii="宋体"/>
                <w:color w:val="000000" w:themeColor="text1"/>
                <w:szCs w:val="21"/>
                <w:highlight w:val="none"/>
                <w14:textFill>
                  <w14:solidFill>
                    <w14:schemeClr w14:val="tx1"/>
                  </w14:solidFill>
                </w14:textFill>
              </w:rPr>
            </w:pPr>
          </w:p>
        </w:tc>
      </w:tr>
      <w:tr w14:paraId="2250F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6559A22D">
            <w:pPr>
              <w:spacing w:line="300" w:lineRule="auto"/>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4.施工员</w:t>
            </w:r>
          </w:p>
        </w:tc>
        <w:tc>
          <w:tcPr>
            <w:tcW w:w="788" w:type="dxa"/>
            <w:noWrap w:val="0"/>
            <w:vAlign w:val="center"/>
          </w:tcPr>
          <w:p w14:paraId="38A8A117">
            <w:pPr>
              <w:spacing w:line="300" w:lineRule="auto"/>
              <w:rPr>
                <w:rFonts w:hint="eastAsia" w:ascii="宋体"/>
                <w:color w:val="000000" w:themeColor="text1"/>
                <w:szCs w:val="21"/>
                <w:highlight w:val="none"/>
                <w14:textFill>
                  <w14:solidFill>
                    <w14:schemeClr w14:val="tx1"/>
                  </w14:solidFill>
                </w14:textFill>
              </w:rPr>
            </w:pPr>
          </w:p>
        </w:tc>
        <w:tc>
          <w:tcPr>
            <w:tcW w:w="787" w:type="dxa"/>
            <w:noWrap w:val="0"/>
            <w:vAlign w:val="center"/>
          </w:tcPr>
          <w:p w14:paraId="259936D4">
            <w:pPr>
              <w:spacing w:line="300" w:lineRule="auto"/>
              <w:rPr>
                <w:rFonts w:hint="eastAsia" w:ascii="宋体"/>
                <w:color w:val="000000" w:themeColor="text1"/>
                <w:szCs w:val="21"/>
                <w:highlight w:val="none"/>
                <w14:textFill>
                  <w14:solidFill>
                    <w14:schemeClr w14:val="tx1"/>
                  </w14:solidFill>
                </w14:textFill>
              </w:rPr>
            </w:pPr>
          </w:p>
        </w:tc>
        <w:tc>
          <w:tcPr>
            <w:tcW w:w="1439" w:type="dxa"/>
            <w:noWrap w:val="0"/>
            <w:vAlign w:val="center"/>
          </w:tcPr>
          <w:p w14:paraId="7C7521BE">
            <w:pPr>
              <w:spacing w:line="300" w:lineRule="auto"/>
              <w:rPr>
                <w:rFonts w:hint="eastAsia" w:ascii="宋体"/>
                <w:color w:val="000000" w:themeColor="text1"/>
                <w:szCs w:val="21"/>
                <w:highlight w:val="none"/>
                <w14:textFill>
                  <w14:solidFill>
                    <w14:schemeClr w14:val="tx1"/>
                  </w14:solidFill>
                </w14:textFill>
              </w:rPr>
            </w:pPr>
          </w:p>
        </w:tc>
        <w:tc>
          <w:tcPr>
            <w:tcW w:w="2950" w:type="dxa"/>
            <w:noWrap w:val="0"/>
            <w:vAlign w:val="center"/>
          </w:tcPr>
          <w:p w14:paraId="62E5EC45">
            <w:pPr>
              <w:spacing w:line="300" w:lineRule="auto"/>
              <w:rPr>
                <w:rFonts w:hint="eastAsia" w:ascii="宋体"/>
                <w:color w:val="000000" w:themeColor="text1"/>
                <w:szCs w:val="21"/>
                <w:highlight w:val="none"/>
                <w14:textFill>
                  <w14:solidFill>
                    <w14:schemeClr w14:val="tx1"/>
                  </w14:solidFill>
                </w14:textFill>
              </w:rPr>
            </w:pPr>
          </w:p>
        </w:tc>
      </w:tr>
      <w:tr w14:paraId="459AE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3380F3E8">
            <w:pPr>
              <w:spacing w:line="300" w:lineRule="auto"/>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p>
        </w:tc>
        <w:tc>
          <w:tcPr>
            <w:tcW w:w="788" w:type="dxa"/>
            <w:noWrap w:val="0"/>
            <w:vAlign w:val="center"/>
          </w:tcPr>
          <w:p w14:paraId="683A3D4A">
            <w:pPr>
              <w:spacing w:line="300" w:lineRule="auto"/>
              <w:rPr>
                <w:rFonts w:hint="eastAsia" w:ascii="宋体"/>
                <w:color w:val="000000" w:themeColor="text1"/>
                <w:szCs w:val="21"/>
                <w:highlight w:val="none"/>
                <w14:textFill>
                  <w14:solidFill>
                    <w14:schemeClr w14:val="tx1"/>
                  </w14:solidFill>
                </w14:textFill>
              </w:rPr>
            </w:pPr>
          </w:p>
        </w:tc>
        <w:tc>
          <w:tcPr>
            <w:tcW w:w="787" w:type="dxa"/>
            <w:noWrap w:val="0"/>
            <w:vAlign w:val="center"/>
          </w:tcPr>
          <w:p w14:paraId="0DB3E145">
            <w:pPr>
              <w:spacing w:line="300" w:lineRule="auto"/>
              <w:rPr>
                <w:rFonts w:hint="eastAsia" w:ascii="宋体"/>
                <w:color w:val="000000" w:themeColor="text1"/>
                <w:szCs w:val="21"/>
                <w:highlight w:val="none"/>
                <w14:textFill>
                  <w14:solidFill>
                    <w14:schemeClr w14:val="tx1"/>
                  </w14:solidFill>
                </w14:textFill>
              </w:rPr>
            </w:pPr>
          </w:p>
        </w:tc>
        <w:tc>
          <w:tcPr>
            <w:tcW w:w="1439" w:type="dxa"/>
            <w:noWrap w:val="0"/>
            <w:vAlign w:val="center"/>
          </w:tcPr>
          <w:p w14:paraId="488A6670">
            <w:pPr>
              <w:spacing w:line="300" w:lineRule="auto"/>
              <w:rPr>
                <w:rFonts w:hint="eastAsia" w:ascii="宋体"/>
                <w:color w:val="000000" w:themeColor="text1"/>
                <w:szCs w:val="21"/>
                <w:highlight w:val="none"/>
                <w14:textFill>
                  <w14:solidFill>
                    <w14:schemeClr w14:val="tx1"/>
                  </w14:solidFill>
                </w14:textFill>
              </w:rPr>
            </w:pPr>
          </w:p>
        </w:tc>
        <w:tc>
          <w:tcPr>
            <w:tcW w:w="2950" w:type="dxa"/>
            <w:noWrap w:val="0"/>
            <w:vAlign w:val="center"/>
          </w:tcPr>
          <w:p w14:paraId="17130095">
            <w:pPr>
              <w:spacing w:line="300" w:lineRule="auto"/>
              <w:rPr>
                <w:rFonts w:hint="eastAsia" w:ascii="宋体"/>
                <w:color w:val="000000" w:themeColor="text1"/>
                <w:szCs w:val="21"/>
                <w:highlight w:val="none"/>
                <w14:textFill>
                  <w14:solidFill>
                    <w14:schemeClr w14:val="tx1"/>
                  </w14:solidFill>
                </w14:textFill>
              </w:rPr>
            </w:pPr>
          </w:p>
        </w:tc>
      </w:tr>
      <w:tr w14:paraId="193F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3C46AF8F">
            <w:pPr>
              <w:spacing w:line="300" w:lineRule="auto"/>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5. 质检员</w:t>
            </w:r>
          </w:p>
        </w:tc>
        <w:tc>
          <w:tcPr>
            <w:tcW w:w="788" w:type="dxa"/>
            <w:noWrap w:val="0"/>
            <w:vAlign w:val="center"/>
          </w:tcPr>
          <w:p w14:paraId="2C1CDAA1">
            <w:pPr>
              <w:spacing w:line="300" w:lineRule="auto"/>
              <w:rPr>
                <w:rFonts w:hint="eastAsia" w:ascii="宋体"/>
                <w:color w:val="000000" w:themeColor="text1"/>
                <w:szCs w:val="21"/>
                <w:highlight w:val="none"/>
                <w14:textFill>
                  <w14:solidFill>
                    <w14:schemeClr w14:val="tx1"/>
                  </w14:solidFill>
                </w14:textFill>
              </w:rPr>
            </w:pPr>
          </w:p>
        </w:tc>
        <w:tc>
          <w:tcPr>
            <w:tcW w:w="787" w:type="dxa"/>
            <w:noWrap w:val="0"/>
            <w:vAlign w:val="center"/>
          </w:tcPr>
          <w:p w14:paraId="2F747DE1">
            <w:pPr>
              <w:spacing w:line="300" w:lineRule="auto"/>
              <w:rPr>
                <w:rFonts w:hint="eastAsia" w:ascii="宋体"/>
                <w:color w:val="000000" w:themeColor="text1"/>
                <w:szCs w:val="21"/>
                <w:highlight w:val="none"/>
                <w14:textFill>
                  <w14:solidFill>
                    <w14:schemeClr w14:val="tx1"/>
                  </w14:solidFill>
                </w14:textFill>
              </w:rPr>
            </w:pPr>
          </w:p>
        </w:tc>
        <w:tc>
          <w:tcPr>
            <w:tcW w:w="1439" w:type="dxa"/>
            <w:noWrap w:val="0"/>
            <w:vAlign w:val="center"/>
          </w:tcPr>
          <w:p w14:paraId="2E80C1D5">
            <w:pPr>
              <w:spacing w:line="300" w:lineRule="auto"/>
              <w:rPr>
                <w:rFonts w:hint="eastAsia" w:ascii="宋体"/>
                <w:color w:val="000000" w:themeColor="text1"/>
                <w:szCs w:val="21"/>
                <w:highlight w:val="none"/>
                <w14:textFill>
                  <w14:solidFill>
                    <w14:schemeClr w14:val="tx1"/>
                  </w14:solidFill>
                </w14:textFill>
              </w:rPr>
            </w:pPr>
          </w:p>
        </w:tc>
        <w:tc>
          <w:tcPr>
            <w:tcW w:w="2950" w:type="dxa"/>
            <w:noWrap w:val="0"/>
            <w:vAlign w:val="center"/>
          </w:tcPr>
          <w:p w14:paraId="70A14B0D">
            <w:pPr>
              <w:spacing w:line="300" w:lineRule="auto"/>
              <w:rPr>
                <w:rFonts w:hint="eastAsia" w:ascii="宋体"/>
                <w:color w:val="000000" w:themeColor="text1"/>
                <w:szCs w:val="21"/>
                <w:highlight w:val="none"/>
                <w14:textFill>
                  <w14:solidFill>
                    <w14:schemeClr w14:val="tx1"/>
                  </w14:solidFill>
                </w14:textFill>
              </w:rPr>
            </w:pPr>
          </w:p>
        </w:tc>
      </w:tr>
      <w:tr w14:paraId="215E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3B07B2CF">
            <w:pPr>
              <w:spacing w:line="300" w:lineRule="auto"/>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p>
        </w:tc>
        <w:tc>
          <w:tcPr>
            <w:tcW w:w="788" w:type="dxa"/>
            <w:noWrap w:val="0"/>
            <w:vAlign w:val="center"/>
          </w:tcPr>
          <w:p w14:paraId="2CE05855">
            <w:pPr>
              <w:spacing w:line="300" w:lineRule="auto"/>
              <w:rPr>
                <w:rFonts w:hint="eastAsia" w:ascii="宋体"/>
                <w:color w:val="000000" w:themeColor="text1"/>
                <w:szCs w:val="21"/>
                <w:highlight w:val="none"/>
                <w14:textFill>
                  <w14:solidFill>
                    <w14:schemeClr w14:val="tx1"/>
                  </w14:solidFill>
                </w14:textFill>
              </w:rPr>
            </w:pPr>
          </w:p>
        </w:tc>
        <w:tc>
          <w:tcPr>
            <w:tcW w:w="787" w:type="dxa"/>
            <w:noWrap w:val="0"/>
            <w:vAlign w:val="center"/>
          </w:tcPr>
          <w:p w14:paraId="6D12A033">
            <w:pPr>
              <w:spacing w:line="300" w:lineRule="auto"/>
              <w:rPr>
                <w:rFonts w:hint="eastAsia" w:ascii="宋体"/>
                <w:color w:val="000000" w:themeColor="text1"/>
                <w:szCs w:val="21"/>
                <w:highlight w:val="none"/>
                <w14:textFill>
                  <w14:solidFill>
                    <w14:schemeClr w14:val="tx1"/>
                  </w14:solidFill>
                </w14:textFill>
              </w:rPr>
            </w:pPr>
          </w:p>
        </w:tc>
        <w:tc>
          <w:tcPr>
            <w:tcW w:w="1439" w:type="dxa"/>
            <w:noWrap w:val="0"/>
            <w:vAlign w:val="center"/>
          </w:tcPr>
          <w:p w14:paraId="49A6B3F6">
            <w:pPr>
              <w:spacing w:line="300" w:lineRule="auto"/>
              <w:rPr>
                <w:rFonts w:hint="eastAsia" w:ascii="宋体"/>
                <w:color w:val="000000" w:themeColor="text1"/>
                <w:szCs w:val="21"/>
                <w:highlight w:val="none"/>
                <w14:textFill>
                  <w14:solidFill>
                    <w14:schemeClr w14:val="tx1"/>
                  </w14:solidFill>
                </w14:textFill>
              </w:rPr>
            </w:pPr>
          </w:p>
        </w:tc>
        <w:tc>
          <w:tcPr>
            <w:tcW w:w="2950" w:type="dxa"/>
            <w:noWrap w:val="0"/>
            <w:vAlign w:val="center"/>
          </w:tcPr>
          <w:p w14:paraId="3578ABC2">
            <w:pPr>
              <w:spacing w:line="300" w:lineRule="auto"/>
              <w:rPr>
                <w:rFonts w:hint="eastAsia" w:ascii="宋体"/>
                <w:color w:val="000000" w:themeColor="text1"/>
                <w:szCs w:val="21"/>
                <w:highlight w:val="none"/>
                <w14:textFill>
                  <w14:solidFill>
                    <w14:schemeClr w14:val="tx1"/>
                  </w14:solidFill>
                </w14:textFill>
              </w:rPr>
            </w:pPr>
          </w:p>
        </w:tc>
      </w:tr>
      <w:tr w14:paraId="56126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7AF40A0B">
            <w:pPr>
              <w:spacing w:line="300" w:lineRule="auto"/>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6.专职安全生产管理人员</w:t>
            </w:r>
          </w:p>
        </w:tc>
        <w:tc>
          <w:tcPr>
            <w:tcW w:w="788" w:type="dxa"/>
            <w:noWrap w:val="0"/>
            <w:vAlign w:val="center"/>
          </w:tcPr>
          <w:p w14:paraId="06B45598">
            <w:pPr>
              <w:spacing w:line="300" w:lineRule="auto"/>
              <w:rPr>
                <w:rFonts w:hint="eastAsia" w:ascii="宋体"/>
                <w:color w:val="000000" w:themeColor="text1"/>
                <w:szCs w:val="21"/>
                <w:highlight w:val="none"/>
                <w14:textFill>
                  <w14:solidFill>
                    <w14:schemeClr w14:val="tx1"/>
                  </w14:solidFill>
                </w14:textFill>
              </w:rPr>
            </w:pPr>
          </w:p>
        </w:tc>
        <w:tc>
          <w:tcPr>
            <w:tcW w:w="787" w:type="dxa"/>
            <w:noWrap w:val="0"/>
            <w:vAlign w:val="center"/>
          </w:tcPr>
          <w:p w14:paraId="3BB8A9AC">
            <w:pPr>
              <w:spacing w:line="300" w:lineRule="auto"/>
              <w:rPr>
                <w:rFonts w:hint="eastAsia" w:ascii="宋体"/>
                <w:color w:val="000000" w:themeColor="text1"/>
                <w:szCs w:val="21"/>
                <w:highlight w:val="none"/>
                <w14:textFill>
                  <w14:solidFill>
                    <w14:schemeClr w14:val="tx1"/>
                  </w14:solidFill>
                </w14:textFill>
              </w:rPr>
            </w:pPr>
          </w:p>
        </w:tc>
        <w:tc>
          <w:tcPr>
            <w:tcW w:w="1439" w:type="dxa"/>
            <w:noWrap w:val="0"/>
            <w:vAlign w:val="center"/>
          </w:tcPr>
          <w:p w14:paraId="18A899D9">
            <w:pPr>
              <w:spacing w:line="300" w:lineRule="auto"/>
              <w:rPr>
                <w:rFonts w:hint="eastAsia" w:ascii="宋体"/>
                <w:color w:val="000000" w:themeColor="text1"/>
                <w:szCs w:val="21"/>
                <w:highlight w:val="none"/>
                <w14:textFill>
                  <w14:solidFill>
                    <w14:schemeClr w14:val="tx1"/>
                  </w14:solidFill>
                </w14:textFill>
              </w:rPr>
            </w:pPr>
          </w:p>
        </w:tc>
        <w:tc>
          <w:tcPr>
            <w:tcW w:w="2950" w:type="dxa"/>
            <w:noWrap w:val="0"/>
            <w:vAlign w:val="center"/>
          </w:tcPr>
          <w:p w14:paraId="34648EB1">
            <w:pPr>
              <w:spacing w:line="300" w:lineRule="auto"/>
              <w:rPr>
                <w:rFonts w:hint="eastAsia" w:ascii="宋体"/>
                <w:color w:val="000000" w:themeColor="text1"/>
                <w:szCs w:val="21"/>
                <w:highlight w:val="none"/>
                <w14:textFill>
                  <w14:solidFill>
                    <w14:schemeClr w14:val="tx1"/>
                  </w14:solidFill>
                </w14:textFill>
              </w:rPr>
            </w:pPr>
          </w:p>
        </w:tc>
      </w:tr>
      <w:tr w14:paraId="5AF9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210E1F4B">
            <w:pPr>
              <w:spacing w:line="300" w:lineRule="auto"/>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p>
        </w:tc>
        <w:tc>
          <w:tcPr>
            <w:tcW w:w="788" w:type="dxa"/>
            <w:noWrap w:val="0"/>
            <w:vAlign w:val="center"/>
          </w:tcPr>
          <w:p w14:paraId="05E8D111">
            <w:pPr>
              <w:spacing w:line="300" w:lineRule="auto"/>
              <w:rPr>
                <w:rFonts w:hint="eastAsia" w:ascii="宋体"/>
                <w:color w:val="000000" w:themeColor="text1"/>
                <w:szCs w:val="21"/>
                <w:highlight w:val="none"/>
                <w14:textFill>
                  <w14:solidFill>
                    <w14:schemeClr w14:val="tx1"/>
                  </w14:solidFill>
                </w14:textFill>
              </w:rPr>
            </w:pPr>
          </w:p>
        </w:tc>
        <w:tc>
          <w:tcPr>
            <w:tcW w:w="787" w:type="dxa"/>
            <w:noWrap w:val="0"/>
            <w:vAlign w:val="center"/>
          </w:tcPr>
          <w:p w14:paraId="5C1E8CF4">
            <w:pPr>
              <w:spacing w:line="300" w:lineRule="auto"/>
              <w:rPr>
                <w:rFonts w:hint="eastAsia" w:ascii="宋体"/>
                <w:color w:val="000000" w:themeColor="text1"/>
                <w:szCs w:val="21"/>
                <w:highlight w:val="none"/>
                <w14:textFill>
                  <w14:solidFill>
                    <w14:schemeClr w14:val="tx1"/>
                  </w14:solidFill>
                </w14:textFill>
              </w:rPr>
            </w:pPr>
          </w:p>
        </w:tc>
        <w:tc>
          <w:tcPr>
            <w:tcW w:w="1439" w:type="dxa"/>
            <w:noWrap w:val="0"/>
            <w:vAlign w:val="center"/>
          </w:tcPr>
          <w:p w14:paraId="02E4F98E">
            <w:pPr>
              <w:spacing w:line="300" w:lineRule="auto"/>
              <w:rPr>
                <w:rFonts w:hint="eastAsia" w:ascii="宋体"/>
                <w:color w:val="000000" w:themeColor="text1"/>
                <w:szCs w:val="21"/>
                <w:highlight w:val="none"/>
                <w14:textFill>
                  <w14:solidFill>
                    <w14:schemeClr w14:val="tx1"/>
                  </w14:solidFill>
                </w14:textFill>
              </w:rPr>
            </w:pPr>
          </w:p>
        </w:tc>
        <w:tc>
          <w:tcPr>
            <w:tcW w:w="2950" w:type="dxa"/>
            <w:noWrap w:val="0"/>
            <w:vAlign w:val="center"/>
          </w:tcPr>
          <w:p w14:paraId="7122FD25">
            <w:pPr>
              <w:spacing w:line="300" w:lineRule="auto"/>
              <w:rPr>
                <w:rFonts w:hint="eastAsia" w:ascii="宋体"/>
                <w:color w:val="000000" w:themeColor="text1"/>
                <w:szCs w:val="21"/>
                <w:highlight w:val="none"/>
                <w14:textFill>
                  <w14:solidFill>
                    <w14:schemeClr w14:val="tx1"/>
                  </w14:solidFill>
                </w14:textFill>
              </w:rPr>
            </w:pPr>
          </w:p>
        </w:tc>
      </w:tr>
      <w:tr w14:paraId="273DD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48A24704">
            <w:pPr>
              <w:spacing w:line="300" w:lineRule="auto"/>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7……</w:t>
            </w:r>
          </w:p>
        </w:tc>
        <w:tc>
          <w:tcPr>
            <w:tcW w:w="788" w:type="dxa"/>
            <w:noWrap w:val="0"/>
            <w:vAlign w:val="center"/>
          </w:tcPr>
          <w:p w14:paraId="150B9D90">
            <w:pPr>
              <w:spacing w:line="300" w:lineRule="auto"/>
              <w:rPr>
                <w:rFonts w:hint="eastAsia" w:ascii="宋体"/>
                <w:color w:val="000000" w:themeColor="text1"/>
                <w:szCs w:val="21"/>
                <w:highlight w:val="none"/>
                <w14:textFill>
                  <w14:solidFill>
                    <w14:schemeClr w14:val="tx1"/>
                  </w14:solidFill>
                </w14:textFill>
              </w:rPr>
            </w:pPr>
          </w:p>
        </w:tc>
        <w:tc>
          <w:tcPr>
            <w:tcW w:w="787" w:type="dxa"/>
            <w:noWrap w:val="0"/>
            <w:vAlign w:val="center"/>
          </w:tcPr>
          <w:p w14:paraId="3E83D05C">
            <w:pPr>
              <w:spacing w:line="300" w:lineRule="auto"/>
              <w:rPr>
                <w:rFonts w:hint="eastAsia" w:ascii="宋体"/>
                <w:color w:val="000000" w:themeColor="text1"/>
                <w:szCs w:val="21"/>
                <w:highlight w:val="none"/>
                <w14:textFill>
                  <w14:solidFill>
                    <w14:schemeClr w14:val="tx1"/>
                  </w14:solidFill>
                </w14:textFill>
              </w:rPr>
            </w:pPr>
          </w:p>
        </w:tc>
        <w:tc>
          <w:tcPr>
            <w:tcW w:w="1439" w:type="dxa"/>
            <w:noWrap w:val="0"/>
            <w:vAlign w:val="center"/>
          </w:tcPr>
          <w:p w14:paraId="0A6E1414">
            <w:pPr>
              <w:spacing w:line="300" w:lineRule="auto"/>
              <w:rPr>
                <w:rFonts w:hint="eastAsia" w:ascii="宋体"/>
                <w:color w:val="000000" w:themeColor="text1"/>
                <w:szCs w:val="21"/>
                <w:highlight w:val="none"/>
                <w14:textFill>
                  <w14:solidFill>
                    <w14:schemeClr w14:val="tx1"/>
                  </w14:solidFill>
                </w14:textFill>
              </w:rPr>
            </w:pPr>
          </w:p>
        </w:tc>
        <w:tc>
          <w:tcPr>
            <w:tcW w:w="2950" w:type="dxa"/>
            <w:noWrap w:val="0"/>
            <w:vAlign w:val="center"/>
          </w:tcPr>
          <w:p w14:paraId="1110CB59">
            <w:pPr>
              <w:spacing w:line="300" w:lineRule="auto"/>
              <w:rPr>
                <w:rFonts w:hint="eastAsia" w:ascii="宋体"/>
                <w:color w:val="000000" w:themeColor="text1"/>
                <w:szCs w:val="21"/>
                <w:highlight w:val="none"/>
                <w14:textFill>
                  <w14:solidFill>
                    <w14:schemeClr w14:val="tx1"/>
                  </w14:solidFill>
                </w14:textFill>
              </w:rPr>
            </w:pPr>
          </w:p>
        </w:tc>
      </w:tr>
      <w:tr w14:paraId="4B5E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3133" w:type="dxa"/>
            <w:noWrap w:val="0"/>
            <w:vAlign w:val="center"/>
          </w:tcPr>
          <w:p w14:paraId="02552146">
            <w:pPr>
              <w:spacing w:line="300" w:lineRule="auto"/>
              <w:rPr>
                <w:rFonts w:hint="eastAsia" w:ascii="宋体"/>
                <w:color w:val="000000" w:themeColor="text1"/>
                <w:szCs w:val="21"/>
                <w:highlight w:val="none"/>
                <w14:textFill>
                  <w14:solidFill>
                    <w14:schemeClr w14:val="tx1"/>
                  </w14:solidFill>
                </w14:textFill>
              </w:rPr>
            </w:pPr>
          </w:p>
        </w:tc>
        <w:tc>
          <w:tcPr>
            <w:tcW w:w="788" w:type="dxa"/>
            <w:noWrap w:val="0"/>
            <w:vAlign w:val="center"/>
          </w:tcPr>
          <w:p w14:paraId="06612AC0">
            <w:pPr>
              <w:spacing w:line="300" w:lineRule="auto"/>
              <w:rPr>
                <w:rFonts w:hint="eastAsia" w:ascii="宋体"/>
                <w:color w:val="000000" w:themeColor="text1"/>
                <w:szCs w:val="21"/>
                <w:highlight w:val="none"/>
                <w14:textFill>
                  <w14:solidFill>
                    <w14:schemeClr w14:val="tx1"/>
                  </w14:solidFill>
                </w14:textFill>
              </w:rPr>
            </w:pPr>
          </w:p>
        </w:tc>
        <w:tc>
          <w:tcPr>
            <w:tcW w:w="787" w:type="dxa"/>
            <w:noWrap w:val="0"/>
            <w:vAlign w:val="center"/>
          </w:tcPr>
          <w:p w14:paraId="1125E061">
            <w:pPr>
              <w:spacing w:line="300" w:lineRule="auto"/>
              <w:rPr>
                <w:rFonts w:hint="eastAsia" w:ascii="宋体"/>
                <w:color w:val="000000" w:themeColor="text1"/>
                <w:szCs w:val="21"/>
                <w:highlight w:val="none"/>
                <w14:textFill>
                  <w14:solidFill>
                    <w14:schemeClr w14:val="tx1"/>
                  </w14:solidFill>
                </w14:textFill>
              </w:rPr>
            </w:pPr>
          </w:p>
        </w:tc>
        <w:tc>
          <w:tcPr>
            <w:tcW w:w="1439" w:type="dxa"/>
            <w:noWrap w:val="0"/>
            <w:vAlign w:val="center"/>
          </w:tcPr>
          <w:p w14:paraId="2436C414">
            <w:pPr>
              <w:spacing w:line="300" w:lineRule="auto"/>
              <w:rPr>
                <w:rFonts w:hint="eastAsia" w:ascii="宋体"/>
                <w:color w:val="000000" w:themeColor="text1"/>
                <w:szCs w:val="21"/>
                <w:highlight w:val="none"/>
                <w14:textFill>
                  <w14:solidFill>
                    <w14:schemeClr w14:val="tx1"/>
                  </w14:solidFill>
                </w14:textFill>
              </w:rPr>
            </w:pPr>
          </w:p>
        </w:tc>
        <w:tc>
          <w:tcPr>
            <w:tcW w:w="2950" w:type="dxa"/>
            <w:noWrap w:val="0"/>
            <w:vAlign w:val="center"/>
          </w:tcPr>
          <w:p w14:paraId="1AA47BFB">
            <w:pPr>
              <w:spacing w:line="300" w:lineRule="auto"/>
              <w:rPr>
                <w:rFonts w:hint="eastAsia" w:ascii="宋体"/>
                <w:color w:val="000000" w:themeColor="text1"/>
                <w:szCs w:val="21"/>
                <w:highlight w:val="none"/>
                <w14:textFill>
                  <w14:solidFill>
                    <w14:schemeClr w14:val="tx1"/>
                  </w14:solidFill>
                </w14:textFill>
              </w:rPr>
            </w:pPr>
          </w:p>
        </w:tc>
      </w:tr>
    </w:tbl>
    <w:p w14:paraId="7BF2C0DB">
      <w:pPr>
        <w:spacing w:line="400" w:lineRule="exact"/>
        <w:rPr>
          <w:rFonts w:hint="eastAsia" w:ascii="宋体"/>
          <w:b/>
          <w:color w:val="000000" w:themeColor="text1"/>
          <w:sz w:val="21"/>
          <w:szCs w:val="21"/>
          <w:highlight w:val="none"/>
          <w14:textFill>
            <w14:solidFill>
              <w14:schemeClr w14:val="tx1"/>
            </w14:solidFill>
          </w14:textFill>
        </w:rPr>
      </w:pPr>
      <w:r>
        <w:rPr>
          <w:rFonts w:hint="eastAsia" w:ascii="宋体"/>
          <w:b w:val="0"/>
          <w:bCs/>
          <w:color w:val="000000" w:themeColor="text1"/>
          <w:sz w:val="21"/>
          <w:szCs w:val="21"/>
          <w:highlight w:val="none"/>
          <w14:textFill>
            <w14:solidFill>
              <w14:schemeClr w14:val="tx1"/>
            </w14:solidFill>
          </w14:textFill>
        </w:rPr>
        <w:t>注：项目经理应附身份证、注册建造师执业资格证书、安全生产考核合格证书（B类）、职称证书（如有）的扫描件；项目技术负责人应附身份证扫描件、职称证书扫描件；专职安全生产管理人员应附身份证、专职安全员安全生产考核合格证书（C类）、职称证书（如有）扫描件；其他主要人员应附执业证或上岗证书、职称证书（如有）扫描件；提供以上人员由社保部门出具的供应商为其缴纳的响应文件递交截止时间前半年内任意一个月社保证明扫描件，除供应商为以下三种情形的：①如供应商为截标时间前60日以内成立的公司，可以提供供应商与委托代理人签订的劳动合同扫描件代替社保证明扫描件；②如供应商为事业单位，可以提供事业单位机构编制管理证扫描件或事业单位机构为其发放工资的工资条扫描件代替社保证明扫描件；③如委托代理人为免缴纳社保人员，提供免缴纳社保的证明材料扫描件及供应商与委托代理人签订的劳动合同扫描件代替社保证明扫描件。</w:t>
      </w:r>
    </w:p>
    <w:p w14:paraId="17A3DB36">
      <w:pPr>
        <w:rPr>
          <w:rFonts w:hint="eastAsia" w:ascii="宋体"/>
          <w:b/>
          <w:color w:val="000000" w:themeColor="text1"/>
          <w:highlight w:val="none"/>
          <w14:textFill>
            <w14:solidFill>
              <w14:schemeClr w14:val="tx1"/>
            </w14:solidFill>
          </w14:textFill>
        </w:rPr>
      </w:pPr>
    </w:p>
    <w:p w14:paraId="4BD8E6E8">
      <w:pPr>
        <w:keepNext w:val="0"/>
        <w:keepLines w:val="0"/>
        <w:pageBreakBefore w:val="0"/>
        <w:widowControl w:val="0"/>
        <w:kinsoku/>
        <w:wordWrap/>
        <w:overflowPunct/>
        <w:topLinePunct w:val="0"/>
        <w:autoSpaceDE/>
        <w:autoSpaceDN/>
        <w:bidi w:val="0"/>
        <w:adjustRightInd/>
        <w:snapToGrid w:val="0"/>
        <w:spacing w:line="360" w:lineRule="auto"/>
        <w:ind w:firstLine="1890" w:firstLineChars="9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磋商供应商</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公章</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，自然人</w:t>
      </w:r>
      <w:r>
        <w:rPr>
          <w:rFonts w:hint="eastAsia" w:ascii="宋体" w:hAnsi="宋体" w:eastAsia="宋体" w:cs="宋体"/>
          <w:color w:val="000000" w:themeColor="text1"/>
          <w:szCs w:val="21"/>
          <w:highlight w:val="none"/>
          <w:lang w:eastAsia="zh-CN"/>
          <w14:textFill>
            <w14:solidFill>
              <w14:schemeClr w14:val="tx1"/>
            </w14:solidFill>
          </w14:textFill>
        </w:rPr>
        <w:t>签字或个人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xml:space="preserve">               </w:t>
      </w:r>
    </w:p>
    <w:p w14:paraId="2C00E57D">
      <w:pPr>
        <w:keepNext w:val="0"/>
        <w:keepLines w:val="0"/>
        <w:pageBreakBefore w:val="0"/>
        <w:widowControl w:val="0"/>
        <w:kinsoku/>
        <w:wordWrap/>
        <w:overflowPunct/>
        <w:topLinePunct w:val="0"/>
        <w:autoSpaceDE/>
        <w:autoSpaceDN/>
        <w:bidi w:val="0"/>
        <w:adjustRightInd/>
        <w:snapToGrid w:val="0"/>
        <w:spacing w:line="360" w:lineRule="auto"/>
        <w:ind w:firstLine="1890" w:firstLineChars="9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日</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期：</w:t>
      </w:r>
      <w:r>
        <w:rPr>
          <w:rFonts w:hint="eastAsia" w:ascii="宋体" w:hAnsi="宋体" w:eastAsia="宋体" w:cs="宋体"/>
          <w:color w:val="000000" w:themeColor="text1"/>
          <w:highlight w:val="none"/>
          <w:u w:val="single"/>
          <w14:textFill>
            <w14:solidFill>
              <w14:schemeClr w14:val="tx1"/>
            </w14:solidFill>
          </w14:textFill>
        </w:rPr>
        <w:t xml:space="preserve">                            </w:t>
      </w:r>
    </w:p>
    <w:p w14:paraId="517550CD">
      <w:pPr>
        <w:pStyle w:val="9"/>
        <w:rPr>
          <w:rFonts w:hint="eastAsia" w:ascii="宋体" w:cs="MingLiU"/>
          <w:color w:val="000000" w:themeColor="text1"/>
          <w:kern w:val="0"/>
          <w:sz w:val="24"/>
          <w:highlight w:val="none"/>
          <w:lang w:bidi="ar-SA"/>
          <w14:textFill>
            <w14:solidFill>
              <w14:schemeClr w14:val="tx1"/>
            </w14:solidFill>
          </w14:textFill>
        </w:rPr>
      </w:pPr>
    </w:p>
    <w:p w14:paraId="0FE68B1C">
      <w:pPr>
        <w:pStyle w:val="12"/>
        <w:spacing w:line="460" w:lineRule="exact"/>
        <w:ind w:firstLine="562" w:firstLineChars="200"/>
        <w:rPr>
          <w:rFonts w:hint="eastAsia" w:cs="Times New Roman"/>
          <w:b/>
          <w:color w:val="000000" w:themeColor="text1"/>
          <w:sz w:val="28"/>
          <w:szCs w:val="28"/>
          <w:highlight w:val="none"/>
          <w:lang w:bidi="ar-SA"/>
          <w14:textFill>
            <w14:solidFill>
              <w14:schemeClr w14:val="tx1"/>
            </w14:solidFill>
          </w14:textFill>
        </w:rPr>
      </w:pPr>
      <w:r>
        <w:rPr>
          <w:rFonts w:hint="eastAsia" w:cs="Times New Roman"/>
          <w:b/>
          <w:color w:val="000000" w:themeColor="text1"/>
          <w:sz w:val="28"/>
          <w:szCs w:val="28"/>
          <w:highlight w:val="none"/>
          <w:lang w:val="en-US" w:eastAsia="zh-CN" w:bidi="ar-SA"/>
          <w14:textFill>
            <w14:solidFill>
              <w14:schemeClr w14:val="tx1"/>
            </w14:solidFill>
          </w14:textFill>
        </w:rPr>
        <w:t>4</w:t>
      </w:r>
      <w:r>
        <w:rPr>
          <w:rFonts w:hint="eastAsia" w:cs="Times New Roman"/>
          <w:b/>
          <w:color w:val="000000" w:themeColor="text1"/>
          <w:sz w:val="28"/>
          <w:szCs w:val="28"/>
          <w:highlight w:val="none"/>
          <w:lang w:bidi="ar-SA"/>
          <w14:textFill>
            <w14:solidFill>
              <w14:schemeClr w14:val="tx1"/>
            </w14:solidFill>
          </w14:textFill>
        </w:rPr>
        <w:t>.施工组织设计（根据工程量清单及工程情况自行编制）（格式自拟，必须提供）；</w:t>
      </w:r>
    </w:p>
    <w:p w14:paraId="2D22CED6">
      <w:pPr>
        <w:pStyle w:val="12"/>
        <w:spacing w:line="360" w:lineRule="exact"/>
        <w:ind w:firstLine="1470" w:firstLineChars="700"/>
        <w:rPr>
          <w:rFonts w:hint="eastAsia"/>
          <w:color w:val="000000" w:themeColor="text1"/>
          <w:highlight w:val="none"/>
          <w14:textFill>
            <w14:solidFill>
              <w14:schemeClr w14:val="tx1"/>
            </w14:solidFill>
          </w14:textFill>
        </w:rPr>
      </w:pPr>
    </w:p>
    <w:p w14:paraId="757D8123">
      <w:pPr>
        <w:pStyle w:val="12"/>
        <w:spacing w:line="360" w:lineRule="exact"/>
        <w:ind w:firstLine="1470" w:firstLineChars="700"/>
        <w:rPr>
          <w:rFonts w:hint="eastAsia"/>
          <w:color w:val="000000" w:themeColor="text1"/>
          <w:highlight w:val="none"/>
          <w14:textFill>
            <w14:solidFill>
              <w14:schemeClr w14:val="tx1"/>
            </w14:solidFill>
          </w14:textFill>
        </w:rPr>
      </w:pPr>
    </w:p>
    <w:p w14:paraId="0BFDE602">
      <w:pPr>
        <w:pStyle w:val="12"/>
        <w:spacing w:line="360" w:lineRule="exact"/>
        <w:ind w:firstLine="1470" w:firstLineChars="700"/>
        <w:rPr>
          <w:rFonts w:hint="eastAsia"/>
          <w:color w:val="000000" w:themeColor="text1"/>
          <w:highlight w:val="none"/>
          <w14:textFill>
            <w14:solidFill>
              <w14:schemeClr w14:val="tx1"/>
            </w14:solidFill>
          </w14:textFill>
        </w:rPr>
      </w:pPr>
    </w:p>
    <w:p w14:paraId="43A43324">
      <w:pPr>
        <w:pStyle w:val="12"/>
        <w:spacing w:line="360" w:lineRule="exact"/>
        <w:ind w:firstLine="1470" w:firstLineChars="700"/>
        <w:rPr>
          <w:rFonts w:hint="eastAsia"/>
          <w:color w:val="000000" w:themeColor="text1"/>
          <w:highlight w:val="none"/>
          <w14:textFill>
            <w14:solidFill>
              <w14:schemeClr w14:val="tx1"/>
            </w14:solidFill>
          </w14:textFill>
        </w:rPr>
      </w:pPr>
    </w:p>
    <w:p w14:paraId="4DD958E1">
      <w:pPr>
        <w:pStyle w:val="12"/>
        <w:spacing w:line="360" w:lineRule="exact"/>
        <w:ind w:firstLine="1470" w:firstLineChars="700"/>
        <w:rPr>
          <w:rFonts w:hint="eastAsia"/>
          <w:color w:val="000000" w:themeColor="text1"/>
          <w:highlight w:val="none"/>
          <w14:textFill>
            <w14:solidFill>
              <w14:schemeClr w14:val="tx1"/>
            </w14:solidFill>
          </w14:textFill>
        </w:rPr>
      </w:pPr>
    </w:p>
    <w:p w14:paraId="2BA4B35C">
      <w:pPr>
        <w:keepNext w:val="0"/>
        <w:keepLines w:val="0"/>
        <w:pageBreakBefore w:val="0"/>
        <w:widowControl w:val="0"/>
        <w:kinsoku/>
        <w:wordWrap/>
        <w:overflowPunct/>
        <w:topLinePunct w:val="0"/>
        <w:autoSpaceDE/>
        <w:autoSpaceDN/>
        <w:bidi w:val="0"/>
        <w:adjustRightInd/>
        <w:snapToGrid w:val="0"/>
        <w:spacing w:line="360" w:lineRule="auto"/>
        <w:ind w:firstLine="1890" w:firstLineChars="9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磋商供应商</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公章</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，自然人</w:t>
      </w:r>
      <w:r>
        <w:rPr>
          <w:rFonts w:hint="eastAsia" w:ascii="宋体" w:hAnsi="宋体" w:eastAsia="宋体" w:cs="宋体"/>
          <w:color w:val="000000" w:themeColor="text1"/>
          <w:szCs w:val="21"/>
          <w:highlight w:val="none"/>
          <w:lang w:eastAsia="zh-CN"/>
          <w14:textFill>
            <w14:solidFill>
              <w14:schemeClr w14:val="tx1"/>
            </w14:solidFill>
          </w14:textFill>
        </w:rPr>
        <w:t>签字或个人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xml:space="preserve">               </w:t>
      </w:r>
    </w:p>
    <w:p w14:paraId="5A5161FE">
      <w:pPr>
        <w:keepNext w:val="0"/>
        <w:keepLines w:val="0"/>
        <w:pageBreakBefore w:val="0"/>
        <w:widowControl w:val="0"/>
        <w:kinsoku/>
        <w:wordWrap/>
        <w:overflowPunct/>
        <w:topLinePunct w:val="0"/>
        <w:autoSpaceDE/>
        <w:autoSpaceDN/>
        <w:bidi w:val="0"/>
        <w:adjustRightInd/>
        <w:snapToGrid w:val="0"/>
        <w:spacing w:line="360" w:lineRule="auto"/>
        <w:ind w:firstLine="1890" w:firstLineChars="9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日</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期：</w:t>
      </w:r>
      <w:r>
        <w:rPr>
          <w:rFonts w:hint="eastAsia" w:ascii="宋体" w:hAnsi="宋体" w:eastAsia="宋体" w:cs="宋体"/>
          <w:color w:val="000000" w:themeColor="text1"/>
          <w:highlight w:val="none"/>
          <w:u w:val="single"/>
          <w14:textFill>
            <w14:solidFill>
              <w14:schemeClr w14:val="tx1"/>
            </w14:solidFill>
          </w14:textFill>
        </w:rPr>
        <w:t xml:space="preserve">                            </w:t>
      </w:r>
    </w:p>
    <w:p w14:paraId="2D02B279">
      <w:pPr>
        <w:spacing w:line="400" w:lineRule="exact"/>
        <w:rPr>
          <w:rFonts w:hint="eastAsia" w:ascii="宋体"/>
          <w:b/>
          <w:color w:val="000000" w:themeColor="text1"/>
          <w:sz w:val="28"/>
          <w:szCs w:val="28"/>
          <w:highlight w:val="none"/>
          <w14:textFill>
            <w14:solidFill>
              <w14:schemeClr w14:val="tx1"/>
            </w14:solidFill>
          </w14:textFill>
        </w:rPr>
      </w:pPr>
    </w:p>
    <w:p w14:paraId="264E4B5E">
      <w:pPr>
        <w:spacing w:line="400" w:lineRule="exact"/>
        <w:rPr>
          <w:rFonts w:hint="eastAsia" w:ascii="宋体"/>
          <w:b/>
          <w:color w:val="000000" w:themeColor="text1"/>
          <w:sz w:val="28"/>
          <w:szCs w:val="28"/>
          <w:highlight w:val="none"/>
          <w14:textFill>
            <w14:solidFill>
              <w14:schemeClr w14:val="tx1"/>
            </w14:solidFill>
          </w14:textFill>
        </w:rPr>
      </w:pPr>
    </w:p>
    <w:p w14:paraId="474FD277">
      <w:pPr>
        <w:spacing w:line="400" w:lineRule="exact"/>
        <w:rPr>
          <w:rFonts w:hint="eastAsia" w:ascii="宋体"/>
          <w:b/>
          <w:color w:val="000000" w:themeColor="text1"/>
          <w:sz w:val="28"/>
          <w:szCs w:val="28"/>
          <w:highlight w:val="none"/>
          <w14:textFill>
            <w14:solidFill>
              <w14:schemeClr w14:val="tx1"/>
            </w14:solidFill>
          </w14:textFill>
        </w:rPr>
      </w:pPr>
    </w:p>
    <w:p w14:paraId="26F65B29">
      <w:pPr>
        <w:spacing w:line="400" w:lineRule="exact"/>
        <w:ind w:firstLine="551" w:firstLineChars="196"/>
        <w:rPr>
          <w:rFonts w:hint="eastAsia" w:ascii="宋体" w:cs="宋体"/>
          <w:b/>
          <w:color w:val="000000" w:themeColor="text1"/>
          <w:kern w:val="0"/>
          <w:sz w:val="28"/>
          <w:szCs w:val="28"/>
          <w:highlight w:val="none"/>
          <w:lang w:bidi="ar-SA"/>
          <w14:textFill>
            <w14:solidFill>
              <w14:schemeClr w14:val="tx1"/>
            </w14:solidFill>
          </w14:textFill>
        </w:rPr>
      </w:pPr>
    </w:p>
    <w:p w14:paraId="762B6824">
      <w:pPr>
        <w:spacing w:line="400" w:lineRule="exact"/>
        <w:ind w:firstLine="551" w:firstLineChars="196"/>
        <w:jc w:val="both"/>
        <w:rPr>
          <w:rFonts w:hint="eastAsia" w:ascii="宋体" w:cs="宋体"/>
          <w:b/>
          <w:color w:val="000000" w:themeColor="text1"/>
          <w:kern w:val="0"/>
          <w:sz w:val="28"/>
          <w:szCs w:val="28"/>
          <w:highlight w:val="none"/>
          <w:lang w:bidi="ar-SA"/>
          <w14:textFill>
            <w14:solidFill>
              <w14:schemeClr w14:val="tx1"/>
            </w14:solidFill>
          </w14:textFill>
        </w:rPr>
      </w:pPr>
      <w:r>
        <w:rPr>
          <w:rFonts w:hint="eastAsia" w:ascii="宋体" w:cs="宋体"/>
          <w:b/>
          <w:color w:val="000000" w:themeColor="text1"/>
          <w:kern w:val="0"/>
          <w:sz w:val="28"/>
          <w:szCs w:val="28"/>
          <w:highlight w:val="none"/>
          <w:lang w:val="en-US" w:eastAsia="zh-CN" w:bidi="ar-SA"/>
          <w14:textFill>
            <w14:solidFill>
              <w14:schemeClr w14:val="tx1"/>
            </w14:solidFill>
          </w14:textFill>
        </w:rPr>
        <w:br w:type="page"/>
      </w:r>
      <w:r>
        <w:rPr>
          <w:rFonts w:hint="eastAsia" w:ascii="宋体" w:cs="宋体"/>
          <w:b/>
          <w:color w:val="000000" w:themeColor="text1"/>
          <w:kern w:val="0"/>
          <w:sz w:val="28"/>
          <w:szCs w:val="28"/>
          <w:highlight w:val="none"/>
          <w:lang w:val="en-US" w:eastAsia="zh-CN" w:bidi="ar-SA"/>
          <w14:textFill>
            <w14:solidFill>
              <w14:schemeClr w14:val="tx1"/>
            </w14:solidFill>
          </w14:textFill>
        </w:rPr>
        <w:t>5</w:t>
      </w:r>
      <w:r>
        <w:rPr>
          <w:rFonts w:hint="eastAsia" w:ascii="宋体" w:cs="宋体"/>
          <w:b/>
          <w:color w:val="000000" w:themeColor="text1"/>
          <w:kern w:val="0"/>
          <w:sz w:val="28"/>
          <w:szCs w:val="28"/>
          <w:highlight w:val="none"/>
          <w:lang w:bidi="ar-SA"/>
          <w14:textFill>
            <w14:solidFill>
              <w14:schemeClr w14:val="tx1"/>
            </w14:solidFill>
          </w14:textFill>
        </w:rPr>
        <w:t>.建设工程项目管理承诺书（必须提供）；</w:t>
      </w:r>
    </w:p>
    <w:p w14:paraId="5BB13FE1">
      <w:pPr>
        <w:spacing w:line="400" w:lineRule="exact"/>
        <w:ind w:firstLine="551" w:firstLineChars="196"/>
        <w:rPr>
          <w:rFonts w:hint="eastAsia" w:ascii="宋体" w:cs="宋体"/>
          <w:b/>
          <w:color w:val="000000" w:themeColor="text1"/>
          <w:kern w:val="0"/>
          <w:sz w:val="28"/>
          <w:szCs w:val="28"/>
          <w:highlight w:val="none"/>
          <w:lang w:bidi="ar-SA"/>
          <w14:textFill>
            <w14:solidFill>
              <w14:schemeClr w14:val="tx1"/>
            </w14:solidFill>
          </w14:textFill>
        </w:rPr>
      </w:pPr>
    </w:p>
    <w:p w14:paraId="3F0C1ED8">
      <w:pPr>
        <w:spacing w:line="480" w:lineRule="auto"/>
        <w:jc w:val="left"/>
        <w:rPr>
          <w:rFonts w:hint="eastAsia" w:ascii="宋体"/>
          <w:color w:val="000000" w:themeColor="text1"/>
          <w:highlight w:val="none"/>
          <w14:textFill>
            <w14:solidFill>
              <w14:schemeClr w14:val="tx1"/>
            </w14:solidFill>
          </w14:textFill>
        </w:rPr>
      </w:pP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u w:val="single"/>
          <w:lang w:eastAsia="zh-CN"/>
          <w14:textFill>
            <w14:solidFill>
              <w14:schemeClr w14:val="tx1"/>
            </w14:solidFill>
          </w14:textFill>
        </w:rPr>
        <w:t>兴安县农业农村局</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w:t>
      </w:r>
    </w:p>
    <w:p w14:paraId="037EEC09">
      <w:pPr>
        <w:spacing w:line="520" w:lineRule="exact"/>
        <w:ind w:firstLine="422" w:firstLineChars="201"/>
        <w:jc w:val="left"/>
        <w:rPr>
          <w:rFonts w:hint="eastAsia"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作为参与</w:t>
      </w:r>
      <w:r>
        <w:rPr>
          <w:rFonts w:hint="eastAsia" w:ascii="宋体" w:cs="宋体"/>
          <w:color w:val="000000" w:themeColor="text1"/>
          <w:szCs w:val="21"/>
          <w:highlight w:val="none"/>
          <w:u w:val="single"/>
          <w:lang w:bidi="ar-SA"/>
          <w14:textFill>
            <w14:solidFill>
              <w14:schemeClr w14:val="tx1"/>
            </w14:solidFill>
          </w14:textFill>
        </w:rPr>
        <w:t> </w:t>
      </w:r>
      <w:r>
        <w:rPr>
          <w:rFonts w:hint="eastAsia" w:ascii="宋体"/>
          <w:color w:val="000000" w:themeColor="text1"/>
          <w:highlight w:val="none"/>
          <w:u w:val="single"/>
          <w14:textFill>
            <w14:solidFill>
              <w14:schemeClr w14:val="tx1"/>
            </w14:solidFill>
          </w14:textFill>
        </w:rPr>
        <w:t>（项目名称、项目编号 ）</w:t>
      </w:r>
      <w:r>
        <w:rPr>
          <w:rFonts w:hint="eastAsia" w:ascii="宋体"/>
          <w:color w:val="000000" w:themeColor="text1"/>
          <w:highlight w:val="none"/>
          <w14:textFill>
            <w14:solidFill>
              <w14:schemeClr w14:val="tx1"/>
            </w14:solidFill>
          </w14:textFill>
        </w:rPr>
        <w:t>项目的竞标方，根据国家、自治区及桂林市相关文件规定，我方在此向采购人承诺：</w:t>
      </w:r>
    </w:p>
    <w:p w14:paraId="6A04B62F">
      <w:pPr>
        <w:spacing w:line="520" w:lineRule="exact"/>
        <w:ind w:firstLine="422" w:firstLineChars="201"/>
        <w:jc w:val="left"/>
        <w:rPr>
          <w:rFonts w:hint="eastAsia"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一旦成交，我方保证按照政府相关部门的规定，在规定时间内足额将农民工工资保障金转入农民工工资保障金专用账户。一旦我方所承包的该项目中出现拖欠农民工和工人工资情况，由建设行政主管部门或财政部门从我方农民工工资保障金中先予划支。我方在中标后如不按时、足额存入农民工工资保障金的，将被取消中标资格。</w:t>
      </w:r>
    </w:p>
    <w:p w14:paraId="4D8B008E">
      <w:pPr>
        <w:spacing w:line="520" w:lineRule="exact"/>
        <w:ind w:left="-10" w:firstLine="455" w:firstLineChars="217"/>
        <w:jc w:val="left"/>
        <w:rPr>
          <w:rFonts w:hint="eastAsia"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2.一旦成交，我方保证在施工过程中，严格执行桂建质安[2015]16号文《广西壮族自治区建筑工程安全文明施工费使用管理细则》的有关规定，确保建设工程各项安全防护、文明施工措施落实到位。如我方在该项目的承包中出现未按桂建质安[2015]16号文附件一规定执行的情形，我方愿意按照相关规定接受建设单位及有关主管部门的处罚。</w:t>
      </w:r>
    </w:p>
    <w:p w14:paraId="471807EB">
      <w:pPr>
        <w:spacing w:line="520" w:lineRule="exact"/>
        <w:ind w:left="-2" w:leftChars="-1" w:firstLine="449" w:firstLineChars="214"/>
        <w:jc w:val="left"/>
        <w:rPr>
          <w:rFonts w:hint="eastAsia"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5FD075A2">
      <w:pPr>
        <w:pStyle w:val="48"/>
        <w:spacing w:line="520" w:lineRule="exact"/>
        <w:ind w:left="-10" w:firstLine="455" w:firstLineChars="217"/>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4、一旦中标，我方保证在施工过程中，严格执行《关于禁止使用不符合规范要求的竹脚手架的通知》（</w:t>
      </w:r>
      <w:r>
        <w:rPr>
          <w:color w:val="000000" w:themeColor="text1"/>
          <w:szCs w:val="21"/>
          <w:highlight w:val="none"/>
          <w14:textFill>
            <w14:solidFill>
              <w14:schemeClr w14:val="tx1"/>
            </w14:solidFill>
          </w14:textFill>
        </w:rPr>
        <w:t>桂建</w:t>
      </w:r>
      <w:r>
        <w:rPr>
          <w:rFonts w:hint="eastAsia"/>
          <w:color w:val="000000" w:themeColor="text1"/>
          <w:szCs w:val="21"/>
          <w:highlight w:val="none"/>
          <w14:textFill>
            <w14:solidFill>
              <w14:schemeClr w14:val="tx1"/>
            </w14:solidFill>
          </w14:textFill>
        </w:rPr>
        <w:t>管字</w:t>
      </w:r>
      <w:r>
        <w:rPr>
          <w:color w:val="000000" w:themeColor="text1"/>
          <w:szCs w:val="21"/>
          <w:highlight w:val="none"/>
          <w14:textFill>
            <w14:solidFill>
              <w14:schemeClr w14:val="tx1"/>
            </w14:solidFill>
          </w14:textFill>
        </w:rPr>
        <w:t>〔200</w:t>
      </w:r>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40</w:t>
      </w:r>
      <w:r>
        <w:rPr>
          <w:color w:val="000000" w:themeColor="text1"/>
          <w:szCs w:val="21"/>
          <w:highlight w:val="none"/>
          <w14:textFill>
            <w14:solidFill>
              <w14:schemeClr w14:val="tx1"/>
            </w14:solidFill>
          </w14:textFill>
        </w:rPr>
        <w:t>号</w:t>
      </w:r>
      <w:r>
        <w:rPr>
          <w:rFonts w:hint="eastAsia"/>
          <w:color w:val="000000" w:themeColor="text1"/>
          <w:szCs w:val="21"/>
          <w:highlight w:val="none"/>
          <w14:textFill>
            <w14:solidFill>
              <w14:schemeClr w14:val="tx1"/>
            </w14:solidFill>
          </w14:textFill>
        </w:rPr>
        <w:t>）的有关规定，不使用竹脚手架。如我方在该</w:t>
      </w:r>
      <w:r>
        <w:rPr>
          <w:color w:val="000000" w:themeColor="text1"/>
          <w:szCs w:val="21"/>
          <w:highlight w:val="none"/>
          <w14:textFill>
            <w14:solidFill>
              <w14:schemeClr w14:val="tx1"/>
            </w14:solidFill>
          </w14:textFill>
        </w:rPr>
        <w:t>项目的承包中出现未按规定执行的情形，我方愿意按照相关规定接受建设单位及有关主管部门的处罚。</w:t>
      </w:r>
    </w:p>
    <w:p w14:paraId="7EE31F64">
      <w:pPr>
        <w:pStyle w:val="48"/>
        <w:spacing w:line="520" w:lineRule="exact"/>
        <w:ind w:left="-10" w:firstLine="455" w:firstLineChars="217"/>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一旦中标，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20763F55">
      <w:pPr>
        <w:spacing w:line="400" w:lineRule="exact"/>
        <w:ind w:firstLine="551" w:firstLineChars="196"/>
        <w:rPr>
          <w:rFonts w:hint="eastAsia" w:ascii="宋体" w:cs="宋体"/>
          <w:b/>
          <w:color w:val="000000" w:themeColor="text1"/>
          <w:kern w:val="0"/>
          <w:sz w:val="28"/>
          <w:szCs w:val="28"/>
          <w:highlight w:val="none"/>
          <w:lang w:bidi="ar-SA"/>
          <w14:textFill>
            <w14:solidFill>
              <w14:schemeClr w14:val="tx1"/>
            </w14:solidFill>
          </w14:textFill>
        </w:rPr>
      </w:pPr>
    </w:p>
    <w:p w14:paraId="4C5D5AEE">
      <w:pPr>
        <w:spacing w:line="400" w:lineRule="exact"/>
        <w:ind w:firstLine="551" w:firstLineChars="196"/>
        <w:rPr>
          <w:rFonts w:hint="eastAsia" w:ascii="宋体" w:cs="宋体"/>
          <w:b/>
          <w:color w:val="000000" w:themeColor="text1"/>
          <w:kern w:val="0"/>
          <w:sz w:val="28"/>
          <w:szCs w:val="28"/>
          <w:highlight w:val="none"/>
          <w:lang w:bidi="ar-SA"/>
          <w14:textFill>
            <w14:solidFill>
              <w14:schemeClr w14:val="tx1"/>
            </w14:solidFill>
          </w14:textFill>
        </w:rPr>
      </w:pPr>
    </w:p>
    <w:p w14:paraId="0AD4187C">
      <w:pPr>
        <w:spacing w:line="400" w:lineRule="exact"/>
        <w:ind w:firstLine="551" w:firstLineChars="196"/>
        <w:rPr>
          <w:rFonts w:hint="eastAsia" w:ascii="宋体" w:cs="宋体"/>
          <w:b/>
          <w:color w:val="000000" w:themeColor="text1"/>
          <w:kern w:val="0"/>
          <w:sz w:val="28"/>
          <w:szCs w:val="28"/>
          <w:highlight w:val="none"/>
          <w:lang w:bidi="ar-SA"/>
          <w14:textFill>
            <w14:solidFill>
              <w14:schemeClr w14:val="tx1"/>
            </w14:solidFill>
          </w14:textFill>
        </w:rPr>
      </w:pPr>
    </w:p>
    <w:p w14:paraId="572C0CDD">
      <w:pPr>
        <w:keepNext w:val="0"/>
        <w:keepLines w:val="0"/>
        <w:pageBreakBefore w:val="0"/>
        <w:widowControl w:val="0"/>
        <w:kinsoku/>
        <w:wordWrap/>
        <w:overflowPunct/>
        <w:topLinePunct w:val="0"/>
        <w:autoSpaceDE/>
        <w:autoSpaceDN/>
        <w:bidi w:val="0"/>
        <w:adjustRightInd/>
        <w:snapToGrid w:val="0"/>
        <w:spacing w:line="360" w:lineRule="auto"/>
        <w:ind w:firstLine="1890" w:firstLineChars="9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磋商供应商</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公章</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，自然人</w:t>
      </w:r>
      <w:r>
        <w:rPr>
          <w:rFonts w:hint="eastAsia" w:ascii="宋体" w:hAnsi="宋体" w:eastAsia="宋体" w:cs="宋体"/>
          <w:color w:val="000000" w:themeColor="text1"/>
          <w:szCs w:val="21"/>
          <w:highlight w:val="none"/>
          <w:lang w:eastAsia="zh-CN"/>
          <w14:textFill>
            <w14:solidFill>
              <w14:schemeClr w14:val="tx1"/>
            </w14:solidFill>
          </w14:textFill>
        </w:rPr>
        <w:t>签字或个人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xml:space="preserve">               </w:t>
      </w:r>
    </w:p>
    <w:p w14:paraId="2A937F55">
      <w:pPr>
        <w:keepNext w:val="0"/>
        <w:keepLines w:val="0"/>
        <w:pageBreakBefore w:val="0"/>
        <w:widowControl w:val="0"/>
        <w:kinsoku/>
        <w:wordWrap/>
        <w:overflowPunct/>
        <w:topLinePunct w:val="0"/>
        <w:autoSpaceDE/>
        <w:autoSpaceDN/>
        <w:bidi w:val="0"/>
        <w:adjustRightInd/>
        <w:snapToGrid w:val="0"/>
        <w:spacing w:line="360" w:lineRule="auto"/>
        <w:ind w:firstLine="1890" w:firstLineChars="9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日</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期：</w:t>
      </w:r>
      <w:r>
        <w:rPr>
          <w:rFonts w:hint="eastAsia" w:ascii="宋体" w:hAnsi="宋体" w:eastAsia="宋体" w:cs="宋体"/>
          <w:color w:val="000000" w:themeColor="text1"/>
          <w:highlight w:val="none"/>
          <w:u w:val="single"/>
          <w14:textFill>
            <w14:solidFill>
              <w14:schemeClr w14:val="tx1"/>
            </w14:solidFill>
          </w14:textFill>
        </w:rPr>
        <w:t xml:space="preserve">                            </w:t>
      </w:r>
    </w:p>
    <w:p w14:paraId="0AC5095F">
      <w:pPr>
        <w:pStyle w:val="48"/>
        <w:spacing w:line="360" w:lineRule="auto"/>
        <w:jc w:val="center"/>
        <w:rPr>
          <w:color w:val="000000" w:themeColor="text1"/>
          <w:szCs w:val="21"/>
          <w:highlight w:val="none"/>
          <w14:textFill>
            <w14:solidFill>
              <w14:schemeClr w14:val="tx1"/>
            </w14:solidFill>
          </w14:textFill>
        </w:rPr>
      </w:pPr>
      <w:r>
        <w:rPr>
          <w:rFonts w:hint="eastAsia" w:cs="宋体"/>
          <w:b/>
          <w:bCs/>
          <w:color w:val="000000" w:themeColor="text1"/>
          <w:sz w:val="28"/>
          <w:szCs w:val="28"/>
          <w:highlight w:val="none"/>
          <w:lang w:bidi="ar-SA"/>
          <w14:textFill>
            <w14:solidFill>
              <w14:schemeClr w14:val="tx1"/>
            </w14:solidFill>
          </w14:textFill>
        </w:rPr>
        <w:br w:type="page"/>
      </w:r>
      <w:r>
        <w:rPr>
          <w:rFonts w:hint="eastAsia" w:cs="宋体"/>
          <w:b/>
          <w:bCs/>
          <w:color w:val="000000" w:themeColor="text1"/>
          <w:sz w:val="28"/>
          <w:szCs w:val="28"/>
          <w:highlight w:val="none"/>
          <w:lang w:bidi="ar-SA"/>
          <w14:textFill>
            <w14:solidFill>
              <w14:schemeClr w14:val="tx1"/>
            </w14:solidFill>
          </w14:textFill>
        </w:rPr>
        <w:t>广西壮族自治区建筑工程安全文明施工措施项目清单内容</w:t>
      </w:r>
    </w:p>
    <w:p w14:paraId="15F98AE5">
      <w:pPr>
        <w:pStyle w:val="48"/>
        <w:spacing w:line="360" w:lineRule="auto"/>
        <w:ind w:firstLine="600" w:firstLineChars="250"/>
        <w:jc w:val="center"/>
        <w:rPr>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bidi="ar-SA"/>
          <w14:textFill>
            <w14:solidFill>
              <w14:schemeClr w14:val="tx1"/>
            </w14:solidFill>
          </w14:textFill>
        </w:rPr>
        <w:t>（桂建质〔</w:t>
      </w:r>
      <w:r>
        <w:rPr>
          <w:color w:val="000000" w:themeColor="text1"/>
          <w:sz w:val="24"/>
          <w:szCs w:val="24"/>
          <w:highlight w:val="none"/>
          <w14:textFill>
            <w14:solidFill>
              <w14:schemeClr w14:val="tx1"/>
            </w14:solidFill>
          </w14:textFill>
        </w:rPr>
        <w:t>2015</w:t>
      </w:r>
      <w:r>
        <w:rPr>
          <w:rFonts w:hint="eastAsia" w:cs="宋体"/>
          <w:color w:val="000000" w:themeColor="text1"/>
          <w:sz w:val="24"/>
          <w:szCs w:val="24"/>
          <w:highlight w:val="none"/>
          <w:lang w:bidi="ar-SA"/>
          <w14:textFill>
            <w14:solidFill>
              <w14:schemeClr w14:val="tx1"/>
            </w14:solidFill>
          </w14:textFill>
        </w:rPr>
        <w:t>〕</w:t>
      </w:r>
      <w:r>
        <w:rPr>
          <w:color w:val="000000" w:themeColor="text1"/>
          <w:sz w:val="24"/>
          <w:szCs w:val="24"/>
          <w:highlight w:val="none"/>
          <w14:textFill>
            <w14:solidFill>
              <w14:schemeClr w14:val="tx1"/>
            </w14:solidFill>
          </w14:textFill>
        </w:rPr>
        <w:t>16</w:t>
      </w:r>
      <w:r>
        <w:rPr>
          <w:rFonts w:hint="eastAsia" w:cs="宋体"/>
          <w:color w:val="000000" w:themeColor="text1"/>
          <w:sz w:val="24"/>
          <w:szCs w:val="24"/>
          <w:highlight w:val="none"/>
          <w:lang w:bidi="ar-SA"/>
          <w14:textFill>
            <w14:solidFill>
              <w14:schemeClr w14:val="tx1"/>
            </w14:solidFill>
          </w14:textFill>
        </w:rPr>
        <w:t>号文附件一）</w:t>
      </w:r>
    </w:p>
    <w:p w14:paraId="1A4BFCF9">
      <w:pPr>
        <w:pStyle w:val="48"/>
        <w:spacing w:line="240" w:lineRule="atLeast"/>
        <w:jc w:val="center"/>
        <w:rPr>
          <w:rFonts w:hint="eastAsia" w:ascii="宋体"/>
          <w:b/>
          <w:bCs/>
          <w:color w:val="000000" w:themeColor="text1"/>
          <w:sz w:val="24"/>
          <w:szCs w:val="24"/>
          <w:highlight w:val="none"/>
          <w14:textFill>
            <w14:solidFill>
              <w14:schemeClr w14:val="tx1"/>
            </w14:solidFill>
          </w14:textFill>
        </w:rPr>
      </w:pPr>
      <w:r>
        <w:rPr>
          <w:rFonts w:hint="eastAsia" w:ascii="宋体" w:cs="宋体"/>
          <w:b/>
          <w:bCs/>
          <w:color w:val="000000" w:themeColor="text1"/>
          <w:sz w:val="24"/>
          <w:szCs w:val="24"/>
          <w:highlight w:val="none"/>
          <w:lang w:bidi="ar-SA"/>
          <w14:textFill>
            <w14:solidFill>
              <w14:schemeClr w14:val="tx1"/>
            </w14:solidFill>
          </w14:textFill>
        </w:rPr>
        <w:t>广西壮族自治区</w:t>
      </w:r>
    </w:p>
    <w:p w14:paraId="0E833B41">
      <w:pPr>
        <w:pStyle w:val="48"/>
        <w:spacing w:line="240" w:lineRule="atLeast"/>
        <w:ind w:firstLine="546"/>
        <w:jc w:val="center"/>
        <w:rPr>
          <w:b/>
          <w:bCs/>
          <w:color w:val="000000" w:themeColor="text1"/>
          <w:w w:val="90"/>
          <w:sz w:val="24"/>
          <w:szCs w:val="24"/>
          <w:highlight w:val="none"/>
          <w14:textFill>
            <w14:solidFill>
              <w14:schemeClr w14:val="tx1"/>
            </w14:solidFill>
          </w14:textFill>
        </w:rPr>
      </w:pPr>
      <w:r>
        <w:rPr>
          <w:rFonts w:hint="eastAsia" w:cs="宋体"/>
          <w:b/>
          <w:bCs/>
          <w:color w:val="000000" w:themeColor="text1"/>
          <w:w w:val="90"/>
          <w:sz w:val="24"/>
          <w:szCs w:val="24"/>
          <w:highlight w:val="none"/>
          <w:lang w:bidi="ar-SA"/>
          <w14:textFill>
            <w14:solidFill>
              <w14:schemeClr w14:val="tx1"/>
            </w14:solidFill>
          </w14:textFill>
        </w:rPr>
        <w:t>建设工程安全文明施工措施项目清单内容</w:t>
      </w:r>
    </w:p>
    <w:p w14:paraId="53243B15">
      <w:pPr>
        <w:pStyle w:val="48"/>
        <w:spacing w:line="240" w:lineRule="atLeast"/>
        <w:ind w:firstLine="546"/>
        <w:jc w:val="center"/>
        <w:rPr>
          <w:b/>
          <w:bCs/>
          <w:color w:val="000000" w:themeColor="text1"/>
          <w:w w:val="90"/>
          <w:sz w:val="24"/>
          <w:szCs w:val="24"/>
          <w:highlight w:val="none"/>
          <w14:textFill>
            <w14:solidFill>
              <w14:schemeClr w14:val="tx1"/>
            </w14:solidFill>
          </w14:textFill>
        </w:rPr>
      </w:pPr>
    </w:p>
    <w:tbl>
      <w:tblPr>
        <w:tblStyle w:val="20"/>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14:paraId="473D6E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738" w:type="dxa"/>
            <w:tcBorders>
              <w:top w:val="single" w:color="auto" w:sz="12" w:space="0"/>
            </w:tcBorders>
            <w:noWrap w:val="0"/>
            <w:vAlign w:val="center"/>
          </w:tcPr>
          <w:p w14:paraId="65C232A6">
            <w:pPr>
              <w:pStyle w:val="48"/>
              <w:spacing w:line="300" w:lineRule="exact"/>
              <w:jc w:val="center"/>
              <w:rPr>
                <w:rFonts w:hint="eastAsia" w:ascii="方正仿宋_GBK" w:eastAsia="方正仿宋_GBK"/>
                <w:b/>
                <w:bCs/>
                <w:color w:val="000000" w:themeColor="text1"/>
                <w:szCs w:val="21"/>
                <w:highlight w:val="none"/>
                <w14:textFill>
                  <w14:solidFill>
                    <w14:schemeClr w14:val="tx1"/>
                  </w14:solidFill>
                </w14:textFill>
              </w:rPr>
            </w:pPr>
            <w:r>
              <w:rPr>
                <w:rFonts w:hint="eastAsia" w:ascii="方正仿宋_GBK" w:eastAsia="方正仿宋_GBK" w:cs="方正仿宋_GBK"/>
                <w:b/>
                <w:bCs/>
                <w:color w:val="000000" w:themeColor="text1"/>
                <w:szCs w:val="21"/>
                <w:highlight w:val="none"/>
                <w:lang w:bidi="ar-SA"/>
                <w14:textFill>
                  <w14:solidFill>
                    <w14:schemeClr w14:val="tx1"/>
                  </w14:solidFill>
                </w14:textFill>
              </w:rPr>
              <w:t>类别</w:t>
            </w:r>
          </w:p>
        </w:tc>
        <w:tc>
          <w:tcPr>
            <w:tcW w:w="2070" w:type="dxa"/>
            <w:gridSpan w:val="2"/>
            <w:tcBorders>
              <w:top w:val="single" w:color="auto" w:sz="12" w:space="0"/>
            </w:tcBorders>
            <w:noWrap w:val="0"/>
            <w:vAlign w:val="center"/>
          </w:tcPr>
          <w:p w14:paraId="265A85B0">
            <w:pPr>
              <w:pStyle w:val="48"/>
              <w:spacing w:line="300" w:lineRule="exact"/>
              <w:jc w:val="center"/>
              <w:rPr>
                <w:rFonts w:hint="eastAsia" w:ascii="方正仿宋_GBK" w:eastAsia="方正仿宋_GBK"/>
                <w:b/>
                <w:bCs/>
                <w:color w:val="000000" w:themeColor="text1"/>
                <w:szCs w:val="21"/>
                <w:highlight w:val="none"/>
                <w14:textFill>
                  <w14:solidFill>
                    <w14:schemeClr w14:val="tx1"/>
                  </w14:solidFill>
                </w14:textFill>
              </w:rPr>
            </w:pPr>
            <w:r>
              <w:rPr>
                <w:rFonts w:hint="eastAsia" w:ascii="方正仿宋_GBK" w:eastAsia="方正仿宋_GBK" w:cs="方正仿宋_GBK"/>
                <w:b/>
                <w:bCs/>
                <w:color w:val="000000" w:themeColor="text1"/>
                <w:szCs w:val="21"/>
                <w:highlight w:val="none"/>
                <w:lang w:bidi="ar-SA"/>
                <w14:textFill>
                  <w14:solidFill>
                    <w14:schemeClr w14:val="tx1"/>
                  </w14:solidFill>
                </w14:textFill>
              </w:rPr>
              <w:t>项目名称</w:t>
            </w:r>
          </w:p>
        </w:tc>
        <w:tc>
          <w:tcPr>
            <w:tcW w:w="6645" w:type="dxa"/>
            <w:tcBorders>
              <w:top w:val="single" w:color="auto" w:sz="12" w:space="0"/>
            </w:tcBorders>
            <w:noWrap w:val="0"/>
            <w:vAlign w:val="center"/>
          </w:tcPr>
          <w:p w14:paraId="5C7BBF93">
            <w:pPr>
              <w:pStyle w:val="48"/>
              <w:spacing w:line="300" w:lineRule="exact"/>
              <w:jc w:val="center"/>
              <w:rPr>
                <w:rFonts w:hint="eastAsia" w:ascii="方正仿宋_GBK" w:eastAsia="方正仿宋_GBK"/>
                <w:b/>
                <w:bCs/>
                <w:color w:val="000000" w:themeColor="text1"/>
                <w:szCs w:val="21"/>
                <w:highlight w:val="none"/>
                <w14:textFill>
                  <w14:solidFill>
                    <w14:schemeClr w14:val="tx1"/>
                  </w14:solidFill>
                </w14:textFill>
              </w:rPr>
            </w:pPr>
            <w:r>
              <w:rPr>
                <w:rFonts w:hint="eastAsia" w:ascii="方正仿宋_GBK" w:eastAsia="方正仿宋_GBK" w:cs="方正仿宋_GBK"/>
                <w:b/>
                <w:bCs/>
                <w:color w:val="000000" w:themeColor="text1"/>
                <w:szCs w:val="21"/>
                <w:highlight w:val="none"/>
                <w:lang w:bidi="ar-SA"/>
                <w14:textFill>
                  <w14:solidFill>
                    <w14:schemeClr w14:val="tx1"/>
                  </w14:solidFill>
                </w14:textFill>
              </w:rPr>
              <w:t>主要内容和要求</w:t>
            </w:r>
          </w:p>
        </w:tc>
      </w:tr>
      <w:tr w14:paraId="1F74B0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5C1CDE2D">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文明</w:t>
            </w:r>
          </w:p>
          <w:p w14:paraId="124D0676">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施工</w:t>
            </w:r>
          </w:p>
          <w:p w14:paraId="072505F0">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与</w:t>
            </w:r>
          </w:p>
          <w:p w14:paraId="4A74B23E">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环境</w:t>
            </w:r>
          </w:p>
          <w:p w14:paraId="6982DA67">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保护</w:t>
            </w:r>
          </w:p>
        </w:tc>
        <w:tc>
          <w:tcPr>
            <w:tcW w:w="2070" w:type="dxa"/>
            <w:gridSpan w:val="2"/>
            <w:noWrap w:val="0"/>
            <w:vAlign w:val="center"/>
          </w:tcPr>
          <w:p w14:paraId="24C67380">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安全警示</w:t>
            </w:r>
          </w:p>
          <w:p w14:paraId="68DA2FC2">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标志牌</w:t>
            </w:r>
          </w:p>
        </w:tc>
        <w:tc>
          <w:tcPr>
            <w:tcW w:w="6645" w:type="dxa"/>
            <w:noWrap w:val="0"/>
            <w:vAlign w:val="center"/>
          </w:tcPr>
          <w:p w14:paraId="3C5CCD93">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在易发伤亡事故（或危险）处设置明显的、符合国家标准要求的安全警示标志牌。</w:t>
            </w:r>
          </w:p>
        </w:tc>
      </w:tr>
      <w:tr w14:paraId="311458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6EABAF7">
            <w:pPr>
              <w:rPr>
                <w:color w:val="000000" w:themeColor="text1"/>
                <w:highlight w:val="none"/>
                <w14:textFill>
                  <w14:solidFill>
                    <w14:schemeClr w14:val="tx1"/>
                  </w14:solidFill>
                </w14:textFill>
              </w:rPr>
            </w:pPr>
          </w:p>
        </w:tc>
        <w:tc>
          <w:tcPr>
            <w:tcW w:w="2070" w:type="dxa"/>
            <w:gridSpan w:val="2"/>
            <w:noWrap w:val="0"/>
            <w:vAlign w:val="center"/>
          </w:tcPr>
          <w:p w14:paraId="0E2F79DE">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现场围挡</w:t>
            </w:r>
          </w:p>
        </w:tc>
        <w:tc>
          <w:tcPr>
            <w:tcW w:w="6645" w:type="dxa"/>
            <w:noWrap w:val="0"/>
            <w:vAlign w:val="center"/>
          </w:tcPr>
          <w:p w14:paraId="77AE02D6">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1. 现场采用封闭围挡，高度不小于1.8m。</w:t>
            </w:r>
          </w:p>
          <w:p w14:paraId="188FCF30">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2. 围挡材料可用彩色、定型钢板，砌块等墙体。</w:t>
            </w:r>
          </w:p>
        </w:tc>
      </w:tr>
      <w:tr w14:paraId="1A9601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5CEF16AA">
            <w:pPr>
              <w:rPr>
                <w:color w:val="000000" w:themeColor="text1"/>
                <w:highlight w:val="none"/>
                <w14:textFill>
                  <w14:solidFill>
                    <w14:schemeClr w14:val="tx1"/>
                  </w14:solidFill>
                </w14:textFill>
              </w:rPr>
            </w:pPr>
          </w:p>
        </w:tc>
        <w:tc>
          <w:tcPr>
            <w:tcW w:w="2070" w:type="dxa"/>
            <w:gridSpan w:val="2"/>
            <w:noWrap w:val="0"/>
            <w:vAlign w:val="center"/>
          </w:tcPr>
          <w:p w14:paraId="32FB271D">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七牌二图</w:t>
            </w:r>
          </w:p>
        </w:tc>
        <w:tc>
          <w:tcPr>
            <w:tcW w:w="6645" w:type="dxa"/>
            <w:noWrap w:val="0"/>
            <w:vAlign w:val="center"/>
          </w:tcPr>
          <w:p w14:paraId="57F64D98">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在进门处悬挂工程概况、现场出入制度、管理人员名单及监督电话、安全生产规定、文明施工、消防保卫、节能公示等七牌以及施工现场总平面图、工程效果图。</w:t>
            </w:r>
          </w:p>
        </w:tc>
      </w:tr>
      <w:tr w14:paraId="4CF455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noWrap w:val="0"/>
            <w:vAlign w:val="center"/>
          </w:tcPr>
          <w:p w14:paraId="1C160F4B">
            <w:pPr>
              <w:rPr>
                <w:color w:val="000000" w:themeColor="text1"/>
                <w:highlight w:val="none"/>
                <w14:textFill>
                  <w14:solidFill>
                    <w14:schemeClr w14:val="tx1"/>
                  </w14:solidFill>
                </w14:textFill>
              </w:rPr>
            </w:pPr>
          </w:p>
        </w:tc>
        <w:tc>
          <w:tcPr>
            <w:tcW w:w="2070" w:type="dxa"/>
            <w:gridSpan w:val="2"/>
            <w:noWrap w:val="0"/>
            <w:vAlign w:val="center"/>
          </w:tcPr>
          <w:p w14:paraId="6B64C299">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企业标志</w:t>
            </w:r>
          </w:p>
        </w:tc>
        <w:tc>
          <w:tcPr>
            <w:tcW w:w="6645" w:type="dxa"/>
            <w:noWrap w:val="0"/>
            <w:vAlign w:val="center"/>
          </w:tcPr>
          <w:p w14:paraId="3E262BC5">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现场出入的大门应设有本企业标志或企业标识。</w:t>
            </w:r>
          </w:p>
        </w:tc>
      </w:tr>
      <w:tr w14:paraId="2E6128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8AF1C54">
            <w:pPr>
              <w:rPr>
                <w:color w:val="000000" w:themeColor="text1"/>
                <w:highlight w:val="none"/>
                <w14:textFill>
                  <w14:solidFill>
                    <w14:schemeClr w14:val="tx1"/>
                  </w14:solidFill>
                </w14:textFill>
              </w:rPr>
            </w:pPr>
          </w:p>
        </w:tc>
        <w:tc>
          <w:tcPr>
            <w:tcW w:w="2070" w:type="dxa"/>
            <w:gridSpan w:val="2"/>
            <w:noWrap w:val="0"/>
            <w:vAlign w:val="center"/>
          </w:tcPr>
          <w:p w14:paraId="2446DF2D">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场容场貌</w:t>
            </w:r>
          </w:p>
        </w:tc>
        <w:tc>
          <w:tcPr>
            <w:tcW w:w="6645" w:type="dxa"/>
            <w:noWrap w:val="0"/>
            <w:vAlign w:val="center"/>
          </w:tcPr>
          <w:p w14:paraId="4C585D64">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1. 道路畅通。</w:t>
            </w:r>
          </w:p>
          <w:p w14:paraId="1A5411CE">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2. 排水设施齐全畅通。</w:t>
            </w:r>
          </w:p>
          <w:p w14:paraId="3F4070B5">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3. 工地地面硬化处理（办公区、生活区、现场道路、材料堆放、混凝土搅拌、砂浆搅拌、钢筋加工等场地和外脚手架基础等）。</w:t>
            </w:r>
          </w:p>
        </w:tc>
      </w:tr>
      <w:tr w14:paraId="5632FC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0663402">
            <w:pPr>
              <w:rPr>
                <w:color w:val="000000" w:themeColor="text1"/>
                <w:highlight w:val="none"/>
                <w14:textFill>
                  <w14:solidFill>
                    <w14:schemeClr w14:val="tx1"/>
                  </w14:solidFill>
                </w14:textFill>
              </w:rPr>
            </w:pPr>
          </w:p>
        </w:tc>
        <w:tc>
          <w:tcPr>
            <w:tcW w:w="2070" w:type="dxa"/>
            <w:gridSpan w:val="2"/>
            <w:noWrap w:val="0"/>
            <w:vAlign w:val="center"/>
          </w:tcPr>
          <w:p w14:paraId="76E09055">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材料堆放</w:t>
            </w:r>
          </w:p>
        </w:tc>
        <w:tc>
          <w:tcPr>
            <w:tcW w:w="6645" w:type="dxa"/>
            <w:noWrap w:val="0"/>
            <w:vAlign w:val="center"/>
          </w:tcPr>
          <w:p w14:paraId="2B3E4FC9">
            <w:pPr>
              <w:pStyle w:val="48"/>
              <w:numPr>
                <w:ilvl w:val="0"/>
                <w:numId w:val="9"/>
              </w:numPr>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材料、构件、料具等堆放时，应有名称、品种、规格等标牌。</w:t>
            </w:r>
          </w:p>
          <w:p w14:paraId="01AE39F9">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2. 水泥和其它易飞扬细颗粒建筑材料应封闭存放或采取覆盖等措施。</w:t>
            </w:r>
          </w:p>
          <w:p w14:paraId="21FFD368">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3. 易燃、易爆和有毒有害物品分类存放。</w:t>
            </w:r>
          </w:p>
        </w:tc>
      </w:tr>
      <w:tr w14:paraId="384E3D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0E37B63F">
            <w:pPr>
              <w:rPr>
                <w:color w:val="000000" w:themeColor="text1"/>
                <w:highlight w:val="none"/>
                <w14:textFill>
                  <w14:solidFill>
                    <w14:schemeClr w14:val="tx1"/>
                  </w14:solidFill>
                </w14:textFill>
              </w:rPr>
            </w:pPr>
          </w:p>
        </w:tc>
        <w:tc>
          <w:tcPr>
            <w:tcW w:w="2070" w:type="dxa"/>
            <w:gridSpan w:val="2"/>
            <w:noWrap w:val="0"/>
            <w:vAlign w:val="center"/>
          </w:tcPr>
          <w:p w14:paraId="2D3D3CE0">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现场防火</w:t>
            </w:r>
          </w:p>
        </w:tc>
        <w:tc>
          <w:tcPr>
            <w:tcW w:w="6645" w:type="dxa"/>
            <w:noWrap w:val="0"/>
            <w:vAlign w:val="center"/>
          </w:tcPr>
          <w:p w14:paraId="6DE375F8">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消防器材配置合理，符合消防要求。</w:t>
            </w:r>
          </w:p>
        </w:tc>
      </w:tr>
      <w:tr w14:paraId="7A9D5B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372772B">
            <w:pPr>
              <w:rPr>
                <w:color w:val="000000" w:themeColor="text1"/>
                <w:highlight w:val="none"/>
                <w14:textFill>
                  <w14:solidFill>
                    <w14:schemeClr w14:val="tx1"/>
                  </w14:solidFill>
                </w14:textFill>
              </w:rPr>
            </w:pPr>
          </w:p>
        </w:tc>
        <w:tc>
          <w:tcPr>
            <w:tcW w:w="2070" w:type="dxa"/>
            <w:gridSpan w:val="2"/>
            <w:noWrap w:val="0"/>
            <w:vAlign w:val="center"/>
          </w:tcPr>
          <w:p w14:paraId="1FFC7AFB">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垃圾清运</w:t>
            </w:r>
          </w:p>
        </w:tc>
        <w:tc>
          <w:tcPr>
            <w:tcW w:w="6645" w:type="dxa"/>
            <w:noWrap w:val="0"/>
            <w:vAlign w:val="center"/>
          </w:tcPr>
          <w:p w14:paraId="5BBC4CE0">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1. 施工现场应设置密闭式垃圾站，施工垃圾、生活垃圾应分类存放。</w:t>
            </w:r>
          </w:p>
          <w:p w14:paraId="05F62593">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2. 施工垃圾必须采用相应容器或管道运输。</w:t>
            </w:r>
          </w:p>
        </w:tc>
      </w:tr>
      <w:tr w14:paraId="35E5E4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8CA97E7">
            <w:pPr>
              <w:rPr>
                <w:color w:val="000000" w:themeColor="text1"/>
                <w:highlight w:val="none"/>
                <w14:textFill>
                  <w14:solidFill>
                    <w14:schemeClr w14:val="tx1"/>
                  </w14:solidFill>
                </w14:textFill>
              </w:rPr>
            </w:pPr>
          </w:p>
        </w:tc>
        <w:tc>
          <w:tcPr>
            <w:tcW w:w="2070" w:type="dxa"/>
            <w:gridSpan w:val="2"/>
            <w:noWrap w:val="0"/>
            <w:vAlign w:val="center"/>
          </w:tcPr>
          <w:p w14:paraId="423A6E4C">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宣传栏、环保及不扰民措施</w:t>
            </w:r>
          </w:p>
        </w:tc>
        <w:tc>
          <w:tcPr>
            <w:tcW w:w="6645" w:type="dxa"/>
            <w:noWrap w:val="0"/>
            <w:vAlign w:val="center"/>
          </w:tcPr>
          <w:p w14:paraId="455325CE">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宣传栏、安全宣传标语等，洗车（防止污染市区道路）、粉尘、噪声控制和排污（污水、废气）措施等。</w:t>
            </w:r>
          </w:p>
        </w:tc>
      </w:tr>
      <w:tr w14:paraId="2D7C88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62855796">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临时设施</w:t>
            </w:r>
          </w:p>
        </w:tc>
        <w:tc>
          <w:tcPr>
            <w:tcW w:w="2070" w:type="dxa"/>
            <w:gridSpan w:val="2"/>
            <w:noWrap w:val="0"/>
            <w:vAlign w:val="center"/>
          </w:tcPr>
          <w:p w14:paraId="4821A8D9">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现场办公</w:t>
            </w:r>
          </w:p>
          <w:p w14:paraId="5257CC22">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生活设施</w:t>
            </w:r>
          </w:p>
        </w:tc>
        <w:tc>
          <w:tcPr>
            <w:tcW w:w="6645" w:type="dxa"/>
            <w:noWrap w:val="0"/>
            <w:vAlign w:val="center"/>
          </w:tcPr>
          <w:p w14:paraId="42EFF08C">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1. 施工现场办公、生活区与作业区分开设置，保持安全距离。</w:t>
            </w:r>
          </w:p>
          <w:p w14:paraId="10F33790">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2. 工地办公室、现场宿舍、食堂、厕所、饮水、沐浴、休息场所等符合卫生、消防安全要求。</w:t>
            </w:r>
          </w:p>
        </w:tc>
      </w:tr>
      <w:tr w14:paraId="3E9A74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A125044">
            <w:pPr>
              <w:rPr>
                <w:color w:val="000000" w:themeColor="text1"/>
                <w:highlight w:val="none"/>
                <w14:textFill>
                  <w14:solidFill>
                    <w14:schemeClr w14:val="tx1"/>
                  </w14:solidFill>
                </w14:textFill>
              </w:rPr>
            </w:pPr>
          </w:p>
        </w:tc>
        <w:tc>
          <w:tcPr>
            <w:tcW w:w="525" w:type="dxa"/>
            <w:vMerge w:val="restart"/>
            <w:noWrap w:val="0"/>
            <w:vAlign w:val="center"/>
          </w:tcPr>
          <w:p w14:paraId="740D35D7">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施工现场</w:t>
            </w:r>
          </w:p>
          <w:p w14:paraId="3D2FD364">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临时用电</w:t>
            </w:r>
          </w:p>
        </w:tc>
        <w:tc>
          <w:tcPr>
            <w:tcW w:w="1545" w:type="dxa"/>
            <w:noWrap w:val="0"/>
            <w:vAlign w:val="center"/>
          </w:tcPr>
          <w:p w14:paraId="4A5AA2EE">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配电线路</w:t>
            </w:r>
          </w:p>
        </w:tc>
        <w:tc>
          <w:tcPr>
            <w:tcW w:w="6645" w:type="dxa"/>
            <w:noWrap w:val="0"/>
            <w:vAlign w:val="center"/>
          </w:tcPr>
          <w:p w14:paraId="01EF7CCF">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1. 按照TN-S系统要求配备五芯电缆、四芯电缆和三芯电缆。</w:t>
            </w:r>
          </w:p>
          <w:p w14:paraId="38DEB1F8">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2. 按要求架设临时用电线路的电杆、横担、瓷夹、瓷瓶等，或电缆埋地的地沟。</w:t>
            </w:r>
          </w:p>
          <w:p w14:paraId="1D5EDAD1">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3. 对靠近施工现场的外电线路，设置木质、塑料等绝缘体的防护设施。</w:t>
            </w:r>
          </w:p>
        </w:tc>
      </w:tr>
      <w:tr w14:paraId="64163D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50ECF03E">
            <w:pPr>
              <w:rPr>
                <w:color w:val="000000" w:themeColor="text1"/>
                <w:highlight w:val="none"/>
                <w14:textFill>
                  <w14:solidFill>
                    <w14:schemeClr w14:val="tx1"/>
                  </w14:solidFill>
                </w14:textFill>
              </w:rPr>
            </w:pPr>
          </w:p>
        </w:tc>
        <w:tc>
          <w:tcPr>
            <w:tcW w:w="525" w:type="dxa"/>
            <w:vMerge w:val="continue"/>
            <w:noWrap w:val="0"/>
            <w:vAlign w:val="center"/>
          </w:tcPr>
          <w:p w14:paraId="28CC121A">
            <w:pPr>
              <w:rPr>
                <w:color w:val="000000" w:themeColor="text1"/>
                <w:highlight w:val="none"/>
                <w14:textFill>
                  <w14:solidFill>
                    <w14:schemeClr w14:val="tx1"/>
                  </w14:solidFill>
                </w14:textFill>
              </w:rPr>
            </w:pPr>
          </w:p>
        </w:tc>
        <w:tc>
          <w:tcPr>
            <w:tcW w:w="1545" w:type="dxa"/>
            <w:noWrap w:val="0"/>
            <w:vAlign w:val="center"/>
          </w:tcPr>
          <w:p w14:paraId="4B6F0AD6">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配电箱</w:t>
            </w:r>
          </w:p>
          <w:p w14:paraId="1973AA66">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开关箱</w:t>
            </w:r>
          </w:p>
        </w:tc>
        <w:tc>
          <w:tcPr>
            <w:tcW w:w="6645" w:type="dxa"/>
            <w:noWrap w:val="0"/>
            <w:vAlign w:val="center"/>
          </w:tcPr>
          <w:p w14:paraId="0EF12142">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1. 按三级配电要求，配备总配电箱、分配电箱、开关箱三类（铁质）标准电箱，开关箱应符合“一机、一箱、一闸、一漏”，三类电箱中的各类电器应是合格品。</w:t>
            </w:r>
          </w:p>
          <w:p w14:paraId="68E6236B">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2. 按两级保护的要求，选取符合容量要求和质量合格的总配电箱和开关箱中的漏电保护器。</w:t>
            </w:r>
          </w:p>
          <w:p w14:paraId="5BBF4094">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3. 对大型、落地式分配电箱、开关箱设置防护棚和通透式围挡。</w:t>
            </w:r>
          </w:p>
        </w:tc>
      </w:tr>
      <w:tr w14:paraId="418A5E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38" w:type="dxa"/>
            <w:vMerge w:val="continue"/>
            <w:noWrap w:val="0"/>
            <w:vAlign w:val="center"/>
          </w:tcPr>
          <w:p w14:paraId="36C52EB3">
            <w:pPr>
              <w:rPr>
                <w:color w:val="000000" w:themeColor="text1"/>
                <w:highlight w:val="none"/>
                <w14:textFill>
                  <w14:solidFill>
                    <w14:schemeClr w14:val="tx1"/>
                  </w14:solidFill>
                </w14:textFill>
              </w:rPr>
            </w:pPr>
          </w:p>
        </w:tc>
        <w:tc>
          <w:tcPr>
            <w:tcW w:w="525" w:type="dxa"/>
            <w:vMerge w:val="continue"/>
            <w:noWrap w:val="0"/>
            <w:vAlign w:val="center"/>
          </w:tcPr>
          <w:p w14:paraId="5539AC3C">
            <w:pPr>
              <w:rPr>
                <w:color w:val="000000" w:themeColor="text1"/>
                <w:highlight w:val="none"/>
                <w14:textFill>
                  <w14:solidFill>
                    <w14:schemeClr w14:val="tx1"/>
                  </w14:solidFill>
                </w14:textFill>
              </w:rPr>
            </w:pPr>
          </w:p>
        </w:tc>
        <w:tc>
          <w:tcPr>
            <w:tcW w:w="1545" w:type="dxa"/>
            <w:noWrap w:val="0"/>
            <w:vAlign w:val="center"/>
          </w:tcPr>
          <w:p w14:paraId="523E9276">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接地装置</w:t>
            </w:r>
          </w:p>
        </w:tc>
        <w:tc>
          <w:tcPr>
            <w:tcW w:w="6645" w:type="dxa"/>
            <w:noWrap w:val="0"/>
            <w:vAlign w:val="center"/>
          </w:tcPr>
          <w:p w14:paraId="161B2050">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施工现场应设置不少于三处的重复接地装置。</w:t>
            </w:r>
          </w:p>
        </w:tc>
      </w:tr>
      <w:tr w14:paraId="350FC2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738" w:type="dxa"/>
            <w:vMerge w:val="continue"/>
            <w:noWrap w:val="0"/>
            <w:vAlign w:val="center"/>
          </w:tcPr>
          <w:p w14:paraId="2D57108C">
            <w:pPr>
              <w:rPr>
                <w:color w:val="000000" w:themeColor="text1"/>
                <w:highlight w:val="none"/>
                <w14:textFill>
                  <w14:solidFill>
                    <w14:schemeClr w14:val="tx1"/>
                  </w14:solidFill>
                </w14:textFill>
              </w:rPr>
            </w:pPr>
          </w:p>
        </w:tc>
        <w:tc>
          <w:tcPr>
            <w:tcW w:w="525" w:type="dxa"/>
            <w:vMerge w:val="continue"/>
            <w:noWrap w:val="0"/>
            <w:vAlign w:val="center"/>
          </w:tcPr>
          <w:p w14:paraId="215D2381">
            <w:pPr>
              <w:rPr>
                <w:color w:val="000000" w:themeColor="text1"/>
                <w:highlight w:val="none"/>
                <w14:textFill>
                  <w14:solidFill>
                    <w14:schemeClr w14:val="tx1"/>
                  </w14:solidFill>
                </w14:textFill>
              </w:rPr>
            </w:pPr>
          </w:p>
        </w:tc>
        <w:tc>
          <w:tcPr>
            <w:tcW w:w="1545" w:type="dxa"/>
            <w:noWrap w:val="0"/>
            <w:vAlign w:val="center"/>
          </w:tcPr>
          <w:p w14:paraId="7E9B464D">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现场变配电装置</w:t>
            </w:r>
          </w:p>
        </w:tc>
        <w:tc>
          <w:tcPr>
            <w:tcW w:w="6645" w:type="dxa"/>
            <w:noWrap w:val="0"/>
            <w:vAlign w:val="center"/>
          </w:tcPr>
          <w:p w14:paraId="4C617866">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总配电房建筑材料必须达到消防防火要求，室内做硬地坪、电缆沟。</w:t>
            </w:r>
          </w:p>
        </w:tc>
      </w:tr>
      <w:tr w14:paraId="3587B8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738" w:type="dxa"/>
            <w:noWrap w:val="0"/>
            <w:vAlign w:val="center"/>
          </w:tcPr>
          <w:p w14:paraId="1049B60B">
            <w:pPr>
              <w:pStyle w:val="48"/>
              <w:spacing w:line="300" w:lineRule="exact"/>
              <w:jc w:val="center"/>
              <w:rPr>
                <w:rFonts w:hint="eastAsia" w:ascii="方正仿宋_GBK" w:eastAsia="方正仿宋_GBK"/>
                <w:b/>
                <w:bCs/>
                <w:color w:val="000000" w:themeColor="text1"/>
                <w:szCs w:val="21"/>
                <w:highlight w:val="none"/>
                <w14:textFill>
                  <w14:solidFill>
                    <w14:schemeClr w14:val="tx1"/>
                  </w14:solidFill>
                </w14:textFill>
              </w:rPr>
            </w:pPr>
            <w:r>
              <w:rPr>
                <w:rFonts w:hint="eastAsia" w:ascii="方正仿宋_GBK" w:eastAsia="方正仿宋_GBK" w:cs="方正仿宋_GBK"/>
                <w:b/>
                <w:bCs/>
                <w:color w:val="000000" w:themeColor="text1"/>
                <w:szCs w:val="21"/>
                <w:highlight w:val="none"/>
                <w:lang w:bidi="ar-SA"/>
                <w14:textFill>
                  <w14:solidFill>
                    <w14:schemeClr w14:val="tx1"/>
                  </w14:solidFill>
                </w14:textFill>
              </w:rPr>
              <w:t>类别</w:t>
            </w:r>
          </w:p>
        </w:tc>
        <w:tc>
          <w:tcPr>
            <w:tcW w:w="2070" w:type="dxa"/>
            <w:gridSpan w:val="2"/>
            <w:noWrap w:val="0"/>
            <w:vAlign w:val="center"/>
          </w:tcPr>
          <w:p w14:paraId="2F89E087">
            <w:pPr>
              <w:pStyle w:val="48"/>
              <w:spacing w:line="300" w:lineRule="exact"/>
              <w:jc w:val="center"/>
              <w:rPr>
                <w:rFonts w:hint="eastAsia" w:ascii="方正仿宋_GBK" w:eastAsia="方正仿宋_GBK"/>
                <w:b/>
                <w:bCs/>
                <w:color w:val="000000" w:themeColor="text1"/>
                <w:szCs w:val="21"/>
                <w:highlight w:val="none"/>
                <w14:textFill>
                  <w14:solidFill>
                    <w14:schemeClr w14:val="tx1"/>
                  </w14:solidFill>
                </w14:textFill>
              </w:rPr>
            </w:pPr>
            <w:r>
              <w:rPr>
                <w:rFonts w:hint="eastAsia" w:ascii="方正仿宋_GBK" w:eastAsia="方正仿宋_GBK" w:cs="方正仿宋_GBK"/>
                <w:b/>
                <w:bCs/>
                <w:color w:val="000000" w:themeColor="text1"/>
                <w:szCs w:val="21"/>
                <w:highlight w:val="none"/>
                <w:lang w:bidi="ar-SA"/>
                <w14:textFill>
                  <w14:solidFill>
                    <w14:schemeClr w14:val="tx1"/>
                  </w14:solidFill>
                </w14:textFill>
              </w:rPr>
              <w:t>项目名称</w:t>
            </w:r>
          </w:p>
        </w:tc>
        <w:tc>
          <w:tcPr>
            <w:tcW w:w="6645" w:type="dxa"/>
            <w:noWrap w:val="0"/>
            <w:vAlign w:val="center"/>
          </w:tcPr>
          <w:p w14:paraId="12E2FF37">
            <w:pPr>
              <w:pStyle w:val="48"/>
              <w:spacing w:line="300" w:lineRule="exact"/>
              <w:jc w:val="center"/>
              <w:rPr>
                <w:rFonts w:hint="eastAsia" w:ascii="方正仿宋_GBK" w:eastAsia="方正仿宋_GBK"/>
                <w:b/>
                <w:bCs/>
                <w:color w:val="000000" w:themeColor="text1"/>
                <w:szCs w:val="21"/>
                <w:highlight w:val="none"/>
                <w14:textFill>
                  <w14:solidFill>
                    <w14:schemeClr w14:val="tx1"/>
                  </w14:solidFill>
                </w14:textFill>
              </w:rPr>
            </w:pPr>
            <w:r>
              <w:rPr>
                <w:rFonts w:hint="eastAsia" w:ascii="方正仿宋_GBK" w:eastAsia="方正仿宋_GBK" w:cs="方正仿宋_GBK"/>
                <w:b/>
                <w:bCs/>
                <w:color w:val="000000" w:themeColor="text1"/>
                <w:szCs w:val="21"/>
                <w:highlight w:val="none"/>
                <w:lang w:bidi="ar-SA"/>
                <w14:textFill>
                  <w14:solidFill>
                    <w14:schemeClr w14:val="tx1"/>
                  </w14:solidFill>
                </w14:textFill>
              </w:rPr>
              <w:t>主要内容和要求</w:t>
            </w:r>
          </w:p>
        </w:tc>
      </w:tr>
      <w:tr w14:paraId="70D492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471695CD">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安全施工</w:t>
            </w:r>
          </w:p>
        </w:tc>
        <w:tc>
          <w:tcPr>
            <w:tcW w:w="525" w:type="dxa"/>
            <w:vMerge w:val="restart"/>
            <w:noWrap w:val="0"/>
            <w:vAlign w:val="center"/>
          </w:tcPr>
          <w:p w14:paraId="57B9152F">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高处作业防护</w:t>
            </w:r>
          </w:p>
        </w:tc>
        <w:tc>
          <w:tcPr>
            <w:tcW w:w="1545" w:type="dxa"/>
            <w:noWrap w:val="0"/>
            <w:vAlign w:val="center"/>
          </w:tcPr>
          <w:p w14:paraId="1EE4616F">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楼层、屋面、阳台等临边</w:t>
            </w:r>
          </w:p>
        </w:tc>
        <w:tc>
          <w:tcPr>
            <w:tcW w:w="6645" w:type="dxa"/>
            <w:noWrap w:val="0"/>
            <w:vAlign w:val="center"/>
          </w:tcPr>
          <w:p w14:paraId="1996994F">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设两道防护栏杆和18cm高的踢脚板，用密目式安全立网全封闭。</w:t>
            </w:r>
          </w:p>
        </w:tc>
      </w:tr>
      <w:tr w14:paraId="3F10C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DF95B1D">
            <w:pPr>
              <w:rPr>
                <w:color w:val="000000" w:themeColor="text1"/>
                <w:highlight w:val="none"/>
                <w14:textFill>
                  <w14:solidFill>
                    <w14:schemeClr w14:val="tx1"/>
                  </w14:solidFill>
                </w14:textFill>
              </w:rPr>
            </w:pPr>
          </w:p>
        </w:tc>
        <w:tc>
          <w:tcPr>
            <w:tcW w:w="525" w:type="dxa"/>
            <w:vMerge w:val="continue"/>
            <w:noWrap w:val="0"/>
            <w:vAlign w:val="center"/>
          </w:tcPr>
          <w:p w14:paraId="7B57139D">
            <w:pPr>
              <w:rPr>
                <w:color w:val="000000" w:themeColor="text1"/>
                <w:highlight w:val="none"/>
                <w14:textFill>
                  <w14:solidFill>
                    <w14:schemeClr w14:val="tx1"/>
                  </w14:solidFill>
                </w14:textFill>
              </w:rPr>
            </w:pPr>
          </w:p>
        </w:tc>
        <w:tc>
          <w:tcPr>
            <w:tcW w:w="1545" w:type="dxa"/>
            <w:noWrap w:val="0"/>
            <w:vAlign w:val="center"/>
          </w:tcPr>
          <w:p w14:paraId="1105EE0C">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通道口</w:t>
            </w:r>
          </w:p>
        </w:tc>
        <w:tc>
          <w:tcPr>
            <w:tcW w:w="6645" w:type="dxa"/>
            <w:noWrap w:val="0"/>
            <w:vAlign w:val="center"/>
          </w:tcPr>
          <w:p w14:paraId="103D2E7F">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设防护棚，防护棚应为不小于5cm厚的木板或两道相距50cm的竹笆。两侧应沿栏杆架用密目式安全网封闭。</w:t>
            </w:r>
          </w:p>
        </w:tc>
      </w:tr>
      <w:tr w14:paraId="16FB2E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40D72714">
            <w:pPr>
              <w:rPr>
                <w:color w:val="000000" w:themeColor="text1"/>
                <w:highlight w:val="none"/>
                <w14:textFill>
                  <w14:solidFill>
                    <w14:schemeClr w14:val="tx1"/>
                  </w14:solidFill>
                </w14:textFill>
              </w:rPr>
            </w:pPr>
          </w:p>
        </w:tc>
        <w:tc>
          <w:tcPr>
            <w:tcW w:w="525" w:type="dxa"/>
            <w:vMerge w:val="continue"/>
            <w:noWrap w:val="0"/>
            <w:vAlign w:val="center"/>
          </w:tcPr>
          <w:p w14:paraId="7198F7E4">
            <w:pPr>
              <w:rPr>
                <w:color w:val="000000" w:themeColor="text1"/>
                <w:highlight w:val="none"/>
                <w14:textFill>
                  <w14:solidFill>
                    <w14:schemeClr w14:val="tx1"/>
                  </w14:solidFill>
                </w14:textFill>
              </w:rPr>
            </w:pPr>
          </w:p>
        </w:tc>
        <w:tc>
          <w:tcPr>
            <w:tcW w:w="1545" w:type="dxa"/>
            <w:noWrap w:val="0"/>
            <w:vAlign w:val="center"/>
          </w:tcPr>
          <w:p w14:paraId="2789FE8C">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预留洞口</w:t>
            </w:r>
          </w:p>
        </w:tc>
        <w:tc>
          <w:tcPr>
            <w:tcW w:w="6645" w:type="dxa"/>
            <w:noWrap w:val="0"/>
            <w:vAlign w:val="center"/>
          </w:tcPr>
          <w:p w14:paraId="3499A921">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用硬质材料全封闭，短边超过1.5m长的洞口，除封闭外四周还应设有防护栏杆。</w:t>
            </w:r>
          </w:p>
        </w:tc>
      </w:tr>
      <w:tr w14:paraId="666DA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8" w:type="dxa"/>
            <w:vMerge w:val="continue"/>
            <w:noWrap w:val="0"/>
            <w:vAlign w:val="center"/>
          </w:tcPr>
          <w:p w14:paraId="2DE298CF">
            <w:pPr>
              <w:rPr>
                <w:color w:val="000000" w:themeColor="text1"/>
                <w:highlight w:val="none"/>
                <w14:textFill>
                  <w14:solidFill>
                    <w14:schemeClr w14:val="tx1"/>
                  </w14:solidFill>
                </w14:textFill>
              </w:rPr>
            </w:pPr>
          </w:p>
        </w:tc>
        <w:tc>
          <w:tcPr>
            <w:tcW w:w="525" w:type="dxa"/>
            <w:vMerge w:val="continue"/>
            <w:noWrap w:val="0"/>
            <w:vAlign w:val="center"/>
          </w:tcPr>
          <w:p w14:paraId="39A53BD1">
            <w:pPr>
              <w:rPr>
                <w:color w:val="000000" w:themeColor="text1"/>
                <w:highlight w:val="none"/>
                <w14:textFill>
                  <w14:solidFill>
                    <w14:schemeClr w14:val="tx1"/>
                  </w14:solidFill>
                </w14:textFill>
              </w:rPr>
            </w:pPr>
          </w:p>
        </w:tc>
        <w:tc>
          <w:tcPr>
            <w:tcW w:w="1545" w:type="dxa"/>
            <w:noWrap w:val="0"/>
            <w:vAlign w:val="center"/>
          </w:tcPr>
          <w:p w14:paraId="1B9E37A4">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电梯井口</w:t>
            </w:r>
          </w:p>
        </w:tc>
        <w:tc>
          <w:tcPr>
            <w:tcW w:w="6645" w:type="dxa"/>
            <w:noWrap w:val="0"/>
            <w:vAlign w:val="center"/>
          </w:tcPr>
          <w:p w14:paraId="20FBF1C5">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设置定型化、工具化的防护门，在电梯井内每隔2层（不大于10m）设置一道水平防护。</w:t>
            </w:r>
          </w:p>
        </w:tc>
      </w:tr>
      <w:tr w14:paraId="09117E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3C93228">
            <w:pPr>
              <w:rPr>
                <w:color w:val="000000" w:themeColor="text1"/>
                <w:highlight w:val="none"/>
                <w14:textFill>
                  <w14:solidFill>
                    <w14:schemeClr w14:val="tx1"/>
                  </w14:solidFill>
                </w14:textFill>
              </w:rPr>
            </w:pPr>
          </w:p>
        </w:tc>
        <w:tc>
          <w:tcPr>
            <w:tcW w:w="525" w:type="dxa"/>
            <w:vMerge w:val="continue"/>
            <w:noWrap w:val="0"/>
            <w:vAlign w:val="center"/>
          </w:tcPr>
          <w:p w14:paraId="3C3C698D">
            <w:pPr>
              <w:rPr>
                <w:color w:val="000000" w:themeColor="text1"/>
                <w:highlight w:val="none"/>
                <w14:textFill>
                  <w14:solidFill>
                    <w14:schemeClr w14:val="tx1"/>
                  </w14:solidFill>
                </w14:textFill>
              </w:rPr>
            </w:pPr>
          </w:p>
        </w:tc>
        <w:tc>
          <w:tcPr>
            <w:tcW w:w="1545" w:type="dxa"/>
            <w:noWrap w:val="0"/>
            <w:vAlign w:val="center"/>
          </w:tcPr>
          <w:p w14:paraId="53AB561A">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楼梯边</w:t>
            </w:r>
          </w:p>
        </w:tc>
        <w:tc>
          <w:tcPr>
            <w:tcW w:w="6645" w:type="dxa"/>
            <w:noWrap w:val="0"/>
            <w:vAlign w:val="center"/>
          </w:tcPr>
          <w:p w14:paraId="56013A01">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设1.2m高的定型化、工具化的防护栏，18cm高的踢脚板。</w:t>
            </w:r>
          </w:p>
        </w:tc>
      </w:tr>
      <w:tr w14:paraId="245DC0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8A192F0">
            <w:pPr>
              <w:rPr>
                <w:color w:val="000000" w:themeColor="text1"/>
                <w:highlight w:val="none"/>
                <w14:textFill>
                  <w14:solidFill>
                    <w14:schemeClr w14:val="tx1"/>
                  </w14:solidFill>
                </w14:textFill>
              </w:rPr>
            </w:pPr>
          </w:p>
        </w:tc>
        <w:tc>
          <w:tcPr>
            <w:tcW w:w="525" w:type="dxa"/>
            <w:vMerge w:val="continue"/>
            <w:noWrap w:val="0"/>
            <w:vAlign w:val="center"/>
          </w:tcPr>
          <w:p w14:paraId="7D7790AB">
            <w:pPr>
              <w:rPr>
                <w:color w:val="000000" w:themeColor="text1"/>
                <w:highlight w:val="none"/>
                <w14:textFill>
                  <w14:solidFill>
                    <w14:schemeClr w14:val="tx1"/>
                  </w14:solidFill>
                </w14:textFill>
              </w:rPr>
            </w:pPr>
          </w:p>
        </w:tc>
        <w:tc>
          <w:tcPr>
            <w:tcW w:w="1545" w:type="dxa"/>
            <w:noWrap w:val="0"/>
            <w:vAlign w:val="center"/>
          </w:tcPr>
          <w:p w14:paraId="6637D16F">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垂直方向交叉作业</w:t>
            </w:r>
          </w:p>
        </w:tc>
        <w:tc>
          <w:tcPr>
            <w:tcW w:w="6645" w:type="dxa"/>
            <w:noWrap w:val="0"/>
            <w:vAlign w:val="center"/>
          </w:tcPr>
          <w:p w14:paraId="7C5AD313">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设置防护隔离棚或其它设施。</w:t>
            </w:r>
          </w:p>
        </w:tc>
      </w:tr>
      <w:tr w14:paraId="3FAA97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609342C4">
            <w:pPr>
              <w:rPr>
                <w:color w:val="000000" w:themeColor="text1"/>
                <w:highlight w:val="none"/>
                <w14:textFill>
                  <w14:solidFill>
                    <w14:schemeClr w14:val="tx1"/>
                  </w14:solidFill>
                </w14:textFill>
              </w:rPr>
            </w:pPr>
          </w:p>
        </w:tc>
        <w:tc>
          <w:tcPr>
            <w:tcW w:w="525" w:type="dxa"/>
            <w:vMerge w:val="continue"/>
            <w:noWrap w:val="0"/>
            <w:vAlign w:val="center"/>
          </w:tcPr>
          <w:p w14:paraId="2DD79F5D">
            <w:pPr>
              <w:rPr>
                <w:color w:val="000000" w:themeColor="text1"/>
                <w:highlight w:val="none"/>
                <w14:textFill>
                  <w14:solidFill>
                    <w14:schemeClr w14:val="tx1"/>
                  </w14:solidFill>
                </w14:textFill>
              </w:rPr>
            </w:pPr>
          </w:p>
        </w:tc>
        <w:tc>
          <w:tcPr>
            <w:tcW w:w="1545" w:type="dxa"/>
            <w:noWrap w:val="0"/>
            <w:vAlign w:val="center"/>
          </w:tcPr>
          <w:p w14:paraId="2ED5463B">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高处作业</w:t>
            </w:r>
          </w:p>
        </w:tc>
        <w:tc>
          <w:tcPr>
            <w:tcW w:w="6645" w:type="dxa"/>
            <w:noWrap w:val="0"/>
            <w:vAlign w:val="center"/>
          </w:tcPr>
          <w:p w14:paraId="4BEC5BAD">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有悬挂安全带的悬索或其它设施，有操作平台，有上下的梯子或其它形式的通道。</w:t>
            </w:r>
          </w:p>
        </w:tc>
      </w:tr>
      <w:tr w14:paraId="76C747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9C81883">
            <w:pPr>
              <w:rPr>
                <w:color w:val="000000" w:themeColor="text1"/>
                <w:highlight w:val="none"/>
                <w14:textFill>
                  <w14:solidFill>
                    <w14:schemeClr w14:val="tx1"/>
                  </w14:solidFill>
                </w14:textFill>
              </w:rPr>
            </w:pPr>
          </w:p>
        </w:tc>
        <w:tc>
          <w:tcPr>
            <w:tcW w:w="525" w:type="dxa"/>
            <w:vMerge w:val="continue"/>
            <w:noWrap w:val="0"/>
            <w:vAlign w:val="center"/>
          </w:tcPr>
          <w:p w14:paraId="256BC704">
            <w:pPr>
              <w:rPr>
                <w:color w:val="000000" w:themeColor="text1"/>
                <w:highlight w:val="none"/>
                <w14:textFill>
                  <w14:solidFill>
                    <w14:schemeClr w14:val="tx1"/>
                  </w14:solidFill>
                </w14:textFill>
              </w:rPr>
            </w:pPr>
          </w:p>
        </w:tc>
        <w:tc>
          <w:tcPr>
            <w:tcW w:w="1545" w:type="dxa"/>
            <w:noWrap w:val="0"/>
            <w:vAlign w:val="center"/>
          </w:tcPr>
          <w:p w14:paraId="6975E0F9">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基坑、物料平台</w:t>
            </w:r>
          </w:p>
        </w:tc>
        <w:tc>
          <w:tcPr>
            <w:tcW w:w="6645" w:type="dxa"/>
            <w:noWrap w:val="0"/>
            <w:vAlign w:val="center"/>
          </w:tcPr>
          <w:p w14:paraId="765E1208">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设1.2m高标准化的防护栏，用密目式安全立网封闭，悬挂标识。</w:t>
            </w:r>
          </w:p>
        </w:tc>
      </w:tr>
      <w:tr w14:paraId="1133C2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2F42A33E">
            <w:pPr>
              <w:rPr>
                <w:color w:val="000000" w:themeColor="text1"/>
                <w:highlight w:val="none"/>
                <w14:textFill>
                  <w14:solidFill>
                    <w14:schemeClr w14:val="tx1"/>
                  </w14:solidFill>
                </w14:textFill>
              </w:rPr>
            </w:pPr>
          </w:p>
        </w:tc>
        <w:tc>
          <w:tcPr>
            <w:tcW w:w="2070" w:type="dxa"/>
            <w:gridSpan w:val="2"/>
            <w:noWrap w:val="0"/>
            <w:vAlign w:val="center"/>
          </w:tcPr>
          <w:p w14:paraId="10704C2F">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安全防护用品</w:t>
            </w:r>
          </w:p>
        </w:tc>
        <w:tc>
          <w:tcPr>
            <w:tcW w:w="6645" w:type="dxa"/>
            <w:noWrap w:val="0"/>
            <w:vAlign w:val="center"/>
          </w:tcPr>
          <w:p w14:paraId="1293B963">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安全帽、安全带、特种作业人员（电工、焊工、架子工等）防护服装、用品等。</w:t>
            </w:r>
          </w:p>
        </w:tc>
      </w:tr>
      <w:tr w14:paraId="6AAF0E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38" w:type="dxa"/>
            <w:vMerge w:val="restart"/>
            <w:noWrap w:val="0"/>
            <w:vAlign w:val="center"/>
          </w:tcPr>
          <w:p w14:paraId="5EFC2245">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其它</w:t>
            </w:r>
          </w:p>
        </w:tc>
        <w:tc>
          <w:tcPr>
            <w:tcW w:w="525" w:type="dxa"/>
            <w:vMerge w:val="restart"/>
            <w:noWrap w:val="0"/>
            <w:vAlign w:val="center"/>
          </w:tcPr>
          <w:p w14:paraId="64C91AF4">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机械设备防护</w:t>
            </w:r>
          </w:p>
        </w:tc>
        <w:tc>
          <w:tcPr>
            <w:tcW w:w="1545" w:type="dxa"/>
            <w:noWrap w:val="0"/>
            <w:vAlign w:val="center"/>
          </w:tcPr>
          <w:p w14:paraId="369544BA">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中小型机械</w:t>
            </w:r>
          </w:p>
        </w:tc>
        <w:tc>
          <w:tcPr>
            <w:tcW w:w="6645" w:type="dxa"/>
            <w:noWrap w:val="0"/>
            <w:vAlign w:val="center"/>
          </w:tcPr>
          <w:p w14:paraId="5F5F0DC5">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设防护棚（同通道口防护并有防雨措施）。</w:t>
            </w:r>
          </w:p>
        </w:tc>
      </w:tr>
      <w:tr w14:paraId="3F9E05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51A0B354">
            <w:pPr>
              <w:rPr>
                <w:color w:val="000000" w:themeColor="text1"/>
                <w:highlight w:val="none"/>
                <w14:textFill>
                  <w14:solidFill>
                    <w14:schemeClr w14:val="tx1"/>
                  </w14:solidFill>
                </w14:textFill>
              </w:rPr>
            </w:pPr>
          </w:p>
        </w:tc>
        <w:tc>
          <w:tcPr>
            <w:tcW w:w="525" w:type="dxa"/>
            <w:vMerge w:val="continue"/>
            <w:noWrap w:val="0"/>
            <w:vAlign w:val="center"/>
          </w:tcPr>
          <w:p w14:paraId="5DFFB416">
            <w:pPr>
              <w:rPr>
                <w:color w:val="000000" w:themeColor="text1"/>
                <w:highlight w:val="none"/>
                <w14:textFill>
                  <w14:solidFill>
                    <w14:schemeClr w14:val="tx1"/>
                  </w14:solidFill>
                </w14:textFill>
              </w:rPr>
            </w:pPr>
          </w:p>
        </w:tc>
        <w:tc>
          <w:tcPr>
            <w:tcW w:w="1545" w:type="dxa"/>
            <w:noWrap w:val="0"/>
            <w:vAlign w:val="center"/>
          </w:tcPr>
          <w:p w14:paraId="0534E2AB">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垂直运输设备</w:t>
            </w:r>
          </w:p>
        </w:tc>
        <w:tc>
          <w:tcPr>
            <w:tcW w:w="6645" w:type="dxa"/>
            <w:noWrap w:val="0"/>
            <w:vAlign w:val="center"/>
          </w:tcPr>
          <w:p w14:paraId="37AC7331">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1. 垂直运输设备检测、检验、日常维护、保养等。</w:t>
            </w:r>
          </w:p>
          <w:p w14:paraId="203B9443">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2. 物料提升机、施工电梯等物料平台搭设、外侧用密目式安全立网全封闭，有安全通道、安全防护门、防护棚等。</w:t>
            </w:r>
          </w:p>
        </w:tc>
      </w:tr>
      <w:tr w14:paraId="45CF74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73EFAF34">
            <w:pPr>
              <w:rPr>
                <w:color w:val="000000" w:themeColor="text1"/>
                <w:highlight w:val="none"/>
                <w14:textFill>
                  <w14:solidFill>
                    <w14:schemeClr w14:val="tx1"/>
                  </w14:solidFill>
                </w14:textFill>
              </w:rPr>
            </w:pPr>
          </w:p>
        </w:tc>
        <w:tc>
          <w:tcPr>
            <w:tcW w:w="2070" w:type="dxa"/>
            <w:gridSpan w:val="2"/>
            <w:noWrap w:val="0"/>
            <w:vAlign w:val="center"/>
          </w:tcPr>
          <w:p w14:paraId="3C4283F9">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专家论证审查</w:t>
            </w:r>
          </w:p>
        </w:tc>
        <w:tc>
          <w:tcPr>
            <w:tcW w:w="6645" w:type="dxa"/>
            <w:noWrap w:val="0"/>
            <w:vAlign w:val="center"/>
          </w:tcPr>
          <w:p w14:paraId="1CF65C9F">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超过一定规模的危险性较大分部分项工程专家论证审查。</w:t>
            </w:r>
          </w:p>
        </w:tc>
      </w:tr>
      <w:tr w14:paraId="13A5CD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326DD3C6">
            <w:pPr>
              <w:rPr>
                <w:color w:val="000000" w:themeColor="text1"/>
                <w:highlight w:val="none"/>
                <w14:textFill>
                  <w14:solidFill>
                    <w14:schemeClr w14:val="tx1"/>
                  </w14:solidFill>
                </w14:textFill>
              </w:rPr>
            </w:pPr>
          </w:p>
        </w:tc>
        <w:tc>
          <w:tcPr>
            <w:tcW w:w="2070" w:type="dxa"/>
            <w:gridSpan w:val="2"/>
            <w:noWrap w:val="0"/>
            <w:vAlign w:val="center"/>
          </w:tcPr>
          <w:p w14:paraId="65945886">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应急救援预案</w:t>
            </w:r>
          </w:p>
        </w:tc>
        <w:tc>
          <w:tcPr>
            <w:tcW w:w="6645" w:type="dxa"/>
            <w:noWrap w:val="0"/>
            <w:vAlign w:val="center"/>
          </w:tcPr>
          <w:p w14:paraId="655734DB">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救援器材准备及演练等。</w:t>
            </w:r>
          </w:p>
        </w:tc>
      </w:tr>
      <w:tr w14:paraId="730659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bottom w:val="single" w:color="auto" w:sz="12" w:space="0"/>
            </w:tcBorders>
            <w:noWrap w:val="0"/>
            <w:vAlign w:val="center"/>
          </w:tcPr>
          <w:p w14:paraId="115F368D">
            <w:pPr>
              <w:rPr>
                <w:color w:val="000000" w:themeColor="text1"/>
                <w:highlight w:val="none"/>
                <w14:textFill>
                  <w14:solidFill>
                    <w14:schemeClr w14:val="tx1"/>
                  </w14:solidFill>
                </w14:textFill>
              </w:rPr>
            </w:pPr>
          </w:p>
        </w:tc>
        <w:tc>
          <w:tcPr>
            <w:tcW w:w="2070" w:type="dxa"/>
            <w:gridSpan w:val="2"/>
            <w:tcBorders>
              <w:bottom w:val="single" w:color="auto" w:sz="12" w:space="0"/>
            </w:tcBorders>
            <w:noWrap w:val="0"/>
            <w:vAlign w:val="center"/>
          </w:tcPr>
          <w:p w14:paraId="45F33DDF">
            <w:pPr>
              <w:pStyle w:val="48"/>
              <w:spacing w:line="300" w:lineRule="exact"/>
              <w:jc w:val="center"/>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非正常情况施工</w:t>
            </w:r>
          </w:p>
        </w:tc>
        <w:tc>
          <w:tcPr>
            <w:tcW w:w="6645" w:type="dxa"/>
            <w:tcBorders>
              <w:bottom w:val="single" w:color="auto" w:sz="12" w:space="0"/>
            </w:tcBorders>
            <w:noWrap w:val="0"/>
            <w:vAlign w:val="center"/>
          </w:tcPr>
          <w:p w14:paraId="4AE64DFF">
            <w:pPr>
              <w:pStyle w:val="48"/>
              <w:spacing w:line="300" w:lineRule="exact"/>
              <w:rPr>
                <w:rFonts w:hint="eastAsia" w:ascii="方正仿宋_GBK" w:eastAsia="方正仿宋_GBK"/>
                <w:color w:val="000000" w:themeColor="text1"/>
                <w:szCs w:val="21"/>
                <w:highlight w:val="none"/>
                <w14:textFill>
                  <w14:solidFill>
                    <w14:schemeClr w14:val="tx1"/>
                  </w14:solidFill>
                </w14:textFill>
              </w:rPr>
            </w:pPr>
            <w:r>
              <w:rPr>
                <w:rFonts w:hint="eastAsia" w:ascii="方正仿宋_GBK" w:eastAsia="方正仿宋_GBK" w:cs="方正仿宋_GBK"/>
                <w:color w:val="000000" w:themeColor="text1"/>
                <w:szCs w:val="21"/>
                <w:highlight w:val="none"/>
                <w:lang w:bidi="ar-SA"/>
                <w14:textFill>
                  <w14:solidFill>
                    <w14:schemeClr w14:val="tx1"/>
                  </w14:solidFill>
                </w14:textFill>
              </w:rPr>
              <w:t>其它特殊情况下的防护费用，如：城市主干道、人流密集、河边等处施工及文物、古建筑、古树保护等。</w:t>
            </w:r>
          </w:p>
        </w:tc>
      </w:tr>
    </w:tbl>
    <w:p w14:paraId="68F69F2D">
      <w:pPr>
        <w:pStyle w:val="48"/>
        <w:spacing w:line="240" w:lineRule="atLeast"/>
        <w:ind w:firstLine="546"/>
        <w:jc w:val="center"/>
        <w:rPr>
          <w:b/>
          <w:bCs/>
          <w:color w:val="000000" w:themeColor="text1"/>
          <w:w w:val="90"/>
          <w:sz w:val="24"/>
          <w:szCs w:val="24"/>
          <w:highlight w:val="none"/>
          <w14:textFill>
            <w14:solidFill>
              <w14:schemeClr w14:val="tx1"/>
            </w14:solidFill>
          </w14:textFill>
        </w:rPr>
      </w:pPr>
    </w:p>
    <w:p w14:paraId="26A24A15">
      <w:pPr>
        <w:pStyle w:val="48"/>
        <w:spacing w:before="156"/>
        <w:ind w:firstLine="420" w:firstLineChars="200"/>
        <w:rPr>
          <w:rFonts w:cs="宋体"/>
          <w:color w:val="000000" w:themeColor="text1"/>
          <w:szCs w:val="21"/>
          <w:highlight w:val="none"/>
          <w:lang w:bidi="ar-SA"/>
          <w14:textFill>
            <w14:solidFill>
              <w14:schemeClr w14:val="tx1"/>
            </w14:solidFill>
          </w14:textFill>
        </w:rPr>
      </w:pPr>
      <w:r>
        <w:rPr>
          <w:rFonts w:hint="eastAsia" w:cs="宋体"/>
          <w:color w:val="000000" w:themeColor="text1"/>
          <w:szCs w:val="21"/>
          <w:highlight w:val="none"/>
          <w:lang w:bidi="ar-SA"/>
          <w14:textFill>
            <w14:solidFill>
              <w14:schemeClr w14:val="tx1"/>
            </w14:solidFill>
          </w14:textFill>
        </w:rPr>
        <w:t>注：本表所列建筑工程安全文明施工费，是依据现行法律法规及标准规范确定的。如法律法规和标准规范修订，本表所列项目应按照修订后的法律法规和标准规范进行调整。</w:t>
      </w:r>
    </w:p>
    <w:p w14:paraId="36700011">
      <w:pPr>
        <w:pStyle w:val="48"/>
        <w:spacing w:before="156"/>
        <w:ind w:firstLine="420" w:firstLineChars="200"/>
        <w:rPr>
          <w:rFonts w:cs="宋体"/>
          <w:color w:val="000000" w:themeColor="text1"/>
          <w:szCs w:val="21"/>
          <w:highlight w:val="none"/>
          <w:lang w:bidi="ar-SA"/>
          <w14:textFill>
            <w14:solidFill>
              <w14:schemeClr w14:val="tx1"/>
            </w14:solidFill>
          </w14:textFill>
        </w:rPr>
      </w:pPr>
    </w:p>
    <w:p w14:paraId="600E6872">
      <w:pPr>
        <w:pStyle w:val="48"/>
        <w:spacing w:before="156"/>
        <w:ind w:firstLine="420" w:firstLineChars="200"/>
        <w:rPr>
          <w:rFonts w:cs="宋体"/>
          <w:color w:val="000000" w:themeColor="text1"/>
          <w:szCs w:val="21"/>
          <w:highlight w:val="none"/>
          <w:lang w:bidi="ar-SA"/>
          <w14:textFill>
            <w14:solidFill>
              <w14:schemeClr w14:val="tx1"/>
            </w14:solidFill>
          </w14:textFill>
        </w:rPr>
      </w:pPr>
    </w:p>
    <w:p w14:paraId="64E33EA9">
      <w:pPr>
        <w:pStyle w:val="48"/>
        <w:spacing w:before="156"/>
        <w:ind w:firstLine="420" w:firstLineChars="200"/>
        <w:rPr>
          <w:rFonts w:cs="宋体"/>
          <w:color w:val="000000" w:themeColor="text1"/>
          <w:szCs w:val="21"/>
          <w:highlight w:val="none"/>
          <w:lang w:bidi="ar-SA"/>
          <w14:textFill>
            <w14:solidFill>
              <w14:schemeClr w14:val="tx1"/>
            </w14:solidFill>
          </w14:textFill>
        </w:rPr>
      </w:pPr>
    </w:p>
    <w:p w14:paraId="04E5826D">
      <w:pPr>
        <w:pStyle w:val="48"/>
        <w:spacing w:before="156"/>
        <w:ind w:firstLine="420" w:firstLineChars="200"/>
        <w:rPr>
          <w:rFonts w:cs="宋体"/>
          <w:color w:val="000000" w:themeColor="text1"/>
          <w:szCs w:val="21"/>
          <w:highlight w:val="none"/>
          <w:lang w:bidi="ar-SA"/>
          <w14:textFill>
            <w14:solidFill>
              <w14:schemeClr w14:val="tx1"/>
            </w14:solidFill>
          </w14:textFill>
        </w:rPr>
      </w:pPr>
    </w:p>
    <w:p w14:paraId="3488FD6B">
      <w:pPr>
        <w:spacing w:line="300" w:lineRule="auto"/>
        <w:jc w:val="left"/>
        <w:rPr>
          <w:rFonts w:hint="eastAsia" w:ascii="宋体"/>
          <w:b/>
          <w:color w:val="000000" w:themeColor="text1"/>
          <w:sz w:val="28"/>
          <w:szCs w:val="28"/>
          <w:highlight w:val="none"/>
          <w14:textFill>
            <w14:solidFill>
              <w14:schemeClr w14:val="tx1"/>
            </w14:solidFill>
          </w14:textFill>
        </w:rPr>
      </w:pPr>
    </w:p>
    <w:p w14:paraId="35EC83E6">
      <w:pPr>
        <w:pStyle w:val="7"/>
        <w:rPr>
          <w:rFonts w:hint="eastAsia"/>
          <w:color w:val="000000" w:themeColor="text1"/>
          <w:highlight w:val="none"/>
          <w14:textFill>
            <w14:solidFill>
              <w14:schemeClr w14:val="tx1"/>
            </w14:solidFill>
          </w14:textFill>
        </w:rPr>
      </w:pPr>
    </w:p>
    <w:p w14:paraId="64FC5F6F">
      <w:pPr>
        <w:rPr>
          <w:rFonts w:hint="eastAsia" w:ascii="宋体"/>
          <w:b/>
          <w:color w:val="000000" w:themeColor="text1"/>
          <w:sz w:val="28"/>
          <w:szCs w:val="28"/>
          <w:highlight w:val="none"/>
          <w:lang w:val="en-US" w:eastAsia="zh-CN"/>
          <w14:textFill>
            <w14:solidFill>
              <w14:schemeClr w14:val="tx1"/>
            </w14:solidFill>
          </w14:textFill>
        </w:rPr>
      </w:pPr>
      <w:r>
        <w:rPr>
          <w:rFonts w:hint="eastAsia" w:ascii="宋体"/>
          <w:b/>
          <w:color w:val="000000" w:themeColor="text1"/>
          <w:sz w:val="28"/>
          <w:szCs w:val="28"/>
          <w:highlight w:val="none"/>
          <w:lang w:val="en-US" w:eastAsia="zh-CN"/>
          <w14:textFill>
            <w14:solidFill>
              <w14:schemeClr w14:val="tx1"/>
            </w14:solidFill>
          </w14:textFill>
        </w:rPr>
        <w:br w:type="page"/>
      </w:r>
    </w:p>
    <w:p w14:paraId="6A64132D">
      <w:pPr>
        <w:spacing w:line="300" w:lineRule="auto"/>
        <w:ind w:left="105" w:leftChars="50" w:firstLine="562" w:firstLineChars="200"/>
        <w:jc w:val="left"/>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lang w:val="en-US" w:eastAsia="zh-CN"/>
          <w14:textFill>
            <w14:solidFill>
              <w14:schemeClr w14:val="tx1"/>
            </w14:solidFill>
          </w14:textFill>
        </w:rPr>
        <w:t>6</w:t>
      </w:r>
      <w:r>
        <w:rPr>
          <w:rFonts w:hint="eastAsia" w:ascii="宋体"/>
          <w:b/>
          <w:color w:val="000000" w:themeColor="text1"/>
          <w:sz w:val="28"/>
          <w:szCs w:val="28"/>
          <w:highlight w:val="none"/>
          <w14:textFill>
            <w14:solidFill>
              <w14:schemeClr w14:val="tx1"/>
            </w14:solidFill>
          </w14:textFill>
        </w:rPr>
        <w:t>.城乡清洁工程渣土清运承诺书（必须提供）；</w:t>
      </w:r>
    </w:p>
    <w:p w14:paraId="02A9CC72">
      <w:pPr>
        <w:spacing w:line="300" w:lineRule="auto"/>
        <w:ind w:left="105" w:leftChars="50" w:firstLine="562" w:firstLineChars="200"/>
        <w:jc w:val="left"/>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（按照桂林市建设工程招标站市建招字[2011]02号的规定承诺，格式自拟。）</w:t>
      </w:r>
    </w:p>
    <w:p w14:paraId="6D3D4A98">
      <w:pPr>
        <w:pStyle w:val="5"/>
        <w:outlineLvl w:val="9"/>
        <w:rPr>
          <w:rFonts w:hint="eastAsia"/>
          <w:color w:val="000000" w:themeColor="text1"/>
          <w:highlight w:val="none"/>
          <w14:textFill>
            <w14:solidFill>
              <w14:schemeClr w14:val="tx1"/>
            </w14:solidFill>
          </w14:textFill>
        </w:rPr>
      </w:pPr>
    </w:p>
    <w:p w14:paraId="36D31FE0">
      <w:pPr>
        <w:pStyle w:val="7"/>
        <w:rPr>
          <w:rFonts w:hint="eastAsia"/>
          <w:color w:val="000000" w:themeColor="text1"/>
          <w:highlight w:val="none"/>
          <w14:textFill>
            <w14:solidFill>
              <w14:schemeClr w14:val="tx1"/>
            </w14:solidFill>
          </w14:textFill>
        </w:rPr>
      </w:pPr>
    </w:p>
    <w:p w14:paraId="002D69E7">
      <w:pPr>
        <w:spacing w:line="300" w:lineRule="auto"/>
        <w:ind w:left="105" w:leftChars="50" w:firstLine="562" w:firstLineChars="200"/>
        <w:jc w:val="left"/>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lang w:val="en-US" w:eastAsia="zh-CN"/>
          <w14:textFill>
            <w14:solidFill>
              <w14:schemeClr w14:val="tx1"/>
            </w14:solidFill>
          </w14:textFill>
        </w:rPr>
        <w:t>7</w:t>
      </w:r>
      <w:r>
        <w:rPr>
          <w:rFonts w:hint="eastAsia" w:ascii="宋体"/>
          <w:b/>
          <w:color w:val="000000" w:themeColor="text1"/>
          <w:sz w:val="28"/>
          <w:szCs w:val="28"/>
          <w:highlight w:val="none"/>
          <w14:textFill>
            <w14:solidFill>
              <w14:schemeClr w14:val="tx1"/>
            </w14:solidFill>
          </w14:textFill>
        </w:rPr>
        <w:t>.磋商供应商认为需要提供的有关资料。</w:t>
      </w:r>
    </w:p>
    <w:p w14:paraId="418DBB27">
      <w:pPr>
        <w:autoSpaceDE w:val="0"/>
        <w:autoSpaceDN w:val="0"/>
        <w:adjustRightInd w:val="0"/>
        <w:snapToGrid w:val="0"/>
        <w:spacing w:line="300" w:lineRule="auto"/>
        <w:jc w:val="center"/>
        <w:rPr>
          <w:rFonts w:hint="eastAsia" w:ascii="仿宋_GB2312" w:eastAsia="仿宋_GB2312"/>
          <w:b/>
          <w:color w:val="000000" w:themeColor="text1"/>
          <w:kern w:val="0"/>
          <w:sz w:val="44"/>
          <w:szCs w:val="44"/>
          <w:highlight w:val="none"/>
          <w14:textFill>
            <w14:solidFill>
              <w14:schemeClr w14:val="tx1"/>
            </w14:solidFill>
          </w14:textFill>
        </w:rPr>
      </w:pPr>
    </w:p>
    <w:p w14:paraId="451DFD17">
      <w:pPr>
        <w:autoSpaceDE w:val="0"/>
        <w:autoSpaceDN w:val="0"/>
        <w:adjustRightInd w:val="0"/>
        <w:snapToGrid w:val="0"/>
        <w:spacing w:line="300" w:lineRule="auto"/>
        <w:jc w:val="center"/>
        <w:rPr>
          <w:rFonts w:hint="eastAsia" w:ascii="仿宋_GB2312" w:eastAsia="仿宋_GB2312"/>
          <w:b/>
          <w:color w:val="000000" w:themeColor="text1"/>
          <w:kern w:val="0"/>
          <w:sz w:val="44"/>
          <w:szCs w:val="44"/>
          <w:highlight w:val="none"/>
          <w14:textFill>
            <w14:solidFill>
              <w14:schemeClr w14:val="tx1"/>
            </w14:solidFill>
          </w14:textFill>
        </w:rPr>
      </w:pPr>
    </w:p>
    <w:p w14:paraId="652BA816">
      <w:pPr>
        <w:pStyle w:val="5"/>
        <w:outlineLvl w:val="9"/>
        <w:rPr>
          <w:rFonts w:hint="eastAsia" w:ascii="仿宋_GB2312" w:eastAsia="仿宋_GB2312"/>
          <w:b w:val="0"/>
          <w:color w:val="000000" w:themeColor="text1"/>
          <w:kern w:val="0"/>
          <w:sz w:val="44"/>
          <w:szCs w:val="44"/>
          <w:highlight w:val="none"/>
          <w14:textFill>
            <w14:solidFill>
              <w14:schemeClr w14:val="tx1"/>
            </w14:solidFill>
          </w14:textFill>
        </w:rPr>
      </w:pPr>
    </w:p>
    <w:p w14:paraId="1CF7C98B">
      <w:pPr>
        <w:rPr>
          <w:rFonts w:hint="eastAsia" w:ascii="仿宋_GB2312" w:eastAsia="仿宋_GB2312"/>
          <w:b/>
          <w:color w:val="000000" w:themeColor="text1"/>
          <w:kern w:val="0"/>
          <w:sz w:val="44"/>
          <w:szCs w:val="44"/>
          <w:highlight w:val="none"/>
          <w14:textFill>
            <w14:solidFill>
              <w14:schemeClr w14:val="tx1"/>
            </w14:solidFill>
          </w14:textFill>
        </w:rPr>
      </w:pPr>
    </w:p>
    <w:p w14:paraId="5F964ACF">
      <w:pPr>
        <w:autoSpaceDE w:val="0"/>
        <w:autoSpaceDN w:val="0"/>
        <w:adjustRightInd w:val="0"/>
        <w:snapToGrid w:val="0"/>
        <w:spacing w:line="300" w:lineRule="auto"/>
        <w:jc w:val="center"/>
        <w:rPr>
          <w:rFonts w:hint="eastAsia" w:ascii="仿宋_GB2312" w:eastAsia="仿宋_GB2312"/>
          <w:b/>
          <w:color w:val="000000" w:themeColor="text1"/>
          <w:kern w:val="0"/>
          <w:sz w:val="44"/>
          <w:szCs w:val="44"/>
          <w:highlight w:val="none"/>
          <w14:textFill>
            <w14:solidFill>
              <w14:schemeClr w14:val="tx1"/>
            </w14:solidFill>
          </w14:textFill>
        </w:rPr>
      </w:pPr>
    </w:p>
    <w:p w14:paraId="5E17DA62">
      <w:pPr>
        <w:pStyle w:val="5"/>
        <w:outlineLvl w:val="9"/>
        <w:rPr>
          <w:rFonts w:hint="eastAsia"/>
          <w:color w:val="000000" w:themeColor="text1"/>
          <w:highlight w:val="none"/>
          <w14:textFill>
            <w14:solidFill>
              <w14:schemeClr w14:val="tx1"/>
            </w14:solidFill>
          </w14:textFill>
        </w:rPr>
      </w:pPr>
    </w:p>
    <w:p w14:paraId="7BF148EF">
      <w:pPr>
        <w:pStyle w:val="12"/>
        <w:spacing w:line="360" w:lineRule="exact"/>
        <w:ind w:firstLine="941" w:firstLineChars="213"/>
        <w:rPr>
          <w:rFonts w:hint="eastAsia" w:cs="宋体"/>
          <w:color w:val="000000" w:themeColor="text1"/>
          <w:highlight w:val="none"/>
          <w:lang w:bidi="ar-SA"/>
          <w14:textFill>
            <w14:solidFill>
              <w14:schemeClr w14:val="tx1"/>
            </w14:solidFill>
          </w14:textFill>
        </w:rPr>
      </w:pPr>
      <w:r>
        <w:rPr>
          <w:rFonts w:hint="eastAsia" w:ascii="宋体"/>
          <w:b/>
          <w:color w:val="000000" w:themeColor="text1"/>
          <w:kern w:val="0"/>
          <w:sz w:val="44"/>
          <w:szCs w:val="44"/>
          <w:highlight w:val="none"/>
          <w14:textFill>
            <w14:solidFill>
              <w14:schemeClr w14:val="tx1"/>
            </w14:solidFill>
          </w14:textFill>
        </w:rPr>
        <w:t xml:space="preserve"> </w:t>
      </w:r>
    </w:p>
    <w:p w14:paraId="3EAA2D02">
      <w:pPr>
        <w:pStyle w:val="12"/>
        <w:spacing w:line="440" w:lineRule="exact"/>
        <w:rPr>
          <w:rFonts w:hint="eastAsia"/>
          <w:color w:val="000000" w:themeColor="text1"/>
          <w:sz w:val="28"/>
          <w:szCs w:val="28"/>
          <w:highlight w:val="none"/>
          <w14:textFill>
            <w14:solidFill>
              <w14:schemeClr w14:val="tx1"/>
            </w14:solidFill>
          </w14:textFill>
        </w:rPr>
      </w:pPr>
    </w:p>
    <w:p w14:paraId="6F2E715A">
      <w:pPr>
        <w:autoSpaceDE w:val="0"/>
        <w:autoSpaceDN w:val="0"/>
        <w:adjustRightInd w:val="0"/>
        <w:snapToGrid w:val="0"/>
        <w:spacing w:line="300" w:lineRule="auto"/>
        <w:jc w:val="center"/>
        <w:rPr>
          <w:rFonts w:hint="eastAsia" w:ascii="宋体"/>
          <w:b/>
          <w:color w:val="000000" w:themeColor="text1"/>
          <w:kern w:val="0"/>
          <w:sz w:val="44"/>
          <w:szCs w:val="44"/>
          <w:highlight w:val="none"/>
          <w14:textFill>
            <w14:solidFill>
              <w14:schemeClr w14:val="tx1"/>
            </w14:solidFill>
          </w14:textFill>
        </w:rPr>
      </w:pPr>
    </w:p>
    <w:p w14:paraId="79B54B81">
      <w:pPr>
        <w:pStyle w:val="7"/>
        <w:rPr>
          <w:rFonts w:hint="eastAsia" w:ascii="宋体"/>
          <w:b/>
          <w:color w:val="000000" w:themeColor="text1"/>
          <w:kern w:val="0"/>
          <w:sz w:val="44"/>
          <w:szCs w:val="44"/>
          <w:highlight w:val="none"/>
          <w14:textFill>
            <w14:solidFill>
              <w14:schemeClr w14:val="tx1"/>
            </w14:solidFill>
          </w14:textFill>
        </w:rPr>
      </w:pPr>
    </w:p>
    <w:p w14:paraId="4D272A4B">
      <w:pPr>
        <w:pStyle w:val="7"/>
        <w:rPr>
          <w:rFonts w:hint="eastAsia" w:ascii="宋体"/>
          <w:b/>
          <w:color w:val="000000" w:themeColor="text1"/>
          <w:kern w:val="0"/>
          <w:sz w:val="44"/>
          <w:szCs w:val="44"/>
          <w:highlight w:val="none"/>
          <w14:textFill>
            <w14:solidFill>
              <w14:schemeClr w14:val="tx1"/>
            </w14:solidFill>
          </w14:textFill>
        </w:rPr>
      </w:pPr>
    </w:p>
    <w:p w14:paraId="7DA9BCE6">
      <w:pPr>
        <w:autoSpaceDE w:val="0"/>
        <w:autoSpaceDN w:val="0"/>
        <w:adjustRightInd w:val="0"/>
        <w:snapToGrid w:val="0"/>
        <w:spacing w:line="300" w:lineRule="auto"/>
        <w:jc w:val="center"/>
        <w:outlineLvl w:val="0"/>
        <w:rPr>
          <w:rFonts w:hint="eastAsia" w:ascii="宋体"/>
          <w:b/>
          <w:color w:val="000000" w:themeColor="text1"/>
          <w:kern w:val="0"/>
          <w:sz w:val="44"/>
          <w:szCs w:val="44"/>
          <w:highlight w:val="none"/>
          <w14:textFill>
            <w14:solidFill>
              <w14:schemeClr w14:val="tx1"/>
            </w14:solidFill>
          </w14:textFill>
        </w:rPr>
      </w:pPr>
      <w:bookmarkStart w:id="1301" w:name="_Toc32683"/>
      <w:r>
        <w:rPr>
          <w:rFonts w:hint="eastAsia" w:ascii="宋体"/>
          <w:b/>
          <w:color w:val="000000" w:themeColor="text1"/>
          <w:kern w:val="0"/>
          <w:sz w:val="44"/>
          <w:szCs w:val="44"/>
          <w:highlight w:val="none"/>
          <w14:textFill>
            <w14:solidFill>
              <w14:schemeClr w14:val="tx1"/>
            </w14:solidFill>
          </w14:textFill>
        </w:rPr>
        <w:br w:type="page"/>
      </w:r>
      <w:r>
        <w:rPr>
          <w:rFonts w:hint="eastAsia" w:ascii="宋体"/>
          <w:b/>
          <w:color w:val="000000" w:themeColor="text1"/>
          <w:kern w:val="0"/>
          <w:sz w:val="44"/>
          <w:szCs w:val="44"/>
          <w:highlight w:val="none"/>
          <w14:textFill>
            <w14:solidFill>
              <w14:schemeClr w14:val="tx1"/>
            </w14:solidFill>
          </w14:textFill>
        </w:rPr>
        <w:t>第</w:t>
      </w:r>
      <w:r>
        <w:rPr>
          <w:rFonts w:hint="eastAsia" w:ascii="宋体"/>
          <w:b/>
          <w:color w:val="000000" w:themeColor="text1"/>
          <w:kern w:val="0"/>
          <w:sz w:val="44"/>
          <w:szCs w:val="44"/>
          <w:highlight w:val="none"/>
          <w:lang w:eastAsia="zh-CN"/>
          <w14:textFill>
            <w14:solidFill>
              <w14:schemeClr w14:val="tx1"/>
            </w14:solidFill>
          </w14:textFill>
        </w:rPr>
        <w:t>八</w:t>
      </w:r>
      <w:r>
        <w:rPr>
          <w:rFonts w:hint="eastAsia" w:ascii="宋体"/>
          <w:b/>
          <w:color w:val="000000" w:themeColor="text1"/>
          <w:kern w:val="0"/>
          <w:sz w:val="44"/>
          <w:szCs w:val="44"/>
          <w:highlight w:val="none"/>
          <w14:textFill>
            <w14:solidFill>
              <w14:schemeClr w14:val="tx1"/>
            </w14:solidFill>
          </w14:textFill>
        </w:rPr>
        <w:t>章 图纸（自行下载）</w:t>
      </w:r>
      <w:bookmarkEnd w:id="1301"/>
    </w:p>
    <w:p w14:paraId="773936C5">
      <w:pPr>
        <w:pStyle w:val="12"/>
        <w:spacing w:line="440" w:lineRule="exact"/>
        <w:jc w:val="center"/>
        <w:rPr>
          <w:rFonts w:hint="eastAsia"/>
          <w:b/>
          <w:color w:val="000000" w:themeColor="text1"/>
          <w:sz w:val="28"/>
          <w:szCs w:val="28"/>
          <w:highlight w:val="none"/>
          <w14:textFill>
            <w14:solidFill>
              <w14:schemeClr w14:val="tx1"/>
            </w14:solidFill>
          </w14:textFill>
        </w:rPr>
      </w:pPr>
    </w:p>
    <w:p w14:paraId="0A4DD0E8">
      <w:pPr>
        <w:spacing w:line="380" w:lineRule="exact"/>
        <w:rPr>
          <w:rFonts w:hint="eastAsia"/>
          <w:b/>
          <w:color w:val="000000" w:themeColor="text1"/>
          <w:sz w:val="32"/>
          <w:szCs w:val="32"/>
          <w:highlight w:val="none"/>
          <w14:textFill>
            <w14:solidFill>
              <w14:schemeClr w14:val="tx1"/>
            </w14:solidFill>
          </w14:textFill>
        </w:rPr>
      </w:pPr>
    </w:p>
    <w:p w14:paraId="07690020">
      <w:pPr>
        <w:pStyle w:val="7"/>
        <w:rPr>
          <w:rFonts w:hint="eastAsia"/>
          <w:b/>
          <w:color w:val="000000" w:themeColor="text1"/>
          <w:sz w:val="32"/>
          <w:szCs w:val="32"/>
          <w:highlight w:val="none"/>
          <w14:textFill>
            <w14:solidFill>
              <w14:schemeClr w14:val="tx1"/>
            </w14:solidFill>
          </w14:textFill>
        </w:rPr>
      </w:pPr>
    </w:p>
    <w:p w14:paraId="6FCA4136">
      <w:pPr>
        <w:pStyle w:val="7"/>
        <w:rPr>
          <w:rFonts w:hint="eastAsia"/>
          <w:b/>
          <w:color w:val="000000" w:themeColor="text1"/>
          <w:sz w:val="32"/>
          <w:szCs w:val="32"/>
          <w:highlight w:val="none"/>
          <w14:textFill>
            <w14:solidFill>
              <w14:schemeClr w14:val="tx1"/>
            </w14:solidFill>
          </w14:textFill>
        </w:rPr>
      </w:pPr>
    </w:p>
    <w:p w14:paraId="71C02070">
      <w:pPr>
        <w:spacing w:line="380" w:lineRule="exact"/>
        <w:rPr>
          <w:rFonts w:hint="eastAsia"/>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r>
        <w:rPr>
          <w:rFonts w:hint="eastAsia"/>
          <w:b/>
          <w:color w:val="000000" w:themeColor="text1"/>
          <w:sz w:val="24"/>
          <w:highlight w:val="none"/>
          <w14:textFill>
            <w14:solidFill>
              <w14:schemeClr w14:val="tx1"/>
            </w14:solidFill>
          </w14:textFill>
        </w:rPr>
        <w:t>附件1：</w:t>
      </w:r>
    </w:p>
    <w:p w14:paraId="347F6C6A">
      <w:pPr>
        <w:jc w:val="center"/>
        <w:rPr>
          <w:rFonts w:hint="eastAsia" w:ascii="仿宋" w:eastAsia="仿宋" w:cs="仿宋"/>
          <w:b/>
          <w:bCs/>
          <w:color w:val="000000" w:themeColor="text1"/>
          <w:sz w:val="32"/>
          <w:szCs w:val="32"/>
          <w:highlight w:val="none"/>
          <w:lang w:bidi="ar-SA"/>
          <w14:textFill>
            <w14:solidFill>
              <w14:schemeClr w14:val="tx1"/>
            </w14:solidFill>
          </w14:textFill>
        </w:rPr>
      </w:pPr>
      <w:r>
        <w:rPr>
          <w:rFonts w:hint="eastAsia" w:ascii="仿宋" w:eastAsia="仿宋" w:cs="仿宋"/>
          <w:b/>
          <w:bCs/>
          <w:color w:val="000000" w:themeColor="text1"/>
          <w:sz w:val="32"/>
          <w:szCs w:val="32"/>
          <w:highlight w:val="none"/>
          <w:lang w:bidi="ar-SA"/>
          <w14:textFill>
            <w14:solidFill>
              <w14:schemeClr w14:val="tx1"/>
            </w14:solidFill>
          </w14:textFill>
        </w:rPr>
        <w:t>质疑函范本</w:t>
      </w:r>
    </w:p>
    <w:p w14:paraId="0C972CEA">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bCs/>
          <w:color w:val="000000" w:themeColor="text1"/>
          <w:sz w:val="24"/>
          <w:highlight w:val="none"/>
          <w:lang w:bidi="ar-SA"/>
          <w14:textFill>
            <w14:solidFill>
              <w14:schemeClr w14:val="tx1"/>
            </w14:solidFill>
          </w14:textFill>
        </w:rPr>
      </w:pPr>
      <w:r>
        <w:rPr>
          <w:rFonts w:hint="eastAsia" w:ascii="仿宋" w:eastAsia="仿宋" w:cs="仿宋"/>
          <w:bCs/>
          <w:color w:val="000000" w:themeColor="text1"/>
          <w:sz w:val="24"/>
          <w:highlight w:val="none"/>
          <w:lang w:bidi="ar-SA"/>
          <w14:textFill>
            <w14:solidFill>
              <w14:schemeClr w14:val="tx1"/>
            </w14:solidFill>
          </w14:textFill>
        </w:rPr>
        <w:t>一、质疑供应商基本信息</w:t>
      </w:r>
    </w:p>
    <w:p w14:paraId="6D40A131">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000000" w:themeColor="text1"/>
          <w:sz w:val="24"/>
          <w:highlight w:val="none"/>
          <w:u w:val="dotted"/>
          <w:lang w:bidi="ar-SA"/>
          <w14:textFill>
            <w14:solidFill>
              <w14:schemeClr w14:val="tx1"/>
            </w14:solidFill>
          </w14:textFill>
        </w:rPr>
      </w:pPr>
      <w:r>
        <w:rPr>
          <w:rFonts w:hint="eastAsia" w:ascii="仿宋" w:eastAsia="仿宋" w:cs="仿宋"/>
          <w:color w:val="000000" w:themeColor="text1"/>
          <w:sz w:val="24"/>
          <w:highlight w:val="none"/>
          <w:lang w:bidi="ar-SA"/>
          <w14:textFill>
            <w14:solidFill>
              <w14:schemeClr w14:val="tx1"/>
            </w14:solidFill>
          </w14:textFill>
        </w:rPr>
        <w:t>质疑供应商：</w:t>
      </w:r>
      <w:r>
        <w:rPr>
          <w:rFonts w:hint="eastAsia" w:ascii="仿宋" w:eastAsia="仿宋" w:cs="仿宋"/>
          <w:color w:val="000000" w:themeColor="text1"/>
          <w:sz w:val="24"/>
          <w:highlight w:val="none"/>
          <w:u w:val="dotted"/>
          <w:lang w:bidi="ar-SA"/>
          <w14:textFill>
            <w14:solidFill>
              <w14:schemeClr w14:val="tx1"/>
            </w14:solidFill>
          </w14:textFill>
        </w:rPr>
        <w:t xml:space="preserve">                                        </w:t>
      </w:r>
    </w:p>
    <w:p w14:paraId="61BBA6B7">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000000" w:themeColor="text1"/>
          <w:sz w:val="24"/>
          <w:highlight w:val="none"/>
          <w:lang w:bidi="ar-SA"/>
          <w14:textFill>
            <w14:solidFill>
              <w14:schemeClr w14:val="tx1"/>
            </w14:solidFill>
          </w14:textFill>
        </w:rPr>
      </w:pPr>
      <w:r>
        <w:rPr>
          <w:rFonts w:hint="eastAsia" w:ascii="仿宋" w:eastAsia="仿宋" w:cs="仿宋"/>
          <w:color w:val="000000" w:themeColor="text1"/>
          <w:sz w:val="24"/>
          <w:highlight w:val="none"/>
          <w:lang w:bidi="ar-SA"/>
          <w14:textFill>
            <w14:solidFill>
              <w14:schemeClr w14:val="tx1"/>
            </w14:solidFill>
          </w14:textFill>
        </w:rPr>
        <w:t>地址：</w:t>
      </w:r>
      <w:r>
        <w:rPr>
          <w:rFonts w:hint="eastAsia" w:ascii="仿宋" w:eastAsia="仿宋" w:cs="仿宋"/>
          <w:color w:val="000000" w:themeColor="text1"/>
          <w:sz w:val="24"/>
          <w:highlight w:val="none"/>
          <w:u w:val="dotted"/>
          <w:lang w:bidi="ar-SA"/>
          <w14:textFill>
            <w14:solidFill>
              <w14:schemeClr w14:val="tx1"/>
            </w14:solidFill>
          </w14:textFill>
        </w:rPr>
        <w:t xml:space="preserve">                          </w:t>
      </w:r>
      <w:r>
        <w:rPr>
          <w:rFonts w:hint="eastAsia" w:ascii="仿宋" w:eastAsia="仿宋" w:cs="仿宋"/>
          <w:color w:val="000000" w:themeColor="text1"/>
          <w:sz w:val="24"/>
          <w:highlight w:val="none"/>
          <w:lang w:bidi="ar-SA"/>
          <w14:textFill>
            <w14:solidFill>
              <w14:schemeClr w14:val="tx1"/>
            </w14:solidFill>
          </w14:textFill>
        </w:rPr>
        <w:t>邮编：</w:t>
      </w:r>
      <w:r>
        <w:rPr>
          <w:rFonts w:hint="eastAsia" w:ascii="仿宋" w:eastAsia="仿宋" w:cs="仿宋"/>
          <w:color w:val="000000" w:themeColor="text1"/>
          <w:sz w:val="24"/>
          <w:highlight w:val="none"/>
          <w:u w:val="dotted"/>
          <w:lang w:bidi="ar-SA"/>
          <w14:textFill>
            <w14:solidFill>
              <w14:schemeClr w14:val="tx1"/>
            </w14:solidFill>
          </w14:textFill>
        </w:rPr>
        <w:t xml:space="preserve">                                                   </w:t>
      </w:r>
    </w:p>
    <w:p w14:paraId="407EDA44">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000000" w:themeColor="text1"/>
          <w:sz w:val="24"/>
          <w:highlight w:val="none"/>
          <w:lang w:bidi="ar-SA"/>
          <w14:textFill>
            <w14:solidFill>
              <w14:schemeClr w14:val="tx1"/>
            </w14:solidFill>
          </w14:textFill>
        </w:rPr>
      </w:pPr>
      <w:r>
        <w:rPr>
          <w:rFonts w:hint="eastAsia" w:ascii="仿宋" w:eastAsia="仿宋" w:cs="仿宋"/>
          <w:color w:val="000000" w:themeColor="text1"/>
          <w:sz w:val="24"/>
          <w:highlight w:val="none"/>
          <w:lang w:bidi="ar-SA"/>
          <w14:textFill>
            <w14:solidFill>
              <w14:schemeClr w14:val="tx1"/>
            </w14:solidFill>
          </w14:textFill>
        </w:rPr>
        <w:t>联系人：</w:t>
      </w:r>
      <w:r>
        <w:rPr>
          <w:rFonts w:hint="eastAsia" w:ascii="仿宋" w:eastAsia="仿宋" w:cs="仿宋"/>
          <w:color w:val="000000" w:themeColor="text1"/>
          <w:sz w:val="24"/>
          <w:highlight w:val="none"/>
          <w:u w:val="dotted"/>
          <w:lang w:bidi="ar-SA"/>
          <w14:textFill>
            <w14:solidFill>
              <w14:schemeClr w14:val="tx1"/>
            </w14:solidFill>
          </w14:textFill>
        </w:rPr>
        <w:t xml:space="preserve">                      </w:t>
      </w:r>
      <w:r>
        <w:rPr>
          <w:rFonts w:hint="eastAsia" w:ascii="仿宋" w:eastAsia="仿宋" w:cs="仿宋"/>
          <w:color w:val="000000" w:themeColor="text1"/>
          <w:sz w:val="24"/>
          <w:highlight w:val="none"/>
          <w:lang w:bidi="ar-SA"/>
          <w14:textFill>
            <w14:solidFill>
              <w14:schemeClr w14:val="tx1"/>
            </w14:solidFill>
          </w14:textFill>
        </w:rPr>
        <w:t>联系电话：</w:t>
      </w:r>
      <w:r>
        <w:rPr>
          <w:rFonts w:hint="eastAsia" w:ascii="仿宋" w:eastAsia="仿宋" w:cs="仿宋"/>
          <w:color w:val="000000" w:themeColor="text1"/>
          <w:sz w:val="24"/>
          <w:highlight w:val="none"/>
          <w:u w:val="dotted"/>
          <w:lang w:bidi="ar-SA"/>
          <w14:textFill>
            <w14:solidFill>
              <w14:schemeClr w14:val="tx1"/>
            </w14:solidFill>
          </w14:textFill>
        </w:rPr>
        <w:t xml:space="preserve">                              </w:t>
      </w:r>
    </w:p>
    <w:p w14:paraId="2B18C0C2">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000000" w:themeColor="text1"/>
          <w:sz w:val="24"/>
          <w:highlight w:val="none"/>
          <w:u w:val="dotted"/>
          <w:lang w:bidi="ar-SA"/>
          <w14:textFill>
            <w14:solidFill>
              <w14:schemeClr w14:val="tx1"/>
            </w14:solidFill>
          </w14:textFill>
        </w:rPr>
      </w:pPr>
      <w:r>
        <w:rPr>
          <w:rFonts w:hint="eastAsia" w:ascii="仿宋" w:eastAsia="仿宋" w:cs="仿宋"/>
          <w:color w:val="000000" w:themeColor="text1"/>
          <w:sz w:val="24"/>
          <w:highlight w:val="none"/>
          <w:lang w:bidi="ar-SA"/>
          <w14:textFill>
            <w14:solidFill>
              <w14:schemeClr w14:val="tx1"/>
            </w14:solidFill>
          </w14:textFill>
        </w:rPr>
        <w:t>授权代表：</w:t>
      </w:r>
      <w:r>
        <w:rPr>
          <w:rFonts w:hint="eastAsia" w:ascii="仿宋" w:eastAsia="仿宋" w:cs="仿宋"/>
          <w:color w:val="000000" w:themeColor="text1"/>
          <w:sz w:val="24"/>
          <w:highlight w:val="none"/>
          <w:u w:val="dotted"/>
          <w:lang w:bidi="ar-SA"/>
          <w14:textFill>
            <w14:solidFill>
              <w14:schemeClr w14:val="tx1"/>
            </w14:solidFill>
          </w14:textFill>
        </w:rPr>
        <w:t xml:space="preserve">                                          </w:t>
      </w:r>
    </w:p>
    <w:p w14:paraId="2367A849">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000000" w:themeColor="text1"/>
          <w:sz w:val="24"/>
          <w:highlight w:val="none"/>
          <w:lang w:bidi="ar-SA"/>
          <w14:textFill>
            <w14:solidFill>
              <w14:schemeClr w14:val="tx1"/>
            </w14:solidFill>
          </w14:textFill>
        </w:rPr>
      </w:pPr>
      <w:r>
        <w:rPr>
          <w:rFonts w:hint="eastAsia" w:ascii="仿宋" w:eastAsia="仿宋" w:cs="仿宋"/>
          <w:color w:val="000000" w:themeColor="text1"/>
          <w:sz w:val="24"/>
          <w:highlight w:val="none"/>
          <w:lang w:bidi="ar-SA"/>
          <w14:textFill>
            <w14:solidFill>
              <w14:schemeClr w14:val="tx1"/>
            </w14:solidFill>
          </w14:textFill>
        </w:rPr>
        <w:t>联系电话：</w:t>
      </w:r>
      <w:r>
        <w:rPr>
          <w:rFonts w:hint="eastAsia" w:ascii="仿宋" w:eastAsia="仿宋" w:cs="仿宋"/>
          <w:color w:val="000000" w:themeColor="text1"/>
          <w:sz w:val="24"/>
          <w:highlight w:val="none"/>
          <w:u w:val="dotted"/>
          <w:lang w:bidi="ar-SA"/>
          <w14:textFill>
            <w14:solidFill>
              <w14:schemeClr w14:val="tx1"/>
            </w14:solidFill>
          </w14:textFill>
        </w:rPr>
        <w:t xml:space="preserve">                                           </w:t>
      </w:r>
      <w:r>
        <w:rPr>
          <w:rFonts w:hint="eastAsia" w:ascii="仿宋" w:eastAsia="仿宋" w:cs="仿宋"/>
          <w:color w:val="000000" w:themeColor="text1"/>
          <w:sz w:val="24"/>
          <w:highlight w:val="none"/>
          <w:lang w:bidi="ar-SA"/>
          <w14:textFill>
            <w14:solidFill>
              <w14:schemeClr w14:val="tx1"/>
            </w14:solidFill>
          </w14:textFill>
        </w:rPr>
        <w:t xml:space="preserve"> </w:t>
      </w:r>
    </w:p>
    <w:p w14:paraId="3C9B9857">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000000" w:themeColor="text1"/>
          <w:sz w:val="24"/>
          <w:highlight w:val="none"/>
          <w:lang w:bidi="ar-SA"/>
          <w14:textFill>
            <w14:solidFill>
              <w14:schemeClr w14:val="tx1"/>
            </w14:solidFill>
          </w14:textFill>
        </w:rPr>
      </w:pPr>
      <w:r>
        <w:rPr>
          <w:rFonts w:hint="eastAsia" w:ascii="仿宋" w:eastAsia="仿宋" w:cs="仿宋"/>
          <w:color w:val="000000" w:themeColor="text1"/>
          <w:sz w:val="24"/>
          <w:highlight w:val="none"/>
          <w:lang w:bidi="ar-SA"/>
          <w14:textFill>
            <w14:solidFill>
              <w14:schemeClr w14:val="tx1"/>
            </w14:solidFill>
          </w14:textFill>
        </w:rPr>
        <w:t xml:space="preserve">地址： </w:t>
      </w:r>
      <w:r>
        <w:rPr>
          <w:rFonts w:hint="eastAsia" w:ascii="仿宋" w:eastAsia="仿宋" w:cs="仿宋"/>
          <w:color w:val="000000" w:themeColor="text1"/>
          <w:sz w:val="24"/>
          <w:highlight w:val="none"/>
          <w:u w:val="dotted"/>
          <w:lang w:bidi="ar-SA"/>
          <w14:textFill>
            <w14:solidFill>
              <w14:schemeClr w14:val="tx1"/>
            </w14:solidFill>
          </w14:textFill>
        </w:rPr>
        <w:t xml:space="preserve">                        </w:t>
      </w:r>
      <w:r>
        <w:rPr>
          <w:rFonts w:hint="eastAsia" w:ascii="仿宋" w:eastAsia="仿宋" w:cs="仿宋"/>
          <w:color w:val="000000" w:themeColor="text1"/>
          <w:sz w:val="24"/>
          <w:highlight w:val="none"/>
          <w:lang w:bidi="ar-SA"/>
          <w14:textFill>
            <w14:solidFill>
              <w14:schemeClr w14:val="tx1"/>
            </w14:solidFill>
          </w14:textFill>
        </w:rPr>
        <w:t>邮编：</w:t>
      </w:r>
      <w:r>
        <w:rPr>
          <w:rFonts w:hint="eastAsia" w:ascii="仿宋" w:eastAsia="仿宋" w:cs="仿宋"/>
          <w:color w:val="000000" w:themeColor="text1"/>
          <w:sz w:val="24"/>
          <w:highlight w:val="none"/>
          <w:u w:val="dotted"/>
          <w:lang w:bidi="ar-SA"/>
          <w14:textFill>
            <w14:solidFill>
              <w14:schemeClr w14:val="tx1"/>
            </w14:solidFill>
          </w14:textFill>
        </w:rPr>
        <w:t xml:space="preserve">                                                </w:t>
      </w:r>
    </w:p>
    <w:p w14:paraId="3DFDEC2B">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bCs/>
          <w:color w:val="000000" w:themeColor="text1"/>
          <w:sz w:val="24"/>
          <w:highlight w:val="none"/>
          <w:lang w:bidi="ar-SA"/>
          <w14:textFill>
            <w14:solidFill>
              <w14:schemeClr w14:val="tx1"/>
            </w14:solidFill>
          </w14:textFill>
        </w:rPr>
      </w:pPr>
      <w:r>
        <w:rPr>
          <w:rFonts w:hint="eastAsia" w:ascii="仿宋" w:eastAsia="仿宋" w:cs="仿宋"/>
          <w:bCs/>
          <w:color w:val="000000" w:themeColor="text1"/>
          <w:sz w:val="24"/>
          <w:highlight w:val="none"/>
          <w:lang w:bidi="ar-SA"/>
          <w14:textFill>
            <w14:solidFill>
              <w14:schemeClr w14:val="tx1"/>
            </w14:solidFill>
          </w14:textFill>
        </w:rPr>
        <w:t>二、质疑项目基本情况</w:t>
      </w:r>
    </w:p>
    <w:p w14:paraId="4D3B67CB">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000000" w:themeColor="text1"/>
          <w:sz w:val="24"/>
          <w:highlight w:val="none"/>
          <w:lang w:bidi="ar-SA"/>
          <w14:textFill>
            <w14:solidFill>
              <w14:schemeClr w14:val="tx1"/>
            </w14:solidFill>
          </w14:textFill>
        </w:rPr>
      </w:pPr>
      <w:r>
        <w:rPr>
          <w:rFonts w:hint="eastAsia" w:ascii="仿宋" w:eastAsia="仿宋" w:cs="仿宋"/>
          <w:color w:val="000000" w:themeColor="text1"/>
          <w:sz w:val="24"/>
          <w:highlight w:val="none"/>
          <w:lang w:bidi="ar-SA"/>
          <w14:textFill>
            <w14:solidFill>
              <w14:schemeClr w14:val="tx1"/>
            </w14:solidFill>
          </w14:textFill>
        </w:rPr>
        <w:t>质疑项目的名称：</w:t>
      </w:r>
      <w:r>
        <w:rPr>
          <w:rFonts w:hint="eastAsia" w:ascii="仿宋" w:eastAsia="仿宋" w:cs="仿宋"/>
          <w:color w:val="000000" w:themeColor="text1"/>
          <w:sz w:val="24"/>
          <w:highlight w:val="none"/>
          <w:u w:val="dotted"/>
          <w:lang w:bidi="ar-SA"/>
          <w14:textFill>
            <w14:solidFill>
              <w14:schemeClr w14:val="tx1"/>
            </w14:solidFill>
          </w14:textFill>
        </w:rPr>
        <w:t xml:space="preserve">                                      </w:t>
      </w:r>
    </w:p>
    <w:p w14:paraId="1836B536">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000000" w:themeColor="text1"/>
          <w:sz w:val="24"/>
          <w:highlight w:val="none"/>
          <w:lang w:bidi="ar-SA"/>
          <w14:textFill>
            <w14:solidFill>
              <w14:schemeClr w14:val="tx1"/>
            </w14:solidFill>
          </w14:textFill>
        </w:rPr>
      </w:pPr>
      <w:r>
        <w:rPr>
          <w:rFonts w:hint="eastAsia" w:ascii="仿宋" w:eastAsia="仿宋" w:cs="仿宋"/>
          <w:color w:val="000000" w:themeColor="text1"/>
          <w:sz w:val="24"/>
          <w:highlight w:val="none"/>
          <w:lang w:bidi="ar-SA"/>
          <w14:textFill>
            <w14:solidFill>
              <w14:schemeClr w14:val="tx1"/>
            </w14:solidFill>
          </w14:textFill>
        </w:rPr>
        <w:t>质疑项目的编号：</w:t>
      </w:r>
      <w:r>
        <w:rPr>
          <w:rFonts w:hint="eastAsia" w:ascii="仿宋" w:eastAsia="仿宋" w:cs="仿宋"/>
          <w:color w:val="000000" w:themeColor="text1"/>
          <w:sz w:val="24"/>
          <w:highlight w:val="none"/>
          <w:u w:val="dotted"/>
          <w:lang w:bidi="ar-SA"/>
          <w14:textFill>
            <w14:solidFill>
              <w14:schemeClr w14:val="tx1"/>
            </w14:solidFill>
          </w14:textFill>
        </w:rPr>
        <w:t xml:space="preserve">               </w:t>
      </w:r>
      <w:r>
        <w:rPr>
          <w:rFonts w:hint="eastAsia" w:ascii="仿宋" w:eastAsia="仿宋" w:cs="仿宋"/>
          <w:color w:val="000000" w:themeColor="text1"/>
          <w:sz w:val="24"/>
          <w:highlight w:val="none"/>
          <w:lang w:bidi="ar-SA"/>
          <w14:textFill>
            <w14:solidFill>
              <w14:schemeClr w14:val="tx1"/>
            </w14:solidFill>
          </w14:textFill>
        </w:rPr>
        <w:t>包号：</w:t>
      </w:r>
      <w:r>
        <w:rPr>
          <w:rFonts w:hint="eastAsia" w:ascii="仿宋" w:eastAsia="仿宋" w:cs="仿宋"/>
          <w:color w:val="000000" w:themeColor="text1"/>
          <w:sz w:val="24"/>
          <w:highlight w:val="none"/>
          <w:u w:val="dotted"/>
          <w:lang w:bidi="ar-SA"/>
          <w14:textFill>
            <w14:solidFill>
              <w14:schemeClr w14:val="tx1"/>
            </w14:solidFill>
          </w14:textFill>
        </w:rPr>
        <w:t xml:space="preserve">                 </w:t>
      </w:r>
    </w:p>
    <w:p w14:paraId="6F6ED2AF">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000000" w:themeColor="text1"/>
          <w:sz w:val="24"/>
          <w:highlight w:val="none"/>
          <w:u w:val="dotted"/>
          <w:lang w:bidi="ar-SA"/>
          <w14:textFill>
            <w14:solidFill>
              <w14:schemeClr w14:val="tx1"/>
            </w14:solidFill>
          </w14:textFill>
        </w:rPr>
      </w:pPr>
      <w:r>
        <w:rPr>
          <w:rFonts w:hint="eastAsia" w:ascii="仿宋" w:eastAsia="仿宋" w:cs="仿宋"/>
          <w:color w:val="000000" w:themeColor="text1"/>
          <w:sz w:val="24"/>
          <w:highlight w:val="none"/>
          <w:lang w:bidi="ar-SA"/>
          <w14:textFill>
            <w14:solidFill>
              <w14:schemeClr w14:val="tx1"/>
            </w14:solidFill>
          </w14:textFill>
        </w:rPr>
        <w:t>采购人名称：</w:t>
      </w:r>
      <w:r>
        <w:rPr>
          <w:rFonts w:hint="eastAsia" w:ascii="仿宋" w:eastAsia="仿宋" w:cs="仿宋"/>
          <w:color w:val="000000" w:themeColor="text1"/>
          <w:sz w:val="24"/>
          <w:highlight w:val="none"/>
          <w:u w:val="dotted"/>
          <w:lang w:bidi="ar-SA"/>
          <w14:textFill>
            <w14:solidFill>
              <w14:schemeClr w14:val="tx1"/>
            </w14:solidFill>
          </w14:textFill>
        </w:rPr>
        <w:t xml:space="preserve">                                         </w:t>
      </w:r>
    </w:p>
    <w:p w14:paraId="03B4E761">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000000" w:themeColor="text1"/>
          <w:sz w:val="24"/>
          <w:highlight w:val="none"/>
          <w:lang w:bidi="ar-SA"/>
          <w14:textFill>
            <w14:solidFill>
              <w14:schemeClr w14:val="tx1"/>
            </w14:solidFill>
          </w14:textFill>
        </w:rPr>
      </w:pPr>
      <w:r>
        <w:rPr>
          <w:rFonts w:hint="eastAsia" w:ascii="仿宋" w:eastAsia="仿宋" w:cs="仿宋"/>
          <w:color w:val="000000" w:themeColor="text1"/>
          <w:sz w:val="24"/>
          <w:highlight w:val="none"/>
          <w:lang w:bidi="ar-SA"/>
          <w14:textFill>
            <w14:solidFill>
              <w14:schemeClr w14:val="tx1"/>
            </w14:solidFill>
          </w14:textFill>
        </w:rPr>
        <w:t>采购文件获取日期：</w:t>
      </w:r>
      <w:r>
        <w:rPr>
          <w:rFonts w:hint="eastAsia" w:ascii="仿宋" w:eastAsia="仿宋" w:cs="仿宋"/>
          <w:color w:val="000000" w:themeColor="text1"/>
          <w:sz w:val="24"/>
          <w:highlight w:val="none"/>
          <w:u w:val="dotted"/>
          <w:lang w:bidi="ar-SA"/>
          <w14:textFill>
            <w14:solidFill>
              <w14:schemeClr w14:val="tx1"/>
            </w14:solidFill>
          </w14:textFill>
        </w:rPr>
        <w:t xml:space="preserve">                                           </w:t>
      </w:r>
    </w:p>
    <w:p w14:paraId="689A0CAD">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bCs/>
          <w:color w:val="000000" w:themeColor="text1"/>
          <w:sz w:val="24"/>
          <w:highlight w:val="none"/>
          <w:lang w:bidi="ar-SA"/>
          <w14:textFill>
            <w14:solidFill>
              <w14:schemeClr w14:val="tx1"/>
            </w14:solidFill>
          </w14:textFill>
        </w:rPr>
      </w:pPr>
      <w:r>
        <w:rPr>
          <w:rFonts w:hint="eastAsia" w:ascii="仿宋" w:eastAsia="仿宋" w:cs="仿宋"/>
          <w:bCs/>
          <w:color w:val="000000" w:themeColor="text1"/>
          <w:sz w:val="24"/>
          <w:highlight w:val="none"/>
          <w:lang w:bidi="ar-SA"/>
          <w14:textFill>
            <w14:solidFill>
              <w14:schemeClr w14:val="tx1"/>
            </w14:solidFill>
          </w14:textFill>
        </w:rPr>
        <w:t>三、质疑事项具体内容</w:t>
      </w:r>
    </w:p>
    <w:p w14:paraId="1C13A995">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000000" w:themeColor="text1"/>
          <w:sz w:val="24"/>
          <w:highlight w:val="none"/>
          <w:u w:val="dotted"/>
          <w:lang w:bidi="ar-SA"/>
          <w14:textFill>
            <w14:solidFill>
              <w14:schemeClr w14:val="tx1"/>
            </w14:solidFill>
          </w14:textFill>
        </w:rPr>
      </w:pPr>
      <w:r>
        <w:rPr>
          <w:rFonts w:hint="eastAsia" w:ascii="仿宋" w:eastAsia="仿宋" w:cs="仿宋"/>
          <w:color w:val="000000" w:themeColor="text1"/>
          <w:sz w:val="24"/>
          <w:highlight w:val="none"/>
          <w:lang w:bidi="ar-SA"/>
          <w14:textFill>
            <w14:solidFill>
              <w14:schemeClr w14:val="tx1"/>
            </w14:solidFill>
          </w14:textFill>
        </w:rPr>
        <w:t>质疑事项1：</w:t>
      </w:r>
      <w:r>
        <w:rPr>
          <w:rFonts w:hint="eastAsia" w:ascii="仿宋" w:eastAsia="仿宋" w:cs="仿宋"/>
          <w:color w:val="000000" w:themeColor="text1"/>
          <w:sz w:val="24"/>
          <w:highlight w:val="none"/>
          <w:u w:val="dotted"/>
          <w:lang w:bidi="ar-SA"/>
          <w14:textFill>
            <w14:solidFill>
              <w14:schemeClr w14:val="tx1"/>
            </w14:solidFill>
          </w14:textFill>
        </w:rPr>
        <w:t xml:space="preserve">                                         </w:t>
      </w:r>
    </w:p>
    <w:p w14:paraId="56E8304D">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000000" w:themeColor="text1"/>
          <w:sz w:val="24"/>
          <w:highlight w:val="none"/>
          <w:u w:val="dotted"/>
          <w:lang w:bidi="ar-SA"/>
          <w14:textFill>
            <w14:solidFill>
              <w14:schemeClr w14:val="tx1"/>
            </w14:solidFill>
          </w14:textFill>
        </w:rPr>
      </w:pPr>
      <w:r>
        <w:rPr>
          <w:rFonts w:hint="eastAsia" w:ascii="仿宋" w:eastAsia="仿宋" w:cs="仿宋"/>
          <w:color w:val="000000" w:themeColor="text1"/>
          <w:sz w:val="24"/>
          <w:highlight w:val="none"/>
          <w:lang w:bidi="ar-SA"/>
          <w14:textFill>
            <w14:solidFill>
              <w14:schemeClr w14:val="tx1"/>
            </w14:solidFill>
          </w14:textFill>
        </w:rPr>
        <w:t>事实依据：</w:t>
      </w:r>
      <w:r>
        <w:rPr>
          <w:rFonts w:hint="eastAsia" w:ascii="仿宋" w:eastAsia="仿宋" w:cs="仿宋"/>
          <w:color w:val="000000" w:themeColor="text1"/>
          <w:sz w:val="24"/>
          <w:highlight w:val="none"/>
          <w:u w:val="dotted"/>
          <w:lang w:bidi="ar-SA"/>
          <w14:textFill>
            <w14:solidFill>
              <w14:schemeClr w14:val="tx1"/>
            </w14:solidFill>
          </w14:textFill>
        </w:rPr>
        <w:t xml:space="preserve">                                          </w:t>
      </w:r>
    </w:p>
    <w:p w14:paraId="23964DE1">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000000" w:themeColor="text1"/>
          <w:sz w:val="24"/>
          <w:highlight w:val="none"/>
          <w:u w:val="dotted"/>
          <w:lang w:bidi="ar-SA"/>
          <w14:textFill>
            <w14:solidFill>
              <w14:schemeClr w14:val="tx1"/>
            </w14:solidFill>
          </w14:textFill>
        </w:rPr>
      </w:pPr>
      <w:r>
        <w:rPr>
          <w:rFonts w:hint="eastAsia" w:ascii="仿宋" w:eastAsia="仿宋" w:cs="仿宋"/>
          <w:color w:val="000000" w:themeColor="text1"/>
          <w:sz w:val="24"/>
          <w:highlight w:val="none"/>
          <w:lang w:bidi="ar-SA"/>
          <w14:textFill>
            <w14:solidFill>
              <w14:schemeClr w14:val="tx1"/>
            </w14:solidFill>
          </w14:textFill>
        </w:rPr>
        <w:t>法律依据：</w:t>
      </w:r>
      <w:r>
        <w:rPr>
          <w:rFonts w:hint="eastAsia" w:ascii="仿宋" w:eastAsia="仿宋" w:cs="仿宋"/>
          <w:color w:val="000000" w:themeColor="text1"/>
          <w:sz w:val="24"/>
          <w:highlight w:val="none"/>
          <w:u w:val="dotted"/>
          <w:lang w:bidi="ar-SA"/>
          <w14:textFill>
            <w14:solidFill>
              <w14:schemeClr w14:val="tx1"/>
            </w14:solidFill>
          </w14:textFill>
        </w:rPr>
        <w:t xml:space="preserve">                                          </w:t>
      </w:r>
    </w:p>
    <w:p w14:paraId="193EFD76">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000000" w:themeColor="text1"/>
          <w:sz w:val="24"/>
          <w:highlight w:val="none"/>
          <w:u w:val="dotted"/>
          <w:lang w:bidi="ar-SA"/>
          <w14:textFill>
            <w14:solidFill>
              <w14:schemeClr w14:val="tx1"/>
            </w14:solidFill>
          </w14:textFill>
        </w:rPr>
      </w:pPr>
      <w:r>
        <w:rPr>
          <w:rFonts w:hint="eastAsia" w:ascii="仿宋" w:eastAsia="仿宋" w:cs="仿宋"/>
          <w:color w:val="000000" w:themeColor="text1"/>
          <w:sz w:val="24"/>
          <w:highlight w:val="none"/>
          <w:u w:val="dotted"/>
          <w:lang w:bidi="ar-SA"/>
          <w14:textFill>
            <w14:solidFill>
              <w14:schemeClr w14:val="tx1"/>
            </w14:solidFill>
          </w14:textFill>
        </w:rPr>
        <w:t xml:space="preserve">                                                     </w:t>
      </w:r>
    </w:p>
    <w:p w14:paraId="06A71109">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000000" w:themeColor="text1"/>
          <w:sz w:val="24"/>
          <w:highlight w:val="none"/>
          <w:u w:val="dotted"/>
          <w:lang w:bidi="ar-SA"/>
          <w14:textFill>
            <w14:solidFill>
              <w14:schemeClr w14:val="tx1"/>
            </w14:solidFill>
          </w14:textFill>
        </w:rPr>
      </w:pPr>
      <w:r>
        <w:rPr>
          <w:rFonts w:hint="eastAsia" w:ascii="仿宋" w:eastAsia="仿宋" w:cs="仿宋"/>
          <w:color w:val="000000" w:themeColor="text1"/>
          <w:sz w:val="24"/>
          <w:highlight w:val="none"/>
          <w:lang w:bidi="ar-SA"/>
          <w14:textFill>
            <w14:solidFill>
              <w14:schemeClr w14:val="tx1"/>
            </w14:solidFill>
          </w14:textFill>
        </w:rPr>
        <w:t>质疑事项2</w:t>
      </w:r>
    </w:p>
    <w:p w14:paraId="6F47E103">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000000" w:themeColor="text1"/>
          <w:sz w:val="24"/>
          <w:highlight w:val="none"/>
          <w:lang w:bidi="ar-SA"/>
          <w14:textFill>
            <w14:solidFill>
              <w14:schemeClr w14:val="tx1"/>
            </w14:solidFill>
          </w14:textFill>
        </w:rPr>
      </w:pPr>
      <w:r>
        <w:rPr>
          <w:rFonts w:hint="eastAsia" w:ascii="仿宋" w:eastAsia="仿宋" w:cs="仿宋"/>
          <w:color w:val="000000" w:themeColor="text1"/>
          <w:sz w:val="24"/>
          <w:highlight w:val="none"/>
          <w:lang w:bidi="ar-SA"/>
          <w14:textFill>
            <w14:solidFill>
              <w14:schemeClr w14:val="tx1"/>
            </w14:solidFill>
          </w14:textFill>
        </w:rPr>
        <w:t>……</w:t>
      </w:r>
    </w:p>
    <w:p w14:paraId="4F32C7A7">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bCs/>
          <w:color w:val="000000" w:themeColor="text1"/>
          <w:sz w:val="24"/>
          <w:highlight w:val="none"/>
          <w:lang w:bidi="ar-SA"/>
          <w14:textFill>
            <w14:solidFill>
              <w14:schemeClr w14:val="tx1"/>
            </w14:solidFill>
          </w14:textFill>
        </w:rPr>
      </w:pPr>
      <w:r>
        <w:rPr>
          <w:rFonts w:hint="eastAsia" w:ascii="仿宋" w:eastAsia="仿宋" w:cs="仿宋"/>
          <w:bCs/>
          <w:color w:val="000000" w:themeColor="text1"/>
          <w:sz w:val="24"/>
          <w:highlight w:val="none"/>
          <w:lang w:bidi="ar-SA"/>
          <w14:textFill>
            <w14:solidFill>
              <w14:schemeClr w14:val="tx1"/>
            </w14:solidFill>
          </w14:textFill>
        </w:rPr>
        <w:t>四、与质疑事项相关的质疑请求</w:t>
      </w:r>
    </w:p>
    <w:p w14:paraId="5E3609BC">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000000" w:themeColor="text1"/>
          <w:sz w:val="24"/>
          <w:highlight w:val="none"/>
          <w:u w:val="dotted"/>
          <w:lang w:bidi="ar-SA"/>
          <w14:textFill>
            <w14:solidFill>
              <w14:schemeClr w14:val="tx1"/>
            </w14:solidFill>
          </w14:textFill>
        </w:rPr>
      </w:pPr>
      <w:r>
        <w:rPr>
          <w:rFonts w:hint="eastAsia" w:ascii="仿宋" w:eastAsia="仿宋" w:cs="仿宋"/>
          <w:color w:val="000000" w:themeColor="text1"/>
          <w:sz w:val="24"/>
          <w:highlight w:val="none"/>
          <w:lang w:bidi="ar-SA"/>
          <w14:textFill>
            <w14:solidFill>
              <w14:schemeClr w14:val="tx1"/>
            </w14:solidFill>
          </w14:textFill>
        </w:rPr>
        <w:t>请求：</w:t>
      </w:r>
      <w:r>
        <w:rPr>
          <w:rFonts w:hint="eastAsia" w:ascii="仿宋" w:eastAsia="仿宋" w:cs="仿宋"/>
          <w:color w:val="000000" w:themeColor="text1"/>
          <w:sz w:val="24"/>
          <w:highlight w:val="none"/>
          <w:u w:val="dotted"/>
          <w:lang w:bidi="ar-SA"/>
          <w14:textFill>
            <w14:solidFill>
              <w14:schemeClr w14:val="tx1"/>
            </w14:solidFill>
          </w14:textFill>
        </w:rPr>
        <w:t xml:space="preserve">                                               </w:t>
      </w:r>
    </w:p>
    <w:p w14:paraId="2B43370A">
      <w:pPr>
        <w:keepNext w:val="0"/>
        <w:keepLines w:val="0"/>
        <w:pageBreakBefore w:val="0"/>
        <w:kinsoku/>
        <w:wordWrap/>
        <w:overflowPunct/>
        <w:topLinePunct w:val="0"/>
        <w:autoSpaceDE/>
        <w:autoSpaceDN/>
        <w:bidi w:val="0"/>
        <w:spacing w:line="360" w:lineRule="exact"/>
        <w:textAlignment w:val="auto"/>
        <w:rPr>
          <w:rFonts w:hint="eastAsia" w:ascii="仿宋" w:eastAsia="仿宋"/>
          <w:color w:val="000000" w:themeColor="text1"/>
          <w:sz w:val="24"/>
          <w:highlight w:val="none"/>
          <w14:textFill>
            <w14:solidFill>
              <w14:schemeClr w14:val="tx1"/>
            </w14:solidFill>
          </w14:textFill>
        </w:rPr>
      </w:pPr>
      <w:r>
        <w:rPr>
          <w:rFonts w:hint="eastAsia" w:ascii="仿宋" w:eastAsia="仿宋"/>
          <w:color w:val="000000" w:themeColor="text1"/>
          <w:sz w:val="24"/>
          <w:highlight w:val="none"/>
          <w14:textFill>
            <w14:solidFill>
              <w14:schemeClr w14:val="tx1"/>
            </w14:solidFill>
          </w14:textFill>
        </w:rPr>
        <w:t xml:space="preserve">签字(签章)：                   公章：                      </w:t>
      </w:r>
    </w:p>
    <w:p w14:paraId="0B6AD1B2">
      <w:pPr>
        <w:keepNext w:val="0"/>
        <w:keepLines w:val="0"/>
        <w:pageBreakBefore w:val="0"/>
        <w:kinsoku/>
        <w:wordWrap/>
        <w:overflowPunct/>
        <w:topLinePunct w:val="0"/>
        <w:autoSpaceDE/>
        <w:autoSpaceDN/>
        <w:bidi w:val="0"/>
        <w:spacing w:line="360" w:lineRule="exact"/>
        <w:textAlignment w:val="auto"/>
        <w:rPr>
          <w:rFonts w:hint="eastAsia" w:ascii="仿宋" w:eastAsia="仿宋"/>
          <w:color w:val="000000" w:themeColor="text1"/>
          <w:sz w:val="24"/>
          <w:highlight w:val="none"/>
          <w14:textFill>
            <w14:solidFill>
              <w14:schemeClr w14:val="tx1"/>
            </w14:solidFill>
          </w14:textFill>
        </w:rPr>
      </w:pPr>
      <w:r>
        <w:rPr>
          <w:rFonts w:hint="eastAsia" w:ascii="仿宋" w:eastAsia="仿宋"/>
          <w:color w:val="000000" w:themeColor="text1"/>
          <w:sz w:val="24"/>
          <w:highlight w:val="none"/>
          <w14:textFill>
            <w14:solidFill>
              <w14:schemeClr w14:val="tx1"/>
            </w14:solidFill>
          </w14:textFill>
        </w:rPr>
        <w:t xml:space="preserve">日期：    </w:t>
      </w:r>
    </w:p>
    <w:p w14:paraId="763ABC10">
      <w:pPr>
        <w:keepNext w:val="0"/>
        <w:keepLines w:val="0"/>
        <w:pageBreakBefore w:val="0"/>
        <w:kinsoku/>
        <w:wordWrap/>
        <w:overflowPunct/>
        <w:topLinePunct w:val="0"/>
        <w:autoSpaceDE/>
        <w:autoSpaceDN/>
        <w:bidi w:val="0"/>
        <w:spacing w:line="360" w:lineRule="exact"/>
        <w:textAlignment w:val="auto"/>
        <w:rPr>
          <w:rFonts w:hint="eastAsia" w:ascii="仿宋" w:eastAsia="仿宋"/>
          <w:b/>
          <w:color w:val="000000" w:themeColor="text1"/>
          <w:sz w:val="28"/>
          <w:szCs w:val="28"/>
          <w:highlight w:val="none"/>
          <w14:textFill>
            <w14:solidFill>
              <w14:schemeClr w14:val="tx1"/>
            </w14:solidFill>
          </w14:textFill>
        </w:rPr>
      </w:pPr>
    </w:p>
    <w:p w14:paraId="6B5FD371">
      <w:pPr>
        <w:keepNext w:val="0"/>
        <w:keepLines w:val="0"/>
        <w:pageBreakBefore w:val="0"/>
        <w:kinsoku/>
        <w:wordWrap/>
        <w:overflowPunct/>
        <w:topLinePunct w:val="0"/>
        <w:autoSpaceDE/>
        <w:autoSpaceDN/>
        <w:bidi w:val="0"/>
        <w:spacing w:line="360" w:lineRule="exact"/>
        <w:textAlignment w:val="auto"/>
        <w:rPr>
          <w:rFonts w:hint="eastAsia" w:ascii="仿宋" w:eastAsia="仿宋"/>
          <w:b/>
          <w:color w:val="000000" w:themeColor="text1"/>
          <w:sz w:val="28"/>
          <w:szCs w:val="28"/>
          <w:highlight w:val="none"/>
          <w14:textFill>
            <w14:solidFill>
              <w14:schemeClr w14:val="tx1"/>
            </w14:solidFill>
          </w14:textFill>
        </w:rPr>
      </w:pPr>
    </w:p>
    <w:p w14:paraId="501BF673">
      <w:pPr>
        <w:keepNext w:val="0"/>
        <w:keepLines w:val="0"/>
        <w:pageBreakBefore w:val="0"/>
        <w:kinsoku/>
        <w:wordWrap/>
        <w:overflowPunct/>
        <w:topLinePunct w:val="0"/>
        <w:autoSpaceDE/>
        <w:autoSpaceDN/>
        <w:bidi w:val="0"/>
        <w:spacing w:line="360" w:lineRule="exact"/>
        <w:textAlignment w:val="auto"/>
        <w:rPr>
          <w:rFonts w:hint="eastAsia" w:ascii="仿宋" w:eastAsia="仿宋"/>
          <w:b/>
          <w:color w:val="000000" w:themeColor="text1"/>
          <w:sz w:val="28"/>
          <w:szCs w:val="28"/>
          <w:highlight w:val="none"/>
          <w14:textFill>
            <w14:solidFill>
              <w14:schemeClr w14:val="tx1"/>
            </w14:solidFill>
          </w14:textFill>
        </w:rPr>
      </w:pPr>
    </w:p>
    <w:p w14:paraId="303618C2">
      <w:pPr>
        <w:keepNext w:val="0"/>
        <w:keepLines w:val="0"/>
        <w:pageBreakBefore w:val="0"/>
        <w:kinsoku/>
        <w:wordWrap/>
        <w:overflowPunct/>
        <w:topLinePunct w:val="0"/>
        <w:autoSpaceDE/>
        <w:autoSpaceDN/>
        <w:bidi w:val="0"/>
        <w:spacing w:line="360" w:lineRule="exact"/>
        <w:textAlignment w:val="auto"/>
        <w:rPr>
          <w:rFonts w:hint="eastAsia" w:ascii="仿宋" w:eastAsia="仿宋"/>
          <w:b/>
          <w:color w:val="000000" w:themeColor="text1"/>
          <w:sz w:val="24"/>
          <w:highlight w:val="none"/>
          <w14:textFill>
            <w14:solidFill>
              <w14:schemeClr w14:val="tx1"/>
            </w14:solidFill>
          </w14:textFill>
        </w:rPr>
      </w:pPr>
      <w:r>
        <w:rPr>
          <w:rFonts w:hint="eastAsia" w:ascii="仿宋" w:eastAsia="仿宋"/>
          <w:b/>
          <w:color w:val="000000" w:themeColor="text1"/>
          <w:sz w:val="24"/>
          <w:highlight w:val="none"/>
          <w14:textFill>
            <w14:solidFill>
              <w14:schemeClr w14:val="tx1"/>
            </w14:solidFill>
          </w14:textFill>
        </w:rPr>
        <w:t>质疑函制作说明：</w:t>
      </w:r>
    </w:p>
    <w:p w14:paraId="3FD6BD80">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 w:eastAsia="仿宋"/>
          <w:color w:val="000000" w:themeColor="text1"/>
          <w:sz w:val="24"/>
          <w:highlight w:val="none"/>
          <w14:textFill>
            <w14:solidFill>
              <w14:schemeClr w14:val="tx1"/>
            </w14:solidFill>
          </w14:textFill>
        </w:rPr>
      </w:pPr>
      <w:r>
        <w:rPr>
          <w:rFonts w:hint="eastAsia" w:ascii="仿宋" w:eastAsia="仿宋"/>
          <w:color w:val="000000" w:themeColor="text1"/>
          <w:sz w:val="24"/>
          <w:highlight w:val="none"/>
          <w14:textFill>
            <w14:solidFill>
              <w14:schemeClr w14:val="tx1"/>
            </w14:solidFill>
          </w14:textFill>
        </w:rPr>
        <w:t>1.供应商提出质疑时，应提交质疑函和必要的证明材料。</w:t>
      </w:r>
    </w:p>
    <w:p w14:paraId="618DB456">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 w:eastAsia="仿宋"/>
          <w:color w:val="000000" w:themeColor="text1"/>
          <w:sz w:val="24"/>
          <w:highlight w:val="none"/>
          <w14:textFill>
            <w14:solidFill>
              <w14:schemeClr w14:val="tx1"/>
            </w14:solidFill>
          </w14:textFill>
        </w:rPr>
      </w:pPr>
      <w:r>
        <w:rPr>
          <w:rFonts w:hint="eastAsia" w:ascii="仿宋" w:eastAsia="仿宋"/>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w:t>
      </w:r>
      <w:r>
        <w:rPr>
          <w:rFonts w:hint="eastAsia" w:ascii="仿宋" w:eastAsia="仿宋" w:cs="宋体"/>
          <w:color w:val="000000" w:themeColor="text1"/>
          <w:kern w:val="0"/>
          <w:sz w:val="24"/>
          <w:highlight w:val="none"/>
          <w:lang w:bidi="ar-SA"/>
          <w14:textFill>
            <w14:solidFill>
              <w14:schemeClr w14:val="tx1"/>
            </w14:solidFill>
          </w14:textFill>
        </w:rPr>
        <w:t>供应商签署的授权委托书。授权委托书应载明代理人的姓名或者名称、代理事项、具体权限、期限和相关事项。</w:t>
      </w:r>
    </w:p>
    <w:p w14:paraId="0ED54E5D">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 w:eastAsia="仿宋"/>
          <w:color w:val="000000" w:themeColor="text1"/>
          <w:sz w:val="24"/>
          <w:highlight w:val="none"/>
          <w14:textFill>
            <w14:solidFill>
              <w14:schemeClr w14:val="tx1"/>
            </w14:solidFill>
          </w14:textFill>
        </w:rPr>
      </w:pPr>
      <w:r>
        <w:rPr>
          <w:rFonts w:hint="eastAsia" w:ascii="仿宋" w:eastAsia="仿宋"/>
          <w:color w:val="000000" w:themeColor="text1"/>
          <w:sz w:val="24"/>
          <w:highlight w:val="none"/>
          <w14:textFill>
            <w14:solidFill>
              <w14:schemeClr w14:val="tx1"/>
            </w14:solidFill>
          </w14:textFill>
        </w:rPr>
        <w:t>3.质疑供应商若对项目的某一分包进行质疑，质疑函中应列明具体分包号。</w:t>
      </w:r>
    </w:p>
    <w:p w14:paraId="2BAC282B">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 w:eastAsia="仿宋"/>
          <w:color w:val="000000" w:themeColor="text1"/>
          <w:sz w:val="24"/>
          <w:highlight w:val="none"/>
          <w14:textFill>
            <w14:solidFill>
              <w14:schemeClr w14:val="tx1"/>
            </w14:solidFill>
          </w14:textFill>
        </w:rPr>
      </w:pPr>
      <w:r>
        <w:rPr>
          <w:rFonts w:hint="eastAsia" w:ascii="仿宋" w:eastAsia="仿宋"/>
          <w:color w:val="000000" w:themeColor="text1"/>
          <w:sz w:val="24"/>
          <w:highlight w:val="none"/>
          <w14:textFill>
            <w14:solidFill>
              <w14:schemeClr w14:val="tx1"/>
            </w14:solidFill>
          </w14:textFill>
        </w:rPr>
        <w:t>4.质疑函的质疑事项应具体、明确，并有必要的事实依据和法律依据。</w:t>
      </w:r>
    </w:p>
    <w:p w14:paraId="696D226F">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 w:eastAsia="仿宋"/>
          <w:color w:val="000000" w:themeColor="text1"/>
          <w:sz w:val="24"/>
          <w:highlight w:val="none"/>
          <w14:textFill>
            <w14:solidFill>
              <w14:schemeClr w14:val="tx1"/>
            </w14:solidFill>
          </w14:textFill>
        </w:rPr>
      </w:pPr>
      <w:r>
        <w:rPr>
          <w:rFonts w:hint="eastAsia" w:ascii="仿宋" w:eastAsia="仿宋"/>
          <w:color w:val="000000" w:themeColor="text1"/>
          <w:sz w:val="24"/>
          <w:highlight w:val="none"/>
          <w14:textFill>
            <w14:solidFill>
              <w14:schemeClr w14:val="tx1"/>
            </w14:solidFill>
          </w14:textFill>
        </w:rPr>
        <w:t>5.质疑函的质疑请求应与质疑事项相关。</w:t>
      </w:r>
    </w:p>
    <w:p w14:paraId="2457EE6C">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 w:eastAsia="仿宋"/>
          <w:color w:val="000000" w:themeColor="text1"/>
          <w:sz w:val="24"/>
          <w:highlight w:val="none"/>
          <w14:textFill>
            <w14:solidFill>
              <w14:schemeClr w14:val="tx1"/>
            </w14:solidFill>
          </w14:textFill>
        </w:rPr>
      </w:pPr>
      <w:r>
        <w:rPr>
          <w:rFonts w:hint="eastAsia" w:ascii="仿宋" w:eastAsia="仿宋"/>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0E917A94">
      <w:pPr>
        <w:widowControl/>
        <w:spacing w:line="360" w:lineRule="auto"/>
        <w:ind w:firstLine="420" w:firstLineChars="200"/>
        <w:jc w:val="left"/>
        <w:rPr>
          <w:rFonts w:hint="eastAsia"/>
          <w:b/>
          <w:color w:val="000000" w:themeColor="text1"/>
          <w:sz w:val="28"/>
          <w:szCs w:val="28"/>
          <w:highlight w:val="none"/>
          <w14:textFill>
            <w14:solidFill>
              <w14:schemeClr w14:val="tx1"/>
            </w14:solidFill>
          </w14:textFill>
        </w:rPr>
      </w:pPr>
      <w:r>
        <w:rPr>
          <w:rFonts w:hint="eastAsia"/>
          <w:color w:val="000000" w:themeColor="text1"/>
          <w:highlight w:val="none"/>
          <w14:textFill>
            <w14:solidFill>
              <w14:schemeClr w14:val="tx1"/>
            </w14:solidFill>
          </w14:textFill>
        </w:rPr>
        <w:drawing>
          <wp:anchor distT="0" distB="0" distL="114300" distR="114300" simplePos="0" relativeHeight="251659264" behindDoc="1" locked="0" layoutInCell="1" allowOverlap="1">
            <wp:simplePos x="0" y="0"/>
            <wp:positionH relativeFrom="column">
              <wp:posOffset>-35560</wp:posOffset>
            </wp:positionH>
            <wp:positionV relativeFrom="paragraph">
              <wp:posOffset>598805</wp:posOffset>
            </wp:positionV>
            <wp:extent cx="5150485" cy="4925060"/>
            <wp:effectExtent l="0" t="0" r="12065" b="8890"/>
            <wp:wrapNone/>
            <wp:docPr id="3" name="图片 9" descr="1694657842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descr="1694657842273"/>
                    <pic:cNvPicPr>
                      <a:picLocks noChangeAspect="1"/>
                    </pic:cNvPicPr>
                  </pic:nvPicPr>
                  <pic:blipFill>
                    <a:blip r:embed="rId14"/>
                    <a:stretch>
                      <a:fillRect/>
                    </a:stretch>
                  </pic:blipFill>
                  <pic:spPr>
                    <a:xfrm>
                      <a:off x="0" y="0"/>
                      <a:ext cx="5150485" cy="4925060"/>
                    </a:xfrm>
                    <a:prstGeom prst="rect">
                      <a:avLst/>
                    </a:prstGeom>
                    <a:noFill/>
                    <a:ln>
                      <a:noFill/>
                    </a:ln>
                  </pic:spPr>
                </pic:pic>
              </a:graphicData>
            </a:graphic>
          </wp:anchor>
        </w:drawing>
      </w:r>
    </w:p>
    <w:p w14:paraId="5D483DAA">
      <w:pPr>
        <w:pStyle w:val="12"/>
        <w:spacing w:line="440" w:lineRule="exact"/>
        <w:jc w:val="center"/>
        <w:rPr>
          <w:rFonts w:hint="eastAsia"/>
          <w:b/>
          <w:color w:val="000000" w:themeColor="text1"/>
          <w:sz w:val="28"/>
          <w:szCs w:val="28"/>
          <w:highlight w:val="none"/>
          <w14:textFill>
            <w14:solidFill>
              <w14:schemeClr w14:val="tx1"/>
            </w14:solidFill>
          </w14:textFill>
        </w:rPr>
      </w:pPr>
    </w:p>
    <w:p w14:paraId="01AC70D7">
      <w:pPr>
        <w:pStyle w:val="12"/>
        <w:spacing w:line="440" w:lineRule="exact"/>
        <w:rPr>
          <w:color w:val="000000" w:themeColor="text1"/>
          <w:highlight w:val="none"/>
          <w14:textFill>
            <w14:solidFill>
              <w14:schemeClr w14:val="tx1"/>
            </w14:solidFill>
          </w14:textFill>
        </w:rPr>
      </w:pPr>
    </w:p>
    <w:p w14:paraId="2F97C9BB">
      <w:pPr>
        <w:rPr>
          <w:color w:val="000000" w:themeColor="text1"/>
          <w:highlight w:val="none"/>
          <w14:textFill>
            <w14:solidFill>
              <w14:schemeClr w14:val="tx1"/>
            </w14:solidFill>
          </w14:textFill>
        </w:rPr>
      </w:pPr>
    </w:p>
    <w:p w14:paraId="10FC8E93">
      <w:pPr>
        <w:rPr>
          <w:color w:val="000000" w:themeColor="text1"/>
          <w:highlight w:val="none"/>
          <w14:textFill>
            <w14:solidFill>
              <w14:schemeClr w14:val="tx1"/>
            </w14:solidFill>
          </w14:textFill>
        </w:rPr>
      </w:pPr>
    </w:p>
    <w:sectPr>
      <w:headerReference r:id="rId11" w:type="default"/>
      <w:footerReference r:id="rId12" w:type="default"/>
      <w:pgSz w:w="11910" w:h="16850"/>
      <w:pgMar w:top="1417" w:right="1417" w:bottom="1417" w:left="1417" w:header="876" w:footer="861"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6048C">
    <w:pPr>
      <w:pStyle w:val="14"/>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7A0BE8">
                          <w:pPr>
                            <w:pStyle w:val="14"/>
                            <w:jc w:val="center"/>
                            <w:rPr>
                              <w:rStyle w:val="23"/>
                              <w:rFonts w:hint="eastAsia"/>
                            </w:rPr>
                          </w:pPr>
                          <w:r>
                            <w:fldChar w:fldCharType="begin"/>
                          </w:r>
                          <w:r>
                            <w:rPr>
                              <w:rStyle w:val="23"/>
                            </w:rPr>
                            <w:instrText xml:space="preserve">PAGE  </w:instrText>
                          </w:r>
                          <w:r>
                            <w:fldChar w:fldCharType="separate"/>
                          </w:r>
                          <w:r>
                            <w:rPr>
                              <w:rStyle w:val="23"/>
                            </w:rP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147A0BE8">
                    <w:pPr>
                      <w:pStyle w:val="14"/>
                      <w:jc w:val="center"/>
                      <w:rPr>
                        <w:rStyle w:val="23"/>
                        <w:rFonts w:hint="eastAsia"/>
                      </w:rPr>
                    </w:pPr>
                    <w:r>
                      <w:fldChar w:fldCharType="begin"/>
                    </w:r>
                    <w:r>
                      <w:rPr>
                        <w:rStyle w:val="23"/>
                      </w:rPr>
                      <w:instrText xml:space="preserve">PAGE  </w:instrText>
                    </w:r>
                    <w:r>
                      <w:fldChar w:fldCharType="separate"/>
                    </w:r>
                    <w:r>
                      <w:rPr>
                        <w:rStyle w:val="23"/>
                      </w:rP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8C910">
    <w:pPr>
      <w:pStyle w:val="14"/>
      <w:framePr w:wrap="around" w:vAnchor="text" w:hAnchor="margin" w:xAlign="center" w:y="1"/>
      <w:rPr>
        <w:rStyle w:val="23"/>
      </w:rPr>
    </w:pPr>
    <w:r>
      <w:fldChar w:fldCharType="begin"/>
    </w:r>
    <w:r>
      <w:rPr>
        <w:rStyle w:val="23"/>
      </w:rPr>
      <w:instrText xml:space="preserve">PAGE  </w:instrText>
    </w:r>
    <w:r>
      <w:fldChar w:fldCharType="separate"/>
    </w:r>
    <w:r>
      <w:rPr>
        <w:rStyle w:val="23"/>
      </w:rPr>
      <w:t>1</w:t>
    </w:r>
    <w:r>
      <w:fldChar w:fldCharType="end"/>
    </w:r>
  </w:p>
  <w:p w14:paraId="7E98CD85">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75341">
    <w:pPr>
      <w:pStyle w:val="14"/>
      <w:jc w:val="center"/>
    </w:pPr>
    <w:r>
      <w:fldChar w:fldCharType="begin"/>
    </w:r>
    <w:r>
      <w:instrText xml:space="preserve">PAGE   \* MERGEFORMAT</w:instrText>
    </w:r>
    <w:r>
      <w:fldChar w:fldCharType="separate"/>
    </w:r>
    <w:r>
      <w:rPr>
        <w:lang w:val="zh-CN"/>
      </w:rPr>
      <w:t>65</w:t>
    </w:r>
    <w:r>
      <w:fldChar w:fldCharType="end"/>
    </w:r>
  </w:p>
  <w:p w14:paraId="24A23418">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C91CE">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ABAA5">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B1BA63">
                          <w:pPr>
                            <w:pStyle w:val="14"/>
                          </w:pPr>
                          <w:r>
                            <w:fldChar w:fldCharType="begin"/>
                          </w:r>
                          <w:r>
                            <w:instrText xml:space="preserve"> PAGE  \* MERGEFORMAT </w:instrText>
                          </w:r>
                          <w:r>
                            <w:fldChar w:fldCharType="separate"/>
                          </w:r>
                          <w:r>
                            <w:t>64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3B1BA63">
                    <w:pPr>
                      <w:pStyle w:val="14"/>
                    </w:pPr>
                    <w:r>
                      <w:fldChar w:fldCharType="begin"/>
                    </w:r>
                    <w:r>
                      <w:instrText xml:space="preserve"> PAGE  \* MERGEFORMAT </w:instrText>
                    </w:r>
                    <w:r>
                      <w:fldChar w:fldCharType="separate"/>
                    </w:r>
                    <w:r>
                      <w:t>64</w:t>
                    </w:r>
                    <w:r>
                      <w:fldChar w:fldCharType="end"/>
                    </w:r>
                  </w:p>
                </w:txbxContent>
              </v:textbox>
            </v:shape>
          </w:pict>
        </mc:Fallback>
      </mc:AlternateContent>
    </w:r>
  </w:p>
  <w:p w14:paraId="1772A10A">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097B8">
    <w:pPr>
      <w:pStyle w:val="15"/>
      <w:pBdr>
        <w:bottom w:val="none" w:color="auto" w:sz="0" w:space="0"/>
      </w:pBdr>
      <w:jc w:val="righ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4D482">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6723C">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E2A4C">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55497">
    <w:pPr>
      <w:pStyle w:val="15"/>
      <w:pBdr>
        <w:top w:val="none" w:color="auto" w:sz="0" w:space="0"/>
        <w:left w:val="none" w:color="auto" w:sz="0" w:space="0"/>
        <w:bottom w:val="none" w:color="auto" w:sz="0" w:space="1"/>
        <w:right w:val="none" w:color="auto" w:sz="0" w:space="0"/>
        <w:between w:val="none" w:color="auto" w:sz="0" w:space="0"/>
      </w:pBdr>
      <w:ind w:firstLine="0" w:firstLineChars="0"/>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BCCAE"/>
    <w:multiLevelType w:val="singleLevel"/>
    <w:tmpl w:val="91EBCCAE"/>
    <w:lvl w:ilvl="0" w:tentative="0">
      <w:start w:val="1"/>
      <w:numFmt w:val="decimal"/>
      <w:lvlText w:val="%1."/>
      <w:lvlJc w:val="left"/>
      <w:pPr>
        <w:tabs>
          <w:tab w:val="left" w:pos="312"/>
        </w:tabs>
        <w:ind w:left="0" w:firstLine="0"/>
      </w:pPr>
    </w:lvl>
  </w:abstractNum>
  <w:abstractNum w:abstractNumId="1">
    <w:nsid w:val="FC88ADFE"/>
    <w:multiLevelType w:val="singleLevel"/>
    <w:tmpl w:val="FC88ADFE"/>
    <w:lvl w:ilvl="0" w:tentative="0">
      <w:start w:val="1"/>
      <w:numFmt w:val="chineseCounting"/>
      <w:suff w:val="nothing"/>
      <w:lvlText w:val="%1、"/>
      <w:lvlJc w:val="left"/>
      <w:rPr>
        <w:rFonts w:hint="eastAsia"/>
      </w:rPr>
    </w:lvl>
  </w:abstractNum>
  <w:abstractNum w:abstractNumId="2">
    <w:nsid w:val="19E2C338"/>
    <w:multiLevelType w:val="multilevel"/>
    <w:tmpl w:val="19E2C338"/>
    <w:lvl w:ilvl="0" w:tentative="0">
      <w:start w:val="1"/>
      <w:numFmt w:val="decimal"/>
      <w:lvlText w:val="%1."/>
      <w:legacy w:legacy="1" w:legacySpace="0" w:legacyIndent="360"/>
      <w:lvlJc w:val="left"/>
      <w:pPr>
        <w:ind w:left="772" w:hanging="360"/>
      </w:pPr>
      <w:rPr>
        <w:rFonts w:hint="default" w:ascii="宋体" w:hAnsi="宋体"/>
        <w:bCs/>
        <w:iCs w:val="0"/>
      </w:rPr>
    </w:lvl>
    <w:lvl w:ilvl="1" w:tentative="0">
      <w:start w:val="1"/>
      <w:numFmt w:val="lowerLetter"/>
      <w:lvlText w:val="%2)"/>
      <w:legacy w:legacy="1" w:legacySpace="0" w:legacyIndent="420"/>
      <w:lvlJc w:val="left"/>
      <w:pPr>
        <w:ind w:left="1252" w:hanging="420"/>
      </w:pPr>
    </w:lvl>
    <w:lvl w:ilvl="2" w:tentative="0">
      <w:start w:val="1"/>
      <w:numFmt w:val="lowerRoman"/>
      <w:lvlText w:val="%3."/>
      <w:legacy w:legacy="1" w:legacySpace="0" w:legacyIndent="420"/>
      <w:lvlJc w:val="right"/>
      <w:pPr>
        <w:ind w:left="1672" w:hanging="420"/>
      </w:pPr>
    </w:lvl>
    <w:lvl w:ilvl="3" w:tentative="0">
      <w:start w:val="1"/>
      <w:numFmt w:val="decimal"/>
      <w:lvlText w:val="%4."/>
      <w:legacy w:legacy="1" w:legacySpace="0" w:legacyIndent="420"/>
      <w:lvlJc w:val="left"/>
      <w:pPr>
        <w:ind w:left="2092" w:hanging="420"/>
      </w:pPr>
    </w:lvl>
    <w:lvl w:ilvl="4" w:tentative="0">
      <w:start w:val="1"/>
      <w:numFmt w:val="lowerLetter"/>
      <w:lvlText w:val="%5)"/>
      <w:legacy w:legacy="1" w:legacySpace="0" w:legacyIndent="420"/>
      <w:lvlJc w:val="left"/>
      <w:pPr>
        <w:ind w:left="2512" w:hanging="420"/>
      </w:pPr>
    </w:lvl>
    <w:lvl w:ilvl="5" w:tentative="0">
      <w:start w:val="1"/>
      <w:numFmt w:val="lowerRoman"/>
      <w:lvlText w:val="%6."/>
      <w:legacy w:legacy="1" w:legacySpace="0" w:legacyIndent="420"/>
      <w:lvlJc w:val="right"/>
      <w:pPr>
        <w:ind w:left="2932" w:hanging="420"/>
      </w:pPr>
    </w:lvl>
    <w:lvl w:ilvl="6" w:tentative="0">
      <w:start w:val="1"/>
      <w:numFmt w:val="decimal"/>
      <w:lvlText w:val="%7."/>
      <w:legacy w:legacy="1" w:legacySpace="0" w:legacyIndent="420"/>
      <w:lvlJc w:val="left"/>
      <w:pPr>
        <w:ind w:left="3352" w:hanging="420"/>
      </w:pPr>
    </w:lvl>
    <w:lvl w:ilvl="7" w:tentative="0">
      <w:start w:val="1"/>
      <w:numFmt w:val="lowerLetter"/>
      <w:lvlText w:val="%8)"/>
      <w:legacy w:legacy="1" w:legacySpace="0" w:legacyIndent="420"/>
      <w:lvlJc w:val="left"/>
      <w:pPr>
        <w:ind w:left="3772" w:hanging="420"/>
      </w:pPr>
    </w:lvl>
    <w:lvl w:ilvl="8" w:tentative="0">
      <w:start w:val="1"/>
      <w:numFmt w:val="lowerRoman"/>
      <w:lvlText w:val="%9."/>
      <w:legacy w:legacy="1" w:legacySpace="0" w:legacyIndent="420"/>
      <w:lvlJc w:val="right"/>
      <w:pPr>
        <w:ind w:left="4192" w:hanging="420"/>
      </w:pPr>
    </w:lvl>
  </w:abstractNum>
  <w:abstractNum w:abstractNumId="3">
    <w:nsid w:val="2939AA4F"/>
    <w:multiLevelType w:val="singleLevel"/>
    <w:tmpl w:val="2939AA4F"/>
    <w:lvl w:ilvl="0" w:tentative="0">
      <w:start w:val="1"/>
      <w:numFmt w:val="decimal"/>
      <w:suff w:val="nothing"/>
      <w:lvlText w:val="（%1）"/>
      <w:lvlJc w:val="left"/>
      <w:pPr>
        <w:tabs>
          <w:tab w:val="left" w:pos="0"/>
        </w:tabs>
        <w:ind w:left="0" w:firstLine="0"/>
      </w:pPr>
    </w:lvl>
  </w:abstractNum>
  <w:abstractNum w:abstractNumId="4">
    <w:nsid w:val="5498E193"/>
    <w:multiLevelType w:val="singleLevel"/>
    <w:tmpl w:val="5498E193"/>
    <w:lvl w:ilvl="0" w:tentative="0">
      <w:start w:val="11"/>
      <w:numFmt w:val="decimal"/>
      <w:suff w:val="space"/>
      <w:lvlText w:val="%1."/>
      <w:lvlJc w:val="left"/>
    </w:lvl>
  </w:abstractNum>
  <w:abstractNum w:abstractNumId="5">
    <w:nsid w:val="5A7AC2E0"/>
    <w:multiLevelType w:val="multilevel"/>
    <w:tmpl w:val="5A7AC2E0"/>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ascii="宋体" w:hAnsi="宋体" w:eastAsia="宋体"/>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6">
    <w:nsid w:val="5B9D5309"/>
    <w:multiLevelType w:val="singleLevel"/>
    <w:tmpl w:val="5B9D5309"/>
    <w:lvl w:ilvl="0" w:tentative="0">
      <w:start w:val="6"/>
      <w:numFmt w:val="chineseCounting"/>
      <w:suff w:val="nothing"/>
      <w:lvlText w:val="%1、"/>
      <w:lvlJc w:val="left"/>
      <w:rPr>
        <w:rFonts w:hint="eastAsia"/>
      </w:rPr>
    </w:lvl>
  </w:abstractNum>
  <w:abstractNum w:abstractNumId="7">
    <w:nsid w:val="5B9D530A"/>
    <w:multiLevelType w:val="singleLevel"/>
    <w:tmpl w:val="5B9D530A"/>
    <w:lvl w:ilvl="0" w:tentative="0">
      <w:start w:val="2"/>
      <w:numFmt w:val="decimal"/>
      <w:lvlText w:val="%1."/>
      <w:lvlJc w:val="left"/>
      <w:pPr>
        <w:tabs>
          <w:tab w:val="left" w:pos="312"/>
        </w:tabs>
      </w:pPr>
    </w:lvl>
  </w:abstractNum>
  <w:abstractNum w:abstractNumId="8">
    <w:nsid w:val="7D335EFA"/>
    <w:multiLevelType w:val="singleLevel"/>
    <w:tmpl w:val="7D335EFA"/>
    <w:lvl w:ilvl="0" w:tentative="0">
      <w:start w:val="1"/>
      <w:numFmt w:val="decimal"/>
      <w:suff w:val="space"/>
      <w:lvlText w:val="%1."/>
      <w:lvlJc w:val="left"/>
      <w:pPr>
        <w:tabs>
          <w:tab w:val="left" w:pos="0"/>
        </w:tabs>
        <w:ind w:left="0" w:firstLine="0"/>
      </w:pPr>
    </w:lvl>
  </w:abstractNum>
  <w:num w:numId="1">
    <w:abstractNumId w:val="3"/>
  </w:num>
  <w:num w:numId="2">
    <w:abstractNumId w:val="2"/>
  </w:num>
  <w:num w:numId="3">
    <w:abstractNumId w:val="5"/>
  </w:num>
  <w:num w:numId="4">
    <w:abstractNumId w:val="4"/>
  </w:num>
  <w:num w:numId="5">
    <w:abstractNumId w:val="6"/>
  </w:num>
  <w:num w:numId="6">
    <w:abstractNumId w:val="7"/>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B11285"/>
    <w:rsid w:val="0AC146AD"/>
    <w:rsid w:val="0DC91529"/>
    <w:rsid w:val="0F4A0196"/>
    <w:rsid w:val="10984641"/>
    <w:rsid w:val="10B71B0D"/>
    <w:rsid w:val="154C5AD8"/>
    <w:rsid w:val="168F20AA"/>
    <w:rsid w:val="20DE1C7C"/>
    <w:rsid w:val="22045743"/>
    <w:rsid w:val="23492A98"/>
    <w:rsid w:val="26A8388C"/>
    <w:rsid w:val="27FF75AA"/>
    <w:rsid w:val="4427252A"/>
    <w:rsid w:val="47EC1AC1"/>
    <w:rsid w:val="4B3612A5"/>
    <w:rsid w:val="4C470B68"/>
    <w:rsid w:val="4FDD187C"/>
    <w:rsid w:val="52DE4601"/>
    <w:rsid w:val="54A939C1"/>
    <w:rsid w:val="56570A4D"/>
    <w:rsid w:val="5A994D58"/>
    <w:rsid w:val="5BFB3FFB"/>
    <w:rsid w:val="618A0ACD"/>
    <w:rsid w:val="68AB5D4F"/>
    <w:rsid w:val="6C4C04D0"/>
    <w:rsid w:val="6FD131C7"/>
    <w:rsid w:val="70C264D6"/>
    <w:rsid w:val="71C46B41"/>
    <w:rsid w:val="742965A4"/>
    <w:rsid w:val="7F984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0"/>
    <w:pPr>
      <w:keepNext/>
      <w:keepLines/>
      <w:spacing w:before="340" w:after="330" w:line="578" w:lineRule="auto"/>
      <w:outlineLvl w:val="0"/>
    </w:pPr>
    <w:rPr>
      <w:b/>
      <w:bCs/>
      <w:kern w:val="44"/>
      <w:sz w:val="36"/>
      <w:szCs w:val="44"/>
    </w:rPr>
  </w:style>
  <w:style w:type="paragraph" w:styleId="2">
    <w:name w:val="heading 2"/>
    <w:basedOn w:val="1"/>
    <w:next w:val="1"/>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link w:val="26"/>
    <w:qFormat/>
    <w:uiPriority w:val="0"/>
    <w:pPr>
      <w:keepNext/>
      <w:keepLines/>
      <w:widowControl/>
      <w:spacing w:before="260" w:after="260" w:line="416" w:lineRule="auto"/>
      <w:outlineLvl w:val="2"/>
    </w:pPr>
    <w:rPr>
      <w:b/>
      <w:bCs/>
      <w:sz w:val="24"/>
      <w:szCs w:val="32"/>
    </w:rPr>
  </w:style>
  <w:style w:type="paragraph" w:styleId="5">
    <w:name w:val="heading 4"/>
    <w:basedOn w:val="1"/>
    <w:next w:val="1"/>
    <w:qFormat/>
    <w:uiPriority w:val="0"/>
    <w:pPr>
      <w:keepNext/>
      <w:keepLines/>
      <w:widowControl/>
      <w:spacing w:before="200" w:line="276" w:lineRule="auto"/>
      <w:jc w:val="left"/>
      <w:outlineLvl w:val="3"/>
    </w:pPr>
    <w:rPr>
      <w:rFonts w:ascii="Calibri Light" w:hAnsi="Calibri Light" w:cs="Times New Roman"/>
      <w:b/>
      <w:bCs/>
      <w:iCs/>
      <w:szCs w:val="2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index 8"/>
    <w:basedOn w:val="1"/>
    <w:next w:val="1"/>
    <w:qFormat/>
    <w:uiPriority w:val="0"/>
    <w:pPr>
      <w:ind w:left="1400" w:leftChars="1400" w:firstLine="0"/>
    </w:pPr>
  </w:style>
  <w:style w:type="paragraph" w:styleId="7">
    <w:name w:val="Normal Indent"/>
    <w:basedOn w:val="1"/>
    <w:qFormat/>
    <w:uiPriority w:val="0"/>
    <w:pPr>
      <w:ind w:firstLine="420"/>
    </w:pPr>
    <w:rPr>
      <w:szCs w:val="20"/>
    </w:rPr>
  </w:style>
  <w:style w:type="paragraph" w:styleId="8">
    <w:name w:val="annotation text"/>
    <w:basedOn w:val="1"/>
    <w:qFormat/>
    <w:uiPriority w:val="0"/>
    <w:pPr>
      <w:widowControl/>
      <w:jc w:val="left"/>
    </w:pPr>
    <w:rPr>
      <w:rFonts w:ascii="Calibri" w:hAnsi="Calibri" w:eastAsia="宋体" w:cs="Times New Roman"/>
    </w:rPr>
  </w:style>
  <w:style w:type="paragraph" w:styleId="9">
    <w:name w:val="Body Text"/>
    <w:basedOn w:val="1"/>
    <w:next w:val="1"/>
    <w:unhideWhenUsed/>
    <w:qFormat/>
    <w:uiPriority w:val="0"/>
    <w:pPr>
      <w:spacing w:after="120"/>
    </w:pPr>
  </w:style>
  <w:style w:type="paragraph" w:styleId="10">
    <w:name w:val="Body Text Indent"/>
    <w:basedOn w:val="1"/>
    <w:qFormat/>
    <w:uiPriority w:val="0"/>
    <w:pPr>
      <w:spacing w:after="120" w:line="360" w:lineRule="exact"/>
      <w:ind w:left="420" w:leftChars="200" w:firstLine="200" w:firstLineChars="200"/>
    </w:pPr>
  </w:style>
  <w:style w:type="paragraph" w:styleId="11">
    <w:name w:val="Block Text"/>
    <w:basedOn w:val="1"/>
    <w:qFormat/>
    <w:uiPriority w:val="0"/>
    <w:pPr>
      <w:widowControl/>
      <w:overflowPunct w:val="0"/>
      <w:autoSpaceDE w:val="0"/>
      <w:autoSpaceDN w:val="0"/>
      <w:adjustRightInd w:val="0"/>
      <w:snapToGrid w:val="0"/>
      <w:spacing w:line="360" w:lineRule="auto"/>
      <w:ind w:left="1440" w:right="-510" w:hanging="759"/>
      <w:textAlignment w:val="baseline"/>
    </w:pPr>
    <w:rPr>
      <w:kern w:val="0"/>
      <w:sz w:val="24"/>
      <w:szCs w:val="20"/>
    </w:rPr>
  </w:style>
  <w:style w:type="paragraph" w:styleId="12">
    <w:name w:val="Plain Text"/>
    <w:basedOn w:val="1"/>
    <w:qFormat/>
    <w:uiPriority w:val="0"/>
    <w:rPr>
      <w:rFonts w:ascii="宋体" w:hAnsi="Courier New" w:cs="Times New Roman"/>
      <w:szCs w:val="22"/>
    </w:rPr>
  </w:style>
  <w:style w:type="paragraph" w:styleId="13">
    <w:name w:val="Balloon Text"/>
    <w:basedOn w:val="1"/>
    <w:unhideWhenUsed/>
    <w:qFormat/>
    <w:uiPriority w:val="0"/>
    <w:rPr>
      <w:sz w:val="18"/>
      <w:szCs w:val="18"/>
    </w:rPr>
  </w:style>
  <w:style w:type="paragraph" w:styleId="14">
    <w:name w:val="footer"/>
    <w:basedOn w:val="1"/>
    <w:unhideWhenUsed/>
    <w:qFormat/>
    <w:uiPriority w:val="0"/>
    <w:pPr>
      <w:tabs>
        <w:tab w:val="center" w:pos="4153"/>
        <w:tab w:val="right" w:pos="8306"/>
      </w:tabs>
      <w:snapToGrid w:val="0"/>
      <w:jc w:val="left"/>
    </w:pPr>
    <w:rPr>
      <w:sz w:val="18"/>
      <w:szCs w:val="18"/>
    </w:rPr>
  </w:style>
  <w:style w:type="paragraph" w:styleId="1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2"/>
    <w:basedOn w:val="10"/>
    <w:unhideWhenUsed/>
    <w:qFormat/>
    <w:uiPriority w:val="99"/>
    <w:pPr>
      <w:ind w:firstLine="420" w:firstLineChars="200"/>
    </w:p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paragraph" w:customStyle="1" w:styleId="24">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styleId="25">
    <w:name w:val="List Paragraph"/>
    <w:basedOn w:val="1"/>
    <w:qFormat/>
    <w:uiPriority w:val="0"/>
    <w:pPr>
      <w:ind w:firstLine="420" w:firstLineChars="200"/>
    </w:pPr>
  </w:style>
  <w:style w:type="character" w:customStyle="1" w:styleId="26">
    <w:name w:val="标题 3 字符"/>
    <w:link w:val="4"/>
    <w:qFormat/>
    <w:uiPriority w:val="0"/>
    <w:rPr>
      <w:b/>
      <w:bCs/>
      <w:sz w:val="24"/>
      <w:szCs w:val="32"/>
    </w:rPr>
  </w:style>
  <w:style w:type="paragraph" w:customStyle="1" w:styleId="27">
    <w:name w:val="p0"/>
    <w:basedOn w:val="1"/>
    <w:qFormat/>
    <w:uiPriority w:val="0"/>
    <w:pPr>
      <w:widowControl/>
    </w:pPr>
    <w:rPr>
      <w:rFonts w:ascii="Calibri" w:hAnsi="Calibri" w:cs="宋体"/>
      <w:kern w:val="0"/>
      <w:szCs w:val="21"/>
    </w:rPr>
  </w:style>
  <w:style w:type="paragraph" w:customStyle="1" w:styleId="28">
    <w:name w:val="首行缩进"/>
    <w:basedOn w:val="1"/>
    <w:qFormat/>
    <w:uiPriority w:val="0"/>
    <w:pPr>
      <w:spacing w:line="360" w:lineRule="auto"/>
      <w:ind w:firstLine="480" w:firstLineChars="200"/>
    </w:pPr>
    <w:rPr>
      <w:rFonts w:ascii="宋体" w:hAnsi="宋体"/>
      <w:kern w:val="0"/>
      <w:sz w:val="24"/>
    </w:rPr>
  </w:style>
  <w:style w:type="paragraph" w:customStyle="1" w:styleId="29">
    <w:name w:val="正文呀2_1"/>
    <w:basedOn w:val="30"/>
    <w:qFormat/>
    <w:uiPriority w:val="0"/>
    <w:rPr>
      <w:rFonts w:ascii="Times New Roman" w:hAnsi="Times New Roman" w:eastAsia="宋体" w:cs="Times New Roman"/>
      <w:kern w:val="2"/>
      <w:sz w:val="21"/>
      <w:lang w:val="en-US" w:eastAsia="zh-CN"/>
    </w:rPr>
  </w:style>
  <w:style w:type="paragraph" w:customStyle="1" w:styleId="30">
    <w:name w:val="正文呀_1"/>
    <w:basedOn w:val="31"/>
    <w:qFormat/>
    <w:uiPriority w:val="0"/>
    <w:pPr>
      <w:spacing w:line="420" w:lineRule="exact"/>
      <w:ind w:firstLine="420" w:firstLineChars="200"/>
    </w:pPr>
    <w:rPr>
      <w:rFonts w:ascii="宋体" w:hAnsi="宋体"/>
      <w:kern w:val="0"/>
      <w:sz w:val="20"/>
      <w:szCs w:val="21"/>
      <w:lang w:val="zh-CN" w:eastAsia="zh-CN"/>
    </w:rPr>
  </w:style>
  <w:style w:type="paragraph" w:customStyle="1" w:styleId="31">
    <w:name w:val="正文_0"/>
    <w:next w:val="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正文文本_0"/>
    <w:basedOn w:val="31"/>
    <w:unhideWhenUsed/>
    <w:qFormat/>
    <w:uiPriority w:val="99"/>
    <w:pPr>
      <w:adjustRightInd w:val="0"/>
      <w:spacing w:after="60" w:line="360" w:lineRule="atLeast"/>
      <w:ind w:left="72" w:leftChars="30" w:right="30" w:rightChars="30"/>
      <w:jc w:val="center"/>
    </w:pPr>
    <w:rPr>
      <w:rFonts w:ascii="Calibri" w:hAnsi="Calibri"/>
      <w:kern w:val="0"/>
      <w:sz w:val="20"/>
      <w:szCs w:val="20"/>
      <w:lang w:val="zh-CN" w:eastAsia="zh-CN"/>
    </w:rPr>
  </w:style>
  <w:style w:type="paragraph" w:customStyle="1" w:styleId="33">
    <w:name w:val="无间隔_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35">
    <w:name w:val="NormalCharacter"/>
    <w:semiHidden/>
    <w:qFormat/>
    <w:uiPriority w:val="0"/>
  </w:style>
  <w:style w:type="paragraph" w:customStyle="1" w:styleId="36">
    <w:name w:val="BodyText"/>
    <w:basedOn w:val="1"/>
    <w:qFormat/>
    <w:locked/>
    <w:uiPriority w:val="0"/>
    <w:pPr>
      <w:spacing w:after="60" w:line="360" w:lineRule="atLeast"/>
      <w:ind w:left="72" w:leftChars="30" w:right="30" w:rightChars="30"/>
      <w:jc w:val="center"/>
    </w:pPr>
    <w:rPr>
      <w:kern w:val="0"/>
      <w:sz w:val="20"/>
      <w:szCs w:val="20"/>
    </w:rPr>
  </w:style>
  <w:style w:type="paragraph" w:customStyle="1" w:styleId="37">
    <w:name w:val="PlainText"/>
    <w:basedOn w:val="1"/>
    <w:next w:val="38"/>
    <w:qFormat/>
    <w:locked/>
    <w:uiPriority w:val="0"/>
    <w:rPr>
      <w:rFonts w:ascii="宋体" w:hAnsi="Courier New"/>
      <w:szCs w:val="20"/>
    </w:rPr>
  </w:style>
  <w:style w:type="paragraph" w:customStyle="1" w:styleId="38">
    <w:name w:val="Index8"/>
    <w:basedOn w:val="1"/>
    <w:next w:val="1"/>
    <w:qFormat/>
    <w:locked/>
    <w:uiPriority w:val="0"/>
    <w:pPr>
      <w:ind w:left="2940"/>
    </w:pPr>
  </w:style>
  <w:style w:type="paragraph" w:customStyle="1" w:styleId="39">
    <w:name w:val="1"/>
    <w:basedOn w:val="1"/>
    <w:next w:val="12"/>
    <w:qFormat/>
    <w:uiPriority w:val="0"/>
    <w:rPr>
      <w:rFonts w:ascii="宋体"/>
      <w:szCs w:val="20"/>
    </w:rPr>
  </w:style>
  <w:style w:type="paragraph" w:customStyle="1" w:styleId="40">
    <w:name w:val="Other|1"/>
    <w:basedOn w:val="1"/>
    <w:qFormat/>
    <w:uiPriority w:val="0"/>
    <w:pPr>
      <w:spacing w:line="314" w:lineRule="exact"/>
    </w:pPr>
    <w:rPr>
      <w:rFonts w:ascii="宋体" w:cs="宋体"/>
      <w:sz w:val="20"/>
      <w:szCs w:val="20"/>
      <w:lang w:val="zh-TW" w:eastAsia="zh-TW" w:bidi="zh-TW"/>
    </w:rPr>
  </w:style>
  <w:style w:type="paragraph" w:customStyle="1" w:styleId="41">
    <w:name w:val="正文小标题"/>
    <w:basedOn w:val="3"/>
    <w:link w:val="45"/>
    <w:qFormat/>
    <w:uiPriority w:val="0"/>
    <w:pPr>
      <w:spacing w:before="480" w:after="0" w:line="420" w:lineRule="exact"/>
    </w:pPr>
    <w:rPr>
      <w:sz w:val="21"/>
      <w:szCs w:val="21"/>
    </w:rPr>
  </w:style>
  <w:style w:type="paragraph" w:customStyle="1" w:styleId="42">
    <w:name w:val="正文呀2"/>
    <w:basedOn w:val="43"/>
    <w:qFormat/>
    <w:uiPriority w:val="0"/>
    <w:pPr>
      <w:spacing w:line="420" w:lineRule="exact"/>
      <w:ind w:firstLine="200" w:firstLineChars="200"/>
    </w:pPr>
  </w:style>
  <w:style w:type="paragraph" w:customStyle="1" w:styleId="43">
    <w:name w:val="正文呀"/>
    <w:basedOn w:val="1"/>
    <w:qFormat/>
    <w:uiPriority w:val="0"/>
    <w:pPr>
      <w:spacing w:line="420" w:lineRule="exact"/>
      <w:ind w:firstLine="200" w:firstLineChars="200"/>
    </w:pPr>
    <w:rPr>
      <w:rFonts w:ascii="宋体"/>
      <w:szCs w:val="21"/>
    </w:rPr>
  </w:style>
  <w:style w:type="paragraph" w:customStyle="1" w:styleId="44">
    <w:name w:val="正文_1_0"/>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45">
    <w:name w:val="正文小标题 Char"/>
    <w:basedOn w:val="46"/>
    <w:link w:val="41"/>
    <w:qFormat/>
    <w:uiPriority w:val="0"/>
    <w:rPr>
      <w:sz w:val="21"/>
      <w:szCs w:val="21"/>
    </w:rPr>
  </w:style>
  <w:style w:type="character" w:customStyle="1" w:styleId="46">
    <w:name w:val="标题 1 Char"/>
    <w:basedOn w:val="22"/>
    <w:link w:val="3"/>
    <w:qFormat/>
    <w:uiPriority w:val="0"/>
    <w:rPr>
      <w:b/>
      <w:bCs/>
      <w:kern w:val="44"/>
      <w:sz w:val="36"/>
      <w:szCs w:val="44"/>
    </w:rPr>
  </w:style>
  <w:style w:type="paragraph" w:styleId="4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_5"/>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25319</Words>
  <Characters>27176</Characters>
  <Lines>0</Lines>
  <Paragraphs>0</Paragraphs>
  <TotalTime>14</TotalTime>
  <ScaleCrop>false</ScaleCrop>
  <LinksUpToDate>false</LinksUpToDate>
  <CharactersWithSpaces>28512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2026-03-24T01:55:00Z</dcterms:created>
  <dc:creator>Admin</dc:creator>
  <cp:lastModifiedBy>Transformation</cp:lastModifiedBy>
  <dcterms:modified xsi:type="dcterms:W3CDTF">2026-04-10T02:03:19Z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eyJoZGlkIjoiMGY4YjEzZmY0Mzc4NjZkMWE3MzUwMzY5ZDk2MDUwYTUiLCJ1c2VySWQiOiIxNjg4MDQzMDI3In0=</vt:lpwstr>
  </property>
  <property fmtid="{D5CDD505-2E9C-101B-9397-08002B2CF9AE}" pid="4" name="ICV">
    <vt:lpwstr>3B53CC605B2748B1A7134A6236502A44_12</vt:lpwstr>
  </property>
</Properties>
</file>