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3FC63">
      <w:pPr>
        <w:pStyle w:val="4"/>
        <w:jc w:val="both"/>
        <w:rPr>
          <w:rFonts w:hint="eastAsia" w:ascii="Times New Roman" w:hAnsi="Times New Roman" w:eastAsia="宋体" w:cs="Calibri"/>
          <w:b/>
          <w:sz w:val="30"/>
          <w:szCs w:val="30"/>
          <w:highlight w:val="none"/>
          <w:lang w:val="en-US" w:eastAsia="zh-CN" w:bidi="ar"/>
        </w:rPr>
      </w:pPr>
      <w:r>
        <w:rPr>
          <w:rFonts w:hint="eastAsia" w:ascii="Times New Roman" w:hAnsi="Times New Roman" w:cs="Calibri"/>
          <w:b/>
          <w:sz w:val="30"/>
          <w:szCs w:val="30"/>
          <w:highlight w:val="none"/>
          <w:lang w:val="en-US" w:eastAsia="zh-CN" w:bidi="ar"/>
        </w:rPr>
        <w:t>附件</w:t>
      </w:r>
    </w:p>
    <w:p w14:paraId="545D1CB5">
      <w:pPr>
        <w:pStyle w:val="4"/>
        <w:ind w:firstLine="602" w:firstLineChars="200"/>
        <w:jc w:val="center"/>
        <w:rPr>
          <w:rFonts w:ascii="Times New Roman" w:hAnsi="Times New Roman" w:cs="Calibri"/>
          <w:b/>
          <w:sz w:val="30"/>
          <w:szCs w:val="30"/>
          <w:highlight w:val="none"/>
        </w:rPr>
      </w:pPr>
      <w:r>
        <w:rPr>
          <w:rFonts w:hint="eastAsia" w:ascii="Times New Roman" w:hAnsi="Times New Roman" w:cs="Calibri"/>
          <w:b/>
          <w:sz w:val="30"/>
          <w:szCs w:val="30"/>
          <w:highlight w:val="none"/>
          <w:lang w:bidi="ar"/>
        </w:rPr>
        <w:t>二、综合评分法</w:t>
      </w:r>
    </w:p>
    <w:p w14:paraId="42658F1C">
      <w:pPr>
        <w:ind w:firstLine="4216" w:firstLineChars="2000"/>
        <w:rPr>
          <w:rFonts w:hint="eastAsia" w:ascii="宋体" w:hAnsi="宋体" w:cs="Calibri"/>
          <w:b/>
          <w:highlight w:val="none"/>
          <w:lang w:bidi="ar"/>
        </w:rPr>
      </w:pPr>
      <w:bookmarkStart w:id="0" w:name="PO_TDCUS_ITEM_SM_TITLE_1_0"/>
      <w:r>
        <w:rPr>
          <w:rFonts w:hint="eastAsia" w:ascii="宋体" w:hAnsi="宋体" w:cs="Calibri"/>
          <w:b/>
          <w:highlight w:val="none"/>
          <w:lang w:bidi="ar"/>
        </w:rPr>
        <w:t>评分方法</w:t>
      </w:r>
      <w:bookmarkEnd w:id="0"/>
    </w:p>
    <w:tbl>
      <w:tblPr>
        <w:tblStyle w:val="5"/>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242"/>
        <w:gridCol w:w="6981"/>
        <w:gridCol w:w="736"/>
      </w:tblGrid>
      <w:tr w14:paraId="04DB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7E667F38">
            <w:pPr>
              <w:widowControl/>
              <w:spacing w:line="400" w:lineRule="exact"/>
              <w:jc w:val="center"/>
              <w:rPr>
                <w:rFonts w:hint="eastAsia" w:ascii="宋体" w:hAnsi="宋体" w:cs="宋体"/>
                <w:b/>
                <w:bCs/>
                <w:kern w:val="0"/>
                <w:szCs w:val="21"/>
                <w:highlight w:val="none"/>
              </w:rPr>
            </w:pPr>
            <w:r>
              <w:rPr>
                <w:rFonts w:hint="eastAsia" w:ascii="宋体" w:hAnsi="宋体" w:cs="宋体"/>
                <w:b/>
                <w:bCs/>
                <w:kern w:val="0"/>
                <w:szCs w:val="21"/>
                <w:highlight w:val="none"/>
                <w:lang w:bidi="ar"/>
              </w:rPr>
              <w:t>序号</w:t>
            </w:r>
          </w:p>
        </w:tc>
        <w:tc>
          <w:tcPr>
            <w:tcW w:w="1242" w:type="dxa"/>
            <w:tcBorders>
              <w:top w:val="single" w:color="auto" w:sz="4" w:space="0"/>
              <w:left w:val="nil"/>
              <w:bottom w:val="single" w:color="auto" w:sz="4" w:space="0"/>
              <w:right w:val="single" w:color="auto" w:sz="4" w:space="0"/>
            </w:tcBorders>
            <w:noWrap w:val="0"/>
            <w:vAlign w:val="center"/>
          </w:tcPr>
          <w:p w14:paraId="7A53898D">
            <w:pPr>
              <w:widowControl/>
              <w:spacing w:line="400" w:lineRule="exact"/>
              <w:jc w:val="center"/>
              <w:rPr>
                <w:rFonts w:hint="eastAsia" w:ascii="宋体" w:hAnsi="宋体" w:cs="宋体"/>
                <w:b/>
                <w:bCs/>
                <w:kern w:val="0"/>
                <w:szCs w:val="21"/>
                <w:highlight w:val="none"/>
              </w:rPr>
            </w:pPr>
            <w:r>
              <w:rPr>
                <w:rFonts w:hint="eastAsia" w:ascii="宋体" w:hAnsi="宋体" w:cs="宋体"/>
                <w:b/>
                <w:bCs/>
                <w:kern w:val="0"/>
                <w:szCs w:val="21"/>
                <w:highlight w:val="none"/>
                <w:lang w:bidi="ar"/>
              </w:rPr>
              <w:t>评审类型</w:t>
            </w:r>
          </w:p>
        </w:tc>
        <w:tc>
          <w:tcPr>
            <w:tcW w:w="6981" w:type="dxa"/>
            <w:tcBorders>
              <w:top w:val="single" w:color="auto" w:sz="4" w:space="0"/>
              <w:left w:val="nil"/>
              <w:bottom w:val="single" w:color="auto" w:sz="4" w:space="0"/>
              <w:right w:val="single" w:color="auto" w:sz="4" w:space="0"/>
            </w:tcBorders>
            <w:noWrap w:val="0"/>
            <w:vAlign w:val="center"/>
          </w:tcPr>
          <w:p w14:paraId="5F7267A2">
            <w:pPr>
              <w:widowControl/>
              <w:spacing w:line="400" w:lineRule="exact"/>
              <w:jc w:val="center"/>
              <w:rPr>
                <w:rFonts w:hint="eastAsia" w:ascii="宋体" w:hAnsi="宋体" w:cs="宋体"/>
                <w:b/>
                <w:bCs/>
                <w:kern w:val="0"/>
                <w:szCs w:val="21"/>
                <w:highlight w:val="none"/>
              </w:rPr>
            </w:pPr>
            <w:r>
              <w:rPr>
                <w:rFonts w:hint="eastAsia" w:ascii="宋体" w:hAnsi="宋体" w:cs="宋体"/>
                <w:b/>
                <w:bCs/>
                <w:kern w:val="0"/>
                <w:szCs w:val="21"/>
                <w:highlight w:val="none"/>
                <w:lang w:bidi="ar"/>
              </w:rPr>
              <w:t>评分标准</w:t>
            </w:r>
          </w:p>
        </w:tc>
        <w:tc>
          <w:tcPr>
            <w:tcW w:w="736" w:type="dxa"/>
            <w:tcBorders>
              <w:top w:val="single" w:color="auto" w:sz="4" w:space="0"/>
              <w:left w:val="nil"/>
              <w:bottom w:val="single" w:color="auto" w:sz="4" w:space="0"/>
              <w:right w:val="single" w:color="auto" w:sz="4" w:space="0"/>
            </w:tcBorders>
            <w:noWrap w:val="0"/>
            <w:vAlign w:val="center"/>
          </w:tcPr>
          <w:p w14:paraId="7CD9877D">
            <w:pPr>
              <w:widowControl/>
              <w:spacing w:line="400" w:lineRule="exact"/>
              <w:jc w:val="center"/>
              <w:rPr>
                <w:rFonts w:hint="eastAsia" w:ascii="宋体" w:hAnsi="宋体" w:cs="宋体"/>
                <w:b/>
                <w:bCs/>
                <w:kern w:val="0"/>
                <w:szCs w:val="21"/>
                <w:highlight w:val="none"/>
              </w:rPr>
            </w:pPr>
            <w:r>
              <w:rPr>
                <w:rFonts w:hint="eastAsia" w:ascii="宋体" w:hAnsi="宋体" w:cs="宋体"/>
                <w:b/>
                <w:bCs/>
                <w:kern w:val="0"/>
                <w:szCs w:val="21"/>
                <w:highlight w:val="none"/>
                <w:lang w:bidi="ar"/>
              </w:rPr>
              <w:t>满分分值</w:t>
            </w:r>
          </w:p>
        </w:tc>
      </w:tr>
      <w:tr w14:paraId="68B9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4C18C0CD">
            <w:pPr>
              <w:widowControl/>
              <w:spacing w:line="400" w:lineRule="exact"/>
              <w:jc w:val="center"/>
              <w:rPr>
                <w:rFonts w:hint="eastAsia" w:ascii="宋体" w:hAnsi="宋体" w:cs="宋体"/>
                <w:kern w:val="0"/>
                <w:szCs w:val="21"/>
                <w:highlight w:val="none"/>
              </w:rPr>
            </w:pPr>
            <w:r>
              <w:rPr>
                <w:rFonts w:hint="eastAsia" w:ascii="宋体" w:hAnsi="宋体" w:cs="宋体"/>
                <w:kern w:val="0"/>
                <w:szCs w:val="21"/>
                <w:highlight w:val="none"/>
                <w:lang w:bidi="ar"/>
              </w:rPr>
              <w:t>1</w:t>
            </w:r>
          </w:p>
        </w:tc>
        <w:tc>
          <w:tcPr>
            <w:tcW w:w="1242" w:type="dxa"/>
            <w:tcBorders>
              <w:top w:val="single" w:color="auto" w:sz="4" w:space="0"/>
              <w:left w:val="nil"/>
              <w:bottom w:val="single" w:color="auto" w:sz="4" w:space="0"/>
              <w:right w:val="single" w:color="auto" w:sz="4" w:space="0"/>
            </w:tcBorders>
            <w:noWrap w:val="0"/>
            <w:vAlign w:val="center"/>
          </w:tcPr>
          <w:p w14:paraId="1E86B3A1">
            <w:pPr>
              <w:widowControl/>
              <w:spacing w:line="400" w:lineRule="exact"/>
              <w:jc w:val="center"/>
              <w:rPr>
                <w:rFonts w:hint="eastAsia" w:ascii="宋体" w:hAnsi="宋体" w:cs="宋体"/>
                <w:b/>
                <w:kern w:val="0"/>
                <w:szCs w:val="21"/>
                <w:highlight w:val="none"/>
              </w:rPr>
            </w:pPr>
            <w:r>
              <w:rPr>
                <w:rFonts w:hint="eastAsia" w:ascii="宋体" w:hAnsi="宋体" w:cs="宋体"/>
                <w:b/>
                <w:kern w:val="0"/>
                <w:szCs w:val="21"/>
                <w:highlight w:val="none"/>
                <w:lang w:bidi="ar"/>
              </w:rPr>
              <w:t>价格分</w:t>
            </w:r>
          </w:p>
        </w:tc>
        <w:tc>
          <w:tcPr>
            <w:tcW w:w="6981" w:type="dxa"/>
            <w:tcBorders>
              <w:top w:val="single" w:color="auto" w:sz="4" w:space="0"/>
              <w:left w:val="nil"/>
              <w:bottom w:val="single" w:color="auto" w:sz="4" w:space="0"/>
              <w:right w:val="single" w:color="auto" w:sz="4" w:space="0"/>
            </w:tcBorders>
            <w:noWrap w:val="0"/>
            <w:vAlign w:val="top"/>
          </w:tcPr>
          <w:p w14:paraId="690431D9">
            <w:pPr>
              <w:pStyle w:val="4"/>
              <w:widowControl/>
              <w:spacing w:line="400" w:lineRule="exact"/>
              <w:rPr>
                <w:rFonts w:hint="eastAsia" w:ascii="宋体" w:hAnsi="宋体" w:cs="宋体"/>
                <w:b/>
                <w:bCs/>
                <w:sz w:val="21"/>
                <w:szCs w:val="21"/>
                <w:highlight w:val="none"/>
              </w:rPr>
            </w:pPr>
            <w:r>
              <w:rPr>
                <w:rFonts w:hint="eastAsia" w:ascii="宋体" w:hAnsi="宋体" w:cs="宋体"/>
                <w:b/>
                <w:bCs/>
                <w:sz w:val="21"/>
                <w:szCs w:val="21"/>
                <w:highlight w:val="none"/>
              </w:rPr>
              <w:t>一、政府采购政策扣除</w:t>
            </w:r>
          </w:p>
          <w:p w14:paraId="3B7F30B0">
            <w:pPr>
              <w:pStyle w:val="3"/>
              <w:spacing w:line="420" w:lineRule="exact"/>
              <w:ind w:firstLine="420" w:firstLineChars="200"/>
              <w:outlineLvl w:val="0"/>
              <w:rPr>
                <w:rFonts w:hint="eastAsia"/>
                <w:color w:val="auto"/>
                <w:sz w:val="21"/>
                <w:highlight w:val="none"/>
                <w:lang w:val="en-US" w:eastAsia="zh-CN"/>
              </w:rPr>
            </w:pPr>
            <w:r>
              <w:rPr>
                <w:rFonts w:hint="eastAsia"/>
                <w:color w:val="auto"/>
                <w:sz w:val="21"/>
                <w:highlight w:val="none"/>
                <w:lang w:val="en-US" w:eastAsia="zh-CN"/>
              </w:rPr>
              <w:t>1、根据《政府采购促进中小企业发展管理办法》及桂财采〔2022〕30号《广西壮族自治区</w:t>
            </w:r>
            <w:bookmarkStart w:id="1" w:name="_GoBack"/>
            <w:bookmarkEnd w:id="1"/>
            <w:r>
              <w:rPr>
                <w:rFonts w:hint="eastAsia"/>
                <w:color w:val="auto"/>
                <w:sz w:val="21"/>
                <w:highlight w:val="none"/>
                <w:lang w:val="en-US" w:eastAsia="zh-CN"/>
              </w:rPr>
              <w:t>财政厅关于进一步发挥政府采购政策功能促进企业发展的通知》的规定，投标人属于《政府采购促进中小企业发展管理办法》规定的小微企业的，对投标报价给予10%（工程项目为5%）的扣除，用扣除后的价格参加评审；大中型企业与小微企业组成联合体或者大中型企业向一家或者多家小微企业分包，且联合协议或者分包意向协议约定小微企业的合同份额占到合同总金额30%以上的，对联合体或者大中型企业的报价给予5%（工程项目为2%）的扣除，用扣除后的价格参加评审。符合上述规定对报价给予扣除的，扣除后的价格为评标价，即评标价=投标报价×（1 - 扣除比例）；不符合上述给予扣除情形的，评标价=投标报价。</w:t>
            </w:r>
          </w:p>
          <w:p w14:paraId="446E717D">
            <w:pPr>
              <w:pStyle w:val="3"/>
              <w:spacing w:line="420" w:lineRule="exact"/>
              <w:ind w:firstLine="420" w:firstLineChars="200"/>
              <w:outlineLvl w:val="0"/>
              <w:rPr>
                <w:rFonts w:hint="eastAsia"/>
                <w:color w:val="auto"/>
                <w:sz w:val="21"/>
                <w:highlight w:val="none"/>
                <w:lang w:val="en-US" w:eastAsia="zh-CN"/>
              </w:rPr>
            </w:pPr>
            <w:r>
              <w:rPr>
                <w:rFonts w:hint="eastAsia"/>
                <w:color w:val="auto"/>
                <w:sz w:val="21"/>
                <w:highlight w:val="none"/>
                <w:lang w:val="en-US" w:eastAsia="zh-CN"/>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4A8B1201">
            <w:pPr>
              <w:pStyle w:val="3"/>
              <w:spacing w:line="420" w:lineRule="exact"/>
              <w:ind w:firstLine="420" w:firstLineChars="200"/>
              <w:outlineLvl w:val="0"/>
              <w:rPr>
                <w:rFonts w:hint="eastAsia"/>
                <w:color w:val="auto"/>
                <w:sz w:val="21"/>
                <w:highlight w:val="none"/>
                <w:lang w:val="en-US" w:eastAsia="zh-CN"/>
              </w:rPr>
            </w:pPr>
            <w:r>
              <w:rPr>
                <w:rFonts w:hint="eastAsia"/>
                <w:color w:val="auto"/>
                <w:sz w:val="21"/>
                <w:highlight w:val="none"/>
                <w:lang w:val="en-US" w:eastAsia="zh-CN"/>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25F281C">
            <w:pPr>
              <w:pStyle w:val="4"/>
              <w:widowControl/>
              <w:spacing w:line="400" w:lineRule="exact"/>
              <w:rPr>
                <w:rFonts w:hint="eastAsia" w:ascii="宋体" w:hAnsi="宋体" w:cs="宋体"/>
                <w:b/>
                <w:bCs/>
                <w:szCs w:val="20"/>
                <w:highlight w:val="none"/>
              </w:rPr>
            </w:pPr>
            <w:r>
              <w:rPr>
                <w:rFonts w:hint="eastAsia" w:ascii="宋体" w:hAnsi="宋体" w:cs="宋体"/>
                <w:b/>
                <w:bCs/>
                <w:sz w:val="21"/>
                <w:szCs w:val="21"/>
                <w:highlight w:val="none"/>
              </w:rPr>
              <w:t>二、报价分（满分</w:t>
            </w:r>
            <w:r>
              <w:rPr>
                <w:rFonts w:hint="eastAsia" w:ascii="宋体" w:hAnsi="宋体" w:cs="宋体"/>
                <w:b/>
                <w:bCs/>
                <w:sz w:val="21"/>
                <w:szCs w:val="21"/>
                <w:highlight w:val="none"/>
                <w:lang w:val="en-US" w:eastAsia="zh-CN"/>
              </w:rPr>
              <w:t>10</w:t>
            </w:r>
            <w:r>
              <w:rPr>
                <w:rFonts w:hint="eastAsia" w:ascii="宋体" w:hAnsi="宋体" w:cs="宋体"/>
                <w:b/>
                <w:bCs/>
                <w:sz w:val="21"/>
                <w:szCs w:val="21"/>
                <w:highlight w:val="none"/>
              </w:rPr>
              <w:t>分）</w:t>
            </w:r>
          </w:p>
          <w:p w14:paraId="2DE88364">
            <w:pPr>
              <w:pStyle w:val="3"/>
              <w:spacing w:line="420" w:lineRule="exact"/>
              <w:ind w:firstLine="420" w:firstLineChars="200"/>
              <w:outlineLvl w:val="0"/>
              <w:rPr>
                <w:rFonts w:hint="eastAsia"/>
                <w:color w:val="auto"/>
                <w:sz w:val="21"/>
                <w:highlight w:val="none"/>
                <w:lang w:val="en-US" w:eastAsia="zh-CN"/>
              </w:rPr>
            </w:pPr>
            <w:r>
              <w:rPr>
                <w:rFonts w:hint="eastAsia"/>
                <w:color w:val="auto"/>
                <w:sz w:val="21"/>
                <w:highlight w:val="none"/>
                <w:lang w:val="en-US" w:eastAsia="zh-CN"/>
              </w:rPr>
              <w:t>1、投标报价分采用低价优先法计算，满足招标文件要求且评标价最低的有效投标人的评标价为评标基准价，其投标报价分为满分。</w:t>
            </w:r>
          </w:p>
          <w:p w14:paraId="497B16BA">
            <w:pPr>
              <w:pStyle w:val="3"/>
              <w:spacing w:line="420" w:lineRule="exact"/>
              <w:ind w:firstLine="420" w:firstLineChars="200"/>
              <w:outlineLvl w:val="0"/>
              <w:rPr>
                <w:rFonts w:hint="eastAsia"/>
                <w:color w:val="auto"/>
                <w:sz w:val="21"/>
                <w:highlight w:val="none"/>
                <w:lang w:val="en-US" w:eastAsia="zh-CN"/>
              </w:rPr>
            </w:pPr>
            <w:r>
              <w:rPr>
                <w:rFonts w:hint="eastAsia"/>
                <w:color w:val="auto"/>
                <w:sz w:val="21"/>
                <w:highlight w:val="none"/>
                <w:lang w:val="en-US" w:eastAsia="zh-CN"/>
              </w:rPr>
              <w:t>2、其他投标人的价格分统一按照下列公式计算：</w:t>
            </w:r>
          </w:p>
          <w:p w14:paraId="71707EE5">
            <w:pPr>
              <w:pStyle w:val="3"/>
              <w:spacing w:line="420" w:lineRule="exact"/>
              <w:ind w:firstLine="420" w:firstLineChars="200"/>
              <w:outlineLvl w:val="0"/>
              <w:rPr>
                <w:rFonts w:hint="eastAsia"/>
                <w:color w:val="auto"/>
                <w:sz w:val="21"/>
                <w:highlight w:val="none"/>
                <w:lang w:val="en-US" w:eastAsia="zh-CN"/>
              </w:rPr>
            </w:pPr>
            <w:r>
              <w:rPr>
                <w:rFonts w:hint="eastAsia"/>
                <w:color w:val="auto"/>
                <w:sz w:val="21"/>
                <w:highlight w:val="none"/>
                <w:lang w:val="en-US" w:eastAsia="zh-CN"/>
              </w:rPr>
              <w:t>某有效投标人的投标报价分=（评标基准价／某有效投标人评标价）× 15分</w:t>
            </w:r>
          </w:p>
          <w:p w14:paraId="7F893AEF">
            <w:pPr>
              <w:pStyle w:val="3"/>
              <w:spacing w:line="420" w:lineRule="exact"/>
              <w:ind w:firstLine="420" w:firstLineChars="200"/>
              <w:outlineLvl w:val="0"/>
              <w:rPr>
                <w:rFonts w:hAnsi="宋体"/>
                <w:bCs/>
                <w:sz w:val="21"/>
                <w:szCs w:val="20"/>
                <w:highlight w:val="none"/>
              </w:rPr>
            </w:pPr>
            <w:r>
              <w:rPr>
                <w:rFonts w:hint="eastAsia"/>
                <w:color w:val="auto"/>
                <w:sz w:val="21"/>
                <w:highlight w:val="none"/>
                <w:lang w:val="en-US" w:eastAsia="zh-CN"/>
              </w:rPr>
              <w:t>评标委员会认为投标人的报价明显低于其他通过符合性审查投标人的报价，有可能影响货物质量或者不能诚信履约的，应当在评审委员会规定的时间内提供书面说明并提交相关证明材料，投标人不能证明其报价合理的，评标委员会将其作为无效投标处理。</w:t>
            </w:r>
          </w:p>
        </w:tc>
        <w:tc>
          <w:tcPr>
            <w:tcW w:w="736" w:type="dxa"/>
            <w:tcBorders>
              <w:top w:val="single" w:color="auto" w:sz="4" w:space="0"/>
              <w:left w:val="nil"/>
              <w:bottom w:val="single" w:color="auto" w:sz="4" w:space="0"/>
              <w:right w:val="single" w:color="auto" w:sz="4" w:space="0"/>
            </w:tcBorders>
            <w:noWrap w:val="0"/>
            <w:vAlign w:val="center"/>
          </w:tcPr>
          <w:p w14:paraId="1DDD9946">
            <w:pPr>
              <w:widowControl/>
              <w:spacing w:line="400" w:lineRule="exact"/>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bidi="ar"/>
              </w:rPr>
              <w:t>15</w:t>
            </w:r>
          </w:p>
        </w:tc>
      </w:tr>
      <w:tr w14:paraId="05CA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15120026">
            <w:pPr>
              <w:widowControl/>
              <w:spacing w:line="400" w:lineRule="exact"/>
              <w:jc w:val="center"/>
              <w:rPr>
                <w:rFonts w:hint="eastAsia" w:ascii="宋体" w:hAnsi="宋体" w:cs="宋体"/>
                <w:b/>
                <w:kern w:val="0"/>
                <w:szCs w:val="21"/>
                <w:highlight w:val="none"/>
              </w:rPr>
            </w:pPr>
            <w:r>
              <w:rPr>
                <w:rFonts w:hint="eastAsia" w:ascii="宋体" w:hAnsi="宋体" w:cs="宋体"/>
                <w:b/>
                <w:kern w:val="0"/>
                <w:szCs w:val="21"/>
                <w:highlight w:val="none"/>
                <w:lang w:bidi="ar"/>
              </w:rPr>
              <w:t>2</w:t>
            </w:r>
          </w:p>
        </w:tc>
        <w:tc>
          <w:tcPr>
            <w:tcW w:w="8959" w:type="dxa"/>
            <w:gridSpan w:val="3"/>
            <w:tcBorders>
              <w:top w:val="single" w:color="auto" w:sz="4" w:space="0"/>
              <w:left w:val="nil"/>
              <w:bottom w:val="single" w:color="auto" w:sz="4" w:space="0"/>
              <w:right w:val="single" w:color="auto" w:sz="4" w:space="0"/>
            </w:tcBorders>
            <w:noWrap w:val="0"/>
            <w:vAlign w:val="center"/>
          </w:tcPr>
          <w:p w14:paraId="7F5FC1E2">
            <w:pPr>
              <w:widowControl/>
              <w:spacing w:line="400" w:lineRule="exact"/>
              <w:jc w:val="center"/>
              <w:rPr>
                <w:rFonts w:hint="eastAsia" w:ascii="宋体" w:hAnsi="宋体" w:cs="宋体"/>
                <w:b/>
                <w:kern w:val="0"/>
                <w:szCs w:val="21"/>
                <w:highlight w:val="none"/>
              </w:rPr>
            </w:pPr>
            <w:r>
              <w:rPr>
                <w:rFonts w:hint="eastAsia" w:ascii="宋体" w:hAnsi="宋体" w:cs="宋体"/>
                <w:b/>
                <w:kern w:val="0"/>
                <w:szCs w:val="21"/>
                <w:highlight w:val="none"/>
                <w:lang w:bidi="ar"/>
              </w:rPr>
              <w:t>技术分（</w:t>
            </w:r>
            <w:r>
              <w:rPr>
                <w:rFonts w:hint="eastAsia" w:ascii="宋体" w:hAnsi="宋体" w:cs="宋体"/>
                <w:b/>
                <w:szCs w:val="21"/>
                <w:highlight w:val="none"/>
                <w:lang w:bidi="ar"/>
              </w:rPr>
              <w:t>满分</w:t>
            </w:r>
            <w:r>
              <w:rPr>
                <w:rFonts w:hint="eastAsia" w:ascii="宋体" w:hAnsi="宋体" w:cs="宋体"/>
                <w:b/>
                <w:kern w:val="0"/>
                <w:szCs w:val="21"/>
                <w:highlight w:val="none"/>
                <w:lang w:val="en-US" w:eastAsia="zh-CN" w:bidi="ar"/>
              </w:rPr>
              <w:t>45</w:t>
            </w:r>
            <w:r>
              <w:rPr>
                <w:rFonts w:hint="eastAsia" w:ascii="宋体" w:hAnsi="宋体" w:cs="宋体"/>
                <w:b/>
                <w:kern w:val="0"/>
                <w:szCs w:val="21"/>
                <w:highlight w:val="none"/>
                <w:lang w:bidi="ar"/>
              </w:rPr>
              <w:t>分）</w:t>
            </w:r>
          </w:p>
        </w:tc>
      </w:tr>
      <w:tr w14:paraId="09E4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613FB13F">
            <w:pPr>
              <w:adjustRightInd w:val="0"/>
              <w:spacing w:line="400" w:lineRule="exact"/>
              <w:jc w:val="center"/>
              <w:textAlignment w:val="baseline"/>
              <w:rPr>
                <w:rFonts w:hint="eastAsia" w:ascii="宋体" w:hAnsi="宋体" w:cs="宋体"/>
                <w:bCs/>
                <w:kern w:val="0"/>
                <w:szCs w:val="21"/>
                <w:highlight w:val="none"/>
              </w:rPr>
            </w:pPr>
            <w:r>
              <w:rPr>
                <w:rFonts w:hint="eastAsia" w:ascii="宋体" w:hAnsi="宋体" w:cs="宋体"/>
                <w:bCs/>
                <w:kern w:val="0"/>
                <w:szCs w:val="21"/>
                <w:highlight w:val="none"/>
                <w:lang w:bidi="ar"/>
              </w:rPr>
              <w:t>2.1</w:t>
            </w:r>
          </w:p>
        </w:tc>
        <w:tc>
          <w:tcPr>
            <w:tcW w:w="1242" w:type="dxa"/>
            <w:tcBorders>
              <w:top w:val="single" w:color="auto" w:sz="4" w:space="0"/>
              <w:left w:val="nil"/>
              <w:bottom w:val="single" w:color="auto" w:sz="4" w:space="0"/>
              <w:right w:val="single" w:color="auto" w:sz="4" w:space="0"/>
            </w:tcBorders>
            <w:noWrap w:val="0"/>
            <w:vAlign w:val="center"/>
          </w:tcPr>
          <w:p w14:paraId="0115F8FC">
            <w:pPr>
              <w:spacing w:line="360" w:lineRule="auto"/>
              <w:jc w:val="center"/>
              <w:rPr>
                <w:rFonts w:hint="eastAsia" w:ascii="宋体" w:hAnsi="宋体" w:cs="宋体"/>
                <w:b/>
                <w:color w:val="auto"/>
                <w:szCs w:val="21"/>
                <w:highlight w:val="none"/>
                <w:lang w:bidi="ar"/>
              </w:rPr>
            </w:pPr>
            <w:r>
              <w:rPr>
                <w:rFonts w:hint="eastAsia" w:ascii="宋体" w:hAnsi="宋体" w:cs="宋体"/>
                <w:b/>
                <w:color w:val="auto"/>
                <w:szCs w:val="21"/>
                <w:highlight w:val="none"/>
                <w:lang w:bidi="ar"/>
              </w:rPr>
              <w:t>技术1</w:t>
            </w:r>
          </w:p>
          <w:p w14:paraId="57BA7247">
            <w:pPr>
              <w:spacing w:line="360" w:lineRule="auto"/>
              <w:jc w:val="center"/>
              <w:rPr>
                <w:rFonts w:hint="eastAsia" w:ascii="宋体" w:hAnsi="宋体" w:cs="宋体"/>
                <w:b/>
                <w:bCs/>
                <w:color w:val="auto"/>
                <w:szCs w:val="21"/>
                <w:highlight w:val="none"/>
              </w:rPr>
            </w:pPr>
            <w:r>
              <w:rPr>
                <w:rFonts w:hint="eastAsia" w:ascii="宋体" w:hAnsi="宋体" w:cs="宋体"/>
                <w:b/>
                <w:color w:val="auto"/>
                <w:szCs w:val="21"/>
                <w:highlight w:val="none"/>
                <w:lang w:bidi="ar"/>
              </w:rPr>
              <w:t>（主观分）</w:t>
            </w:r>
          </w:p>
        </w:tc>
        <w:tc>
          <w:tcPr>
            <w:tcW w:w="6981" w:type="dxa"/>
            <w:tcBorders>
              <w:top w:val="single" w:color="auto" w:sz="4" w:space="0"/>
              <w:left w:val="nil"/>
              <w:bottom w:val="single" w:color="auto" w:sz="4" w:space="0"/>
              <w:right w:val="single" w:color="auto" w:sz="4" w:space="0"/>
            </w:tcBorders>
            <w:noWrap w:val="0"/>
            <w:vAlign w:val="center"/>
          </w:tcPr>
          <w:p w14:paraId="0123EFE3">
            <w:pPr>
              <w:spacing w:line="440" w:lineRule="exac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项目理解及重难点分析</w:t>
            </w:r>
            <w:r>
              <w:rPr>
                <w:rFonts w:hint="eastAsia" w:ascii="宋体" w:hAnsi="宋体" w:cs="宋体"/>
                <w:b/>
                <w:bCs/>
                <w:color w:val="auto"/>
                <w:kern w:val="0"/>
                <w:szCs w:val="21"/>
                <w:highlight w:val="none"/>
                <w:lang w:eastAsia="zh-CN" w:bidi="ar"/>
              </w:rPr>
              <w:t>方案</w:t>
            </w:r>
            <w:r>
              <w:rPr>
                <w:rFonts w:hint="eastAsia" w:ascii="宋体" w:hAnsi="宋体" w:cs="宋体"/>
                <w:b/>
                <w:bCs/>
                <w:color w:val="auto"/>
                <w:kern w:val="0"/>
                <w:szCs w:val="21"/>
                <w:highlight w:val="none"/>
                <w:lang w:bidi="ar"/>
              </w:rPr>
              <w:t>（满分</w:t>
            </w:r>
            <w:r>
              <w:rPr>
                <w:rFonts w:hint="eastAsia" w:ascii="宋体" w:hAnsi="宋体" w:cs="宋体"/>
                <w:b/>
                <w:bCs/>
                <w:color w:val="auto"/>
                <w:kern w:val="0"/>
                <w:szCs w:val="21"/>
                <w:highlight w:val="none"/>
                <w:lang w:val="en-US" w:eastAsia="zh-CN" w:bidi="ar"/>
              </w:rPr>
              <w:t>15</w:t>
            </w:r>
            <w:r>
              <w:rPr>
                <w:rFonts w:hint="eastAsia" w:ascii="宋体" w:hAnsi="宋体" w:cs="宋体"/>
                <w:b/>
                <w:bCs/>
                <w:color w:val="auto"/>
                <w:kern w:val="0"/>
                <w:szCs w:val="21"/>
                <w:highlight w:val="none"/>
                <w:lang w:bidi="ar"/>
              </w:rPr>
              <w:t>分）</w:t>
            </w:r>
          </w:p>
          <w:p w14:paraId="0F7C58C8">
            <w:pPr>
              <w:spacing w:line="440" w:lineRule="exact"/>
              <w:ind w:firstLine="420" w:firstLineChars="20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由评委根据投标人项目理解及重难点分析方案（包含但不限于项目实施过程的重点分析、项目实施过程的难点分析、解决措施及方法等内容）进行独立打分，投标人不提供该项内容或达不到一档要求的为0分。</w:t>
            </w:r>
          </w:p>
          <w:p w14:paraId="5BF6A42E">
            <w:pPr>
              <w:spacing w:line="440" w:lineRule="exact"/>
              <w:ind w:firstLine="420" w:firstLineChars="20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一档（5分）： 能够理解本项目的建设背景、目标、范围；基本把握本项目的服务重点、难点；提出了可行的方法、措施，满足项目需求的，配备有执行团队、有组织措施、有行程安排、有对应项目实施措施。</w:t>
            </w:r>
          </w:p>
          <w:p w14:paraId="0A474AF0">
            <w:pPr>
              <w:spacing w:line="440" w:lineRule="exact"/>
              <w:ind w:firstLine="420" w:firstLineChars="20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二档（10分）： 准确理解本项目的建设背景、目标、范围；能够把握本项目的服务重点、难点；提出了比较全面可行的方法、措施；提出有利于该项目进展的意见和建议；针对本项目配备的执行团队人员分工明确、组织措施具体、行程安排合理，能提供较详细的风险控制解决方案；较好满足项目开展需要。</w:t>
            </w:r>
          </w:p>
          <w:p w14:paraId="41AC234A">
            <w:pPr>
              <w:spacing w:line="440" w:lineRule="exact"/>
              <w:ind w:firstLine="420" w:firstLineChars="20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三档（15分）： 准确、深入理解本项目的建设背景、目标、范围；准确把握本项目的服务重点、难点；提出了详细、全面可行的质量控制、进度控制的目标、方法、措施；提出有利于该项目进展的意见和建议，方案详细合理、针对性及可操作性强；针对本项目配备优秀的执行团队，有细化的推介流程，团队人员分工明确，有丰富的管理、执行经验；组织管理措施有具体的时间、质量、进度控制，科学合理；有详细的工作计划编排及保证措施，控制重点分析合理，以及风险管控等内容。</w:t>
            </w:r>
          </w:p>
        </w:tc>
        <w:tc>
          <w:tcPr>
            <w:tcW w:w="736" w:type="dxa"/>
            <w:tcBorders>
              <w:top w:val="single" w:color="auto" w:sz="4" w:space="0"/>
              <w:left w:val="nil"/>
              <w:bottom w:val="single" w:color="auto" w:sz="4" w:space="0"/>
              <w:right w:val="single" w:color="auto" w:sz="4" w:space="0"/>
            </w:tcBorders>
            <w:noWrap w:val="0"/>
            <w:vAlign w:val="center"/>
          </w:tcPr>
          <w:p w14:paraId="60830EA0">
            <w:pPr>
              <w:spacing w:line="360" w:lineRule="auto"/>
              <w:jc w:val="center"/>
              <w:rPr>
                <w:rFonts w:hint="default"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15</w:t>
            </w:r>
          </w:p>
        </w:tc>
      </w:tr>
      <w:tr w14:paraId="34B2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01B3E324">
            <w:pPr>
              <w:adjustRightInd w:val="0"/>
              <w:spacing w:line="400" w:lineRule="exact"/>
              <w:jc w:val="center"/>
              <w:textAlignment w:val="baseline"/>
              <w:rPr>
                <w:rFonts w:hint="default" w:ascii="宋体" w:hAnsi="宋体" w:eastAsia="宋体" w:cs="宋体"/>
                <w:bCs/>
                <w:kern w:val="0"/>
                <w:szCs w:val="21"/>
                <w:highlight w:val="none"/>
                <w:lang w:val="en-US" w:eastAsia="zh-CN" w:bidi="ar"/>
              </w:rPr>
            </w:pPr>
            <w:r>
              <w:rPr>
                <w:rFonts w:hint="eastAsia" w:ascii="宋体" w:hAnsi="宋体" w:cs="宋体"/>
                <w:bCs/>
                <w:kern w:val="0"/>
                <w:szCs w:val="21"/>
                <w:highlight w:val="none"/>
                <w:lang w:val="en-US" w:eastAsia="zh-CN" w:bidi="ar"/>
              </w:rPr>
              <w:t>2.2</w:t>
            </w:r>
          </w:p>
        </w:tc>
        <w:tc>
          <w:tcPr>
            <w:tcW w:w="1242" w:type="dxa"/>
            <w:tcBorders>
              <w:top w:val="single" w:color="auto" w:sz="4" w:space="0"/>
              <w:left w:val="nil"/>
              <w:bottom w:val="single" w:color="auto" w:sz="4" w:space="0"/>
              <w:right w:val="single" w:color="auto" w:sz="4" w:space="0"/>
            </w:tcBorders>
            <w:noWrap w:val="0"/>
            <w:vAlign w:val="center"/>
          </w:tcPr>
          <w:p w14:paraId="7924E0DC">
            <w:pPr>
              <w:spacing w:line="360" w:lineRule="auto"/>
              <w:jc w:val="center"/>
              <w:rPr>
                <w:rFonts w:hint="eastAsia" w:ascii="宋体" w:hAnsi="宋体" w:eastAsia="宋体" w:cs="宋体"/>
                <w:b/>
                <w:color w:val="auto"/>
                <w:szCs w:val="21"/>
                <w:highlight w:val="none"/>
                <w:lang w:eastAsia="zh-CN" w:bidi="ar"/>
              </w:rPr>
            </w:pPr>
            <w:r>
              <w:rPr>
                <w:rFonts w:hint="eastAsia" w:ascii="宋体" w:hAnsi="宋体" w:cs="宋体"/>
                <w:b/>
                <w:color w:val="auto"/>
                <w:szCs w:val="21"/>
                <w:highlight w:val="none"/>
                <w:lang w:bidi="ar"/>
              </w:rPr>
              <w:t>技术</w:t>
            </w:r>
            <w:r>
              <w:rPr>
                <w:rFonts w:hint="eastAsia" w:ascii="宋体" w:hAnsi="宋体" w:cs="宋体"/>
                <w:b/>
                <w:color w:val="auto"/>
                <w:szCs w:val="21"/>
                <w:highlight w:val="none"/>
                <w:lang w:val="en-US" w:eastAsia="zh-CN" w:bidi="ar"/>
              </w:rPr>
              <w:t>2</w:t>
            </w:r>
          </w:p>
          <w:p w14:paraId="55A8EA4D">
            <w:pPr>
              <w:spacing w:line="360" w:lineRule="auto"/>
              <w:jc w:val="center"/>
              <w:rPr>
                <w:rFonts w:hint="eastAsia" w:ascii="宋体" w:hAnsi="宋体" w:cs="宋体"/>
                <w:b/>
                <w:color w:val="auto"/>
                <w:szCs w:val="21"/>
                <w:highlight w:val="none"/>
                <w:lang w:bidi="ar"/>
              </w:rPr>
            </w:pPr>
            <w:r>
              <w:rPr>
                <w:rFonts w:hint="eastAsia" w:ascii="宋体" w:hAnsi="宋体" w:cs="宋体"/>
                <w:b/>
                <w:color w:val="auto"/>
                <w:szCs w:val="21"/>
                <w:highlight w:val="none"/>
                <w:lang w:bidi="ar"/>
              </w:rPr>
              <w:t>（主观分）</w:t>
            </w:r>
          </w:p>
        </w:tc>
        <w:tc>
          <w:tcPr>
            <w:tcW w:w="6981" w:type="dxa"/>
            <w:tcBorders>
              <w:top w:val="single" w:color="auto" w:sz="4" w:space="0"/>
              <w:left w:val="nil"/>
              <w:bottom w:val="single" w:color="auto" w:sz="4" w:space="0"/>
              <w:right w:val="single" w:color="auto" w:sz="4" w:space="0"/>
            </w:tcBorders>
            <w:noWrap w:val="0"/>
            <w:vAlign w:val="center"/>
          </w:tcPr>
          <w:p w14:paraId="71D765F6">
            <w:pPr>
              <w:spacing w:line="440" w:lineRule="exact"/>
              <w:jc w:val="left"/>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项目实施方案（满分1</w:t>
            </w:r>
            <w:r>
              <w:rPr>
                <w:rFonts w:hint="eastAsia" w:ascii="宋体" w:hAnsi="宋体" w:eastAsia="宋体" w:cs="宋体"/>
                <w:b/>
                <w:bCs/>
                <w:color w:val="auto"/>
                <w:szCs w:val="21"/>
                <w:highlight w:val="none"/>
                <w:lang w:val="en-US" w:eastAsia="zh-CN" w:bidi="ar"/>
              </w:rPr>
              <w:t>4</w:t>
            </w:r>
            <w:r>
              <w:rPr>
                <w:rFonts w:hint="eastAsia" w:ascii="宋体" w:hAnsi="宋体" w:eastAsia="宋体" w:cs="宋体"/>
                <w:b/>
                <w:bCs/>
                <w:color w:val="auto"/>
                <w:szCs w:val="21"/>
                <w:highlight w:val="none"/>
                <w:lang w:bidi="ar"/>
              </w:rPr>
              <w:t>分）</w:t>
            </w:r>
          </w:p>
          <w:p w14:paraId="54FFBA70">
            <w:pPr>
              <w:spacing w:line="440" w:lineRule="exact"/>
              <w:ind w:firstLine="420" w:firstLineChars="20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由评委根据投标人项目</w:t>
            </w:r>
            <w:r>
              <w:rPr>
                <w:rFonts w:hint="eastAsia" w:ascii="宋体" w:hAnsi="宋体" w:cs="宋体"/>
                <w:color w:val="auto"/>
                <w:szCs w:val="21"/>
                <w:highlight w:val="none"/>
                <w:lang w:val="en-US" w:eastAsia="zh-CN" w:bidi="ar"/>
              </w:rPr>
              <w:t>实施</w:t>
            </w:r>
            <w:r>
              <w:rPr>
                <w:rFonts w:hint="eastAsia" w:ascii="宋体" w:hAnsi="宋体" w:cs="宋体"/>
                <w:color w:val="auto"/>
                <w:szCs w:val="21"/>
                <w:highlight w:val="none"/>
                <w:lang w:bidi="ar"/>
              </w:rPr>
              <w:t>方案（包含但不限于</w:t>
            </w:r>
            <w:r>
              <w:rPr>
                <w:rFonts w:hint="eastAsia" w:ascii="宋体" w:hAnsi="宋体" w:cs="宋体"/>
                <w:color w:val="auto"/>
                <w:szCs w:val="21"/>
                <w:highlight w:val="none"/>
                <w:lang w:val="en-US" w:eastAsia="zh-CN" w:bidi="ar"/>
              </w:rPr>
              <w:t>制度建设、重点项目管理、中央资金合规监管与绩效评价、评估认定、公共服务能力提升与生态培育</w:t>
            </w:r>
            <w:r>
              <w:rPr>
                <w:rFonts w:hint="eastAsia" w:ascii="宋体" w:hAnsi="宋体" w:cs="宋体"/>
                <w:color w:val="auto"/>
                <w:szCs w:val="21"/>
                <w:highlight w:val="none"/>
                <w:lang w:bidi="ar"/>
              </w:rPr>
              <w:t>等内容）进行独立打分，投标人不提供该项内容或达不到一档要求的为0分。</w:t>
            </w:r>
          </w:p>
          <w:p w14:paraId="55A501DE">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一档（</w:t>
            </w:r>
            <w:r>
              <w:rPr>
                <w:rFonts w:hint="eastAsia" w:ascii="宋体" w:hAnsi="宋体" w:eastAsia="宋体" w:cs="宋体"/>
                <w:color w:val="auto"/>
                <w:szCs w:val="21"/>
                <w:highlight w:val="none"/>
                <w:lang w:val="en-US" w:eastAsia="zh-CN" w:bidi="ar"/>
              </w:rPr>
              <w:t>5</w:t>
            </w:r>
            <w:r>
              <w:rPr>
                <w:rFonts w:hint="eastAsia" w:ascii="宋体" w:hAnsi="宋体" w:eastAsia="宋体" w:cs="宋体"/>
                <w:color w:val="auto"/>
                <w:szCs w:val="21"/>
                <w:highlight w:val="none"/>
                <w:lang w:bidi="ar"/>
              </w:rPr>
              <w:t>分）</w:t>
            </w:r>
            <w:r>
              <w:rPr>
                <w:rFonts w:hint="eastAsia" w:ascii="宋体" w:hAnsi="宋体" w:eastAsia="宋体" w:cs="宋体"/>
                <w:color w:val="auto"/>
                <w:szCs w:val="21"/>
                <w:highlight w:val="none"/>
                <w:lang w:val="en-US" w:eastAsia="zh-CN" w:bidi="ar"/>
              </w:rPr>
              <w:t>针对</w:t>
            </w:r>
            <w:r>
              <w:rPr>
                <w:rFonts w:hint="eastAsia" w:ascii="宋体" w:hAnsi="宋体" w:cs="宋体"/>
                <w:color w:val="auto"/>
                <w:szCs w:val="21"/>
                <w:highlight w:val="none"/>
                <w:lang w:val="en-US" w:eastAsia="zh-CN" w:bidi="ar"/>
              </w:rPr>
              <w:t>制度建设、重点项目管理、中央资金合规监管与绩效评价、评估认定、公共服务能力提升与生态培育</w:t>
            </w:r>
            <w:r>
              <w:rPr>
                <w:rFonts w:hint="eastAsia" w:ascii="宋体" w:hAnsi="宋体" w:eastAsia="宋体" w:cs="宋体"/>
                <w:color w:val="auto"/>
                <w:szCs w:val="21"/>
                <w:highlight w:val="none"/>
                <w:lang w:val="en-US" w:eastAsia="zh-CN" w:bidi="ar"/>
              </w:rPr>
              <w:t>等</w:t>
            </w:r>
            <w:r>
              <w:rPr>
                <w:rFonts w:hint="eastAsia" w:ascii="宋体" w:hAnsi="宋体" w:eastAsia="宋体" w:cs="宋体"/>
                <w:color w:val="auto"/>
                <w:szCs w:val="21"/>
                <w:highlight w:val="none"/>
                <w:lang w:bidi="ar"/>
              </w:rPr>
              <w:t>基本响应采购需求中的"项目进度要求"，对</w:t>
            </w:r>
            <w:r>
              <w:rPr>
                <w:rFonts w:hint="eastAsia" w:ascii="宋体" w:hAnsi="宋体" w:cs="宋体"/>
                <w:color w:val="auto"/>
                <w:szCs w:val="21"/>
                <w:highlight w:val="none"/>
                <w:lang w:val="en-US" w:eastAsia="zh-CN" w:bidi="ar"/>
              </w:rPr>
              <w:t>制度建设、重点项目管理、中央资金合规监管与绩效评价、评估认定、公共服务能力提升与生态培育</w:t>
            </w:r>
            <w:r>
              <w:rPr>
                <w:rFonts w:hint="eastAsia" w:ascii="宋体" w:hAnsi="宋体" w:eastAsia="宋体" w:cs="宋体"/>
                <w:color w:val="auto"/>
                <w:szCs w:val="21"/>
                <w:highlight w:val="none"/>
                <w:lang w:bidi="ar"/>
              </w:rPr>
              <w:t>有基本考虑，尚能满足项目</w:t>
            </w:r>
            <w:r>
              <w:rPr>
                <w:rFonts w:hint="eastAsia" w:ascii="宋体" w:hAnsi="宋体" w:eastAsia="宋体" w:cs="宋体"/>
                <w:color w:val="auto"/>
                <w:szCs w:val="21"/>
                <w:highlight w:val="none"/>
                <w:lang w:val="en-US" w:eastAsia="zh-CN" w:bidi="ar"/>
              </w:rPr>
              <w:t>最低</w:t>
            </w:r>
            <w:r>
              <w:rPr>
                <w:rFonts w:hint="eastAsia" w:ascii="宋体" w:hAnsi="宋体" w:eastAsia="宋体" w:cs="宋体"/>
                <w:color w:val="auto"/>
                <w:szCs w:val="21"/>
                <w:highlight w:val="none"/>
                <w:lang w:bidi="ar"/>
              </w:rPr>
              <w:t>要求，但方案的针对性或完整性略有不足。</w:t>
            </w:r>
          </w:p>
          <w:p w14:paraId="58B7A509">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二档（</w:t>
            </w:r>
            <w:r>
              <w:rPr>
                <w:rFonts w:hint="eastAsia" w:ascii="宋体" w:hAnsi="宋体" w:eastAsia="宋体" w:cs="宋体"/>
                <w:color w:val="auto"/>
                <w:szCs w:val="21"/>
                <w:highlight w:val="none"/>
                <w:lang w:val="en-US" w:eastAsia="zh-CN" w:bidi="ar"/>
              </w:rPr>
              <w:t>10</w:t>
            </w:r>
            <w:r>
              <w:rPr>
                <w:rFonts w:hint="eastAsia" w:ascii="宋体" w:hAnsi="宋体" w:eastAsia="宋体" w:cs="宋体"/>
                <w:color w:val="auto"/>
                <w:szCs w:val="21"/>
                <w:highlight w:val="none"/>
                <w:lang w:bidi="ar"/>
              </w:rPr>
              <w:t>分</w:t>
            </w:r>
            <w:r>
              <w:rPr>
                <w:rFonts w:hint="eastAsia" w:ascii="宋体" w:hAnsi="宋体" w:eastAsia="宋体" w:cs="宋体"/>
                <w:color w:val="auto"/>
                <w:szCs w:val="21"/>
                <w:highlight w:val="none"/>
                <w:lang w:eastAsia="zh-CN" w:bidi="ar"/>
              </w:rPr>
              <w:t>）</w:t>
            </w:r>
            <w:r>
              <w:rPr>
                <w:rFonts w:hint="eastAsia" w:ascii="宋体" w:hAnsi="宋体" w:eastAsia="宋体" w:cs="宋体"/>
                <w:color w:val="auto"/>
                <w:szCs w:val="21"/>
                <w:highlight w:val="none"/>
                <w:lang w:bidi="ar"/>
              </w:rPr>
              <w:t xml:space="preserve"> </w:t>
            </w:r>
            <w:r>
              <w:rPr>
                <w:rFonts w:hint="eastAsia" w:ascii="宋体" w:hAnsi="宋体" w:cs="宋体"/>
                <w:color w:val="auto"/>
                <w:szCs w:val="21"/>
                <w:highlight w:val="none"/>
                <w:lang w:val="en-US" w:eastAsia="zh-CN" w:bidi="ar"/>
              </w:rPr>
              <w:t>制度建设、重点项目管理、中央资金合规监管与绩效评价、评估认定、公共服务能力提升与生态培育</w:t>
            </w:r>
            <w:r>
              <w:rPr>
                <w:rFonts w:hint="eastAsia" w:ascii="宋体" w:hAnsi="宋体" w:eastAsia="宋体" w:cs="宋体"/>
                <w:color w:val="auto"/>
                <w:szCs w:val="21"/>
                <w:highlight w:val="none"/>
                <w:lang w:val="en-US" w:eastAsia="zh-CN" w:bidi="ar"/>
              </w:rPr>
              <w:t>等</w:t>
            </w:r>
            <w:r>
              <w:rPr>
                <w:rFonts w:hint="eastAsia" w:ascii="宋体" w:hAnsi="宋体" w:eastAsia="宋体" w:cs="宋体"/>
                <w:color w:val="auto"/>
                <w:szCs w:val="21"/>
                <w:highlight w:val="none"/>
                <w:lang w:bidi="ar"/>
              </w:rPr>
              <w:t>基本响应采购需求中的"项目进度要求"，对</w:t>
            </w:r>
            <w:r>
              <w:rPr>
                <w:rFonts w:hint="eastAsia" w:ascii="宋体" w:hAnsi="宋体" w:cs="宋体"/>
                <w:color w:val="auto"/>
                <w:szCs w:val="21"/>
                <w:highlight w:val="none"/>
                <w:lang w:val="en-US" w:eastAsia="zh-CN" w:bidi="ar"/>
              </w:rPr>
              <w:t>制度建设、重点项目管理、中央资金合规监管与绩效评价、评估认定、公共服务能力提升与生态培育方案</w:t>
            </w:r>
            <w:r>
              <w:rPr>
                <w:rFonts w:hint="eastAsia" w:ascii="宋体" w:hAnsi="宋体" w:eastAsia="宋体" w:cs="宋体"/>
                <w:color w:val="auto"/>
                <w:szCs w:val="21"/>
                <w:highlight w:val="none"/>
                <w:lang w:bidi="ar"/>
              </w:rPr>
              <w:t>基本可行，能够保障项目</w:t>
            </w:r>
            <w:r>
              <w:rPr>
                <w:rFonts w:hint="eastAsia" w:ascii="宋体" w:hAnsi="宋体" w:eastAsia="宋体" w:cs="宋体"/>
                <w:color w:val="auto"/>
                <w:szCs w:val="21"/>
                <w:highlight w:val="none"/>
                <w:lang w:val="en-US" w:eastAsia="zh-CN" w:bidi="ar"/>
              </w:rPr>
              <w:t>正常</w:t>
            </w:r>
            <w:r>
              <w:rPr>
                <w:rFonts w:hint="eastAsia" w:ascii="宋体" w:hAnsi="宋体" w:eastAsia="宋体" w:cs="宋体"/>
                <w:color w:val="auto"/>
                <w:szCs w:val="21"/>
                <w:highlight w:val="none"/>
                <w:lang w:bidi="ar"/>
              </w:rPr>
              <w:t>推进，仅存在少量可优化的内容缺陷。</w:t>
            </w:r>
          </w:p>
          <w:p w14:paraId="2E0D9D0A">
            <w:pPr>
              <w:spacing w:line="440" w:lineRule="exact"/>
              <w:ind w:firstLine="420" w:firstLineChars="200"/>
              <w:jc w:val="left"/>
              <w:rPr>
                <w:rFonts w:hint="eastAsia" w:ascii="宋体" w:hAnsi="宋体" w:cs="宋体"/>
                <w:color w:val="auto"/>
                <w:szCs w:val="21"/>
                <w:highlight w:val="none"/>
              </w:rPr>
            </w:pPr>
            <w:r>
              <w:rPr>
                <w:rFonts w:hint="eastAsia" w:ascii="宋体" w:hAnsi="宋体" w:eastAsia="宋体" w:cs="宋体"/>
                <w:color w:val="auto"/>
                <w:szCs w:val="21"/>
                <w:highlight w:val="none"/>
                <w:lang w:bidi="ar"/>
              </w:rPr>
              <w:t>三档（</w:t>
            </w:r>
            <w:r>
              <w:rPr>
                <w:rFonts w:hint="eastAsia" w:ascii="宋体" w:hAnsi="宋体" w:eastAsia="宋体" w:cs="宋体"/>
                <w:color w:val="auto"/>
                <w:szCs w:val="21"/>
                <w:highlight w:val="none"/>
                <w:lang w:val="en-US" w:eastAsia="zh-CN" w:bidi="ar"/>
              </w:rPr>
              <w:t>14</w:t>
            </w:r>
            <w:r>
              <w:rPr>
                <w:rFonts w:hint="eastAsia" w:ascii="宋体" w:hAnsi="宋体" w:eastAsia="宋体" w:cs="宋体"/>
                <w:color w:val="auto"/>
                <w:szCs w:val="21"/>
                <w:highlight w:val="none"/>
                <w:lang w:bidi="ar"/>
              </w:rPr>
              <w:t>分）</w:t>
            </w:r>
            <w:r>
              <w:rPr>
                <w:rFonts w:hint="eastAsia" w:ascii="宋体" w:hAnsi="宋体" w:cs="宋体"/>
                <w:color w:val="auto"/>
                <w:szCs w:val="21"/>
                <w:highlight w:val="none"/>
                <w:lang w:val="en-US" w:eastAsia="zh-CN" w:bidi="ar"/>
              </w:rPr>
              <w:t>制度建设、重点项目管理、中央资金合规监管与绩效评价、评估认定、公共服务能力提升与生态培育方案</w:t>
            </w:r>
            <w:r>
              <w:rPr>
                <w:rFonts w:hint="eastAsia" w:ascii="宋体" w:hAnsi="宋体" w:eastAsia="宋体" w:cs="宋体"/>
                <w:color w:val="auto"/>
                <w:szCs w:val="21"/>
                <w:highlight w:val="none"/>
                <w:lang w:bidi="ar"/>
              </w:rPr>
              <w:t>能完全满足采购需求，对</w:t>
            </w:r>
            <w:r>
              <w:rPr>
                <w:rFonts w:hint="eastAsia" w:ascii="宋体" w:hAnsi="宋体" w:cs="宋体"/>
                <w:color w:val="auto"/>
                <w:szCs w:val="21"/>
                <w:highlight w:val="none"/>
                <w:lang w:val="en-US" w:eastAsia="zh-CN" w:bidi="ar"/>
              </w:rPr>
              <w:t>制度建设、重点项目管理、中央资金合规监管与绩效评价、评估认定、公共服务能力提升与生态培育等方面</w:t>
            </w:r>
            <w:r>
              <w:rPr>
                <w:rFonts w:hint="eastAsia" w:ascii="宋体" w:hAnsi="宋体" w:eastAsia="宋体" w:cs="宋体"/>
                <w:color w:val="auto"/>
                <w:szCs w:val="21"/>
                <w:highlight w:val="none"/>
                <w:lang w:bidi="ar"/>
              </w:rPr>
              <w:t>考虑全面、</w:t>
            </w:r>
            <w:r>
              <w:rPr>
                <w:rFonts w:hint="eastAsia" w:ascii="宋体" w:hAnsi="宋体" w:eastAsia="宋体" w:cs="宋体"/>
                <w:color w:val="auto"/>
                <w:szCs w:val="21"/>
                <w:highlight w:val="none"/>
                <w:lang w:val="en-US" w:eastAsia="zh-CN" w:bidi="ar"/>
              </w:rPr>
              <w:t>方案</w:t>
            </w:r>
            <w:r>
              <w:rPr>
                <w:rFonts w:hint="eastAsia" w:ascii="宋体" w:hAnsi="宋体" w:eastAsia="宋体" w:cs="宋体"/>
                <w:color w:val="auto"/>
                <w:szCs w:val="21"/>
                <w:highlight w:val="none"/>
                <w:lang w:bidi="ar"/>
              </w:rPr>
              <w:t>科学合理，针对性强且切实可行，能够充分保障项目高质量完成。</w:t>
            </w:r>
          </w:p>
        </w:tc>
        <w:tc>
          <w:tcPr>
            <w:tcW w:w="736" w:type="dxa"/>
            <w:tcBorders>
              <w:top w:val="single" w:color="auto" w:sz="4" w:space="0"/>
              <w:left w:val="nil"/>
              <w:bottom w:val="single" w:color="auto" w:sz="4" w:space="0"/>
              <w:right w:val="single" w:color="auto" w:sz="4" w:space="0"/>
            </w:tcBorders>
            <w:noWrap w:val="0"/>
            <w:vAlign w:val="center"/>
          </w:tcPr>
          <w:p w14:paraId="55C360DB">
            <w:pPr>
              <w:spacing w:line="360" w:lineRule="auto"/>
              <w:jc w:val="center"/>
              <w:rPr>
                <w:rFonts w:hint="default" w:ascii="宋体" w:hAnsi="宋体" w:eastAsia="宋体" w:cs="宋体"/>
                <w:szCs w:val="21"/>
                <w:highlight w:val="none"/>
                <w:lang w:val="en-US" w:eastAsia="zh-CN" w:bidi="ar"/>
              </w:rPr>
            </w:pPr>
            <w:r>
              <w:rPr>
                <w:rFonts w:hint="eastAsia" w:ascii="宋体" w:hAnsi="宋体" w:cs="宋体"/>
                <w:szCs w:val="21"/>
                <w:highlight w:val="none"/>
                <w:lang w:val="en-US" w:eastAsia="zh-CN" w:bidi="ar"/>
              </w:rPr>
              <w:t>14</w:t>
            </w:r>
          </w:p>
        </w:tc>
      </w:tr>
      <w:tr w14:paraId="54F1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10AD15FB">
            <w:pPr>
              <w:adjustRightInd w:val="0"/>
              <w:spacing w:line="400" w:lineRule="exact"/>
              <w:jc w:val="center"/>
              <w:textAlignment w:val="baseline"/>
              <w:rPr>
                <w:rFonts w:hint="eastAsia" w:ascii="宋体" w:hAnsi="宋体" w:cs="宋体"/>
                <w:bCs/>
                <w:kern w:val="0"/>
                <w:szCs w:val="21"/>
                <w:highlight w:val="none"/>
                <w:lang w:val="en-US" w:eastAsia="zh-CN" w:bidi="ar"/>
              </w:rPr>
            </w:pPr>
            <w:r>
              <w:rPr>
                <w:rFonts w:hint="eastAsia" w:ascii="宋体" w:hAnsi="宋体" w:cs="宋体"/>
                <w:bCs/>
                <w:kern w:val="0"/>
                <w:szCs w:val="21"/>
                <w:highlight w:val="none"/>
                <w:lang w:val="en-US" w:eastAsia="zh-CN" w:bidi="ar"/>
              </w:rPr>
              <w:t>2.3</w:t>
            </w:r>
          </w:p>
        </w:tc>
        <w:tc>
          <w:tcPr>
            <w:tcW w:w="1242" w:type="dxa"/>
            <w:tcBorders>
              <w:top w:val="single" w:color="auto" w:sz="4" w:space="0"/>
              <w:left w:val="nil"/>
              <w:bottom w:val="single" w:color="auto" w:sz="4" w:space="0"/>
              <w:right w:val="single" w:color="auto" w:sz="4" w:space="0"/>
            </w:tcBorders>
            <w:noWrap w:val="0"/>
            <w:vAlign w:val="center"/>
          </w:tcPr>
          <w:p w14:paraId="3C1B04D4">
            <w:pPr>
              <w:spacing w:line="360" w:lineRule="auto"/>
              <w:jc w:val="center"/>
              <w:rPr>
                <w:rFonts w:hint="eastAsia" w:ascii="宋体" w:hAnsi="宋体" w:eastAsia="宋体" w:cs="宋体"/>
                <w:b/>
                <w:color w:val="auto"/>
                <w:szCs w:val="21"/>
                <w:highlight w:val="none"/>
                <w:lang w:val="en-US" w:eastAsia="zh-CN" w:bidi="ar"/>
              </w:rPr>
            </w:pPr>
            <w:r>
              <w:rPr>
                <w:rFonts w:hint="eastAsia" w:ascii="宋体" w:hAnsi="宋体" w:cs="宋体"/>
                <w:b/>
                <w:color w:val="auto"/>
                <w:szCs w:val="21"/>
                <w:highlight w:val="none"/>
                <w:lang w:bidi="ar"/>
              </w:rPr>
              <w:t>技术</w:t>
            </w:r>
            <w:r>
              <w:rPr>
                <w:rFonts w:hint="eastAsia" w:ascii="宋体" w:hAnsi="宋体" w:cs="宋体"/>
                <w:b/>
                <w:color w:val="auto"/>
                <w:szCs w:val="21"/>
                <w:highlight w:val="none"/>
                <w:lang w:val="en-US" w:eastAsia="zh-CN" w:bidi="ar"/>
              </w:rPr>
              <w:t>3</w:t>
            </w:r>
          </w:p>
          <w:p w14:paraId="69B39DD7">
            <w:pPr>
              <w:spacing w:line="360" w:lineRule="auto"/>
              <w:jc w:val="center"/>
              <w:rPr>
                <w:rFonts w:hint="eastAsia" w:ascii="宋体" w:hAnsi="宋体" w:cs="宋体"/>
                <w:b/>
                <w:color w:val="auto"/>
                <w:szCs w:val="21"/>
                <w:highlight w:val="none"/>
                <w:lang w:bidi="ar"/>
              </w:rPr>
            </w:pPr>
            <w:r>
              <w:rPr>
                <w:rFonts w:hint="eastAsia" w:ascii="宋体" w:hAnsi="宋体" w:cs="宋体"/>
                <w:b/>
                <w:color w:val="auto"/>
                <w:szCs w:val="21"/>
                <w:highlight w:val="none"/>
                <w:lang w:bidi="ar"/>
              </w:rPr>
              <w:t>（主观分）</w:t>
            </w:r>
          </w:p>
        </w:tc>
        <w:tc>
          <w:tcPr>
            <w:tcW w:w="6981" w:type="dxa"/>
            <w:tcBorders>
              <w:top w:val="single" w:color="auto" w:sz="4" w:space="0"/>
              <w:left w:val="nil"/>
              <w:bottom w:val="single" w:color="auto" w:sz="4" w:space="0"/>
              <w:right w:val="single" w:color="auto" w:sz="4" w:space="0"/>
            </w:tcBorders>
            <w:noWrap w:val="0"/>
            <w:vAlign w:val="center"/>
          </w:tcPr>
          <w:p w14:paraId="1417B98C">
            <w:pPr>
              <w:spacing w:line="440" w:lineRule="exact"/>
              <w:jc w:val="left"/>
              <w:rPr>
                <w:rFonts w:hint="eastAsia"/>
                <w:color w:val="auto"/>
                <w:highlight w:val="none"/>
              </w:rPr>
            </w:pPr>
            <w:r>
              <w:rPr>
                <w:rFonts w:hint="eastAsia"/>
                <w:b/>
                <w:bCs/>
                <w:color w:val="auto"/>
                <w:highlight w:val="none"/>
              </w:rPr>
              <w:t>项目进度（满分8分）</w:t>
            </w:r>
          </w:p>
          <w:p w14:paraId="7BDE39AD">
            <w:pPr>
              <w:spacing w:line="440" w:lineRule="exact"/>
              <w:ind w:firstLine="420" w:firstLineChars="200"/>
              <w:jc w:val="left"/>
              <w:rPr>
                <w:rFonts w:hint="eastAsia" w:ascii="宋体" w:hAnsi="宋体" w:eastAsia="宋体" w:cs="宋体"/>
                <w:color w:val="auto"/>
                <w:szCs w:val="21"/>
                <w:highlight w:val="none"/>
                <w:lang w:eastAsia="zh-CN" w:bidi="ar"/>
              </w:rPr>
            </w:pPr>
            <w:r>
              <w:rPr>
                <w:rFonts w:hint="eastAsia" w:ascii="宋体" w:hAnsi="宋体" w:eastAsia="宋体" w:cs="宋体"/>
                <w:color w:val="auto"/>
                <w:szCs w:val="21"/>
                <w:highlight w:val="none"/>
                <w:lang w:bidi="ar"/>
              </w:rPr>
              <w:t>根据采购需求"项目进度要求"部分，对项目实施计划、进度安排进行进行独立打分，投标人不提供该项内容或达不到一档要求的为0分。</w:t>
            </w:r>
          </w:p>
          <w:p w14:paraId="0EA29E06">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一档（</w:t>
            </w:r>
            <w:r>
              <w:rPr>
                <w:rFonts w:hint="eastAsia" w:ascii="宋体" w:hAnsi="宋体" w:eastAsia="宋体" w:cs="宋体"/>
                <w:color w:val="auto"/>
                <w:szCs w:val="21"/>
                <w:highlight w:val="none"/>
                <w:lang w:val="en-US" w:eastAsia="zh-CN" w:bidi="ar"/>
              </w:rPr>
              <w:t>4</w:t>
            </w:r>
            <w:r>
              <w:rPr>
                <w:rFonts w:hint="eastAsia" w:ascii="宋体" w:hAnsi="宋体" w:eastAsia="宋体" w:cs="宋体"/>
                <w:color w:val="auto"/>
                <w:szCs w:val="21"/>
                <w:highlight w:val="none"/>
                <w:lang w:bidi="ar"/>
              </w:rPr>
              <w:t>分） 实施计划、进度安排基本响应采购需求中的"项目进度要求"，对项目实施计划、关键节点和进度安排有基本考虑，尚能满足项目推进的最低时限要求，但方案的针对性或完整性略有不足。</w:t>
            </w:r>
          </w:p>
          <w:p w14:paraId="055F0C6B">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二档（6分） 实施计划、进度安排较好满足采购需求，关键节点清晰、时序合理，进度保障措施基本可行，能够保障项目按期推进，仅存在少量可优化的内容缺陷。</w:t>
            </w:r>
          </w:p>
          <w:p w14:paraId="47C00F6C">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三档（8分） 实施计划、进度安排能完全满足采购需求，对项目实施计划、进度安排考虑全面、节点明确、时序科学合理，针对性强且切实可行，能够充分保障项目按既定进度高质量完成。</w:t>
            </w:r>
          </w:p>
        </w:tc>
        <w:tc>
          <w:tcPr>
            <w:tcW w:w="736" w:type="dxa"/>
            <w:tcBorders>
              <w:top w:val="single" w:color="auto" w:sz="4" w:space="0"/>
              <w:left w:val="nil"/>
              <w:bottom w:val="single" w:color="auto" w:sz="4" w:space="0"/>
              <w:right w:val="single" w:color="auto" w:sz="4" w:space="0"/>
            </w:tcBorders>
            <w:noWrap w:val="0"/>
            <w:vAlign w:val="center"/>
          </w:tcPr>
          <w:p w14:paraId="0F918AFE">
            <w:pPr>
              <w:spacing w:line="360" w:lineRule="auto"/>
              <w:jc w:val="center"/>
              <w:rPr>
                <w:rFonts w:hint="default" w:ascii="宋体" w:hAnsi="宋体" w:cs="宋体"/>
                <w:szCs w:val="21"/>
                <w:highlight w:val="none"/>
                <w:lang w:val="en-US" w:eastAsia="zh-CN" w:bidi="ar"/>
              </w:rPr>
            </w:pPr>
            <w:r>
              <w:rPr>
                <w:rFonts w:hint="eastAsia" w:ascii="宋体" w:hAnsi="宋体" w:cs="宋体"/>
                <w:szCs w:val="21"/>
                <w:highlight w:val="none"/>
                <w:lang w:val="en-US" w:eastAsia="zh-CN" w:bidi="ar"/>
              </w:rPr>
              <w:t>8</w:t>
            </w:r>
          </w:p>
        </w:tc>
      </w:tr>
      <w:tr w14:paraId="39B2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22FE6D04">
            <w:pPr>
              <w:adjustRightInd w:val="0"/>
              <w:spacing w:line="400" w:lineRule="exact"/>
              <w:jc w:val="center"/>
              <w:textAlignment w:val="baseline"/>
              <w:rPr>
                <w:rFonts w:hint="default" w:ascii="宋体" w:hAnsi="宋体" w:eastAsia="宋体" w:cs="宋体"/>
                <w:bCs/>
                <w:kern w:val="0"/>
                <w:szCs w:val="21"/>
                <w:highlight w:val="none"/>
                <w:lang w:val="en-US" w:eastAsia="zh-CN" w:bidi="ar"/>
              </w:rPr>
            </w:pPr>
            <w:r>
              <w:rPr>
                <w:rFonts w:hint="eastAsia" w:ascii="宋体" w:hAnsi="宋体" w:cs="宋体"/>
                <w:bCs/>
                <w:kern w:val="0"/>
                <w:szCs w:val="21"/>
                <w:highlight w:val="none"/>
                <w:lang w:val="en-US" w:eastAsia="zh-CN" w:bidi="ar"/>
              </w:rPr>
              <w:t>2.4</w:t>
            </w:r>
          </w:p>
        </w:tc>
        <w:tc>
          <w:tcPr>
            <w:tcW w:w="1242" w:type="dxa"/>
            <w:tcBorders>
              <w:top w:val="single" w:color="auto" w:sz="4" w:space="0"/>
              <w:left w:val="nil"/>
              <w:bottom w:val="single" w:color="auto" w:sz="4" w:space="0"/>
              <w:right w:val="single" w:color="auto" w:sz="4" w:space="0"/>
            </w:tcBorders>
            <w:noWrap w:val="0"/>
            <w:vAlign w:val="center"/>
          </w:tcPr>
          <w:p w14:paraId="63707CC7">
            <w:pPr>
              <w:spacing w:line="360" w:lineRule="auto"/>
              <w:jc w:val="center"/>
              <w:rPr>
                <w:rFonts w:hint="eastAsia" w:ascii="宋体" w:hAnsi="宋体" w:eastAsia="宋体" w:cs="宋体"/>
                <w:b/>
                <w:color w:val="auto"/>
                <w:szCs w:val="21"/>
                <w:highlight w:val="none"/>
                <w:lang w:val="en-US" w:eastAsia="zh-CN" w:bidi="ar"/>
              </w:rPr>
            </w:pPr>
            <w:r>
              <w:rPr>
                <w:rFonts w:hint="eastAsia" w:ascii="宋体" w:hAnsi="宋体" w:cs="宋体"/>
                <w:b/>
                <w:color w:val="auto"/>
                <w:szCs w:val="21"/>
                <w:highlight w:val="none"/>
                <w:lang w:bidi="ar"/>
              </w:rPr>
              <w:t>技术</w:t>
            </w:r>
            <w:r>
              <w:rPr>
                <w:rFonts w:hint="eastAsia" w:ascii="宋体" w:hAnsi="宋体" w:cs="宋体"/>
                <w:b/>
                <w:color w:val="auto"/>
                <w:szCs w:val="21"/>
                <w:highlight w:val="none"/>
                <w:lang w:val="en-US" w:eastAsia="zh-CN" w:bidi="ar"/>
              </w:rPr>
              <w:t>4</w:t>
            </w:r>
          </w:p>
          <w:p w14:paraId="6A87DE43">
            <w:pPr>
              <w:spacing w:line="360" w:lineRule="auto"/>
              <w:jc w:val="center"/>
              <w:rPr>
                <w:rFonts w:hint="eastAsia" w:ascii="宋体" w:hAnsi="宋体" w:cs="宋体"/>
                <w:b/>
                <w:color w:val="auto"/>
                <w:szCs w:val="21"/>
                <w:highlight w:val="none"/>
                <w:lang w:bidi="ar"/>
              </w:rPr>
            </w:pPr>
            <w:r>
              <w:rPr>
                <w:rFonts w:hint="eastAsia" w:ascii="宋体" w:hAnsi="宋体" w:cs="宋体"/>
                <w:b/>
                <w:color w:val="auto"/>
                <w:szCs w:val="21"/>
                <w:highlight w:val="none"/>
                <w:lang w:bidi="ar"/>
              </w:rPr>
              <w:t>（主观分）</w:t>
            </w:r>
          </w:p>
        </w:tc>
        <w:tc>
          <w:tcPr>
            <w:tcW w:w="6981" w:type="dxa"/>
            <w:tcBorders>
              <w:top w:val="single" w:color="auto" w:sz="4" w:space="0"/>
              <w:left w:val="nil"/>
              <w:bottom w:val="single" w:color="auto" w:sz="4" w:space="0"/>
              <w:right w:val="single" w:color="auto" w:sz="4" w:space="0"/>
            </w:tcBorders>
            <w:noWrap w:val="0"/>
            <w:vAlign w:val="center"/>
          </w:tcPr>
          <w:p w14:paraId="73CA375F">
            <w:pPr>
              <w:spacing w:line="440" w:lineRule="exact"/>
              <w:jc w:val="left"/>
              <w:rPr>
                <w:rFonts w:hint="eastAsia" w:ascii="Times New Roman" w:hAnsi="Times New Roman" w:cs="Times New Roman"/>
                <w:b w:val="0"/>
                <w:bCs w:val="0"/>
                <w:color w:val="auto"/>
                <w:highlight w:val="none"/>
              </w:rPr>
            </w:pPr>
            <w:r>
              <w:rPr>
                <w:rFonts w:hint="eastAsia" w:ascii="Times New Roman" w:hAnsi="Times New Roman" w:cs="Times New Roman"/>
                <w:b/>
                <w:bCs/>
                <w:color w:val="auto"/>
                <w:highlight w:val="none"/>
              </w:rPr>
              <w:t>服务质量保障机制（满分8分）</w:t>
            </w:r>
          </w:p>
          <w:p w14:paraId="25B8343D">
            <w:pPr>
              <w:spacing w:line="440" w:lineRule="exact"/>
              <w:ind w:firstLine="420" w:firstLineChars="200"/>
              <w:jc w:val="left"/>
              <w:rPr>
                <w:rFonts w:hint="eastAsia" w:ascii="宋体" w:hAnsi="宋体" w:eastAsia="宋体" w:cs="宋体"/>
                <w:color w:val="auto"/>
                <w:szCs w:val="21"/>
                <w:highlight w:val="none"/>
                <w:lang w:eastAsia="zh-CN" w:bidi="ar"/>
              </w:rPr>
            </w:pPr>
            <w:r>
              <w:rPr>
                <w:rFonts w:hint="eastAsia" w:ascii="宋体" w:hAnsi="宋体" w:eastAsia="宋体" w:cs="宋体"/>
                <w:color w:val="auto"/>
                <w:szCs w:val="21"/>
                <w:highlight w:val="none"/>
                <w:lang w:bidi="ar"/>
              </w:rPr>
              <w:t>根据</w:t>
            </w:r>
            <w:r>
              <w:rPr>
                <w:rFonts w:hint="eastAsia" w:ascii="宋体" w:hAnsi="宋体" w:eastAsia="宋体" w:cs="宋体"/>
                <w:color w:val="auto"/>
                <w:szCs w:val="21"/>
                <w:highlight w:val="none"/>
                <w:lang w:val="en-US" w:eastAsia="zh-CN" w:bidi="ar"/>
              </w:rPr>
              <w:t>投标人</w:t>
            </w:r>
            <w:r>
              <w:rPr>
                <w:rFonts w:hint="eastAsia" w:ascii="宋体" w:hAnsi="宋体" w:eastAsia="宋体" w:cs="宋体"/>
                <w:color w:val="auto"/>
                <w:szCs w:val="21"/>
                <w:highlight w:val="none"/>
                <w:lang w:bidi="ar"/>
              </w:rPr>
              <w:t>对本项目目标所提供的项目服务质量保障机制（包含但不限于现场驻点支撑、响应机制、进度保障、质量保障等）的情况进行独立打分，投标人不提供该项内容或达不到一档要求的为0分。</w:t>
            </w:r>
          </w:p>
          <w:p w14:paraId="156B8F7B">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一档（</w:t>
            </w:r>
            <w:r>
              <w:rPr>
                <w:rFonts w:hint="eastAsia" w:ascii="宋体" w:hAnsi="宋体" w:eastAsia="宋体" w:cs="宋体"/>
                <w:color w:val="auto"/>
                <w:szCs w:val="21"/>
                <w:highlight w:val="none"/>
                <w:lang w:val="en-US" w:eastAsia="zh-CN" w:bidi="ar"/>
              </w:rPr>
              <w:t>4</w:t>
            </w:r>
            <w:r>
              <w:rPr>
                <w:rFonts w:hint="eastAsia" w:ascii="宋体" w:hAnsi="宋体" w:eastAsia="宋体" w:cs="宋体"/>
                <w:color w:val="auto"/>
                <w:szCs w:val="21"/>
                <w:highlight w:val="none"/>
                <w:lang w:bidi="ar"/>
              </w:rPr>
              <w:t>分） 服务质量保障机制基本响应采购需求，对现场驻点支撑、响应机制、进度保障、质量保障等主要内容有基本考虑，尚能满足项目服务的基本保障需要，但机制的完整性或针对性略有不足。</w:t>
            </w:r>
          </w:p>
          <w:p w14:paraId="75C05DF0">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二档（6分） 服务质量保障机制较好满足采购需求，现场驻点支撑、响应机制、进度保障、质量保障等要点较齐全，内容较完善、基本适用本项目，仅存在少量可优化的内容缺陷。</w:t>
            </w:r>
          </w:p>
          <w:p w14:paraId="2F2C5A8E">
            <w:pPr>
              <w:spacing w:line="440" w:lineRule="exact"/>
              <w:ind w:firstLine="420" w:firstLineChars="200"/>
              <w:jc w:val="left"/>
              <w:rPr>
                <w:rFonts w:hint="eastAsia" w:ascii="宋体" w:hAnsi="宋体" w:cs="宋体"/>
                <w:color w:val="auto"/>
                <w:szCs w:val="21"/>
                <w:highlight w:val="none"/>
              </w:rPr>
            </w:pPr>
            <w:r>
              <w:rPr>
                <w:rFonts w:hint="eastAsia" w:ascii="宋体" w:hAnsi="宋体" w:eastAsia="宋体" w:cs="宋体"/>
                <w:color w:val="auto"/>
                <w:szCs w:val="21"/>
                <w:highlight w:val="none"/>
                <w:lang w:bidi="ar"/>
              </w:rPr>
              <w:t>三档（8分） 服务质量保障机制能完全满足采购需求，现场驻点支撑、响应机制、进度保障、质量保障等要点齐全无缺漏，内容与要点相符、完善且能够适用于本项目，保障有力、切实可行。</w:t>
            </w:r>
          </w:p>
        </w:tc>
        <w:tc>
          <w:tcPr>
            <w:tcW w:w="736" w:type="dxa"/>
            <w:tcBorders>
              <w:top w:val="single" w:color="auto" w:sz="4" w:space="0"/>
              <w:left w:val="nil"/>
              <w:bottom w:val="single" w:color="auto" w:sz="4" w:space="0"/>
              <w:right w:val="single" w:color="auto" w:sz="4" w:space="0"/>
            </w:tcBorders>
            <w:noWrap w:val="0"/>
            <w:vAlign w:val="center"/>
          </w:tcPr>
          <w:p w14:paraId="4A72E591">
            <w:pPr>
              <w:spacing w:line="360" w:lineRule="auto"/>
              <w:jc w:val="center"/>
              <w:rPr>
                <w:rFonts w:hint="eastAsia" w:ascii="宋体" w:hAnsi="宋体" w:eastAsia="宋体" w:cs="宋体"/>
                <w:szCs w:val="21"/>
                <w:highlight w:val="none"/>
                <w:lang w:val="en-US" w:eastAsia="zh-CN" w:bidi="ar"/>
              </w:rPr>
            </w:pPr>
            <w:r>
              <w:rPr>
                <w:rFonts w:hint="eastAsia" w:ascii="宋体" w:hAnsi="宋体" w:cs="宋体"/>
                <w:szCs w:val="21"/>
                <w:highlight w:val="none"/>
                <w:lang w:val="en-US" w:eastAsia="zh-CN" w:bidi="ar"/>
              </w:rPr>
              <w:t>8</w:t>
            </w:r>
          </w:p>
        </w:tc>
      </w:tr>
      <w:tr w14:paraId="66C4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12AEB5A5">
            <w:pPr>
              <w:widowControl/>
              <w:spacing w:line="400" w:lineRule="exact"/>
              <w:jc w:val="center"/>
              <w:rPr>
                <w:rFonts w:hint="eastAsia" w:ascii="宋体" w:hAnsi="宋体" w:cs="宋体"/>
                <w:b/>
                <w:bCs/>
                <w:kern w:val="0"/>
                <w:szCs w:val="21"/>
                <w:highlight w:val="none"/>
              </w:rPr>
            </w:pPr>
            <w:r>
              <w:rPr>
                <w:rFonts w:hint="eastAsia" w:ascii="宋体" w:hAnsi="宋体" w:cs="宋体"/>
                <w:b/>
                <w:bCs/>
                <w:kern w:val="0"/>
                <w:szCs w:val="21"/>
                <w:highlight w:val="none"/>
                <w:lang w:bidi="ar"/>
              </w:rPr>
              <w:t>3</w:t>
            </w:r>
          </w:p>
        </w:tc>
        <w:tc>
          <w:tcPr>
            <w:tcW w:w="8959" w:type="dxa"/>
            <w:gridSpan w:val="3"/>
            <w:tcBorders>
              <w:top w:val="single" w:color="auto" w:sz="4" w:space="0"/>
              <w:left w:val="nil"/>
              <w:bottom w:val="single" w:color="auto" w:sz="4" w:space="0"/>
              <w:right w:val="single" w:color="auto" w:sz="4" w:space="0"/>
            </w:tcBorders>
            <w:noWrap w:val="0"/>
            <w:vAlign w:val="center"/>
          </w:tcPr>
          <w:p w14:paraId="6C1F4BC8">
            <w:pPr>
              <w:widowControl/>
              <w:spacing w:line="400" w:lineRule="exact"/>
              <w:jc w:val="center"/>
              <w:rPr>
                <w:rFonts w:hint="eastAsia" w:ascii="宋体" w:hAnsi="宋体" w:cs="宋体"/>
                <w:b/>
                <w:bCs/>
                <w:kern w:val="0"/>
                <w:szCs w:val="21"/>
                <w:highlight w:val="none"/>
              </w:rPr>
            </w:pPr>
            <w:r>
              <w:rPr>
                <w:rFonts w:hint="eastAsia" w:ascii="宋体" w:hAnsi="宋体" w:cs="宋体"/>
                <w:b/>
                <w:bCs/>
                <w:szCs w:val="21"/>
                <w:highlight w:val="none"/>
                <w:lang w:bidi="ar"/>
              </w:rPr>
              <w:t>商务分（满分</w:t>
            </w:r>
            <w:r>
              <w:rPr>
                <w:rFonts w:hint="eastAsia" w:ascii="宋体" w:hAnsi="宋体" w:cs="宋体"/>
                <w:b/>
                <w:bCs/>
                <w:szCs w:val="21"/>
                <w:highlight w:val="none"/>
                <w:lang w:val="en-US" w:eastAsia="zh-CN" w:bidi="ar"/>
              </w:rPr>
              <w:t>40</w:t>
            </w:r>
            <w:r>
              <w:rPr>
                <w:rFonts w:hint="eastAsia" w:ascii="宋体" w:hAnsi="宋体" w:cs="宋体"/>
                <w:b/>
                <w:bCs/>
                <w:szCs w:val="21"/>
                <w:highlight w:val="none"/>
                <w:lang w:bidi="ar"/>
              </w:rPr>
              <w:t>分）</w:t>
            </w:r>
          </w:p>
        </w:tc>
      </w:tr>
      <w:tr w14:paraId="69AB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2555E381">
            <w:pPr>
              <w:widowControl/>
              <w:spacing w:line="400" w:lineRule="exact"/>
              <w:jc w:val="center"/>
              <w:rPr>
                <w:rFonts w:hint="eastAsia" w:ascii="宋体" w:hAnsi="宋体" w:cs="宋体"/>
                <w:kern w:val="0"/>
                <w:szCs w:val="21"/>
                <w:highlight w:val="none"/>
              </w:rPr>
            </w:pPr>
            <w:r>
              <w:rPr>
                <w:rFonts w:hint="eastAsia" w:ascii="宋体" w:hAnsi="宋体" w:cs="宋体"/>
                <w:kern w:val="0"/>
                <w:szCs w:val="21"/>
                <w:highlight w:val="none"/>
                <w:lang w:bidi="ar"/>
              </w:rPr>
              <w:t>3.1</w:t>
            </w:r>
          </w:p>
        </w:tc>
        <w:tc>
          <w:tcPr>
            <w:tcW w:w="1242" w:type="dxa"/>
            <w:tcBorders>
              <w:top w:val="single" w:color="auto" w:sz="4" w:space="0"/>
              <w:left w:val="nil"/>
              <w:bottom w:val="single" w:color="auto" w:sz="4" w:space="0"/>
              <w:right w:val="single" w:color="auto" w:sz="4" w:space="0"/>
            </w:tcBorders>
            <w:noWrap w:val="0"/>
            <w:vAlign w:val="center"/>
          </w:tcPr>
          <w:p w14:paraId="09C9AC98">
            <w:pPr>
              <w:widowControl/>
              <w:spacing w:line="360" w:lineRule="auto"/>
              <w:jc w:val="center"/>
              <w:rPr>
                <w:rFonts w:hint="eastAsia" w:ascii="宋体" w:hAnsi="宋体" w:cs="宋体"/>
                <w:b/>
                <w:szCs w:val="21"/>
                <w:highlight w:val="none"/>
              </w:rPr>
            </w:pPr>
            <w:r>
              <w:rPr>
                <w:rFonts w:hint="eastAsia" w:ascii="宋体" w:hAnsi="宋体" w:cs="宋体"/>
                <w:b/>
                <w:szCs w:val="21"/>
                <w:highlight w:val="none"/>
              </w:rPr>
              <w:t>商务1</w:t>
            </w:r>
          </w:p>
          <w:p w14:paraId="5C8410DC">
            <w:pPr>
              <w:widowControl/>
              <w:spacing w:line="360" w:lineRule="auto"/>
              <w:jc w:val="center"/>
              <w:rPr>
                <w:rFonts w:hint="eastAsia" w:ascii="宋体" w:hAnsi="宋体" w:cs="宋体"/>
                <w:b/>
                <w:szCs w:val="21"/>
                <w:highlight w:val="none"/>
              </w:rPr>
            </w:pPr>
            <w:r>
              <w:rPr>
                <w:rFonts w:hint="eastAsia" w:ascii="宋体" w:hAnsi="宋体" w:cs="宋体"/>
                <w:b/>
                <w:szCs w:val="21"/>
                <w:highlight w:val="none"/>
              </w:rPr>
              <w:t>（</w:t>
            </w:r>
            <w:r>
              <w:rPr>
                <w:rFonts w:hint="eastAsia" w:ascii="宋体" w:hAnsi="宋体" w:cs="宋体"/>
                <w:b/>
                <w:szCs w:val="21"/>
                <w:highlight w:val="none"/>
                <w:lang w:val="en-US" w:eastAsia="zh-CN"/>
              </w:rPr>
              <w:t>客</w:t>
            </w:r>
            <w:r>
              <w:rPr>
                <w:rFonts w:hint="eastAsia" w:ascii="宋体" w:hAnsi="宋体" w:cs="宋体"/>
                <w:b/>
                <w:szCs w:val="21"/>
                <w:highlight w:val="none"/>
              </w:rPr>
              <w:t>观分）</w:t>
            </w:r>
          </w:p>
        </w:tc>
        <w:tc>
          <w:tcPr>
            <w:tcW w:w="6981" w:type="dxa"/>
            <w:tcBorders>
              <w:top w:val="single" w:color="auto" w:sz="4" w:space="0"/>
              <w:left w:val="nil"/>
              <w:bottom w:val="single" w:color="auto" w:sz="4" w:space="0"/>
              <w:right w:val="single" w:color="auto" w:sz="4" w:space="0"/>
            </w:tcBorders>
            <w:noWrap w:val="0"/>
            <w:vAlign w:val="top"/>
          </w:tcPr>
          <w:p w14:paraId="1C2D9946">
            <w:pPr>
              <w:spacing w:line="440" w:lineRule="exact"/>
              <w:ind w:firstLine="420" w:firstLineChars="200"/>
              <w:jc w:val="lef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eastAsia="zh-CN" w:bidi="ar"/>
              </w:rPr>
              <w:t>投标人</w:t>
            </w:r>
            <w:r>
              <w:rPr>
                <w:rFonts w:hint="eastAsia" w:ascii="宋体" w:hAnsi="宋体" w:eastAsia="宋体" w:cs="宋体"/>
                <w:color w:val="auto"/>
                <w:szCs w:val="21"/>
                <w:highlight w:val="none"/>
                <w:lang w:bidi="ar"/>
              </w:rPr>
              <w:t xml:space="preserve">具有协助建立数字化转型专家组的能力，提供外部（副高级或副教授以上职称）名单，每提供 1 人得 0.5 分，满分 </w:t>
            </w:r>
            <w:r>
              <w:rPr>
                <w:rFonts w:hint="eastAsia" w:ascii="宋体" w:hAnsi="宋体" w:eastAsia="宋体" w:cs="宋体"/>
                <w:color w:val="auto"/>
                <w:szCs w:val="21"/>
                <w:highlight w:val="none"/>
                <w:lang w:val="en-US" w:eastAsia="zh-CN" w:bidi="ar"/>
              </w:rPr>
              <w:t>5</w:t>
            </w:r>
            <w:r>
              <w:rPr>
                <w:rFonts w:hint="eastAsia" w:ascii="宋体" w:hAnsi="宋体" w:eastAsia="宋体" w:cs="宋体"/>
                <w:color w:val="auto"/>
                <w:szCs w:val="21"/>
                <w:highlight w:val="none"/>
                <w:lang w:bidi="ar"/>
              </w:rPr>
              <w:t xml:space="preserve"> 分。 </w:t>
            </w:r>
          </w:p>
          <w:p w14:paraId="3A4451FC">
            <w:pPr>
              <w:pStyle w:val="4"/>
              <w:widowControl/>
              <w:numPr>
                <w:ilvl w:val="0"/>
                <w:numId w:val="0"/>
              </w:numPr>
              <w:spacing w:line="440" w:lineRule="exact"/>
              <w:ind w:left="0" w:leftChars="0" w:right="0" w:rightChars="0" w:firstLine="482" w:firstLineChars="200"/>
              <w:rPr>
                <w:rFonts w:hint="eastAsia" w:ascii="宋体" w:hAnsi="宋体" w:cs="宋体"/>
                <w:bCs/>
                <w:sz w:val="21"/>
                <w:szCs w:val="21"/>
                <w:highlight w:val="none"/>
              </w:rPr>
            </w:pPr>
            <w:r>
              <w:rPr>
                <w:rFonts w:hint="eastAsia" w:ascii="宋体" w:hAnsi="宋体" w:cs="宋体"/>
                <w:b/>
                <w:bCs/>
                <w:szCs w:val="21"/>
                <w:highlight w:val="none"/>
              </w:rPr>
              <w:t>注：须提供专家简介、职称证书（职称中工作单位为非投标单位）等材料，材料不全的该人员不得分，未提供的该项不得分。</w:t>
            </w:r>
          </w:p>
        </w:tc>
        <w:tc>
          <w:tcPr>
            <w:tcW w:w="736" w:type="dxa"/>
            <w:tcBorders>
              <w:top w:val="single" w:color="auto" w:sz="4" w:space="0"/>
              <w:left w:val="nil"/>
              <w:bottom w:val="single" w:color="auto" w:sz="4" w:space="0"/>
              <w:right w:val="single" w:color="auto" w:sz="4" w:space="0"/>
            </w:tcBorders>
            <w:noWrap w:val="0"/>
            <w:vAlign w:val="center"/>
          </w:tcPr>
          <w:p w14:paraId="1917A255">
            <w:pPr>
              <w:snapToGrid w:val="0"/>
              <w:spacing w:line="360" w:lineRule="auto"/>
              <w:jc w:val="center"/>
              <w:rPr>
                <w:rFonts w:hint="eastAsia" w:ascii="宋体" w:hAnsi="宋体" w:eastAsia="宋体" w:cs="宋体"/>
                <w:kern w:val="0"/>
                <w:szCs w:val="21"/>
                <w:highlight w:val="none"/>
                <w:lang w:eastAsia="zh-CN"/>
              </w:rPr>
            </w:pPr>
            <w:r>
              <w:rPr>
                <w:rFonts w:hint="eastAsia" w:ascii="宋体" w:hAnsi="宋体" w:cs="宋体"/>
                <w:kern w:val="0"/>
                <w:szCs w:val="21"/>
                <w:highlight w:val="none"/>
                <w:lang w:val="en-US" w:eastAsia="zh-CN" w:bidi="ar"/>
              </w:rPr>
              <w:t>5</w:t>
            </w:r>
          </w:p>
        </w:tc>
      </w:tr>
      <w:tr w14:paraId="01A7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0444036B">
            <w:pPr>
              <w:widowControl/>
              <w:spacing w:line="400" w:lineRule="exact"/>
              <w:jc w:val="center"/>
              <w:rPr>
                <w:rFonts w:hint="eastAsia" w:ascii="宋体" w:hAnsi="宋体" w:cs="宋体"/>
                <w:kern w:val="0"/>
                <w:szCs w:val="21"/>
                <w:highlight w:val="none"/>
              </w:rPr>
            </w:pPr>
            <w:r>
              <w:rPr>
                <w:rFonts w:hint="eastAsia" w:ascii="宋体" w:hAnsi="宋体" w:cs="宋体"/>
                <w:kern w:val="0"/>
                <w:szCs w:val="21"/>
                <w:highlight w:val="none"/>
                <w:lang w:bidi="ar"/>
              </w:rPr>
              <w:t>3.2</w:t>
            </w:r>
          </w:p>
        </w:tc>
        <w:tc>
          <w:tcPr>
            <w:tcW w:w="1242" w:type="dxa"/>
            <w:tcBorders>
              <w:top w:val="single" w:color="auto" w:sz="4" w:space="0"/>
              <w:left w:val="nil"/>
              <w:bottom w:val="single" w:color="auto" w:sz="4" w:space="0"/>
              <w:right w:val="single" w:color="auto" w:sz="4" w:space="0"/>
            </w:tcBorders>
            <w:noWrap w:val="0"/>
            <w:vAlign w:val="center"/>
          </w:tcPr>
          <w:p w14:paraId="7F14864C">
            <w:pPr>
              <w:widowControl/>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商务2</w:t>
            </w:r>
          </w:p>
          <w:p w14:paraId="43D75AA2">
            <w:pPr>
              <w:widowControl/>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（客观分）</w:t>
            </w:r>
          </w:p>
        </w:tc>
        <w:tc>
          <w:tcPr>
            <w:tcW w:w="6981" w:type="dxa"/>
            <w:tcBorders>
              <w:top w:val="single" w:color="auto" w:sz="4" w:space="0"/>
              <w:left w:val="nil"/>
              <w:bottom w:val="single" w:color="auto" w:sz="4" w:space="0"/>
              <w:right w:val="single" w:color="auto" w:sz="4" w:space="0"/>
            </w:tcBorders>
            <w:noWrap w:val="0"/>
            <w:vAlign w:val="top"/>
          </w:tcPr>
          <w:p w14:paraId="32DFC468">
            <w:pPr>
              <w:pStyle w:val="4"/>
              <w:widowControl/>
              <w:spacing w:line="440" w:lineRule="exact"/>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业绩分（满分1</w:t>
            </w:r>
            <w:r>
              <w:rPr>
                <w:rFonts w:hint="eastAsia" w:ascii="宋体" w:hAnsi="宋体" w:cs="宋体"/>
                <w:b/>
                <w:bCs/>
                <w:color w:val="auto"/>
                <w:sz w:val="21"/>
                <w:szCs w:val="21"/>
                <w:highlight w:val="none"/>
                <w:lang w:val="en-US" w:eastAsia="zh-CN"/>
              </w:rPr>
              <w:t>3</w:t>
            </w:r>
            <w:r>
              <w:rPr>
                <w:rFonts w:hint="eastAsia" w:ascii="宋体" w:hAnsi="宋体" w:cs="宋体"/>
                <w:b/>
                <w:bCs/>
                <w:color w:val="auto"/>
                <w:sz w:val="21"/>
                <w:szCs w:val="21"/>
                <w:highlight w:val="none"/>
              </w:rPr>
              <w:t>分）</w:t>
            </w:r>
          </w:p>
          <w:p w14:paraId="053313EB">
            <w:pPr>
              <w:pStyle w:val="4"/>
              <w:widowControl/>
              <w:spacing w:line="440" w:lineRule="exact"/>
              <w:ind w:firstLine="420" w:firstLineChars="200"/>
              <w:rPr>
                <w:rFonts w:hint="eastAsia" w:ascii="宋体" w:hAnsi="宋体" w:cs="宋体"/>
                <w:color w:val="auto"/>
                <w:sz w:val="21"/>
                <w:szCs w:val="21"/>
                <w:highlight w:val="none"/>
                <w:lang w:val="zh-CN"/>
              </w:rPr>
            </w:pPr>
            <w:r>
              <w:rPr>
                <w:rFonts w:hint="eastAsia" w:ascii="宋体" w:hAnsi="宋体" w:cs="宋体"/>
                <w:color w:val="auto"/>
                <w:sz w:val="21"/>
                <w:szCs w:val="21"/>
                <w:highlight w:val="none"/>
                <w:lang w:val="zh-CN"/>
              </w:rPr>
              <w:t>1、2022 年 1月至递交投标文件截止时间，供应商承担过技术改造相关项目业绩的，每提供一份有效业绩得 1 分，最高 4 分。</w:t>
            </w:r>
          </w:p>
          <w:p w14:paraId="5BD79814">
            <w:pPr>
              <w:pStyle w:val="4"/>
              <w:widowControl/>
              <w:spacing w:line="440" w:lineRule="exact"/>
              <w:ind w:firstLine="420" w:firstLineChars="200"/>
              <w:rPr>
                <w:rFonts w:hint="eastAsia" w:ascii="宋体" w:hAnsi="宋体" w:cs="宋体"/>
                <w:color w:val="auto"/>
                <w:sz w:val="21"/>
                <w:szCs w:val="21"/>
                <w:highlight w:val="none"/>
                <w:lang w:val="zh-CN"/>
              </w:rPr>
            </w:pPr>
            <w:r>
              <w:rPr>
                <w:rFonts w:hint="eastAsia" w:ascii="宋体" w:hAnsi="宋体" w:cs="宋体"/>
                <w:color w:val="auto"/>
                <w:sz w:val="21"/>
                <w:szCs w:val="21"/>
                <w:highlight w:val="none"/>
                <w:lang w:val="zh-CN"/>
              </w:rPr>
              <w:t>2、2022 年 1月至递交投标文件截止时间，供应商具有承担过数字化转型、数字经济类似项目业绩的，每提供一份有效业绩得 0.5 分，最高得 6 分。</w:t>
            </w:r>
          </w:p>
          <w:p w14:paraId="5EEE1155">
            <w:pPr>
              <w:pStyle w:val="4"/>
              <w:widowControl/>
              <w:spacing w:line="440" w:lineRule="exact"/>
              <w:ind w:firstLine="420" w:firstLineChars="200"/>
              <w:rPr>
                <w:rFonts w:hint="eastAsia" w:ascii="宋体" w:hAnsi="宋体" w:cs="宋体"/>
                <w:color w:val="auto"/>
                <w:sz w:val="21"/>
                <w:szCs w:val="21"/>
                <w:highlight w:val="none"/>
                <w:lang w:val="zh-CN"/>
              </w:rPr>
            </w:pPr>
            <w:r>
              <w:rPr>
                <w:rFonts w:hint="eastAsia" w:ascii="宋体" w:hAnsi="宋体" w:cs="宋体"/>
                <w:color w:val="auto"/>
                <w:sz w:val="21"/>
                <w:szCs w:val="21"/>
                <w:highlight w:val="none"/>
                <w:lang w:val="zh-CN"/>
              </w:rPr>
              <w:t>3、2022 年 1月至递交投标文件截止时间，供应商具有承担过城市试点“智库 ”综合服务或全过程咨询的类似服务经验，每提供一份有效业绩得 1 分，最高得 3 分。</w:t>
            </w:r>
          </w:p>
          <w:p w14:paraId="020E6D99">
            <w:pPr>
              <w:pStyle w:val="4"/>
              <w:widowControl/>
              <w:spacing w:line="440" w:lineRule="exact"/>
              <w:ind w:firstLine="422" w:firstLineChars="200"/>
              <w:rPr>
                <w:rFonts w:hint="eastAsia" w:ascii="宋体" w:hAnsi="宋体" w:cs="宋体"/>
                <w:color w:val="auto"/>
                <w:sz w:val="21"/>
                <w:szCs w:val="21"/>
                <w:highlight w:val="none"/>
                <w:lang w:val="zh-CN"/>
              </w:rPr>
            </w:pPr>
            <w:r>
              <w:rPr>
                <w:rFonts w:hint="eastAsia" w:ascii="宋体" w:hAnsi="宋体" w:cs="宋体"/>
                <w:b/>
                <w:bCs/>
                <w:color w:val="auto"/>
                <w:sz w:val="21"/>
                <w:szCs w:val="21"/>
                <w:highlight w:val="none"/>
                <w:lang w:val="zh-CN"/>
              </w:rPr>
              <w:t xml:space="preserve"> 注：须提供合同关键页复印件作为证明材料并加盖供应商公章，否则不得分。</w:t>
            </w:r>
          </w:p>
        </w:tc>
        <w:tc>
          <w:tcPr>
            <w:tcW w:w="736" w:type="dxa"/>
            <w:tcBorders>
              <w:top w:val="single" w:color="auto" w:sz="4" w:space="0"/>
              <w:left w:val="nil"/>
              <w:bottom w:val="single" w:color="auto" w:sz="4" w:space="0"/>
              <w:right w:val="single" w:color="auto" w:sz="4" w:space="0"/>
            </w:tcBorders>
            <w:noWrap w:val="0"/>
            <w:vAlign w:val="center"/>
          </w:tcPr>
          <w:p w14:paraId="6B2ED7BD">
            <w:pPr>
              <w:snapToGrid w:val="0"/>
              <w:spacing w:line="360" w:lineRule="auto"/>
              <w:jc w:val="center"/>
              <w:rPr>
                <w:rFonts w:hint="eastAsia" w:ascii="宋体" w:hAnsi="宋体" w:eastAsia="宋体" w:cs="宋体"/>
                <w:kern w:val="0"/>
                <w:szCs w:val="21"/>
                <w:highlight w:val="none"/>
                <w:lang w:eastAsia="zh-CN"/>
              </w:rPr>
            </w:pPr>
            <w:r>
              <w:rPr>
                <w:rFonts w:hint="eastAsia" w:ascii="宋体" w:hAnsi="宋体" w:cs="宋体"/>
                <w:kern w:val="0"/>
                <w:szCs w:val="21"/>
                <w:highlight w:val="none"/>
                <w:lang w:bidi="ar"/>
              </w:rPr>
              <w:t>1</w:t>
            </w:r>
            <w:r>
              <w:rPr>
                <w:rFonts w:hint="eastAsia" w:ascii="宋体" w:hAnsi="宋体" w:cs="宋体"/>
                <w:kern w:val="0"/>
                <w:szCs w:val="21"/>
                <w:highlight w:val="none"/>
                <w:lang w:val="en-US" w:eastAsia="zh-CN" w:bidi="ar"/>
              </w:rPr>
              <w:t>3</w:t>
            </w:r>
          </w:p>
        </w:tc>
      </w:tr>
      <w:tr w14:paraId="2EF8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2AC87C0D">
            <w:pPr>
              <w:widowControl/>
              <w:spacing w:line="400" w:lineRule="exact"/>
              <w:jc w:val="center"/>
              <w:rPr>
                <w:rFonts w:hint="eastAsia" w:ascii="宋体" w:hAnsi="宋体" w:cs="宋体"/>
                <w:kern w:val="0"/>
                <w:szCs w:val="21"/>
                <w:highlight w:val="none"/>
                <w:lang w:bidi="ar"/>
              </w:rPr>
            </w:pPr>
            <w:r>
              <w:rPr>
                <w:rFonts w:hint="eastAsia" w:ascii="宋体" w:hAnsi="宋体" w:cs="宋体"/>
                <w:kern w:val="0"/>
                <w:szCs w:val="21"/>
                <w:highlight w:val="none"/>
                <w:lang w:bidi="ar"/>
              </w:rPr>
              <w:t>3.3</w:t>
            </w:r>
          </w:p>
        </w:tc>
        <w:tc>
          <w:tcPr>
            <w:tcW w:w="1242" w:type="dxa"/>
            <w:tcBorders>
              <w:top w:val="single" w:color="auto" w:sz="4" w:space="0"/>
              <w:left w:val="nil"/>
              <w:bottom w:val="single" w:color="auto" w:sz="4" w:space="0"/>
              <w:right w:val="single" w:color="auto" w:sz="4" w:space="0"/>
            </w:tcBorders>
            <w:noWrap w:val="0"/>
            <w:vAlign w:val="center"/>
          </w:tcPr>
          <w:p w14:paraId="04518E71">
            <w:pPr>
              <w:widowControl/>
              <w:spacing w:line="360" w:lineRule="auto"/>
              <w:jc w:val="center"/>
              <w:rPr>
                <w:rFonts w:hint="eastAsia" w:ascii="宋体" w:hAnsi="宋体" w:cs="宋体"/>
                <w:b/>
                <w:szCs w:val="21"/>
                <w:highlight w:val="none"/>
              </w:rPr>
            </w:pPr>
            <w:r>
              <w:rPr>
                <w:rFonts w:hint="eastAsia" w:ascii="宋体" w:hAnsi="宋体" w:cs="宋体"/>
                <w:b/>
                <w:szCs w:val="21"/>
                <w:highlight w:val="none"/>
              </w:rPr>
              <w:t>商务3</w:t>
            </w:r>
          </w:p>
          <w:p w14:paraId="40F7A7A8">
            <w:pPr>
              <w:widowControl/>
              <w:spacing w:line="360" w:lineRule="auto"/>
              <w:jc w:val="center"/>
              <w:rPr>
                <w:rFonts w:hint="eastAsia" w:ascii="宋体" w:hAnsi="宋体" w:cs="宋体"/>
                <w:b/>
                <w:szCs w:val="21"/>
                <w:highlight w:val="none"/>
              </w:rPr>
            </w:pPr>
            <w:r>
              <w:rPr>
                <w:rFonts w:hint="eastAsia" w:ascii="宋体" w:hAnsi="宋体" w:cs="宋体"/>
                <w:b/>
                <w:szCs w:val="21"/>
                <w:highlight w:val="none"/>
              </w:rPr>
              <w:t>（客观分）</w:t>
            </w:r>
          </w:p>
        </w:tc>
        <w:tc>
          <w:tcPr>
            <w:tcW w:w="6981" w:type="dxa"/>
            <w:tcBorders>
              <w:top w:val="single" w:color="auto" w:sz="4" w:space="0"/>
              <w:left w:val="nil"/>
              <w:bottom w:val="single" w:color="auto" w:sz="4" w:space="0"/>
              <w:right w:val="single" w:color="auto" w:sz="4" w:space="0"/>
            </w:tcBorders>
            <w:noWrap w:val="0"/>
            <w:vAlign w:val="top"/>
          </w:tcPr>
          <w:p w14:paraId="05C74D37">
            <w:pPr>
              <w:pStyle w:val="4"/>
              <w:widowControl/>
              <w:spacing w:line="440" w:lineRule="exact"/>
              <w:ind w:firstLine="420" w:firstLineChars="200"/>
              <w:rPr>
                <w:rFonts w:hint="eastAsia" w:cs="Calibri"/>
                <w:sz w:val="21"/>
                <w:highlight w:val="none"/>
              </w:rPr>
            </w:pPr>
            <w:r>
              <w:rPr>
                <w:rFonts w:hint="eastAsia" w:cs="Calibri"/>
                <w:sz w:val="21"/>
                <w:highlight w:val="none"/>
              </w:rPr>
              <w:t>项目负责人具备信息通信、数字化类高级职称的，得 3.0 分；具备信息通信、数字化类正高级职称的，得 6 分。本项最高得 6 分。 注：提供人员身份证、职称证书复印件及供应商为其购买的近六个月内任意一个月的社会劳动保险缴费证明（以提供加盖社保局或税务局印章或网站打印的为准）加盖供应商公章。</w:t>
            </w:r>
          </w:p>
        </w:tc>
        <w:tc>
          <w:tcPr>
            <w:tcW w:w="736" w:type="dxa"/>
            <w:tcBorders>
              <w:top w:val="single" w:color="auto" w:sz="4" w:space="0"/>
              <w:left w:val="nil"/>
              <w:bottom w:val="single" w:color="auto" w:sz="4" w:space="0"/>
              <w:right w:val="single" w:color="auto" w:sz="4" w:space="0"/>
            </w:tcBorders>
            <w:noWrap w:val="0"/>
            <w:vAlign w:val="center"/>
          </w:tcPr>
          <w:p w14:paraId="4BC61122">
            <w:pPr>
              <w:snapToGrid w:val="0"/>
              <w:spacing w:line="360" w:lineRule="auto"/>
              <w:jc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val="en-US" w:eastAsia="zh-CN" w:bidi="ar"/>
              </w:rPr>
              <w:t>6</w:t>
            </w:r>
          </w:p>
        </w:tc>
      </w:tr>
      <w:tr w14:paraId="196D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653" w:type="dxa"/>
            <w:tcBorders>
              <w:top w:val="single" w:color="auto" w:sz="4" w:space="0"/>
              <w:left w:val="single" w:color="auto" w:sz="4" w:space="0"/>
              <w:bottom w:val="single" w:color="auto" w:sz="4" w:space="0"/>
              <w:right w:val="single" w:color="auto" w:sz="4" w:space="0"/>
            </w:tcBorders>
            <w:noWrap w:val="0"/>
            <w:vAlign w:val="center"/>
          </w:tcPr>
          <w:p w14:paraId="6B1BB5D0">
            <w:pPr>
              <w:widowControl/>
              <w:spacing w:line="400" w:lineRule="exact"/>
              <w:jc w:val="center"/>
              <w:rPr>
                <w:rFonts w:hint="eastAsia" w:ascii="宋体" w:hAnsi="宋体" w:cs="宋体"/>
                <w:kern w:val="0"/>
                <w:szCs w:val="21"/>
                <w:highlight w:val="none"/>
                <w:lang w:bidi="ar"/>
              </w:rPr>
            </w:pPr>
            <w:r>
              <w:rPr>
                <w:rFonts w:hint="eastAsia" w:ascii="宋体" w:hAnsi="宋体" w:cs="宋体"/>
                <w:kern w:val="0"/>
                <w:szCs w:val="21"/>
                <w:highlight w:val="none"/>
                <w:lang w:bidi="ar"/>
              </w:rPr>
              <w:t>3.4</w:t>
            </w:r>
          </w:p>
        </w:tc>
        <w:tc>
          <w:tcPr>
            <w:tcW w:w="1242" w:type="dxa"/>
            <w:tcBorders>
              <w:top w:val="single" w:color="auto" w:sz="4" w:space="0"/>
              <w:left w:val="nil"/>
              <w:bottom w:val="single" w:color="auto" w:sz="4" w:space="0"/>
              <w:right w:val="single" w:color="auto" w:sz="4" w:space="0"/>
            </w:tcBorders>
            <w:noWrap w:val="0"/>
            <w:vAlign w:val="center"/>
          </w:tcPr>
          <w:p w14:paraId="657146CE">
            <w:pPr>
              <w:widowControl/>
              <w:spacing w:line="360" w:lineRule="auto"/>
              <w:jc w:val="center"/>
              <w:rPr>
                <w:rFonts w:hint="eastAsia" w:ascii="宋体" w:hAnsi="宋体" w:cs="宋体"/>
                <w:b/>
                <w:szCs w:val="21"/>
                <w:highlight w:val="none"/>
              </w:rPr>
            </w:pPr>
            <w:r>
              <w:rPr>
                <w:rFonts w:hint="eastAsia" w:ascii="宋体" w:hAnsi="宋体" w:cs="宋体"/>
                <w:b/>
                <w:szCs w:val="21"/>
                <w:highlight w:val="none"/>
              </w:rPr>
              <w:t>商务4</w:t>
            </w:r>
          </w:p>
          <w:p w14:paraId="7FDD42B9">
            <w:pPr>
              <w:widowControl/>
              <w:spacing w:line="360" w:lineRule="auto"/>
              <w:jc w:val="center"/>
              <w:rPr>
                <w:rFonts w:hint="eastAsia" w:ascii="宋体" w:hAnsi="宋体" w:cs="宋体"/>
                <w:b/>
                <w:szCs w:val="21"/>
                <w:highlight w:val="none"/>
              </w:rPr>
            </w:pPr>
            <w:r>
              <w:rPr>
                <w:rFonts w:hint="eastAsia" w:ascii="宋体" w:hAnsi="宋体" w:cs="宋体"/>
                <w:b/>
                <w:szCs w:val="21"/>
                <w:highlight w:val="none"/>
              </w:rPr>
              <w:t>（客观分）</w:t>
            </w:r>
          </w:p>
        </w:tc>
        <w:tc>
          <w:tcPr>
            <w:tcW w:w="6981" w:type="dxa"/>
            <w:tcBorders>
              <w:top w:val="single" w:color="auto" w:sz="4" w:space="0"/>
              <w:left w:val="nil"/>
              <w:bottom w:val="single" w:color="auto" w:sz="4" w:space="0"/>
              <w:right w:val="single" w:color="auto" w:sz="4" w:space="0"/>
            </w:tcBorders>
            <w:noWrap w:val="0"/>
            <w:vAlign w:val="top"/>
          </w:tcPr>
          <w:p w14:paraId="361AE470">
            <w:pPr>
              <w:pStyle w:val="4"/>
              <w:widowControl/>
              <w:spacing w:line="440" w:lineRule="exact"/>
              <w:ind w:firstLine="420" w:firstLineChars="200"/>
              <w:rPr>
                <w:rFonts w:hint="default" w:eastAsia="宋体" w:cs="Calibri"/>
                <w:sz w:val="21"/>
                <w:szCs w:val="21"/>
                <w:highlight w:val="none"/>
                <w:lang w:val="en-US" w:eastAsia="zh-CN"/>
              </w:rPr>
            </w:pPr>
            <w:r>
              <w:rPr>
                <w:rFonts w:hint="eastAsia" w:eastAsia="宋体" w:cs="Calibri"/>
                <w:sz w:val="21"/>
                <w:szCs w:val="21"/>
                <w:highlight w:val="none"/>
                <w:lang w:val="en-US" w:eastAsia="zh-CN"/>
              </w:rPr>
              <w:t>1.</w:t>
            </w:r>
            <w:r>
              <w:rPr>
                <w:rFonts w:hint="eastAsia" w:eastAsia="宋体" w:cs="Calibri"/>
                <w:sz w:val="21"/>
                <w:szCs w:val="21"/>
                <w:highlight w:val="none"/>
              </w:rPr>
              <w:t xml:space="preserve">具有信息通信、数字化类高级职称的，每人得 1 分，最高得 5 分；具有信息通信、数字化类正高级职称的，每人得 2 分，最高得6 分；本项最高得 11 分。 </w:t>
            </w:r>
          </w:p>
          <w:p w14:paraId="02B8875D">
            <w:pPr>
              <w:pStyle w:val="4"/>
              <w:widowControl/>
              <w:spacing w:line="440" w:lineRule="exact"/>
              <w:ind w:firstLine="420" w:firstLineChars="200"/>
              <w:rPr>
                <w:rFonts w:hint="eastAsia" w:eastAsia="宋体" w:cs="Calibri"/>
                <w:sz w:val="21"/>
                <w:szCs w:val="21"/>
                <w:highlight w:val="none"/>
              </w:rPr>
            </w:pPr>
            <w:r>
              <w:rPr>
                <w:rFonts w:hint="eastAsia" w:eastAsia="宋体" w:cs="Calibri"/>
                <w:sz w:val="21"/>
                <w:szCs w:val="21"/>
                <w:highlight w:val="none"/>
                <w:lang w:val="en-US" w:eastAsia="zh-CN"/>
              </w:rPr>
              <w:t>2.</w:t>
            </w:r>
            <w:r>
              <w:rPr>
                <w:rFonts w:hint="eastAsia" w:eastAsia="宋体" w:cs="Calibri"/>
                <w:sz w:val="21"/>
                <w:szCs w:val="21"/>
                <w:highlight w:val="none"/>
              </w:rPr>
              <w:t>具有电子、信息工程类咨询工程师（投资）专业技术人员资格证书的，每人加 1 分，最高加 5 分。</w:t>
            </w:r>
          </w:p>
          <w:p w14:paraId="5CDB3C58">
            <w:pPr>
              <w:pStyle w:val="4"/>
              <w:widowControl/>
              <w:numPr>
                <w:ilvl w:val="0"/>
                <w:numId w:val="0"/>
              </w:numPr>
              <w:spacing w:line="440" w:lineRule="exact"/>
              <w:ind w:left="0" w:leftChars="0" w:right="0" w:rightChars="0" w:firstLine="422" w:firstLineChars="200"/>
              <w:rPr>
                <w:rFonts w:hint="eastAsia" w:ascii="宋体" w:hAnsi="宋体" w:cs="宋体"/>
                <w:b/>
                <w:bCs/>
                <w:kern w:val="0"/>
                <w:sz w:val="21"/>
                <w:szCs w:val="21"/>
                <w:highlight w:val="none"/>
              </w:rPr>
            </w:pPr>
            <w:r>
              <w:rPr>
                <w:rFonts w:hint="eastAsia" w:ascii="宋体" w:hAnsi="宋体" w:cs="宋体"/>
                <w:b/>
                <w:bCs/>
                <w:kern w:val="0"/>
                <w:sz w:val="21"/>
                <w:szCs w:val="21"/>
                <w:highlight w:val="none"/>
              </w:rPr>
              <w:t>注：1、须提供团队人员职称证书复印件及</w:t>
            </w:r>
            <w:r>
              <w:rPr>
                <w:rFonts w:hint="eastAsia" w:ascii="宋体" w:hAnsi="宋体" w:cs="宋体"/>
                <w:b/>
                <w:bCs/>
                <w:kern w:val="0"/>
                <w:sz w:val="21"/>
                <w:szCs w:val="21"/>
                <w:highlight w:val="none"/>
                <w:lang w:val="en-US" w:eastAsia="zh-CN"/>
              </w:rPr>
              <w:t>投标人</w:t>
            </w:r>
            <w:r>
              <w:rPr>
                <w:rFonts w:hint="eastAsia" w:ascii="宋体" w:hAnsi="宋体" w:cs="宋体"/>
                <w:b/>
                <w:bCs/>
                <w:kern w:val="0"/>
                <w:sz w:val="21"/>
                <w:szCs w:val="21"/>
                <w:highlight w:val="none"/>
              </w:rPr>
              <w:t>为其购买的近六个月内任意一个月的社会劳动保险缴费证明（以提供加盖社保局或税务局印章或网站打印的为准）加盖供应商公章。</w:t>
            </w:r>
          </w:p>
          <w:p w14:paraId="64111F5B">
            <w:pPr>
              <w:pStyle w:val="4"/>
              <w:widowControl/>
              <w:numPr>
                <w:ilvl w:val="0"/>
                <w:numId w:val="0"/>
              </w:numPr>
              <w:spacing w:line="440" w:lineRule="exact"/>
              <w:ind w:left="0" w:leftChars="0" w:right="0" w:rightChars="0" w:firstLine="422" w:firstLineChars="200"/>
              <w:rPr>
                <w:rFonts w:hint="eastAsia" w:ascii="宋体" w:hAnsi="宋体" w:cs="宋体"/>
                <w:kern w:val="0"/>
                <w:sz w:val="21"/>
                <w:szCs w:val="21"/>
                <w:highlight w:val="none"/>
              </w:rPr>
            </w:pPr>
            <w:r>
              <w:rPr>
                <w:rFonts w:hint="eastAsia" w:ascii="宋体" w:hAnsi="宋体" w:cs="宋体"/>
                <w:b/>
                <w:bCs/>
                <w:kern w:val="0"/>
                <w:sz w:val="21"/>
                <w:szCs w:val="21"/>
                <w:highlight w:val="none"/>
                <w:lang w:val="en-US" w:eastAsia="zh-CN"/>
              </w:rPr>
              <w:t>2、</w:t>
            </w:r>
            <w:r>
              <w:rPr>
                <w:rFonts w:hint="eastAsia" w:ascii="宋体" w:hAnsi="宋体" w:cs="宋体"/>
                <w:b/>
                <w:bCs/>
                <w:kern w:val="0"/>
                <w:sz w:val="21"/>
                <w:szCs w:val="21"/>
                <w:highlight w:val="none"/>
              </w:rPr>
              <w:t>同一人提供正高级职称</w:t>
            </w:r>
            <w:r>
              <w:rPr>
                <w:rFonts w:hint="eastAsia" w:ascii="宋体" w:hAnsi="宋体" w:cs="宋体"/>
                <w:b/>
                <w:bCs/>
                <w:kern w:val="0"/>
                <w:sz w:val="21"/>
                <w:szCs w:val="21"/>
                <w:highlight w:val="none"/>
                <w:lang w:val="en-US" w:eastAsia="zh-CN"/>
              </w:rPr>
              <w:t>或</w:t>
            </w:r>
            <w:r>
              <w:rPr>
                <w:rFonts w:hint="eastAsia" w:ascii="宋体" w:hAnsi="宋体" w:cs="宋体"/>
                <w:b/>
                <w:bCs/>
                <w:kern w:val="0"/>
                <w:sz w:val="21"/>
                <w:szCs w:val="21"/>
                <w:highlight w:val="none"/>
              </w:rPr>
              <w:t xml:space="preserve">高级职称证书和咨询工程师（投资）专业技术人员资格证书的可重复得分。 </w:t>
            </w:r>
          </w:p>
        </w:tc>
        <w:tc>
          <w:tcPr>
            <w:tcW w:w="736" w:type="dxa"/>
            <w:tcBorders>
              <w:top w:val="single" w:color="auto" w:sz="4" w:space="0"/>
              <w:left w:val="nil"/>
              <w:bottom w:val="single" w:color="auto" w:sz="4" w:space="0"/>
              <w:right w:val="single" w:color="auto" w:sz="4" w:space="0"/>
            </w:tcBorders>
            <w:noWrap w:val="0"/>
            <w:vAlign w:val="center"/>
          </w:tcPr>
          <w:p w14:paraId="580F523D">
            <w:pPr>
              <w:snapToGrid w:val="0"/>
              <w:spacing w:line="360" w:lineRule="auto"/>
              <w:jc w:val="center"/>
              <w:rPr>
                <w:rFonts w:hint="default" w:ascii="宋体" w:hAnsi="宋体" w:eastAsia="宋体" w:cs="宋体"/>
                <w:kern w:val="0"/>
                <w:szCs w:val="21"/>
                <w:highlight w:val="none"/>
                <w:lang w:val="en-US" w:eastAsia="zh-CN" w:bidi="ar"/>
              </w:rPr>
            </w:pPr>
            <w:r>
              <w:rPr>
                <w:rFonts w:hint="eastAsia" w:ascii="宋体" w:hAnsi="宋体" w:cs="宋体"/>
                <w:kern w:val="0"/>
                <w:szCs w:val="21"/>
                <w:highlight w:val="none"/>
                <w:lang w:val="en-US" w:eastAsia="zh-CN" w:bidi="ar"/>
              </w:rPr>
              <w:t>16</w:t>
            </w:r>
          </w:p>
        </w:tc>
      </w:tr>
      <w:tr w14:paraId="7DDD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876" w:type="dxa"/>
            <w:gridSpan w:val="3"/>
            <w:tcBorders>
              <w:top w:val="single" w:color="auto" w:sz="4" w:space="0"/>
              <w:left w:val="single" w:color="auto" w:sz="4" w:space="0"/>
              <w:bottom w:val="single" w:color="auto" w:sz="4" w:space="0"/>
              <w:right w:val="single" w:color="auto" w:sz="4" w:space="0"/>
            </w:tcBorders>
            <w:noWrap w:val="0"/>
            <w:vAlign w:val="top"/>
          </w:tcPr>
          <w:p w14:paraId="205BBC08">
            <w:pPr>
              <w:spacing w:line="400" w:lineRule="exact"/>
              <w:rPr>
                <w:rFonts w:hint="eastAsia" w:ascii="宋体" w:hAnsi="宋体" w:cs="宋体"/>
                <w:b/>
                <w:szCs w:val="21"/>
                <w:highlight w:val="none"/>
              </w:rPr>
            </w:pPr>
            <w:r>
              <w:rPr>
                <w:rFonts w:hint="eastAsia" w:ascii="宋体" w:hAnsi="宋体" w:cs="宋体"/>
                <w:b/>
                <w:szCs w:val="21"/>
                <w:highlight w:val="none"/>
                <w:lang w:bidi="ar"/>
              </w:rPr>
              <w:t>总得分＝1＋2＋3</w:t>
            </w:r>
          </w:p>
        </w:tc>
        <w:tc>
          <w:tcPr>
            <w:tcW w:w="736" w:type="dxa"/>
            <w:tcBorders>
              <w:top w:val="single" w:color="auto" w:sz="4" w:space="0"/>
              <w:left w:val="nil"/>
              <w:bottom w:val="single" w:color="auto" w:sz="4" w:space="0"/>
              <w:right w:val="single" w:color="auto" w:sz="4" w:space="0"/>
            </w:tcBorders>
            <w:noWrap w:val="0"/>
            <w:vAlign w:val="center"/>
          </w:tcPr>
          <w:p w14:paraId="2EC4A744">
            <w:pPr>
              <w:widowControl/>
              <w:spacing w:line="400" w:lineRule="exact"/>
              <w:jc w:val="center"/>
              <w:rPr>
                <w:rFonts w:hint="eastAsia" w:ascii="宋体" w:hAnsi="宋体" w:cs="宋体"/>
                <w:b/>
                <w:kern w:val="0"/>
                <w:szCs w:val="21"/>
                <w:highlight w:val="none"/>
              </w:rPr>
            </w:pPr>
            <w:r>
              <w:rPr>
                <w:rFonts w:hint="eastAsia" w:ascii="宋体" w:hAnsi="宋体" w:cs="宋体"/>
                <w:b/>
                <w:kern w:val="0"/>
                <w:szCs w:val="21"/>
                <w:highlight w:val="none"/>
                <w:lang w:bidi="ar"/>
              </w:rPr>
              <w:t>100</w:t>
            </w:r>
          </w:p>
        </w:tc>
      </w:tr>
    </w:tbl>
    <w:p w14:paraId="5D4318D2">
      <w:pPr>
        <w:pStyle w:val="7"/>
      </w:pPr>
    </w:p>
    <w:p w14:paraId="1AEB705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297B3C"/>
    <w:rsid w:val="20297B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宋体"/>
      <w:sz w:val="18"/>
      <w:szCs w:val="20"/>
    </w:rPr>
  </w:style>
  <w:style w:type="paragraph" w:styleId="3">
    <w:name w:val="Plain Text"/>
    <w:basedOn w:val="1"/>
    <w:qFormat/>
    <w:uiPriority w:val="0"/>
    <w:rPr>
      <w:rFonts w:ascii="宋体" w:hAnsi="Courier New"/>
      <w:szCs w:val="20"/>
    </w:rPr>
  </w:style>
  <w:style w:type="paragraph" w:styleId="4">
    <w:name w:val="Normal (Web)"/>
    <w:basedOn w:val="1"/>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4"/>
      <w:szCs w:val="24"/>
      <w:lang w:val="en-US" w:eastAsia="zh-CN" w:bidi="ar"/>
    </w:rPr>
  </w:style>
  <w:style w:type="paragraph" w:customStyle="1" w:styleId="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2026-10-22T02:38:00Z</dcterms:created>
  <dc:creator>Y4N</dc:creator>
  <cp:lastModifiedBy>Y4N</cp:lastModifiedBy>
  <dcterms:modified xsi:type="dcterms:W3CDTF">2026-10-22T02:39:09Z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B186033FA8064BE6B7BA26996C5BEFC0_11</vt:lpwstr>
  </property>
  <property fmtid="{D5CDD505-2E9C-101B-9397-08002B2CF9AE}" pid="4" name="KSOTemplateDocerSaveRecord">
    <vt:lpwstr>eyJoZGlkIjoiYTVlN2M0OWM1ZjIzNzRiNTgxMzQzZTVhMzQ4NzYxZTUiLCJ1c2VySWQiOiI0ODE4ODk1MjUifQ==</vt:lpwstr>
  </property>
</Properties>
</file>